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34"/>
        <w:spacing w:line="360" w:lineRule="auto"/>
        <w:rPr>
          <w:rFonts w:hAnsi="宋体" w:eastAsia="宋体" w:cs="宋体"/>
          <w:color w:val="auto"/>
          <w:highlight w:val="none"/>
        </w:rPr>
      </w:pPr>
      <w:r>
        <w:rPr>
          <w:rFonts w:hAnsi="宋体" w:eastAsia="宋体" w:cs="宋体"/>
          <w:color w:val="auto"/>
          <w:highlight w:val="none"/>
        </w:rPr>
      </w:r>
      <w:r/>
    </w:p>
    <w:p>
      <w:pPr>
        <w:spacing w:line="360" w:lineRule="auto"/>
        <w:rPr>
          <w:rFonts w:ascii="宋体" w:hAnsi="宋体" w:eastAsia="宋体" w:cs="宋体"/>
          <w:color w:val="auto"/>
          <w:highlight w:val="none"/>
        </w:rPr>
      </w:pPr>
      <w:r>
        <w:rPr>
          <w:rFonts w:ascii="宋体" w:hAnsi="宋体" w:eastAsia="宋体" w:cs="宋体"/>
          <w:color w:val="auto"/>
          <w:highlight w:val="none"/>
        </w:rPr>
      </w:r>
      <w:r/>
    </w:p>
    <w:p>
      <w:pPr>
        <w:spacing w:line="360" w:lineRule="auto"/>
        <w:rPr>
          <w:rFonts w:ascii="宋体" w:hAnsi="宋体" w:eastAsia="宋体" w:cs="宋体"/>
          <w:color w:val="auto"/>
          <w:highlight w:val="none"/>
        </w:rPr>
      </w:pPr>
      <w:r>
        <w:rPr>
          <w:rFonts w:ascii="宋体" w:hAnsi="宋体" w:eastAsia="宋体" w:cs="宋体"/>
          <w:color w:val="auto"/>
          <w:highlight w:val="none"/>
        </w:rPr>
      </w:r>
      <w:r/>
    </w:p>
    <w:p>
      <w:pPr>
        <w:jc w:val="center"/>
        <w:spacing w:line="360" w:lineRule="auto"/>
        <w:rPr>
          <w:rFonts w:ascii="宋体" w:hAnsi="宋体" w:eastAsia="宋体" w:cs="宋体"/>
          <w:color w:val="auto"/>
          <w:sz w:val="84"/>
          <w:szCs w:val="84"/>
          <w:highlight w:val="none"/>
        </w:rPr>
      </w:pPr>
      <w:r>
        <w:rPr>
          <w:rFonts w:hint="eastAsia" w:ascii="宋体" w:hAnsi="宋体" w:eastAsia="宋体" w:cs="宋体"/>
          <w:color w:val="auto"/>
          <w:sz w:val="84"/>
          <w:szCs w:val="84"/>
          <w:highlight w:val="none"/>
        </w:rPr>
        <w:t xml:space="preserve">苏州市政府采购</w:t>
      </w:r>
      <w:r/>
    </w:p>
    <w:p>
      <w:pPr>
        <w:jc w:val="center"/>
        <w:spacing w:line="360" w:lineRule="auto"/>
        <w:rPr>
          <w:rFonts w:ascii="宋体" w:hAnsi="宋体" w:eastAsia="宋体" w:cs="宋体"/>
          <w:color w:val="auto"/>
          <w:highlight w:val="none"/>
        </w:rPr>
      </w:pPr>
      <w:r>
        <w:rPr>
          <w:rFonts w:hint="eastAsia" w:ascii="宋体" w:hAnsi="宋体" w:eastAsia="宋体" w:cs="宋体"/>
          <w:color w:val="auto"/>
          <w:sz w:val="84"/>
          <w:szCs w:val="84"/>
          <w:highlight w:val="none"/>
        </w:rPr>
        <w:t xml:space="preserve">招  标  文  件</w:t>
      </w:r>
      <w:r/>
    </w:p>
    <w:p>
      <w:pPr>
        <w:pStyle w:val="966"/>
        <w:spacing w:line="360" w:lineRule="auto"/>
        <w:rPr>
          <w:rFonts w:ascii="宋体" w:hAnsi="宋体" w:eastAsia="宋体" w:cs="宋体"/>
          <w:color w:val="auto"/>
          <w:highlight w:val="none"/>
        </w:rPr>
      </w:pPr>
      <w:r>
        <w:rPr>
          <w:rFonts w:ascii="宋体" w:hAnsi="宋体" w:eastAsia="宋体" w:cs="宋体"/>
          <w:color w:val="auto"/>
          <w:highlight w:val="none"/>
        </w:rPr>
      </w:r>
      <w:r/>
    </w:p>
    <w:p>
      <w:pPr>
        <w:pStyle w:val="966"/>
        <w:spacing w:line="360" w:lineRule="auto"/>
        <w:rPr>
          <w:rFonts w:ascii="宋体" w:hAnsi="宋体" w:eastAsia="宋体" w:cs="宋体"/>
          <w:color w:val="auto"/>
          <w:highlight w:val="none"/>
        </w:rPr>
      </w:pPr>
      <w:r>
        <w:rPr>
          <w:rFonts w:ascii="宋体" w:hAnsi="宋体" w:eastAsia="宋体" w:cs="宋体"/>
          <w:color w:val="auto"/>
          <w:highlight w:val="none"/>
        </w:rPr>
      </w:r>
      <w:r/>
    </w:p>
    <w:p>
      <w:pPr>
        <w:jc w:val="center"/>
        <w:spacing w:line="360" w:lineRule="auto"/>
        <w:rPr>
          <w:rFonts w:ascii="宋体" w:hAnsi="宋体" w:eastAsia="宋体" w:cs="宋体"/>
          <w:color w:val="auto"/>
          <w:highlight w:val="none"/>
        </w:rPr>
      </w:pPr>
      <w:r>
        <w:rPr>
          <w:rFonts w:hint="eastAsia" w:ascii="宋体" w:hAnsi="宋体" w:eastAsia="宋体" w:cs="宋体"/>
          <w:color w:val="auto"/>
          <w:highlight w:val="none"/>
        </w:rPr>
        <mc:AlternateContent>
          <mc:Choice Requires="wpg">
            <w:drawing>
              <wp:inline xmlns:wp="http://schemas.openxmlformats.org/drawingml/2006/wordprocessingDrawing" distT="0" distB="0" distL="0" distR="0">
                <wp:extent cx="1438275" cy="1438275"/>
                <wp:effectExtent l="0" t="0" r="9525" b="9525"/>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
                        <pic:cNvPicPr>
                          <a:picLocks noChangeAspect="1"/>
                        </pic:cNvPicPr>
                        <pic:nvPr/>
                      </pic:nvPicPr>
                      <pic:blipFill>
                        <a:blip r:embed="rId20"/>
                        <a:stretch/>
                      </pic:blipFill>
                      <pic:spPr bwMode="auto">
                        <a:xfrm>
                          <a:off x="0" y="0"/>
                          <a:ext cx="1438275" cy="14382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113.2pt;height:113.2pt;mso-wrap-distance-left:0.0pt;mso-wrap-distance-top:0.0pt;mso-wrap-distance-right:0.0pt;mso-wrap-distance-bottom:0.0pt;" stroked="f">
                <v:path textboxrect="0,0,0,0"/>
                <v:imagedata r:id="rId20" o:title=""/>
              </v:shape>
            </w:pict>
          </mc:Fallback>
        </mc:AlternateContent>
      </w:r>
      <w:r/>
    </w:p>
    <w:p>
      <w:pPr>
        <w:spacing w:line="360" w:lineRule="auto"/>
        <w:rPr>
          <w:rFonts w:ascii="宋体" w:hAnsi="宋体" w:eastAsia="宋体" w:cs="宋体"/>
          <w:color w:val="auto"/>
          <w:highlight w:val="none"/>
        </w:rPr>
      </w:pPr>
      <w:r>
        <w:rPr>
          <w:rFonts w:ascii="宋体" w:hAnsi="宋体" w:eastAsia="宋体" w:cs="宋体"/>
          <w:color w:val="auto"/>
          <w:highlight w:val="none"/>
        </w:rPr>
      </w:r>
      <w:r/>
    </w:p>
    <w:p>
      <w:pPr>
        <w:pStyle w:val="966"/>
        <w:spacing w:line="360" w:lineRule="auto"/>
        <w:rPr>
          <w:rFonts w:ascii="宋体" w:hAnsi="宋体" w:eastAsia="宋体" w:cs="宋体"/>
          <w:color w:val="auto"/>
          <w:sz w:val="36"/>
          <w:highlight w:val="none"/>
        </w:rPr>
      </w:pPr>
      <w:r>
        <w:rPr>
          <w:rFonts w:ascii="宋体" w:hAnsi="宋体" w:eastAsia="宋体" w:cs="宋体"/>
          <w:color w:val="auto"/>
          <w:sz w:val="36"/>
          <w:highlight w:val="none"/>
        </w:rPr>
      </w:r>
      <w:r/>
    </w:p>
    <w:p>
      <w:pPr>
        <w:ind w:firstLine="1800"/>
        <w:spacing w:line="360" w:lineRule="auto"/>
        <w:rPr>
          <w:rFonts w:hint="eastAsia" w:ascii="宋体" w:hAnsi="宋体" w:eastAsia="宋体" w:cs="宋体"/>
          <w:bCs/>
          <w:color w:val="auto"/>
          <w:sz w:val="30"/>
          <w:szCs w:val="30"/>
          <w:highlight w:val="none"/>
          <w:lang w:eastAsia="zh-CN"/>
        </w:rPr>
      </w:pPr>
      <w:r>
        <w:rPr>
          <w:rFonts w:hint="eastAsia" w:ascii="宋体" w:hAnsi="宋体" w:eastAsia="宋体" w:cs="宋体"/>
          <w:bCs/>
          <w:color w:val="auto"/>
          <w:sz w:val="30"/>
          <w:szCs w:val="30"/>
          <w:highlight w:val="none"/>
        </w:rPr>
        <w:t xml:space="preserve">项目编号：</w:t>
      </w:r>
      <w:r>
        <w:rPr>
          <w:rFonts w:hint="eastAsia" w:ascii="宋体" w:hAnsi="宋体" w:eastAsia="宋体" w:cs="宋体"/>
          <w:color w:val="auto"/>
          <w:sz w:val="30"/>
          <w:szCs w:val="30"/>
          <w:highlight w:val="none"/>
          <w:lang w:eastAsia="zh-CN"/>
        </w:rPr>
        <w:t xml:space="preserve">JSZC-320500-SZZJ-G2026-0025</w:t>
      </w:r>
      <w:r/>
    </w:p>
    <w:p>
      <w:pPr>
        <w:ind w:firstLine="1800"/>
        <w:spacing w:line="360" w:lineRule="auto"/>
        <w:tabs>
          <w:tab w:val="left" w:pos="1744" w:leader="none"/>
        </w:tabs>
        <w:rPr>
          <w:rFonts w:ascii="宋体" w:hAnsi="宋体" w:eastAsia="宋体" w:cs="宋体"/>
          <w:bCs/>
          <w:color w:val="auto"/>
          <w:sz w:val="30"/>
          <w:szCs w:val="30"/>
          <w:highlight w:val="none"/>
        </w:rPr>
      </w:pPr>
      <w:r>
        <w:rPr>
          <w:rFonts w:hint="eastAsia" w:ascii="宋体" w:hAnsi="宋体" w:eastAsia="宋体" w:cs="宋体"/>
          <w:bCs/>
          <w:color w:val="auto"/>
          <w:sz w:val="30"/>
          <w:szCs w:val="30"/>
          <w:highlight w:val="none"/>
        </w:rPr>
        <w:t xml:space="preserve">采 购 人：苏州市规划展示馆</w:t>
      </w:r>
      <w:r/>
    </w:p>
    <w:p>
      <w:pPr>
        <w:ind w:firstLine="1800"/>
        <w:spacing w:line="360" w:lineRule="auto"/>
        <w:rPr>
          <w:rFonts w:ascii="宋体" w:hAnsi="宋体" w:eastAsia="宋体" w:cs="宋体"/>
          <w:bCs/>
          <w:color w:val="auto"/>
          <w:sz w:val="30"/>
          <w:szCs w:val="30"/>
          <w:highlight w:val="none"/>
        </w:rPr>
      </w:pPr>
      <w:r>
        <w:rPr>
          <w:rFonts w:hint="eastAsia" w:ascii="宋体" w:hAnsi="宋体" w:eastAsia="宋体" w:cs="宋体"/>
          <w:bCs/>
          <w:color w:val="auto"/>
          <w:sz w:val="30"/>
          <w:szCs w:val="30"/>
          <w:highlight w:val="none"/>
        </w:rPr>
        <w:t xml:space="preserve">项目名称：苏州市规划展示馆配电房设备采购</w:t>
      </w:r>
      <w:r/>
    </w:p>
    <w:p>
      <w:pPr>
        <w:ind w:firstLine="1800"/>
        <w:jc w:val="left"/>
        <w:spacing w:line="360" w:lineRule="auto"/>
        <w:rPr>
          <w:rFonts w:ascii="宋体" w:hAnsi="宋体" w:eastAsia="宋体" w:cs="宋体"/>
          <w:bCs/>
          <w:color w:val="auto"/>
          <w:sz w:val="30"/>
          <w:szCs w:val="30"/>
          <w:highlight w:val="none"/>
        </w:rPr>
      </w:pPr>
      <w:r>
        <w:rPr>
          <w:rFonts w:hint="eastAsia" w:ascii="宋体" w:hAnsi="宋体" w:eastAsia="宋体" w:cs="宋体"/>
          <w:bCs/>
          <w:color w:val="auto"/>
          <w:sz w:val="30"/>
          <w:szCs w:val="30"/>
          <w:highlight w:val="none"/>
        </w:rPr>
        <w:t xml:space="preserve">项目类别：货物类</w:t>
      </w:r>
      <w:r/>
    </w:p>
    <w:p>
      <w:pPr>
        <w:spacing w:line="360" w:lineRule="auto"/>
        <w:rPr>
          <w:rFonts w:ascii="宋体" w:hAnsi="宋体" w:eastAsia="宋体" w:cs="宋体"/>
          <w:color w:val="auto"/>
          <w:highlight w:val="none"/>
        </w:rPr>
      </w:pPr>
      <w:r>
        <w:rPr>
          <w:rFonts w:ascii="宋体" w:hAnsi="宋体" w:eastAsia="宋体" w:cs="宋体"/>
          <w:color w:val="auto"/>
          <w:highlight w:val="none"/>
        </w:rPr>
      </w:r>
      <w:r/>
    </w:p>
    <w:p>
      <w:pPr>
        <w:pStyle w:val="1017"/>
        <w:rPr>
          <w:rFonts w:ascii="宋体" w:hAnsi="宋体" w:cs="宋体"/>
          <w:color w:val="auto"/>
          <w:highlight w:val="none"/>
        </w:rPr>
      </w:pPr>
      <w:r>
        <w:rPr>
          <w:rFonts w:ascii="宋体" w:hAnsi="宋体" w:cs="宋体"/>
          <w:color w:val="auto"/>
          <w:highlight w:val="none"/>
        </w:rPr>
      </w:r>
      <w:r/>
    </w:p>
    <w:p>
      <w:pPr>
        <w:rPr>
          <w:color w:val="auto"/>
          <w:highlight w:val="none"/>
        </w:rPr>
      </w:pPr>
      <w:r>
        <w:rPr>
          <w:color w:val="auto"/>
          <w:highlight w:val="none"/>
        </w:rPr>
      </w:r>
      <w:r/>
    </w:p>
    <w:p>
      <w:pPr>
        <w:pStyle w:val="966"/>
        <w:spacing w:line="360" w:lineRule="auto"/>
        <w:rPr>
          <w:rFonts w:ascii="宋体" w:hAnsi="宋体" w:eastAsia="宋体" w:cs="宋体"/>
          <w:color w:val="auto"/>
          <w:highlight w:val="none"/>
        </w:rPr>
      </w:pPr>
      <w:r>
        <w:rPr>
          <w:rFonts w:ascii="宋体" w:hAnsi="宋体" w:eastAsia="宋体" w:cs="宋体"/>
          <w:color w:val="auto"/>
          <w:highlight w:val="none"/>
        </w:rPr>
      </w:r>
      <w:r/>
    </w:p>
    <w:p>
      <w:pPr>
        <w:jc w:val="center"/>
        <w:spacing w:line="360" w:lineRule="auto"/>
        <w:rPr>
          <w:rFonts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苏州正杰招投标咨询服务有限公司</w:t>
      </w:r>
      <w:r/>
    </w:p>
    <w:p>
      <w:pPr>
        <w:jc w:val="center"/>
        <w:spacing w:line="360" w:lineRule="auto"/>
        <w:rPr>
          <w:rFonts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二○二六年</w:t>
      </w:r>
      <w:r>
        <w:rPr>
          <w:rFonts w:hint="eastAsia" w:ascii="宋体" w:hAnsi="宋体" w:eastAsia="宋体" w:cs="宋体"/>
          <w:color w:val="auto"/>
          <w:sz w:val="30"/>
          <w:szCs w:val="30"/>
          <w:highlight w:val="none"/>
          <w:lang w:val="en-US" w:eastAsia="zh-CN"/>
        </w:rPr>
        <w:t xml:space="preserve">八</w:t>
      </w:r>
      <w:r>
        <w:rPr>
          <w:rFonts w:hint="eastAsia" w:ascii="宋体" w:hAnsi="宋体" w:eastAsia="宋体" w:cs="宋体"/>
          <w:color w:val="auto"/>
          <w:sz w:val="30"/>
          <w:szCs w:val="30"/>
          <w:highlight w:val="none"/>
        </w:rPr>
        <w:t xml:space="preserve">月</w:t>
      </w:r>
      <w:r/>
    </w:p>
    <w:p>
      <w:pPr>
        <w:pStyle w:val="958"/>
        <w:ind w:firstLine="0"/>
        <w:jc w:val="center"/>
        <w:spacing w:line="360" w:lineRule="auto"/>
        <w:rPr>
          <w:rFonts w:ascii="宋体" w:hAnsi="宋体" w:eastAsia="宋体" w:cs="宋体"/>
          <w:color w:val="auto"/>
          <w:sz w:val="30"/>
          <w:szCs w:val="30"/>
          <w:highlight w:val="none"/>
        </w:rPr>
        <w:sectPr>
          <w:headerReference w:type="default" r:id="rId9"/>
          <w:headerReference w:type="even" r:id="rId10"/>
          <w:headerReference w:type="first" r:id="rId11"/>
          <w:footerReference w:type="default" r:id="rId12"/>
          <w:footerReference w:type="even" r:id="rId13"/>
          <w:footerReference w:type="first" r:id="rId14"/>
          <w:footnotePr/>
          <w:endnotePr/>
          <w:type w:val="nextPage"/>
          <w:pgSz w:w="11906" w:h="16838" w:orient="portrait"/>
          <w:pgMar w:top="1134" w:right="1134" w:bottom="1134" w:left="1134" w:header="851" w:footer="992" w:gutter="0"/>
          <w:pgNumType w:start="0"/>
          <w:cols w:num="1" w:sep="0" w:space="720" w:equalWidth="1"/>
          <w:docGrid w:linePitch="360"/>
          <w:titlePg/>
        </w:sectPr>
      </w:pPr>
      <w:r>
        <w:rPr>
          <w:rFonts w:ascii="宋体" w:hAnsi="宋体" w:eastAsia="宋体" w:cs="宋体"/>
          <w:color w:val="auto"/>
          <w:sz w:val="30"/>
          <w:szCs w:val="30"/>
          <w:highlight w:val="none"/>
        </w:rPr>
      </w:r>
      <w:r/>
    </w:p>
    <w:p>
      <w:pPr>
        <w:pStyle w:val="958"/>
        <w:ind w:firstLine="0"/>
        <w:jc w:val="center"/>
        <w:spacing w:line="360" w:lineRule="auto"/>
        <w:rPr>
          <w:rFonts w:ascii="宋体" w:hAnsi="宋体" w:eastAsia="宋体" w:cs="宋体"/>
          <w:color w:val="auto"/>
          <w:sz w:val="52"/>
          <w:highlight w:val="none"/>
        </w:rPr>
      </w:pPr>
      <w:r>
        <w:rPr>
          <w:rFonts w:ascii="宋体" w:hAnsi="宋体" w:eastAsia="宋体" w:cs="宋体"/>
          <w:color w:val="auto"/>
          <w:sz w:val="52"/>
          <w:highlight w:val="none"/>
        </w:rPr>
      </w:r>
      <w:r/>
    </w:p>
    <w:p>
      <w:pPr>
        <w:pStyle w:val="958"/>
        <w:ind w:firstLine="0"/>
        <w:jc w:val="center"/>
        <w:spacing w:line="360" w:lineRule="auto"/>
        <w:rPr>
          <w:rFonts w:ascii="宋体" w:hAnsi="宋体" w:eastAsia="宋体" w:cs="宋体"/>
          <w:color w:val="auto"/>
          <w:sz w:val="52"/>
          <w:highlight w:val="none"/>
        </w:rPr>
      </w:pPr>
      <w:r>
        <w:rPr>
          <w:rFonts w:hint="eastAsia" w:ascii="宋体" w:hAnsi="宋体" w:eastAsia="宋体" w:cs="宋体"/>
          <w:color w:val="auto"/>
          <w:sz w:val="52"/>
          <w:highlight w:val="none"/>
        </w:rPr>
        <w:t xml:space="preserve">目录</w:t>
      </w:r>
      <w:r/>
    </w:p>
    <w:p>
      <w:pPr>
        <w:pStyle w:val="958"/>
        <w:ind w:firstLine="0"/>
        <w:jc w:val="center"/>
        <w:spacing w:line="360" w:lineRule="auto"/>
        <w:rPr>
          <w:rFonts w:ascii="宋体" w:hAnsi="宋体" w:eastAsia="宋体" w:cs="宋体"/>
          <w:color w:val="auto"/>
          <w:sz w:val="30"/>
          <w:highlight w:val="none"/>
        </w:rPr>
      </w:pPr>
      <w:r>
        <w:rPr>
          <w:rFonts w:ascii="宋体" w:hAnsi="宋体" w:eastAsia="宋体" w:cs="宋体"/>
          <w:color w:val="auto"/>
          <w:sz w:val="30"/>
          <w:highlight w:val="none"/>
        </w:rPr>
      </w:r>
      <w:r/>
    </w:p>
    <w:p>
      <w:pPr>
        <w:pStyle w:val="958"/>
        <w:ind w:firstLine="0"/>
        <w:jc w:val="center"/>
        <w:spacing w:line="360" w:lineRule="auto"/>
        <w:rPr>
          <w:rFonts w:ascii="宋体" w:hAnsi="宋体" w:eastAsia="宋体" w:cs="宋体"/>
          <w:color w:val="auto"/>
          <w:sz w:val="30"/>
          <w:szCs w:val="30"/>
          <w:highlight w:val="none"/>
        </w:rPr>
      </w:pPr>
      <w:r>
        <w:rPr>
          <w:rFonts w:ascii="宋体" w:hAnsi="宋体" w:eastAsia="宋体" w:cs="宋体"/>
          <w:color w:val="auto"/>
          <w:sz w:val="30"/>
          <w:szCs w:val="30"/>
          <w:highlight w:val="none"/>
        </w:rPr>
      </w:r>
      <w:r/>
    </w:p>
    <w:p>
      <w:pPr>
        <w:spacing w:line="360" w:lineRule="auto"/>
        <w:widowControl/>
        <w:rPr>
          <w:rFonts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第一章 投标邀请函........................................</w:t>
      </w:r>
      <w:r/>
    </w:p>
    <w:p>
      <w:pPr>
        <w:spacing w:line="360" w:lineRule="auto"/>
        <w:widowControl/>
        <w:rPr>
          <w:rFonts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第二章 投标人须知........................................</w:t>
      </w:r>
      <w:r/>
    </w:p>
    <w:p>
      <w:pPr>
        <w:spacing w:line="360" w:lineRule="auto"/>
        <w:widowControl/>
        <w:rPr>
          <w:rFonts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第三章 投标文件格式......................................</w:t>
      </w:r>
      <w:r/>
    </w:p>
    <w:p>
      <w:pPr>
        <w:spacing w:line="360" w:lineRule="auto"/>
        <w:widowControl/>
        <w:rPr>
          <w:rFonts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第四章 采购需求..........................................</w:t>
      </w:r>
      <w:r/>
    </w:p>
    <w:p>
      <w:pPr>
        <w:spacing w:line="360" w:lineRule="auto"/>
        <w:widowControl/>
        <w:rPr>
          <w:rFonts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第五章 合同主要条款......................................</w:t>
      </w:r>
      <w:r/>
    </w:p>
    <w:p>
      <w:pPr>
        <w:spacing w:line="360" w:lineRule="auto"/>
        <w:widowControl/>
        <w:rPr>
          <w:rFonts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第六章 评分方法和评分标准................................</w:t>
      </w:r>
      <w:r/>
    </w:p>
    <w:p>
      <w:pPr>
        <w:pStyle w:val="958"/>
        <w:ind w:firstLine="0"/>
        <w:jc w:val="center"/>
        <w:spacing w:line="360" w:lineRule="auto"/>
        <w:rPr>
          <w:rFonts w:ascii="宋体" w:hAnsi="宋体" w:eastAsia="宋体" w:cs="宋体"/>
          <w:color w:val="auto"/>
          <w:sz w:val="30"/>
          <w:szCs w:val="30"/>
          <w:highlight w:val="none"/>
        </w:rPr>
      </w:pPr>
      <w:r>
        <w:rPr>
          <w:rFonts w:ascii="宋体" w:hAnsi="宋体" w:eastAsia="宋体" w:cs="宋体"/>
          <w:color w:val="auto"/>
          <w:sz w:val="30"/>
          <w:szCs w:val="30"/>
          <w:highlight w:val="none"/>
        </w:rPr>
      </w:r>
      <w:r/>
    </w:p>
    <w:p>
      <w:pPr>
        <w:jc w:val="center"/>
        <w:spacing w:line="360" w:lineRule="auto"/>
        <w:widowControl/>
        <w:rPr>
          <w:rFonts w:ascii="宋体" w:hAnsi="宋体" w:eastAsia="宋体" w:cs="宋体"/>
          <w:color w:val="auto"/>
          <w:sz w:val="30"/>
          <w:szCs w:val="30"/>
          <w:highlight w:val="none"/>
        </w:rPr>
        <w:sectPr>
          <w:footerReference w:type="default" r:id="rId15"/>
          <w:footerReference w:type="first" r:id="rId16"/>
          <w:footnotePr/>
          <w:endnotePr/>
          <w:type w:val="nextPage"/>
          <w:pgSz w:w="11906" w:h="16838" w:orient="portrait"/>
          <w:pgMar w:top="1134" w:right="1134" w:bottom="1134" w:left="1134" w:header="851" w:footer="992" w:gutter="0"/>
          <w:pgNumType w:start="1"/>
          <w:cols w:num="1" w:sep="0" w:space="720" w:equalWidth="1"/>
          <w:docGrid w:linePitch="360"/>
        </w:sectPr>
      </w:pPr>
      <w:r>
        <w:rPr>
          <w:rFonts w:ascii="宋体" w:hAnsi="宋体" w:eastAsia="宋体" w:cs="宋体"/>
          <w:color w:val="auto"/>
          <w:sz w:val="30"/>
          <w:szCs w:val="30"/>
          <w:highlight w:val="none"/>
        </w:rPr>
      </w:r>
      <w:r/>
    </w:p>
    <w:p>
      <w:pPr>
        <w:jc w:val="center"/>
        <w:spacing w:line="360" w:lineRule="auto"/>
        <w:widowControl/>
        <w:rPr>
          <w:rFonts w:ascii="宋体" w:hAnsi="宋体" w:eastAsia="宋体" w:cs="宋体"/>
          <w:color w:val="auto"/>
          <w:sz w:val="32"/>
          <w:highlight w:val="none"/>
        </w:rPr>
      </w:pPr>
      <w:r>
        <w:rPr>
          <w:rFonts w:hint="eastAsia" w:ascii="宋体" w:hAnsi="宋体" w:eastAsia="宋体" w:cs="宋体"/>
          <w:color w:val="auto"/>
          <w:sz w:val="24"/>
          <w:szCs w:val="24"/>
          <w:highlight w:val="none"/>
        </w:rPr>
        <w:t xml:space="preserve">第一章 投标邀请函</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苏州正杰招投标咨询服务有限公司受苏州市规划展示馆的委托，就其所需的</w:t>
      </w:r>
      <w:r>
        <w:rPr>
          <w:rFonts w:hint="eastAsia" w:ascii="宋体" w:hAnsi="宋体" w:eastAsia="宋体" w:cs="宋体"/>
          <w:color w:val="auto"/>
          <w:sz w:val="24"/>
          <w:szCs w:val="24"/>
          <w:highlight w:val="none"/>
        </w:rPr>
        <w:t xml:space="preserve">苏州市规划展示馆配电房设备采购项目</w:t>
      </w:r>
      <w:r>
        <w:rPr>
          <w:rFonts w:hint="eastAsia" w:ascii="宋体" w:hAnsi="宋体" w:eastAsia="宋体" w:cs="宋体"/>
          <w:color w:val="auto"/>
          <w:sz w:val="24"/>
          <w:szCs w:val="24"/>
          <w:highlight w:val="none"/>
        </w:rPr>
        <w:t xml:space="preserve">进行公开招标，欢迎符合资格条件和具备履约能力的供应商单位前来参与。</w:t>
      </w:r>
      <w:r/>
    </w:p>
    <w:p>
      <w:pPr>
        <w:ind w:firstLine="480"/>
        <w:spacing w:line="360" w:lineRule="auto"/>
        <w:rPr>
          <w:rFonts w:ascii="宋体" w:hAnsi="宋体" w:eastAsia="宋体" w:cs="宋体"/>
          <w:bCs/>
          <w:color w:val="auto"/>
          <w:sz w:val="24"/>
          <w:szCs w:val="24"/>
          <w:highlight w:val="none"/>
        </w:rPr>
        <w:outlineLvl w:val="1"/>
      </w:pPr>
      <w:r>
        <w:rPr>
          <w:rFonts w:hint="eastAsia" w:ascii="宋体" w:hAnsi="宋体" w:eastAsia="宋体" w:cs="宋体"/>
          <w:bCs/>
          <w:color w:val="auto"/>
          <w:sz w:val="24"/>
          <w:szCs w:val="24"/>
          <w:highlight w:val="none"/>
        </w:rPr>
        <w:t xml:space="preserve">一、项目基本情况：</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项目编号：</w:t>
      </w:r>
      <w:r>
        <w:rPr>
          <w:rFonts w:hint="eastAsia" w:ascii="宋体" w:hAnsi="宋体" w:eastAsia="宋体" w:cs="宋体"/>
          <w:color w:val="auto"/>
          <w:sz w:val="24"/>
          <w:szCs w:val="24"/>
          <w:highlight w:val="none"/>
          <w:lang w:eastAsia="zh-CN"/>
        </w:rPr>
        <w:t xml:space="preserve">JSZC-320500-SZZJ-G2026-0025</w:t>
      </w:r>
      <w:r>
        <w:rPr>
          <w:rFonts w:hint="eastAsia" w:ascii="宋体" w:hAnsi="宋体" w:eastAsia="宋体" w:cs="宋体"/>
          <w:color w:val="auto"/>
          <w:sz w:val="24"/>
          <w:szCs w:val="24"/>
          <w:highlight w:val="none"/>
        </w:rPr>
        <w:t xml:space="preserve">。</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项目名称：苏州市规划展示馆配电房设备采购。</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预算金额：人民币2170000.00元。</w:t>
      </w:r>
      <w:r/>
    </w:p>
    <w:p>
      <w:pPr>
        <w:ind w:firstLine="482"/>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最高限价：人民币2170000.00元。</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采购需求：</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1、标的的名称：苏州市规划展示馆配电房设备采购。</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2、数量：1项。</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3、简要技术需求或服务要求等：苏州市规划展示</w:t>
      </w:r>
      <w:r>
        <w:rPr>
          <w:rFonts w:hint="eastAsia" w:ascii="宋体" w:hAnsi="宋体" w:eastAsia="宋体" w:cs="宋体"/>
          <w:color w:val="auto"/>
          <w:szCs w:val="24"/>
          <w:highlight w:val="none"/>
        </w:rPr>
        <w:t xml:space="preserve">馆高、低压配电柜、变压器等设备采购及安装。</w:t>
      </w:r>
      <w:r>
        <w:rPr>
          <w:rFonts w:hint="eastAsia" w:ascii="宋体" w:hAnsi="宋体" w:eastAsia="宋体" w:cs="宋体"/>
          <w:color w:val="auto"/>
          <w:sz w:val="24"/>
          <w:szCs w:val="24"/>
          <w:highlight w:val="none"/>
        </w:rPr>
        <w:t xml:space="preserve">具体详见招标文件采购需求。</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4、合同履行期限：接到采购人书面通知之日起40天内供货并完成安装调试。</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本项目不接受联合体投标、不接受进口产品、不允许分包转包。</w:t>
      </w:r>
      <w:r/>
    </w:p>
    <w:p>
      <w:pPr>
        <w:ind w:firstLine="480"/>
        <w:spacing w:line="360" w:lineRule="auto"/>
        <w:rPr>
          <w:rFonts w:ascii="宋体" w:hAnsi="宋体" w:eastAsia="宋体" w:cs="宋体"/>
          <w:bCs/>
          <w:color w:val="auto"/>
          <w:sz w:val="24"/>
          <w:szCs w:val="24"/>
          <w:highlight w:val="none"/>
        </w:rPr>
        <w:outlineLvl w:val="1"/>
      </w:pPr>
      <w:r>
        <w:rPr>
          <w:rFonts w:hint="eastAsia" w:ascii="宋体" w:hAnsi="宋体" w:eastAsia="宋体" w:cs="宋体"/>
          <w:bCs/>
          <w:color w:val="auto"/>
          <w:sz w:val="24"/>
          <w:szCs w:val="24"/>
          <w:highlight w:val="none"/>
        </w:rPr>
        <w:t xml:space="preserve">二、申请人的资格要求：</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1、满足《中华人民共和国政府采购法》第二十二条规定：</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1.1具有独立承担民事责任的能力。</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1.2具有良好的商业信誉和健全的财务会计制度。</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1.3具有履行合同所必需的设备和专业技术能力。</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1.4有依法缴纳税收和社会保障资金的良好记录。</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1.5参加政府采购活动前三年内，在经营活动中没有重大违法记录。</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1.6法律、行政法规规定的其他条件。</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2、落实政府采购政策需满足的资格要求：</w:t>
      </w:r>
      <w:r>
        <w:rPr>
          <w:rFonts w:hint="eastAsia" w:ascii="宋体" w:hAnsi="宋体" w:eastAsia="宋体" w:cs="宋体"/>
          <w:bCs/>
          <w:color w:val="auto"/>
          <w:sz w:val="24"/>
          <w:szCs w:val="24"/>
          <w:highlight w:val="none"/>
        </w:rPr>
        <w:t xml:space="preserve">根据《政府采购促进中小企业发展管理办法》的相关规定，本项目专门面向中小企业，所属行业为工业，供应商所提供货物的制造商应为中小微企业、监狱企业、残疾人福利性单位。</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3、本项目的特定资格要求：</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3.1</w:t>
      </w:r>
      <w:r>
        <w:rPr>
          <w:rFonts w:hint="eastAsia" w:ascii="宋体" w:hAnsi="宋体" w:eastAsia="宋体" w:cs="宋体"/>
          <w:bCs/>
          <w:color w:val="auto"/>
          <w:sz w:val="24"/>
          <w:szCs w:val="24"/>
          <w:highlight w:val="none"/>
        </w:rPr>
        <w:t xml:space="preserve">具有有效期内的电力工程施工总承包资质或输变电工程专业承包资质。</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3.2具有有效期内的承装（修、试）电力设施许可证。</w:t>
      </w:r>
      <w:r/>
    </w:p>
    <w:p>
      <w:pPr>
        <w:ind w:firstLine="480"/>
        <w:spacing w:line="360" w:lineRule="auto"/>
        <w:rPr>
          <w:rFonts w:ascii="宋体" w:hAnsi="宋体" w:eastAsia="宋体" w:cs="宋体"/>
          <w:bCs/>
          <w:color w:val="auto"/>
          <w:sz w:val="24"/>
          <w:szCs w:val="24"/>
          <w:highlight w:val="none"/>
        </w:rPr>
        <w:outlineLvl w:val="1"/>
      </w:pPr>
      <w:r>
        <w:rPr>
          <w:rFonts w:hint="eastAsia" w:ascii="宋体" w:hAnsi="宋体" w:eastAsia="宋体" w:cs="宋体"/>
          <w:bCs/>
          <w:color w:val="auto"/>
          <w:sz w:val="24"/>
          <w:szCs w:val="24"/>
          <w:highlight w:val="none"/>
        </w:rPr>
        <w:t xml:space="preserve">三、获取招标文件：</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时间：自招标文件公告发布之日起5个工作日。</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地点：“苏采云”系统自行下载招标文件。</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方式（网上报名）：</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（1）CA证书办理：</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高新区邓尉路105号狮山科技馆1楼服务大厅，咨询电话：0512-65737699。</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（2）参与采购活动：</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插入CA证书登录“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pStyle w:val="958"/>
        <w:ind w:firstLine="48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（3）电子投标准备：</w:t>
      </w:r>
      <w:r/>
    </w:p>
    <w:p>
      <w:pPr>
        <w:pStyle w:val="958"/>
        <w:ind w:firstLine="48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供应商在“苏采云”系统中操作成功参与项目后，必须在“已参与项目”界面中下载电子招标文件（后缀名为“.kedt”）并导入政府采购客户端工具后方可进行投标文件制作和提交（具体详见《苏采云系统供应商操作手册》，网址链接https://czju.suzhou.gov.cn/zfcg/html/content/20231220161910031.shtml）。</w:t>
      </w:r>
      <w:r/>
    </w:p>
    <w:p>
      <w:pPr>
        <w:pStyle w:val="958"/>
        <w:ind w:firstLine="48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在系统操作过程中如有疑问，请按以下方式联系：</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注册咨询：13914088964；</w:t>
      </w:r>
      <w:r/>
    </w:p>
    <w:p>
      <w:pPr>
        <w:pStyle w:val="958"/>
        <w:ind w:firstLine="48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CA技术咨询服务电话：400-608-6099；</w:t>
      </w:r>
      <w:r/>
    </w:p>
    <w:p>
      <w:pPr>
        <w:pStyle w:val="958"/>
        <w:ind w:firstLine="48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电子签章技术咨询服务电话025-83633811、025-83633812、15380932027、15371015030；</w:t>
      </w:r>
      <w:r/>
    </w:p>
    <w:p>
      <w:pPr>
        <w:pStyle w:val="958"/>
        <w:ind w:firstLine="48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苏州市及区县“苏采云”系统使用指导与咨询：联系电话：13914088964、0512-69820854；智能客服：登录苏采云系统后，联系系统右下方智能客服图标进行咨询。</w:t>
      </w:r>
      <w:r/>
    </w:p>
    <w:p>
      <w:pPr>
        <w:pStyle w:val="958"/>
        <w:ind w:firstLine="48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售价：本项目免费下载电子采购文件。</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四、提交投标文件截止时间、开标时间和地点： </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1、时间：2026年</w:t>
      </w: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lang w:val="en-US" w:eastAsia="zh-CN"/>
        </w:rPr>
        <w:t xml:space="preserve">15</w:t>
      </w:r>
      <w:r>
        <w:rPr>
          <w:rFonts w:hint="eastAsia" w:ascii="宋体" w:hAnsi="宋体" w:eastAsia="宋体" w:cs="宋体"/>
          <w:color w:val="auto"/>
          <w:sz w:val="24"/>
          <w:szCs w:val="24"/>
          <w:highlight w:val="none"/>
        </w:rPr>
        <w:t xml:space="preserve">日13点30分（北京时间）</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2、地点：“苏采云”系统（网址：</w:t>
      </w:r>
      <w:r>
        <w:rPr>
          <w:color w:val="auto"/>
          <w:highlight w:val="none"/>
        </w:rPr>
        <w:fldChar w:fldCharType="begin"/>
      </w:r>
      <w:r>
        <w:rPr>
          <w:color w:val="auto"/>
          <w:highlight w:val="none"/>
        </w:rPr>
        <w:instrText xml:space="preserve"> HYPERLINK "http://jszfcg.jsczt.cn/）" </w:instrText>
      </w:r>
      <w:r>
        <w:rPr>
          <w:color w:val="auto"/>
          <w:highlight w:val="none"/>
        </w:rPr>
        <w:fldChar w:fldCharType="separate"/>
      </w:r>
      <w:r>
        <w:rPr>
          <w:rStyle w:val="1008"/>
          <w:rFonts w:hint="eastAsia" w:ascii="宋体" w:hAnsi="宋体" w:eastAsia="宋体" w:cs="宋体"/>
          <w:color w:val="auto"/>
          <w:sz w:val="24"/>
          <w:szCs w:val="24"/>
          <w:highlight w:val="none"/>
        </w:rPr>
        <w:t xml:space="preserve">http://jszfcg.jsczt.cn/）。</w:t>
      </w:r>
      <w:r>
        <w:rPr>
          <w:rStyle w:val="1008"/>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 xml:space="preserve"> </w:t>
      </w:r>
      <w:r/>
    </w:p>
    <w:p>
      <w:pPr>
        <w:ind w:firstLine="480"/>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rPr>
        <w:t xml:space="preserve">、方式：投标文件网上递交</w:t>
      </w:r>
      <w:bookmarkStart w:id="0" w:name="_Hlk90650305"/>
      <w:r/>
      <w:bookmarkEnd w:id="0"/>
      <w:r/>
      <w:bookmarkStart w:id="1" w:name="_Hlk90650417"/>
      <w:r>
        <w:rPr>
          <w:rFonts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rPr>
        <w:t xml:space="preserve">，不需要现场参加采购活动。</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线上参加开标（开启）会方式：供应商登录</w:t>
      </w:r>
      <w:r>
        <w:rPr>
          <w:rFonts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rPr>
        <w:t xml:space="preserve">苏采云</w:t>
      </w:r>
      <w:r>
        <w:rPr>
          <w:rFonts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rPr>
        <w:t xml:space="preserve">系统，点击</w:t>
      </w:r>
      <w:r>
        <w:rPr>
          <w:rFonts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rPr>
        <w:t xml:space="preserve">开标大厅</w:t>
      </w:r>
      <w:r>
        <w:rPr>
          <w:rFonts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rPr>
        <w:t xml:space="preserve">，选择对应项目，点击进入不见面开标系统。</w:t>
      </w:r>
      <w:r>
        <w:rPr>
          <w:rFonts w:ascii="宋体" w:hAnsi="宋体" w:eastAsia="宋体" w:cs="宋体"/>
          <w:color w:val="auto"/>
          <w:sz w:val="24"/>
          <w:szCs w:val="24"/>
          <w:highlight w:val="none"/>
        </w:rPr>
        <w:t xml:space="preserve"> </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本项目为不见面开标（开启）项目，</w:t>
      </w:r>
      <w:r>
        <w:rPr>
          <w:rFonts w:hint="eastAsia" w:ascii="宋体" w:hAnsi="宋体" w:eastAsia="宋体" w:cs="宋体"/>
          <w:bCs/>
          <w:color w:val="auto"/>
          <w:sz w:val="24"/>
          <w:szCs w:val="24"/>
          <w:highlight w:val="none"/>
        </w:rPr>
        <w:t xml:space="preserve">开启阶段供应商在【解密环节】必须使用</w:t>
      </w:r>
      <w:r>
        <w:rPr>
          <w:rFonts w:ascii="宋体" w:hAnsi="宋体" w:eastAsia="宋体" w:cs="宋体"/>
          <w:bCs/>
          <w:color w:val="auto"/>
          <w:sz w:val="24"/>
          <w:szCs w:val="24"/>
          <w:highlight w:val="none"/>
        </w:rPr>
        <w:t xml:space="preserve"> CA</w:t>
      </w:r>
      <w:r>
        <w:rPr>
          <w:rFonts w:hint="eastAsia" w:ascii="宋体" w:hAnsi="宋体" w:eastAsia="宋体" w:cs="宋体"/>
          <w:bCs/>
          <w:color w:val="auto"/>
          <w:sz w:val="24"/>
          <w:szCs w:val="24"/>
          <w:highlight w:val="none"/>
        </w:rPr>
        <w:t xml:space="preserve">证书解密电子投标（响应）文件，如在</w:t>
      </w:r>
      <w:r>
        <w:rPr>
          <w:rFonts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rPr>
        <w:t xml:space="preserve">苏采云</w:t>
      </w:r>
      <w:r>
        <w:rPr>
          <w:rFonts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rPr>
        <w:t xml:space="preserve">系统规定的时间内未能成功解密的视为放弃参与本项目，投标无效。</w:t>
      </w:r>
      <w:r>
        <w:rPr>
          <w:rFonts w:ascii="宋体" w:hAnsi="宋体" w:eastAsia="宋体" w:cs="宋体"/>
          <w:bCs/>
          <w:color w:val="auto"/>
          <w:sz w:val="24"/>
          <w:szCs w:val="24"/>
          <w:highlight w:val="none"/>
        </w:rPr>
        <w:t xml:space="preserve"> </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请供应商确保电脑、系统及其他设备（视频输入输出设备等）无误，且开启直至项目结束始终保持系统在线状态。</w:t>
      </w:r>
      <w:r>
        <w:rPr>
          <w:rFonts w:ascii="宋体" w:hAnsi="宋体" w:eastAsia="宋体" w:cs="宋体"/>
          <w:color w:val="auto"/>
          <w:sz w:val="24"/>
          <w:szCs w:val="24"/>
          <w:highlight w:val="none"/>
        </w:rPr>
        <w:t xml:space="preserve"> </w:t>
      </w:r>
      <w:bookmarkEnd w:id="1"/>
      <w:r/>
      <w:r/>
    </w:p>
    <w:p>
      <w:pPr>
        <w:ind w:firstLine="480"/>
        <w:spacing w:line="360" w:lineRule="auto"/>
        <w:rPr>
          <w:rFonts w:ascii="宋体" w:hAnsi="宋体" w:eastAsia="宋体" w:cs="宋体"/>
          <w:bCs/>
          <w:color w:val="auto"/>
          <w:sz w:val="24"/>
          <w:szCs w:val="24"/>
          <w:highlight w:val="none"/>
        </w:rPr>
        <w:outlineLvl w:val="1"/>
      </w:pPr>
      <w:r>
        <w:rPr>
          <w:rFonts w:hint="eastAsia" w:ascii="宋体" w:hAnsi="宋体" w:eastAsia="宋体" w:cs="宋体"/>
          <w:bCs/>
          <w:color w:val="auto"/>
          <w:sz w:val="24"/>
          <w:szCs w:val="24"/>
          <w:highlight w:val="none"/>
        </w:rPr>
        <w:t xml:space="preserve">五、公告期限：</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自本公告发布之日起5个工作日。</w:t>
      </w:r>
      <w:r/>
    </w:p>
    <w:p>
      <w:pPr>
        <w:ind w:firstLine="480"/>
        <w:spacing w:line="360" w:lineRule="auto"/>
        <w:rPr>
          <w:rFonts w:ascii="宋体" w:hAnsi="宋体" w:eastAsia="宋体" w:cs="宋体"/>
          <w:bCs/>
          <w:color w:val="auto"/>
          <w:sz w:val="24"/>
          <w:szCs w:val="24"/>
          <w:highlight w:val="none"/>
        </w:rPr>
        <w:outlineLvl w:val="1"/>
      </w:pPr>
      <w:r>
        <w:rPr>
          <w:rFonts w:hint="eastAsia" w:ascii="宋体" w:hAnsi="宋体" w:eastAsia="宋体" w:cs="宋体"/>
          <w:bCs/>
          <w:color w:val="auto"/>
          <w:sz w:val="24"/>
          <w:szCs w:val="24"/>
          <w:highlight w:val="none"/>
        </w:rPr>
        <w:t xml:space="preserve">六、其他补充事宜：</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1、采购项目需要落实的政府采购政策：</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政府采购促进中小企业发展管理办法》（财库〔2020〕46号）、《关于做好政府采购支持企业发展有关事项的通知》（苏财购〔2020〕52号）及《关于印发&lt;苏州市政府采购促进中小企业发展实施意见&gt;的通知》（苏财购〔2022〕16号）的规定。</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《关于政府采购支持监狱企业发展有关问题的通知》（财库〔2014〕68号）。</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《关于促进残疾人就业政府采购政策的通知》（财库〔2017〕141号）。</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开评标过程中如有问题采购代理机构工作人员会及时通过报名时在投标确认函模块留存的手机号与供应商联系。此号码在开标截止之前可修改，以投标文件中投标函保存的最新号码为准，请供应商确保该手机号开评标当日通讯畅通，否则导致的对供应商不利的后果由供应商自行承担。</w:t>
      </w:r>
      <w:r/>
    </w:p>
    <w:p>
      <w:pPr>
        <w:ind w:firstLine="480"/>
        <w:spacing w:line="360" w:lineRule="auto"/>
        <w:rPr>
          <w:rFonts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 xml:space="preserve">3、如不同供应商使用同一台电脑制作的电子响应文件的，双方“文件制作机器码”一致的，则其投标文件将被认定为无效响应。</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4、本项目获取招标文件截止日期之后仍可以下载招标文件，但截止日期之后下载的招标文件，视为非有效方式且不作为供应商权益受到损害的证明材料和依据。</w:t>
      </w:r>
      <w:r/>
    </w:p>
    <w:p>
      <w:pPr>
        <w:ind w:firstLine="480"/>
        <w:spacing w:line="360" w:lineRule="auto"/>
        <w:rPr>
          <w:rFonts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rPr>
        <w:t xml:space="preserve">5、政府采购监督电话：0512-68616651。</w:t>
      </w:r>
      <w:r/>
    </w:p>
    <w:p>
      <w:pPr>
        <w:ind w:firstLine="480"/>
        <w:spacing w:line="360" w:lineRule="auto"/>
        <w:rPr>
          <w:rFonts w:ascii="宋体" w:hAnsi="宋体" w:eastAsia="宋体" w:cs="宋体"/>
          <w:bCs/>
          <w:color w:val="auto"/>
          <w:sz w:val="24"/>
          <w:szCs w:val="24"/>
          <w:highlight w:val="none"/>
        </w:rPr>
        <w:outlineLvl w:val="1"/>
      </w:pPr>
      <w:r>
        <w:rPr>
          <w:rFonts w:hint="eastAsia" w:ascii="宋体" w:hAnsi="宋体" w:eastAsia="宋体" w:cs="宋体"/>
          <w:bCs/>
          <w:color w:val="auto"/>
          <w:sz w:val="24"/>
          <w:szCs w:val="24"/>
          <w:highlight w:val="none"/>
        </w:rPr>
        <w:t xml:space="preserve">七、对本次招标提出询问，请按以下方式联系：</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1、采购人信息：</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名称：</w:t>
      </w:r>
      <w:r>
        <w:rPr>
          <w:rFonts w:hint="eastAsia" w:ascii="宋体" w:hAnsi="宋体" w:eastAsia="宋体" w:cs="宋体"/>
          <w:bCs/>
          <w:color w:val="auto"/>
          <w:sz w:val="24"/>
          <w:szCs w:val="24"/>
          <w:highlight w:val="none"/>
        </w:rPr>
        <w:t xml:space="preserve">苏州市规划展示馆</w:t>
      </w:r>
      <w:r>
        <w:rPr>
          <w:rFonts w:hint="eastAsia" w:ascii="宋体" w:hAnsi="宋体" w:eastAsia="宋体" w:cs="宋体"/>
          <w:color w:val="auto"/>
          <w:sz w:val="24"/>
          <w:szCs w:val="24"/>
          <w:highlight w:val="none"/>
        </w:rPr>
        <w:t xml:space="preserve">。</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w:t>
      </w:r>
      <w:r>
        <w:rPr>
          <w:rFonts w:hint="eastAsia" w:ascii="宋体" w:hAnsi="宋体" w:eastAsia="宋体" w:cs="宋体"/>
          <w:bCs/>
          <w:color w:val="auto"/>
          <w:sz w:val="24"/>
          <w:szCs w:val="24"/>
          <w:highlight w:val="none"/>
        </w:rPr>
        <w:t xml:space="preserve">：苏州市姑苏区阊胥路32号。</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联系方式：电话0512-68656191。</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2、采购代理机构信息：</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名称：苏州正杰招投标咨询服务有限公司。</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地址：苏州市平泷路251号苏州城市生活广场B座1557室。</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联系方式：电话0512-62826523。</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3、项目联系方式</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（1）采购人：</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项目联系人：</w:t>
      </w:r>
      <w:r>
        <w:rPr>
          <w:rFonts w:hint="eastAsia" w:ascii="宋体" w:hAnsi="宋体" w:eastAsia="宋体" w:cs="仿宋_GB2312"/>
          <w:color w:val="auto"/>
          <w:sz w:val="24"/>
          <w:szCs w:val="24"/>
          <w:highlight w:val="none"/>
        </w:rPr>
        <w:t xml:space="preserve">杨飞</w:t>
      </w:r>
      <w:r>
        <w:rPr>
          <w:rFonts w:hint="eastAsia" w:ascii="宋体" w:hAnsi="宋体" w:eastAsia="宋体" w:cs="宋体"/>
          <w:color w:val="auto"/>
          <w:sz w:val="24"/>
          <w:szCs w:val="24"/>
          <w:highlight w:val="none"/>
        </w:rPr>
        <w:t xml:space="preserve">。</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电话：0512-68656191。</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（2）采购代理机构：</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项目联系人：徐杰、沈鹰、陈晓梦、刘木兰。</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电话：0512-62826523。</w:t>
      </w:r>
      <w:r>
        <w:rPr>
          <w:rFonts w:hint="eastAsia" w:ascii="宋体" w:hAnsi="宋体" w:eastAsia="宋体" w:cs="宋体"/>
          <w:color w:val="auto"/>
          <w:sz w:val="24"/>
          <w:highlight w:val="none"/>
        </w:rPr>
        <w:br w:type="page" w:clear="all"/>
      </w:r>
      <w:r/>
    </w:p>
    <w:p>
      <w:pPr>
        <w:jc w:val="center"/>
        <w:spacing w:line="360" w:lineRule="auto"/>
        <w:widowControl/>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第二章 投标人须知</w:t>
      </w:r>
      <w:r/>
    </w:p>
    <w:p>
      <w:pPr>
        <w:ind w:firstLine="426"/>
        <w:spacing w:line="360" w:lineRule="auto"/>
        <w:tabs>
          <w:tab w:val="left" w:pos="540" w:leader="none"/>
          <w:tab w:val="left" w:pos="600" w:leader="none"/>
        </w:tabs>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1、总则</w:t>
      </w:r>
      <w:r/>
    </w:p>
    <w:p>
      <w:pPr>
        <w:ind w:firstLine="426"/>
        <w:spacing w:line="360" w:lineRule="auto"/>
        <w:tabs>
          <w:tab w:val="left" w:pos="540" w:leader="none"/>
          <w:tab w:val="left" w:pos="600" w:leader="none"/>
        </w:tabs>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1.1投标人资格要求</w:t>
      </w:r>
      <w:r/>
    </w:p>
    <w:p>
      <w:pPr>
        <w:ind w:firstLine="426"/>
        <w:spacing w:line="360" w:lineRule="auto"/>
        <w:tabs>
          <w:tab w:val="left" w:pos="540" w:leader="none"/>
          <w:tab w:val="left" w:pos="60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1.1.1详见第一章投标邀请函中“二、申请人的资格要求”。</w:t>
      </w:r>
      <w:r/>
    </w:p>
    <w:p>
      <w:pPr>
        <w:ind w:firstLine="426"/>
        <w:spacing w:line="360" w:lineRule="auto"/>
        <w:tabs>
          <w:tab w:val="left" w:pos="540" w:leader="none"/>
          <w:tab w:val="left" w:pos="60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1.1.2投标人不得存在下列情形之一：</w:t>
      </w:r>
      <w:r/>
    </w:p>
    <w:p>
      <w:pPr>
        <w:ind w:firstLine="426"/>
        <w:spacing w:line="360" w:lineRule="auto"/>
        <w:tabs>
          <w:tab w:val="left" w:pos="540" w:leader="none"/>
          <w:tab w:val="left" w:pos="60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（1）苏州市财政局《关于印发苏州市市级政府采购信用记录查询和使用工作试行办法的通知》（苏财购（2017）11号）文件规定应拒绝的失信信息。</w:t>
      </w:r>
      <w:r/>
    </w:p>
    <w:p>
      <w:pPr>
        <w:ind w:firstLine="426"/>
        <w:spacing w:line="360" w:lineRule="auto"/>
        <w:tabs>
          <w:tab w:val="left" w:pos="540" w:leader="none"/>
          <w:tab w:val="left" w:pos="60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（2）为采购项目提供整体设计、规范编制或者项目管理、监理、监测等服务的供应商，不得再参加该采购项目的其他采购活动；本项目的此类供应商是：无。</w:t>
      </w:r>
      <w:r/>
    </w:p>
    <w:p>
      <w:pPr>
        <w:ind w:firstLine="426"/>
        <w:spacing w:line="360" w:lineRule="auto"/>
        <w:tabs>
          <w:tab w:val="left" w:pos="540" w:leader="none"/>
          <w:tab w:val="left" w:pos="60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（3）单位负责人为同一人或者存在直接控股、管理关系的不同供应商，不得参加同一合同项下的政府采购活动。</w:t>
      </w:r>
      <w:r/>
    </w:p>
    <w:p>
      <w:pPr>
        <w:numPr>
          <w:ilvl w:val="2"/>
          <w:numId w:val="0"/>
        </w:numPr>
        <w:ind w:firstLine="484"/>
        <w:spacing w:line="360" w:lineRule="auto"/>
        <w:tabs>
          <w:tab w:val="left" w:pos="851" w:leader="none"/>
        </w:tabs>
        <w:rPr>
          <w:rFonts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1.1.3联合体投标：</w:t>
      </w:r>
      <w:r>
        <w:rPr>
          <w:rFonts w:hint="eastAsia" w:ascii="宋体" w:hAnsi="宋体" w:eastAsia="宋体" w:cs="宋体"/>
          <w:bCs/>
          <w:color w:val="auto"/>
          <w:sz w:val="24"/>
          <w:szCs w:val="24"/>
          <w:highlight w:val="none"/>
        </w:rPr>
        <w:t xml:space="preserve">第一章投标邀请函规定接受联合体投标的，联合体除应符合上述资格要求外，还应遵守以下规定：</w:t>
      </w:r>
      <w:r/>
    </w:p>
    <w:p>
      <w:pPr>
        <w:ind w:firstLine="484"/>
        <w:spacing w:line="360" w:lineRule="auto"/>
        <w:tabs>
          <w:tab w:val="left" w:pos="851" w:leader="none"/>
        </w:tabs>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（1）联合体各方应当向采购人提交联合体协议书，载明联合体各方承担的工作和义务，否则投标无效。</w:t>
      </w:r>
      <w:r/>
    </w:p>
    <w:p>
      <w:pPr>
        <w:ind w:firstLine="484"/>
        <w:spacing w:line="360" w:lineRule="auto"/>
        <w:tabs>
          <w:tab w:val="left" w:pos="851" w:leader="none"/>
        </w:tabs>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（2）本项目接受联合体投标，但一个联合体最多接受两个单位进行联合投标。</w:t>
      </w:r>
      <w:r/>
    </w:p>
    <w:p>
      <w:pPr>
        <w:ind w:firstLine="484"/>
        <w:spacing w:line="360" w:lineRule="auto"/>
        <w:tabs>
          <w:tab w:val="left" w:pos="851" w:leader="none"/>
        </w:tabs>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（3）联合体中有同类资质的供应商按照联合体分工承担相同工作的，应当按照资质等级较低的供应商确定资质等级。</w:t>
      </w:r>
      <w:r/>
    </w:p>
    <w:p>
      <w:pPr>
        <w:ind w:firstLine="484"/>
        <w:spacing w:line="360" w:lineRule="auto"/>
        <w:tabs>
          <w:tab w:val="left" w:pos="851" w:leader="none"/>
        </w:tabs>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（4）联合体各方不得再单独参加或者与其他供应商另外组成联合体参加同一合同项下的政府采购活动，否则各相关投标均无效。</w:t>
      </w:r>
      <w:r/>
    </w:p>
    <w:p>
      <w:pPr>
        <w:ind w:firstLine="484"/>
        <w:spacing w:line="360" w:lineRule="auto"/>
        <w:tabs>
          <w:tab w:val="left" w:pos="851" w:leader="none"/>
        </w:tabs>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（5）联合体各方应当共同与采购人签订采购合同，就采购合同约定的事项对采购人承担连带责任。</w:t>
      </w:r>
      <w:r/>
    </w:p>
    <w:p>
      <w:pPr>
        <w:ind w:left="525"/>
        <w:spacing w:line="360" w:lineRule="auto"/>
        <w:tabs>
          <w:tab w:val="left" w:pos="851" w:leader="none"/>
        </w:tabs>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1.2 分包、转包</w:t>
      </w:r>
      <w:r/>
    </w:p>
    <w:p>
      <w:pPr>
        <w:ind w:left="525"/>
        <w:spacing w:line="360" w:lineRule="auto"/>
        <w:tabs>
          <w:tab w:val="left" w:pos="851"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本项目不允许分包、转包。</w:t>
      </w:r>
      <w:r/>
    </w:p>
    <w:p>
      <w:pPr>
        <w:ind w:left="525"/>
        <w:spacing w:line="360" w:lineRule="auto"/>
        <w:tabs>
          <w:tab w:val="left" w:pos="851" w:leader="none"/>
        </w:tabs>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1.3投标费用</w:t>
      </w:r>
      <w:r/>
    </w:p>
    <w:p>
      <w:pPr>
        <w:ind w:left="525"/>
        <w:spacing w:line="360" w:lineRule="auto"/>
        <w:tabs>
          <w:tab w:val="left" w:pos="851"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（1）投标人应自行承担所有准备及参加投标的相关费用。</w:t>
      </w:r>
      <w:r/>
    </w:p>
    <w:p>
      <w:pPr>
        <w:ind w:left="525"/>
        <w:spacing w:line="360" w:lineRule="auto"/>
        <w:tabs>
          <w:tab w:val="left" w:pos="851" w:leader="none"/>
        </w:tabs>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1.4保密</w:t>
      </w:r>
      <w:r/>
    </w:p>
    <w:p>
      <w:pPr>
        <w:ind w:left="5" w:firstLine="518"/>
        <w:spacing w:line="360" w:lineRule="auto"/>
        <w:tabs>
          <w:tab w:val="left" w:pos="851"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参与采购活动的各方应对招标文件和投标文件中的商业和技术等秘密保密，否则应承担相应的法律责任。</w:t>
      </w:r>
      <w:r/>
    </w:p>
    <w:p>
      <w:pPr>
        <w:ind w:left="525"/>
        <w:spacing w:line="360" w:lineRule="auto"/>
        <w:tabs>
          <w:tab w:val="left" w:pos="851" w:leader="none"/>
        </w:tabs>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1.5语言文字</w:t>
      </w:r>
      <w:r/>
    </w:p>
    <w:p>
      <w:pPr>
        <w:ind w:left="5" w:firstLine="518"/>
        <w:spacing w:line="360" w:lineRule="auto"/>
        <w:tabs>
          <w:tab w:val="left" w:pos="851"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投标文件使用的语言文字为中文。使用外文的，应附有中文注释或译本，对不同文本投标文件的解释发生异议的，以中文文本为准。因未附注释或译本引起的对投标人不利的后果由投标人自行承担。</w:t>
      </w:r>
      <w:r/>
    </w:p>
    <w:p>
      <w:pPr>
        <w:ind w:left="525"/>
        <w:spacing w:line="360" w:lineRule="auto"/>
        <w:tabs>
          <w:tab w:val="left" w:pos="851" w:leader="none"/>
        </w:tabs>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1.6计量单位</w:t>
      </w:r>
      <w:r/>
    </w:p>
    <w:p>
      <w:pPr>
        <w:ind w:left="5" w:firstLine="518"/>
        <w:spacing w:line="360" w:lineRule="auto"/>
        <w:tabs>
          <w:tab w:val="left" w:pos="851"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除招标文件有特殊要求外，所有计量均采用中华人民共和国法定计量单位。</w:t>
      </w:r>
      <w:r/>
    </w:p>
    <w:p>
      <w:pPr>
        <w:ind w:left="525"/>
        <w:spacing w:line="360" w:lineRule="auto"/>
        <w:tabs>
          <w:tab w:val="left" w:pos="851" w:leader="none"/>
        </w:tabs>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1.7知识产权</w:t>
      </w:r>
      <w:r/>
    </w:p>
    <w:p>
      <w:pPr>
        <w:ind w:left="5" w:firstLine="518"/>
        <w:spacing w:line="360" w:lineRule="auto"/>
        <w:tabs>
          <w:tab w:val="left" w:pos="851"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ind w:firstLine="420"/>
        <w:spacing w:line="360" w:lineRule="auto"/>
        <w:tabs>
          <w:tab w:val="left" w:pos="540" w:leader="none"/>
          <w:tab w:val="left" w:pos="851" w:leader="none"/>
        </w:tabs>
        <w:rPr>
          <w:rFonts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1.8</w:t>
      </w:r>
      <w:r>
        <w:rPr>
          <w:rFonts w:hint="eastAsia" w:ascii="宋体" w:hAnsi="宋体" w:eastAsia="宋体" w:cs="宋体"/>
          <w:bCs/>
          <w:color w:val="auto"/>
          <w:sz w:val="24"/>
          <w:szCs w:val="24"/>
          <w:highlight w:val="none"/>
        </w:rPr>
        <w:t xml:space="preserve">本项目涉及采购货物，则应满足以下要求</w:t>
      </w:r>
      <w:r>
        <w:rPr>
          <w:rFonts w:ascii="宋体" w:hAnsi="宋体" w:eastAsia="宋体" w:cs="宋体"/>
          <w:bCs/>
          <w:color w:val="auto"/>
          <w:sz w:val="24"/>
          <w:szCs w:val="24"/>
          <w:highlight w:val="none"/>
        </w:rPr>
        <w:t xml:space="preserve">，否则投标无效</w:t>
      </w:r>
      <w:r>
        <w:rPr>
          <w:rFonts w:hint="eastAsia" w:ascii="宋体" w:hAnsi="宋体" w:eastAsia="宋体" w:cs="宋体"/>
          <w:bCs/>
          <w:color w:val="auto"/>
          <w:sz w:val="24"/>
          <w:szCs w:val="24"/>
          <w:highlight w:val="none"/>
        </w:rPr>
        <w:t xml:space="preserve">：</w:t>
      </w:r>
      <w:r/>
    </w:p>
    <w:p>
      <w:pPr>
        <w:ind w:firstLine="420"/>
        <w:spacing w:line="360" w:lineRule="auto"/>
        <w:tabs>
          <w:tab w:val="left" w:pos="540" w:leader="none"/>
          <w:tab w:val="left" w:pos="851"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（1）必须是全新、未使用过的原装合格正品（包括零部件），如安装或配置了软件的，须为正版软件。</w:t>
      </w:r>
      <w:r/>
    </w:p>
    <w:p>
      <w:pPr>
        <w:ind w:firstLine="420"/>
        <w:spacing w:line="360" w:lineRule="auto"/>
        <w:tabs>
          <w:tab w:val="left" w:pos="540" w:leader="none"/>
          <w:tab w:val="left" w:pos="851"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国产的货物及其有关服务必须符合中华人民共和国的设计、制造生产标准及行业标准。招标公告有其他要求的，亦应符合其要求。在本项目政府采购活动过程中，如果所执行的标准有更新的，按照最新标准执行。</w:t>
      </w:r>
      <w:r/>
    </w:p>
    <w:p>
      <w:pPr>
        <w:ind w:firstLine="420"/>
        <w:spacing w:line="360" w:lineRule="auto"/>
        <w:tabs>
          <w:tab w:val="left" w:pos="540" w:leader="none"/>
          <w:tab w:val="left" w:pos="851"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投标人、制造商应遵守法律法规、行业规范，应具备包括但不限于其所提供货物相关的行业或领域的经营备案、经营许可，生产许可、生产备案，行政许可，行业准入证书等任何形式的法定批准、准入、许可、认证、授权或资质证明等文件。</w:t>
      </w:r>
      <w:r/>
    </w:p>
    <w:p>
      <w:pPr>
        <w:ind w:firstLine="420"/>
        <w:spacing w:line="360" w:lineRule="auto"/>
        <w:tabs>
          <w:tab w:val="left" w:pos="540" w:leader="none"/>
          <w:tab w:val="left" w:pos="851"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投标人所提供的货物应符合国家强制性标准要求，符合相关行业标准，应具备包括但不限于相关行业或领域的各类认证（如：强制性产品认证（3C认证）、政府强制采购产品的节能产品认证、安全认证等）、卫生安全评价、备案等任何形式的法定批准、准入、许可、认证、授权或资质证明等文件。</w:t>
      </w:r>
      <w:r/>
    </w:p>
    <w:p>
      <w:pPr>
        <w:ind w:firstLine="420"/>
        <w:spacing w:line="360" w:lineRule="auto"/>
        <w:tabs>
          <w:tab w:val="left" w:pos="540" w:leader="none"/>
          <w:tab w:val="left" w:pos="851"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（5）投标人、制造商及其所提供的货物未能满足前述要求而导致采购人遭受任何损失的，投标人应承担全部责任。</w:t>
      </w:r>
      <w:r/>
    </w:p>
    <w:p>
      <w:pPr>
        <w:ind w:left="525"/>
        <w:spacing w:line="360" w:lineRule="auto"/>
        <w:tabs>
          <w:tab w:val="left" w:pos="851" w:leader="none"/>
        </w:tabs>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2、招标文件的说明</w:t>
      </w:r>
      <w:r/>
    </w:p>
    <w:p>
      <w:pPr>
        <w:ind w:left="525"/>
        <w:spacing w:line="360" w:lineRule="auto"/>
        <w:tabs>
          <w:tab w:val="left" w:pos="851" w:leader="none"/>
        </w:tabs>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2.1招标文件的获取见第一章投标邀请函。</w:t>
      </w:r>
      <w:r/>
    </w:p>
    <w:p>
      <w:pPr>
        <w:ind w:left="525"/>
        <w:spacing w:line="360" w:lineRule="auto"/>
        <w:tabs>
          <w:tab w:val="left" w:pos="851" w:leader="none"/>
        </w:tabs>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2.2招标文件的询问</w:t>
      </w:r>
      <w:r/>
    </w:p>
    <w:p>
      <w:pPr>
        <w:ind w:firstLine="420"/>
        <w:spacing w:line="360" w:lineRule="auto"/>
        <w:tabs>
          <w:tab w:val="left" w:pos="540" w:leader="none"/>
          <w:tab w:val="left" w:pos="851" w:leader="none"/>
        </w:tabs>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供应商在收到</w:t>
      </w:r>
      <w:r>
        <w:rPr>
          <w:rFonts w:hint="eastAsia" w:ascii="宋体" w:hAnsi="宋体" w:eastAsia="宋体" w:cs="宋体"/>
          <w:color w:val="auto"/>
          <w:sz w:val="24"/>
          <w:szCs w:val="24"/>
          <w:highlight w:val="none"/>
        </w:rPr>
        <w:t xml:space="preserve">招标</w:t>
      </w:r>
      <w:r>
        <w:rPr>
          <w:rFonts w:ascii="宋体" w:hAnsi="宋体" w:eastAsia="宋体" w:cs="宋体"/>
          <w:color w:val="auto"/>
          <w:sz w:val="24"/>
          <w:szCs w:val="24"/>
          <w:highlight w:val="none"/>
        </w:rPr>
        <w:t xml:space="preserve">文件后，若有问题需要询问，应于下载</w:t>
      </w:r>
      <w:r>
        <w:rPr>
          <w:rFonts w:hint="eastAsia" w:ascii="宋体" w:hAnsi="宋体" w:eastAsia="宋体" w:cs="宋体"/>
          <w:color w:val="auto"/>
          <w:sz w:val="24"/>
          <w:szCs w:val="24"/>
          <w:highlight w:val="none"/>
        </w:rPr>
        <w:t xml:space="preserve">招标</w:t>
      </w:r>
      <w:r>
        <w:rPr>
          <w:rFonts w:ascii="宋体" w:hAnsi="宋体" w:eastAsia="宋体" w:cs="宋体"/>
          <w:color w:val="auto"/>
          <w:sz w:val="24"/>
          <w:szCs w:val="24"/>
          <w:highlight w:val="none"/>
        </w:rPr>
        <w:t xml:space="preserve">文件后</w:t>
      </w:r>
      <w:r>
        <w:rPr>
          <w:rFonts w:hint="eastAsia" w:ascii="宋体" w:hAnsi="宋体" w:eastAsia="宋体" w:cs="宋体"/>
          <w:color w:val="auto"/>
          <w:sz w:val="24"/>
          <w:szCs w:val="24"/>
          <w:highlight w:val="none"/>
        </w:rPr>
        <w:t xml:space="preserve">，可通过投标邀请函中的联系方式</w:t>
      </w:r>
      <w:r>
        <w:rPr>
          <w:rFonts w:ascii="宋体" w:hAnsi="宋体" w:eastAsia="宋体" w:cs="宋体"/>
          <w:color w:val="auto"/>
          <w:sz w:val="24"/>
          <w:szCs w:val="24"/>
          <w:highlight w:val="none"/>
        </w:rPr>
        <w:t xml:space="preserve">及时提出，</w:t>
      </w:r>
      <w:r>
        <w:rPr>
          <w:rFonts w:hint="eastAsia" w:ascii="宋体" w:hAnsi="宋体" w:eastAsia="宋体" w:cs="宋体"/>
          <w:color w:val="auto"/>
          <w:sz w:val="24"/>
          <w:szCs w:val="24"/>
          <w:highlight w:val="none"/>
        </w:rPr>
        <w:t xml:space="preserve">采购人或</w:t>
      </w:r>
      <w:r>
        <w:rPr>
          <w:rFonts w:ascii="宋体" w:hAnsi="宋体" w:eastAsia="宋体" w:cs="宋体"/>
          <w:color w:val="auto"/>
          <w:sz w:val="24"/>
          <w:szCs w:val="24"/>
          <w:highlight w:val="none"/>
        </w:rPr>
        <w:t xml:space="preserve">采购代理机构将予以解答。</w:t>
      </w:r>
      <w:r/>
    </w:p>
    <w:p>
      <w:pPr>
        <w:ind w:left="525"/>
        <w:spacing w:line="360" w:lineRule="auto"/>
        <w:tabs>
          <w:tab w:val="left" w:pos="851" w:leader="none"/>
        </w:tabs>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2.3招标文件的澄清或修改</w:t>
      </w:r>
      <w:r/>
    </w:p>
    <w:p>
      <w:pPr>
        <w:ind w:left="5" w:firstLine="518"/>
        <w:spacing w:line="360" w:lineRule="auto"/>
        <w:tabs>
          <w:tab w:val="left" w:pos="851"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2.3.1采购人或采购代理机构无论出于自己的考虑，还是出于对投标人提问的澄清，均可对已发出的招标文件用补充通知（包括更正公告）的方式进行澄清或者修改，并通过苏州市政府采购网对外进行发布，但不得改变采购标的和资格条件。澄清或者修改的内容作为招标文件的组成部分，对所有投标人具有约束力。</w:t>
      </w:r>
      <w:r/>
    </w:p>
    <w:p>
      <w:pPr>
        <w:ind w:left="5" w:firstLine="518"/>
        <w:spacing w:line="360" w:lineRule="auto"/>
        <w:tabs>
          <w:tab w:val="left" w:pos="851"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2.3.2为保证投标人有足够时间修正投标文件，或出于其他合理原因，采购人或采购代理机构可依法顺延投标截止时间和开标时间。</w:t>
      </w:r>
      <w:r/>
    </w:p>
    <w:p>
      <w:pPr>
        <w:ind w:firstLine="484"/>
        <w:spacing w:line="360" w:lineRule="auto"/>
        <w:tabs>
          <w:tab w:val="left" w:pos="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2.3.3供应商应及时关注“苏州市政府采购网”发布的补充通知（包括更正公告），同时可以在“苏采云”系统中下载更正（补充）资料，如有遗漏（包括但不限于文件未下载或下载不完整），可能无法解密投标（响应）文件，由此所造成的投标失败或损失由供应商自行负责。</w:t>
      </w:r>
      <w:r/>
    </w:p>
    <w:p>
      <w:pPr>
        <w:ind w:left="5" w:firstLine="518"/>
        <w:spacing w:line="360" w:lineRule="auto"/>
        <w:tabs>
          <w:tab w:val="left" w:pos="851"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2.3.4招标文件的澄清、修改、补充等内容均以苏州市政府采购网上发布的内容为准。</w:t>
      </w:r>
      <w:r/>
    </w:p>
    <w:p>
      <w:pPr>
        <w:ind w:left="525"/>
        <w:spacing w:line="360" w:lineRule="auto"/>
        <w:tabs>
          <w:tab w:val="left" w:pos="851" w:leader="none"/>
        </w:tabs>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3、投标文件的说明</w:t>
      </w:r>
      <w:r/>
    </w:p>
    <w:p>
      <w:pPr>
        <w:ind w:left="5" w:firstLine="518"/>
        <w:spacing w:line="360" w:lineRule="auto"/>
        <w:tabs>
          <w:tab w:val="left" w:pos="851"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投标人应详细阅读招标文件的全部内容，不按招标文件的要求提供的投标文件和资料，其风险由投标人自行承担，并根据有关条款规定，可能导致投标无效。</w:t>
      </w:r>
      <w:r/>
    </w:p>
    <w:p>
      <w:pPr>
        <w:ind w:left="525"/>
        <w:spacing w:line="360" w:lineRule="auto"/>
        <w:tabs>
          <w:tab w:val="left" w:pos="851" w:leader="none"/>
        </w:tabs>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3.1投标保证金：无。</w:t>
      </w:r>
      <w:r/>
    </w:p>
    <w:p>
      <w:pPr>
        <w:ind w:left="525"/>
        <w:spacing w:line="360" w:lineRule="auto"/>
        <w:tabs>
          <w:tab w:val="left" w:pos="851" w:leader="none"/>
        </w:tabs>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3.2投标文件的组成</w:t>
      </w:r>
      <w:r/>
    </w:p>
    <w:p>
      <w:pPr>
        <w:ind w:left="525"/>
        <w:spacing w:line="360" w:lineRule="auto"/>
        <w:tabs>
          <w:tab w:val="left" w:pos="851"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3.2.1封面；</w:t>
      </w:r>
      <w:r/>
    </w:p>
    <w:p>
      <w:pPr>
        <w:ind w:left="525"/>
        <w:spacing w:line="360" w:lineRule="auto"/>
        <w:tabs>
          <w:tab w:val="left" w:pos="851"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3.2.2开标一览表（格式见第三章）；</w:t>
      </w:r>
      <w:r/>
    </w:p>
    <w:p>
      <w:pPr>
        <w:ind w:left="5" w:firstLine="518"/>
        <w:spacing w:line="360" w:lineRule="auto"/>
        <w:tabs>
          <w:tab w:val="left" w:pos="851"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3.2.3公开分项报价表（如有，格式见第三章）；</w:t>
      </w:r>
      <w:r/>
    </w:p>
    <w:p>
      <w:pPr>
        <w:ind w:left="5" w:firstLine="518"/>
        <w:spacing w:line="360" w:lineRule="auto"/>
        <w:tabs>
          <w:tab w:val="left" w:pos="851" w:leader="none"/>
        </w:tabs>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3.2.4资格审查投标文件：</w:t>
      </w:r>
      <w:r/>
    </w:p>
    <w:p>
      <w:pPr>
        <w:ind w:left="5" w:firstLine="518"/>
        <w:spacing w:line="360" w:lineRule="auto"/>
        <w:tabs>
          <w:tab w:val="left" w:pos="851"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3.2.4.1供应商的资格要求：</w:t>
      </w:r>
      <w:r/>
    </w:p>
    <w:p>
      <w:pPr>
        <w:ind w:left="5" w:firstLine="518"/>
        <w:spacing w:line="360" w:lineRule="auto"/>
        <w:tabs>
          <w:tab w:val="left" w:pos="851"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（1）具有独立承担民事责任的能力的材料复印件：包括法人或者其他组织的营业执照等证明文件，自然人的身份证明；</w:t>
      </w:r>
      <w:r/>
    </w:p>
    <w:p>
      <w:pPr>
        <w:ind w:left="5" w:firstLine="518"/>
        <w:spacing w:line="360" w:lineRule="auto"/>
        <w:tabs>
          <w:tab w:val="left" w:pos="851"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（2）具有良好的商业信誉和健全的财务会计制度的材料：包括但不限于法人提供2025年度经审计的财务报告或基本开户银行在本年度内出具的资信证明复印件；</w:t>
      </w:r>
      <w:r/>
    </w:p>
    <w:p>
      <w:pPr>
        <w:ind w:left="5" w:firstLine="518"/>
        <w:spacing w:line="360" w:lineRule="auto"/>
        <w:tabs>
          <w:tab w:val="left" w:pos="851"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（3）具有履行合同所必需的设备和专业技术能力的证明材料复印件或承诺；</w:t>
      </w:r>
      <w:r/>
    </w:p>
    <w:p>
      <w:pPr>
        <w:ind w:left="5" w:firstLine="518"/>
        <w:spacing w:line="360" w:lineRule="auto"/>
        <w:tabs>
          <w:tab w:val="left" w:pos="851"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具有依法缴纳税收和社会保障资金的良好记录的材料：供应商上一税收申报日缴纳增值税或企业所得税的凭据及上一社保申报日缴纳的社会保险的凭据（专用收据或社会保险缴纳清单），依法免税或不需要缴纳的供应商，应提供对应证明文件复印件；</w:t>
      </w:r>
      <w:r/>
    </w:p>
    <w:p>
      <w:pPr>
        <w:ind w:left="5" w:firstLine="518"/>
        <w:spacing w:line="360" w:lineRule="auto"/>
        <w:tabs>
          <w:tab w:val="left" w:pos="851"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（5）参加政府采购活动前三年内，在经营活动中没有出现重大违法记录的书面声明函；</w:t>
      </w:r>
      <w:r/>
    </w:p>
    <w:p>
      <w:pPr>
        <w:ind w:left="5" w:firstLine="518"/>
        <w:spacing w:line="360" w:lineRule="auto"/>
        <w:tabs>
          <w:tab w:val="left" w:pos="851"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（6）按照相关法律法规参与本项目所必须取得国家有关主管部门的行政许可证明资料复印件（如有须提供）。</w:t>
      </w:r>
      <w:r/>
    </w:p>
    <w:p>
      <w:pPr>
        <w:ind w:left="5" w:firstLine="518"/>
        <w:spacing w:line="360" w:lineRule="auto"/>
        <w:tabs>
          <w:tab w:val="left" w:pos="851"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（7）《中小企业声明函》或《残疾人福利性单位声明函》或由省级以上监狱管理局、戒毒管理局（含新疆生产建设兵团）出具的属于监狱企业的证明文件。</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（8）具有有效期内的电力工程施工总承包资质或输变电工程专业承包资质。</w:t>
      </w:r>
      <w:r/>
    </w:p>
    <w:p>
      <w:pPr>
        <w:ind w:firstLine="480"/>
        <w:spacing w:line="360" w:lineRule="auto"/>
        <w:rPr>
          <w:rFonts w:ascii="宋体" w:hAnsi="宋体" w:eastAsia="宋体"/>
          <w:color w:val="auto"/>
          <w:sz w:val="24"/>
          <w:szCs w:val="24"/>
          <w:highlight w:val="none"/>
        </w:rPr>
      </w:pPr>
      <w:r>
        <w:rPr>
          <w:rFonts w:hint="eastAsia" w:ascii="宋体" w:hAnsi="宋体" w:eastAsia="宋体" w:cs="宋体"/>
          <w:color w:val="auto"/>
          <w:sz w:val="24"/>
          <w:szCs w:val="24"/>
          <w:highlight w:val="none"/>
        </w:rPr>
        <w:t xml:space="preserve">（9）具有有效期内的承装（修、试）电力设施许可证。</w:t>
      </w:r>
      <w:r/>
    </w:p>
    <w:p>
      <w:pPr>
        <w:ind w:left="5" w:firstLine="518"/>
        <w:spacing w:line="360" w:lineRule="auto"/>
        <w:tabs>
          <w:tab w:val="left" w:pos="851" w:leader="none"/>
        </w:tabs>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3.2.5符合性审查投标文件：</w:t>
      </w:r>
      <w:r/>
    </w:p>
    <w:p>
      <w:pPr>
        <w:ind w:left="5" w:firstLine="518"/>
        <w:spacing w:line="360" w:lineRule="auto"/>
        <w:tabs>
          <w:tab w:val="left" w:pos="851"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3.2.5.1投标响应函（格式见第三章）；</w:t>
      </w:r>
      <w:r/>
    </w:p>
    <w:p>
      <w:pPr>
        <w:ind w:left="5" w:firstLine="518"/>
        <w:spacing w:line="360" w:lineRule="auto"/>
        <w:tabs>
          <w:tab w:val="left" w:pos="851"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3.2.5.2关于资格文件的声明函（格式见第三章）；</w:t>
      </w:r>
      <w:r/>
    </w:p>
    <w:p>
      <w:pPr>
        <w:ind w:left="5" w:firstLine="518"/>
        <w:spacing w:line="360" w:lineRule="auto"/>
        <w:tabs>
          <w:tab w:val="left" w:pos="851"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3.2.5.3法定代表人身份证复印件；</w:t>
      </w:r>
      <w:r/>
    </w:p>
    <w:p>
      <w:pPr>
        <w:ind w:left="5" w:firstLine="518"/>
        <w:spacing w:line="360" w:lineRule="auto"/>
        <w:tabs>
          <w:tab w:val="left" w:pos="851"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3.2.5.4法定代表人授权委托书及授权委托人身份证复印件（如有授权，格式见第三章）；</w:t>
      </w:r>
      <w:r/>
    </w:p>
    <w:p>
      <w:pPr>
        <w:ind w:firstLine="480"/>
        <w:spacing w:line="360" w:lineRule="auto"/>
        <w:tabs>
          <w:tab w:val="left" w:pos="142" w:leader="none"/>
          <w:tab w:val="left" w:pos="60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3.2.5.5投标货物和服务数量、品牌、规格、制造商明细表（不得出现价格，格式见第三章）；</w:t>
      </w:r>
      <w:r/>
    </w:p>
    <w:p>
      <w:pPr>
        <w:ind w:firstLine="480"/>
        <w:spacing w:line="360" w:lineRule="auto"/>
        <w:tabs>
          <w:tab w:val="left" w:pos="142" w:leader="none"/>
          <w:tab w:val="left" w:pos="600"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3.2.5.6投标货物的主要零部件品牌、规格、制造商明细表（不得出现价格，格式见第三章）</w:t>
      </w:r>
      <w:r>
        <w:rPr>
          <w:rFonts w:hint="eastAsia" w:ascii="宋体" w:hAnsi="宋体" w:eastAsia="宋体" w:cs="宋体"/>
          <w:color w:val="auto"/>
          <w:sz w:val="24"/>
          <w:szCs w:val="24"/>
          <w:highlight w:val="none"/>
          <w:lang w:eastAsia="zh-CN"/>
        </w:rPr>
        <w:t xml:space="preserve">；</w:t>
      </w:r>
      <w:r/>
    </w:p>
    <w:p>
      <w:pPr>
        <w:ind w:firstLine="480"/>
        <w:spacing w:line="360" w:lineRule="auto"/>
        <w:tabs>
          <w:tab w:val="left" w:pos="142" w:leader="none"/>
          <w:tab w:val="left" w:pos="60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3.2.5.7技术参数响应及偏离表、商务条款响应及偏离表（格式见第三章）；</w:t>
      </w:r>
      <w:r/>
    </w:p>
    <w:p>
      <w:pPr>
        <w:ind w:left="5" w:firstLine="518"/>
        <w:spacing w:line="360" w:lineRule="auto"/>
        <w:tabs>
          <w:tab w:val="left" w:pos="851"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3.2.5.8未被“信用中国”及“中国政府采购网”列入失信被执行人、重大税收违法案件当事人名单、政府采购严重失信行为记录名单的查询记录页面截图；</w:t>
      </w:r>
      <w:r/>
    </w:p>
    <w:p>
      <w:pPr>
        <w:ind w:left="5" w:firstLine="518"/>
        <w:spacing w:line="360" w:lineRule="auto"/>
        <w:tabs>
          <w:tab w:val="left" w:pos="851"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3.2.5.9对属于《节能产品政府采购品目清单》政府强制采购产品的，须提供该产品有效期内的认证等相关证明材料（若有）</w:t>
      </w:r>
      <w:r>
        <w:rPr>
          <w:rFonts w:hint="eastAsia" w:ascii="宋体" w:hAnsi="宋体" w:eastAsia="宋体" w:cs="宋体"/>
          <w:color w:val="auto"/>
          <w:sz w:val="24"/>
          <w:szCs w:val="24"/>
          <w:highlight w:val="none"/>
          <w:lang w:eastAsia="zh-CN"/>
        </w:rPr>
        <w:t xml:space="preserve">；</w:t>
      </w:r>
      <w:r/>
    </w:p>
    <w:p>
      <w:pPr>
        <w:ind w:left="5" w:firstLine="518"/>
        <w:spacing w:line="360" w:lineRule="auto"/>
        <w:tabs>
          <w:tab w:val="left" w:pos="851" w:leader="none"/>
        </w:tabs>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 xml:space="preserve">3.2.6综合评审响应文件</w:t>
      </w:r>
      <w:r>
        <w:rPr>
          <w:rFonts w:hint="eastAsia" w:ascii="宋体" w:hAnsi="宋体" w:eastAsia="宋体" w:cs="宋体"/>
          <w:bCs/>
          <w:color w:val="auto"/>
          <w:sz w:val="24"/>
          <w:szCs w:val="24"/>
          <w:highlight w:val="none"/>
          <w:lang w:eastAsia="zh-CN"/>
        </w:rPr>
        <w:t xml:space="preserve">；</w:t>
      </w:r>
      <w:r/>
    </w:p>
    <w:p>
      <w:pPr>
        <w:ind w:left="5" w:firstLine="518"/>
        <w:spacing w:line="360" w:lineRule="auto"/>
        <w:tabs>
          <w:tab w:val="left" w:pos="851"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3.2.6.1采购需求、评审方法及评审标准中所涉及到的其他材料、证明等；</w:t>
      </w:r>
      <w:r/>
    </w:p>
    <w:p>
      <w:pPr>
        <w:ind w:left="5" w:firstLine="518"/>
        <w:spacing w:line="360" w:lineRule="auto"/>
        <w:tabs>
          <w:tab w:val="left" w:pos="851"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3.2.6.2《关于符合本国产品标准的声明函》</w:t>
      </w:r>
      <w:r>
        <w:rPr>
          <w:rFonts w:hint="eastAsia" w:ascii="宋体" w:hAnsi="宋体" w:eastAsia="宋体" w:cs="宋体"/>
          <w:color w:val="auto"/>
          <w:sz w:val="24"/>
          <w:szCs w:val="24"/>
          <w:highlight w:val="none"/>
          <w:lang w:eastAsia="zh-CN"/>
        </w:rPr>
        <w:t xml:space="preserve">；</w:t>
      </w:r>
      <w:r/>
    </w:p>
    <w:p>
      <w:pPr>
        <w:ind w:left="5" w:firstLine="518"/>
        <w:spacing w:line="360" w:lineRule="auto"/>
        <w:tabs>
          <w:tab w:val="left" w:pos="851"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3.2.7与本次采购相关的其他证明材料</w:t>
      </w:r>
      <w:r>
        <w:rPr>
          <w:rFonts w:hint="eastAsia" w:ascii="宋体" w:hAnsi="宋体" w:eastAsia="宋体" w:cs="宋体"/>
          <w:color w:val="auto"/>
          <w:sz w:val="24"/>
          <w:szCs w:val="24"/>
          <w:highlight w:val="none"/>
          <w:lang w:eastAsia="zh-CN"/>
        </w:rPr>
        <w:t xml:space="preserve">。</w:t>
      </w:r>
      <w:r/>
    </w:p>
    <w:p>
      <w:pPr>
        <w:ind w:firstLine="480"/>
        <w:spacing w:line="360" w:lineRule="auto"/>
        <w:tabs>
          <w:tab w:val="left" w:pos="851" w:leader="none"/>
        </w:tabs>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注：以上3.2.2-3.2.3项为供应商报价的依据，投标供应商必须提供并加盖电子公章，否则，投标文件将被认定为未实质性响应。</w:t>
      </w:r>
      <w:r/>
    </w:p>
    <w:p>
      <w:pPr>
        <w:ind w:left="5" w:firstLine="518"/>
        <w:spacing w:line="360" w:lineRule="auto"/>
        <w:tabs>
          <w:tab w:val="left" w:pos="851" w:leader="none"/>
        </w:tabs>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以上3.2.4.1项为资格审查提供的资料，是作为对供应商资格审查、质疑身份认定的依据，响应供应商必须提供并加盖电子公章，否则，投标文件将被认定为不符合资格审查要求。</w:t>
      </w:r>
      <w:r/>
    </w:p>
    <w:p>
      <w:pPr>
        <w:ind w:firstLine="480"/>
        <w:spacing w:line="360" w:lineRule="auto"/>
        <w:tabs>
          <w:tab w:val="left" w:pos="0" w:leader="none"/>
          <w:tab w:val="left" w:pos="600" w:leader="none"/>
        </w:tabs>
        <w:rPr>
          <w:rFonts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以上3.2.5.1-3.2.5.</w:t>
      </w:r>
      <w:r>
        <w:rPr>
          <w:rFonts w:hint="eastAsia" w:ascii="宋体" w:hAnsi="宋体" w:eastAsia="宋体" w:cs="宋体"/>
          <w:bCs/>
          <w:color w:val="auto"/>
          <w:sz w:val="24"/>
          <w:szCs w:val="24"/>
          <w:highlight w:val="none"/>
          <w:lang w:val="en-US" w:eastAsia="zh-CN"/>
        </w:rPr>
        <w:t xml:space="preserve">4</w:t>
      </w:r>
      <w:r>
        <w:rPr>
          <w:rFonts w:hint="eastAsia" w:ascii="宋体" w:hAnsi="宋体" w:eastAsia="宋体" w:cs="宋体"/>
          <w:bCs/>
          <w:color w:val="auto"/>
          <w:sz w:val="24"/>
          <w:szCs w:val="24"/>
          <w:highlight w:val="none"/>
        </w:rPr>
        <w:t xml:space="preserve">为符合性审查必须提供的资料，投标供应商必须提供并加盖电子公章，否则，投标将被认定为未实质性响应。</w:t>
      </w:r>
      <w:r/>
    </w:p>
    <w:p>
      <w:pPr>
        <w:ind w:left="5" w:firstLine="518"/>
        <w:spacing w:line="360" w:lineRule="auto"/>
        <w:tabs>
          <w:tab w:val="left" w:pos="851" w:leader="none"/>
        </w:tabs>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制作电子投标文件时需与投标文件制作软件目录一一对应，将相关资料上传至相应模块。</w:t>
      </w:r>
      <w:r/>
    </w:p>
    <w:p>
      <w:pPr>
        <w:ind w:left="5" w:firstLine="518"/>
        <w:spacing w:line="360" w:lineRule="auto"/>
        <w:tabs>
          <w:tab w:val="left" w:pos="851" w:leader="none"/>
        </w:tabs>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供应商应保证上传的投标文件完整、清晰可辨认，若因上传资料过小或模糊不清等无法辨认的都视为该资料未提供。</w:t>
      </w:r>
      <w:r/>
    </w:p>
    <w:p>
      <w:pPr>
        <w:ind w:firstLine="470"/>
        <w:spacing w:line="360" w:lineRule="auto"/>
        <w:tabs>
          <w:tab w:val="left" w:pos="540" w:leader="none"/>
          <w:tab w:val="left" w:pos="851" w:leader="none"/>
        </w:tabs>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如供应商投标文件中某些条款不响应招标文件提出的全部服务内容与要求，须在投标文件中逐条列出，未列出的视同响应。</w:t>
      </w:r>
      <w:r/>
    </w:p>
    <w:p>
      <w:pPr>
        <w:ind w:firstLine="480"/>
        <w:spacing w:line="360" w:lineRule="auto"/>
        <w:tabs>
          <w:tab w:val="left" w:pos="142" w:leader="none"/>
          <w:tab w:val="left" w:pos="600" w:leader="none"/>
        </w:tabs>
        <w:rPr>
          <w:rFonts w:ascii="宋体" w:hAnsi="宋体" w:eastAsia="宋体" w:cs="宋体"/>
          <w:color w:val="auto"/>
          <w:highlight w:val="none"/>
        </w:rPr>
      </w:pPr>
      <w:r>
        <w:rPr>
          <w:rFonts w:hint="eastAsia" w:ascii="宋体" w:hAnsi="宋体" w:eastAsia="宋体" w:cs="宋体"/>
          <w:color w:val="auto"/>
          <w:sz w:val="24"/>
          <w:szCs w:val="24"/>
          <w:highlight w:val="none"/>
        </w:rPr>
        <w:t xml:space="preserve">如不同供应商使用同一台电脑制作的电子</w:t>
      </w:r>
      <w:r>
        <w:rPr>
          <w:rFonts w:hint="eastAsia" w:ascii="宋体" w:hAnsi="宋体" w:eastAsia="宋体" w:cs="宋体"/>
          <w:bCs/>
          <w:color w:val="auto"/>
          <w:sz w:val="24"/>
          <w:szCs w:val="24"/>
          <w:highlight w:val="none"/>
        </w:rPr>
        <w:t xml:space="preserve">投标</w:t>
      </w:r>
      <w:r>
        <w:rPr>
          <w:rFonts w:hint="eastAsia" w:ascii="宋体" w:hAnsi="宋体" w:eastAsia="宋体" w:cs="宋体"/>
          <w:color w:val="auto"/>
          <w:sz w:val="24"/>
          <w:szCs w:val="24"/>
          <w:highlight w:val="none"/>
        </w:rPr>
        <w:t xml:space="preserve">文件的，双方“文件制作机器码”一致的，则其</w:t>
      </w:r>
      <w:r>
        <w:rPr>
          <w:rFonts w:hint="eastAsia" w:ascii="宋体" w:hAnsi="宋体" w:eastAsia="宋体" w:cs="宋体"/>
          <w:bCs/>
          <w:color w:val="auto"/>
          <w:sz w:val="24"/>
          <w:szCs w:val="24"/>
          <w:highlight w:val="none"/>
        </w:rPr>
        <w:t xml:space="preserve">投标</w:t>
      </w:r>
      <w:r>
        <w:rPr>
          <w:rFonts w:hint="eastAsia" w:ascii="宋体" w:hAnsi="宋体" w:eastAsia="宋体" w:cs="宋体"/>
          <w:color w:val="auto"/>
          <w:sz w:val="24"/>
          <w:szCs w:val="24"/>
          <w:highlight w:val="none"/>
        </w:rPr>
        <w:t xml:space="preserve">文件将被认定为无效响应。</w:t>
      </w:r>
      <w:r/>
    </w:p>
    <w:p>
      <w:pPr>
        <w:ind w:left="525"/>
        <w:spacing w:line="360" w:lineRule="auto"/>
        <w:tabs>
          <w:tab w:val="left" w:pos="142" w:leader="none"/>
          <w:tab w:val="left" w:pos="600" w:leader="none"/>
        </w:tabs>
        <w:rPr>
          <w:rFonts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3.3投标报价</w:t>
      </w:r>
      <w:r/>
    </w:p>
    <w:p>
      <w:pPr>
        <w:ind w:left="5" w:firstLine="518"/>
        <w:spacing w:line="360" w:lineRule="auto"/>
        <w:tabs>
          <w:tab w:val="left" w:pos="851"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3.3.1投标报价应包括完成本招标项目全部内容的一切费用，除非合同条款中另有规定，投标人所报价格在合同实施期间不因市场变化因素而变动。</w:t>
      </w:r>
      <w:r/>
    </w:p>
    <w:p>
      <w:pPr>
        <w:ind w:left="5" w:firstLine="518"/>
        <w:spacing w:line="360" w:lineRule="auto"/>
        <w:tabs>
          <w:tab w:val="left" w:pos="851"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3.3.2如果招标文件要求分标段投标的，则投标人可以根据自身经营许可范围，选择投标其中部分或者全部标段，但各标段应分别计算填写单价和总价。</w:t>
      </w:r>
      <w:r/>
    </w:p>
    <w:p>
      <w:pPr>
        <w:ind w:left="5" w:firstLine="518"/>
        <w:spacing w:line="360" w:lineRule="auto"/>
        <w:tabs>
          <w:tab w:val="left" w:pos="851"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3.3.3投标人应对招标文件内所要采购的全部内容进行报价，只对其中部分内容报价的，投标无效。</w:t>
      </w:r>
      <w:r/>
    </w:p>
    <w:p>
      <w:pPr>
        <w:ind w:left="5" w:firstLine="518"/>
        <w:spacing w:line="360" w:lineRule="auto"/>
        <w:tabs>
          <w:tab w:val="left" w:pos="851"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3.3.4投标报价超过招标文件中规定的预算金额或者最高限价的，或者各标的物的单价超过该项预算单价的（针对招标文件标明预算单价的项目），其投标无效。</w:t>
      </w:r>
      <w:r/>
    </w:p>
    <w:p>
      <w:pPr>
        <w:ind w:left="5" w:firstLine="518"/>
        <w:spacing w:line="360" w:lineRule="auto"/>
        <w:tabs>
          <w:tab w:val="left" w:pos="851"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3.2.5一项投标内容只允许一个报价，任何有选择性投标报价的，其投标无效。</w:t>
      </w:r>
      <w:r/>
    </w:p>
    <w:p>
      <w:pPr>
        <w:ind w:left="5" w:firstLine="518"/>
        <w:spacing w:line="360" w:lineRule="auto"/>
        <w:tabs>
          <w:tab w:val="left" w:pos="851" w:leader="none"/>
        </w:tabs>
        <w:rPr>
          <w:rFonts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3.3.6投标文件报价中的单价和总价全部采用人民币表示，除非另有规定。</w:t>
      </w:r>
      <w:r/>
    </w:p>
    <w:p>
      <w:pPr>
        <w:ind w:left="525"/>
        <w:spacing w:line="360" w:lineRule="auto"/>
        <w:tabs>
          <w:tab w:val="left" w:pos="142" w:leader="none"/>
          <w:tab w:val="left" w:pos="60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3.4电子投标文件的编制与提交</w:t>
      </w:r>
      <w:r/>
    </w:p>
    <w:p>
      <w:pPr>
        <w:ind w:left="5" w:firstLine="518"/>
        <w:spacing w:line="360" w:lineRule="auto"/>
        <w:tabs>
          <w:tab w:val="left" w:pos="851" w:leader="none"/>
        </w:tabs>
        <w:rPr>
          <w:rFonts w:ascii="宋体" w:hAnsi="宋体" w:eastAsia="宋体" w:cs="宋体"/>
          <w:color w:val="auto"/>
          <w:sz w:val="24"/>
          <w:szCs w:val="24"/>
          <w:highlight w:val="none"/>
        </w:rPr>
      </w:pPr>
      <w:r/>
      <w:bookmarkStart w:id="2" w:name="_Hlk154589874"/>
      <w:r>
        <w:rPr>
          <w:rFonts w:hint="eastAsia" w:ascii="宋体" w:hAnsi="宋体" w:eastAsia="宋体" w:cs="宋体"/>
          <w:color w:val="auto"/>
          <w:sz w:val="24"/>
          <w:szCs w:val="24"/>
          <w:highlight w:val="none"/>
        </w:rPr>
        <w:t xml:space="preserve">3.4.1投标文件编制要求：本项目为网上招投标项目，请供应商插入CA 证书登陆“苏采云”系统下载客户端（参与项目页面可下载客户端及客户端使用说明），在客户端编制电子投标文件并进行CA加密。操作步骤详见“苏采云”系统页面提示和《操作手册》。</w:t>
      </w:r>
      <w:r/>
    </w:p>
    <w:p>
      <w:pPr>
        <w:ind w:left="5" w:firstLine="518"/>
        <w:spacing w:line="360" w:lineRule="auto"/>
        <w:tabs>
          <w:tab w:val="left" w:pos="851"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3.4.2电子投标文件递交：供应商应当按照《操作手册》指引，在投标文件提交截止时间前完成电子投标文件的上传，未按要求成功上传的投标文件视为未递交。供应商应充分考虑到网络环境、网络带宽等风险因素，如因供应商自身原因造成的电子响应文件上传不成功由供应商自行承担全部责任。</w:t>
      </w:r>
      <w:r/>
    </w:p>
    <w:p>
      <w:pPr>
        <w:ind w:left="5" w:firstLine="518"/>
        <w:spacing w:line="360" w:lineRule="auto"/>
        <w:tabs>
          <w:tab w:val="left" w:pos="851"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注：（1）请供应商务必保管好编制递交电子投标文件时使用的CA，如因丢失、损坏等原因更换CA锁时，需重新制作电子投标文件并递交，否则可能无法解密，因此导致的响应失败等不利后果由供应商自行承担。</w:t>
      </w:r>
      <w:r/>
    </w:p>
    <w:p>
      <w:pPr>
        <w:ind w:left="5" w:firstLine="518"/>
        <w:spacing w:line="360" w:lineRule="auto"/>
        <w:tabs>
          <w:tab w:val="left" w:pos="851"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如本项目在政府采购信息发布媒体上发布了更正（补充）公告，请供应商务必在“苏采云”系统中下载更正（补充）资料，根据更正后的招标文件重新编制电子响应文件并递交，否则可能无法解密，因此导致的响应失败等不利后果由供应商自行承担。</w:t>
      </w:r>
      <w:r/>
    </w:p>
    <w:p>
      <w:pPr>
        <w:ind w:left="5" w:firstLine="518"/>
        <w:spacing w:line="360" w:lineRule="auto"/>
        <w:tabs>
          <w:tab w:val="left" w:pos="851"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3.4.3投标文件未按照招标文件要求加盖CA电子公章的，响应无效。</w:t>
      </w:r>
      <w:r/>
    </w:p>
    <w:p>
      <w:pPr>
        <w:ind w:left="5" w:firstLine="518"/>
        <w:spacing w:line="360" w:lineRule="auto"/>
        <w:tabs>
          <w:tab w:val="left" w:pos="851"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3.5投标文件的开启（解密）</w:t>
      </w:r>
      <w:r/>
    </w:p>
    <w:p>
      <w:pPr>
        <w:ind w:left="5" w:firstLine="518"/>
        <w:spacing w:line="360" w:lineRule="auto"/>
        <w:tabs>
          <w:tab w:val="left" w:pos="851"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3.5.1线上参加（观看）开标（开启）会方式：登录苏采云系统，点击“开标大厅”，选择对应项目。</w:t>
      </w:r>
      <w:r/>
    </w:p>
    <w:p>
      <w:pPr>
        <w:ind w:left="5" w:firstLine="518"/>
        <w:spacing w:line="360" w:lineRule="auto"/>
        <w:tabs>
          <w:tab w:val="left" w:pos="851" w:leader="none"/>
        </w:tabs>
        <w:rPr>
          <w:rFonts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3.5.2供应商应当按照《操作手册》规定，在苏采云系统规定的时间内对投标文件进行解密。等待开标流程进入“解锁环境”，点击“点击立即解密”进行标书解密，解锁完成后及时关注开标大厅、答疑澄清等提示，</w:t>
      </w:r>
      <w:r>
        <w:rPr>
          <w:rFonts w:hint="eastAsia" w:ascii="宋体" w:hAnsi="宋体" w:eastAsia="宋体" w:cs="宋体"/>
          <w:bCs/>
          <w:color w:val="auto"/>
          <w:sz w:val="24"/>
          <w:szCs w:val="24"/>
          <w:highlight w:val="none"/>
        </w:rPr>
        <w:t xml:space="preserve">否则导致的对供应商不利的后果由供应商自行承担。</w:t>
      </w:r>
      <w:r/>
    </w:p>
    <w:p>
      <w:pPr>
        <w:ind w:left="5" w:firstLine="518"/>
        <w:spacing w:line="360" w:lineRule="auto"/>
        <w:tabs>
          <w:tab w:val="left" w:pos="851" w:leader="none"/>
        </w:tabs>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3.5.3供应商在苏采云系统规定的时间内未成功解密电子投标文件的，投标无效。</w:t>
      </w:r>
      <w:r/>
    </w:p>
    <w:p>
      <w:pPr>
        <w:ind w:left="5" w:firstLine="518"/>
        <w:spacing w:line="360" w:lineRule="auto"/>
        <w:tabs>
          <w:tab w:val="left" w:pos="851" w:leader="none"/>
        </w:tabs>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供应商在制作、上传、解密电子标书过程中若遇到问题，请及时联系CA技术人员或“苏采云”系统客服热线，否则由此产生的后果由供应商自行负责。</w:t>
      </w:r>
      <w:r/>
    </w:p>
    <w:p>
      <w:pPr>
        <w:ind w:left="5" w:firstLine="518"/>
        <w:spacing w:line="360" w:lineRule="auto"/>
        <w:tabs>
          <w:tab w:val="left" w:pos="851"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3.5.4</w:t>
      </w:r>
      <w:bookmarkEnd w:id="2"/>
      <w:r>
        <w:rPr>
          <w:rFonts w:hint="eastAsia" w:ascii="宋体" w:hAnsi="宋体" w:eastAsia="宋体" w:cs="宋体"/>
          <w:color w:val="auto"/>
          <w:sz w:val="24"/>
          <w:szCs w:val="24"/>
          <w:highlight w:val="none"/>
        </w:rPr>
        <w:t xml:space="preserve">供应商电脑环境最低要求：谷歌浏览器，版本可直接网上下载最新版本即可。如需收听现场语音需配置放音设备，如视频直播、互动交流使用异常，请刷新网页，如仍无法解决，请联系技术支持。</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3.5.5 CA技术咨询服务电话：400-608-6099；</w:t>
      </w:r>
      <w:r/>
    </w:p>
    <w:p>
      <w:pPr>
        <w:ind w:left="5" w:firstLine="518"/>
        <w:spacing w:line="360" w:lineRule="auto"/>
        <w:tabs>
          <w:tab w:val="left" w:pos="851"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电子签章技术咨询服务电话：025-83633811、025-83633812、15380932027、15371015030；</w:t>
      </w:r>
      <w:r/>
    </w:p>
    <w:p>
      <w:pPr>
        <w:ind w:left="5" w:firstLine="518"/>
        <w:spacing w:line="360" w:lineRule="auto"/>
        <w:tabs>
          <w:tab w:val="left" w:pos="851"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苏州市及区县“苏采云”系统使用指导与咨询：联系电话：0512-69820854、18261002950；QQ：3048755361、1315179389、895706745；智能客服：登录苏采云系统后，联系系统右下方智能客服图标进行咨询。 </w:t>
      </w:r>
      <w:r/>
    </w:p>
    <w:p>
      <w:pPr>
        <w:ind w:firstLine="480"/>
        <w:spacing w:line="360" w:lineRule="auto"/>
        <w:tabs>
          <w:tab w:val="left" w:pos="142" w:leader="none"/>
          <w:tab w:val="left" w:pos="60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3.6响应文件的修改和撤回：</w:t>
      </w:r>
      <w:r/>
    </w:p>
    <w:p>
      <w:pPr>
        <w:pStyle w:val="1044"/>
        <w:ind w:firstLine="480"/>
        <w:spacing w:line="360" w:lineRule="auto"/>
        <w:rPr>
          <w:rFonts w:cs="宋体"/>
          <w:color w:val="auto"/>
          <w:highlight w:val="none"/>
        </w:rPr>
      </w:pPr>
      <w:r>
        <w:rPr>
          <w:rFonts w:hint="eastAsia" w:cs="宋体"/>
          <w:color w:val="auto"/>
          <w:highlight w:val="none"/>
        </w:rPr>
        <w:t xml:space="preserve">3.6.1供应商在提交投标文件截止时间前，可以对所递交的投标文件进行补充、修改或者撤回，具体操作方法见《操作手册》。提交投标文件截止时间后供应商不得撤回投标文件。</w:t>
      </w:r>
      <w:r/>
    </w:p>
    <w:p>
      <w:pPr>
        <w:ind w:firstLine="480"/>
        <w:spacing w:line="360" w:lineRule="auto"/>
        <w:tabs>
          <w:tab w:val="left" w:pos="142" w:leader="none"/>
          <w:tab w:val="left" w:pos="60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4、开标和评标：</w:t>
      </w:r>
      <w:r/>
    </w:p>
    <w:p>
      <w:pPr>
        <w:ind w:firstLine="480"/>
        <w:spacing w:line="360" w:lineRule="auto"/>
        <w:tabs>
          <w:tab w:val="left" w:pos="142" w:leader="none"/>
          <w:tab w:val="left" w:pos="60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4.1开标</w:t>
      </w:r>
      <w:r/>
    </w:p>
    <w:p>
      <w:pPr>
        <w:pStyle w:val="1033"/>
        <w:spacing w:line="360" w:lineRule="auto"/>
        <w:rPr>
          <w:rFonts w:ascii="宋体" w:hAnsi="宋体" w:cs="宋体"/>
          <w:color w:val="auto"/>
          <w:sz w:val="21"/>
          <w:szCs w:val="21"/>
          <w:highlight w:val="none"/>
        </w:rPr>
      </w:pPr>
      <w:r>
        <w:rPr>
          <w:rFonts w:hint="eastAsia" w:ascii="宋体" w:hAnsi="宋体" w:eastAsia="宋体" w:cs="宋体"/>
          <w:color w:val="auto"/>
          <w:sz w:val="24"/>
          <w:szCs w:val="24"/>
          <w:highlight w:val="none"/>
        </w:rPr>
        <w:t xml:space="preserve">4.1.</w:t>
      </w:r>
      <w:r>
        <w:rPr>
          <w:rFonts w:hint="eastAsia" w:ascii="宋体" w:hAnsi="宋体" w:eastAsia="宋体" w:cs="宋体"/>
          <w:color w:val="auto"/>
          <w:sz w:val="24"/>
          <w:szCs w:val="24"/>
          <w:highlight w:val="none"/>
          <w:lang w:val="en-US"/>
        </w:rPr>
        <w:t xml:space="preserve">1</w:t>
      </w:r>
      <w:r>
        <w:rPr>
          <w:rFonts w:hint="eastAsia" w:ascii="宋体" w:hAnsi="宋体" w:eastAsia="宋体" w:cs="宋体"/>
          <w:color w:val="auto"/>
          <w:sz w:val="24"/>
          <w:szCs w:val="24"/>
          <w:highlight w:val="none"/>
        </w:rPr>
        <w:t xml:space="preserve">开标由采购代理机构</w:t>
      </w:r>
      <w:r>
        <w:rPr>
          <w:rFonts w:hint="eastAsia" w:ascii="宋体" w:hAnsi="宋体" w:eastAsia="宋体" w:cs="宋体"/>
          <w:color w:val="auto"/>
          <w:sz w:val="24"/>
          <w:szCs w:val="24"/>
          <w:highlight w:val="none"/>
          <w:lang w:val="en-US"/>
        </w:rPr>
        <w:t xml:space="preserve">在线</w:t>
      </w:r>
      <w:r>
        <w:rPr>
          <w:rFonts w:hint="eastAsia" w:ascii="宋体" w:hAnsi="宋体" w:eastAsia="宋体" w:cs="宋体"/>
          <w:color w:val="auto"/>
          <w:sz w:val="24"/>
          <w:szCs w:val="24"/>
          <w:highlight w:val="none"/>
        </w:rPr>
        <w:t xml:space="preserve">主持，邀请投标人</w:t>
      </w:r>
      <w:r>
        <w:rPr>
          <w:rFonts w:hint="eastAsia" w:ascii="宋体" w:hAnsi="宋体" w:eastAsia="宋体" w:cs="宋体"/>
          <w:color w:val="auto"/>
          <w:sz w:val="24"/>
          <w:szCs w:val="24"/>
          <w:highlight w:val="none"/>
          <w:lang w:val="en-US"/>
        </w:rPr>
        <w:t xml:space="preserve">在线</w:t>
      </w:r>
      <w:r>
        <w:rPr>
          <w:rFonts w:hint="eastAsia" w:ascii="宋体" w:hAnsi="宋体" w:eastAsia="宋体" w:cs="宋体"/>
          <w:color w:val="auto"/>
          <w:sz w:val="24"/>
          <w:szCs w:val="24"/>
          <w:highlight w:val="none"/>
        </w:rPr>
        <w:t xml:space="preserve">参加。投标人应当按照《苏采云系统供应商操作手册》规定，参加开标活动和在“苏采云”系统规定的时间内对投标文件进行解密。评标委员会成员不得参加开标活动。</w:t>
      </w:r>
      <w:r/>
    </w:p>
    <w:p>
      <w:pPr>
        <w:ind w:firstLine="480"/>
        <w:spacing w:line="360" w:lineRule="auto"/>
        <w:tabs>
          <w:tab w:val="left" w:pos="142" w:leader="none"/>
          <w:tab w:val="left" w:pos="600" w:leader="none"/>
        </w:tabs>
        <w:rPr>
          <w:rFonts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4.1.</w:t>
      </w: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zh-CN"/>
        </w:rPr>
        <w:t xml:space="preserve">开标时，由采购代理机构</w:t>
      </w:r>
      <w:r>
        <w:rPr>
          <w:rFonts w:hint="eastAsia" w:ascii="宋体" w:hAnsi="宋体" w:eastAsia="宋体" w:cs="宋体"/>
          <w:color w:val="auto"/>
          <w:sz w:val="24"/>
          <w:szCs w:val="24"/>
          <w:highlight w:val="none"/>
        </w:rPr>
        <w:t xml:space="preserve">通过“苏采云”系统在线</w:t>
      </w:r>
      <w:r>
        <w:rPr>
          <w:rFonts w:hint="eastAsia" w:ascii="宋体" w:hAnsi="宋体" w:eastAsia="宋体" w:cs="宋体"/>
          <w:color w:val="auto"/>
          <w:sz w:val="24"/>
          <w:szCs w:val="24"/>
          <w:highlight w:val="none"/>
          <w:lang w:val="zh-CN"/>
        </w:rPr>
        <w:t xml:space="preserve">宣布投标人名称、投标价格和招标文件规定的需要宣布的其他内容。</w:t>
      </w:r>
      <w:r>
        <w:rPr>
          <w:rFonts w:hint="eastAsia" w:ascii="宋体" w:hAnsi="宋体" w:eastAsia="宋体" w:cs="宋体"/>
          <w:color w:val="auto"/>
          <w:sz w:val="24"/>
          <w:szCs w:val="24"/>
          <w:highlight w:val="none"/>
        </w:rPr>
        <w:t xml:space="preserve">投标人在不见面开标系统中确认投标价格，如</w:t>
      </w:r>
      <w:r>
        <w:rPr>
          <w:rFonts w:hint="eastAsia" w:ascii="宋体" w:hAnsi="宋体" w:eastAsia="宋体" w:cs="宋体"/>
          <w:color w:val="auto"/>
          <w:sz w:val="24"/>
          <w:szCs w:val="24"/>
          <w:highlight w:val="none"/>
          <w:lang w:val="zh-CN"/>
        </w:rPr>
        <w:t xml:space="preserve">投标人未</w:t>
      </w:r>
      <w:r>
        <w:rPr>
          <w:rFonts w:hint="eastAsia" w:ascii="宋体" w:hAnsi="宋体" w:eastAsia="宋体" w:cs="宋体"/>
          <w:color w:val="auto"/>
          <w:sz w:val="24"/>
          <w:szCs w:val="24"/>
          <w:highlight w:val="none"/>
        </w:rPr>
        <w:t xml:space="preserve">在线</w:t>
      </w:r>
      <w:r>
        <w:rPr>
          <w:rFonts w:hint="eastAsia" w:ascii="宋体" w:hAnsi="宋体" w:eastAsia="宋体" w:cs="宋体"/>
          <w:color w:val="auto"/>
          <w:sz w:val="24"/>
          <w:szCs w:val="24"/>
          <w:highlight w:val="none"/>
          <w:lang w:val="zh-CN"/>
        </w:rPr>
        <w:t xml:space="preserve">参加开标</w:t>
      </w:r>
      <w:r>
        <w:rPr>
          <w:rFonts w:hint="eastAsia" w:ascii="宋体" w:hAnsi="宋体" w:eastAsia="宋体" w:cs="宋体"/>
          <w:color w:val="auto"/>
          <w:sz w:val="24"/>
          <w:szCs w:val="24"/>
          <w:highlight w:val="none"/>
        </w:rPr>
        <w:t xml:space="preserve">或未在规定时间内确认价格</w:t>
      </w:r>
      <w:r>
        <w:rPr>
          <w:rFonts w:hint="eastAsia" w:ascii="宋体" w:hAnsi="宋体" w:eastAsia="宋体" w:cs="宋体"/>
          <w:color w:val="auto"/>
          <w:sz w:val="24"/>
          <w:szCs w:val="24"/>
          <w:highlight w:val="none"/>
          <w:lang w:val="zh-CN"/>
        </w:rPr>
        <w:t xml:space="preserve">的，视同认可开标结果。</w:t>
      </w:r>
      <w:r/>
    </w:p>
    <w:p>
      <w:pPr>
        <w:ind w:firstLine="480"/>
        <w:spacing w:line="360" w:lineRule="auto"/>
        <w:tabs>
          <w:tab w:val="left" w:pos="142" w:leader="none"/>
          <w:tab w:val="left" w:pos="60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4.2资格审查</w:t>
      </w:r>
      <w:r/>
    </w:p>
    <w:p>
      <w:pPr>
        <w:ind w:firstLine="480"/>
        <w:spacing w:line="360" w:lineRule="auto"/>
        <w:tabs>
          <w:tab w:val="left" w:pos="142" w:leader="none"/>
          <w:tab w:val="left" w:pos="60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44.2.1公开招标采购项目开标结束后，采购人应当依法对投标人的资格进行审查，未通过资格审查的视为无效投标。</w:t>
      </w:r>
      <w:r/>
    </w:p>
    <w:p>
      <w:pPr>
        <w:ind w:firstLine="480"/>
        <w:spacing w:line="360" w:lineRule="auto"/>
        <w:tabs>
          <w:tab w:val="left" w:pos="142" w:leader="none"/>
          <w:tab w:val="left" w:pos="60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4.2.2根据政府采购法及相关法规，以及苏州市财政局《关于印发苏州市市级政府采购信用记录查询和使用工作试行办法的通知》（苏财购（2017）11号）文件的规定，采购代理机构将对供应商进行信用查询。</w:t>
      </w:r>
      <w:r/>
    </w:p>
    <w:p>
      <w:pPr>
        <w:ind w:firstLine="480"/>
        <w:spacing w:line="360" w:lineRule="auto"/>
        <w:tabs>
          <w:tab w:val="left" w:pos="142" w:leader="none"/>
          <w:tab w:val="left" w:pos="60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4.2.2.1查询时间：投标文件提交截止时间。</w:t>
      </w:r>
      <w:r/>
    </w:p>
    <w:p>
      <w:pPr>
        <w:ind w:firstLine="480"/>
        <w:spacing w:line="360" w:lineRule="auto"/>
        <w:tabs>
          <w:tab w:val="left" w:pos="142" w:leader="none"/>
          <w:tab w:val="left" w:pos="60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4.2.2.2查询渠道：通过“信用中国”及“中国政府采购网” 上的信用信息查询供应商的信用记录。 </w:t>
      </w:r>
      <w:r/>
    </w:p>
    <w:p>
      <w:pPr>
        <w:ind w:firstLine="480"/>
        <w:spacing w:line="360" w:lineRule="auto"/>
        <w:tabs>
          <w:tab w:val="left" w:pos="142" w:leader="none"/>
          <w:tab w:val="left" w:pos="60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4.2.2.3查询证据留存方式：采购人、采购代理机构工作人员等应按照相关管理办法查询相关主体的信用记录，并保存好相关证据材料，信用查询记录及相关证据应当归入采购档案妥善保管。采购代理机构工作人员应登录到来源网站页面进行复核并打印，作为证据留存。</w:t>
      </w:r>
      <w:r/>
    </w:p>
    <w:p>
      <w:pPr>
        <w:ind w:firstLine="480"/>
        <w:spacing w:line="360" w:lineRule="auto"/>
        <w:tabs>
          <w:tab w:val="left" w:pos="142" w:leader="none"/>
          <w:tab w:val="left" w:pos="60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4.2.2.4信用记录使用规则：评审小组在对供应商进行资格性审查时，应根据查询结果对供应商的不良信用记录逐项甄别确认。按照《中华人民共和国政府采购法》第二十二条规定，</w:t>
      </w:r>
      <w:r>
        <w:rPr>
          <w:rFonts w:hint="eastAsia" w:ascii="宋体" w:hAnsi="宋体" w:eastAsia="宋体" w:cs="宋体"/>
          <w:bCs/>
          <w:color w:val="auto"/>
          <w:sz w:val="24"/>
          <w:szCs w:val="24"/>
          <w:highlight w:val="none"/>
        </w:rPr>
        <w:t xml:space="preserve">信用记录属于应依法拒绝供应商参加政府采购的失信信息，存在此类失信信息的投标人的投标无效。</w:t>
      </w:r>
      <w:r/>
    </w:p>
    <w:p>
      <w:pPr>
        <w:ind w:firstLine="480"/>
        <w:spacing w:line="360" w:lineRule="auto"/>
        <w:tabs>
          <w:tab w:val="left" w:pos="142" w:leader="none"/>
          <w:tab w:val="left" w:pos="60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4.3评标委员会</w:t>
      </w:r>
      <w:r/>
    </w:p>
    <w:p>
      <w:pPr>
        <w:ind w:firstLine="480"/>
        <w:spacing w:line="360" w:lineRule="auto"/>
        <w:tabs>
          <w:tab w:val="left" w:pos="142" w:leader="none"/>
          <w:tab w:val="left" w:pos="60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4.3.1采购人或采购代理机构负责组织评标工作，评标委员会由采购人代表和评审专家组成，负责具体评标事务，并独立履行职责。</w:t>
      </w:r>
      <w:r/>
    </w:p>
    <w:p>
      <w:pPr>
        <w:ind w:firstLine="480"/>
        <w:spacing w:line="360" w:lineRule="auto"/>
        <w:tabs>
          <w:tab w:val="left" w:pos="142" w:leader="none"/>
          <w:tab w:val="left" w:pos="60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4.3.2评审专家与参加采购活动的供应商存在下列利害关系之一的，应当回避：</w:t>
      </w:r>
      <w:r/>
    </w:p>
    <w:p>
      <w:pPr>
        <w:ind w:firstLine="480"/>
        <w:spacing w:line="360" w:lineRule="auto"/>
        <w:tabs>
          <w:tab w:val="left" w:pos="142" w:leader="none"/>
          <w:tab w:val="left" w:pos="60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（一）参加采购活动前三年内，与供应商存在劳动关系，或者担任过供应商的董事、监事，或者是供应商的控股股东或实际控制人；</w:t>
      </w:r>
      <w:r/>
    </w:p>
    <w:p>
      <w:pPr>
        <w:ind w:firstLine="480"/>
        <w:spacing w:line="360" w:lineRule="auto"/>
        <w:tabs>
          <w:tab w:val="left" w:pos="142" w:leader="none"/>
          <w:tab w:val="left" w:pos="60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（二）与供应商的法定代表人或者负责人有夫妻、直系血亲、三代以内旁系血亲或者近姻亲关系；</w:t>
      </w:r>
      <w:r/>
    </w:p>
    <w:p>
      <w:pPr>
        <w:ind w:firstLine="480"/>
        <w:spacing w:line="360" w:lineRule="auto"/>
        <w:tabs>
          <w:tab w:val="left" w:pos="142" w:leader="none"/>
          <w:tab w:val="left" w:pos="60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（三）与供应商有其他可能影响政府采购活动公平、公正进行的关系。</w:t>
      </w:r>
      <w:r/>
    </w:p>
    <w:p>
      <w:pPr>
        <w:ind w:firstLine="480"/>
        <w:spacing w:line="360" w:lineRule="auto"/>
        <w:tabs>
          <w:tab w:val="left" w:pos="142" w:leader="none"/>
          <w:tab w:val="left" w:pos="60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评审专家发现本人与参加采购活动的供应商有利害关系的，应当主动提出回避。采购人或者采购代理机构发现评审专家与参加采购活动的供应商有利害关系的，应当要求其回避。</w:t>
      </w:r>
      <w:r/>
    </w:p>
    <w:p>
      <w:pPr>
        <w:ind w:firstLine="480"/>
        <w:spacing w:line="360" w:lineRule="auto"/>
        <w:tabs>
          <w:tab w:val="left" w:pos="142" w:leader="none"/>
          <w:tab w:val="left" w:pos="60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4.3.3评审专家应当遵守评审工作纪律，不得泄露评审文件、评审情况和评审中获悉的商业秘密。评标委员会在评审过程中发现供应商有行贿、提供虚假材料或者串通等违法行为的，应当及时向财政部门报告。政府采购评审专家在评审过程中受到非法干预的，应当及时向财政、监察等部门举报。</w:t>
      </w:r>
      <w:r/>
    </w:p>
    <w:p>
      <w:pPr>
        <w:ind w:firstLine="480"/>
        <w:spacing w:line="360" w:lineRule="auto"/>
        <w:tabs>
          <w:tab w:val="left" w:pos="142" w:leader="none"/>
          <w:tab w:val="left" w:pos="60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4.3.4评标委员会成员应当按照客观、公正、审慎的原则，根据招标文件规定的评审程序、评审方法和评审标准进行独立评审。</w:t>
      </w:r>
      <w:r/>
    </w:p>
    <w:p>
      <w:pPr>
        <w:ind w:firstLine="480"/>
        <w:spacing w:line="360" w:lineRule="auto"/>
        <w:tabs>
          <w:tab w:val="left" w:pos="142" w:leader="none"/>
          <w:tab w:val="left" w:pos="60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4.4评标</w:t>
      </w:r>
      <w:r/>
    </w:p>
    <w:p>
      <w:pPr>
        <w:ind w:firstLine="480"/>
        <w:spacing w:line="360" w:lineRule="auto"/>
        <w:tabs>
          <w:tab w:val="left" w:pos="142" w:leader="none"/>
          <w:tab w:val="left" w:pos="60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4.4.1符合性审查</w:t>
      </w:r>
      <w:r/>
    </w:p>
    <w:p>
      <w:pPr>
        <w:ind w:firstLine="480"/>
        <w:spacing w:line="360" w:lineRule="auto"/>
        <w:tabs>
          <w:tab w:val="left" w:pos="142" w:leader="none"/>
          <w:tab w:val="left" w:pos="60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评标委员会应当对符合资格的投标人的投标文件进行符合性审查，以确定其是否满足招标文件的实质性要求。未满足本项目实质性要求的认定为无效投标。</w:t>
      </w:r>
      <w:r/>
    </w:p>
    <w:p>
      <w:pPr>
        <w:ind w:firstLine="480"/>
        <w:spacing w:line="360" w:lineRule="auto"/>
        <w:tabs>
          <w:tab w:val="left" w:pos="142" w:leader="none"/>
          <w:tab w:val="left" w:pos="60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4.4.2投标文件的比较和评价</w:t>
      </w:r>
      <w:r/>
    </w:p>
    <w:p>
      <w:pPr>
        <w:ind w:firstLine="480"/>
        <w:spacing w:line="360" w:lineRule="auto"/>
        <w:tabs>
          <w:tab w:val="left" w:pos="142" w:leader="none"/>
          <w:tab w:val="left" w:pos="60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4.4.2.1评标委员会应当按照招标文件中规定的评标方法和标准，对符合性审查合格的投标文件进行商务和技术评估，综合比较与评价。</w:t>
      </w:r>
      <w:r/>
    </w:p>
    <w:p>
      <w:pPr>
        <w:ind w:firstLine="480"/>
        <w:spacing w:line="360" w:lineRule="auto"/>
        <w:tabs>
          <w:tab w:val="left" w:pos="142" w:leader="none"/>
          <w:tab w:val="left" w:pos="60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4.4.2.2本项目采用综合评分法，即指投标文件满足招标文件全部实质性要求，且按照评审因素的量化指标评审得分最高的投标人为中标候选人的评标方法。评标方法和评分标准见第六章。</w:t>
      </w:r>
      <w:r/>
    </w:p>
    <w:p>
      <w:pPr>
        <w:ind w:firstLine="480"/>
        <w:spacing w:line="360" w:lineRule="auto"/>
        <w:tabs>
          <w:tab w:val="left" w:pos="142" w:leader="none"/>
          <w:tab w:val="left" w:pos="60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4.4.2.3价格修正</w:t>
      </w:r>
      <w:r/>
    </w:p>
    <w:p>
      <w:pPr>
        <w:ind w:firstLine="480"/>
        <w:spacing w:line="360" w:lineRule="auto"/>
        <w:tabs>
          <w:tab w:val="left" w:pos="142" w:leader="none"/>
          <w:tab w:val="left" w:pos="60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投标文件报价出现前后不一致的，除招标文件另有规定外，按下列规定修正：</w:t>
      </w:r>
      <w:r/>
    </w:p>
    <w:p>
      <w:pPr>
        <w:ind w:firstLine="480"/>
        <w:spacing w:line="360" w:lineRule="auto"/>
        <w:tabs>
          <w:tab w:val="left" w:pos="142" w:leader="none"/>
          <w:tab w:val="left" w:pos="60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（一）投标文件中开标一览表（报价表）内容与投标文件中相应内容不一致的，以开标一览表（报价表）为准；</w:t>
      </w:r>
      <w:r/>
    </w:p>
    <w:p>
      <w:pPr>
        <w:ind w:firstLine="480"/>
        <w:spacing w:line="360" w:lineRule="auto"/>
        <w:tabs>
          <w:tab w:val="left" w:pos="142" w:leader="none"/>
          <w:tab w:val="left" w:pos="60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（二）大写金额和小写金额不一致的，以大写金额为准；</w:t>
      </w:r>
      <w:r/>
    </w:p>
    <w:p>
      <w:pPr>
        <w:ind w:firstLine="480"/>
        <w:spacing w:line="360" w:lineRule="auto"/>
        <w:tabs>
          <w:tab w:val="left" w:pos="142" w:leader="none"/>
          <w:tab w:val="left" w:pos="60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（三）单价金额小数点或者百分比有明显错位的，以开标一览表的总价为准，并修改单价；</w:t>
      </w:r>
      <w:r/>
    </w:p>
    <w:p>
      <w:pPr>
        <w:ind w:firstLine="480"/>
        <w:spacing w:line="360" w:lineRule="auto"/>
        <w:tabs>
          <w:tab w:val="left" w:pos="142" w:leader="none"/>
          <w:tab w:val="left" w:pos="60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（四）总价金额与按单价汇总金额不一致的，以单价金额计算结果为准。</w:t>
      </w:r>
      <w:r/>
    </w:p>
    <w:p>
      <w:pPr>
        <w:ind w:firstLine="480"/>
        <w:spacing w:line="360" w:lineRule="auto"/>
        <w:tabs>
          <w:tab w:val="left" w:pos="142" w:leader="none"/>
          <w:tab w:val="left" w:pos="60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同时出现两种以上不一致的，按照前款规定的顺序修正。</w:t>
      </w:r>
      <w:r/>
    </w:p>
    <w:p>
      <w:pPr>
        <w:ind w:firstLine="480"/>
        <w:spacing w:line="360" w:lineRule="auto"/>
        <w:tabs>
          <w:tab w:val="left" w:pos="142" w:leader="none"/>
          <w:tab w:val="left" w:pos="60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修正后的报价按照《中华人民共和国财政部令第87号》第五十一条第二款的规定经投标人确认后产生约束力，投标人不确认的，其投标无效。</w:t>
      </w:r>
      <w:r/>
    </w:p>
    <w:p>
      <w:pPr>
        <w:ind w:left="5" w:firstLine="518"/>
        <w:spacing w:line="360" w:lineRule="auto"/>
        <w:tabs>
          <w:tab w:val="left" w:pos="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4.4.2.4</w:t>
      </w:r>
      <w:r>
        <w:rPr>
          <w:rFonts w:ascii="宋体" w:hAnsi="宋体" w:eastAsia="宋体" w:cs="宋体"/>
          <w:color w:val="auto"/>
          <w:sz w:val="24"/>
          <w:szCs w:val="24"/>
          <w:highlight w:val="none"/>
        </w:rPr>
        <w:t xml:space="preserve">评审过程中出现下列情形之一的，评审委员会应当启动异常低价投标（响应）审查程序：</w:t>
      </w:r>
      <w:r/>
    </w:p>
    <w:p>
      <w:pPr>
        <w:ind w:left="5" w:firstLine="518"/>
        <w:spacing w:line="360" w:lineRule="auto"/>
        <w:tabs>
          <w:tab w:val="left" w:pos="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①投标(响应)报价低于全部通过符合性审查供应商投标(响应)报价平均值50％的，即投标(响应)报价＜全部通过符合性审查供应商投标(响应)报价平均值×50％</w:t>
      </w:r>
      <w:r>
        <w:rPr>
          <w:rFonts w:ascii="宋体" w:hAnsi="宋体" w:eastAsia="宋体" w:cs="宋体"/>
          <w:color w:val="auto"/>
          <w:sz w:val="24"/>
          <w:szCs w:val="24"/>
          <w:highlight w:val="none"/>
        </w:rPr>
        <w:t xml:space="preserve">；</w:t>
      </w:r>
      <w:r/>
    </w:p>
    <w:p>
      <w:pPr>
        <w:ind w:left="5" w:firstLine="518"/>
        <w:spacing w:line="360" w:lineRule="auto"/>
        <w:tabs>
          <w:tab w:val="left" w:pos="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②投标(响应)报价低于通过符合性审查的次低报价供应商投标(响应)报价50％的，即投标(响应)报价＜通过符合性审查的次低报价供应商投标(响应)报价×50％</w:t>
      </w:r>
      <w:r>
        <w:rPr>
          <w:rFonts w:ascii="宋体" w:hAnsi="宋体" w:eastAsia="宋体" w:cs="宋体"/>
          <w:color w:val="auto"/>
          <w:sz w:val="24"/>
          <w:szCs w:val="24"/>
          <w:highlight w:val="none"/>
        </w:rPr>
        <w:t xml:space="preserve">； </w:t>
      </w:r>
      <w:r/>
    </w:p>
    <w:p>
      <w:pPr>
        <w:ind w:left="5" w:firstLine="518"/>
        <w:spacing w:line="360" w:lineRule="auto"/>
        <w:tabs>
          <w:tab w:val="left" w:pos="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③投标(响应)报价低于采购项目最高限价45％的，即投标(响应)报价＜采购项目最高限价×45％；</w:t>
      </w:r>
      <w:r/>
    </w:p>
    <w:p>
      <w:pPr>
        <w:ind w:left="5" w:firstLine="518"/>
        <w:spacing w:line="360" w:lineRule="auto"/>
        <w:tabs>
          <w:tab w:val="left" w:pos="0" w:leader="none"/>
        </w:tabs>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④评审委员会基于专业判断，认为供应商报价过低，有可能影响产品质量或者不能诚信履约的其他情形</w:t>
      </w:r>
      <w:r>
        <w:rPr>
          <w:rFonts w:hint="eastAsia" w:ascii="宋体" w:hAnsi="宋体" w:eastAsia="宋体" w:cs="宋体"/>
          <w:color w:val="auto"/>
          <w:sz w:val="24"/>
          <w:szCs w:val="24"/>
          <w:highlight w:val="none"/>
        </w:rPr>
        <w:t xml:space="preserve">。</w:t>
      </w:r>
      <w:r/>
    </w:p>
    <w:p>
      <w:pPr>
        <w:ind w:firstLine="480"/>
        <w:spacing w:line="360" w:lineRule="auto"/>
        <w:tabs>
          <w:tab w:val="left" w:pos="142" w:leader="none"/>
          <w:tab w:val="left" w:pos="60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4.4.2.5启动异常低价投标审查后，</w:t>
      </w:r>
      <w:bookmarkStart w:id="3" w:name="OLE_LINK1"/>
      <w:r/>
      <w:bookmarkStart w:id="4" w:name="OLE_LINK2"/>
      <w:r>
        <w:rPr>
          <w:rFonts w:hint="eastAsia" w:ascii="宋体" w:hAnsi="宋体" w:eastAsia="宋体" w:cs="宋体"/>
          <w:color w:val="auto"/>
          <w:sz w:val="24"/>
          <w:szCs w:val="24"/>
          <w:highlight w:val="none"/>
        </w:rPr>
        <w:t xml:space="preserve">评标委员会</w:t>
      </w:r>
      <w:bookmarkEnd w:id="3"/>
      <w:r/>
      <w:bookmarkEnd w:id="4"/>
      <w:r>
        <w:rPr>
          <w:rFonts w:hint="eastAsia" w:ascii="宋体" w:hAnsi="宋体" w:eastAsia="宋体" w:cs="宋体"/>
          <w:color w:val="auto"/>
          <w:sz w:val="24"/>
          <w:szCs w:val="24"/>
          <w:highlight w:val="none"/>
        </w:rPr>
        <w:t xml:space="preserve">应当要求相关供应商在评标现场合理的时间内对投标价格作出解释，提供项目具体成本测算等与报价合理性相关的书面说明及相关证明材料</w:t>
      </w:r>
      <w:bookmarkStart w:id="5" w:name="OLE_LINK9"/>
      <w:r/>
      <w:bookmarkStart w:id="6" w:name="OLE_LINK10"/>
      <w:r>
        <w:rPr>
          <w:rFonts w:hint="eastAsia" w:ascii="宋体" w:hAnsi="宋体" w:eastAsia="宋体" w:cs="宋体"/>
          <w:color w:val="auto"/>
          <w:sz w:val="24"/>
          <w:szCs w:val="24"/>
          <w:highlight w:val="none"/>
        </w:rPr>
        <w:t xml:space="preserve">，</w:t>
      </w:r>
      <w:bookmarkEnd w:id="5"/>
      <w:r/>
      <w:bookmarkEnd w:id="6"/>
      <w:r>
        <w:rPr>
          <w:rFonts w:hint="eastAsia" w:ascii="宋体" w:hAnsi="宋体" w:eastAsia="宋体" w:cs="宋体"/>
          <w:color w:val="auto"/>
          <w:sz w:val="24"/>
          <w:szCs w:val="24"/>
          <w:highlight w:val="none"/>
        </w:rPr>
        <w:t xml:space="preserve">包括但不限于原材料成本、人工成本、制造费用等，给予相关供应商的合理时间一般不少于30分钟。其中，属于4.4.2.4第③项情形，供应商已随投标文件一并提交相关书面说明及必要的证明材料的，在评审现场可不再重复提交。</w:t>
      </w:r>
      <w:r/>
    </w:p>
    <w:p>
      <w:pPr>
        <w:ind w:firstLine="480"/>
        <w:spacing w:line="360" w:lineRule="auto"/>
        <w:tabs>
          <w:tab w:val="left" w:pos="142" w:leader="none"/>
          <w:tab w:val="left" w:pos="60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4.4.2.6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p>
    <w:p>
      <w:pPr>
        <w:ind w:firstLine="480"/>
        <w:spacing w:line="360" w:lineRule="auto"/>
        <w:tabs>
          <w:tab w:val="left" w:pos="142" w:leader="none"/>
          <w:tab w:val="left" w:pos="60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4.4.2.7异常低价投标（响应）审查的启动原因、审查意见和审查结果应当在评审报告中记录，并随供应商提供的相关书面说明及证明材料等一并归档。</w:t>
      </w:r>
      <w:r/>
    </w:p>
    <w:p>
      <w:pPr>
        <w:ind w:firstLine="480"/>
        <w:spacing w:line="360" w:lineRule="auto"/>
        <w:tabs>
          <w:tab w:val="left" w:pos="142" w:leader="none"/>
          <w:tab w:val="left" w:pos="60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4.4.2.6评标委员会成员对需要共同认定的事项存在争议的，应当按照少数服从多数的原则作出结论。持不同意见的评标委员会成员应当在评标报告上签署不同意见及理由，否则视为同意评标报告。</w:t>
      </w:r>
      <w:r/>
    </w:p>
    <w:p>
      <w:pPr>
        <w:ind w:firstLine="480"/>
        <w:spacing w:line="360" w:lineRule="auto"/>
        <w:tabs>
          <w:tab w:val="left" w:pos="142" w:leader="none"/>
          <w:tab w:val="left" w:pos="60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4.4.3投标的澄清</w:t>
      </w:r>
      <w:r/>
    </w:p>
    <w:p>
      <w:pPr>
        <w:ind w:firstLine="480"/>
        <w:spacing w:line="360" w:lineRule="auto"/>
        <w:tabs>
          <w:tab w:val="left" w:pos="142" w:leader="none"/>
          <w:tab w:val="left" w:pos="60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4.4.3.1评审小组可以要求供应商对于投标文件中含义不明确、同类问题表述不一致或者有明显文字和计算错误的内容等作出必要的澄清、说明或者更正。供应商的澄清、说明或者补正不得超出投标文件的范围或者改变投标文件的实质性内容。</w:t>
      </w:r>
      <w:r/>
    </w:p>
    <w:p>
      <w:pPr>
        <w:ind w:firstLine="480"/>
        <w:spacing w:line="360" w:lineRule="auto"/>
        <w:tabs>
          <w:tab w:val="left" w:pos="142" w:leader="none"/>
          <w:tab w:val="left" w:pos="60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4.4.3.2本项目采用线上澄清。</w:t>
      </w:r>
      <w:r/>
    </w:p>
    <w:p>
      <w:pPr>
        <w:ind w:firstLine="480"/>
        <w:spacing w:line="360" w:lineRule="auto"/>
        <w:tabs>
          <w:tab w:val="left" w:pos="142" w:leader="none"/>
          <w:tab w:val="left" w:pos="60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4.4.3.3线上澄清答复的方式：需要供应商进行澄清、说明和更正的，评审小组将通过苏采云系统向供应商发布“澄清要求函”，接到“澄清要求函”的供应商应当按照要求在苏采云系统中提交“澄清响应函”并加盖CA电子公章。澄清、说明和更正的内容作为响应文件的补充部分，具体操作方式见《操作手册》。未加盖CA电子公章的澄清无效。</w:t>
      </w:r>
      <w:r/>
    </w:p>
    <w:p>
      <w:pPr>
        <w:ind w:firstLine="480"/>
        <w:spacing w:line="360" w:lineRule="auto"/>
        <w:tabs>
          <w:tab w:val="left" w:pos="142" w:leader="none"/>
          <w:tab w:val="left" w:pos="60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4.4.3.4接到评审小组澄清、说明和更正要求的供应商如未按规定做出澄清、说明和更正，其风险由供应商自行承担。</w:t>
      </w:r>
      <w:r/>
    </w:p>
    <w:p>
      <w:pPr>
        <w:ind w:firstLine="480"/>
        <w:spacing w:line="360" w:lineRule="auto"/>
        <w:tabs>
          <w:tab w:val="left" w:pos="142" w:leader="none"/>
          <w:tab w:val="left" w:pos="60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5、废标</w:t>
      </w:r>
      <w:r/>
    </w:p>
    <w:p>
      <w:pPr>
        <w:ind w:firstLine="480"/>
        <w:spacing w:line="360" w:lineRule="auto"/>
        <w:tabs>
          <w:tab w:val="left" w:pos="142" w:leader="none"/>
          <w:tab w:val="left" w:pos="600" w:leader="none"/>
        </w:tabs>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5.1出现下列情形之一的，应予废标：</w:t>
      </w:r>
      <w:r/>
    </w:p>
    <w:p>
      <w:pPr>
        <w:ind w:firstLine="480"/>
        <w:spacing w:line="360" w:lineRule="auto"/>
        <w:tabs>
          <w:tab w:val="left" w:pos="142" w:leader="none"/>
          <w:tab w:val="left" w:pos="60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（一）符合专业条件的供应商或者对招标文件作实质响应的供应商不足三家的；</w:t>
      </w:r>
      <w:r/>
    </w:p>
    <w:p>
      <w:pPr>
        <w:ind w:firstLine="480"/>
        <w:spacing w:line="360" w:lineRule="auto"/>
        <w:tabs>
          <w:tab w:val="left" w:pos="142" w:leader="none"/>
          <w:tab w:val="left" w:pos="60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（二）出现影响采购公正的违法、违规行为的；</w:t>
      </w:r>
      <w:r/>
    </w:p>
    <w:p>
      <w:pPr>
        <w:ind w:firstLine="480"/>
        <w:spacing w:line="360" w:lineRule="auto"/>
        <w:tabs>
          <w:tab w:val="left" w:pos="142" w:leader="none"/>
          <w:tab w:val="left" w:pos="60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（三）投标人的报价均超过了采购预算，采购人不能支付的；</w:t>
      </w:r>
      <w:r/>
    </w:p>
    <w:p>
      <w:pPr>
        <w:ind w:firstLine="480"/>
        <w:spacing w:line="360" w:lineRule="auto"/>
        <w:tabs>
          <w:tab w:val="left" w:pos="142" w:leader="none"/>
          <w:tab w:val="left" w:pos="60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（四）因重大变故，采购任务取消的。</w:t>
      </w:r>
      <w:r/>
    </w:p>
    <w:p>
      <w:pPr>
        <w:ind w:firstLine="480"/>
        <w:spacing w:line="360" w:lineRule="auto"/>
        <w:tabs>
          <w:tab w:val="left" w:pos="142" w:leader="none"/>
          <w:tab w:val="left" w:pos="600" w:leader="none"/>
        </w:tabs>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5.2废标后，采购人应当将废标理由通知所有投标人。</w:t>
      </w:r>
      <w:r/>
    </w:p>
    <w:p>
      <w:pPr>
        <w:ind w:firstLine="480"/>
        <w:spacing w:line="360" w:lineRule="auto"/>
        <w:tabs>
          <w:tab w:val="left" w:pos="142" w:leader="none"/>
          <w:tab w:val="left" w:pos="600" w:leader="none"/>
        </w:tabs>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6、中标</w:t>
      </w:r>
      <w:r/>
    </w:p>
    <w:p>
      <w:pPr>
        <w:ind w:firstLine="480"/>
        <w:spacing w:line="360" w:lineRule="auto"/>
        <w:tabs>
          <w:tab w:val="left" w:pos="142" w:leader="none"/>
          <w:tab w:val="left" w:pos="60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6.1本项目评标方法采用综合评分法，即指投标文件满足招标文件全部实质性要求，且按照评审因素的量化指标评审得分最高的投标人为中标候选人的评标方法。</w:t>
      </w:r>
      <w:r/>
    </w:p>
    <w:p>
      <w:pPr>
        <w:ind w:firstLine="480"/>
        <w:spacing w:line="360" w:lineRule="auto"/>
        <w:tabs>
          <w:tab w:val="left" w:pos="142" w:leader="none"/>
          <w:tab w:val="left" w:pos="60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6.2评标结果按评审后得分由高到低顺序排列。得分相同的，按投标报价由低到高顺序排列。得分且投标报价相同的，则由评标委员会组织抽签确定中标候选人顺序。</w:t>
      </w:r>
      <w:r/>
    </w:p>
    <w:p>
      <w:pPr>
        <w:ind w:firstLine="480"/>
        <w:spacing w:line="360" w:lineRule="auto"/>
        <w:tabs>
          <w:tab w:val="left" w:pos="142" w:leader="none"/>
          <w:tab w:val="left" w:pos="60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6.3评标委员会在确定的中标候选人名单中按顺序确定中标单位，中标候选人并列的，按照招标文件规定的方式确定中标单位。</w:t>
      </w:r>
      <w:r/>
    </w:p>
    <w:p>
      <w:pPr>
        <w:ind w:firstLine="480"/>
        <w:spacing w:line="360" w:lineRule="auto"/>
        <w:tabs>
          <w:tab w:val="left" w:pos="142" w:leader="none"/>
          <w:tab w:val="left" w:pos="60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6.4采购人或者采购代理机构应当自中标单位确定之日起2个工作日内将中标单位在政府采购信息媒体上发布中标公告，中标公告期限为1个工作日。</w:t>
      </w:r>
      <w:r/>
    </w:p>
    <w:p>
      <w:pPr>
        <w:ind w:firstLine="480"/>
        <w:spacing w:line="360" w:lineRule="auto"/>
        <w:tabs>
          <w:tab w:val="left" w:pos="142" w:leader="none"/>
          <w:tab w:val="left" w:pos="60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6.5采购人或采购代理机构根据相关规定发布中标公告，中标公告发出的同时应当向中标供应商发出《中标通知书》</w:t>
      </w:r>
      <w:bookmarkStart w:id="7" w:name="_Hlk132385577"/>
      <w:r/>
      <w:bookmarkStart w:id="8" w:name="_Hlk132385599"/>
      <w:r/>
      <w:bookmarkStart w:id="9" w:name="_Hlk132389804"/>
      <w:r>
        <w:rPr>
          <w:rFonts w:hint="eastAsia" w:ascii="宋体" w:hAnsi="宋体" w:eastAsia="宋体" w:cs="宋体"/>
          <w:color w:val="auto"/>
          <w:sz w:val="24"/>
          <w:szCs w:val="24"/>
          <w:highlight w:val="none"/>
        </w:rPr>
        <w:t xml:space="preserve">。请中标供应商在中标结果公告届满之日起30日内，使用CA数字证书登录苏采云系统及时下载成交通知书。因系统存储空间有限，自中标结果公告届满之日起30日后，苏采云系统不再保证提供下载成交通知书服务，因未及时下载而造成的不利后果由成交供应商自行承担）；</w:t>
      </w:r>
      <w:bookmarkEnd w:id="7"/>
      <w:r/>
      <w:bookmarkEnd w:id="8"/>
      <w:r/>
      <w:bookmarkEnd w:id="9"/>
      <w:r>
        <w:rPr>
          <w:rFonts w:hint="eastAsia" w:ascii="宋体" w:hAnsi="宋体" w:eastAsia="宋体" w:cs="宋体"/>
          <w:color w:val="auto"/>
          <w:sz w:val="24"/>
          <w:szCs w:val="24"/>
          <w:highlight w:val="none"/>
        </w:rPr>
        <w:t xml:space="preserve">对未通过资格性审查的供应商，应当告知其未通过的原因；未中标供应商须在成交公告发出之日起2个工作日内向采购代理机构另行提供用以接收《未中标通知书》的电子邮件地址，未按时提供电子邮件地址或提供信息有误的，视为自动放弃并自行承担相应后果。</w:t>
      </w:r>
      <w:r/>
    </w:p>
    <w:p>
      <w:pPr>
        <w:ind w:firstLine="480"/>
        <w:spacing w:line="360" w:lineRule="auto"/>
        <w:tabs>
          <w:tab w:val="left" w:pos="142" w:leader="none"/>
          <w:tab w:val="left" w:pos="60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6.6中标通知书发出后，采购人不得违法改变中标结果，中标单位无正当理由不得放弃中标。</w:t>
      </w:r>
      <w:r/>
    </w:p>
    <w:p>
      <w:pPr>
        <w:ind w:firstLine="480"/>
        <w:spacing w:line="360" w:lineRule="auto"/>
        <w:tabs>
          <w:tab w:val="left" w:pos="142" w:leader="none"/>
          <w:tab w:val="left" w:pos="60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7、履约保证金</w:t>
      </w:r>
      <w:r/>
    </w:p>
    <w:p>
      <w:pPr>
        <w:pStyle w:val="1044"/>
        <w:ind w:firstLine="480"/>
        <w:spacing w:line="360" w:lineRule="auto"/>
        <w:rPr>
          <w:rFonts w:cs="宋体"/>
          <w:color w:val="auto"/>
          <w:highlight w:val="none"/>
        </w:rPr>
      </w:pPr>
      <w:r>
        <w:rPr>
          <w:rFonts w:hint="eastAsia" w:cs="宋体"/>
          <w:color w:val="auto"/>
          <w:highlight w:val="none"/>
        </w:rPr>
        <w:t xml:space="preserve">见第五章合同文本履约保证金条款。</w:t>
      </w:r>
      <w:r/>
    </w:p>
    <w:p>
      <w:pPr>
        <w:ind w:firstLine="480"/>
        <w:spacing w:line="360" w:lineRule="auto"/>
        <w:tabs>
          <w:tab w:val="left" w:pos="142" w:leader="none"/>
          <w:tab w:val="left" w:pos="60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8、合同的签订</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8.1采购人应当自中标通知书发出之日起15日内（最迟30日内</w:t>
      </w:r>
      <w:r>
        <w:rPr>
          <w:rFonts w:hint="eastAsia"/>
          <w:color w:val="auto"/>
          <w:szCs w:val="21"/>
          <w:highlight w:val="none"/>
        </w:rPr>
        <w:t xml:space="preserve">）</w:t>
      </w:r>
      <w:r>
        <w:rPr>
          <w:rFonts w:hint="eastAsia" w:ascii="宋体" w:hAnsi="宋体" w:eastAsia="宋体" w:cs="宋体"/>
          <w:color w:val="auto"/>
          <w:sz w:val="24"/>
          <w:szCs w:val="24"/>
          <w:highlight w:val="none"/>
        </w:rPr>
        <w:t xml:space="preserve">，按照招标文件及投标文件规定与中标单位签订书面合同。</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8.2采购合同的双方当事人不得擅自变更、中止或者终止合同。合同继续履行将损害国家利益和社会公共利益的，双方当事人应当变更、中止或者终止合同。有过错的一方应当承担赔偿责任，双方都有过错的，各自承担相应责任。</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8.3 采购人不得向中标供应商提出任何不合理的要求作为签订合同的条件，不得与中标供应商私下订立背离合同实质性内容的协议。</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8.4依据《政府采购促进中小企业发展管理办法》（财库〔2020〕46号）规定，享受扶持政策获得政府采购合同的，小微企业不得将合同分包给大中型企业，中型企业不得将合同分包给大型企业。</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8.5中标供应商无正当理由不得放弃中标。</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8.6采购合同履行中，采购人需追加与合同标的相同货物、工程或者服务的，在不改变合同其他条款的前提下，可以与供应商协商签订补充合同，但所有补充合同的采购金额不得超过原合同采购金额的百分之十。</w:t>
      </w:r>
      <w:r/>
    </w:p>
    <w:p>
      <w:pPr>
        <w:ind w:firstLine="480"/>
        <w:spacing w:line="360" w:lineRule="auto"/>
        <w:tabs>
          <w:tab w:val="left" w:pos="142" w:leader="none"/>
          <w:tab w:val="left" w:pos="60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9、质疑</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9.1质疑及答复遵守《政府采购质疑和投诉办法》（中华人民共和国财政部令第94号）规定。</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9.2供应商认为招标文件、采购过程和中标、成交结果使自己的权益受到损害的，可以在知道或者应知其权益受到损害之日起七个工作日内，根据《政府采购质疑和投诉办法》（中华人民共和国财政部令第94号）以书面形式向采购人、代理机构提出质疑。采购代理机构应当在收到供应商书面质疑函后七个工作日内作出答复。</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9.3本项目投标人应当在法定质疑期内一次性提出针对同一采购程序环节的质疑。供应商如在法定期限内对同一采购程序环节提出多次质疑的，采购代理机构、采购人将只对供应商第一次质疑作出答复。</w:t>
      </w:r>
      <w:r/>
    </w:p>
    <w:p>
      <w:pPr>
        <w:ind w:firstLine="480"/>
        <w:spacing w:line="360" w:lineRule="auto"/>
        <w:tabs>
          <w:tab w:val="left" w:pos="142" w:leader="none"/>
          <w:tab w:val="left" w:pos="600" w:leader="none"/>
        </w:tabs>
        <w:rPr>
          <w:rFonts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9.4对招标文件内容质疑时，</w:t>
      </w:r>
      <w:r>
        <w:rPr>
          <w:rFonts w:hint="eastAsia" w:ascii="宋体" w:hAnsi="宋体" w:eastAsia="宋体" w:cs="宋体"/>
          <w:color w:val="auto"/>
          <w:sz w:val="24"/>
          <w:szCs w:val="24"/>
          <w:highlight w:val="none"/>
        </w:rPr>
        <w:t xml:space="preserve">需提供在苏采云系统中下载本项目招标文件的《投标供应商确认函》，未提供的视为未依照采购公告要求获取招标文件的供应商，不具备对该政府采购项目提出质疑的法定权利。</w:t>
      </w:r>
      <w:r/>
    </w:p>
    <w:p>
      <w:pPr>
        <w:ind w:firstLine="480"/>
        <w:spacing w:line="360" w:lineRule="auto"/>
        <w:tabs>
          <w:tab w:val="left" w:pos="142" w:leader="none"/>
          <w:tab w:val="left" w:pos="60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9.5接收质疑函的方式为书面形式（当场送达或邮寄方式）</w:t>
      </w:r>
      <w:r>
        <w:rPr>
          <w:rFonts w:hint="eastAsia" w:ascii="宋体" w:hAnsi="宋体" w:eastAsia="宋体" w:cs="宋体"/>
          <w:bCs/>
          <w:color w:val="auto"/>
          <w:sz w:val="24"/>
          <w:szCs w:val="24"/>
          <w:highlight w:val="none"/>
        </w:rPr>
        <w:t xml:space="preserve">向采购人、采购代理机构提出质疑，联系人、联系电话和通讯地址等信息以招标公告中</w:t>
      </w:r>
      <w:r>
        <w:rPr>
          <w:rFonts w:hint="eastAsia" w:ascii="宋体" w:hAnsi="宋体" w:eastAsia="宋体" w:cs="宋体"/>
          <w:color w:val="auto"/>
          <w:sz w:val="24"/>
          <w:szCs w:val="24"/>
          <w:highlight w:val="none"/>
        </w:rPr>
        <w:t xml:space="preserve">对本次招标提出询问，请按以下方式联系</w:t>
      </w:r>
      <w:r>
        <w:rPr>
          <w:rFonts w:hint="eastAsia" w:ascii="宋体" w:hAnsi="宋体" w:eastAsia="宋体" w:cs="宋体"/>
          <w:bCs/>
          <w:color w:val="auto"/>
          <w:sz w:val="24"/>
          <w:szCs w:val="24"/>
          <w:highlight w:val="none"/>
        </w:rPr>
        <w:t xml:space="preserve">为准</w:t>
      </w:r>
      <w:r>
        <w:rPr>
          <w:rFonts w:hint="eastAsia" w:ascii="宋体" w:hAnsi="宋体" w:eastAsia="宋体" w:cs="宋体"/>
          <w:color w:val="auto"/>
          <w:sz w:val="24"/>
          <w:szCs w:val="24"/>
          <w:highlight w:val="none"/>
        </w:rPr>
        <w:t xml:space="preserve">。供应商质疑函范本格式请参照“苏州市政府采购”网站——“下载中心”——“</w:t>
      </w:r>
      <w:r>
        <w:rPr>
          <w:color w:val="auto"/>
          <w:highlight w:val="none"/>
        </w:rPr>
        <w:fldChar w:fldCharType="begin"/>
      </w:r>
      <w:r>
        <w:rPr>
          <w:color w:val="auto"/>
          <w:highlight w:val="none"/>
        </w:rPr>
        <w:instrText xml:space="preserve"> HYPERLINK "http://czju.suzhou.gov.cn/zfcg/html/content/20180305093615738.shtml" \t "http://czju.suzhou.gov.cn/zfcg/html/channel/_blank" \o "政府采购供应商质疑函范本" </w:instrText>
      </w:r>
      <w:r>
        <w:rPr>
          <w:color w:val="auto"/>
          <w:highlight w:val="none"/>
        </w:rPr>
        <w:fldChar w:fldCharType="separate"/>
      </w:r>
      <w:r>
        <w:rPr>
          <w:rFonts w:hint="eastAsia" w:ascii="宋体" w:hAnsi="宋体" w:eastAsia="宋体" w:cs="宋体"/>
          <w:color w:val="auto"/>
          <w:sz w:val="24"/>
          <w:szCs w:val="24"/>
          <w:highlight w:val="none"/>
        </w:rPr>
        <w:t xml:space="preserve">政府采购供应商质疑函范本</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 xml:space="preserve">”。</w:t>
      </w:r>
      <w:r/>
    </w:p>
    <w:p>
      <w:pPr>
        <w:ind w:firstLine="518"/>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10、投标文件的有效期</w:t>
      </w:r>
      <w:r/>
    </w:p>
    <w:p>
      <w:pPr>
        <w:ind w:firstLine="518"/>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10.1投标文件的有效期自提交投标文件的截止之日起九十天，投标文件应保持有效。投标文件的有效期不明确或短于上述规定期限的，投标文件无效。</w:t>
      </w:r>
      <w:r/>
    </w:p>
    <w:p>
      <w:pPr>
        <w:ind w:firstLine="518"/>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10.2在特殊情况下，采购人可与供应商协商延长响应文件的有效期，这种要求和答复都应以书面形式进行。</w:t>
      </w:r>
      <w:r/>
    </w:p>
    <w:p>
      <w:pPr>
        <w:ind w:firstLine="518"/>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11、代理服务费：由中标单位承担。因为本项目代理服务费是去年财政预算申报时已经包含在采购预算内。</w:t>
      </w:r>
      <w:r/>
    </w:p>
    <w:p>
      <w:pPr>
        <w:ind w:firstLine="518"/>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11.1代理服务费以采购预算金额为基数依据，按如下规定的标准和差额定率累进法进行计算收取：</w:t>
      </w:r>
      <w:r/>
    </w:p>
    <w:p>
      <w:pPr>
        <w:ind w:firstLine="518"/>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预算金额100万元以下部分，费率为该部分预算金额的1.5％；</w:t>
      </w:r>
      <w:r/>
    </w:p>
    <w:p>
      <w:pPr>
        <w:ind w:firstLine="518"/>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预算金额100万元（含）－500万元部分，费率为该部分预算金额的1.1％；</w:t>
      </w:r>
      <w:r/>
    </w:p>
    <w:p>
      <w:pPr>
        <w:ind w:firstLine="518"/>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预算金额500万元（含）－1000万元部分，费率为该部分预算金额的0.8％；</w:t>
      </w:r>
      <w:r/>
    </w:p>
    <w:p>
      <w:pPr>
        <w:ind w:firstLine="518"/>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预算金额1000万元（含）－5000万元部分，费率为该部分预算金额的0.5％；</w:t>
      </w:r>
      <w:r/>
    </w:p>
    <w:p>
      <w:pPr>
        <w:ind w:firstLine="518"/>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预算金额5000万元以上部分，费率为该部分预算金额的0.25％。</w:t>
      </w:r>
      <w:r/>
    </w:p>
    <w:p>
      <w:pPr>
        <w:ind w:firstLine="518"/>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11.2本项目代理服务费（人民币）：27870.00元。</w:t>
      </w:r>
      <w:r/>
    </w:p>
    <w:p>
      <w:pPr>
        <w:ind w:firstLine="518"/>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11.3代理服务费由中标单位在领取中标通知书时一次性付清并含在其投标报价中。</w:t>
      </w:r>
      <w:r/>
    </w:p>
    <w:p>
      <w:pPr>
        <w:ind w:firstLine="518"/>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11.4中标单位如果未按上述规定缴纳中标服务费，采购代理机构将保留诉讼的权利。</w:t>
      </w:r>
      <w:r/>
    </w:p>
    <w:p>
      <w:pPr>
        <w:ind w:firstLine="518"/>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11.5采购代理机构服务费账号如下：</w:t>
      </w:r>
      <w:r/>
    </w:p>
    <w:p>
      <w:pPr>
        <w:ind w:firstLine="518"/>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收款单位：苏州正杰招投标咨询服务有限公司。</w:t>
      </w:r>
      <w:r>
        <w:rPr>
          <w:rFonts w:hint="eastAsia" w:ascii="宋体" w:hAnsi="宋体" w:eastAsia="宋体" w:cs="宋体"/>
          <w:bCs/>
          <w:color w:val="auto"/>
          <w:sz w:val="24"/>
          <w:szCs w:val="24"/>
          <w:highlight w:val="none"/>
        </w:rPr>
        <w:tab/>
      </w:r>
      <w:r/>
    </w:p>
    <w:p>
      <w:pPr>
        <w:ind w:firstLine="518"/>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银行账号：89190154740002582。</w:t>
      </w:r>
      <w:r/>
    </w:p>
    <w:p>
      <w:pPr>
        <w:ind w:firstLine="518"/>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开户银行：上海浦东发展银行苏州姑苏支行。</w:t>
      </w:r>
      <w:r/>
    </w:p>
    <w:p>
      <w:pPr>
        <w:ind w:firstLine="518"/>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12、其他事项</w:t>
      </w:r>
      <w:r/>
    </w:p>
    <w:p>
      <w:pPr>
        <w:ind w:firstLine="518"/>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12.1未尽事宜按《中华人民共和国政府采购法》及其他有关法律法规文件的规定执行。</w:t>
      </w:r>
      <w:r/>
    </w:p>
    <w:p>
      <w:pPr>
        <w:pStyle w:val="958"/>
        <w:ind w:firstLine="0"/>
        <w:jc w:val="both"/>
        <w:spacing w:line="360" w:lineRule="auto"/>
        <w:rPr>
          <w:rFonts w:ascii="宋体" w:hAnsi="宋体" w:eastAsia="宋体" w:cs="宋体"/>
          <w:bCs/>
          <w:color w:val="auto"/>
          <w:highlight w:val="none"/>
        </w:rPr>
      </w:pPr>
      <w:r>
        <w:rPr>
          <w:rFonts w:ascii="宋体" w:hAnsi="宋体" w:eastAsia="宋体" w:cs="宋体"/>
          <w:bCs/>
          <w:color w:val="auto"/>
          <w:highlight w:val="none"/>
        </w:rPr>
      </w:r>
      <w:r/>
    </w:p>
    <w:p>
      <w:pPr>
        <w:rPr>
          <w:rFonts w:ascii="宋体" w:hAnsi="宋体" w:eastAsia="宋体" w:cs="宋体"/>
          <w:bCs/>
          <w:color w:val="auto"/>
          <w:highlight w:val="none"/>
        </w:rPr>
      </w:pPr>
      <w:r>
        <w:rPr>
          <w:rFonts w:hint="eastAsia" w:ascii="宋体" w:hAnsi="宋体" w:eastAsia="宋体" w:cs="宋体"/>
          <w:bCs/>
          <w:color w:val="auto"/>
          <w:highlight w:val="none"/>
        </w:rPr>
        <w:br w:type="page" w:clear="all"/>
      </w:r>
      <w:r/>
    </w:p>
    <w:p>
      <w:pPr>
        <w:pStyle w:val="958"/>
        <w:ind w:firstLine="0"/>
        <w:jc w:val="center"/>
        <w:spacing w:line="360" w:lineRule="auto"/>
        <w:rPr>
          <w:rFonts w:ascii="宋体" w:hAnsi="宋体" w:eastAsia="宋体" w:cs="宋体"/>
          <w:bCs/>
          <w:color w:val="auto"/>
          <w:highlight w:val="none"/>
        </w:rPr>
      </w:pPr>
      <w:r>
        <w:rPr>
          <w:rFonts w:hint="eastAsia" w:ascii="宋体" w:hAnsi="宋体" w:eastAsia="宋体" w:cs="宋体"/>
          <w:bCs/>
          <w:color w:val="auto"/>
          <w:highlight w:val="none"/>
        </w:rPr>
        <w:t xml:space="preserve">第三章 投标文件格式</w:t>
      </w:r>
      <w:r/>
    </w:p>
    <w:p>
      <w:pPr>
        <w:pStyle w:val="1034"/>
        <w:spacing w:line="360" w:lineRule="auto"/>
        <w:rPr>
          <w:rFonts w:hAnsi="宋体" w:eastAsia="宋体" w:cs="宋体"/>
          <w:color w:val="auto"/>
          <w:sz w:val="24"/>
          <w:szCs w:val="24"/>
          <w:highlight w:val="none"/>
        </w:rPr>
      </w:pPr>
      <w:r>
        <w:rPr>
          <w:rFonts w:hint="eastAsia" w:hAnsi="宋体" w:eastAsia="宋体" w:cs="宋体"/>
          <w:color w:val="auto"/>
          <w:sz w:val="24"/>
          <w:szCs w:val="24"/>
          <w:highlight w:val="none"/>
        </w:rPr>
        <w:t xml:space="preserve">1、投标函</w:t>
      </w:r>
      <w:r/>
    </w:p>
    <w:p>
      <w:pPr>
        <w:pStyle w:val="1034"/>
        <w:spacing w:line="360" w:lineRule="auto"/>
        <w:rPr>
          <w:rFonts w:hAnsi="宋体" w:eastAsia="宋体" w:cs="宋体"/>
          <w:color w:val="auto"/>
          <w:sz w:val="24"/>
          <w:szCs w:val="24"/>
          <w:highlight w:val="none"/>
        </w:rPr>
      </w:pPr>
      <w:r>
        <w:rPr>
          <w:rFonts w:hint="eastAsia" w:hAnsi="宋体" w:eastAsia="宋体" w:cs="宋体"/>
          <w:color w:val="auto"/>
          <w:sz w:val="24"/>
          <w:szCs w:val="24"/>
          <w:highlight w:val="none"/>
        </w:rPr>
        <w:t xml:space="preserve">苏州正杰招投标咨询服务有限公司：</w:t>
      </w:r>
      <w:r/>
    </w:p>
    <w:p>
      <w:pPr>
        <w:pStyle w:val="1034"/>
        <w:spacing w:line="360" w:lineRule="auto"/>
        <w:rPr>
          <w:rFonts w:hAnsi="宋体" w:eastAsia="宋体" w:cs="宋体"/>
          <w:color w:val="auto"/>
          <w:sz w:val="24"/>
          <w:szCs w:val="24"/>
          <w:highlight w:val="none"/>
        </w:rPr>
      </w:pPr>
      <w:r>
        <w:rPr>
          <w:rFonts w:hint="eastAsia" w:hAnsi="宋体" w:eastAsia="宋体" w:cs="宋体"/>
          <w:color w:val="auto"/>
          <w:sz w:val="24"/>
          <w:szCs w:val="24"/>
          <w:highlight w:val="none"/>
        </w:rPr>
        <w:t xml:space="preserve">    我们收到贵公司</w:t>
      </w:r>
      <w:r>
        <w:rPr>
          <w:rFonts w:hint="eastAsia" w:hAnsi="宋体" w:eastAsia="宋体" w:cs="宋体"/>
          <w:color w:val="auto"/>
          <w:szCs w:val="24"/>
          <w:highlight w:val="none"/>
        </w:rPr>
        <w:t xml:space="preserve">________</w:t>
      </w:r>
      <w:r>
        <w:rPr>
          <w:rFonts w:hint="eastAsia" w:hAnsi="宋体" w:eastAsia="宋体" w:cs="宋体"/>
          <w:color w:val="auto"/>
          <w:sz w:val="24"/>
          <w:szCs w:val="24"/>
          <w:highlight w:val="none"/>
        </w:rPr>
        <w:t xml:space="preserve">号招标文件，经仔细阅读和研究，我们决定参加采购活动。</w:t>
      </w:r>
      <w:r/>
    </w:p>
    <w:p>
      <w:pPr>
        <w:pStyle w:val="1034"/>
        <w:ind w:firstLine="480"/>
        <w:spacing w:line="360" w:lineRule="auto"/>
        <w:rPr>
          <w:rFonts w:hAnsi="宋体" w:eastAsia="宋体" w:cs="宋体"/>
          <w:color w:val="auto"/>
          <w:sz w:val="24"/>
          <w:szCs w:val="24"/>
          <w:highlight w:val="none"/>
        </w:rPr>
      </w:pPr>
      <w:r>
        <w:rPr>
          <w:rFonts w:hint="eastAsia" w:hAnsi="宋体" w:eastAsia="宋体" w:cs="宋体"/>
          <w:color w:val="auto"/>
          <w:sz w:val="24"/>
          <w:szCs w:val="24"/>
          <w:highlight w:val="none"/>
        </w:rPr>
        <w:t xml:space="preserve">1、我们愿意按照招标文件的一切要求，提供完成该项目的全部内容，我们的投标报价包括投标产品、安装辅材及其备品备件和专用工具费用、税费及包装、运至最终目的地的运输、保险、安装调试、检测验收、技术支持与培训、质保和售后服务及相关劳务等所发生的全部费用以及企业利润、税金和政策性文件规定及合同包含的所有风险、责任等各项应有费用。</w:t>
      </w:r>
      <w:r/>
    </w:p>
    <w:p>
      <w:pPr>
        <w:pStyle w:val="1034"/>
        <w:ind w:firstLine="480"/>
        <w:spacing w:line="360" w:lineRule="auto"/>
        <w:rPr>
          <w:rFonts w:hAnsi="宋体" w:eastAsia="宋体" w:cs="宋体"/>
          <w:color w:val="auto"/>
          <w:sz w:val="24"/>
          <w:szCs w:val="24"/>
          <w:highlight w:val="none"/>
        </w:rPr>
      </w:pPr>
      <w:r>
        <w:rPr>
          <w:rFonts w:hint="eastAsia" w:hAnsi="宋体" w:eastAsia="宋体" w:cs="宋体"/>
          <w:color w:val="auto"/>
          <w:sz w:val="24"/>
          <w:szCs w:val="24"/>
          <w:highlight w:val="none"/>
        </w:rPr>
        <w:t xml:space="preserve">2、如果我们的投标被接受，我们将严格履行招标文件中规定的每一项要求，严格履行合同的责任和义务，保证按期、按质履行合同，完成合同内容所规定的全部工作。</w:t>
      </w:r>
      <w:r/>
    </w:p>
    <w:p>
      <w:pPr>
        <w:pStyle w:val="1034"/>
        <w:spacing w:line="360" w:lineRule="auto"/>
        <w:rPr>
          <w:rFonts w:hAnsi="宋体" w:eastAsia="宋体" w:cs="宋体"/>
          <w:color w:val="auto"/>
          <w:sz w:val="24"/>
          <w:szCs w:val="24"/>
          <w:highlight w:val="none"/>
        </w:rPr>
      </w:pPr>
      <w:r>
        <w:rPr>
          <w:rFonts w:hint="eastAsia" w:hAnsi="宋体" w:eastAsia="宋体" w:cs="宋体"/>
          <w:color w:val="auto"/>
          <w:sz w:val="24"/>
          <w:szCs w:val="24"/>
          <w:highlight w:val="none"/>
        </w:rPr>
        <w:t xml:space="preserve">    3、我们同意按招标文件规定，本投标书的有效期限自提交投标文件的截止之日起</w:t>
      </w:r>
      <w:r>
        <w:rPr>
          <w:rFonts w:hint="eastAsia" w:hAnsi="宋体" w:eastAsia="宋体" w:cs="宋体"/>
          <w:color w:val="auto"/>
          <w:szCs w:val="24"/>
          <w:highlight w:val="none"/>
        </w:rPr>
        <w:t xml:space="preserve">___</w:t>
      </w:r>
      <w:r>
        <w:rPr>
          <w:rFonts w:hint="eastAsia" w:hAnsi="宋体" w:eastAsia="宋体" w:cs="宋体"/>
          <w:color w:val="auto"/>
          <w:sz w:val="24"/>
          <w:szCs w:val="24"/>
          <w:highlight w:val="none"/>
        </w:rPr>
        <w:t xml:space="preserve">天。如果我们在开标后规定的投标有效期内撤回投标，我们愿承担由此造成的一切后果。</w:t>
      </w:r>
      <w:r/>
    </w:p>
    <w:p>
      <w:pPr>
        <w:pStyle w:val="1034"/>
        <w:ind w:firstLine="480"/>
        <w:spacing w:line="360" w:lineRule="auto"/>
        <w:rPr>
          <w:rFonts w:hAnsi="宋体" w:eastAsia="宋体" w:cs="宋体"/>
          <w:color w:val="auto"/>
          <w:sz w:val="24"/>
          <w:szCs w:val="24"/>
          <w:highlight w:val="none"/>
        </w:rPr>
      </w:pPr>
      <w:r>
        <w:rPr>
          <w:rFonts w:hint="eastAsia" w:hAnsi="宋体" w:eastAsia="宋体" w:cs="宋体"/>
          <w:color w:val="auto"/>
          <w:sz w:val="24"/>
          <w:szCs w:val="24"/>
          <w:highlight w:val="none"/>
        </w:rPr>
        <w:t xml:space="preserve">4、我们愿意提供招标文件中要求的所有资料，也同意向贵方提供贵方可能另外要求的与其投标有关的任何证据或资料，并保证所提供的资料全部是真实的、有效的，若有虚假，我们愿承担由此造成的一切后果。</w:t>
      </w:r>
      <w:r/>
    </w:p>
    <w:p>
      <w:pPr>
        <w:pStyle w:val="1034"/>
        <w:ind w:firstLine="480"/>
        <w:spacing w:line="360" w:lineRule="auto"/>
        <w:rPr>
          <w:rFonts w:hAnsi="宋体" w:eastAsia="宋体" w:cs="宋体"/>
          <w:color w:val="auto"/>
          <w:sz w:val="24"/>
          <w:szCs w:val="24"/>
          <w:highlight w:val="none"/>
        </w:rPr>
      </w:pPr>
      <w:r>
        <w:rPr>
          <w:rFonts w:hint="eastAsia" w:hAnsi="宋体" w:eastAsia="宋体" w:cs="宋体"/>
          <w:color w:val="auto"/>
          <w:sz w:val="24"/>
          <w:szCs w:val="24"/>
          <w:highlight w:val="none"/>
        </w:rPr>
        <w:t xml:space="preserve">5、我们认为你们有权决定中标单位，还认为你们有权接受或拒绝投标人。</w:t>
      </w:r>
      <w:r/>
    </w:p>
    <w:p>
      <w:pPr>
        <w:pStyle w:val="1034"/>
        <w:spacing w:line="360" w:lineRule="auto"/>
        <w:rPr>
          <w:rFonts w:hAnsi="宋体" w:eastAsia="宋体" w:cs="宋体"/>
          <w:color w:val="auto"/>
          <w:sz w:val="24"/>
          <w:szCs w:val="24"/>
          <w:highlight w:val="none"/>
        </w:rPr>
      </w:pPr>
      <w:r>
        <w:rPr>
          <w:rFonts w:hint="eastAsia" w:hAnsi="宋体" w:eastAsia="宋体" w:cs="宋体"/>
          <w:color w:val="auto"/>
          <w:sz w:val="24"/>
          <w:szCs w:val="24"/>
          <w:highlight w:val="none"/>
        </w:rPr>
        <w:t xml:space="preserve">    6、我们愿意遵守招标公告及招标文件中所列的收费标准。</w:t>
      </w:r>
      <w:r/>
    </w:p>
    <w:p>
      <w:pPr>
        <w:pStyle w:val="1034"/>
        <w:ind w:firstLine="480"/>
        <w:spacing w:line="360" w:lineRule="auto"/>
        <w:rPr>
          <w:rFonts w:hAnsi="宋体" w:eastAsia="宋体" w:cs="宋体"/>
          <w:color w:val="auto"/>
          <w:sz w:val="24"/>
          <w:szCs w:val="24"/>
          <w:highlight w:val="none"/>
        </w:rPr>
      </w:pPr>
      <w:r>
        <w:rPr>
          <w:rFonts w:hint="eastAsia" w:hAnsi="宋体" w:eastAsia="宋体" w:cs="宋体"/>
          <w:color w:val="auto"/>
          <w:sz w:val="24"/>
          <w:szCs w:val="24"/>
          <w:highlight w:val="none"/>
        </w:rPr>
        <w:t xml:space="preserve">7、我们承诺本项投标文件在开标后的全过程中保持有效。我们同意中标后若不履行投标文件的内容要求和各项承诺及义务的即被视为违约，我们愿承担由此造成的一切后果。</w:t>
      </w:r>
      <w:r/>
    </w:p>
    <w:p>
      <w:pPr>
        <w:pStyle w:val="1034"/>
        <w:ind w:firstLine="480"/>
        <w:spacing w:line="360" w:lineRule="auto"/>
        <w:rPr>
          <w:rFonts w:hAnsi="宋体" w:eastAsia="宋体" w:cs="宋体"/>
          <w:color w:val="auto"/>
          <w:sz w:val="24"/>
          <w:szCs w:val="24"/>
          <w:highlight w:val="none"/>
        </w:rPr>
      </w:pPr>
      <w:r>
        <w:rPr>
          <w:rFonts w:hint="eastAsia" w:hAnsi="宋体" w:eastAsia="宋体" w:cs="宋体"/>
          <w:color w:val="auto"/>
          <w:sz w:val="24"/>
          <w:szCs w:val="24"/>
          <w:highlight w:val="none"/>
        </w:rPr>
        <w:t xml:space="preserve">8、如果我们中标，我们愿意在签订合同时按招标文件的规定支付中标服务费。</w:t>
      </w:r>
      <w:r/>
    </w:p>
    <w:p>
      <w:pPr>
        <w:pStyle w:val="1034"/>
        <w:ind w:firstLine="480"/>
        <w:spacing w:line="360" w:lineRule="auto"/>
        <w:rPr>
          <w:rFonts w:hAnsi="宋体" w:eastAsia="宋体" w:cs="宋体"/>
          <w:color w:val="auto"/>
          <w:sz w:val="24"/>
          <w:szCs w:val="24"/>
          <w:highlight w:val="none"/>
        </w:rPr>
      </w:pPr>
      <w:r>
        <w:rPr>
          <w:rFonts w:hint="eastAsia" w:hAnsi="宋体" w:eastAsia="宋体" w:cs="宋体"/>
          <w:color w:val="auto"/>
          <w:sz w:val="24"/>
          <w:szCs w:val="24"/>
          <w:highlight w:val="none"/>
        </w:rPr>
        <w:t xml:space="preserve">9、与本次招标有关的通讯地址：</w:t>
      </w:r>
      <w:r/>
    </w:p>
    <w:p>
      <w:pPr>
        <w:pStyle w:val="1034"/>
        <w:spacing w:line="360" w:lineRule="auto"/>
        <w:rPr>
          <w:rFonts w:hAnsi="宋体" w:eastAsia="宋体" w:cs="宋体"/>
          <w:color w:val="auto"/>
          <w:sz w:val="24"/>
          <w:szCs w:val="24"/>
          <w:highlight w:val="none"/>
        </w:rPr>
      </w:pPr>
      <w:r>
        <w:rPr>
          <w:rFonts w:hint="eastAsia" w:hAnsi="宋体" w:eastAsia="宋体" w:cs="宋体"/>
          <w:color w:val="auto"/>
          <w:sz w:val="24"/>
          <w:szCs w:val="24"/>
          <w:highlight w:val="none"/>
        </w:rPr>
        <w:t xml:space="preserve">    单位名称：                                 联系人员：</w:t>
      </w:r>
      <w:r/>
    </w:p>
    <w:p>
      <w:pPr>
        <w:pStyle w:val="1034"/>
        <w:spacing w:line="360" w:lineRule="auto"/>
        <w:rPr>
          <w:rFonts w:hAnsi="宋体" w:eastAsia="宋体" w:cs="宋体"/>
          <w:color w:val="auto"/>
          <w:sz w:val="24"/>
          <w:szCs w:val="24"/>
          <w:highlight w:val="none"/>
        </w:rPr>
      </w:pPr>
      <w:r>
        <w:rPr>
          <w:rFonts w:hint="eastAsia" w:hAnsi="宋体" w:eastAsia="宋体" w:cs="宋体"/>
          <w:color w:val="auto"/>
          <w:sz w:val="24"/>
          <w:szCs w:val="24"/>
          <w:highlight w:val="none"/>
        </w:rPr>
        <w:t xml:space="preserve">    单位地址：                                 邮政编码：</w:t>
      </w:r>
      <w:r/>
    </w:p>
    <w:p>
      <w:pPr>
        <w:pStyle w:val="1034"/>
        <w:spacing w:line="360" w:lineRule="auto"/>
        <w:rPr>
          <w:rFonts w:hAnsi="宋体" w:eastAsia="宋体" w:cs="宋体"/>
          <w:color w:val="auto"/>
          <w:sz w:val="24"/>
          <w:szCs w:val="24"/>
          <w:highlight w:val="none"/>
        </w:rPr>
      </w:pPr>
      <w:r>
        <w:rPr>
          <w:rFonts w:hint="eastAsia" w:hAnsi="宋体" w:eastAsia="宋体" w:cs="宋体"/>
          <w:color w:val="auto"/>
          <w:sz w:val="24"/>
          <w:szCs w:val="24"/>
          <w:highlight w:val="none"/>
        </w:rPr>
        <w:t xml:space="preserve">    联系电话：                                 传真号码：</w:t>
      </w:r>
      <w:r/>
    </w:p>
    <w:p>
      <w:pPr>
        <w:pStyle w:val="958"/>
        <w:ind w:right="420" w:firstLine="48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投标人（单位盖章）：                       </w:t>
      </w:r>
      <w:r/>
    </w:p>
    <w:p>
      <w:pPr>
        <w:pStyle w:val="958"/>
        <w:ind w:right="420" w:firstLine="48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法定代表人或代理人（签字或盖章）：</w:t>
      </w:r>
      <w:r/>
    </w:p>
    <w:p>
      <w:pPr>
        <w:pStyle w:val="958"/>
        <w:ind w:right="420" w:firstLine="48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日期：     年     月     日</w:t>
      </w:r>
      <w:r/>
    </w:p>
    <w:p>
      <w:pPr>
        <w:pStyle w:val="958"/>
        <w:ind w:right="420" w:firstLine="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p>
      <w:pPr>
        <w:pStyle w:val="958"/>
        <w:ind w:right="420" w:firstLine="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p>
      <w:pPr>
        <w:spacing w:line="360" w:lineRule="auto"/>
        <w:rPr>
          <w:rFonts w:ascii="宋体" w:hAnsi="宋体" w:eastAsia="宋体" w:cs="宋体"/>
          <w:color w:val="auto"/>
          <w:szCs w:val="21"/>
          <w:highlight w:val="none"/>
        </w:rPr>
      </w:pPr>
      <w:r>
        <w:rPr>
          <w:rFonts w:ascii="宋体" w:hAnsi="宋体" w:eastAsia="宋体" w:cs="宋体"/>
          <w:color w:val="auto"/>
          <w:szCs w:val="21"/>
          <w:highlight w:val="none"/>
        </w:rPr>
      </w:r>
      <w:r/>
    </w:p>
    <w:p>
      <w:pPr>
        <w:spacing w:line="360" w:lineRule="auto"/>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p>
      <w:pPr>
        <w:spacing w:line="360" w:lineRule="auto"/>
        <w:rPr>
          <w:rFonts w:ascii="宋体" w:hAnsi="宋体" w:eastAsia="宋体" w:cs="宋体"/>
          <w:color w:val="auto"/>
          <w:szCs w:val="24"/>
          <w:highlight w:val="none"/>
        </w:rPr>
      </w:pPr>
      <w:r>
        <w:rPr>
          <w:rFonts w:hint="eastAsia" w:ascii="宋体" w:hAnsi="宋体" w:eastAsia="宋体" w:cs="宋体"/>
          <w:bCs/>
          <w:color w:val="auto"/>
          <w:sz w:val="24"/>
          <w:szCs w:val="24"/>
          <w:highlight w:val="none"/>
        </w:rPr>
        <w:t xml:space="preserve">2、</w:t>
      </w:r>
      <w:r>
        <w:rPr>
          <w:rFonts w:hint="eastAsia" w:ascii="宋体" w:hAnsi="宋体" w:eastAsia="宋体" w:cs="宋体"/>
          <w:bCs/>
          <w:color w:val="auto"/>
          <w:sz w:val="24"/>
          <w:szCs w:val="24"/>
          <w:highlight w:val="none"/>
          <w:lang w:val="zh-CN"/>
        </w:rPr>
        <w:t xml:space="preserve">法定代表人授权委托书</w:t>
      </w:r>
      <w:r/>
    </w:p>
    <w:p>
      <w:pPr>
        <w:pStyle w:val="958"/>
        <w:ind w:firstLine="480"/>
        <w:jc w:val="both"/>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本授权委托书声明：我</w:t>
      </w:r>
      <w:r>
        <w:rPr>
          <w:rFonts w:hint="eastAsia" w:ascii="宋体" w:hAnsi="宋体" w:eastAsia="宋体" w:cs="宋体"/>
          <w:color w:val="auto"/>
          <w:szCs w:val="24"/>
          <w:highlight w:val="none"/>
          <w:u w:val="single"/>
        </w:rPr>
        <w:t xml:space="preserve">      </w:t>
      </w:r>
      <w:r>
        <w:rPr>
          <w:rFonts w:hint="eastAsia" w:ascii="宋体" w:hAnsi="宋体" w:eastAsia="宋体" w:cs="宋体"/>
          <w:color w:val="auto"/>
          <w:szCs w:val="24"/>
          <w:highlight w:val="none"/>
        </w:rPr>
        <w:t xml:space="preserve">（姓名）系</w:t>
      </w:r>
      <w:r>
        <w:rPr>
          <w:rFonts w:hint="eastAsia" w:ascii="宋体" w:hAnsi="宋体" w:eastAsia="宋体" w:cs="宋体"/>
          <w:color w:val="auto"/>
          <w:szCs w:val="24"/>
          <w:highlight w:val="none"/>
          <w:u w:val="single"/>
        </w:rPr>
        <w:t xml:space="preserve">      </w:t>
      </w:r>
      <w:r>
        <w:rPr>
          <w:rFonts w:hint="eastAsia" w:ascii="宋体" w:hAnsi="宋体" w:eastAsia="宋体" w:cs="宋体"/>
          <w:color w:val="auto"/>
          <w:szCs w:val="24"/>
          <w:highlight w:val="none"/>
        </w:rPr>
        <w:t xml:space="preserve">（单位名称）的法定代表人，现授权委托</w:t>
      </w:r>
      <w:r>
        <w:rPr>
          <w:rFonts w:hint="eastAsia" w:ascii="宋体" w:hAnsi="宋体" w:eastAsia="宋体" w:cs="宋体"/>
          <w:color w:val="auto"/>
          <w:szCs w:val="24"/>
          <w:highlight w:val="none"/>
          <w:u w:val="single"/>
        </w:rPr>
        <w:t xml:space="preserve">        </w:t>
      </w:r>
      <w:r>
        <w:rPr>
          <w:rFonts w:hint="eastAsia" w:ascii="宋体" w:hAnsi="宋体" w:eastAsia="宋体" w:cs="宋体"/>
          <w:color w:val="auto"/>
          <w:szCs w:val="24"/>
          <w:highlight w:val="none"/>
        </w:rPr>
        <w:t xml:space="preserve">（单位名称）的</w:t>
      </w:r>
      <w:r>
        <w:rPr>
          <w:rFonts w:hint="eastAsia" w:ascii="宋体" w:hAnsi="宋体" w:eastAsia="宋体" w:cs="宋体"/>
          <w:color w:val="auto"/>
          <w:szCs w:val="24"/>
          <w:highlight w:val="none"/>
          <w:u w:val="single"/>
        </w:rPr>
        <w:t xml:space="preserve">      </w:t>
      </w:r>
      <w:r>
        <w:rPr>
          <w:rFonts w:hint="eastAsia" w:ascii="宋体" w:hAnsi="宋体" w:eastAsia="宋体" w:cs="宋体"/>
          <w:color w:val="auto"/>
          <w:szCs w:val="24"/>
          <w:highlight w:val="none"/>
        </w:rPr>
        <w:t xml:space="preserve">（姓名）为我公司代理人，并以本公司的名义在</w:t>
      </w:r>
      <w:r>
        <w:rPr>
          <w:rFonts w:hint="eastAsia" w:ascii="宋体" w:hAnsi="宋体" w:eastAsia="宋体" w:cs="宋体"/>
          <w:color w:val="auto"/>
          <w:szCs w:val="24"/>
          <w:highlight w:val="none"/>
          <w:u w:val="single"/>
        </w:rPr>
        <w:t xml:space="preserve">     </w:t>
      </w:r>
      <w:r>
        <w:rPr>
          <w:rFonts w:hint="eastAsia" w:ascii="宋体" w:hAnsi="宋体" w:eastAsia="宋体" w:cs="宋体"/>
          <w:color w:val="auto"/>
          <w:szCs w:val="24"/>
          <w:highlight w:val="none"/>
        </w:rPr>
        <w:t xml:space="preserve">号（项目编号）采购项目的开标、评标和合同签订过程中所签署的一切文件和处理与这有关的一切事务，我公司均予以承认。</w:t>
      </w:r>
      <w:r/>
    </w:p>
    <w:p>
      <w:pPr>
        <w:pStyle w:val="958"/>
        <w:ind w:firstLine="0"/>
        <w:jc w:val="both"/>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    代理人在授权委托书有效期内签署的所有文件不因授权委托的撤销而失效，除非有撤销授权委托的书面通知，本授权委托书有效期自投标文件提交开始至合同履行完毕止。</w:t>
      </w:r>
      <w:r/>
    </w:p>
    <w:p>
      <w:pPr>
        <w:pStyle w:val="958"/>
        <w:ind w:firstLine="0"/>
        <w:jc w:val="both"/>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    代理人无转委托权。特此委托。</w:t>
      </w:r>
      <w:r/>
    </w:p>
    <w:p>
      <w:pPr>
        <w:pStyle w:val="1034"/>
        <w:spacing w:line="360" w:lineRule="auto"/>
        <w:rPr>
          <w:rFonts w:hAnsi="宋体" w:eastAsia="宋体" w:cs="宋体"/>
          <w:color w:val="auto"/>
          <w:sz w:val="24"/>
          <w:szCs w:val="24"/>
          <w:highlight w:val="none"/>
        </w:rPr>
      </w:pPr>
      <w:r>
        <w:rPr>
          <w:rFonts w:hint="eastAsia" w:hAnsi="宋体" w:eastAsia="宋体" w:cs="宋体"/>
          <w:color w:val="auto"/>
          <w:sz w:val="24"/>
          <w:szCs w:val="24"/>
          <w:highlight w:val="none"/>
        </w:rPr>
        <w:t xml:space="preserve">    </w:t>
      </w:r>
      <w:r/>
    </w:p>
    <w:p>
      <w:pPr>
        <w:pStyle w:val="1034"/>
        <w:ind w:firstLine="480"/>
        <w:spacing w:line="360" w:lineRule="auto"/>
        <w:rPr>
          <w:rFonts w:hAnsi="宋体" w:eastAsia="宋体" w:cs="宋体"/>
          <w:color w:val="auto"/>
          <w:sz w:val="24"/>
          <w:szCs w:val="24"/>
          <w:highlight w:val="none"/>
        </w:rPr>
      </w:pPr>
      <w:r>
        <w:rPr>
          <w:rFonts w:hint="eastAsia" w:hAnsi="宋体" w:eastAsia="宋体" w:cs="宋体"/>
          <w:color w:val="auto"/>
          <w:sz w:val="24"/>
          <w:szCs w:val="24"/>
          <w:highlight w:val="none"/>
        </w:rPr>
        <w:t xml:space="preserve">投标人（单位盖章）：</w:t>
      </w:r>
      <w:r/>
    </w:p>
    <w:p>
      <w:pPr>
        <w:pStyle w:val="958"/>
        <w:ind w:firstLine="0"/>
        <w:jc w:val="both"/>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    法定代表人：（签字或盖章）</w:t>
      </w:r>
      <w:r/>
    </w:p>
    <w:p>
      <w:pPr>
        <w:pStyle w:val="958"/>
        <w:ind w:firstLine="0"/>
        <w:jc w:val="both"/>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    代理人：（签字或盖章）</w:t>
      </w:r>
      <w:r/>
    </w:p>
    <w:p>
      <w:pPr>
        <w:pStyle w:val="1034"/>
        <w:ind w:firstLine="480"/>
        <w:spacing w:line="360" w:lineRule="auto"/>
        <w:rPr>
          <w:rFonts w:hAnsi="宋体" w:eastAsia="宋体" w:cs="宋体"/>
          <w:color w:val="auto"/>
          <w:sz w:val="24"/>
          <w:szCs w:val="24"/>
          <w:highlight w:val="none"/>
        </w:rPr>
      </w:pPr>
      <w:r>
        <w:rPr>
          <w:rFonts w:hint="eastAsia" w:hAnsi="宋体" w:eastAsia="宋体" w:cs="宋体"/>
          <w:color w:val="auto"/>
          <w:sz w:val="24"/>
          <w:szCs w:val="24"/>
          <w:highlight w:val="none"/>
        </w:rPr>
        <w:t xml:space="preserve">日期：     年     月     日</w:t>
      </w:r>
      <w:r/>
    </w:p>
    <w:p>
      <w:pPr>
        <w:pStyle w:val="958"/>
        <w:ind w:firstLine="48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p>
      <w:pPr>
        <w:pStyle w:val="958"/>
        <w:ind w:firstLine="48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注：本授权委托书仅限于法人性质投标人投标，投标文件中必须提供法定代表人和代理人身份证复印件。非法人性质投标人投标，授权委托书格式自拟，但必须同时提供受托双方身份证复印件。</w:t>
      </w:r>
      <w:r/>
    </w:p>
    <w:p>
      <w:pPr>
        <w:pStyle w:val="993"/>
        <w:ind w:firstLine="480"/>
        <w:jc w:val="both"/>
        <w:spacing w:line="360" w:lineRule="auto"/>
        <w:rPr>
          <w:rFonts w:hint="default" w:cs="宋体"/>
          <w:color w:val="auto"/>
          <w:highlight w:val="none"/>
        </w:rPr>
      </w:pPr>
      <w:r>
        <w:rPr>
          <w:rFonts w:hint="default" w:cs="宋体"/>
          <w:color w:val="auto"/>
          <w:highlight w:val="none"/>
        </w:rPr>
      </w:r>
      <w:r/>
    </w:p>
    <w:p>
      <w:pPr>
        <w:pStyle w:val="958"/>
        <w:ind w:right="420" w:firstLine="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p>
      <w:pPr>
        <w:pStyle w:val="958"/>
        <w:ind w:right="420" w:firstLine="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p>
      <w:pPr>
        <w:pStyle w:val="958"/>
        <w:ind w:right="420" w:firstLine="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p>
      <w:pPr>
        <w:pStyle w:val="958"/>
        <w:ind w:right="420" w:firstLine="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p>
      <w:pPr>
        <w:pStyle w:val="958"/>
        <w:ind w:right="420" w:firstLine="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p>
      <w:pPr>
        <w:pStyle w:val="958"/>
        <w:ind w:right="420" w:firstLine="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p>
      <w:pPr>
        <w:pStyle w:val="958"/>
        <w:ind w:right="420" w:firstLine="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p>
      <w:pPr>
        <w:pStyle w:val="958"/>
        <w:ind w:firstLine="0"/>
        <w:jc w:val="center"/>
        <w:spacing w:line="360" w:lineRule="auto"/>
        <w:rPr>
          <w:rFonts w:ascii="宋体" w:hAnsi="宋体" w:eastAsia="宋体" w:cs="宋体"/>
          <w:color w:val="auto"/>
          <w:szCs w:val="24"/>
          <w:highlight w:val="none"/>
        </w:rPr>
        <w:sectPr>
          <w:footerReference w:type="default" r:id="rId17"/>
          <w:footnotePr/>
          <w:endnotePr/>
          <w:type w:val="nextPage"/>
          <w:pgSz w:w="11906" w:h="16838" w:orient="portrait"/>
          <w:pgMar w:top="1134" w:right="1134" w:bottom="1134" w:left="1134" w:header="851" w:footer="992" w:gutter="0"/>
          <w:pgNumType w:start="1"/>
          <w:cols w:num="1" w:sep="0" w:space="720" w:equalWidth="1"/>
          <w:docGrid w:linePitch="360"/>
        </w:sectPr>
        <w:outlineLvl w:val="1"/>
      </w:pPr>
      <w:r>
        <w:rPr>
          <w:rFonts w:ascii="宋体" w:hAnsi="宋体" w:eastAsia="宋体" w:cs="宋体"/>
          <w:color w:val="auto"/>
          <w:szCs w:val="24"/>
          <w:highlight w:val="none"/>
        </w:rPr>
      </w:r>
      <w:r/>
    </w:p>
    <w:p>
      <w:pPr>
        <w:pStyle w:val="958"/>
        <w:ind w:right="420" w:firstLine="0"/>
        <w:spacing w:line="360" w:lineRule="auto"/>
        <w:rPr>
          <w:rFonts w:ascii="宋体" w:hAnsi="宋体" w:eastAsia="宋体" w:cs="宋体"/>
          <w:bCs/>
          <w:color w:val="auto"/>
          <w:szCs w:val="24"/>
          <w:highlight w:val="none"/>
        </w:rPr>
      </w:pPr>
      <w:r>
        <w:rPr>
          <w:rFonts w:hint="eastAsia" w:ascii="宋体" w:hAnsi="宋体" w:eastAsia="宋体" w:cs="宋体"/>
          <w:color w:val="auto"/>
          <w:szCs w:val="24"/>
          <w:highlight w:val="none"/>
        </w:rPr>
        <w:t xml:space="preserve">3</w:t>
      </w:r>
      <w:r>
        <w:rPr>
          <w:rFonts w:hint="eastAsia" w:ascii="宋体" w:hAnsi="宋体" w:eastAsia="宋体" w:cs="宋体"/>
          <w:bCs/>
          <w:color w:val="auto"/>
          <w:szCs w:val="24"/>
          <w:highlight w:val="none"/>
        </w:rPr>
        <w:t xml:space="preserve">、关于资格文件的声明函</w:t>
      </w:r>
      <w:r/>
    </w:p>
    <w:p>
      <w:pPr>
        <w:pStyle w:val="1034"/>
        <w:spacing w:line="360" w:lineRule="auto"/>
        <w:rPr>
          <w:rFonts w:hAnsi="宋体" w:eastAsia="宋体" w:cs="宋体"/>
          <w:bCs/>
          <w:color w:val="auto"/>
          <w:sz w:val="24"/>
          <w:szCs w:val="24"/>
          <w:highlight w:val="none"/>
        </w:rPr>
      </w:pPr>
      <w:r>
        <w:rPr>
          <w:rFonts w:hint="eastAsia" w:hAnsi="宋体" w:eastAsia="宋体" w:cs="宋体"/>
          <w:bCs/>
          <w:color w:val="auto"/>
          <w:sz w:val="24"/>
          <w:szCs w:val="24"/>
          <w:highlight w:val="none"/>
        </w:rPr>
        <w:t xml:space="preserve">苏州正杰招投标咨询服务有限公司：</w:t>
      </w:r>
      <w:r/>
    </w:p>
    <w:p>
      <w:pPr>
        <w:pStyle w:val="1034"/>
        <w:ind w:firstLine="480"/>
        <w:spacing w:line="360" w:lineRule="auto"/>
        <w:rPr>
          <w:rFonts w:hAnsi="宋体" w:eastAsia="宋体" w:cs="宋体"/>
          <w:color w:val="auto"/>
          <w:sz w:val="24"/>
          <w:szCs w:val="24"/>
          <w:highlight w:val="none"/>
        </w:rPr>
      </w:pPr>
      <w:r>
        <w:rPr>
          <w:rFonts w:hint="eastAsia" w:hAnsi="宋体" w:eastAsia="宋体" w:cs="宋体"/>
          <w:color w:val="auto"/>
          <w:sz w:val="24"/>
          <w:szCs w:val="24"/>
          <w:highlight w:val="none"/>
        </w:rPr>
        <w:t xml:space="preserve">本公司愿就由贵公司组织实施的项目编号为</w:t>
      </w:r>
      <w:r>
        <w:rPr>
          <w:rFonts w:hint="eastAsia" w:hAnsi="宋体" w:eastAsia="宋体" w:cs="宋体"/>
          <w:color w:val="auto"/>
          <w:sz w:val="24"/>
          <w:szCs w:val="24"/>
          <w:highlight w:val="none"/>
          <w:u w:val="single"/>
        </w:rPr>
        <w:t xml:space="preserve">      </w:t>
      </w:r>
      <w:r>
        <w:rPr>
          <w:rFonts w:hint="eastAsia" w:hAnsi="宋体" w:eastAsia="宋体" w:cs="宋体"/>
          <w:color w:val="auto"/>
          <w:sz w:val="24"/>
          <w:szCs w:val="24"/>
          <w:highlight w:val="none"/>
        </w:rPr>
        <w:t xml:space="preserve">号的招标活动进行投标。本公司所提交的投标文件中所有关于投标资格的文件、证明和陈述均是真实的、准确的和有效的。若与事实情况不符，本公司愿意承担由此而产生的一切后果。</w:t>
      </w:r>
      <w:r/>
    </w:p>
    <w:p>
      <w:pPr>
        <w:pStyle w:val="1034"/>
        <w:spacing w:line="360" w:lineRule="auto"/>
        <w:rPr>
          <w:rFonts w:hAnsi="宋体" w:eastAsia="宋体" w:cs="宋体"/>
          <w:bCs/>
          <w:color w:val="auto"/>
          <w:sz w:val="24"/>
          <w:szCs w:val="24"/>
          <w:highlight w:val="none"/>
        </w:rPr>
      </w:pPr>
      <w:r>
        <w:rPr>
          <w:rFonts w:hAnsi="宋体" w:eastAsia="宋体" w:cs="宋体"/>
          <w:bCs/>
          <w:color w:val="auto"/>
          <w:sz w:val="24"/>
          <w:szCs w:val="24"/>
          <w:highlight w:val="none"/>
        </w:rPr>
      </w:r>
      <w:r/>
    </w:p>
    <w:p>
      <w:pPr>
        <w:pStyle w:val="1034"/>
        <w:ind w:firstLine="480"/>
        <w:spacing w:line="360" w:lineRule="auto"/>
        <w:rPr>
          <w:rFonts w:hAnsi="宋体" w:eastAsia="宋体" w:cs="宋体"/>
          <w:bCs/>
          <w:color w:val="auto"/>
          <w:sz w:val="24"/>
          <w:szCs w:val="24"/>
          <w:highlight w:val="none"/>
        </w:rPr>
      </w:pPr>
      <w:r>
        <w:rPr>
          <w:rFonts w:hint="eastAsia" w:hAnsi="宋体" w:eastAsia="宋体" w:cs="宋体"/>
          <w:bCs/>
          <w:color w:val="auto"/>
          <w:sz w:val="24"/>
          <w:szCs w:val="24"/>
          <w:highlight w:val="none"/>
        </w:rPr>
        <w:t xml:space="preserve">投标人</w:t>
      </w:r>
      <w:r>
        <w:rPr>
          <w:rFonts w:hint="eastAsia" w:hAnsi="宋体" w:eastAsia="宋体" w:cs="宋体"/>
          <w:color w:val="auto"/>
          <w:sz w:val="24"/>
          <w:szCs w:val="24"/>
          <w:highlight w:val="none"/>
        </w:rPr>
        <w:t xml:space="preserve">（单位盖章）</w:t>
      </w:r>
      <w:r>
        <w:rPr>
          <w:rFonts w:hint="eastAsia" w:hAnsi="宋体" w:eastAsia="宋体" w:cs="宋体"/>
          <w:bCs/>
          <w:color w:val="auto"/>
          <w:sz w:val="24"/>
          <w:szCs w:val="24"/>
          <w:highlight w:val="none"/>
        </w:rPr>
        <w:t xml:space="preserve">：</w:t>
      </w:r>
      <w:r/>
    </w:p>
    <w:p>
      <w:pPr>
        <w:pStyle w:val="1034"/>
        <w:spacing w:line="360" w:lineRule="auto"/>
        <w:rPr>
          <w:rFonts w:hAnsi="宋体" w:eastAsia="宋体" w:cs="宋体"/>
          <w:bCs/>
          <w:color w:val="auto"/>
          <w:sz w:val="24"/>
          <w:szCs w:val="24"/>
          <w:highlight w:val="none"/>
        </w:rPr>
      </w:pPr>
      <w:r>
        <w:rPr>
          <w:rFonts w:hint="eastAsia" w:hAnsi="宋体" w:eastAsia="宋体" w:cs="宋体"/>
          <w:bCs/>
          <w:color w:val="auto"/>
          <w:sz w:val="24"/>
          <w:szCs w:val="24"/>
          <w:highlight w:val="none"/>
        </w:rPr>
        <w:t xml:space="preserve">    法定代表人或代理人</w:t>
      </w:r>
      <w:r>
        <w:rPr>
          <w:rFonts w:hint="eastAsia" w:hAnsi="宋体" w:eastAsia="宋体" w:cs="宋体"/>
          <w:color w:val="auto"/>
          <w:sz w:val="24"/>
          <w:szCs w:val="24"/>
          <w:highlight w:val="none"/>
        </w:rPr>
        <w:t xml:space="preserve">（签字或盖章）</w:t>
      </w:r>
      <w:r>
        <w:rPr>
          <w:rFonts w:hint="eastAsia" w:hAnsi="宋体" w:eastAsia="宋体" w:cs="宋体"/>
          <w:bCs/>
          <w:color w:val="auto"/>
          <w:sz w:val="24"/>
          <w:szCs w:val="24"/>
          <w:highlight w:val="none"/>
        </w:rPr>
        <w:t xml:space="preserve">：</w:t>
      </w:r>
      <w:r/>
    </w:p>
    <w:p>
      <w:pPr>
        <w:pStyle w:val="1034"/>
        <w:ind w:firstLine="480"/>
        <w:spacing w:line="360" w:lineRule="auto"/>
        <w:rPr>
          <w:rFonts w:hAnsi="宋体" w:eastAsia="宋体" w:cs="宋体"/>
          <w:bCs/>
          <w:color w:val="auto"/>
          <w:sz w:val="24"/>
          <w:szCs w:val="24"/>
          <w:highlight w:val="none"/>
        </w:rPr>
      </w:pPr>
      <w:r>
        <w:rPr>
          <w:rFonts w:hint="eastAsia" w:hAnsi="宋体" w:eastAsia="宋体" w:cs="宋体"/>
          <w:bCs/>
          <w:color w:val="auto"/>
          <w:sz w:val="24"/>
          <w:szCs w:val="24"/>
          <w:highlight w:val="none"/>
        </w:rPr>
        <w:t xml:space="preserve">日期：     年     月     日</w:t>
      </w:r>
      <w:r/>
    </w:p>
    <w:p>
      <w:pPr>
        <w:pStyle w:val="958"/>
        <w:ind w:right="420" w:firstLine="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p>
      <w:pPr>
        <w:pStyle w:val="1048"/>
        <w:spacing w:line="360" w:lineRule="auto"/>
        <w:rPr>
          <w:rFonts w:hAnsi="宋体" w:eastAsia="宋体" w:cs="宋体"/>
          <w:color w:val="auto"/>
          <w:szCs w:val="24"/>
          <w:highlight w:val="none"/>
        </w:rPr>
      </w:pPr>
      <w:r>
        <w:rPr>
          <w:rFonts w:hAnsi="宋体" w:eastAsia="宋体" w:cs="宋体"/>
          <w:color w:val="auto"/>
          <w:szCs w:val="24"/>
          <w:highlight w:val="none"/>
        </w:rPr>
      </w:r>
      <w:r/>
    </w:p>
    <w:p>
      <w:pPr>
        <w:pStyle w:val="1048"/>
        <w:spacing w:line="360" w:lineRule="auto"/>
        <w:rPr>
          <w:rFonts w:hAnsi="宋体" w:eastAsia="宋体" w:cs="宋体"/>
          <w:color w:val="auto"/>
          <w:szCs w:val="24"/>
          <w:highlight w:val="none"/>
        </w:rPr>
      </w:pPr>
      <w:r>
        <w:rPr>
          <w:rFonts w:hAnsi="宋体" w:eastAsia="宋体" w:cs="宋体"/>
          <w:color w:val="auto"/>
          <w:szCs w:val="24"/>
          <w:highlight w:val="none"/>
        </w:rPr>
      </w:r>
      <w:r/>
    </w:p>
    <w:p>
      <w:pPr>
        <w:pStyle w:val="1048"/>
        <w:spacing w:line="360" w:lineRule="auto"/>
        <w:rPr>
          <w:rFonts w:hAnsi="宋体" w:eastAsia="宋体" w:cs="宋体"/>
          <w:color w:val="auto"/>
          <w:szCs w:val="24"/>
          <w:highlight w:val="none"/>
        </w:rPr>
      </w:pPr>
      <w:r>
        <w:rPr>
          <w:rFonts w:hAnsi="宋体" w:eastAsia="宋体" w:cs="宋体"/>
          <w:color w:val="auto"/>
          <w:szCs w:val="24"/>
          <w:highlight w:val="none"/>
        </w:rPr>
      </w:r>
      <w:r/>
    </w:p>
    <w:p>
      <w:pPr>
        <w:pStyle w:val="1048"/>
        <w:spacing w:line="360" w:lineRule="auto"/>
        <w:rPr>
          <w:rFonts w:hAnsi="宋体" w:eastAsia="宋体" w:cs="宋体"/>
          <w:color w:val="auto"/>
          <w:szCs w:val="24"/>
          <w:highlight w:val="none"/>
        </w:rPr>
      </w:pPr>
      <w:r>
        <w:rPr>
          <w:rFonts w:hAnsi="宋体" w:eastAsia="宋体" w:cs="宋体"/>
          <w:color w:val="auto"/>
          <w:szCs w:val="24"/>
          <w:highlight w:val="none"/>
        </w:rPr>
      </w:r>
      <w:r/>
    </w:p>
    <w:p>
      <w:pPr>
        <w:pStyle w:val="958"/>
        <w:ind w:right="420" w:firstLine="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p>
      <w:pPr>
        <w:pStyle w:val="958"/>
        <w:ind w:right="420" w:firstLine="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p>
      <w:pPr>
        <w:pStyle w:val="958"/>
        <w:ind w:right="420" w:firstLine="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p>
      <w:pPr>
        <w:pStyle w:val="958"/>
        <w:ind w:right="420" w:firstLine="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p>
      <w:pPr>
        <w:pStyle w:val="958"/>
        <w:ind w:right="420" w:firstLine="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p>
      <w:pPr>
        <w:pStyle w:val="958"/>
        <w:ind w:right="420" w:firstLine="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p>
      <w:pPr>
        <w:pStyle w:val="958"/>
        <w:ind w:right="420" w:firstLine="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p>
      <w:pPr>
        <w:pStyle w:val="958"/>
        <w:ind w:right="420" w:firstLine="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p>
      <w:pPr>
        <w:pStyle w:val="958"/>
        <w:ind w:right="420" w:firstLine="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p>
      <w:pPr>
        <w:pStyle w:val="958"/>
        <w:ind w:right="420" w:firstLine="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p>
      <w:pPr>
        <w:pStyle w:val="958"/>
        <w:ind w:right="420" w:firstLine="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p>
      <w:pPr>
        <w:pStyle w:val="958"/>
        <w:ind w:right="420" w:firstLine="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p>
      <w:pPr>
        <w:pStyle w:val="958"/>
        <w:ind w:right="420" w:firstLine="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p>
      <w:pPr>
        <w:pStyle w:val="958"/>
        <w:ind w:right="420" w:firstLine="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p>
      <w:pPr>
        <w:pStyle w:val="958"/>
        <w:ind w:right="420" w:firstLine="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p>
      <w:pPr>
        <w:pStyle w:val="958"/>
        <w:ind w:right="420" w:firstLine="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p>
      <w:pPr>
        <w:pStyle w:val="958"/>
        <w:ind w:right="420" w:firstLine="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4、开标一览表</w:t>
      </w:r>
      <w:r/>
    </w:p>
    <w:tbl>
      <w:tblPr>
        <w:tblStyle w:val="957"/>
        <w:tblW w:w="963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52"/>
        <w:gridCol w:w="3061"/>
        <w:gridCol w:w="2293"/>
        <w:gridCol w:w="1801"/>
        <w:gridCol w:w="1331"/>
      </w:tblGrid>
      <w:tr>
        <w:trPr>
          <w:jc w:val="center"/>
          <w:trHeight w:val="567"/>
        </w:trPr>
        <w:tc>
          <w:tcPr>
            <w:tcW w:w="1152" w:type="dxa"/>
            <w:vAlign w:val="center"/>
            <w:textDirection w:val="lrTb"/>
            <w:noWrap w:val="false"/>
          </w:tcPr>
          <w:p>
            <w:pPr>
              <w:pStyle w:val="971"/>
              <w:jc w:val="center"/>
              <w:spacing w:line="360" w:lineRule="auto"/>
              <w:rPr>
                <w:rFonts w:hAnsi="宋体" w:eastAsia="宋体" w:cs="宋体"/>
                <w:color w:val="auto"/>
                <w:sz w:val="24"/>
                <w:highlight w:val="none"/>
              </w:rPr>
            </w:pPr>
            <w:r>
              <w:rPr>
                <w:rFonts w:hint="eastAsia" w:hAnsi="宋体" w:eastAsia="宋体" w:cs="宋体"/>
                <w:color w:val="auto"/>
                <w:sz w:val="24"/>
                <w:highlight w:val="none"/>
              </w:rPr>
              <w:t xml:space="preserve">序号</w:t>
            </w:r>
            <w:r/>
          </w:p>
        </w:tc>
        <w:tc>
          <w:tcPr>
            <w:tcW w:w="3061" w:type="dxa"/>
            <w:vAlign w:val="center"/>
            <w:textDirection w:val="lrTb"/>
            <w:noWrap w:val="false"/>
          </w:tcPr>
          <w:p>
            <w:pPr>
              <w:pStyle w:val="971"/>
              <w:jc w:val="center"/>
              <w:spacing w:line="360" w:lineRule="auto"/>
              <w:rPr>
                <w:rFonts w:hAnsi="宋体" w:eastAsia="宋体" w:cs="宋体"/>
                <w:color w:val="auto"/>
                <w:sz w:val="24"/>
                <w:highlight w:val="none"/>
              </w:rPr>
            </w:pPr>
            <w:r>
              <w:rPr>
                <w:rFonts w:hint="eastAsia" w:hAnsi="宋体" w:eastAsia="宋体" w:cs="宋体"/>
                <w:color w:val="auto"/>
                <w:sz w:val="24"/>
                <w:highlight w:val="none"/>
              </w:rPr>
              <w:t xml:space="preserve">项目名称</w:t>
            </w:r>
            <w:r/>
          </w:p>
        </w:tc>
        <w:tc>
          <w:tcPr>
            <w:tcW w:w="2293" w:type="dxa"/>
            <w:vAlign w:val="center"/>
            <w:textDirection w:val="lrTb"/>
            <w:noWrap w:val="false"/>
          </w:tcPr>
          <w:p>
            <w:pPr>
              <w:pStyle w:val="971"/>
              <w:jc w:val="center"/>
              <w:spacing w:line="360" w:lineRule="auto"/>
              <w:rPr>
                <w:rFonts w:hAnsi="宋体" w:eastAsia="宋体" w:cs="宋体"/>
                <w:color w:val="auto"/>
                <w:sz w:val="24"/>
                <w:highlight w:val="none"/>
              </w:rPr>
            </w:pPr>
            <w:r>
              <w:rPr>
                <w:rFonts w:hint="eastAsia" w:hAnsi="宋体" w:eastAsia="宋体" w:cs="宋体"/>
                <w:color w:val="auto"/>
                <w:sz w:val="24"/>
                <w:highlight w:val="none"/>
              </w:rPr>
              <w:t xml:space="preserve">投标总价（元）</w:t>
            </w:r>
            <w:r/>
          </w:p>
        </w:tc>
        <w:tc>
          <w:tcPr>
            <w:tcW w:w="1801" w:type="dxa"/>
            <w:vAlign w:val="center"/>
            <w:textDirection w:val="lrTb"/>
            <w:noWrap w:val="false"/>
          </w:tcPr>
          <w:p>
            <w:pPr>
              <w:pStyle w:val="971"/>
              <w:jc w:val="center"/>
              <w:spacing w:line="360" w:lineRule="auto"/>
              <w:rPr>
                <w:rFonts w:hAnsi="宋体" w:eastAsia="宋体" w:cs="宋体"/>
                <w:color w:val="auto"/>
                <w:sz w:val="24"/>
                <w:highlight w:val="none"/>
              </w:rPr>
            </w:pPr>
            <w:r>
              <w:rPr>
                <w:rFonts w:hint="eastAsia" w:hAnsi="宋体" w:eastAsia="宋体" w:cs="宋体"/>
                <w:color w:val="auto"/>
                <w:sz w:val="24"/>
                <w:highlight w:val="none"/>
              </w:rPr>
              <w:t xml:space="preserve">合同履行期限</w:t>
            </w:r>
            <w:r/>
          </w:p>
        </w:tc>
        <w:tc>
          <w:tcPr>
            <w:tcW w:w="1331" w:type="dxa"/>
            <w:vAlign w:val="center"/>
            <w:textDirection w:val="lrTb"/>
            <w:noWrap w:val="false"/>
          </w:tcPr>
          <w:p>
            <w:pPr>
              <w:pStyle w:val="971"/>
              <w:jc w:val="center"/>
              <w:spacing w:line="360" w:lineRule="auto"/>
              <w:rPr>
                <w:rFonts w:hAnsi="宋体" w:eastAsia="宋体" w:cs="宋体"/>
                <w:color w:val="auto"/>
                <w:sz w:val="24"/>
                <w:highlight w:val="none"/>
              </w:rPr>
            </w:pPr>
            <w:r>
              <w:rPr>
                <w:rFonts w:hint="eastAsia" w:hAnsi="宋体" w:eastAsia="宋体" w:cs="宋体"/>
                <w:color w:val="auto"/>
                <w:sz w:val="24"/>
                <w:highlight w:val="none"/>
              </w:rPr>
              <w:t xml:space="preserve">备注</w:t>
            </w:r>
            <w:r/>
          </w:p>
        </w:tc>
      </w:tr>
      <w:tr>
        <w:trPr>
          <w:jc w:val="center"/>
          <w:trHeight w:val="567"/>
        </w:trPr>
        <w:tc>
          <w:tcPr>
            <w:tcW w:w="1152" w:type="dxa"/>
            <w:vAlign w:val="center"/>
            <w:textDirection w:val="lrTb"/>
            <w:noWrap w:val="false"/>
          </w:tcPr>
          <w:p>
            <w:pPr>
              <w:jc w:val="center"/>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1</w:t>
            </w:r>
            <w:r/>
          </w:p>
        </w:tc>
        <w:tc>
          <w:tcPr>
            <w:tcW w:w="3061" w:type="dxa"/>
            <w:vAlign w:val="center"/>
            <w:textDirection w:val="lrTb"/>
            <w:noWrap w:val="false"/>
          </w:tcPr>
          <w:p>
            <w:pPr>
              <w:jc w:val="center"/>
              <w:spacing w:line="360" w:lineRule="auto"/>
              <w:rPr>
                <w:rFonts w:ascii="宋体" w:hAnsi="宋体" w:eastAsia="宋体" w:cs="宋体"/>
                <w:color w:val="auto"/>
                <w:sz w:val="24"/>
                <w:highlight w:val="none"/>
              </w:rPr>
            </w:pPr>
            <w:r>
              <w:rPr>
                <w:rFonts w:ascii="宋体" w:hAnsi="宋体" w:eastAsia="宋体" w:cs="宋体"/>
                <w:color w:val="auto"/>
                <w:sz w:val="24"/>
                <w:highlight w:val="none"/>
              </w:rPr>
            </w:r>
            <w:r/>
          </w:p>
        </w:tc>
        <w:tc>
          <w:tcPr>
            <w:tcW w:w="2293" w:type="dxa"/>
            <w:vAlign w:val="center"/>
            <w:textDirection w:val="lrTb"/>
            <w:noWrap w:val="false"/>
          </w:tcPr>
          <w:p>
            <w:pPr>
              <w:pStyle w:val="971"/>
              <w:jc w:val="center"/>
              <w:spacing w:line="360" w:lineRule="auto"/>
              <w:rPr>
                <w:rFonts w:hAnsi="宋体" w:eastAsia="宋体" w:cs="宋体"/>
                <w:color w:val="auto"/>
                <w:sz w:val="24"/>
                <w:highlight w:val="none"/>
              </w:rPr>
            </w:pPr>
            <w:r>
              <w:rPr>
                <w:rFonts w:hAnsi="宋体" w:eastAsia="宋体" w:cs="宋体"/>
                <w:color w:val="auto"/>
                <w:sz w:val="24"/>
                <w:highlight w:val="none"/>
              </w:rPr>
            </w:r>
            <w:r/>
          </w:p>
        </w:tc>
        <w:tc>
          <w:tcPr>
            <w:tcW w:w="1801" w:type="dxa"/>
            <w:vAlign w:val="center"/>
            <w:textDirection w:val="lrTb"/>
            <w:noWrap w:val="false"/>
          </w:tcPr>
          <w:p>
            <w:pPr>
              <w:pStyle w:val="971"/>
              <w:jc w:val="center"/>
              <w:spacing w:line="360" w:lineRule="auto"/>
              <w:rPr>
                <w:rFonts w:hAnsi="宋体" w:eastAsia="宋体" w:cs="宋体"/>
                <w:color w:val="auto"/>
                <w:sz w:val="24"/>
                <w:highlight w:val="none"/>
              </w:rPr>
            </w:pPr>
            <w:r>
              <w:rPr>
                <w:rFonts w:hAnsi="宋体" w:eastAsia="宋体" w:cs="宋体"/>
                <w:color w:val="auto"/>
                <w:sz w:val="24"/>
                <w:highlight w:val="none"/>
              </w:rPr>
            </w:r>
            <w:r/>
          </w:p>
        </w:tc>
        <w:tc>
          <w:tcPr>
            <w:tcW w:w="1331" w:type="dxa"/>
            <w:vAlign w:val="center"/>
            <w:textDirection w:val="lrTb"/>
            <w:noWrap w:val="false"/>
          </w:tcPr>
          <w:p>
            <w:pPr>
              <w:pStyle w:val="971"/>
              <w:jc w:val="center"/>
              <w:spacing w:line="360" w:lineRule="auto"/>
              <w:rPr>
                <w:rFonts w:hAnsi="宋体" w:eastAsia="宋体" w:cs="宋体"/>
                <w:color w:val="auto"/>
                <w:sz w:val="24"/>
                <w:highlight w:val="none"/>
              </w:rPr>
            </w:pPr>
            <w:r>
              <w:rPr>
                <w:rFonts w:hAnsi="宋体" w:eastAsia="宋体" w:cs="宋体"/>
                <w:color w:val="auto"/>
                <w:sz w:val="24"/>
                <w:highlight w:val="none"/>
              </w:rPr>
            </w:r>
            <w:r/>
          </w:p>
        </w:tc>
      </w:tr>
    </w:tbl>
    <w:p>
      <w:pPr>
        <w:pStyle w:val="971"/>
        <w:spacing w:line="360" w:lineRule="auto"/>
        <w:rPr>
          <w:rFonts w:hAnsi="宋体" w:eastAsia="宋体" w:cs="宋体"/>
          <w:color w:val="auto"/>
          <w:sz w:val="24"/>
          <w:szCs w:val="24"/>
          <w:highlight w:val="none"/>
        </w:rPr>
      </w:pPr>
      <w:r>
        <w:rPr>
          <w:rFonts w:hint="eastAsia" w:hAnsi="宋体" w:eastAsia="宋体" w:cs="宋体"/>
          <w:color w:val="auto"/>
          <w:sz w:val="24"/>
          <w:szCs w:val="24"/>
          <w:highlight w:val="none"/>
        </w:rPr>
        <w:t xml:space="preserve">    </w:t>
      </w:r>
      <w:r/>
    </w:p>
    <w:p>
      <w:pPr>
        <w:pStyle w:val="1034"/>
        <w:ind w:firstLine="480"/>
        <w:spacing w:line="360" w:lineRule="auto"/>
        <w:rPr>
          <w:rFonts w:hAnsi="宋体" w:eastAsia="宋体" w:cs="宋体"/>
          <w:bCs/>
          <w:color w:val="auto"/>
          <w:sz w:val="24"/>
          <w:szCs w:val="24"/>
          <w:highlight w:val="none"/>
        </w:rPr>
      </w:pPr>
      <w:r>
        <w:rPr>
          <w:rFonts w:hint="eastAsia" w:hAnsi="宋体" w:eastAsia="宋体" w:cs="宋体"/>
          <w:bCs/>
          <w:color w:val="auto"/>
          <w:sz w:val="24"/>
          <w:szCs w:val="24"/>
          <w:highlight w:val="none"/>
        </w:rPr>
        <w:t xml:space="preserve">投标人</w:t>
      </w:r>
      <w:r>
        <w:rPr>
          <w:rFonts w:hint="eastAsia" w:hAnsi="宋体" w:eastAsia="宋体" w:cs="宋体"/>
          <w:color w:val="auto"/>
          <w:sz w:val="24"/>
          <w:szCs w:val="24"/>
          <w:highlight w:val="none"/>
        </w:rPr>
        <w:t xml:space="preserve">（单位盖章）</w:t>
      </w:r>
      <w:r>
        <w:rPr>
          <w:rFonts w:hint="eastAsia" w:hAnsi="宋体" w:eastAsia="宋体" w:cs="宋体"/>
          <w:bCs/>
          <w:color w:val="auto"/>
          <w:sz w:val="24"/>
          <w:szCs w:val="24"/>
          <w:highlight w:val="none"/>
        </w:rPr>
        <w:t xml:space="preserve">：</w:t>
      </w:r>
      <w:r/>
    </w:p>
    <w:p>
      <w:pPr>
        <w:pStyle w:val="1034"/>
        <w:spacing w:line="360" w:lineRule="auto"/>
        <w:rPr>
          <w:rFonts w:hAnsi="宋体" w:eastAsia="宋体" w:cs="宋体"/>
          <w:bCs/>
          <w:color w:val="auto"/>
          <w:sz w:val="24"/>
          <w:szCs w:val="24"/>
          <w:highlight w:val="none"/>
        </w:rPr>
      </w:pPr>
      <w:r>
        <w:rPr>
          <w:rFonts w:hint="eastAsia" w:hAnsi="宋体" w:eastAsia="宋体" w:cs="宋体"/>
          <w:bCs/>
          <w:color w:val="auto"/>
          <w:sz w:val="24"/>
          <w:szCs w:val="24"/>
          <w:highlight w:val="none"/>
        </w:rPr>
        <w:t xml:space="preserve">    法定代表人或代理人</w:t>
      </w:r>
      <w:r>
        <w:rPr>
          <w:rFonts w:hint="eastAsia" w:hAnsi="宋体" w:eastAsia="宋体" w:cs="宋体"/>
          <w:color w:val="auto"/>
          <w:sz w:val="24"/>
          <w:szCs w:val="24"/>
          <w:highlight w:val="none"/>
        </w:rPr>
        <w:t xml:space="preserve">（签字或盖章）</w:t>
      </w:r>
      <w:r>
        <w:rPr>
          <w:rFonts w:hint="eastAsia" w:hAnsi="宋体" w:eastAsia="宋体" w:cs="宋体"/>
          <w:bCs/>
          <w:color w:val="auto"/>
          <w:sz w:val="24"/>
          <w:szCs w:val="24"/>
          <w:highlight w:val="none"/>
        </w:rPr>
        <w:t xml:space="preserve">：</w:t>
      </w:r>
      <w:r/>
    </w:p>
    <w:p>
      <w:pPr>
        <w:pStyle w:val="1034"/>
        <w:ind w:firstLine="480"/>
        <w:spacing w:line="360" w:lineRule="auto"/>
        <w:rPr>
          <w:rFonts w:hAnsi="宋体" w:eastAsia="宋体" w:cs="宋体"/>
          <w:bCs/>
          <w:color w:val="auto"/>
          <w:sz w:val="24"/>
          <w:szCs w:val="24"/>
          <w:highlight w:val="none"/>
        </w:rPr>
      </w:pPr>
      <w:r>
        <w:rPr>
          <w:rFonts w:hint="eastAsia" w:hAnsi="宋体" w:eastAsia="宋体" w:cs="宋体"/>
          <w:bCs/>
          <w:color w:val="auto"/>
          <w:sz w:val="24"/>
          <w:szCs w:val="24"/>
          <w:highlight w:val="none"/>
        </w:rPr>
        <w:t xml:space="preserve">日期：     年     月     日</w:t>
      </w:r>
      <w:r/>
    </w:p>
    <w:p>
      <w:pPr>
        <w:spacing w:line="360" w:lineRule="auto"/>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p>
      <w:pPr>
        <w:pStyle w:val="958"/>
        <w:ind w:right="420" w:firstLine="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p>
      <w:pPr>
        <w:pStyle w:val="958"/>
        <w:ind w:right="420" w:firstLine="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p>
      <w:pPr>
        <w:pStyle w:val="958"/>
        <w:ind w:right="420" w:firstLine="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p>
      <w:pPr>
        <w:pStyle w:val="958"/>
        <w:ind w:right="420" w:firstLine="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p>
      <w:pPr>
        <w:pStyle w:val="958"/>
        <w:ind w:right="420" w:firstLine="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p>
      <w:pPr>
        <w:pStyle w:val="958"/>
        <w:ind w:right="420" w:firstLine="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p>
      <w:pPr>
        <w:pStyle w:val="958"/>
        <w:ind w:right="420" w:firstLine="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p>
      <w:pPr>
        <w:pStyle w:val="958"/>
        <w:ind w:right="420" w:firstLine="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p>
      <w:pPr>
        <w:pStyle w:val="958"/>
        <w:ind w:right="420" w:firstLine="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p>
      <w:pPr>
        <w:pStyle w:val="958"/>
        <w:ind w:right="420" w:firstLine="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p>
      <w:pPr>
        <w:pStyle w:val="958"/>
        <w:ind w:right="420" w:firstLine="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p>
      <w:pPr>
        <w:pStyle w:val="958"/>
        <w:ind w:right="420" w:firstLine="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p>
      <w:pPr>
        <w:pStyle w:val="958"/>
        <w:ind w:right="420" w:firstLine="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p>
      <w:pPr>
        <w:pStyle w:val="958"/>
        <w:ind w:right="420" w:firstLine="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p>
      <w:pPr>
        <w:pStyle w:val="958"/>
        <w:ind w:right="420" w:firstLine="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p>
      <w:pPr>
        <w:pStyle w:val="958"/>
        <w:ind w:right="420" w:firstLine="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p>
      <w:pPr>
        <w:pStyle w:val="958"/>
        <w:ind w:right="420" w:firstLine="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p>
      <w:pPr>
        <w:pStyle w:val="958"/>
        <w:ind w:right="420" w:firstLine="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p>
      <w:pPr>
        <w:pStyle w:val="958"/>
        <w:ind w:right="420" w:firstLine="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p>
      <w:pPr>
        <w:pStyle w:val="958"/>
        <w:ind w:right="420" w:firstLine="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p>
      <w:pPr>
        <w:pStyle w:val="958"/>
        <w:ind w:right="420" w:firstLine="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p>
      <w:pPr>
        <w:pStyle w:val="958"/>
        <w:ind w:right="420" w:firstLine="0"/>
        <w:spacing w:line="360" w:lineRule="auto"/>
        <w:rPr>
          <w:rFonts w:ascii="宋体" w:hAnsi="宋体" w:eastAsia="宋体" w:cs="宋体"/>
          <w:color w:val="auto"/>
          <w:szCs w:val="24"/>
          <w:highlight w:val="none"/>
        </w:rPr>
      </w:pPr>
      <w:r/>
      <w:bookmarkStart w:id="10" w:name="_Toc142194269"/>
      <w:r>
        <w:rPr>
          <w:rFonts w:hint="eastAsia" w:ascii="宋体" w:hAnsi="宋体" w:eastAsia="宋体" w:cs="宋体"/>
          <w:color w:val="auto"/>
          <w:szCs w:val="24"/>
          <w:highlight w:val="none"/>
        </w:rPr>
        <w:br/>
      </w:r>
      <w:r>
        <w:rPr>
          <w:rFonts w:hint="eastAsia" w:ascii="宋体" w:hAnsi="宋体" w:eastAsia="宋体" w:cs="宋体"/>
          <w:color w:val="auto"/>
          <w:szCs w:val="24"/>
          <w:highlight w:val="none"/>
        </w:rPr>
        <w:t xml:space="preserve">5、公开分项报价表</w:t>
      </w:r>
      <w:bookmarkEnd w:id="10"/>
      <w:r/>
      <w:r/>
    </w:p>
    <w:tbl>
      <w:tblPr>
        <w:tblStyle w:val="957"/>
        <w:tblW w:w="963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1086"/>
        <w:gridCol w:w="1304"/>
        <w:gridCol w:w="1290"/>
        <w:gridCol w:w="765"/>
        <w:gridCol w:w="721"/>
        <w:gridCol w:w="1319"/>
        <w:gridCol w:w="1231"/>
        <w:gridCol w:w="963"/>
      </w:tblGrid>
      <w:tr>
        <w:trPr>
          <w:jc w:val="center"/>
          <w:trHeight w:val="567"/>
        </w:trPr>
        <w:tc>
          <w:tcPr>
            <w:tcW w:w="959" w:type="dxa"/>
            <w:vAlign w:val="center"/>
            <w:textDirection w:val="lrTb"/>
            <w:noWrap w:val="false"/>
          </w:tcPr>
          <w:p>
            <w:pPr>
              <w:pStyle w:val="971"/>
              <w:jc w:val="center"/>
              <w:spacing w:line="360" w:lineRule="auto"/>
              <w:rPr>
                <w:rFonts w:hAnsi="宋体" w:eastAsia="宋体" w:cs="宋体"/>
                <w:bCs/>
                <w:color w:val="auto"/>
                <w:sz w:val="24"/>
                <w:szCs w:val="24"/>
                <w:highlight w:val="none"/>
              </w:rPr>
            </w:pPr>
            <w:r>
              <w:rPr>
                <w:rFonts w:hint="eastAsia" w:hAnsi="宋体" w:eastAsia="宋体" w:cs="宋体"/>
                <w:bCs/>
                <w:color w:val="auto"/>
                <w:sz w:val="24"/>
                <w:szCs w:val="24"/>
                <w:highlight w:val="none"/>
              </w:rPr>
              <w:t xml:space="preserve">序号</w:t>
            </w:r>
            <w:r/>
          </w:p>
        </w:tc>
        <w:tc>
          <w:tcPr>
            <w:tcW w:w="1086" w:type="dxa"/>
            <w:vAlign w:val="center"/>
            <w:textDirection w:val="lrTb"/>
            <w:noWrap w:val="false"/>
          </w:tcPr>
          <w:p>
            <w:pPr>
              <w:jc w:val="center"/>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名称</w:t>
            </w:r>
            <w:r/>
          </w:p>
        </w:tc>
        <w:tc>
          <w:tcPr>
            <w:tcW w:w="1304" w:type="dxa"/>
            <w:vAlign w:val="center"/>
            <w:textDirection w:val="lrTb"/>
            <w:noWrap w:val="false"/>
          </w:tcPr>
          <w:p>
            <w:pPr>
              <w:jc w:val="center"/>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品牌、型号</w:t>
            </w:r>
            <w:r/>
          </w:p>
        </w:tc>
        <w:tc>
          <w:tcPr>
            <w:tcW w:w="1290" w:type="dxa"/>
            <w:vAlign w:val="center"/>
            <w:textDirection w:val="lrTb"/>
            <w:noWrap w:val="false"/>
          </w:tcPr>
          <w:p>
            <w:pPr>
              <w:jc w:val="center"/>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生产厂家</w:t>
            </w:r>
            <w:r/>
          </w:p>
        </w:tc>
        <w:tc>
          <w:tcPr>
            <w:tcW w:w="765" w:type="dxa"/>
            <w:vAlign w:val="center"/>
            <w:textDirection w:val="lrTb"/>
            <w:noWrap w:val="false"/>
          </w:tcPr>
          <w:p>
            <w:pPr>
              <w:jc w:val="center"/>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单位</w:t>
            </w:r>
            <w:r/>
          </w:p>
        </w:tc>
        <w:tc>
          <w:tcPr>
            <w:tcW w:w="721" w:type="dxa"/>
            <w:vAlign w:val="center"/>
            <w:textDirection w:val="lrTb"/>
            <w:noWrap w:val="false"/>
          </w:tcPr>
          <w:p>
            <w:pPr>
              <w:jc w:val="center"/>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数量</w:t>
            </w:r>
            <w:r/>
          </w:p>
        </w:tc>
        <w:tc>
          <w:tcPr>
            <w:tcW w:w="1319" w:type="dxa"/>
            <w:vAlign w:val="center"/>
            <w:textDirection w:val="lrTb"/>
            <w:noWrap w:val="false"/>
          </w:tcPr>
          <w:p>
            <w:pPr>
              <w:jc w:val="center"/>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单价（元）</w:t>
            </w:r>
            <w:r/>
          </w:p>
        </w:tc>
        <w:tc>
          <w:tcPr>
            <w:tcW w:w="1231" w:type="dxa"/>
            <w:vAlign w:val="center"/>
            <w:textDirection w:val="lrTb"/>
            <w:noWrap w:val="false"/>
          </w:tcPr>
          <w:p>
            <w:pPr>
              <w:jc w:val="center"/>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总价（元）</w:t>
            </w:r>
            <w:r/>
          </w:p>
        </w:tc>
        <w:tc>
          <w:tcPr>
            <w:tcW w:w="963" w:type="dxa"/>
            <w:vAlign w:val="center"/>
            <w:textDirection w:val="lrTb"/>
            <w:noWrap w:val="false"/>
          </w:tcPr>
          <w:p>
            <w:pPr>
              <w:jc w:val="center"/>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交货期</w:t>
            </w:r>
            <w:r/>
          </w:p>
        </w:tc>
      </w:tr>
      <w:tr>
        <w:trPr>
          <w:jc w:val="center"/>
          <w:trHeight w:val="567"/>
        </w:trPr>
        <w:tc>
          <w:tcPr>
            <w:tcW w:w="959" w:type="dxa"/>
            <w:vAlign w:val="center"/>
            <w:textDirection w:val="lrTb"/>
            <w:noWrap w:val="false"/>
          </w:tcPr>
          <w:p>
            <w:pPr>
              <w:pStyle w:val="971"/>
              <w:jc w:val="center"/>
              <w:spacing w:line="360" w:lineRule="auto"/>
              <w:rPr>
                <w:rFonts w:hAnsi="宋体" w:eastAsia="宋体" w:cs="宋体"/>
                <w:bCs/>
                <w:color w:val="auto"/>
                <w:sz w:val="24"/>
                <w:szCs w:val="24"/>
                <w:highlight w:val="none"/>
              </w:rPr>
            </w:pPr>
            <w:r>
              <w:rPr>
                <w:rFonts w:hint="eastAsia" w:hAnsi="宋体" w:eastAsia="宋体" w:cs="宋体"/>
                <w:bCs/>
                <w:color w:val="auto"/>
                <w:sz w:val="24"/>
                <w:szCs w:val="24"/>
                <w:highlight w:val="none"/>
              </w:rPr>
              <w:t xml:space="preserve">1</w:t>
            </w:r>
            <w:r/>
          </w:p>
        </w:tc>
        <w:tc>
          <w:tcPr>
            <w:tcW w:w="1086" w:type="dxa"/>
            <w:vAlign w:val="center"/>
            <w:textDirection w:val="lrTb"/>
            <w:noWrap w:val="false"/>
          </w:tcPr>
          <w:p>
            <w:pPr>
              <w:pStyle w:val="971"/>
              <w:jc w:val="center"/>
              <w:spacing w:line="360" w:lineRule="auto"/>
              <w:rPr>
                <w:rFonts w:hAnsi="宋体" w:eastAsia="宋体" w:cs="宋体"/>
                <w:bCs/>
                <w:color w:val="auto"/>
                <w:sz w:val="24"/>
                <w:szCs w:val="24"/>
                <w:highlight w:val="none"/>
              </w:rPr>
            </w:pPr>
            <w:r>
              <w:rPr>
                <w:rFonts w:hAnsi="宋体" w:eastAsia="宋体" w:cs="宋体"/>
                <w:bCs/>
                <w:color w:val="auto"/>
                <w:sz w:val="24"/>
                <w:szCs w:val="24"/>
                <w:highlight w:val="none"/>
              </w:rPr>
            </w:r>
            <w:r/>
          </w:p>
        </w:tc>
        <w:tc>
          <w:tcPr>
            <w:tcW w:w="1304" w:type="dxa"/>
            <w:vAlign w:val="center"/>
            <w:textDirection w:val="lrTb"/>
            <w:noWrap w:val="false"/>
          </w:tcPr>
          <w:p>
            <w:pPr>
              <w:pStyle w:val="971"/>
              <w:jc w:val="center"/>
              <w:spacing w:line="360" w:lineRule="auto"/>
              <w:rPr>
                <w:rFonts w:hAnsi="宋体" w:eastAsia="宋体" w:cs="宋体"/>
                <w:bCs/>
                <w:color w:val="auto"/>
                <w:sz w:val="24"/>
                <w:szCs w:val="24"/>
                <w:highlight w:val="none"/>
              </w:rPr>
            </w:pPr>
            <w:r>
              <w:rPr>
                <w:rFonts w:hAnsi="宋体" w:eastAsia="宋体" w:cs="宋体"/>
                <w:bCs/>
                <w:color w:val="auto"/>
                <w:sz w:val="24"/>
                <w:szCs w:val="24"/>
                <w:highlight w:val="none"/>
              </w:rPr>
            </w:r>
            <w:r/>
          </w:p>
        </w:tc>
        <w:tc>
          <w:tcPr>
            <w:tcW w:w="1290" w:type="dxa"/>
            <w:vAlign w:val="center"/>
            <w:textDirection w:val="lrTb"/>
            <w:noWrap w:val="false"/>
          </w:tcPr>
          <w:p>
            <w:pPr>
              <w:pStyle w:val="971"/>
              <w:jc w:val="center"/>
              <w:spacing w:line="360" w:lineRule="auto"/>
              <w:rPr>
                <w:rFonts w:hAnsi="宋体" w:eastAsia="宋体" w:cs="宋体"/>
                <w:bCs/>
                <w:color w:val="auto"/>
                <w:sz w:val="24"/>
                <w:szCs w:val="24"/>
                <w:highlight w:val="none"/>
              </w:rPr>
            </w:pPr>
            <w:r>
              <w:rPr>
                <w:rFonts w:hAnsi="宋体" w:eastAsia="宋体" w:cs="宋体"/>
                <w:bCs/>
                <w:color w:val="auto"/>
                <w:sz w:val="24"/>
                <w:szCs w:val="24"/>
                <w:highlight w:val="none"/>
              </w:rPr>
            </w:r>
            <w:r/>
          </w:p>
        </w:tc>
        <w:tc>
          <w:tcPr>
            <w:tcW w:w="765" w:type="dxa"/>
            <w:vAlign w:val="center"/>
            <w:textDirection w:val="lrTb"/>
            <w:noWrap w:val="false"/>
          </w:tcPr>
          <w:p>
            <w:pPr>
              <w:pStyle w:val="971"/>
              <w:jc w:val="center"/>
              <w:spacing w:line="360" w:lineRule="auto"/>
              <w:rPr>
                <w:rFonts w:hAnsi="宋体" w:eastAsia="宋体" w:cs="宋体"/>
                <w:bCs/>
                <w:color w:val="auto"/>
                <w:sz w:val="24"/>
                <w:szCs w:val="24"/>
                <w:highlight w:val="none"/>
              </w:rPr>
            </w:pPr>
            <w:r>
              <w:rPr>
                <w:rFonts w:hAnsi="宋体" w:eastAsia="宋体" w:cs="宋体"/>
                <w:bCs/>
                <w:color w:val="auto"/>
                <w:sz w:val="24"/>
                <w:szCs w:val="24"/>
                <w:highlight w:val="none"/>
              </w:rPr>
            </w:r>
            <w:r/>
          </w:p>
        </w:tc>
        <w:tc>
          <w:tcPr>
            <w:tcW w:w="721" w:type="dxa"/>
            <w:vAlign w:val="center"/>
            <w:textDirection w:val="lrTb"/>
            <w:noWrap w:val="false"/>
          </w:tcPr>
          <w:p>
            <w:pPr>
              <w:pStyle w:val="971"/>
              <w:jc w:val="center"/>
              <w:spacing w:line="360" w:lineRule="auto"/>
              <w:rPr>
                <w:rFonts w:hAnsi="宋体" w:eastAsia="宋体" w:cs="宋体"/>
                <w:bCs/>
                <w:color w:val="auto"/>
                <w:sz w:val="24"/>
                <w:szCs w:val="24"/>
                <w:highlight w:val="none"/>
              </w:rPr>
            </w:pPr>
            <w:r>
              <w:rPr>
                <w:rFonts w:hAnsi="宋体" w:eastAsia="宋体" w:cs="宋体"/>
                <w:bCs/>
                <w:color w:val="auto"/>
                <w:sz w:val="24"/>
                <w:szCs w:val="24"/>
                <w:highlight w:val="none"/>
              </w:rPr>
            </w:r>
            <w:r/>
          </w:p>
        </w:tc>
        <w:tc>
          <w:tcPr>
            <w:tcW w:w="1319" w:type="dxa"/>
            <w:vAlign w:val="center"/>
            <w:textDirection w:val="lrTb"/>
            <w:noWrap w:val="false"/>
          </w:tcPr>
          <w:p>
            <w:pPr>
              <w:pStyle w:val="971"/>
              <w:jc w:val="center"/>
              <w:spacing w:line="360" w:lineRule="auto"/>
              <w:rPr>
                <w:rFonts w:hAnsi="宋体" w:eastAsia="宋体" w:cs="宋体"/>
                <w:bCs/>
                <w:color w:val="auto"/>
                <w:sz w:val="24"/>
                <w:szCs w:val="24"/>
                <w:highlight w:val="none"/>
              </w:rPr>
            </w:pPr>
            <w:r>
              <w:rPr>
                <w:rFonts w:hAnsi="宋体" w:eastAsia="宋体" w:cs="宋体"/>
                <w:bCs/>
                <w:color w:val="auto"/>
                <w:sz w:val="24"/>
                <w:szCs w:val="24"/>
                <w:highlight w:val="none"/>
              </w:rPr>
            </w:r>
            <w:r/>
          </w:p>
        </w:tc>
        <w:tc>
          <w:tcPr>
            <w:tcW w:w="1231" w:type="dxa"/>
            <w:vAlign w:val="center"/>
            <w:textDirection w:val="lrTb"/>
            <w:noWrap w:val="false"/>
          </w:tcPr>
          <w:p>
            <w:pPr>
              <w:pStyle w:val="971"/>
              <w:jc w:val="center"/>
              <w:spacing w:line="360" w:lineRule="auto"/>
              <w:rPr>
                <w:rFonts w:hAnsi="宋体" w:eastAsia="宋体" w:cs="宋体"/>
                <w:bCs/>
                <w:color w:val="auto"/>
                <w:sz w:val="24"/>
                <w:szCs w:val="24"/>
                <w:highlight w:val="none"/>
              </w:rPr>
            </w:pPr>
            <w:r>
              <w:rPr>
                <w:rFonts w:hAnsi="宋体" w:eastAsia="宋体" w:cs="宋体"/>
                <w:bCs/>
                <w:color w:val="auto"/>
                <w:sz w:val="24"/>
                <w:szCs w:val="24"/>
                <w:highlight w:val="none"/>
              </w:rPr>
            </w:r>
            <w:r/>
          </w:p>
        </w:tc>
        <w:tc>
          <w:tcPr>
            <w:tcW w:w="963" w:type="dxa"/>
            <w:vAlign w:val="center"/>
            <w:textDirection w:val="lrTb"/>
            <w:noWrap w:val="false"/>
          </w:tcPr>
          <w:p>
            <w:pPr>
              <w:pStyle w:val="971"/>
              <w:jc w:val="center"/>
              <w:spacing w:line="360" w:lineRule="auto"/>
              <w:rPr>
                <w:rFonts w:hAnsi="宋体" w:eastAsia="宋体" w:cs="宋体"/>
                <w:bCs/>
                <w:color w:val="auto"/>
                <w:sz w:val="24"/>
                <w:szCs w:val="24"/>
                <w:highlight w:val="none"/>
              </w:rPr>
            </w:pPr>
            <w:r>
              <w:rPr>
                <w:rFonts w:hAnsi="宋体" w:eastAsia="宋体" w:cs="宋体"/>
                <w:bCs/>
                <w:color w:val="auto"/>
                <w:sz w:val="24"/>
                <w:szCs w:val="24"/>
                <w:highlight w:val="none"/>
              </w:rPr>
            </w:r>
            <w:r/>
          </w:p>
        </w:tc>
      </w:tr>
      <w:tr>
        <w:trPr>
          <w:jc w:val="center"/>
          <w:trHeight w:val="567"/>
        </w:trPr>
        <w:tc>
          <w:tcPr>
            <w:tcW w:w="959" w:type="dxa"/>
            <w:vAlign w:val="center"/>
            <w:textDirection w:val="lrTb"/>
            <w:noWrap w:val="false"/>
          </w:tcPr>
          <w:p>
            <w:pPr>
              <w:pStyle w:val="971"/>
              <w:jc w:val="center"/>
              <w:spacing w:line="360" w:lineRule="auto"/>
              <w:rPr>
                <w:rFonts w:hAnsi="宋体" w:eastAsia="宋体" w:cs="宋体"/>
                <w:bCs/>
                <w:color w:val="auto"/>
                <w:sz w:val="24"/>
                <w:szCs w:val="24"/>
                <w:highlight w:val="none"/>
              </w:rPr>
            </w:pPr>
            <w:r>
              <w:rPr>
                <w:rFonts w:hint="eastAsia" w:hAnsi="宋体" w:eastAsia="宋体" w:cs="宋体"/>
                <w:bCs/>
                <w:color w:val="auto"/>
                <w:sz w:val="24"/>
                <w:szCs w:val="24"/>
                <w:highlight w:val="none"/>
              </w:rPr>
              <w:t xml:space="preserve">2</w:t>
            </w:r>
            <w:r/>
          </w:p>
        </w:tc>
        <w:tc>
          <w:tcPr>
            <w:tcW w:w="1086" w:type="dxa"/>
            <w:vAlign w:val="center"/>
            <w:textDirection w:val="lrTb"/>
            <w:noWrap w:val="false"/>
          </w:tcPr>
          <w:p>
            <w:pPr>
              <w:pStyle w:val="971"/>
              <w:jc w:val="center"/>
              <w:spacing w:line="360" w:lineRule="auto"/>
              <w:rPr>
                <w:rFonts w:hAnsi="宋体" w:eastAsia="宋体" w:cs="宋体"/>
                <w:bCs/>
                <w:color w:val="auto"/>
                <w:sz w:val="24"/>
                <w:szCs w:val="24"/>
                <w:highlight w:val="none"/>
              </w:rPr>
            </w:pPr>
            <w:r>
              <w:rPr>
                <w:rFonts w:hAnsi="宋体" w:eastAsia="宋体" w:cs="宋体"/>
                <w:bCs/>
                <w:color w:val="auto"/>
                <w:sz w:val="24"/>
                <w:szCs w:val="24"/>
                <w:highlight w:val="none"/>
              </w:rPr>
            </w:r>
            <w:r/>
          </w:p>
        </w:tc>
        <w:tc>
          <w:tcPr>
            <w:tcW w:w="1304" w:type="dxa"/>
            <w:vAlign w:val="center"/>
            <w:textDirection w:val="lrTb"/>
            <w:noWrap w:val="false"/>
          </w:tcPr>
          <w:p>
            <w:pPr>
              <w:pStyle w:val="971"/>
              <w:jc w:val="center"/>
              <w:spacing w:line="360" w:lineRule="auto"/>
              <w:rPr>
                <w:rFonts w:hAnsi="宋体" w:eastAsia="宋体" w:cs="宋体"/>
                <w:bCs/>
                <w:color w:val="auto"/>
                <w:sz w:val="24"/>
                <w:szCs w:val="24"/>
                <w:highlight w:val="none"/>
              </w:rPr>
            </w:pPr>
            <w:r>
              <w:rPr>
                <w:rFonts w:hAnsi="宋体" w:eastAsia="宋体" w:cs="宋体"/>
                <w:bCs/>
                <w:color w:val="auto"/>
                <w:sz w:val="24"/>
                <w:szCs w:val="24"/>
                <w:highlight w:val="none"/>
              </w:rPr>
            </w:r>
            <w:r/>
          </w:p>
        </w:tc>
        <w:tc>
          <w:tcPr>
            <w:tcW w:w="1290" w:type="dxa"/>
            <w:vAlign w:val="center"/>
            <w:textDirection w:val="lrTb"/>
            <w:noWrap w:val="false"/>
          </w:tcPr>
          <w:p>
            <w:pPr>
              <w:pStyle w:val="971"/>
              <w:jc w:val="center"/>
              <w:spacing w:line="360" w:lineRule="auto"/>
              <w:rPr>
                <w:rFonts w:hAnsi="宋体" w:eastAsia="宋体" w:cs="宋体"/>
                <w:bCs/>
                <w:color w:val="auto"/>
                <w:sz w:val="24"/>
                <w:szCs w:val="24"/>
                <w:highlight w:val="none"/>
              </w:rPr>
            </w:pPr>
            <w:r>
              <w:rPr>
                <w:rFonts w:hAnsi="宋体" w:eastAsia="宋体" w:cs="宋体"/>
                <w:bCs/>
                <w:color w:val="auto"/>
                <w:sz w:val="24"/>
                <w:szCs w:val="24"/>
                <w:highlight w:val="none"/>
              </w:rPr>
            </w:r>
            <w:r/>
          </w:p>
        </w:tc>
        <w:tc>
          <w:tcPr>
            <w:tcW w:w="765" w:type="dxa"/>
            <w:vAlign w:val="center"/>
            <w:textDirection w:val="lrTb"/>
            <w:noWrap w:val="false"/>
          </w:tcPr>
          <w:p>
            <w:pPr>
              <w:pStyle w:val="971"/>
              <w:jc w:val="center"/>
              <w:spacing w:line="360" w:lineRule="auto"/>
              <w:rPr>
                <w:rFonts w:hAnsi="宋体" w:eastAsia="宋体" w:cs="宋体"/>
                <w:bCs/>
                <w:color w:val="auto"/>
                <w:sz w:val="24"/>
                <w:szCs w:val="24"/>
                <w:highlight w:val="none"/>
              </w:rPr>
            </w:pPr>
            <w:r>
              <w:rPr>
                <w:rFonts w:hAnsi="宋体" w:eastAsia="宋体" w:cs="宋体"/>
                <w:bCs/>
                <w:color w:val="auto"/>
                <w:sz w:val="24"/>
                <w:szCs w:val="24"/>
                <w:highlight w:val="none"/>
              </w:rPr>
            </w:r>
            <w:r/>
          </w:p>
        </w:tc>
        <w:tc>
          <w:tcPr>
            <w:tcW w:w="721" w:type="dxa"/>
            <w:vAlign w:val="center"/>
            <w:textDirection w:val="lrTb"/>
            <w:noWrap w:val="false"/>
          </w:tcPr>
          <w:p>
            <w:pPr>
              <w:pStyle w:val="971"/>
              <w:jc w:val="center"/>
              <w:spacing w:line="360" w:lineRule="auto"/>
              <w:rPr>
                <w:rFonts w:hAnsi="宋体" w:eastAsia="宋体" w:cs="宋体"/>
                <w:bCs/>
                <w:color w:val="auto"/>
                <w:sz w:val="24"/>
                <w:szCs w:val="24"/>
                <w:highlight w:val="none"/>
              </w:rPr>
            </w:pPr>
            <w:r>
              <w:rPr>
                <w:rFonts w:hAnsi="宋体" w:eastAsia="宋体" w:cs="宋体"/>
                <w:bCs/>
                <w:color w:val="auto"/>
                <w:sz w:val="24"/>
                <w:szCs w:val="24"/>
                <w:highlight w:val="none"/>
              </w:rPr>
            </w:r>
            <w:r/>
          </w:p>
        </w:tc>
        <w:tc>
          <w:tcPr>
            <w:tcW w:w="1319" w:type="dxa"/>
            <w:vAlign w:val="center"/>
            <w:textDirection w:val="lrTb"/>
            <w:noWrap w:val="false"/>
          </w:tcPr>
          <w:p>
            <w:pPr>
              <w:pStyle w:val="971"/>
              <w:jc w:val="center"/>
              <w:spacing w:line="360" w:lineRule="auto"/>
              <w:rPr>
                <w:rFonts w:hAnsi="宋体" w:eastAsia="宋体" w:cs="宋体"/>
                <w:bCs/>
                <w:color w:val="auto"/>
                <w:sz w:val="24"/>
                <w:szCs w:val="24"/>
                <w:highlight w:val="none"/>
              </w:rPr>
            </w:pPr>
            <w:r>
              <w:rPr>
                <w:rFonts w:hAnsi="宋体" w:eastAsia="宋体" w:cs="宋体"/>
                <w:bCs/>
                <w:color w:val="auto"/>
                <w:sz w:val="24"/>
                <w:szCs w:val="24"/>
                <w:highlight w:val="none"/>
              </w:rPr>
            </w:r>
            <w:r/>
          </w:p>
        </w:tc>
        <w:tc>
          <w:tcPr>
            <w:tcW w:w="1231" w:type="dxa"/>
            <w:vAlign w:val="center"/>
            <w:textDirection w:val="lrTb"/>
            <w:noWrap w:val="false"/>
          </w:tcPr>
          <w:p>
            <w:pPr>
              <w:pStyle w:val="971"/>
              <w:jc w:val="center"/>
              <w:spacing w:line="360" w:lineRule="auto"/>
              <w:rPr>
                <w:rFonts w:hAnsi="宋体" w:eastAsia="宋体" w:cs="宋体"/>
                <w:bCs/>
                <w:color w:val="auto"/>
                <w:sz w:val="24"/>
                <w:szCs w:val="24"/>
                <w:highlight w:val="none"/>
              </w:rPr>
            </w:pPr>
            <w:r>
              <w:rPr>
                <w:rFonts w:hAnsi="宋体" w:eastAsia="宋体" w:cs="宋体"/>
                <w:bCs/>
                <w:color w:val="auto"/>
                <w:sz w:val="24"/>
                <w:szCs w:val="24"/>
                <w:highlight w:val="none"/>
              </w:rPr>
            </w:r>
            <w:r/>
          </w:p>
        </w:tc>
        <w:tc>
          <w:tcPr>
            <w:tcW w:w="963" w:type="dxa"/>
            <w:vAlign w:val="center"/>
            <w:textDirection w:val="lrTb"/>
            <w:noWrap w:val="false"/>
          </w:tcPr>
          <w:p>
            <w:pPr>
              <w:pStyle w:val="971"/>
              <w:jc w:val="center"/>
              <w:spacing w:line="360" w:lineRule="auto"/>
              <w:rPr>
                <w:rFonts w:hAnsi="宋体" w:eastAsia="宋体" w:cs="宋体"/>
                <w:bCs/>
                <w:color w:val="auto"/>
                <w:sz w:val="24"/>
                <w:szCs w:val="24"/>
                <w:highlight w:val="none"/>
              </w:rPr>
            </w:pPr>
            <w:r>
              <w:rPr>
                <w:rFonts w:hAnsi="宋体" w:eastAsia="宋体" w:cs="宋体"/>
                <w:bCs/>
                <w:color w:val="auto"/>
                <w:sz w:val="24"/>
                <w:szCs w:val="24"/>
                <w:highlight w:val="none"/>
              </w:rPr>
            </w:r>
            <w:r/>
          </w:p>
        </w:tc>
      </w:tr>
      <w:tr>
        <w:trPr>
          <w:jc w:val="center"/>
          <w:trHeight w:val="567"/>
        </w:trPr>
        <w:tc>
          <w:tcPr>
            <w:tcW w:w="959" w:type="dxa"/>
            <w:vAlign w:val="center"/>
            <w:textDirection w:val="lrTb"/>
            <w:noWrap w:val="false"/>
          </w:tcPr>
          <w:p>
            <w:pPr>
              <w:pStyle w:val="971"/>
              <w:jc w:val="center"/>
              <w:spacing w:line="360" w:lineRule="auto"/>
              <w:rPr>
                <w:rFonts w:hAnsi="宋体" w:eastAsia="宋体" w:cs="宋体"/>
                <w:bCs/>
                <w:color w:val="auto"/>
                <w:sz w:val="24"/>
                <w:szCs w:val="24"/>
                <w:highlight w:val="none"/>
              </w:rPr>
            </w:pPr>
            <w:r>
              <w:rPr>
                <w:rFonts w:hint="eastAsia" w:hAnsi="宋体" w:eastAsia="宋体" w:cs="宋体"/>
                <w:bCs/>
                <w:color w:val="auto"/>
                <w:sz w:val="24"/>
                <w:szCs w:val="24"/>
                <w:highlight w:val="none"/>
              </w:rPr>
              <w:t xml:space="preserve">3</w:t>
            </w:r>
            <w:r/>
          </w:p>
        </w:tc>
        <w:tc>
          <w:tcPr>
            <w:tcW w:w="1086" w:type="dxa"/>
            <w:vAlign w:val="center"/>
            <w:textDirection w:val="lrTb"/>
            <w:noWrap w:val="false"/>
          </w:tcPr>
          <w:p>
            <w:pPr>
              <w:pStyle w:val="971"/>
              <w:jc w:val="center"/>
              <w:spacing w:line="360" w:lineRule="auto"/>
              <w:rPr>
                <w:rFonts w:hAnsi="宋体" w:eastAsia="宋体" w:cs="宋体"/>
                <w:bCs/>
                <w:color w:val="auto"/>
                <w:sz w:val="24"/>
                <w:szCs w:val="24"/>
                <w:highlight w:val="none"/>
              </w:rPr>
            </w:pPr>
            <w:r>
              <w:rPr>
                <w:rFonts w:hAnsi="宋体" w:eastAsia="宋体" w:cs="宋体"/>
                <w:bCs/>
                <w:color w:val="auto"/>
                <w:sz w:val="24"/>
                <w:szCs w:val="24"/>
                <w:highlight w:val="none"/>
              </w:rPr>
            </w:r>
            <w:r/>
          </w:p>
        </w:tc>
        <w:tc>
          <w:tcPr>
            <w:tcW w:w="1304" w:type="dxa"/>
            <w:vAlign w:val="center"/>
            <w:textDirection w:val="lrTb"/>
            <w:noWrap w:val="false"/>
          </w:tcPr>
          <w:p>
            <w:pPr>
              <w:pStyle w:val="971"/>
              <w:jc w:val="center"/>
              <w:spacing w:line="360" w:lineRule="auto"/>
              <w:rPr>
                <w:rFonts w:hAnsi="宋体" w:eastAsia="宋体" w:cs="宋体"/>
                <w:bCs/>
                <w:color w:val="auto"/>
                <w:sz w:val="24"/>
                <w:szCs w:val="24"/>
                <w:highlight w:val="none"/>
              </w:rPr>
            </w:pPr>
            <w:r>
              <w:rPr>
                <w:rFonts w:hAnsi="宋体" w:eastAsia="宋体" w:cs="宋体"/>
                <w:bCs/>
                <w:color w:val="auto"/>
                <w:sz w:val="24"/>
                <w:szCs w:val="24"/>
                <w:highlight w:val="none"/>
              </w:rPr>
            </w:r>
            <w:r/>
          </w:p>
        </w:tc>
        <w:tc>
          <w:tcPr>
            <w:tcW w:w="1290" w:type="dxa"/>
            <w:vAlign w:val="center"/>
            <w:textDirection w:val="lrTb"/>
            <w:noWrap w:val="false"/>
          </w:tcPr>
          <w:p>
            <w:pPr>
              <w:pStyle w:val="971"/>
              <w:jc w:val="center"/>
              <w:spacing w:line="360" w:lineRule="auto"/>
              <w:rPr>
                <w:rFonts w:hAnsi="宋体" w:eastAsia="宋体" w:cs="宋体"/>
                <w:bCs/>
                <w:color w:val="auto"/>
                <w:sz w:val="24"/>
                <w:szCs w:val="24"/>
                <w:highlight w:val="none"/>
              </w:rPr>
            </w:pPr>
            <w:r>
              <w:rPr>
                <w:rFonts w:hAnsi="宋体" w:eastAsia="宋体" w:cs="宋体"/>
                <w:bCs/>
                <w:color w:val="auto"/>
                <w:sz w:val="24"/>
                <w:szCs w:val="24"/>
                <w:highlight w:val="none"/>
              </w:rPr>
            </w:r>
            <w:r/>
          </w:p>
        </w:tc>
        <w:tc>
          <w:tcPr>
            <w:tcW w:w="765" w:type="dxa"/>
            <w:vAlign w:val="center"/>
            <w:textDirection w:val="lrTb"/>
            <w:noWrap w:val="false"/>
          </w:tcPr>
          <w:p>
            <w:pPr>
              <w:pStyle w:val="971"/>
              <w:jc w:val="center"/>
              <w:spacing w:line="360" w:lineRule="auto"/>
              <w:rPr>
                <w:rFonts w:hAnsi="宋体" w:eastAsia="宋体" w:cs="宋体"/>
                <w:bCs/>
                <w:color w:val="auto"/>
                <w:sz w:val="24"/>
                <w:szCs w:val="24"/>
                <w:highlight w:val="none"/>
              </w:rPr>
            </w:pPr>
            <w:r>
              <w:rPr>
                <w:rFonts w:hAnsi="宋体" w:eastAsia="宋体" w:cs="宋体"/>
                <w:bCs/>
                <w:color w:val="auto"/>
                <w:sz w:val="24"/>
                <w:szCs w:val="24"/>
                <w:highlight w:val="none"/>
              </w:rPr>
            </w:r>
            <w:r/>
          </w:p>
        </w:tc>
        <w:tc>
          <w:tcPr>
            <w:tcW w:w="721" w:type="dxa"/>
            <w:vAlign w:val="center"/>
            <w:textDirection w:val="lrTb"/>
            <w:noWrap w:val="false"/>
          </w:tcPr>
          <w:p>
            <w:pPr>
              <w:pStyle w:val="971"/>
              <w:jc w:val="center"/>
              <w:spacing w:line="360" w:lineRule="auto"/>
              <w:rPr>
                <w:rFonts w:hAnsi="宋体" w:eastAsia="宋体" w:cs="宋体"/>
                <w:bCs/>
                <w:color w:val="auto"/>
                <w:sz w:val="24"/>
                <w:szCs w:val="24"/>
                <w:highlight w:val="none"/>
              </w:rPr>
            </w:pPr>
            <w:r>
              <w:rPr>
                <w:rFonts w:hAnsi="宋体" w:eastAsia="宋体" w:cs="宋体"/>
                <w:bCs/>
                <w:color w:val="auto"/>
                <w:sz w:val="24"/>
                <w:szCs w:val="24"/>
                <w:highlight w:val="none"/>
              </w:rPr>
            </w:r>
            <w:r/>
          </w:p>
        </w:tc>
        <w:tc>
          <w:tcPr>
            <w:tcW w:w="1319" w:type="dxa"/>
            <w:vAlign w:val="center"/>
            <w:textDirection w:val="lrTb"/>
            <w:noWrap w:val="false"/>
          </w:tcPr>
          <w:p>
            <w:pPr>
              <w:pStyle w:val="971"/>
              <w:jc w:val="center"/>
              <w:spacing w:line="360" w:lineRule="auto"/>
              <w:rPr>
                <w:rFonts w:hAnsi="宋体" w:eastAsia="宋体" w:cs="宋体"/>
                <w:bCs/>
                <w:color w:val="auto"/>
                <w:sz w:val="24"/>
                <w:szCs w:val="24"/>
                <w:highlight w:val="none"/>
              </w:rPr>
            </w:pPr>
            <w:r>
              <w:rPr>
                <w:rFonts w:hAnsi="宋体" w:eastAsia="宋体" w:cs="宋体"/>
                <w:bCs/>
                <w:color w:val="auto"/>
                <w:sz w:val="24"/>
                <w:szCs w:val="24"/>
                <w:highlight w:val="none"/>
              </w:rPr>
            </w:r>
            <w:r/>
          </w:p>
        </w:tc>
        <w:tc>
          <w:tcPr>
            <w:tcW w:w="1231" w:type="dxa"/>
            <w:vAlign w:val="center"/>
            <w:textDirection w:val="lrTb"/>
            <w:noWrap w:val="false"/>
          </w:tcPr>
          <w:p>
            <w:pPr>
              <w:pStyle w:val="971"/>
              <w:jc w:val="center"/>
              <w:spacing w:line="360" w:lineRule="auto"/>
              <w:rPr>
                <w:rFonts w:hAnsi="宋体" w:eastAsia="宋体" w:cs="宋体"/>
                <w:bCs/>
                <w:color w:val="auto"/>
                <w:sz w:val="24"/>
                <w:szCs w:val="24"/>
                <w:highlight w:val="none"/>
              </w:rPr>
            </w:pPr>
            <w:r>
              <w:rPr>
                <w:rFonts w:hAnsi="宋体" w:eastAsia="宋体" w:cs="宋体"/>
                <w:bCs/>
                <w:color w:val="auto"/>
                <w:sz w:val="24"/>
                <w:szCs w:val="24"/>
                <w:highlight w:val="none"/>
              </w:rPr>
            </w:r>
            <w:r/>
          </w:p>
        </w:tc>
        <w:tc>
          <w:tcPr>
            <w:tcW w:w="963" w:type="dxa"/>
            <w:vAlign w:val="center"/>
            <w:textDirection w:val="lrTb"/>
            <w:noWrap w:val="false"/>
          </w:tcPr>
          <w:p>
            <w:pPr>
              <w:pStyle w:val="971"/>
              <w:jc w:val="center"/>
              <w:spacing w:line="360" w:lineRule="auto"/>
              <w:rPr>
                <w:rFonts w:hAnsi="宋体" w:eastAsia="宋体" w:cs="宋体"/>
                <w:bCs/>
                <w:color w:val="auto"/>
                <w:sz w:val="24"/>
                <w:szCs w:val="24"/>
                <w:highlight w:val="none"/>
              </w:rPr>
            </w:pPr>
            <w:r>
              <w:rPr>
                <w:rFonts w:hAnsi="宋体" w:eastAsia="宋体" w:cs="宋体"/>
                <w:bCs/>
                <w:color w:val="auto"/>
                <w:sz w:val="24"/>
                <w:szCs w:val="24"/>
                <w:highlight w:val="none"/>
              </w:rPr>
            </w:r>
            <w:r/>
          </w:p>
        </w:tc>
      </w:tr>
      <w:tr>
        <w:trPr>
          <w:jc w:val="center"/>
          <w:trHeight w:val="567"/>
        </w:trPr>
        <w:tc>
          <w:tcPr>
            <w:tcW w:w="959" w:type="dxa"/>
            <w:vAlign w:val="center"/>
            <w:textDirection w:val="lrTb"/>
            <w:noWrap w:val="false"/>
          </w:tcPr>
          <w:p>
            <w:pPr>
              <w:pStyle w:val="971"/>
              <w:jc w:val="center"/>
              <w:spacing w:line="360" w:lineRule="auto"/>
              <w:rPr>
                <w:rFonts w:hAnsi="宋体" w:eastAsia="宋体" w:cs="宋体"/>
                <w:bCs/>
                <w:color w:val="auto"/>
                <w:sz w:val="24"/>
                <w:szCs w:val="24"/>
                <w:highlight w:val="none"/>
              </w:rPr>
            </w:pPr>
            <w:r>
              <w:rPr>
                <w:rFonts w:hint="eastAsia" w:hAnsi="宋体" w:eastAsia="宋体" w:cs="宋体"/>
                <w:bCs/>
                <w:color w:val="auto"/>
                <w:sz w:val="24"/>
                <w:szCs w:val="24"/>
                <w:highlight w:val="none"/>
              </w:rPr>
              <w:t xml:space="preserve">4</w:t>
            </w:r>
            <w:r/>
          </w:p>
        </w:tc>
        <w:tc>
          <w:tcPr>
            <w:tcW w:w="1086" w:type="dxa"/>
            <w:vAlign w:val="center"/>
            <w:textDirection w:val="lrTb"/>
            <w:noWrap w:val="false"/>
          </w:tcPr>
          <w:p>
            <w:pPr>
              <w:pStyle w:val="971"/>
              <w:jc w:val="center"/>
              <w:spacing w:line="360" w:lineRule="auto"/>
              <w:rPr>
                <w:rFonts w:hAnsi="宋体" w:eastAsia="宋体" w:cs="宋体"/>
                <w:bCs/>
                <w:color w:val="auto"/>
                <w:sz w:val="24"/>
                <w:szCs w:val="24"/>
                <w:highlight w:val="none"/>
              </w:rPr>
            </w:pPr>
            <w:r>
              <w:rPr>
                <w:rFonts w:hAnsi="宋体" w:eastAsia="宋体" w:cs="宋体"/>
                <w:bCs/>
                <w:color w:val="auto"/>
                <w:sz w:val="24"/>
                <w:szCs w:val="24"/>
                <w:highlight w:val="none"/>
              </w:rPr>
            </w:r>
            <w:r/>
          </w:p>
        </w:tc>
        <w:tc>
          <w:tcPr>
            <w:tcW w:w="1304" w:type="dxa"/>
            <w:vAlign w:val="center"/>
            <w:textDirection w:val="lrTb"/>
            <w:noWrap w:val="false"/>
          </w:tcPr>
          <w:p>
            <w:pPr>
              <w:pStyle w:val="971"/>
              <w:jc w:val="center"/>
              <w:spacing w:line="360" w:lineRule="auto"/>
              <w:rPr>
                <w:rFonts w:hAnsi="宋体" w:eastAsia="宋体" w:cs="宋体"/>
                <w:bCs/>
                <w:color w:val="auto"/>
                <w:sz w:val="24"/>
                <w:szCs w:val="24"/>
                <w:highlight w:val="none"/>
              </w:rPr>
            </w:pPr>
            <w:r>
              <w:rPr>
                <w:rFonts w:hAnsi="宋体" w:eastAsia="宋体" w:cs="宋体"/>
                <w:bCs/>
                <w:color w:val="auto"/>
                <w:sz w:val="24"/>
                <w:szCs w:val="24"/>
                <w:highlight w:val="none"/>
              </w:rPr>
            </w:r>
            <w:r/>
          </w:p>
        </w:tc>
        <w:tc>
          <w:tcPr>
            <w:tcW w:w="1290" w:type="dxa"/>
            <w:vAlign w:val="center"/>
            <w:textDirection w:val="lrTb"/>
            <w:noWrap w:val="false"/>
          </w:tcPr>
          <w:p>
            <w:pPr>
              <w:pStyle w:val="971"/>
              <w:jc w:val="center"/>
              <w:spacing w:line="360" w:lineRule="auto"/>
              <w:rPr>
                <w:rFonts w:hAnsi="宋体" w:eastAsia="宋体" w:cs="宋体"/>
                <w:bCs/>
                <w:color w:val="auto"/>
                <w:sz w:val="24"/>
                <w:szCs w:val="24"/>
                <w:highlight w:val="none"/>
              </w:rPr>
            </w:pPr>
            <w:r>
              <w:rPr>
                <w:rFonts w:hAnsi="宋体" w:eastAsia="宋体" w:cs="宋体"/>
                <w:bCs/>
                <w:color w:val="auto"/>
                <w:sz w:val="24"/>
                <w:szCs w:val="24"/>
                <w:highlight w:val="none"/>
              </w:rPr>
            </w:r>
            <w:r/>
          </w:p>
        </w:tc>
        <w:tc>
          <w:tcPr>
            <w:tcW w:w="765" w:type="dxa"/>
            <w:vAlign w:val="center"/>
            <w:textDirection w:val="lrTb"/>
            <w:noWrap w:val="false"/>
          </w:tcPr>
          <w:p>
            <w:pPr>
              <w:pStyle w:val="971"/>
              <w:jc w:val="center"/>
              <w:spacing w:line="360" w:lineRule="auto"/>
              <w:rPr>
                <w:rFonts w:hAnsi="宋体" w:eastAsia="宋体" w:cs="宋体"/>
                <w:bCs/>
                <w:color w:val="auto"/>
                <w:sz w:val="24"/>
                <w:szCs w:val="24"/>
                <w:highlight w:val="none"/>
              </w:rPr>
            </w:pPr>
            <w:r>
              <w:rPr>
                <w:rFonts w:hAnsi="宋体" w:eastAsia="宋体" w:cs="宋体"/>
                <w:bCs/>
                <w:color w:val="auto"/>
                <w:sz w:val="24"/>
                <w:szCs w:val="24"/>
                <w:highlight w:val="none"/>
              </w:rPr>
            </w:r>
            <w:r/>
          </w:p>
        </w:tc>
        <w:tc>
          <w:tcPr>
            <w:tcW w:w="721" w:type="dxa"/>
            <w:vAlign w:val="center"/>
            <w:textDirection w:val="lrTb"/>
            <w:noWrap w:val="false"/>
          </w:tcPr>
          <w:p>
            <w:pPr>
              <w:pStyle w:val="971"/>
              <w:jc w:val="center"/>
              <w:spacing w:line="360" w:lineRule="auto"/>
              <w:rPr>
                <w:rFonts w:hAnsi="宋体" w:eastAsia="宋体" w:cs="宋体"/>
                <w:bCs/>
                <w:color w:val="auto"/>
                <w:sz w:val="24"/>
                <w:szCs w:val="24"/>
                <w:highlight w:val="none"/>
              </w:rPr>
            </w:pPr>
            <w:r>
              <w:rPr>
                <w:rFonts w:hAnsi="宋体" w:eastAsia="宋体" w:cs="宋体"/>
                <w:bCs/>
                <w:color w:val="auto"/>
                <w:sz w:val="24"/>
                <w:szCs w:val="24"/>
                <w:highlight w:val="none"/>
              </w:rPr>
            </w:r>
            <w:r/>
          </w:p>
        </w:tc>
        <w:tc>
          <w:tcPr>
            <w:tcW w:w="1319" w:type="dxa"/>
            <w:vAlign w:val="center"/>
            <w:textDirection w:val="lrTb"/>
            <w:noWrap w:val="false"/>
          </w:tcPr>
          <w:p>
            <w:pPr>
              <w:pStyle w:val="971"/>
              <w:jc w:val="center"/>
              <w:spacing w:line="360" w:lineRule="auto"/>
              <w:rPr>
                <w:rFonts w:hAnsi="宋体" w:eastAsia="宋体" w:cs="宋体"/>
                <w:bCs/>
                <w:color w:val="auto"/>
                <w:sz w:val="24"/>
                <w:szCs w:val="24"/>
                <w:highlight w:val="none"/>
              </w:rPr>
            </w:pPr>
            <w:r>
              <w:rPr>
                <w:rFonts w:hAnsi="宋体" w:eastAsia="宋体" w:cs="宋体"/>
                <w:bCs/>
                <w:color w:val="auto"/>
                <w:sz w:val="24"/>
                <w:szCs w:val="24"/>
                <w:highlight w:val="none"/>
              </w:rPr>
            </w:r>
            <w:r/>
          </w:p>
        </w:tc>
        <w:tc>
          <w:tcPr>
            <w:tcW w:w="1231" w:type="dxa"/>
            <w:vAlign w:val="center"/>
            <w:textDirection w:val="lrTb"/>
            <w:noWrap w:val="false"/>
          </w:tcPr>
          <w:p>
            <w:pPr>
              <w:pStyle w:val="971"/>
              <w:jc w:val="center"/>
              <w:spacing w:line="360" w:lineRule="auto"/>
              <w:rPr>
                <w:rFonts w:hAnsi="宋体" w:eastAsia="宋体" w:cs="宋体"/>
                <w:bCs/>
                <w:color w:val="auto"/>
                <w:sz w:val="24"/>
                <w:szCs w:val="24"/>
                <w:highlight w:val="none"/>
              </w:rPr>
            </w:pPr>
            <w:r>
              <w:rPr>
                <w:rFonts w:hAnsi="宋体" w:eastAsia="宋体" w:cs="宋体"/>
                <w:bCs/>
                <w:color w:val="auto"/>
                <w:sz w:val="24"/>
                <w:szCs w:val="24"/>
                <w:highlight w:val="none"/>
              </w:rPr>
            </w:r>
            <w:r/>
          </w:p>
        </w:tc>
        <w:tc>
          <w:tcPr>
            <w:tcW w:w="963" w:type="dxa"/>
            <w:vAlign w:val="center"/>
            <w:textDirection w:val="lrTb"/>
            <w:noWrap w:val="false"/>
          </w:tcPr>
          <w:p>
            <w:pPr>
              <w:pStyle w:val="971"/>
              <w:jc w:val="center"/>
              <w:spacing w:line="360" w:lineRule="auto"/>
              <w:rPr>
                <w:rFonts w:hAnsi="宋体" w:eastAsia="宋体" w:cs="宋体"/>
                <w:bCs/>
                <w:color w:val="auto"/>
                <w:sz w:val="24"/>
                <w:szCs w:val="24"/>
                <w:highlight w:val="none"/>
              </w:rPr>
            </w:pPr>
            <w:r>
              <w:rPr>
                <w:rFonts w:hAnsi="宋体" w:eastAsia="宋体" w:cs="宋体"/>
                <w:bCs/>
                <w:color w:val="auto"/>
                <w:sz w:val="24"/>
                <w:szCs w:val="24"/>
                <w:highlight w:val="none"/>
              </w:rPr>
            </w:r>
            <w:r/>
          </w:p>
        </w:tc>
      </w:tr>
      <w:tr>
        <w:trPr>
          <w:jc w:val="center"/>
          <w:trHeight w:val="567"/>
        </w:trPr>
        <w:tc>
          <w:tcPr>
            <w:tcW w:w="959" w:type="dxa"/>
            <w:vAlign w:val="center"/>
            <w:textDirection w:val="lrTb"/>
            <w:noWrap w:val="false"/>
          </w:tcPr>
          <w:p>
            <w:pPr>
              <w:pStyle w:val="971"/>
              <w:jc w:val="center"/>
              <w:spacing w:line="360" w:lineRule="auto"/>
              <w:rPr>
                <w:rFonts w:hAnsi="宋体" w:eastAsia="宋体" w:cs="宋体"/>
                <w:bCs/>
                <w:color w:val="auto"/>
                <w:sz w:val="24"/>
                <w:szCs w:val="24"/>
                <w:highlight w:val="none"/>
              </w:rPr>
            </w:pPr>
            <w:r>
              <w:rPr>
                <w:rFonts w:hint="eastAsia" w:hAnsi="宋体" w:eastAsia="宋体" w:cs="宋体"/>
                <w:bCs/>
                <w:color w:val="auto"/>
                <w:sz w:val="24"/>
                <w:szCs w:val="24"/>
                <w:highlight w:val="none"/>
              </w:rPr>
              <w:t xml:space="preserve">......</w:t>
            </w:r>
            <w:r/>
          </w:p>
        </w:tc>
        <w:tc>
          <w:tcPr>
            <w:tcW w:w="1086" w:type="dxa"/>
            <w:vAlign w:val="center"/>
            <w:textDirection w:val="lrTb"/>
            <w:noWrap w:val="false"/>
          </w:tcPr>
          <w:p>
            <w:pPr>
              <w:pStyle w:val="971"/>
              <w:jc w:val="center"/>
              <w:spacing w:line="360" w:lineRule="auto"/>
              <w:rPr>
                <w:rFonts w:hAnsi="宋体" w:eastAsia="宋体" w:cs="宋体"/>
                <w:bCs/>
                <w:color w:val="auto"/>
                <w:sz w:val="24"/>
                <w:szCs w:val="24"/>
                <w:highlight w:val="none"/>
              </w:rPr>
            </w:pPr>
            <w:r>
              <w:rPr>
                <w:rFonts w:hAnsi="宋体" w:eastAsia="宋体" w:cs="宋体"/>
                <w:bCs/>
                <w:color w:val="auto"/>
                <w:sz w:val="24"/>
                <w:szCs w:val="24"/>
                <w:highlight w:val="none"/>
              </w:rPr>
            </w:r>
            <w:r/>
          </w:p>
        </w:tc>
        <w:tc>
          <w:tcPr>
            <w:tcW w:w="1304" w:type="dxa"/>
            <w:vAlign w:val="center"/>
            <w:textDirection w:val="lrTb"/>
            <w:noWrap w:val="false"/>
          </w:tcPr>
          <w:p>
            <w:pPr>
              <w:pStyle w:val="971"/>
              <w:jc w:val="center"/>
              <w:spacing w:line="360" w:lineRule="auto"/>
              <w:rPr>
                <w:rFonts w:hAnsi="宋体" w:eastAsia="宋体" w:cs="宋体"/>
                <w:bCs/>
                <w:color w:val="auto"/>
                <w:sz w:val="24"/>
                <w:szCs w:val="24"/>
                <w:highlight w:val="none"/>
              </w:rPr>
            </w:pPr>
            <w:r>
              <w:rPr>
                <w:rFonts w:hAnsi="宋体" w:eastAsia="宋体" w:cs="宋体"/>
                <w:bCs/>
                <w:color w:val="auto"/>
                <w:sz w:val="24"/>
                <w:szCs w:val="24"/>
                <w:highlight w:val="none"/>
              </w:rPr>
            </w:r>
            <w:r/>
          </w:p>
        </w:tc>
        <w:tc>
          <w:tcPr>
            <w:tcW w:w="1290" w:type="dxa"/>
            <w:vAlign w:val="center"/>
            <w:textDirection w:val="lrTb"/>
            <w:noWrap w:val="false"/>
          </w:tcPr>
          <w:p>
            <w:pPr>
              <w:pStyle w:val="971"/>
              <w:jc w:val="center"/>
              <w:spacing w:line="360" w:lineRule="auto"/>
              <w:rPr>
                <w:rFonts w:hAnsi="宋体" w:eastAsia="宋体" w:cs="宋体"/>
                <w:bCs/>
                <w:color w:val="auto"/>
                <w:sz w:val="24"/>
                <w:szCs w:val="24"/>
                <w:highlight w:val="none"/>
              </w:rPr>
            </w:pPr>
            <w:r>
              <w:rPr>
                <w:rFonts w:hAnsi="宋体" w:eastAsia="宋体" w:cs="宋体"/>
                <w:bCs/>
                <w:color w:val="auto"/>
                <w:sz w:val="24"/>
                <w:szCs w:val="24"/>
                <w:highlight w:val="none"/>
              </w:rPr>
            </w:r>
            <w:r/>
          </w:p>
        </w:tc>
        <w:tc>
          <w:tcPr>
            <w:tcW w:w="765" w:type="dxa"/>
            <w:vAlign w:val="center"/>
            <w:textDirection w:val="lrTb"/>
            <w:noWrap w:val="false"/>
          </w:tcPr>
          <w:p>
            <w:pPr>
              <w:pStyle w:val="971"/>
              <w:jc w:val="center"/>
              <w:spacing w:line="360" w:lineRule="auto"/>
              <w:rPr>
                <w:rFonts w:hAnsi="宋体" w:eastAsia="宋体" w:cs="宋体"/>
                <w:bCs/>
                <w:color w:val="auto"/>
                <w:sz w:val="24"/>
                <w:szCs w:val="24"/>
                <w:highlight w:val="none"/>
              </w:rPr>
            </w:pPr>
            <w:r>
              <w:rPr>
                <w:rFonts w:hAnsi="宋体" w:eastAsia="宋体" w:cs="宋体"/>
                <w:bCs/>
                <w:color w:val="auto"/>
                <w:sz w:val="24"/>
                <w:szCs w:val="24"/>
                <w:highlight w:val="none"/>
              </w:rPr>
            </w:r>
            <w:r/>
          </w:p>
        </w:tc>
        <w:tc>
          <w:tcPr>
            <w:tcW w:w="721" w:type="dxa"/>
            <w:vAlign w:val="center"/>
            <w:textDirection w:val="lrTb"/>
            <w:noWrap w:val="false"/>
          </w:tcPr>
          <w:p>
            <w:pPr>
              <w:pStyle w:val="971"/>
              <w:jc w:val="center"/>
              <w:spacing w:line="360" w:lineRule="auto"/>
              <w:rPr>
                <w:rFonts w:hAnsi="宋体" w:eastAsia="宋体" w:cs="宋体"/>
                <w:bCs/>
                <w:color w:val="auto"/>
                <w:sz w:val="24"/>
                <w:szCs w:val="24"/>
                <w:highlight w:val="none"/>
              </w:rPr>
            </w:pPr>
            <w:r>
              <w:rPr>
                <w:rFonts w:hAnsi="宋体" w:eastAsia="宋体" w:cs="宋体"/>
                <w:bCs/>
                <w:color w:val="auto"/>
                <w:sz w:val="24"/>
                <w:szCs w:val="24"/>
                <w:highlight w:val="none"/>
              </w:rPr>
            </w:r>
            <w:r/>
          </w:p>
        </w:tc>
        <w:tc>
          <w:tcPr>
            <w:tcW w:w="1319" w:type="dxa"/>
            <w:vAlign w:val="center"/>
            <w:textDirection w:val="lrTb"/>
            <w:noWrap w:val="false"/>
          </w:tcPr>
          <w:p>
            <w:pPr>
              <w:pStyle w:val="971"/>
              <w:jc w:val="center"/>
              <w:spacing w:line="360" w:lineRule="auto"/>
              <w:rPr>
                <w:rFonts w:hAnsi="宋体" w:eastAsia="宋体" w:cs="宋体"/>
                <w:bCs/>
                <w:color w:val="auto"/>
                <w:sz w:val="24"/>
                <w:szCs w:val="24"/>
                <w:highlight w:val="none"/>
              </w:rPr>
            </w:pPr>
            <w:r>
              <w:rPr>
                <w:rFonts w:hAnsi="宋体" w:eastAsia="宋体" w:cs="宋体"/>
                <w:bCs/>
                <w:color w:val="auto"/>
                <w:sz w:val="24"/>
                <w:szCs w:val="24"/>
                <w:highlight w:val="none"/>
              </w:rPr>
            </w:r>
            <w:r/>
          </w:p>
        </w:tc>
        <w:tc>
          <w:tcPr>
            <w:tcW w:w="1231" w:type="dxa"/>
            <w:vAlign w:val="center"/>
            <w:textDirection w:val="lrTb"/>
            <w:noWrap w:val="false"/>
          </w:tcPr>
          <w:p>
            <w:pPr>
              <w:pStyle w:val="971"/>
              <w:jc w:val="center"/>
              <w:spacing w:line="360" w:lineRule="auto"/>
              <w:rPr>
                <w:rFonts w:hAnsi="宋体" w:eastAsia="宋体" w:cs="宋体"/>
                <w:bCs/>
                <w:color w:val="auto"/>
                <w:sz w:val="24"/>
                <w:szCs w:val="24"/>
                <w:highlight w:val="none"/>
              </w:rPr>
            </w:pPr>
            <w:r>
              <w:rPr>
                <w:rFonts w:hAnsi="宋体" w:eastAsia="宋体" w:cs="宋体"/>
                <w:bCs/>
                <w:color w:val="auto"/>
                <w:sz w:val="24"/>
                <w:szCs w:val="24"/>
                <w:highlight w:val="none"/>
              </w:rPr>
            </w:r>
            <w:r/>
          </w:p>
        </w:tc>
        <w:tc>
          <w:tcPr>
            <w:tcW w:w="963" w:type="dxa"/>
            <w:vAlign w:val="center"/>
            <w:textDirection w:val="lrTb"/>
            <w:noWrap w:val="false"/>
          </w:tcPr>
          <w:p>
            <w:pPr>
              <w:pStyle w:val="971"/>
              <w:jc w:val="center"/>
              <w:spacing w:line="360" w:lineRule="auto"/>
              <w:rPr>
                <w:rFonts w:hAnsi="宋体" w:eastAsia="宋体" w:cs="宋体"/>
                <w:bCs/>
                <w:color w:val="auto"/>
                <w:sz w:val="24"/>
                <w:szCs w:val="24"/>
                <w:highlight w:val="none"/>
              </w:rPr>
            </w:pPr>
            <w:r>
              <w:rPr>
                <w:rFonts w:hAnsi="宋体" w:eastAsia="宋体" w:cs="宋体"/>
                <w:bCs/>
                <w:color w:val="auto"/>
                <w:sz w:val="24"/>
                <w:szCs w:val="24"/>
                <w:highlight w:val="none"/>
              </w:rPr>
            </w:r>
            <w:r/>
          </w:p>
        </w:tc>
      </w:tr>
      <w:tr>
        <w:trPr>
          <w:jc w:val="center"/>
          <w:trHeight w:val="567"/>
        </w:trPr>
        <w:tc>
          <w:tcPr>
            <w:gridSpan w:val="9"/>
            <w:tcW w:w="9638" w:type="dxa"/>
            <w:vAlign w:val="center"/>
            <w:textDirection w:val="lrTb"/>
            <w:noWrap w:val="false"/>
          </w:tcPr>
          <w:p>
            <w:pPr>
              <w:pStyle w:val="971"/>
              <w:spacing w:line="360" w:lineRule="auto"/>
              <w:rPr>
                <w:rFonts w:hAnsi="宋体" w:eastAsia="宋体" w:cs="宋体"/>
                <w:bCs/>
                <w:color w:val="auto"/>
                <w:sz w:val="24"/>
                <w:szCs w:val="24"/>
                <w:highlight w:val="none"/>
              </w:rPr>
            </w:pPr>
            <w:r>
              <w:rPr>
                <w:rFonts w:hint="eastAsia" w:hAnsi="宋体" w:eastAsia="宋体" w:cs="宋体"/>
                <w:color w:val="auto"/>
                <w:spacing w:val="20"/>
                <w:sz w:val="24"/>
                <w:szCs w:val="24"/>
                <w:highlight w:val="none"/>
              </w:rPr>
              <w:t xml:space="preserve">合计金额（人民币）：</w:t>
            </w:r>
            <w:r/>
          </w:p>
        </w:tc>
      </w:tr>
      <w:tr>
        <w:trPr>
          <w:jc w:val="center"/>
          <w:trHeight w:val="567"/>
        </w:trPr>
        <w:tc>
          <w:tcPr>
            <w:gridSpan w:val="9"/>
            <w:tcW w:w="9638" w:type="dxa"/>
            <w:vAlign w:val="center"/>
            <w:textDirection w:val="lrTb"/>
            <w:noWrap w:val="false"/>
          </w:tcPr>
          <w:p>
            <w:pPr>
              <w:pStyle w:val="971"/>
              <w:jc w:val="left"/>
              <w:spacing w:line="360" w:lineRule="auto"/>
              <w:rPr>
                <w:rFonts w:hAnsi="宋体" w:eastAsia="宋体" w:cs="宋体"/>
                <w:bCs/>
                <w:color w:val="auto"/>
                <w:sz w:val="24"/>
                <w:szCs w:val="24"/>
                <w:highlight w:val="none"/>
              </w:rPr>
            </w:pPr>
            <w:r>
              <w:rPr>
                <w:rFonts w:hint="eastAsia" w:hAnsi="宋体" w:eastAsia="宋体" w:cs="宋体"/>
                <w:color w:val="auto"/>
                <w:spacing w:val="20"/>
                <w:sz w:val="24"/>
                <w:szCs w:val="24"/>
                <w:highlight w:val="none"/>
              </w:rPr>
              <w:t xml:space="preserve">本采购包中提供的符合本国产品标准的产品成本之和占该采购包提供的全部产品成本之和的比例为</w:t>
            </w:r>
            <w:r>
              <w:rPr>
                <w:rFonts w:hint="eastAsia" w:hAnsi="宋体" w:eastAsia="宋体" w:cs="宋体"/>
                <w:color w:val="auto"/>
                <w:spacing w:val="20"/>
                <w:sz w:val="24"/>
                <w:szCs w:val="24"/>
                <w:highlight w:val="none"/>
                <w:u w:val="single"/>
              </w:rPr>
              <w:t xml:space="preserve">   </w:t>
            </w:r>
            <w:r>
              <w:rPr>
                <w:rFonts w:hint="eastAsia" w:hAnsi="宋体" w:eastAsia="宋体" w:cs="宋体"/>
                <w:color w:val="auto"/>
                <w:spacing w:val="20"/>
                <w:sz w:val="24"/>
                <w:szCs w:val="24"/>
                <w:highlight w:val="none"/>
              </w:rPr>
              <w:t xml:space="preserve">%</w:t>
            </w:r>
            <w:r/>
          </w:p>
        </w:tc>
      </w:tr>
    </w:tbl>
    <w:p>
      <w:pPr>
        <w:pStyle w:val="958"/>
        <w:ind w:right="420" w:firstLine="48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注：</w:t>
      </w:r>
      <w:r/>
    </w:p>
    <w:p>
      <w:pPr>
        <w:pStyle w:val="958"/>
        <w:ind w:right="420" w:firstLine="48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1、报价表包含投标人各项成本核算和投入的成本明细，合计金额应与开标一览表投标总价一致；否则，以开标一览表为准。</w:t>
      </w:r>
      <w:r/>
    </w:p>
    <w:p>
      <w:pPr>
        <w:pStyle w:val="958"/>
        <w:ind w:right="420" w:firstLine="48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2、各投标人应根据此表格式按项目分别填写报价详细清单，如表格内容不够，可自行添加。</w:t>
      </w:r>
      <w:r/>
    </w:p>
    <w:p>
      <w:pPr>
        <w:pStyle w:val="958"/>
        <w:ind w:right="420" w:firstLine="480"/>
        <w:spacing w:line="360" w:lineRule="auto"/>
        <w:rPr>
          <w:rFonts w:ascii="宋体" w:hAnsi="宋体" w:eastAsia="宋体" w:cs="宋体"/>
          <w:bCs/>
          <w:color w:val="auto"/>
          <w:szCs w:val="24"/>
          <w:highlight w:val="none"/>
        </w:rPr>
      </w:pPr>
      <w:r>
        <w:rPr>
          <w:rFonts w:hint="eastAsia" w:ascii="宋体" w:hAnsi="宋体" w:eastAsia="宋体" w:cs="宋体"/>
          <w:bCs/>
          <w:color w:val="auto"/>
          <w:szCs w:val="24"/>
          <w:highlight w:val="none"/>
        </w:rPr>
        <w:t xml:space="preserve">3、本采购包中含有多种产品时，供应商未填写本采购包中提供的符合本国产品标准的产品成本之和占该采购包提供的全部产品成本之和的比例数值的，或比例数值未达到80%的，将不享受本国产品价格评审优惠。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rPr>
          <w:color w:val="auto"/>
          <w:highlight w:val="none"/>
        </w:rPr>
      </w:pPr>
      <w:r>
        <w:rPr>
          <w:color w:val="auto"/>
          <w:highlight w:val="none"/>
        </w:rPr>
      </w:r>
      <w:r/>
    </w:p>
    <w:p>
      <w:pPr>
        <w:pStyle w:val="1034"/>
        <w:ind w:firstLine="480"/>
        <w:spacing w:line="360" w:lineRule="auto"/>
        <w:rPr>
          <w:rFonts w:hAnsi="宋体" w:eastAsia="宋体" w:cs="宋体"/>
          <w:bCs/>
          <w:color w:val="auto"/>
          <w:sz w:val="24"/>
          <w:szCs w:val="24"/>
          <w:highlight w:val="none"/>
        </w:rPr>
      </w:pPr>
      <w:r>
        <w:rPr>
          <w:rFonts w:hint="eastAsia" w:hAnsi="宋体" w:eastAsia="宋体" w:cs="宋体"/>
          <w:bCs/>
          <w:color w:val="auto"/>
          <w:sz w:val="24"/>
          <w:szCs w:val="24"/>
          <w:highlight w:val="none"/>
        </w:rPr>
        <w:t xml:space="preserve">投标人</w:t>
      </w:r>
      <w:r>
        <w:rPr>
          <w:rFonts w:hint="eastAsia" w:hAnsi="宋体" w:eastAsia="宋体" w:cs="宋体"/>
          <w:color w:val="auto"/>
          <w:sz w:val="24"/>
          <w:szCs w:val="24"/>
          <w:highlight w:val="none"/>
        </w:rPr>
        <w:t xml:space="preserve">（单位盖章）</w:t>
      </w:r>
      <w:r>
        <w:rPr>
          <w:rFonts w:hint="eastAsia" w:hAnsi="宋体" w:eastAsia="宋体" w:cs="宋体"/>
          <w:bCs/>
          <w:color w:val="auto"/>
          <w:sz w:val="24"/>
          <w:szCs w:val="24"/>
          <w:highlight w:val="none"/>
        </w:rPr>
        <w:t xml:space="preserve">：</w:t>
      </w:r>
      <w:r/>
    </w:p>
    <w:p>
      <w:pPr>
        <w:pStyle w:val="1034"/>
        <w:spacing w:line="360" w:lineRule="auto"/>
        <w:rPr>
          <w:rFonts w:hAnsi="宋体" w:eastAsia="宋体" w:cs="宋体"/>
          <w:bCs/>
          <w:color w:val="auto"/>
          <w:sz w:val="24"/>
          <w:szCs w:val="24"/>
          <w:highlight w:val="none"/>
        </w:rPr>
      </w:pPr>
      <w:r>
        <w:rPr>
          <w:rFonts w:hint="eastAsia" w:hAnsi="宋体" w:eastAsia="宋体" w:cs="宋体"/>
          <w:bCs/>
          <w:color w:val="auto"/>
          <w:sz w:val="24"/>
          <w:szCs w:val="24"/>
          <w:highlight w:val="none"/>
        </w:rPr>
        <w:t xml:space="preserve">    法定代表人或代理人</w:t>
      </w:r>
      <w:r>
        <w:rPr>
          <w:rFonts w:hint="eastAsia" w:hAnsi="宋体" w:eastAsia="宋体" w:cs="宋体"/>
          <w:color w:val="auto"/>
          <w:sz w:val="24"/>
          <w:szCs w:val="24"/>
          <w:highlight w:val="none"/>
        </w:rPr>
        <w:t xml:space="preserve">（签字或盖章）</w:t>
      </w:r>
      <w:r>
        <w:rPr>
          <w:rFonts w:hint="eastAsia" w:hAnsi="宋体" w:eastAsia="宋体" w:cs="宋体"/>
          <w:bCs/>
          <w:color w:val="auto"/>
          <w:sz w:val="24"/>
          <w:szCs w:val="24"/>
          <w:highlight w:val="none"/>
        </w:rPr>
        <w:t xml:space="preserve">：</w:t>
      </w:r>
      <w:r/>
    </w:p>
    <w:p>
      <w:pPr>
        <w:pStyle w:val="1034"/>
        <w:ind w:firstLine="480"/>
        <w:spacing w:line="360" w:lineRule="auto"/>
        <w:rPr>
          <w:rFonts w:hAnsi="宋体" w:eastAsia="宋体" w:cs="宋体"/>
          <w:bCs/>
          <w:color w:val="auto"/>
          <w:sz w:val="24"/>
          <w:szCs w:val="24"/>
          <w:highlight w:val="none"/>
        </w:rPr>
      </w:pPr>
      <w:r>
        <w:rPr>
          <w:rFonts w:hint="eastAsia" w:hAnsi="宋体" w:eastAsia="宋体" w:cs="宋体"/>
          <w:bCs/>
          <w:color w:val="auto"/>
          <w:sz w:val="24"/>
          <w:szCs w:val="24"/>
          <w:highlight w:val="none"/>
        </w:rPr>
        <w:t xml:space="preserve">日期：     年     月     日</w:t>
      </w:r>
      <w:r/>
    </w:p>
    <w:p>
      <w:pPr>
        <w:pStyle w:val="958"/>
        <w:ind w:right="420" w:firstLine="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p>
      <w:pPr>
        <w:pStyle w:val="958"/>
        <w:ind w:right="420" w:firstLine="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p>
      <w:pPr>
        <w:pStyle w:val="958"/>
        <w:ind w:right="420" w:firstLine="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p>
      <w:pPr>
        <w:pStyle w:val="958"/>
        <w:ind w:right="420" w:firstLine="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p>
      <w:pPr>
        <w:pStyle w:val="958"/>
        <w:ind w:right="420" w:firstLine="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p>
      <w:pPr>
        <w:pStyle w:val="958"/>
        <w:ind w:right="420" w:firstLine="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p>
      <w:pPr>
        <w:pStyle w:val="958"/>
        <w:ind w:right="420" w:firstLine="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p>
      <w:pPr>
        <w:spacing w:line="360" w:lineRule="auto"/>
        <w:rPr>
          <w:rFonts w:ascii="宋体" w:hAnsi="宋体" w:eastAsia="宋体" w:cs="宋体"/>
          <w:bCs/>
          <w:color w:val="auto"/>
          <w:sz w:val="24"/>
          <w:szCs w:val="24"/>
          <w:highlight w:val="none"/>
        </w:rPr>
        <w:sectPr>
          <w:footnotePr/>
          <w:endnotePr/>
          <w:type w:val="nextPage"/>
          <w:pgSz w:w="11906" w:h="16838" w:orient="portrait"/>
          <w:pgMar w:top="1134" w:right="1134" w:bottom="1134" w:left="1134" w:header="851" w:footer="992" w:gutter="0"/>
          <w:cols w:num="1" w:sep="0" w:space="720" w:equalWidth="1"/>
          <w:docGrid w:linePitch="360"/>
        </w:sectPr>
      </w:pPr>
      <w:r>
        <w:rPr>
          <w:rFonts w:ascii="宋体" w:hAnsi="宋体" w:eastAsia="宋体" w:cs="宋体"/>
          <w:bCs/>
          <w:color w:val="auto"/>
          <w:sz w:val="24"/>
          <w:szCs w:val="24"/>
          <w:highlight w:val="none"/>
        </w:rPr>
      </w:r>
      <w:r/>
    </w:p>
    <w:p>
      <w:pPr>
        <w:spacing w:line="360" w:lineRule="auto"/>
        <w:rPr>
          <w:rFonts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6、技术参数响应及偏离表</w:t>
      </w:r>
      <w:r/>
    </w:p>
    <w:tbl>
      <w:tblPr>
        <w:tblStyle w:val="957"/>
        <w:tblW w:w="963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32"/>
        <w:gridCol w:w="1558"/>
        <w:gridCol w:w="2266"/>
        <w:gridCol w:w="2266"/>
        <w:gridCol w:w="2316"/>
      </w:tblGrid>
      <w:tr>
        <w:trPr>
          <w:jc w:val="center"/>
          <w:trHeight w:val="567"/>
        </w:trPr>
        <w:tc>
          <w:tcPr>
            <w:tcW w:w="1232" w:type="dxa"/>
            <w:vAlign w:val="center"/>
            <w:textDirection w:val="lrTb"/>
            <w:noWrap/>
          </w:tcPr>
          <w:p>
            <w:pPr>
              <w:pStyle w:val="1048"/>
              <w:jc w:val="center"/>
              <w:spacing w:line="360" w:lineRule="auto"/>
              <w:rPr>
                <w:rFonts w:hAnsi="宋体" w:eastAsia="宋体" w:cs="宋体"/>
                <w:color w:val="auto"/>
                <w:sz w:val="24"/>
                <w:szCs w:val="24"/>
                <w:highlight w:val="none"/>
              </w:rPr>
            </w:pPr>
            <w:r>
              <w:rPr>
                <w:rFonts w:hint="eastAsia" w:hAnsi="宋体" w:eastAsia="宋体" w:cs="宋体"/>
                <w:color w:val="auto"/>
                <w:sz w:val="24"/>
                <w:szCs w:val="24"/>
                <w:highlight w:val="none"/>
              </w:rPr>
              <w:t xml:space="preserve">序号</w:t>
            </w:r>
            <w:r/>
          </w:p>
        </w:tc>
        <w:tc>
          <w:tcPr>
            <w:tcW w:w="1559" w:type="dxa"/>
            <w:vAlign w:val="center"/>
            <w:textDirection w:val="lrTb"/>
            <w:noWrap/>
          </w:tcPr>
          <w:p>
            <w:pPr>
              <w:pStyle w:val="1048"/>
              <w:jc w:val="center"/>
              <w:spacing w:line="360" w:lineRule="auto"/>
              <w:rPr>
                <w:rFonts w:hAnsi="宋体" w:eastAsia="宋体" w:cs="宋体"/>
                <w:color w:val="auto"/>
                <w:sz w:val="24"/>
                <w:szCs w:val="24"/>
                <w:highlight w:val="none"/>
              </w:rPr>
            </w:pPr>
            <w:r>
              <w:rPr>
                <w:rFonts w:hint="eastAsia" w:hAnsi="宋体" w:eastAsia="宋体" w:cs="宋体"/>
                <w:color w:val="auto"/>
                <w:sz w:val="24"/>
                <w:szCs w:val="24"/>
                <w:highlight w:val="none"/>
              </w:rPr>
              <w:t xml:space="preserve">产品名称</w:t>
            </w:r>
            <w:r/>
          </w:p>
        </w:tc>
        <w:tc>
          <w:tcPr>
            <w:tcW w:w="2268" w:type="dxa"/>
            <w:vAlign w:val="center"/>
            <w:textDirection w:val="lrTb"/>
            <w:noWrap/>
          </w:tcPr>
          <w:p>
            <w:pPr>
              <w:pStyle w:val="1048"/>
              <w:jc w:val="center"/>
              <w:spacing w:line="360" w:lineRule="auto"/>
              <w:rPr>
                <w:rFonts w:hAnsi="宋体" w:eastAsia="宋体" w:cs="宋体"/>
                <w:color w:val="auto"/>
                <w:sz w:val="24"/>
                <w:szCs w:val="24"/>
                <w:highlight w:val="none"/>
              </w:rPr>
            </w:pPr>
            <w:r>
              <w:rPr>
                <w:rFonts w:hint="eastAsia" w:hAnsi="宋体" w:eastAsia="宋体" w:cs="宋体"/>
                <w:color w:val="auto"/>
                <w:sz w:val="24"/>
                <w:szCs w:val="24"/>
                <w:highlight w:val="none"/>
              </w:rPr>
              <w:t xml:space="preserve">采购要求</w:t>
            </w:r>
            <w:r/>
          </w:p>
        </w:tc>
        <w:tc>
          <w:tcPr>
            <w:tcW w:w="2268" w:type="dxa"/>
            <w:vAlign w:val="center"/>
            <w:textDirection w:val="lrTb"/>
            <w:noWrap/>
          </w:tcPr>
          <w:p>
            <w:pPr>
              <w:pStyle w:val="1048"/>
              <w:jc w:val="center"/>
              <w:spacing w:line="360" w:lineRule="auto"/>
              <w:rPr>
                <w:rFonts w:hAnsi="宋体" w:eastAsia="宋体" w:cs="宋体"/>
                <w:color w:val="auto"/>
                <w:sz w:val="24"/>
                <w:szCs w:val="24"/>
                <w:highlight w:val="none"/>
              </w:rPr>
            </w:pPr>
            <w:r>
              <w:rPr>
                <w:rFonts w:hint="eastAsia" w:hAnsi="宋体" w:eastAsia="宋体" w:cs="宋体"/>
                <w:color w:val="auto"/>
                <w:sz w:val="24"/>
                <w:szCs w:val="24"/>
                <w:highlight w:val="none"/>
              </w:rPr>
              <w:t xml:space="preserve">投标产品技术参数</w:t>
            </w:r>
            <w:r/>
          </w:p>
        </w:tc>
        <w:tc>
          <w:tcPr>
            <w:tcW w:w="2318" w:type="dxa"/>
            <w:vAlign w:val="center"/>
            <w:textDirection w:val="lrTb"/>
            <w:noWrap/>
          </w:tcPr>
          <w:p>
            <w:pPr>
              <w:pStyle w:val="1048"/>
              <w:jc w:val="center"/>
              <w:spacing w:line="360" w:lineRule="auto"/>
              <w:rPr>
                <w:rFonts w:hAnsi="宋体" w:eastAsia="宋体" w:cs="宋体"/>
                <w:color w:val="auto"/>
                <w:sz w:val="24"/>
                <w:szCs w:val="24"/>
                <w:highlight w:val="none"/>
              </w:rPr>
            </w:pPr>
            <w:r>
              <w:rPr>
                <w:rFonts w:hint="eastAsia" w:hAnsi="宋体" w:eastAsia="宋体" w:cs="宋体"/>
                <w:color w:val="auto"/>
                <w:sz w:val="24"/>
                <w:szCs w:val="24"/>
                <w:highlight w:val="none"/>
              </w:rPr>
              <w:t xml:space="preserve">偏离情况说明</w:t>
            </w:r>
            <w:r/>
          </w:p>
        </w:tc>
      </w:tr>
      <w:tr>
        <w:trPr>
          <w:jc w:val="center"/>
          <w:trHeight w:val="567"/>
        </w:trPr>
        <w:tc>
          <w:tcPr>
            <w:tcW w:w="1232" w:type="dxa"/>
            <w:vAlign w:val="center"/>
            <w:textDirection w:val="lrTb"/>
            <w:noWrap/>
          </w:tcPr>
          <w:p>
            <w:pPr>
              <w:pStyle w:val="1048"/>
              <w:jc w:val="center"/>
              <w:spacing w:line="360" w:lineRule="auto"/>
              <w:rPr>
                <w:rFonts w:hAnsi="宋体" w:eastAsia="宋体" w:cs="宋体"/>
                <w:color w:val="auto"/>
                <w:sz w:val="24"/>
                <w:szCs w:val="24"/>
                <w:highlight w:val="none"/>
              </w:rPr>
            </w:pPr>
            <w:r>
              <w:rPr>
                <w:rFonts w:hint="eastAsia" w:hAnsi="宋体" w:eastAsia="宋体" w:cs="宋体"/>
                <w:color w:val="auto"/>
                <w:sz w:val="24"/>
                <w:szCs w:val="24"/>
                <w:highlight w:val="none"/>
              </w:rPr>
              <w:t xml:space="preserve">1</w:t>
            </w:r>
            <w:r/>
          </w:p>
        </w:tc>
        <w:tc>
          <w:tcPr>
            <w:tcW w:w="1559" w:type="dxa"/>
            <w:vAlign w:val="center"/>
            <w:textDirection w:val="lrTb"/>
            <w:noWrap/>
          </w:tcPr>
          <w:p>
            <w:pPr>
              <w:pStyle w:val="1048"/>
              <w:jc w:val="center"/>
              <w:spacing w:line="360" w:lineRule="auto"/>
              <w:rPr>
                <w:rFonts w:hAnsi="宋体" w:eastAsia="宋体" w:cs="宋体"/>
                <w:color w:val="auto"/>
                <w:sz w:val="24"/>
                <w:szCs w:val="24"/>
                <w:highlight w:val="none"/>
              </w:rPr>
            </w:pPr>
            <w:r>
              <w:rPr>
                <w:rFonts w:hAnsi="宋体" w:eastAsia="宋体" w:cs="宋体"/>
                <w:color w:val="auto"/>
                <w:sz w:val="24"/>
                <w:szCs w:val="24"/>
                <w:highlight w:val="none"/>
              </w:rPr>
            </w:r>
            <w:r/>
          </w:p>
        </w:tc>
        <w:tc>
          <w:tcPr>
            <w:tcW w:w="2268" w:type="dxa"/>
            <w:vAlign w:val="center"/>
            <w:textDirection w:val="lrTb"/>
            <w:noWrap/>
          </w:tcPr>
          <w:p>
            <w:pPr>
              <w:pStyle w:val="1048"/>
              <w:jc w:val="center"/>
              <w:spacing w:line="360" w:lineRule="auto"/>
              <w:rPr>
                <w:rFonts w:hAnsi="宋体" w:eastAsia="宋体" w:cs="宋体"/>
                <w:color w:val="auto"/>
                <w:sz w:val="24"/>
                <w:szCs w:val="24"/>
                <w:highlight w:val="none"/>
              </w:rPr>
            </w:pPr>
            <w:r>
              <w:rPr>
                <w:rFonts w:hAnsi="宋体" w:eastAsia="宋体" w:cs="宋体"/>
                <w:color w:val="auto"/>
                <w:sz w:val="24"/>
                <w:szCs w:val="24"/>
                <w:highlight w:val="none"/>
              </w:rPr>
            </w:r>
            <w:r/>
          </w:p>
        </w:tc>
        <w:tc>
          <w:tcPr>
            <w:tcW w:w="2268" w:type="dxa"/>
            <w:vAlign w:val="center"/>
            <w:textDirection w:val="lrTb"/>
            <w:noWrap/>
          </w:tcPr>
          <w:p>
            <w:pPr>
              <w:pStyle w:val="1048"/>
              <w:jc w:val="center"/>
              <w:spacing w:line="360" w:lineRule="auto"/>
              <w:rPr>
                <w:rFonts w:hAnsi="宋体" w:eastAsia="宋体" w:cs="宋体"/>
                <w:color w:val="auto"/>
                <w:sz w:val="24"/>
                <w:szCs w:val="24"/>
                <w:highlight w:val="none"/>
              </w:rPr>
            </w:pPr>
            <w:r>
              <w:rPr>
                <w:rFonts w:hAnsi="宋体" w:eastAsia="宋体" w:cs="宋体"/>
                <w:color w:val="auto"/>
                <w:sz w:val="24"/>
                <w:szCs w:val="24"/>
                <w:highlight w:val="none"/>
              </w:rPr>
            </w:r>
            <w:r/>
          </w:p>
        </w:tc>
        <w:tc>
          <w:tcPr>
            <w:tcW w:w="2318" w:type="dxa"/>
            <w:vAlign w:val="center"/>
            <w:textDirection w:val="lrTb"/>
            <w:noWrap/>
          </w:tcPr>
          <w:p>
            <w:pPr>
              <w:pStyle w:val="1048"/>
              <w:jc w:val="center"/>
              <w:spacing w:line="360" w:lineRule="auto"/>
              <w:rPr>
                <w:rFonts w:hAnsi="宋体" w:eastAsia="宋体" w:cs="宋体"/>
                <w:color w:val="auto"/>
                <w:sz w:val="24"/>
                <w:szCs w:val="24"/>
                <w:highlight w:val="none"/>
              </w:rPr>
            </w:pPr>
            <w:r>
              <w:rPr>
                <w:rFonts w:hAnsi="宋体" w:eastAsia="宋体" w:cs="宋体"/>
                <w:color w:val="auto"/>
                <w:sz w:val="24"/>
                <w:szCs w:val="24"/>
                <w:highlight w:val="none"/>
              </w:rPr>
            </w:r>
            <w:r/>
          </w:p>
        </w:tc>
      </w:tr>
      <w:tr>
        <w:trPr>
          <w:jc w:val="center"/>
          <w:trHeight w:val="567"/>
        </w:trPr>
        <w:tc>
          <w:tcPr>
            <w:tcW w:w="1232" w:type="dxa"/>
            <w:vAlign w:val="center"/>
            <w:textDirection w:val="lrTb"/>
            <w:noWrap/>
          </w:tcPr>
          <w:p>
            <w:pPr>
              <w:pStyle w:val="1048"/>
              <w:jc w:val="center"/>
              <w:spacing w:line="360" w:lineRule="auto"/>
              <w:rPr>
                <w:rFonts w:hAnsi="宋体" w:eastAsia="宋体" w:cs="宋体"/>
                <w:color w:val="auto"/>
                <w:sz w:val="24"/>
                <w:szCs w:val="24"/>
                <w:highlight w:val="none"/>
              </w:rPr>
            </w:pPr>
            <w:r>
              <w:rPr>
                <w:rFonts w:hint="eastAsia" w:hAnsi="宋体" w:eastAsia="宋体" w:cs="宋体"/>
                <w:color w:val="auto"/>
                <w:sz w:val="24"/>
                <w:szCs w:val="24"/>
                <w:highlight w:val="none"/>
              </w:rPr>
              <w:t xml:space="preserve">2</w:t>
            </w:r>
            <w:r/>
          </w:p>
        </w:tc>
        <w:tc>
          <w:tcPr>
            <w:tcW w:w="1559" w:type="dxa"/>
            <w:vAlign w:val="center"/>
            <w:textDirection w:val="lrTb"/>
            <w:noWrap/>
          </w:tcPr>
          <w:p>
            <w:pPr>
              <w:pStyle w:val="1048"/>
              <w:jc w:val="center"/>
              <w:spacing w:line="360" w:lineRule="auto"/>
              <w:rPr>
                <w:rFonts w:hAnsi="宋体" w:eastAsia="宋体" w:cs="宋体"/>
                <w:color w:val="auto"/>
                <w:sz w:val="24"/>
                <w:szCs w:val="24"/>
                <w:highlight w:val="none"/>
              </w:rPr>
            </w:pPr>
            <w:r>
              <w:rPr>
                <w:rFonts w:hAnsi="宋体" w:eastAsia="宋体" w:cs="宋体"/>
                <w:color w:val="auto"/>
                <w:sz w:val="24"/>
                <w:szCs w:val="24"/>
                <w:highlight w:val="none"/>
              </w:rPr>
            </w:r>
            <w:r/>
          </w:p>
        </w:tc>
        <w:tc>
          <w:tcPr>
            <w:tcW w:w="2268" w:type="dxa"/>
            <w:vAlign w:val="center"/>
            <w:textDirection w:val="lrTb"/>
            <w:noWrap/>
          </w:tcPr>
          <w:p>
            <w:pPr>
              <w:pStyle w:val="1048"/>
              <w:jc w:val="center"/>
              <w:spacing w:line="360" w:lineRule="auto"/>
              <w:rPr>
                <w:rFonts w:hAnsi="宋体" w:eastAsia="宋体" w:cs="宋体"/>
                <w:color w:val="auto"/>
                <w:sz w:val="24"/>
                <w:szCs w:val="24"/>
                <w:highlight w:val="none"/>
              </w:rPr>
            </w:pPr>
            <w:r>
              <w:rPr>
                <w:rFonts w:hAnsi="宋体" w:eastAsia="宋体" w:cs="宋体"/>
                <w:color w:val="auto"/>
                <w:sz w:val="24"/>
                <w:szCs w:val="24"/>
                <w:highlight w:val="none"/>
              </w:rPr>
            </w:r>
            <w:r/>
          </w:p>
        </w:tc>
        <w:tc>
          <w:tcPr>
            <w:tcW w:w="2268" w:type="dxa"/>
            <w:vAlign w:val="center"/>
            <w:textDirection w:val="lrTb"/>
            <w:noWrap/>
          </w:tcPr>
          <w:p>
            <w:pPr>
              <w:pStyle w:val="1048"/>
              <w:jc w:val="center"/>
              <w:spacing w:line="360" w:lineRule="auto"/>
              <w:rPr>
                <w:rFonts w:hAnsi="宋体" w:eastAsia="宋体" w:cs="宋体"/>
                <w:color w:val="auto"/>
                <w:sz w:val="24"/>
                <w:szCs w:val="24"/>
                <w:highlight w:val="none"/>
              </w:rPr>
            </w:pPr>
            <w:r>
              <w:rPr>
                <w:rFonts w:hAnsi="宋体" w:eastAsia="宋体" w:cs="宋体"/>
                <w:color w:val="auto"/>
                <w:sz w:val="24"/>
                <w:szCs w:val="24"/>
                <w:highlight w:val="none"/>
              </w:rPr>
            </w:r>
            <w:r/>
          </w:p>
        </w:tc>
        <w:tc>
          <w:tcPr>
            <w:tcW w:w="2318" w:type="dxa"/>
            <w:vAlign w:val="center"/>
            <w:textDirection w:val="lrTb"/>
            <w:noWrap/>
          </w:tcPr>
          <w:p>
            <w:pPr>
              <w:pStyle w:val="1048"/>
              <w:jc w:val="center"/>
              <w:spacing w:line="360" w:lineRule="auto"/>
              <w:rPr>
                <w:rFonts w:hAnsi="宋体" w:eastAsia="宋体" w:cs="宋体"/>
                <w:color w:val="auto"/>
                <w:sz w:val="24"/>
                <w:szCs w:val="24"/>
                <w:highlight w:val="none"/>
              </w:rPr>
            </w:pPr>
            <w:r>
              <w:rPr>
                <w:rFonts w:hAnsi="宋体" w:eastAsia="宋体" w:cs="宋体"/>
                <w:color w:val="auto"/>
                <w:sz w:val="24"/>
                <w:szCs w:val="24"/>
                <w:highlight w:val="none"/>
              </w:rPr>
            </w:r>
            <w:r/>
          </w:p>
        </w:tc>
      </w:tr>
      <w:tr>
        <w:trPr>
          <w:jc w:val="center"/>
          <w:trHeight w:val="567"/>
        </w:trPr>
        <w:tc>
          <w:tcPr>
            <w:tcW w:w="1232" w:type="dxa"/>
            <w:vAlign w:val="center"/>
            <w:textDirection w:val="lrTb"/>
            <w:noWrap/>
          </w:tcPr>
          <w:p>
            <w:pPr>
              <w:pStyle w:val="1048"/>
              <w:jc w:val="center"/>
              <w:spacing w:line="360" w:lineRule="auto"/>
              <w:rPr>
                <w:rFonts w:hAnsi="宋体" w:eastAsia="宋体" w:cs="宋体"/>
                <w:color w:val="auto"/>
                <w:sz w:val="24"/>
                <w:szCs w:val="24"/>
                <w:highlight w:val="none"/>
              </w:rPr>
            </w:pPr>
            <w:r>
              <w:rPr>
                <w:rFonts w:hint="eastAsia" w:hAnsi="宋体" w:eastAsia="宋体" w:cs="宋体"/>
                <w:color w:val="auto"/>
                <w:sz w:val="24"/>
                <w:szCs w:val="24"/>
                <w:highlight w:val="none"/>
              </w:rPr>
              <w:t xml:space="preserve">3</w:t>
            </w:r>
            <w:r/>
          </w:p>
        </w:tc>
        <w:tc>
          <w:tcPr>
            <w:tcW w:w="1559" w:type="dxa"/>
            <w:vAlign w:val="center"/>
            <w:textDirection w:val="lrTb"/>
            <w:noWrap/>
          </w:tcPr>
          <w:p>
            <w:pPr>
              <w:pStyle w:val="1048"/>
              <w:jc w:val="center"/>
              <w:spacing w:line="360" w:lineRule="auto"/>
              <w:rPr>
                <w:rFonts w:hAnsi="宋体" w:eastAsia="宋体" w:cs="宋体"/>
                <w:color w:val="auto"/>
                <w:sz w:val="24"/>
                <w:szCs w:val="24"/>
                <w:highlight w:val="none"/>
              </w:rPr>
            </w:pPr>
            <w:r>
              <w:rPr>
                <w:rFonts w:hAnsi="宋体" w:eastAsia="宋体" w:cs="宋体"/>
                <w:color w:val="auto"/>
                <w:sz w:val="24"/>
                <w:szCs w:val="24"/>
                <w:highlight w:val="none"/>
              </w:rPr>
            </w:r>
            <w:r/>
          </w:p>
        </w:tc>
        <w:tc>
          <w:tcPr>
            <w:tcW w:w="2268" w:type="dxa"/>
            <w:vAlign w:val="center"/>
            <w:textDirection w:val="lrTb"/>
            <w:noWrap/>
          </w:tcPr>
          <w:p>
            <w:pPr>
              <w:pStyle w:val="1048"/>
              <w:jc w:val="center"/>
              <w:spacing w:line="360" w:lineRule="auto"/>
              <w:rPr>
                <w:rFonts w:hAnsi="宋体" w:eastAsia="宋体" w:cs="宋体"/>
                <w:color w:val="auto"/>
                <w:sz w:val="24"/>
                <w:szCs w:val="24"/>
                <w:highlight w:val="none"/>
              </w:rPr>
            </w:pPr>
            <w:r>
              <w:rPr>
                <w:rFonts w:hAnsi="宋体" w:eastAsia="宋体" w:cs="宋体"/>
                <w:color w:val="auto"/>
                <w:sz w:val="24"/>
                <w:szCs w:val="24"/>
                <w:highlight w:val="none"/>
              </w:rPr>
            </w:r>
            <w:r/>
          </w:p>
        </w:tc>
        <w:tc>
          <w:tcPr>
            <w:tcW w:w="2268" w:type="dxa"/>
            <w:vAlign w:val="center"/>
            <w:textDirection w:val="lrTb"/>
            <w:noWrap/>
          </w:tcPr>
          <w:p>
            <w:pPr>
              <w:pStyle w:val="1048"/>
              <w:jc w:val="center"/>
              <w:spacing w:line="360" w:lineRule="auto"/>
              <w:rPr>
                <w:rFonts w:hAnsi="宋体" w:eastAsia="宋体" w:cs="宋体"/>
                <w:color w:val="auto"/>
                <w:sz w:val="24"/>
                <w:szCs w:val="24"/>
                <w:highlight w:val="none"/>
              </w:rPr>
            </w:pPr>
            <w:r>
              <w:rPr>
                <w:rFonts w:hAnsi="宋体" w:eastAsia="宋体" w:cs="宋体"/>
                <w:color w:val="auto"/>
                <w:sz w:val="24"/>
                <w:szCs w:val="24"/>
                <w:highlight w:val="none"/>
              </w:rPr>
            </w:r>
            <w:r/>
          </w:p>
        </w:tc>
        <w:tc>
          <w:tcPr>
            <w:tcW w:w="2318" w:type="dxa"/>
            <w:vAlign w:val="center"/>
            <w:textDirection w:val="lrTb"/>
            <w:noWrap/>
          </w:tcPr>
          <w:p>
            <w:pPr>
              <w:pStyle w:val="1048"/>
              <w:jc w:val="center"/>
              <w:spacing w:line="360" w:lineRule="auto"/>
              <w:rPr>
                <w:rFonts w:hAnsi="宋体" w:eastAsia="宋体" w:cs="宋体"/>
                <w:color w:val="auto"/>
                <w:sz w:val="24"/>
                <w:szCs w:val="24"/>
                <w:highlight w:val="none"/>
              </w:rPr>
            </w:pPr>
            <w:r>
              <w:rPr>
                <w:rFonts w:hAnsi="宋体" w:eastAsia="宋体" w:cs="宋体"/>
                <w:color w:val="auto"/>
                <w:sz w:val="24"/>
                <w:szCs w:val="24"/>
                <w:highlight w:val="none"/>
              </w:rPr>
            </w:r>
            <w:r/>
          </w:p>
        </w:tc>
      </w:tr>
      <w:tr>
        <w:trPr>
          <w:jc w:val="center"/>
          <w:trHeight w:val="567"/>
        </w:trPr>
        <w:tc>
          <w:tcPr>
            <w:tcW w:w="1232" w:type="dxa"/>
            <w:vAlign w:val="center"/>
            <w:textDirection w:val="lrTb"/>
            <w:noWrap/>
          </w:tcPr>
          <w:p>
            <w:pPr>
              <w:pStyle w:val="1048"/>
              <w:jc w:val="center"/>
              <w:spacing w:line="360" w:lineRule="auto"/>
              <w:rPr>
                <w:rFonts w:hAnsi="宋体" w:eastAsia="宋体" w:cs="宋体"/>
                <w:color w:val="auto"/>
                <w:sz w:val="24"/>
                <w:szCs w:val="24"/>
                <w:highlight w:val="none"/>
              </w:rPr>
            </w:pPr>
            <w:r>
              <w:rPr>
                <w:rFonts w:hint="eastAsia" w:hAnsi="宋体" w:eastAsia="宋体" w:cs="宋体"/>
                <w:color w:val="auto"/>
                <w:sz w:val="24"/>
                <w:szCs w:val="24"/>
                <w:highlight w:val="none"/>
              </w:rPr>
              <w:t xml:space="preserve">4</w:t>
            </w:r>
            <w:r/>
          </w:p>
        </w:tc>
        <w:tc>
          <w:tcPr>
            <w:tcW w:w="1559" w:type="dxa"/>
            <w:vAlign w:val="center"/>
            <w:textDirection w:val="lrTb"/>
            <w:noWrap/>
          </w:tcPr>
          <w:p>
            <w:pPr>
              <w:pStyle w:val="1048"/>
              <w:jc w:val="center"/>
              <w:spacing w:line="360" w:lineRule="auto"/>
              <w:rPr>
                <w:rFonts w:hAnsi="宋体" w:eastAsia="宋体" w:cs="宋体"/>
                <w:color w:val="auto"/>
                <w:sz w:val="24"/>
                <w:szCs w:val="24"/>
                <w:highlight w:val="none"/>
              </w:rPr>
            </w:pPr>
            <w:r>
              <w:rPr>
                <w:rFonts w:hAnsi="宋体" w:eastAsia="宋体" w:cs="宋体"/>
                <w:color w:val="auto"/>
                <w:sz w:val="24"/>
                <w:szCs w:val="24"/>
                <w:highlight w:val="none"/>
              </w:rPr>
            </w:r>
            <w:r/>
          </w:p>
        </w:tc>
        <w:tc>
          <w:tcPr>
            <w:tcW w:w="2268" w:type="dxa"/>
            <w:vAlign w:val="center"/>
            <w:textDirection w:val="lrTb"/>
            <w:noWrap/>
          </w:tcPr>
          <w:p>
            <w:pPr>
              <w:pStyle w:val="1048"/>
              <w:jc w:val="center"/>
              <w:spacing w:line="360" w:lineRule="auto"/>
              <w:rPr>
                <w:rFonts w:hAnsi="宋体" w:eastAsia="宋体" w:cs="宋体"/>
                <w:color w:val="auto"/>
                <w:sz w:val="24"/>
                <w:szCs w:val="24"/>
                <w:highlight w:val="none"/>
              </w:rPr>
            </w:pPr>
            <w:r>
              <w:rPr>
                <w:rFonts w:hAnsi="宋体" w:eastAsia="宋体" w:cs="宋体"/>
                <w:color w:val="auto"/>
                <w:sz w:val="24"/>
                <w:szCs w:val="24"/>
                <w:highlight w:val="none"/>
              </w:rPr>
            </w:r>
            <w:r/>
          </w:p>
        </w:tc>
        <w:tc>
          <w:tcPr>
            <w:tcW w:w="2268" w:type="dxa"/>
            <w:vAlign w:val="center"/>
            <w:textDirection w:val="lrTb"/>
            <w:noWrap/>
          </w:tcPr>
          <w:p>
            <w:pPr>
              <w:pStyle w:val="1048"/>
              <w:jc w:val="center"/>
              <w:spacing w:line="360" w:lineRule="auto"/>
              <w:rPr>
                <w:rFonts w:hAnsi="宋体" w:eastAsia="宋体" w:cs="宋体"/>
                <w:color w:val="auto"/>
                <w:sz w:val="24"/>
                <w:szCs w:val="24"/>
                <w:highlight w:val="none"/>
              </w:rPr>
            </w:pPr>
            <w:r>
              <w:rPr>
                <w:rFonts w:hAnsi="宋体" w:eastAsia="宋体" w:cs="宋体"/>
                <w:color w:val="auto"/>
                <w:sz w:val="24"/>
                <w:szCs w:val="24"/>
                <w:highlight w:val="none"/>
              </w:rPr>
            </w:r>
            <w:r/>
          </w:p>
        </w:tc>
        <w:tc>
          <w:tcPr>
            <w:tcW w:w="2318" w:type="dxa"/>
            <w:vAlign w:val="center"/>
            <w:textDirection w:val="lrTb"/>
            <w:noWrap/>
          </w:tcPr>
          <w:p>
            <w:pPr>
              <w:pStyle w:val="1048"/>
              <w:jc w:val="center"/>
              <w:spacing w:line="360" w:lineRule="auto"/>
              <w:rPr>
                <w:rFonts w:hAnsi="宋体" w:eastAsia="宋体" w:cs="宋体"/>
                <w:color w:val="auto"/>
                <w:sz w:val="24"/>
                <w:szCs w:val="24"/>
                <w:highlight w:val="none"/>
              </w:rPr>
            </w:pPr>
            <w:r>
              <w:rPr>
                <w:rFonts w:hAnsi="宋体" w:eastAsia="宋体" w:cs="宋体"/>
                <w:color w:val="auto"/>
                <w:sz w:val="24"/>
                <w:szCs w:val="24"/>
                <w:highlight w:val="none"/>
              </w:rPr>
            </w:r>
            <w:r/>
          </w:p>
        </w:tc>
      </w:tr>
      <w:tr>
        <w:trPr>
          <w:jc w:val="center"/>
          <w:trHeight w:val="567"/>
        </w:trPr>
        <w:tc>
          <w:tcPr>
            <w:tcW w:w="1232" w:type="dxa"/>
            <w:vAlign w:val="center"/>
            <w:textDirection w:val="lrTb"/>
            <w:noWrap/>
          </w:tcPr>
          <w:p>
            <w:pPr>
              <w:pStyle w:val="1048"/>
              <w:jc w:val="center"/>
              <w:spacing w:line="360" w:lineRule="auto"/>
              <w:rPr>
                <w:rFonts w:hAnsi="宋体" w:eastAsia="宋体" w:cs="宋体"/>
                <w:color w:val="auto"/>
                <w:sz w:val="24"/>
                <w:szCs w:val="24"/>
                <w:highlight w:val="none"/>
              </w:rPr>
            </w:pPr>
            <w:r>
              <w:rPr>
                <w:rFonts w:hint="eastAsia" w:hAnsi="宋体" w:eastAsia="宋体" w:cs="宋体"/>
                <w:bCs/>
                <w:color w:val="auto"/>
                <w:sz w:val="24"/>
                <w:szCs w:val="24"/>
                <w:highlight w:val="none"/>
              </w:rPr>
              <w:t xml:space="preserve">......</w:t>
            </w:r>
            <w:r/>
          </w:p>
        </w:tc>
        <w:tc>
          <w:tcPr>
            <w:tcW w:w="1559" w:type="dxa"/>
            <w:vAlign w:val="center"/>
            <w:textDirection w:val="lrTb"/>
            <w:noWrap/>
          </w:tcPr>
          <w:p>
            <w:pPr>
              <w:pStyle w:val="1048"/>
              <w:jc w:val="center"/>
              <w:spacing w:line="360" w:lineRule="auto"/>
              <w:rPr>
                <w:rFonts w:hAnsi="宋体" w:eastAsia="宋体" w:cs="宋体"/>
                <w:color w:val="auto"/>
                <w:sz w:val="24"/>
                <w:szCs w:val="24"/>
                <w:highlight w:val="none"/>
              </w:rPr>
            </w:pPr>
            <w:r>
              <w:rPr>
                <w:rFonts w:hAnsi="宋体" w:eastAsia="宋体" w:cs="宋体"/>
                <w:color w:val="auto"/>
                <w:sz w:val="24"/>
                <w:szCs w:val="24"/>
                <w:highlight w:val="none"/>
              </w:rPr>
            </w:r>
            <w:r/>
          </w:p>
        </w:tc>
        <w:tc>
          <w:tcPr>
            <w:tcW w:w="2268" w:type="dxa"/>
            <w:vAlign w:val="center"/>
            <w:textDirection w:val="lrTb"/>
            <w:noWrap/>
          </w:tcPr>
          <w:p>
            <w:pPr>
              <w:pStyle w:val="1048"/>
              <w:jc w:val="center"/>
              <w:spacing w:line="360" w:lineRule="auto"/>
              <w:rPr>
                <w:rFonts w:hAnsi="宋体" w:eastAsia="宋体" w:cs="宋体"/>
                <w:color w:val="auto"/>
                <w:sz w:val="24"/>
                <w:szCs w:val="24"/>
                <w:highlight w:val="none"/>
              </w:rPr>
            </w:pPr>
            <w:r>
              <w:rPr>
                <w:rFonts w:hAnsi="宋体" w:eastAsia="宋体" w:cs="宋体"/>
                <w:color w:val="auto"/>
                <w:sz w:val="24"/>
                <w:szCs w:val="24"/>
                <w:highlight w:val="none"/>
              </w:rPr>
            </w:r>
            <w:r/>
          </w:p>
        </w:tc>
        <w:tc>
          <w:tcPr>
            <w:tcW w:w="2268" w:type="dxa"/>
            <w:vAlign w:val="center"/>
            <w:textDirection w:val="lrTb"/>
            <w:noWrap/>
          </w:tcPr>
          <w:p>
            <w:pPr>
              <w:pStyle w:val="1048"/>
              <w:jc w:val="center"/>
              <w:spacing w:line="360" w:lineRule="auto"/>
              <w:rPr>
                <w:rFonts w:hAnsi="宋体" w:eastAsia="宋体" w:cs="宋体"/>
                <w:color w:val="auto"/>
                <w:sz w:val="24"/>
                <w:szCs w:val="24"/>
                <w:highlight w:val="none"/>
              </w:rPr>
            </w:pPr>
            <w:r>
              <w:rPr>
                <w:rFonts w:hAnsi="宋体" w:eastAsia="宋体" w:cs="宋体"/>
                <w:color w:val="auto"/>
                <w:sz w:val="24"/>
                <w:szCs w:val="24"/>
                <w:highlight w:val="none"/>
              </w:rPr>
            </w:r>
            <w:r/>
          </w:p>
        </w:tc>
        <w:tc>
          <w:tcPr>
            <w:tcW w:w="2318" w:type="dxa"/>
            <w:vAlign w:val="center"/>
            <w:textDirection w:val="lrTb"/>
            <w:noWrap/>
          </w:tcPr>
          <w:p>
            <w:pPr>
              <w:pStyle w:val="1048"/>
              <w:jc w:val="center"/>
              <w:spacing w:line="360" w:lineRule="auto"/>
              <w:rPr>
                <w:rFonts w:hAnsi="宋体" w:eastAsia="宋体" w:cs="宋体"/>
                <w:color w:val="auto"/>
                <w:sz w:val="24"/>
                <w:szCs w:val="24"/>
                <w:highlight w:val="none"/>
              </w:rPr>
            </w:pPr>
            <w:r>
              <w:rPr>
                <w:rFonts w:hAnsi="宋体" w:eastAsia="宋体" w:cs="宋体"/>
                <w:color w:val="auto"/>
                <w:sz w:val="24"/>
                <w:szCs w:val="24"/>
                <w:highlight w:val="none"/>
              </w:rPr>
            </w:r>
            <w:r/>
          </w:p>
        </w:tc>
      </w:tr>
    </w:tbl>
    <w:p>
      <w:pPr>
        <w:pStyle w:val="971"/>
        <w:ind w:firstLine="480"/>
        <w:spacing w:line="360" w:lineRule="auto"/>
        <w:rPr>
          <w:rFonts w:hAnsi="宋体" w:eastAsia="宋体" w:cs="宋体"/>
          <w:color w:val="auto"/>
          <w:sz w:val="24"/>
          <w:szCs w:val="24"/>
          <w:highlight w:val="none"/>
        </w:rPr>
      </w:pPr>
      <w:r>
        <w:rPr>
          <w:rFonts w:hAnsi="宋体" w:eastAsia="宋体" w:cs="宋体"/>
          <w:color w:val="auto"/>
          <w:sz w:val="24"/>
          <w:szCs w:val="24"/>
          <w:highlight w:val="none"/>
        </w:rPr>
      </w:r>
      <w:r/>
    </w:p>
    <w:p>
      <w:pPr>
        <w:ind w:firstLine="480"/>
        <w:spacing w:line="360" w:lineRule="auto"/>
        <w:tabs>
          <w:tab w:val="left" w:pos="142" w:leader="none"/>
          <w:tab w:val="left" w:pos="600" w:leader="none"/>
        </w:tabs>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投标人（单位盖章）：</w:t>
      </w:r>
      <w:r/>
    </w:p>
    <w:p>
      <w:pPr>
        <w:ind w:firstLine="480"/>
        <w:spacing w:line="360" w:lineRule="auto"/>
        <w:tabs>
          <w:tab w:val="left" w:pos="142" w:leader="none"/>
          <w:tab w:val="left" w:pos="600" w:leader="none"/>
        </w:tabs>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法定代表人或代理人（签字或盖章）：</w:t>
      </w:r>
      <w:r/>
    </w:p>
    <w:p>
      <w:pPr>
        <w:ind w:firstLine="480"/>
        <w:spacing w:line="360" w:lineRule="auto"/>
        <w:tabs>
          <w:tab w:val="left" w:pos="142" w:leader="none"/>
          <w:tab w:val="left" w:pos="600" w:leader="none"/>
        </w:tabs>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日期：     年     月     日</w:t>
      </w:r>
      <w:r/>
    </w:p>
    <w:p>
      <w:pPr>
        <w:ind w:firstLine="480"/>
        <w:spacing w:line="360" w:lineRule="auto"/>
        <w:tabs>
          <w:tab w:val="left" w:pos="142" w:leader="none"/>
          <w:tab w:val="left" w:pos="600" w:leader="none"/>
        </w:tabs>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p>
      <w:pPr>
        <w:ind w:firstLine="480"/>
        <w:spacing w:line="360" w:lineRule="auto"/>
        <w:tabs>
          <w:tab w:val="left" w:pos="142" w:leader="none"/>
          <w:tab w:val="left" w:pos="60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w:t>
      </w:r>
      <w:r/>
    </w:p>
    <w:p>
      <w:pPr>
        <w:ind w:firstLine="480"/>
        <w:spacing w:line="360" w:lineRule="auto"/>
        <w:tabs>
          <w:tab w:val="left" w:pos="142" w:leader="none"/>
          <w:tab w:val="left" w:pos="60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投标人应在本表中对照招标文件技术要求逐项对应列出响应内容，并在“偏离情况说明”项下填写以下内容：优于的，填写“正偏离”；符合的，填写“无偏离”；低于的，填写“负偏离”。</w:t>
      </w:r>
      <w:r/>
    </w:p>
    <w:p>
      <w:pPr>
        <w:ind w:firstLine="480"/>
        <w:spacing w:line="360" w:lineRule="auto"/>
        <w:tabs>
          <w:tab w:val="left" w:pos="142" w:leader="none"/>
          <w:tab w:val="left" w:pos="60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产品与招标文件技术要求的规定有偏离的，应在此表中申明与技术要求条文的偏差和例外。未在此表中说明的，如在投标文件其他内容中已有文字说明的，则以已有文字说明为准，否则将被认为完全响应招标文件的规定，但该表不能替代投标产品对招标文件技术要求应作出的详细描述和说明。</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以上表格内容不够的请自行添加。</w:t>
      </w:r>
      <w:r/>
    </w:p>
    <w:p>
      <w:pPr>
        <w:rPr>
          <w:rFonts w:cs="宋体"/>
          <w:bCs/>
          <w:color w:val="auto"/>
          <w:sz w:val="24"/>
          <w:szCs w:val="24"/>
          <w:highlight w:val="none"/>
        </w:rPr>
      </w:pPr>
      <w:r>
        <w:rPr>
          <w:rFonts w:cs="宋体"/>
          <w:bCs/>
          <w:color w:val="auto"/>
          <w:sz w:val="24"/>
          <w:szCs w:val="24"/>
          <w:highlight w:val="none"/>
        </w:rPr>
        <w:br w:type="page" w:clear="all"/>
      </w:r>
      <w:r/>
    </w:p>
    <w:p>
      <w:pPr>
        <w:jc w:val="left"/>
        <w:rPr>
          <w:rFonts w:ascii="宋体" w:hAnsi="宋体" w:eastAsia="宋体" w:cs="宋体"/>
          <w:color w:val="auto"/>
          <w:sz w:val="24"/>
          <w:szCs w:val="24"/>
          <w:highlight w:val="none"/>
        </w:rPr>
        <w:outlineLvl w:val="0"/>
      </w:pPr>
      <w:r>
        <w:rPr>
          <w:rFonts w:hint="eastAsia" w:ascii="宋体" w:hAnsi="宋体" w:eastAsia="宋体" w:cs="宋体"/>
          <w:bCs/>
          <w:color w:val="auto"/>
          <w:sz w:val="24"/>
          <w:szCs w:val="24"/>
          <w:highlight w:val="none"/>
        </w:rPr>
        <w:t xml:space="preserve">7、</w:t>
      </w:r>
      <w:r>
        <w:rPr>
          <w:rFonts w:hint="eastAsia" w:ascii="宋体" w:hAnsi="宋体" w:eastAsia="宋体" w:cs="宋体"/>
          <w:color w:val="auto"/>
          <w:sz w:val="24"/>
          <w:szCs w:val="24"/>
          <w:highlight w:val="none"/>
        </w:rPr>
        <w:t xml:space="preserve">商务条款响应及偏离表</w:t>
      </w:r>
      <w:r/>
    </w:p>
    <w:p>
      <w:pPr>
        <w:jc w:val="center"/>
        <w:spacing w:before="100" w:beforeAutospacing="1" w:after="100" w:afterAutospacing="1" w:line="48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商务条款响应及偏离表</w:t>
      </w:r>
      <w:r/>
    </w:p>
    <w:tbl>
      <w:tblPr>
        <w:tblStyle w:val="957"/>
        <w:tblW w:w="963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20"/>
        <w:gridCol w:w="2067"/>
        <w:gridCol w:w="2250"/>
        <w:gridCol w:w="2412"/>
        <w:gridCol w:w="2089"/>
      </w:tblGrid>
      <w:tr>
        <w:trPr>
          <w:trHeight w:val="760"/>
        </w:trPr>
        <w:tc>
          <w:tcPr>
            <w:tcW w:w="724" w:type="dxa"/>
            <w:vAlign w:val="center"/>
            <w:textDirection w:val="lrTb"/>
            <w:noWrap w:val="false"/>
          </w:tcPr>
          <w:p>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W w:w="1823" w:type="dxa"/>
            <w:vAlign w:val="center"/>
            <w:textDirection w:val="lrTb"/>
            <w:noWrap w:val="false"/>
          </w:tcPr>
          <w:p>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w:t>
            </w:r>
            <w:r/>
          </w:p>
        </w:tc>
        <w:tc>
          <w:tcPr>
            <w:tcW w:w="1984" w:type="dxa"/>
            <w:vAlign w:val="center"/>
            <w:textDirection w:val="lrTb"/>
            <w:noWrap w:val="false"/>
          </w:tcPr>
          <w:p>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招标要求</w:t>
            </w:r>
            <w:r/>
          </w:p>
        </w:tc>
        <w:tc>
          <w:tcPr>
            <w:tcW w:w="2127" w:type="dxa"/>
            <w:vAlign w:val="center"/>
            <w:textDirection w:val="lrTb"/>
            <w:noWrap w:val="false"/>
          </w:tcPr>
          <w:p>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投标内容</w:t>
            </w:r>
            <w:r/>
          </w:p>
        </w:tc>
        <w:tc>
          <w:tcPr>
            <w:tcW w:w="1842" w:type="dxa"/>
            <w:vAlign w:val="center"/>
            <w:textDirection w:val="lrTb"/>
            <w:noWrap w:val="false"/>
          </w:tcPr>
          <w:p>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偏离说明</w:t>
            </w:r>
            <w:r/>
          </w:p>
        </w:tc>
      </w:tr>
      <w:tr>
        <w:trPr>
          <w:cantSplit/>
          <w:trHeight w:val="495"/>
        </w:trPr>
        <w:tc>
          <w:tcPr>
            <w:tcW w:w="724"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1823"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1984"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2127"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1842"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r>
      <w:tr>
        <w:trPr>
          <w:cantSplit/>
          <w:trHeight w:val="495"/>
        </w:trPr>
        <w:tc>
          <w:tcPr>
            <w:tcW w:w="724"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1823"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1984"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2127"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1842"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r>
      <w:tr>
        <w:trPr>
          <w:cantSplit/>
          <w:trHeight w:val="495"/>
        </w:trPr>
        <w:tc>
          <w:tcPr>
            <w:tcW w:w="724"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1823"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1984"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2127"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1842"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r>
      <w:tr>
        <w:trPr>
          <w:cantSplit/>
          <w:trHeight w:val="495"/>
        </w:trPr>
        <w:tc>
          <w:tcPr>
            <w:tcW w:w="724"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1823"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1984"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2127"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1842"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r>
      <w:tr>
        <w:trPr>
          <w:cantSplit/>
          <w:trHeight w:val="495"/>
        </w:trPr>
        <w:tc>
          <w:tcPr>
            <w:tcW w:w="724" w:type="dxa"/>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1823"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1984"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2127"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1842"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r>
      <w:tr>
        <w:trPr>
          <w:cantSplit/>
          <w:trHeight w:val="495"/>
        </w:trPr>
        <w:tc>
          <w:tcPr>
            <w:tcW w:w="724" w:type="dxa"/>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1823"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1984"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2127"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1842"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r>
      <w:tr>
        <w:trPr>
          <w:cantSplit/>
          <w:trHeight w:val="495"/>
        </w:trPr>
        <w:tc>
          <w:tcPr>
            <w:tcW w:w="724" w:type="dxa"/>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1823"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1984"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2127"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1842"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r>
      <w:tr>
        <w:trPr>
          <w:cantSplit/>
          <w:trHeight w:val="495"/>
        </w:trPr>
        <w:tc>
          <w:tcPr>
            <w:tcW w:w="724" w:type="dxa"/>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1823"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1984"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2127"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1842"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r>
      <w:tr>
        <w:trPr>
          <w:cantSplit/>
          <w:trHeight w:val="495"/>
        </w:trPr>
        <w:tc>
          <w:tcPr>
            <w:tcW w:w="724" w:type="dxa"/>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1823"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1984"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2127"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1842"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r>
    </w:tbl>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注：投标人应在本表中对照招标文件商务条款要求逐项对应列出响应内容，并在“偏离说明”项下填写以下内容：优于的，填写“正偏离”；符合的，填写“无偏离”；低于的，填写“负偏离”。</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以上表格内容不够的请自行添加。</w:t>
      </w:r>
      <w:r/>
    </w:p>
    <w:p>
      <w:pPr>
        <w:spacing w:line="360" w:lineRule="auto"/>
        <w:rPr>
          <w:rFonts w:cs="宋体"/>
          <w:bCs/>
          <w:color w:val="auto"/>
          <w:sz w:val="24"/>
          <w:szCs w:val="24"/>
          <w:highlight w:val="none"/>
        </w:rPr>
      </w:pPr>
      <w:r>
        <w:rPr>
          <w:rFonts w:cs="宋体"/>
          <w:bCs/>
          <w:color w:val="auto"/>
          <w:sz w:val="24"/>
          <w:szCs w:val="24"/>
          <w:highlight w:val="none"/>
        </w:rPr>
      </w:r>
      <w:r/>
    </w:p>
    <w:p>
      <w:pPr>
        <w:ind w:firstLine="480"/>
        <w:spacing w:line="360" w:lineRule="auto"/>
        <w:tabs>
          <w:tab w:val="left" w:pos="142" w:leader="none"/>
          <w:tab w:val="left" w:pos="600" w:leader="none"/>
        </w:tabs>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投标人（单位盖章）：</w:t>
      </w:r>
      <w:r/>
    </w:p>
    <w:p>
      <w:pPr>
        <w:ind w:firstLine="480"/>
        <w:spacing w:line="360" w:lineRule="auto"/>
        <w:tabs>
          <w:tab w:val="left" w:pos="142" w:leader="none"/>
          <w:tab w:val="left" w:pos="600" w:leader="none"/>
        </w:tabs>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法定代表人或代理人（签字或盖章）：</w:t>
      </w:r>
      <w:r/>
    </w:p>
    <w:p>
      <w:pPr>
        <w:ind w:firstLine="480"/>
        <w:spacing w:line="360" w:lineRule="auto"/>
        <w:tabs>
          <w:tab w:val="left" w:pos="142" w:leader="none"/>
          <w:tab w:val="left" w:pos="600" w:leader="none"/>
        </w:tabs>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日期：     年     月     日</w:t>
      </w:r>
      <w:r/>
    </w:p>
    <w:p>
      <w:pPr>
        <w:spacing w:line="360" w:lineRule="auto"/>
        <w:rPr>
          <w:rFonts w:ascii="宋体" w:hAnsi="宋体" w:eastAsia="宋体" w:cs="宋体"/>
          <w:bCs/>
          <w:color w:val="auto"/>
          <w:sz w:val="24"/>
          <w:szCs w:val="24"/>
          <w:highlight w:val="none"/>
          <w:lang w:val="zh-CN"/>
        </w:rPr>
      </w:pPr>
      <w:r>
        <w:rPr>
          <w:rFonts w:cs="宋体"/>
          <w:bCs/>
          <w:color w:val="auto"/>
          <w:sz w:val="24"/>
          <w:szCs w:val="24"/>
          <w:highlight w:val="none"/>
        </w:rPr>
        <w:br w:type="page" w:clear="all"/>
      </w:r>
      <w:r>
        <w:rPr>
          <w:rFonts w:hint="eastAsia" w:ascii="宋体" w:hAnsi="宋体" w:eastAsia="宋体" w:cs="宋体"/>
          <w:bCs/>
          <w:color w:val="auto"/>
          <w:sz w:val="24"/>
          <w:szCs w:val="24"/>
          <w:highlight w:val="none"/>
        </w:rPr>
        <w:t xml:space="preserve">8、</w:t>
      </w:r>
      <w:r>
        <w:rPr>
          <w:rFonts w:hint="eastAsia" w:ascii="宋体" w:hAnsi="宋体" w:eastAsia="宋体" w:cs="宋体"/>
          <w:bCs/>
          <w:color w:val="auto"/>
          <w:sz w:val="24"/>
          <w:szCs w:val="24"/>
          <w:highlight w:val="none"/>
          <w:lang w:val="zh-CN"/>
        </w:rPr>
        <w:t xml:space="preserve">投标货物和服务数量、品牌、规格、制造商明细表</w:t>
      </w:r>
      <w:r/>
    </w:p>
    <w:tbl>
      <w:tblPr>
        <w:tblStyle w:val="957"/>
        <w:tblW w:w="9638"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78"/>
        <w:gridCol w:w="1155"/>
        <w:gridCol w:w="1963"/>
        <w:gridCol w:w="1477"/>
        <w:gridCol w:w="2296"/>
        <w:gridCol w:w="985"/>
        <w:gridCol w:w="984"/>
      </w:tblGrid>
      <w:tr>
        <w:trPr>
          <w:jc w:val="center"/>
          <w:trHeight w:val="423"/>
        </w:trPr>
        <w:tc>
          <w:tcPr>
            <w:tcBorders>
              <w:top w:val="single" w:color="auto" w:sz="4" w:space="0"/>
              <w:left w:val="single" w:color="auto" w:sz="4" w:space="0"/>
              <w:bottom w:val="single" w:color="auto" w:sz="4" w:space="0"/>
              <w:right w:val="single" w:color="auto" w:sz="4" w:space="0"/>
            </w:tcBorders>
            <w:tcW w:w="672" w:type="dxa"/>
            <w:vAlign w:val="center"/>
            <w:textDirection w:val="lrTb"/>
            <w:noWrap w:val="false"/>
          </w:tcPr>
          <w:p>
            <w:pPr>
              <w:jc w:val="center"/>
              <w:rPr>
                <w:rFonts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t xml:space="preserve">序号</w:t>
            </w:r>
            <w:r/>
          </w:p>
        </w:tc>
        <w:tc>
          <w:tcPr>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jc w:val="center"/>
              <w:rPr>
                <w:rFonts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t xml:space="preserve">标的物名称</w:t>
            </w:r>
            <w:r/>
          </w:p>
        </w:tc>
        <w:tc>
          <w:tcPr>
            <w:tcBorders>
              <w:top w:val="single" w:color="auto" w:sz="4" w:space="0"/>
              <w:left w:val="single" w:color="auto" w:sz="4" w:space="0"/>
              <w:bottom w:val="single" w:color="auto" w:sz="4" w:space="0"/>
              <w:right w:val="single" w:color="auto" w:sz="4" w:space="0"/>
            </w:tcBorders>
            <w:tcW w:w="1696" w:type="dxa"/>
            <w:vAlign w:val="center"/>
            <w:textDirection w:val="lrTb"/>
            <w:noWrap w:val="false"/>
          </w:tcPr>
          <w:p>
            <w:pPr>
              <w:jc w:val="center"/>
              <w:rPr>
                <w:rFonts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t xml:space="preserve">规格/型号</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t xml:space="preserve">品牌</w:t>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rPr>
                <w:rFonts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t xml:space="preserve">制造商</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rPr>
                <w:rFonts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t xml:space="preserve">单位</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t xml:space="preserve">数量</w:t>
            </w:r>
            <w:r/>
          </w:p>
        </w:tc>
      </w:tr>
      <w:tr>
        <w:trPr>
          <w:jc w:val="center"/>
          <w:trHeight w:val="361"/>
        </w:trPr>
        <w:tc>
          <w:tcPr>
            <w:tcBorders>
              <w:top w:val="single" w:color="auto" w:sz="4" w:space="0"/>
              <w:left w:val="single" w:color="auto" w:sz="4" w:space="0"/>
              <w:bottom w:val="single" w:color="auto" w:sz="4" w:space="0"/>
              <w:right w:val="single" w:color="auto" w:sz="4" w:space="0"/>
            </w:tcBorders>
            <w:tcW w:w="672" w:type="dxa"/>
            <w:vAlign w:val="center"/>
            <w:textDirection w:val="lrTb"/>
            <w:noWrap w:val="false"/>
          </w:tcPr>
          <w:p>
            <w:pPr>
              <w:jc w:val="center"/>
              <w:spacing w:line="360" w:lineRule="auto"/>
              <w:rPr>
                <w:rFonts w:ascii="宋体" w:hAnsi="宋体" w:eastAsia="宋体" w:cs="宋体"/>
                <w:color w:val="auto"/>
                <w:spacing w:val="20"/>
                <w:sz w:val="24"/>
                <w:szCs w:val="24"/>
                <w:highlight w:val="none"/>
              </w:rPr>
            </w:pPr>
            <w:r>
              <w:rPr>
                <w:rFonts w:ascii="宋体" w:hAnsi="宋体" w:eastAsia="宋体" w:cs="宋体"/>
                <w:color w:val="auto"/>
                <w:spacing w:val="20"/>
                <w:sz w:val="24"/>
                <w:szCs w:val="24"/>
                <w:highlight w:val="none"/>
              </w:rPr>
            </w:r>
            <w:r/>
          </w:p>
        </w:tc>
        <w:tc>
          <w:tcPr>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jc w:val="center"/>
              <w:spacing w:line="360" w:lineRule="auto"/>
              <w:rPr>
                <w:rFonts w:ascii="宋体" w:hAnsi="宋体" w:eastAsia="宋体" w:cs="宋体"/>
                <w:color w:val="auto"/>
                <w:spacing w:val="20"/>
                <w:sz w:val="24"/>
                <w:szCs w:val="24"/>
                <w:highlight w:val="none"/>
              </w:rPr>
            </w:pPr>
            <w:r>
              <w:rPr>
                <w:rFonts w:ascii="宋体" w:hAnsi="宋体" w:eastAsia="宋体" w:cs="宋体"/>
                <w:color w:val="auto"/>
                <w:spacing w:val="20"/>
                <w:sz w:val="24"/>
                <w:szCs w:val="24"/>
                <w:highlight w:val="none"/>
              </w:rPr>
            </w:r>
            <w:r/>
          </w:p>
        </w:tc>
        <w:tc>
          <w:tcPr>
            <w:tcBorders>
              <w:top w:val="single" w:color="auto" w:sz="4" w:space="0"/>
              <w:left w:val="single" w:color="auto" w:sz="4" w:space="0"/>
              <w:bottom w:val="single" w:color="auto" w:sz="4" w:space="0"/>
              <w:right w:val="single" w:color="auto" w:sz="4" w:space="0"/>
            </w:tcBorders>
            <w:tcW w:w="1696" w:type="dxa"/>
            <w:textDirection w:val="lrTb"/>
            <w:noWrap w:val="false"/>
          </w:tcPr>
          <w:p>
            <w:pPr>
              <w:jc w:val="center"/>
              <w:spacing w:line="360" w:lineRule="auto"/>
              <w:rPr>
                <w:rFonts w:ascii="宋体" w:hAnsi="宋体" w:eastAsia="宋体" w:cs="宋体"/>
                <w:color w:val="auto"/>
                <w:spacing w:val="20"/>
                <w:sz w:val="24"/>
                <w:szCs w:val="24"/>
                <w:highlight w:val="none"/>
              </w:rPr>
            </w:pPr>
            <w:r>
              <w:rPr>
                <w:rFonts w:ascii="宋体" w:hAnsi="宋体" w:eastAsia="宋体" w:cs="宋体"/>
                <w:color w:val="auto"/>
                <w:spacing w:val="20"/>
                <w:sz w:val="24"/>
                <w:szCs w:val="24"/>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spacing w:line="360" w:lineRule="auto"/>
              <w:rPr>
                <w:rFonts w:ascii="宋体" w:hAnsi="宋体" w:eastAsia="宋体" w:cs="宋体"/>
                <w:color w:val="auto"/>
                <w:spacing w:val="20"/>
                <w:sz w:val="24"/>
                <w:szCs w:val="24"/>
                <w:highlight w:val="none"/>
              </w:rPr>
            </w:pPr>
            <w:r>
              <w:rPr>
                <w:rFonts w:ascii="宋体" w:hAnsi="宋体" w:eastAsia="宋体" w:cs="宋体"/>
                <w:color w:val="auto"/>
                <w:spacing w:val="20"/>
                <w:sz w:val="24"/>
                <w:szCs w:val="24"/>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spacing w:line="360" w:lineRule="auto"/>
              <w:rPr>
                <w:rFonts w:ascii="宋体" w:hAnsi="宋体" w:eastAsia="宋体" w:cs="宋体"/>
                <w:color w:val="auto"/>
                <w:spacing w:val="20"/>
                <w:sz w:val="24"/>
                <w:szCs w:val="24"/>
                <w:highlight w:val="none"/>
              </w:rPr>
            </w:pPr>
            <w:r>
              <w:rPr>
                <w:rFonts w:ascii="宋体" w:hAnsi="宋体" w:eastAsia="宋体" w:cs="宋体"/>
                <w:color w:val="auto"/>
                <w:spacing w:val="20"/>
                <w:sz w:val="24"/>
                <w:szCs w:val="24"/>
                <w:highlight w:val="none"/>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line="360" w:lineRule="auto"/>
              <w:rPr>
                <w:rFonts w:ascii="宋体" w:hAnsi="宋体" w:eastAsia="宋体" w:cs="宋体"/>
                <w:color w:val="auto"/>
                <w:spacing w:val="20"/>
                <w:sz w:val="24"/>
                <w:szCs w:val="24"/>
                <w:highlight w:val="none"/>
              </w:rPr>
            </w:pPr>
            <w:r>
              <w:rPr>
                <w:rFonts w:ascii="宋体" w:hAnsi="宋体" w:eastAsia="宋体" w:cs="宋体"/>
                <w:color w:val="auto"/>
                <w:spacing w:val="20"/>
                <w:sz w:val="24"/>
                <w:szCs w:val="24"/>
                <w:highlight w:val="none"/>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360" w:lineRule="auto"/>
              <w:rPr>
                <w:rFonts w:ascii="宋体" w:hAnsi="宋体" w:eastAsia="宋体" w:cs="宋体"/>
                <w:color w:val="auto"/>
                <w:spacing w:val="20"/>
                <w:sz w:val="24"/>
                <w:szCs w:val="24"/>
                <w:highlight w:val="none"/>
              </w:rPr>
            </w:pPr>
            <w:r>
              <w:rPr>
                <w:rFonts w:ascii="宋体" w:hAnsi="宋体" w:eastAsia="宋体" w:cs="宋体"/>
                <w:color w:val="auto"/>
                <w:spacing w:val="20"/>
                <w:sz w:val="24"/>
                <w:szCs w:val="24"/>
                <w:highlight w:val="none"/>
              </w:rPr>
            </w:r>
            <w:r/>
          </w:p>
        </w:tc>
      </w:tr>
      <w:tr>
        <w:trPr>
          <w:jc w:val="center"/>
          <w:trHeight w:val="316"/>
        </w:trPr>
        <w:tc>
          <w:tcPr>
            <w:tcBorders>
              <w:top w:val="single" w:color="auto" w:sz="4" w:space="0"/>
              <w:left w:val="single" w:color="auto" w:sz="4" w:space="0"/>
              <w:bottom w:val="single" w:color="auto" w:sz="4" w:space="0"/>
              <w:right w:val="single" w:color="auto" w:sz="4" w:space="0"/>
            </w:tcBorders>
            <w:tcW w:w="672" w:type="dxa"/>
            <w:vAlign w:val="center"/>
            <w:textDirection w:val="lrTb"/>
            <w:noWrap w:val="false"/>
          </w:tcPr>
          <w:p>
            <w:pPr>
              <w:jc w:val="center"/>
              <w:spacing w:line="360" w:lineRule="auto"/>
              <w:rPr>
                <w:rFonts w:ascii="宋体" w:hAnsi="宋体" w:eastAsia="宋体" w:cs="宋体"/>
                <w:color w:val="auto"/>
                <w:spacing w:val="20"/>
                <w:sz w:val="24"/>
                <w:szCs w:val="24"/>
                <w:highlight w:val="none"/>
              </w:rPr>
            </w:pPr>
            <w:r>
              <w:rPr>
                <w:rFonts w:ascii="宋体" w:hAnsi="宋体" w:eastAsia="宋体" w:cs="宋体"/>
                <w:color w:val="auto"/>
                <w:spacing w:val="20"/>
                <w:sz w:val="24"/>
                <w:szCs w:val="24"/>
                <w:highlight w:val="none"/>
              </w:rPr>
            </w:r>
            <w:r/>
          </w:p>
        </w:tc>
        <w:tc>
          <w:tcPr>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jc w:val="center"/>
              <w:spacing w:line="360" w:lineRule="auto"/>
              <w:rPr>
                <w:rFonts w:ascii="宋体" w:hAnsi="宋体" w:eastAsia="宋体" w:cs="宋体"/>
                <w:color w:val="auto"/>
                <w:spacing w:val="20"/>
                <w:sz w:val="24"/>
                <w:szCs w:val="24"/>
                <w:highlight w:val="none"/>
              </w:rPr>
            </w:pPr>
            <w:r>
              <w:rPr>
                <w:rFonts w:ascii="宋体" w:hAnsi="宋体" w:eastAsia="宋体" w:cs="宋体"/>
                <w:color w:val="auto"/>
                <w:spacing w:val="20"/>
                <w:sz w:val="24"/>
                <w:szCs w:val="24"/>
                <w:highlight w:val="none"/>
              </w:rPr>
            </w:r>
            <w:r/>
          </w:p>
        </w:tc>
        <w:tc>
          <w:tcPr>
            <w:tcBorders>
              <w:top w:val="single" w:color="auto" w:sz="4" w:space="0"/>
              <w:left w:val="single" w:color="auto" w:sz="4" w:space="0"/>
              <w:bottom w:val="single" w:color="auto" w:sz="4" w:space="0"/>
              <w:right w:val="single" w:color="auto" w:sz="4" w:space="0"/>
            </w:tcBorders>
            <w:tcW w:w="1696" w:type="dxa"/>
            <w:textDirection w:val="lrTb"/>
            <w:noWrap w:val="false"/>
          </w:tcPr>
          <w:p>
            <w:pPr>
              <w:jc w:val="center"/>
              <w:spacing w:line="360" w:lineRule="auto"/>
              <w:rPr>
                <w:rFonts w:ascii="宋体" w:hAnsi="宋体" w:eastAsia="宋体" w:cs="宋体"/>
                <w:color w:val="auto"/>
                <w:spacing w:val="20"/>
                <w:sz w:val="24"/>
                <w:szCs w:val="24"/>
                <w:highlight w:val="none"/>
              </w:rPr>
            </w:pPr>
            <w:r>
              <w:rPr>
                <w:rFonts w:ascii="宋体" w:hAnsi="宋体" w:eastAsia="宋体" w:cs="宋体"/>
                <w:color w:val="auto"/>
                <w:spacing w:val="20"/>
                <w:sz w:val="24"/>
                <w:szCs w:val="24"/>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spacing w:line="360" w:lineRule="auto"/>
              <w:rPr>
                <w:rFonts w:ascii="宋体" w:hAnsi="宋体" w:eastAsia="宋体" w:cs="宋体"/>
                <w:color w:val="auto"/>
                <w:spacing w:val="20"/>
                <w:sz w:val="24"/>
                <w:szCs w:val="24"/>
                <w:highlight w:val="none"/>
              </w:rPr>
            </w:pPr>
            <w:r>
              <w:rPr>
                <w:rFonts w:ascii="宋体" w:hAnsi="宋体" w:eastAsia="宋体" w:cs="宋体"/>
                <w:color w:val="auto"/>
                <w:spacing w:val="20"/>
                <w:sz w:val="24"/>
                <w:szCs w:val="24"/>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spacing w:line="360" w:lineRule="auto"/>
              <w:rPr>
                <w:rFonts w:ascii="宋体" w:hAnsi="宋体" w:eastAsia="宋体" w:cs="宋体"/>
                <w:color w:val="auto"/>
                <w:spacing w:val="20"/>
                <w:sz w:val="24"/>
                <w:szCs w:val="24"/>
                <w:highlight w:val="none"/>
              </w:rPr>
            </w:pPr>
            <w:r>
              <w:rPr>
                <w:rFonts w:ascii="宋体" w:hAnsi="宋体" w:eastAsia="宋体" w:cs="宋体"/>
                <w:color w:val="auto"/>
                <w:spacing w:val="20"/>
                <w:sz w:val="24"/>
                <w:szCs w:val="24"/>
                <w:highlight w:val="none"/>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line="360" w:lineRule="auto"/>
              <w:rPr>
                <w:rFonts w:ascii="宋体" w:hAnsi="宋体" w:eastAsia="宋体" w:cs="宋体"/>
                <w:color w:val="auto"/>
                <w:spacing w:val="20"/>
                <w:sz w:val="24"/>
                <w:szCs w:val="24"/>
                <w:highlight w:val="none"/>
              </w:rPr>
            </w:pPr>
            <w:r>
              <w:rPr>
                <w:rFonts w:ascii="宋体" w:hAnsi="宋体" w:eastAsia="宋体" w:cs="宋体"/>
                <w:color w:val="auto"/>
                <w:spacing w:val="20"/>
                <w:sz w:val="24"/>
                <w:szCs w:val="24"/>
                <w:highlight w:val="none"/>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360" w:lineRule="auto"/>
              <w:rPr>
                <w:rFonts w:ascii="宋体" w:hAnsi="宋体" w:eastAsia="宋体" w:cs="宋体"/>
                <w:color w:val="auto"/>
                <w:spacing w:val="20"/>
                <w:sz w:val="24"/>
                <w:szCs w:val="24"/>
                <w:highlight w:val="none"/>
              </w:rPr>
            </w:pPr>
            <w:r>
              <w:rPr>
                <w:rFonts w:ascii="宋体" w:hAnsi="宋体" w:eastAsia="宋体" w:cs="宋体"/>
                <w:color w:val="auto"/>
                <w:spacing w:val="20"/>
                <w:sz w:val="24"/>
                <w:szCs w:val="24"/>
                <w:highlight w:val="none"/>
              </w:rPr>
            </w:r>
            <w:r/>
          </w:p>
        </w:tc>
      </w:tr>
      <w:tr>
        <w:trPr>
          <w:jc w:val="center"/>
          <w:trHeight w:val="316"/>
        </w:trPr>
        <w:tc>
          <w:tcPr>
            <w:tcBorders>
              <w:top w:val="single" w:color="auto" w:sz="4" w:space="0"/>
              <w:left w:val="single" w:color="auto" w:sz="4" w:space="0"/>
              <w:bottom w:val="single" w:color="auto" w:sz="4" w:space="0"/>
              <w:right w:val="single" w:color="auto" w:sz="4" w:space="0"/>
            </w:tcBorders>
            <w:tcW w:w="672" w:type="dxa"/>
            <w:vAlign w:val="center"/>
            <w:textDirection w:val="lrTb"/>
            <w:noWrap w:val="false"/>
          </w:tcPr>
          <w:p>
            <w:pPr>
              <w:jc w:val="center"/>
              <w:spacing w:line="360" w:lineRule="auto"/>
              <w:rPr>
                <w:rFonts w:ascii="宋体" w:hAnsi="宋体" w:eastAsia="宋体" w:cs="宋体"/>
                <w:color w:val="auto"/>
                <w:spacing w:val="20"/>
                <w:sz w:val="24"/>
                <w:szCs w:val="24"/>
                <w:highlight w:val="none"/>
              </w:rPr>
            </w:pPr>
            <w:r>
              <w:rPr>
                <w:rFonts w:ascii="宋体" w:hAnsi="宋体" w:eastAsia="宋体" w:cs="宋体"/>
                <w:color w:val="auto"/>
                <w:spacing w:val="20"/>
                <w:sz w:val="24"/>
                <w:szCs w:val="24"/>
                <w:highlight w:val="none"/>
              </w:rPr>
            </w:r>
            <w:r/>
          </w:p>
        </w:tc>
        <w:tc>
          <w:tcPr>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jc w:val="center"/>
              <w:spacing w:line="360" w:lineRule="auto"/>
              <w:rPr>
                <w:rFonts w:ascii="宋体" w:hAnsi="宋体" w:eastAsia="宋体" w:cs="宋体"/>
                <w:color w:val="auto"/>
                <w:spacing w:val="20"/>
                <w:sz w:val="24"/>
                <w:szCs w:val="24"/>
                <w:highlight w:val="none"/>
              </w:rPr>
            </w:pPr>
            <w:r>
              <w:rPr>
                <w:rFonts w:ascii="宋体" w:hAnsi="宋体" w:eastAsia="宋体" w:cs="宋体"/>
                <w:color w:val="auto"/>
                <w:spacing w:val="20"/>
                <w:sz w:val="24"/>
                <w:szCs w:val="24"/>
                <w:highlight w:val="none"/>
              </w:rPr>
            </w:r>
            <w:r/>
          </w:p>
        </w:tc>
        <w:tc>
          <w:tcPr>
            <w:tcBorders>
              <w:top w:val="single" w:color="auto" w:sz="4" w:space="0"/>
              <w:left w:val="single" w:color="auto" w:sz="4" w:space="0"/>
              <w:bottom w:val="single" w:color="auto" w:sz="4" w:space="0"/>
              <w:right w:val="single" w:color="auto" w:sz="4" w:space="0"/>
            </w:tcBorders>
            <w:tcW w:w="1696" w:type="dxa"/>
            <w:textDirection w:val="lrTb"/>
            <w:noWrap w:val="false"/>
          </w:tcPr>
          <w:p>
            <w:pPr>
              <w:jc w:val="center"/>
              <w:spacing w:line="360" w:lineRule="auto"/>
              <w:rPr>
                <w:rFonts w:ascii="宋体" w:hAnsi="宋体" w:eastAsia="宋体" w:cs="宋体"/>
                <w:color w:val="auto"/>
                <w:spacing w:val="20"/>
                <w:sz w:val="24"/>
                <w:szCs w:val="24"/>
                <w:highlight w:val="none"/>
              </w:rPr>
            </w:pPr>
            <w:r>
              <w:rPr>
                <w:rFonts w:ascii="宋体" w:hAnsi="宋体" w:eastAsia="宋体" w:cs="宋体"/>
                <w:color w:val="auto"/>
                <w:spacing w:val="20"/>
                <w:sz w:val="24"/>
                <w:szCs w:val="24"/>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spacing w:line="360" w:lineRule="auto"/>
              <w:rPr>
                <w:rFonts w:ascii="宋体" w:hAnsi="宋体" w:eastAsia="宋体" w:cs="宋体"/>
                <w:color w:val="auto"/>
                <w:spacing w:val="20"/>
                <w:sz w:val="24"/>
                <w:szCs w:val="24"/>
                <w:highlight w:val="none"/>
              </w:rPr>
            </w:pPr>
            <w:r>
              <w:rPr>
                <w:rFonts w:ascii="宋体" w:hAnsi="宋体" w:eastAsia="宋体" w:cs="宋体"/>
                <w:color w:val="auto"/>
                <w:spacing w:val="20"/>
                <w:sz w:val="24"/>
                <w:szCs w:val="24"/>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spacing w:line="360" w:lineRule="auto"/>
              <w:rPr>
                <w:rFonts w:ascii="宋体" w:hAnsi="宋体" w:eastAsia="宋体" w:cs="宋体"/>
                <w:color w:val="auto"/>
                <w:spacing w:val="20"/>
                <w:sz w:val="24"/>
                <w:szCs w:val="24"/>
                <w:highlight w:val="none"/>
              </w:rPr>
            </w:pPr>
            <w:r>
              <w:rPr>
                <w:rFonts w:ascii="宋体" w:hAnsi="宋体" w:eastAsia="宋体" w:cs="宋体"/>
                <w:color w:val="auto"/>
                <w:spacing w:val="20"/>
                <w:sz w:val="24"/>
                <w:szCs w:val="24"/>
                <w:highlight w:val="none"/>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line="360" w:lineRule="auto"/>
              <w:rPr>
                <w:rFonts w:ascii="宋体" w:hAnsi="宋体" w:eastAsia="宋体" w:cs="宋体"/>
                <w:color w:val="auto"/>
                <w:spacing w:val="20"/>
                <w:sz w:val="24"/>
                <w:szCs w:val="24"/>
                <w:highlight w:val="none"/>
              </w:rPr>
            </w:pPr>
            <w:r>
              <w:rPr>
                <w:rFonts w:ascii="宋体" w:hAnsi="宋体" w:eastAsia="宋体" w:cs="宋体"/>
                <w:color w:val="auto"/>
                <w:spacing w:val="20"/>
                <w:sz w:val="24"/>
                <w:szCs w:val="24"/>
                <w:highlight w:val="none"/>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360" w:lineRule="auto"/>
              <w:rPr>
                <w:rFonts w:ascii="宋体" w:hAnsi="宋体" w:eastAsia="宋体" w:cs="宋体"/>
                <w:color w:val="auto"/>
                <w:spacing w:val="20"/>
                <w:sz w:val="24"/>
                <w:szCs w:val="24"/>
                <w:highlight w:val="none"/>
              </w:rPr>
            </w:pPr>
            <w:r>
              <w:rPr>
                <w:rFonts w:ascii="宋体" w:hAnsi="宋体" w:eastAsia="宋体" w:cs="宋体"/>
                <w:color w:val="auto"/>
                <w:spacing w:val="20"/>
                <w:sz w:val="24"/>
                <w:szCs w:val="24"/>
                <w:highlight w:val="none"/>
              </w:rPr>
            </w:r>
            <w:r/>
          </w:p>
        </w:tc>
      </w:tr>
      <w:tr>
        <w:trPr>
          <w:jc w:val="center"/>
          <w:trHeight w:val="222"/>
        </w:trPr>
        <w:tc>
          <w:tcPr>
            <w:tcBorders>
              <w:top w:val="single" w:color="auto" w:sz="4" w:space="0"/>
              <w:left w:val="single" w:color="auto" w:sz="4" w:space="0"/>
              <w:bottom w:val="single" w:color="auto" w:sz="4" w:space="0"/>
              <w:right w:val="single" w:color="auto" w:sz="4" w:space="0"/>
            </w:tcBorders>
            <w:tcW w:w="672" w:type="dxa"/>
            <w:vAlign w:val="center"/>
            <w:textDirection w:val="lrTb"/>
            <w:noWrap w:val="false"/>
          </w:tcPr>
          <w:p>
            <w:pPr>
              <w:jc w:val="center"/>
              <w:spacing w:line="360" w:lineRule="auto"/>
              <w:rPr>
                <w:rFonts w:ascii="宋体" w:hAnsi="宋体" w:eastAsia="宋体" w:cs="宋体"/>
                <w:color w:val="auto"/>
                <w:spacing w:val="20"/>
                <w:sz w:val="24"/>
                <w:szCs w:val="24"/>
                <w:highlight w:val="none"/>
              </w:rPr>
            </w:pPr>
            <w:r>
              <w:rPr>
                <w:rFonts w:ascii="宋体" w:hAnsi="宋体" w:eastAsia="宋体" w:cs="宋体"/>
                <w:color w:val="auto"/>
                <w:spacing w:val="20"/>
                <w:sz w:val="24"/>
                <w:szCs w:val="24"/>
                <w:highlight w:val="none"/>
              </w:rPr>
            </w:r>
            <w:r/>
          </w:p>
        </w:tc>
        <w:tc>
          <w:tcPr>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jc w:val="center"/>
              <w:spacing w:line="360" w:lineRule="auto"/>
              <w:rPr>
                <w:rFonts w:ascii="宋体" w:hAnsi="宋体" w:eastAsia="宋体" w:cs="宋体"/>
                <w:color w:val="auto"/>
                <w:spacing w:val="20"/>
                <w:sz w:val="24"/>
                <w:szCs w:val="24"/>
                <w:highlight w:val="none"/>
              </w:rPr>
            </w:pPr>
            <w:r>
              <w:rPr>
                <w:rFonts w:ascii="宋体" w:hAnsi="宋体" w:eastAsia="宋体" w:cs="宋体"/>
                <w:color w:val="auto"/>
                <w:spacing w:val="20"/>
                <w:sz w:val="24"/>
                <w:szCs w:val="24"/>
                <w:highlight w:val="none"/>
              </w:rPr>
            </w:r>
            <w:r/>
          </w:p>
        </w:tc>
        <w:tc>
          <w:tcPr>
            <w:tcBorders>
              <w:top w:val="single" w:color="auto" w:sz="4" w:space="0"/>
              <w:left w:val="single" w:color="auto" w:sz="4" w:space="0"/>
              <w:bottom w:val="single" w:color="auto" w:sz="4" w:space="0"/>
              <w:right w:val="single" w:color="auto" w:sz="4" w:space="0"/>
            </w:tcBorders>
            <w:tcW w:w="1696" w:type="dxa"/>
            <w:textDirection w:val="lrTb"/>
            <w:noWrap w:val="false"/>
          </w:tcPr>
          <w:p>
            <w:pPr>
              <w:jc w:val="center"/>
              <w:spacing w:line="360" w:lineRule="auto"/>
              <w:rPr>
                <w:rFonts w:ascii="宋体" w:hAnsi="宋体" w:eastAsia="宋体" w:cs="宋体"/>
                <w:color w:val="auto"/>
                <w:spacing w:val="20"/>
                <w:sz w:val="24"/>
                <w:szCs w:val="24"/>
                <w:highlight w:val="none"/>
              </w:rPr>
            </w:pPr>
            <w:r>
              <w:rPr>
                <w:rFonts w:ascii="宋体" w:hAnsi="宋体" w:eastAsia="宋体" w:cs="宋体"/>
                <w:color w:val="auto"/>
                <w:spacing w:val="20"/>
                <w:sz w:val="24"/>
                <w:szCs w:val="24"/>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spacing w:line="360" w:lineRule="auto"/>
              <w:rPr>
                <w:rFonts w:ascii="宋体" w:hAnsi="宋体" w:eastAsia="宋体" w:cs="宋体"/>
                <w:color w:val="auto"/>
                <w:spacing w:val="20"/>
                <w:sz w:val="24"/>
                <w:szCs w:val="24"/>
                <w:highlight w:val="none"/>
              </w:rPr>
            </w:pPr>
            <w:r>
              <w:rPr>
                <w:rFonts w:ascii="宋体" w:hAnsi="宋体" w:eastAsia="宋体" w:cs="宋体"/>
                <w:color w:val="auto"/>
                <w:spacing w:val="20"/>
                <w:sz w:val="24"/>
                <w:szCs w:val="24"/>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spacing w:line="360" w:lineRule="auto"/>
              <w:rPr>
                <w:rFonts w:ascii="宋体" w:hAnsi="宋体" w:eastAsia="宋体" w:cs="宋体"/>
                <w:color w:val="auto"/>
                <w:spacing w:val="20"/>
                <w:sz w:val="24"/>
                <w:szCs w:val="24"/>
                <w:highlight w:val="none"/>
              </w:rPr>
            </w:pPr>
            <w:r>
              <w:rPr>
                <w:rFonts w:ascii="宋体" w:hAnsi="宋体" w:eastAsia="宋体" w:cs="宋体"/>
                <w:color w:val="auto"/>
                <w:spacing w:val="20"/>
                <w:sz w:val="24"/>
                <w:szCs w:val="24"/>
                <w:highlight w:val="none"/>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line="360" w:lineRule="auto"/>
              <w:rPr>
                <w:rFonts w:ascii="宋体" w:hAnsi="宋体" w:eastAsia="宋体" w:cs="宋体"/>
                <w:color w:val="auto"/>
                <w:spacing w:val="20"/>
                <w:sz w:val="24"/>
                <w:szCs w:val="24"/>
                <w:highlight w:val="none"/>
              </w:rPr>
            </w:pPr>
            <w:r>
              <w:rPr>
                <w:rFonts w:ascii="宋体" w:hAnsi="宋体" w:eastAsia="宋体" w:cs="宋体"/>
                <w:color w:val="auto"/>
                <w:spacing w:val="20"/>
                <w:sz w:val="24"/>
                <w:szCs w:val="24"/>
                <w:highlight w:val="none"/>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360" w:lineRule="auto"/>
              <w:rPr>
                <w:rFonts w:ascii="宋体" w:hAnsi="宋体" w:eastAsia="宋体" w:cs="宋体"/>
                <w:color w:val="auto"/>
                <w:spacing w:val="20"/>
                <w:sz w:val="24"/>
                <w:szCs w:val="24"/>
                <w:highlight w:val="none"/>
              </w:rPr>
            </w:pPr>
            <w:r>
              <w:rPr>
                <w:rFonts w:ascii="宋体" w:hAnsi="宋体" w:eastAsia="宋体" w:cs="宋体"/>
                <w:color w:val="auto"/>
                <w:spacing w:val="20"/>
                <w:sz w:val="24"/>
                <w:szCs w:val="24"/>
                <w:highlight w:val="none"/>
              </w:rPr>
            </w:r>
            <w:r/>
          </w:p>
        </w:tc>
      </w:tr>
      <w:tr>
        <w:trPr>
          <w:jc w:val="center"/>
          <w:trHeight w:val="222"/>
        </w:trPr>
        <w:tc>
          <w:tcPr>
            <w:tcBorders>
              <w:top w:val="single" w:color="auto" w:sz="4" w:space="0"/>
              <w:left w:val="single" w:color="auto" w:sz="4" w:space="0"/>
              <w:bottom w:val="single" w:color="auto" w:sz="4" w:space="0"/>
              <w:right w:val="single" w:color="auto" w:sz="4" w:space="0"/>
            </w:tcBorders>
            <w:tcW w:w="672" w:type="dxa"/>
            <w:vAlign w:val="center"/>
            <w:textDirection w:val="lrTb"/>
            <w:noWrap w:val="false"/>
          </w:tcPr>
          <w:p>
            <w:pPr>
              <w:jc w:val="center"/>
              <w:spacing w:line="360" w:lineRule="auto"/>
              <w:rPr>
                <w:rFonts w:ascii="宋体" w:hAnsi="宋体" w:eastAsia="宋体" w:cs="宋体"/>
                <w:color w:val="auto"/>
                <w:spacing w:val="20"/>
                <w:sz w:val="24"/>
                <w:szCs w:val="24"/>
                <w:highlight w:val="none"/>
              </w:rPr>
            </w:pPr>
            <w:r>
              <w:rPr>
                <w:rFonts w:ascii="宋体" w:hAnsi="宋体" w:eastAsia="宋体" w:cs="宋体"/>
                <w:color w:val="auto"/>
                <w:spacing w:val="20"/>
                <w:sz w:val="24"/>
                <w:szCs w:val="24"/>
                <w:highlight w:val="none"/>
              </w:rPr>
            </w:r>
            <w:r/>
          </w:p>
        </w:tc>
        <w:tc>
          <w:tcPr>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jc w:val="center"/>
              <w:spacing w:line="360" w:lineRule="auto"/>
              <w:rPr>
                <w:rFonts w:ascii="宋体" w:hAnsi="宋体" w:eastAsia="宋体" w:cs="宋体"/>
                <w:color w:val="auto"/>
                <w:spacing w:val="20"/>
                <w:sz w:val="24"/>
                <w:szCs w:val="24"/>
                <w:highlight w:val="none"/>
              </w:rPr>
            </w:pPr>
            <w:r>
              <w:rPr>
                <w:rFonts w:ascii="宋体" w:hAnsi="宋体" w:eastAsia="宋体" w:cs="宋体"/>
                <w:color w:val="auto"/>
                <w:spacing w:val="20"/>
                <w:sz w:val="24"/>
                <w:szCs w:val="24"/>
                <w:highlight w:val="none"/>
              </w:rPr>
            </w:r>
            <w:r/>
          </w:p>
        </w:tc>
        <w:tc>
          <w:tcPr>
            <w:tcBorders>
              <w:top w:val="single" w:color="auto" w:sz="4" w:space="0"/>
              <w:left w:val="single" w:color="auto" w:sz="4" w:space="0"/>
              <w:bottom w:val="single" w:color="auto" w:sz="4" w:space="0"/>
              <w:right w:val="single" w:color="auto" w:sz="4" w:space="0"/>
            </w:tcBorders>
            <w:tcW w:w="1696" w:type="dxa"/>
            <w:textDirection w:val="lrTb"/>
            <w:noWrap w:val="false"/>
          </w:tcPr>
          <w:p>
            <w:pPr>
              <w:jc w:val="center"/>
              <w:spacing w:line="360" w:lineRule="auto"/>
              <w:rPr>
                <w:rFonts w:ascii="宋体" w:hAnsi="宋体" w:eastAsia="宋体" w:cs="宋体"/>
                <w:color w:val="auto"/>
                <w:spacing w:val="20"/>
                <w:sz w:val="24"/>
                <w:szCs w:val="24"/>
                <w:highlight w:val="none"/>
              </w:rPr>
            </w:pPr>
            <w:r>
              <w:rPr>
                <w:rFonts w:ascii="宋体" w:hAnsi="宋体" w:eastAsia="宋体" w:cs="宋体"/>
                <w:color w:val="auto"/>
                <w:spacing w:val="20"/>
                <w:sz w:val="24"/>
                <w:szCs w:val="24"/>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spacing w:line="360" w:lineRule="auto"/>
              <w:rPr>
                <w:rFonts w:ascii="宋体" w:hAnsi="宋体" w:eastAsia="宋体" w:cs="宋体"/>
                <w:color w:val="auto"/>
                <w:spacing w:val="20"/>
                <w:sz w:val="24"/>
                <w:szCs w:val="24"/>
                <w:highlight w:val="none"/>
              </w:rPr>
            </w:pPr>
            <w:r>
              <w:rPr>
                <w:rFonts w:ascii="宋体" w:hAnsi="宋体" w:eastAsia="宋体" w:cs="宋体"/>
                <w:color w:val="auto"/>
                <w:spacing w:val="20"/>
                <w:sz w:val="24"/>
                <w:szCs w:val="24"/>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spacing w:line="360" w:lineRule="auto"/>
              <w:rPr>
                <w:rFonts w:ascii="宋体" w:hAnsi="宋体" w:eastAsia="宋体" w:cs="宋体"/>
                <w:color w:val="auto"/>
                <w:spacing w:val="20"/>
                <w:sz w:val="24"/>
                <w:szCs w:val="24"/>
                <w:highlight w:val="none"/>
              </w:rPr>
            </w:pPr>
            <w:r>
              <w:rPr>
                <w:rFonts w:ascii="宋体" w:hAnsi="宋体" w:eastAsia="宋体" w:cs="宋体"/>
                <w:color w:val="auto"/>
                <w:spacing w:val="20"/>
                <w:sz w:val="24"/>
                <w:szCs w:val="24"/>
                <w:highlight w:val="none"/>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line="360" w:lineRule="auto"/>
              <w:rPr>
                <w:rFonts w:ascii="宋体" w:hAnsi="宋体" w:eastAsia="宋体" w:cs="宋体"/>
                <w:color w:val="auto"/>
                <w:spacing w:val="20"/>
                <w:sz w:val="24"/>
                <w:szCs w:val="24"/>
                <w:highlight w:val="none"/>
              </w:rPr>
            </w:pPr>
            <w:r>
              <w:rPr>
                <w:rFonts w:ascii="宋体" w:hAnsi="宋体" w:eastAsia="宋体" w:cs="宋体"/>
                <w:color w:val="auto"/>
                <w:spacing w:val="20"/>
                <w:sz w:val="24"/>
                <w:szCs w:val="24"/>
                <w:highlight w:val="none"/>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360" w:lineRule="auto"/>
              <w:rPr>
                <w:rFonts w:ascii="宋体" w:hAnsi="宋体" w:eastAsia="宋体" w:cs="宋体"/>
                <w:color w:val="auto"/>
                <w:spacing w:val="20"/>
                <w:sz w:val="24"/>
                <w:szCs w:val="24"/>
                <w:highlight w:val="none"/>
              </w:rPr>
            </w:pPr>
            <w:r>
              <w:rPr>
                <w:rFonts w:ascii="宋体" w:hAnsi="宋体" w:eastAsia="宋体" w:cs="宋体"/>
                <w:color w:val="auto"/>
                <w:spacing w:val="20"/>
                <w:sz w:val="24"/>
                <w:szCs w:val="24"/>
                <w:highlight w:val="none"/>
              </w:rPr>
            </w:r>
            <w:r/>
          </w:p>
        </w:tc>
      </w:tr>
      <w:tr>
        <w:trPr>
          <w:jc w:val="center"/>
          <w:trHeight w:val="222"/>
        </w:trPr>
        <w:tc>
          <w:tcPr>
            <w:tcBorders>
              <w:top w:val="single" w:color="auto" w:sz="4" w:space="0"/>
              <w:left w:val="single" w:color="auto" w:sz="4" w:space="0"/>
              <w:bottom w:val="single" w:color="auto" w:sz="4" w:space="0"/>
              <w:right w:val="single" w:color="auto" w:sz="4" w:space="0"/>
            </w:tcBorders>
            <w:tcW w:w="672" w:type="dxa"/>
            <w:vAlign w:val="center"/>
            <w:textDirection w:val="lrTb"/>
            <w:noWrap w:val="false"/>
          </w:tcPr>
          <w:p>
            <w:pPr>
              <w:jc w:val="center"/>
              <w:spacing w:line="360" w:lineRule="auto"/>
              <w:rPr>
                <w:rFonts w:ascii="宋体" w:hAnsi="宋体" w:eastAsia="宋体" w:cs="宋体"/>
                <w:color w:val="auto"/>
                <w:spacing w:val="20"/>
                <w:sz w:val="24"/>
                <w:szCs w:val="24"/>
                <w:highlight w:val="none"/>
              </w:rPr>
            </w:pPr>
            <w:r>
              <w:rPr>
                <w:rFonts w:ascii="宋体" w:hAnsi="宋体" w:eastAsia="宋体" w:cs="宋体"/>
                <w:color w:val="auto"/>
                <w:spacing w:val="20"/>
                <w:sz w:val="24"/>
                <w:szCs w:val="24"/>
                <w:highlight w:val="none"/>
              </w:rPr>
            </w:r>
            <w:r/>
          </w:p>
        </w:tc>
        <w:tc>
          <w:tcPr>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jc w:val="center"/>
              <w:spacing w:line="360" w:lineRule="auto"/>
              <w:rPr>
                <w:rFonts w:ascii="宋体" w:hAnsi="宋体" w:eastAsia="宋体" w:cs="宋体"/>
                <w:color w:val="auto"/>
                <w:spacing w:val="20"/>
                <w:sz w:val="24"/>
                <w:szCs w:val="24"/>
                <w:highlight w:val="none"/>
              </w:rPr>
            </w:pPr>
            <w:r>
              <w:rPr>
                <w:rFonts w:ascii="宋体" w:hAnsi="宋体" w:eastAsia="宋体" w:cs="宋体"/>
                <w:color w:val="auto"/>
                <w:spacing w:val="20"/>
                <w:sz w:val="24"/>
                <w:szCs w:val="24"/>
                <w:highlight w:val="none"/>
              </w:rPr>
            </w:r>
            <w:r/>
          </w:p>
        </w:tc>
        <w:tc>
          <w:tcPr>
            <w:tcBorders>
              <w:top w:val="single" w:color="auto" w:sz="4" w:space="0"/>
              <w:left w:val="single" w:color="auto" w:sz="4" w:space="0"/>
              <w:bottom w:val="single" w:color="auto" w:sz="4" w:space="0"/>
              <w:right w:val="single" w:color="auto" w:sz="4" w:space="0"/>
            </w:tcBorders>
            <w:tcW w:w="1696" w:type="dxa"/>
            <w:textDirection w:val="lrTb"/>
            <w:noWrap w:val="false"/>
          </w:tcPr>
          <w:p>
            <w:pPr>
              <w:jc w:val="center"/>
              <w:spacing w:line="360" w:lineRule="auto"/>
              <w:rPr>
                <w:rFonts w:ascii="宋体" w:hAnsi="宋体" w:eastAsia="宋体" w:cs="宋体"/>
                <w:color w:val="auto"/>
                <w:spacing w:val="20"/>
                <w:sz w:val="24"/>
                <w:szCs w:val="24"/>
                <w:highlight w:val="none"/>
              </w:rPr>
            </w:pPr>
            <w:r>
              <w:rPr>
                <w:rFonts w:ascii="宋体" w:hAnsi="宋体" w:eastAsia="宋体" w:cs="宋体"/>
                <w:color w:val="auto"/>
                <w:spacing w:val="20"/>
                <w:sz w:val="24"/>
                <w:szCs w:val="24"/>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spacing w:line="360" w:lineRule="auto"/>
              <w:rPr>
                <w:rFonts w:ascii="宋体" w:hAnsi="宋体" w:eastAsia="宋体" w:cs="宋体"/>
                <w:color w:val="auto"/>
                <w:spacing w:val="20"/>
                <w:sz w:val="24"/>
                <w:szCs w:val="24"/>
                <w:highlight w:val="none"/>
              </w:rPr>
            </w:pPr>
            <w:r>
              <w:rPr>
                <w:rFonts w:ascii="宋体" w:hAnsi="宋体" w:eastAsia="宋体" w:cs="宋体"/>
                <w:color w:val="auto"/>
                <w:spacing w:val="20"/>
                <w:sz w:val="24"/>
                <w:szCs w:val="24"/>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spacing w:line="360" w:lineRule="auto"/>
              <w:rPr>
                <w:rFonts w:ascii="宋体" w:hAnsi="宋体" w:eastAsia="宋体" w:cs="宋体"/>
                <w:color w:val="auto"/>
                <w:spacing w:val="20"/>
                <w:sz w:val="24"/>
                <w:szCs w:val="24"/>
                <w:highlight w:val="none"/>
              </w:rPr>
            </w:pPr>
            <w:r>
              <w:rPr>
                <w:rFonts w:ascii="宋体" w:hAnsi="宋体" w:eastAsia="宋体" w:cs="宋体"/>
                <w:color w:val="auto"/>
                <w:spacing w:val="20"/>
                <w:sz w:val="24"/>
                <w:szCs w:val="24"/>
                <w:highlight w:val="none"/>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line="360" w:lineRule="auto"/>
              <w:rPr>
                <w:rFonts w:ascii="宋体" w:hAnsi="宋体" w:eastAsia="宋体" w:cs="宋体"/>
                <w:color w:val="auto"/>
                <w:spacing w:val="20"/>
                <w:sz w:val="24"/>
                <w:szCs w:val="24"/>
                <w:highlight w:val="none"/>
              </w:rPr>
            </w:pPr>
            <w:r>
              <w:rPr>
                <w:rFonts w:ascii="宋体" w:hAnsi="宋体" w:eastAsia="宋体" w:cs="宋体"/>
                <w:color w:val="auto"/>
                <w:spacing w:val="20"/>
                <w:sz w:val="24"/>
                <w:szCs w:val="24"/>
                <w:highlight w:val="none"/>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360" w:lineRule="auto"/>
              <w:rPr>
                <w:rFonts w:ascii="宋体" w:hAnsi="宋体" w:eastAsia="宋体" w:cs="宋体"/>
                <w:color w:val="auto"/>
                <w:spacing w:val="20"/>
                <w:sz w:val="24"/>
                <w:szCs w:val="24"/>
                <w:highlight w:val="none"/>
              </w:rPr>
            </w:pPr>
            <w:r>
              <w:rPr>
                <w:rFonts w:ascii="宋体" w:hAnsi="宋体" w:eastAsia="宋体" w:cs="宋体"/>
                <w:color w:val="auto"/>
                <w:spacing w:val="20"/>
                <w:sz w:val="24"/>
                <w:szCs w:val="24"/>
                <w:highlight w:val="none"/>
              </w:rPr>
            </w:r>
            <w:r/>
          </w:p>
        </w:tc>
      </w:tr>
      <w:tr>
        <w:trPr>
          <w:jc w:val="center"/>
          <w:trHeight w:val="222"/>
        </w:trPr>
        <w:tc>
          <w:tcPr>
            <w:tcBorders>
              <w:top w:val="single" w:color="auto" w:sz="4" w:space="0"/>
              <w:left w:val="single" w:color="auto" w:sz="4" w:space="0"/>
              <w:bottom w:val="single" w:color="auto" w:sz="4" w:space="0"/>
              <w:right w:val="single" w:color="auto" w:sz="4" w:space="0"/>
            </w:tcBorders>
            <w:tcW w:w="672" w:type="dxa"/>
            <w:vAlign w:val="center"/>
            <w:textDirection w:val="lrTb"/>
            <w:noWrap w:val="false"/>
          </w:tcPr>
          <w:p>
            <w:pPr>
              <w:jc w:val="center"/>
              <w:spacing w:line="360" w:lineRule="auto"/>
              <w:rPr>
                <w:rFonts w:ascii="宋体" w:hAnsi="宋体" w:eastAsia="宋体" w:cs="宋体"/>
                <w:color w:val="auto"/>
                <w:spacing w:val="20"/>
                <w:sz w:val="24"/>
                <w:szCs w:val="24"/>
                <w:highlight w:val="none"/>
              </w:rPr>
            </w:pPr>
            <w:r>
              <w:rPr>
                <w:rFonts w:ascii="宋体" w:hAnsi="宋体" w:eastAsia="宋体" w:cs="宋体"/>
                <w:color w:val="auto"/>
                <w:spacing w:val="20"/>
                <w:sz w:val="24"/>
                <w:szCs w:val="24"/>
                <w:highlight w:val="none"/>
              </w:rPr>
            </w:r>
            <w:r/>
          </w:p>
        </w:tc>
        <w:tc>
          <w:tcPr>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jc w:val="center"/>
              <w:spacing w:line="360" w:lineRule="auto"/>
              <w:rPr>
                <w:rFonts w:ascii="宋体" w:hAnsi="宋体" w:eastAsia="宋体" w:cs="宋体"/>
                <w:color w:val="auto"/>
                <w:spacing w:val="20"/>
                <w:sz w:val="24"/>
                <w:szCs w:val="24"/>
                <w:highlight w:val="none"/>
              </w:rPr>
            </w:pPr>
            <w:r>
              <w:rPr>
                <w:rFonts w:ascii="宋体" w:hAnsi="宋体" w:eastAsia="宋体" w:cs="宋体"/>
                <w:color w:val="auto"/>
                <w:spacing w:val="20"/>
                <w:sz w:val="24"/>
                <w:szCs w:val="24"/>
                <w:highlight w:val="none"/>
              </w:rPr>
            </w:r>
            <w:r/>
          </w:p>
        </w:tc>
        <w:tc>
          <w:tcPr>
            <w:tcBorders>
              <w:top w:val="single" w:color="auto" w:sz="4" w:space="0"/>
              <w:left w:val="single" w:color="auto" w:sz="4" w:space="0"/>
              <w:bottom w:val="single" w:color="auto" w:sz="4" w:space="0"/>
              <w:right w:val="single" w:color="auto" w:sz="4" w:space="0"/>
            </w:tcBorders>
            <w:tcW w:w="1696" w:type="dxa"/>
            <w:textDirection w:val="lrTb"/>
            <w:noWrap w:val="false"/>
          </w:tcPr>
          <w:p>
            <w:pPr>
              <w:jc w:val="center"/>
              <w:spacing w:line="360" w:lineRule="auto"/>
              <w:rPr>
                <w:rFonts w:ascii="宋体" w:hAnsi="宋体" w:eastAsia="宋体" w:cs="宋体"/>
                <w:color w:val="auto"/>
                <w:spacing w:val="20"/>
                <w:sz w:val="24"/>
                <w:szCs w:val="24"/>
                <w:highlight w:val="none"/>
              </w:rPr>
            </w:pPr>
            <w:r>
              <w:rPr>
                <w:rFonts w:ascii="宋体" w:hAnsi="宋体" w:eastAsia="宋体" w:cs="宋体"/>
                <w:color w:val="auto"/>
                <w:spacing w:val="20"/>
                <w:sz w:val="24"/>
                <w:szCs w:val="24"/>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spacing w:line="360" w:lineRule="auto"/>
              <w:rPr>
                <w:rFonts w:ascii="宋体" w:hAnsi="宋体" w:eastAsia="宋体" w:cs="宋体"/>
                <w:color w:val="auto"/>
                <w:spacing w:val="20"/>
                <w:sz w:val="24"/>
                <w:szCs w:val="24"/>
                <w:highlight w:val="none"/>
              </w:rPr>
            </w:pPr>
            <w:r>
              <w:rPr>
                <w:rFonts w:ascii="宋体" w:hAnsi="宋体" w:eastAsia="宋体" w:cs="宋体"/>
                <w:color w:val="auto"/>
                <w:spacing w:val="20"/>
                <w:sz w:val="24"/>
                <w:szCs w:val="24"/>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spacing w:line="360" w:lineRule="auto"/>
              <w:rPr>
                <w:rFonts w:ascii="宋体" w:hAnsi="宋体" w:eastAsia="宋体" w:cs="宋体"/>
                <w:color w:val="auto"/>
                <w:spacing w:val="20"/>
                <w:sz w:val="24"/>
                <w:szCs w:val="24"/>
                <w:highlight w:val="none"/>
              </w:rPr>
            </w:pPr>
            <w:r>
              <w:rPr>
                <w:rFonts w:ascii="宋体" w:hAnsi="宋体" w:eastAsia="宋体" w:cs="宋体"/>
                <w:color w:val="auto"/>
                <w:spacing w:val="20"/>
                <w:sz w:val="24"/>
                <w:szCs w:val="24"/>
                <w:highlight w:val="none"/>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line="360" w:lineRule="auto"/>
              <w:rPr>
                <w:rFonts w:ascii="宋体" w:hAnsi="宋体" w:eastAsia="宋体" w:cs="宋体"/>
                <w:color w:val="auto"/>
                <w:spacing w:val="20"/>
                <w:sz w:val="24"/>
                <w:szCs w:val="24"/>
                <w:highlight w:val="none"/>
              </w:rPr>
            </w:pPr>
            <w:r>
              <w:rPr>
                <w:rFonts w:ascii="宋体" w:hAnsi="宋体" w:eastAsia="宋体" w:cs="宋体"/>
                <w:color w:val="auto"/>
                <w:spacing w:val="20"/>
                <w:sz w:val="24"/>
                <w:szCs w:val="24"/>
                <w:highlight w:val="none"/>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360" w:lineRule="auto"/>
              <w:rPr>
                <w:rFonts w:ascii="宋体" w:hAnsi="宋体" w:eastAsia="宋体" w:cs="宋体"/>
                <w:color w:val="auto"/>
                <w:spacing w:val="20"/>
                <w:sz w:val="24"/>
                <w:szCs w:val="24"/>
                <w:highlight w:val="none"/>
              </w:rPr>
            </w:pPr>
            <w:r>
              <w:rPr>
                <w:rFonts w:ascii="宋体" w:hAnsi="宋体" w:eastAsia="宋体" w:cs="宋体"/>
                <w:color w:val="auto"/>
                <w:spacing w:val="20"/>
                <w:sz w:val="24"/>
                <w:szCs w:val="24"/>
                <w:highlight w:val="none"/>
              </w:rPr>
            </w:r>
            <w:r/>
          </w:p>
        </w:tc>
      </w:tr>
      <w:tr>
        <w:trPr>
          <w:jc w:val="center"/>
          <w:trHeight w:val="222"/>
        </w:trPr>
        <w:tc>
          <w:tcPr>
            <w:tcBorders>
              <w:top w:val="single" w:color="auto" w:sz="4" w:space="0"/>
              <w:left w:val="single" w:color="auto" w:sz="4" w:space="0"/>
              <w:bottom w:val="single" w:color="auto" w:sz="4" w:space="0"/>
              <w:right w:val="single" w:color="auto" w:sz="4" w:space="0"/>
            </w:tcBorders>
            <w:tcW w:w="672" w:type="dxa"/>
            <w:vAlign w:val="center"/>
            <w:textDirection w:val="lrTb"/>
            <w:noWrap w:val="false"/>
          </w:tcPr>
          <w:p>
            <w:pPr>
              <w:jc w:val="center"/>
              <w:spacing w:line="360" w:lineRule="auto"/>
              <w:rPr>
                <w:rFonts w:ascii="宋体" w:hAnsi="宋体" w:eastAsia="宋体" w:cs="宋体"/>
                <w:color w:val="auto"/>
                <w:spacing w:val="20"/>
                <w:sz w:val="24"/>
                <w:szCs w:val="24"/>
                <w:highlight w:val="none"/>
              </w:rPr>
            </w:pPr>
            <w:r>
              <w:rPr>
                <w:rFonts w:ascii="宋体" w:hAnsi="宋体" w:eastAsia="宋体" w:cs="宋体"/>
                <w:color w:val="auto"/>
                <w:spacing w:val="20"/>
                <w:sz w:val="24"/>
                <w:szCs w:val="24"/>
                <w:highlight w:val="none"/>
              </w:rPr>
            </w:r>
            <w:r/>
          </w:p>
        </w:tc>
        <w:tc>
          <w:tcPr>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jc w:val="center"/>
              <w:spacing w:line="360" w:lineRule="auto"/>
              <w:rPr>
                <w:rFonts w:ascii="宋体" w:hAnsi="宋体" w:eastAsia="宋体" w:cs="宋体"/>
                <w:color w:val="auto"/>
                <w:spacing w:val="20"/>
                <w:sz w:val="24"/>
                <w:szCs w:val="24"/>
                <w:highlight w:val="none"/>
              </w:rPr>
            </w:pPr>
            <w:r>
              <w:rPr>
                <w:rFonts w:ascii="宋体" w:hAnsi="宋体" w:eastAsia="宋体" w:cs="宋体"/>
                <w:color w:val="auto"/>
                <w:spacing w:val="20"/>
                <w:sz w:val="24"/>
                <w:szCs w:val="24"/>
                <w:highlight w:val="none"/>
              </w:rPr>
            </w:r>
            <w:r/>
          </w:p>
        </w:tc>
        <w:tc>
          <w:tcPr>
            <w:tcBorders>
              <w:top w:val="single" w:color="auto" w:sz="4" w:space="0"/>
              <w:left w:val="single" w:color="auto" w:sz="4" w:space="0"/>
              <w:bottom w:val="single" w:color="auto" w:sz="4" w:space="0"/>
              <w:right w:val="single" w:color="auto" w:sz="4" w:space="0"/>
            </w:tcBorders>
            <w:tcW w:w="1696" w:type="dxa"/>
            <w:textDirection w:val="lrTb"/>
            <w:noWrap w:val="false"/>
          </w:tcPr>
          <w:p>
            <w:pPr>
              <w:jc w:val="center"/>
              <w:spacing w:line="360" w:lineRule="auto"/>
              <w:rPr>
                <w:rFonts w:ascii="宋体" w:hAnsi="宋体" w:eastAsia="宋体" w:cs="宋体"/>
                <w:color w:val="auto"/>
                <w:spacing w:val="20"/>
                <w:sz w:val="24"/>
                <w:szCs w:val="24"/>
                <w:highlight w:val="none"/>
              </w:rPr>
            </w:pPr>
            <w:r>
              <w:rPr>
                <w:rFonts w:ascii="宋体" w:hAnsi="宋体" w:eastAsia="宋体" w:cs="宋体"/>
                <w:color w:val="auto"/>
                <w:spacing w:val="20"/>
                <w:sz w:val="24"/>
                <w:szCs w:val="24"/>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spacing w:line="360" w:lineRule="auto"/>
              <w:rPr>
                <w:rFonts w:ascii="宋体" w:hAnsi="宋体" w:eastAsia="宋体" w:cs="宋体"/>
                <w:color w:val="auto"/>
                <w:spacing w:val="20"/>
                <w:sz w:val="24"/>
                <w:szCs w:val="24"/>
                <w:highlight w:val="none"/>
              </w:rPr>
            </w:pPr>
            <w:r>
              <w:rPr>
                <w:rFonts w:ascii="宋体" w:hAnsi="宋体" w:eastAsia="宋体" w:cs="宋体"/>
                <w:color w:val="auto"/>
                <w:spacing w:val="20"/>
                <w:sz w:val="24"/>
                <w:szCs w:val="24"/>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spacing w:line="360" w:lineRule="auto"/>
              <w:rPr>
                <w:rFonts w:ascii="宋体" w:hAnsi="宋体" w:eastAsia="宋体" w:cs="宋体"/>
                <w:color w:val="auto"/>
                <w:spacing w:val="20"/>
                <w:sz w:val="24"/>
                <w:szCs w:val="24"/>
                <w:highlight w:val="none"/>
              </w:rPr>
            </w:pPr>
            <w:r>
              <w:rPr>
                <w:rFonts w:ascii="宋体" w:hAnsi="宋体" w:eastAsia="宋体" w:cs="宋体"/>
                <w:color w:val="auto"/>
                <w:spacing w:val="20"/>
                <w:sz w:val="24"/>
                <w:szCs w:val="24"/>
                <w:highlight w:val="none"/>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line="360" w:lineRule="auto"/>
              <w:rPr>
                <w:rFonts w:ascii="宋体" w:hAnsi="宋体" w:eastAsia="宋体" w:cs="宋体"/>
                <w:color w:val="auto"/>
                <w:spacing w:val="20"/>
                <w:sz w:val="24"/>
                <w:szCs w:val="24"/>
                <w:highlight w:val="none"/>
              </w:rPr>
            </w:pPr>
            <w:r>
              <w:rPr>
                <w:rFonts w:ascii="宋体" w:hAnsi="宋体" w:eastAsia="宋体" w:cs="宋体"/>
                <w:color w:val="auto"/>
                <w:spacing w:val="20"/>
                <w:sz w:val="24"/>
                <w:szCs w:val="24"/>
                <w:highlight w:val="none"/>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360" w:lineRule="auto"/>
              <w:rPr>
                <w:rFonts w:ascii="宋体" w:hAnsi="宋体" w:eastAsia="宋体" w:cs="宋体"/>
                <w:color w:val="auto"/>
                <w:spacing w:val="20"/>
                <w:sz w:val="24"/>
                <w:szCs w:val="24"/>
                <w:highlight w:val="none"/>
              </w:rPr>
            </w:pPr>
            <w:r>
              <w:rPr>
                <w:rFonts w:ascii="宋体" w:hAnsi="宋体" w:eastAsia="宋体" w:cs="宋体"/>
                <w:color w:val="auto"/>
                <w:spacing w:val="20"/>
                <w:sz w:val="24"/>
                <w:szCs w:val="24"/>
                <w:highlight w:val="none"/>
              </w:rPr>
            </w:r>
            <w:r/>
          </w:p>
        </w:tc>
      </w:tr>
      <w:tr>
        <w:trPr>
          <w:jc w:val="center"/>
          <w:trHeight w:val="222"/>
        </w:trPr>
        <w:tc>
          <w:tcPr>
            <w:tcBorders>
              <w:top w:val="single" w:color="auto" w:sz="4" w:space="0"/>
              <w:left w:val="single" w:color="auto" w:sz="4" w:space="0"/>
              <w:bottom w:val="single" w:color="auto" w:sz="4" w:space="0"/>
              <w:right w:val="single" w:color="auto" w:sz="4" w:space="0"/>
            </w:tcBorders>
            <w:tcW w:w="672" w:type="dxa"/>
            <w:vAlign w:val="center"/>
            <w:textDirection w:val="lrTb"/>
            <w:noWrap w:val="false"/>
          </w:tcPr>
          <w:p>
            <w:pPr>
              <w:jc w:val="center"/>
              <w:spacing w:line="360" w:lineRule="auto"/>
              <w:rPr>
                <w:rFonts w:ascii="宋体" w:hAnsi="宋体" w:eastAsia="宋体" w:cs="宋体"/>
                <w:color w:val="auto"/>
                <w:spacing w:val="20"/>
                <w:sz w:val="24"/>
                <w:szCs w:val="24"/>
                <w:highlight w:val="none"/>
              </w:rPr>
            </w:pPr>
            <w:r>
              <w:rPr>
                <w:rFonts w:ascii="宋体" w:hAnsi="宋体" w:eastAsia="宋体" w:cs="宋体"/>
                <w:color w:val="auto"/>
                <w:spacing w:val="20"/>
                <w:sz w:val="24"/>
                <w:szCs w:val="24"/>
                <w:highlight w:val="none"/>
              </w:rPr>
            </w:r>
            <w:r/>
          </w:p>
        </w:tc>
        <w:tc>
          <w:tcPr>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jc w:val="center"/>
              <w:spacing w:line="360" w:lineRule="auto"/>
              <w:rPr>
                <w:rFonts w:ascii="宋体" w:hAnsi="宋体" w:eastAsia="宋体" w:cs="宋体"/>
                <w:color w:val="auto"/>
                <w:spacing w:val="20"/>
                <w:sz w:val="24"/>
                <w:szCs w:val="24"/>
                <w:highlight w:val="none"/>
              </w:rPr>
            </w:pPr>
            <w:r>
              <w:rPr>
                <w:rFonts w:ascii="宋体" w:hAnsi="宋体" w:eastAsia="宋体" w:cs="宋体"/>
                <w:color w:val="auto"/>
                <w:spacing w:val="20"/>
                <w:sz w:val="24"/>
                <w:szCs w:val="24"/>
                <w:highlight w:val="none"/>
              </w:rPr>
            </w:r>
            <w:r/>
          </w:p>
        </w:tc>
        <w:tc>
          <w:tcPr>
            <w:tcBorders>
              <w:top w:val="single" w:color="auto" w:sz="4" w:space="0"/>
              <w:left w:val="single" w:color="auto" w:sz="4" w:space="0"/>
              <w:bottom w:val="single" w:color="auto" w:sz="4" w:space="0"/>
              <w:right w:val="single" w:color="auto" w:sz="4" w:space="0"/>
            </w:tcBorders>
            <w:tcW w:w="1696" w:type="dxa"/>
            <w:textDirection w:val="lrTb"/>
            <w:noWrap w:val="false"/>
          </w:tcPr>
          <w:p>
            <w:pPr>
              <w:jc w:val="center"/>
              <w:spacing w:line="360" w:lineRule="auto"/>
              <w:rPr>
                <w:rFonts w:ascii="宋体" w:hAnsi="宋体" w:eastAsia="宋体" w:cs="宋体"/>
                <w:color w:val="auto"/>
                <w:spacing w:val="20"/>
                <w:sz w:val="24"/>
                <w:szCs w:val="24"/>
                <w:highlight w:val="none"/>
              </w:rPr>
            </w:pPr>
            <w:r>
              <w:rPr>
                <w:rFonts w:ascii="宋体" w:hAnsi="宋体" w:eastAsia="宋体" w:cs="宋体"/>
                <w:color w:val="auto"/>
                <w:spacing w:val="20"/>
                <w:sz w:val="24"/>
                <w:szCs w:val="24"/>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spacing w:line="360" w:lineRule="auto"/>
              <w:rPr>
                <w:rFonts w:ascii="宋体" w:hAnsi="宋体" w:eastAsia="宋体" w:cs="宋体"/>
                <w:color w:val="auto"/>
                <w:spacing w:val="20"/>
                <w:sz w:val="24"/>
                <w:szCs w:val="24"/>
                <w:highlight w:val="none"/>
              </w:rPr>
            </w:pPr>
            <w:r>
              <w:rPr>
                <w:rFonts w:ascii="宋体" w:hAnsi="宋体" w:eastAsia="宋体" w:cs="宋体"/>
                <w:color w:val="auto"/>
                <w:spacing w:val="20"/>
                <w:sz w:val="24"/>
                <w:szCs w:val="24"/>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spacing w:line="360" w:lineRule="auto"/>
              <w:rPr>
                <w:rFonts w:ascii="宋体" w:hAnsi="宋体" w:eastAsia="宋体" w:cs="宋体"/>
                <w:color w:val="auto"/>
                <w:spacing w:val="20"/>
                <w:sz w:val="24"/>
                <w:szCs w:val="24"/>
                <w:highlight w:val="none"/>
              </w:rPr>
            </w:pPr>
            <w:r>
              <w:rPr>
                <w:rFonts w:ascii="宋体" w:hAnsi="宋体" w:eastAsia="宋体" w:cs="宋体"/>
                <w:color w:val="auto"/>
                <w:spacing w:val="20"/>
                <w:sz w:val="24"/>
                <w:szCs w:val="24"/>
                <w:highlight w:val="none"/>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line="360" w:lineRule="auto"/>
              <w:rPr>
                <w:rFonts w:ascii="宋体" w:hAnsi="宋体" w:eastAsia="宋体" w:cs="宋体"/>
                <w:color w:val="auto"/>
                <w:spacing w:val="20"/>
                <w:sz w:val="24"/>
                <w:szCs w:val="24"/>
                <w:highlight w:val="none"/>
              </w:rPr>
            </w:pPr>
            <w:r>
              <w:rPr>
                <w:rFonts w:ascii="宋体" w:hAnsi="宋体" w:eastAsia="宋体" w:cs="宋体"/>
                <w:color w:val="auto"/>
                <w:spacing w:val="20"/>
                <w:sz w:val="24"/>
                <w:szCs w:val="24"/>
                <w:highlight w:val="none"/>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360" w:lineRule="auto"/>
              <w:rPr>
                <w:rFonts w:ascii="宋体" w:hAnsi="宋体" w:eastAsia="宋体" w:cs="宋体"/>
                <w:color w:val="auto"/>
                <w:spacing w:val="20"/>
                <w:sz w:val="24"/>
                <w:szCs w:val="24"/>
                <w:highlight w:val="none"/>
              </w:rPr>
            </w:pPr>
            <w:r>
              <w:rPr>
                <w:rFonts w:ascii="宋体" w:hAnsi="宋体" w:eastAsia="宋体" w:cs="宋体"/>
                <w:color w:val="auto"/>
                <w:spacing w:val="20"/>
                <w:sz w:val="24"/>
                <w:szCs w:val="24"/>
                <w:highlight w:val="none"/>
              </w:rPr>
            </w:r>
            <w:r/>
          </w:p>
        </w:tc>
      </w:tr>
      <w:tr>
        <w:trPr>
          <w:jc w:val="center"/>
          <w:trHeight w:val="222"/>
        </w:trPr>
        <w:tc>
          <w:tcPr>
            <w:tcBorders>
              <w:top w:val="single" w:color="auto" w:sz="4" w:space="0"/>
              <w:left w:val="single" w:color="auto" w:sz="4" w:space="0"/>
              <w:bottom w:val="single" w:color="auto" w:sz="4" w:space="0"/>
              <w:right w:val="single" w:color="auto" w:sz="4" w:space="0"/>
            </w:tcBorders>
            <w:tcW w:w="672" w:type="dxa"/>
            <w:vAlign w:val="center"/>
            <w:textDirection w:val="lrTb"/>
            <w:noWrap w:val="false"/>
          </w:tcPr>
          <w:p>
            <w:pPr>
              <w:jc w:val="center"/>
              <w:spacing w:line="360" w:lineRule="auto"/>
              <w:rPr>
                <w:rFonts w:ascii="宋体" w:hAnsi="宋体" w:eastAsia="宋体" w:cs="宋体"/>
                <w:color w:val="auto"/>
                <w:spacing w:val="20"/>
                <w:sz w:val="24"/>
                <w:szCs w:val="24"/>
                <w:highlight w:val="none"/>
              </w:rPr>
            </w:pPr>
            <w:r>
              <w:rPr>
                <w:rFonts w:ascii="宋体" w:hAnsi="宋体" w:eastAsia="宋体" w:cs="宋体"/>
                <w:color w:val="auto"/>
                <w:spacing w:val="20"/>
                <w:sz w:val="24"/>
                <w:szCs w:val="24"/>
                <w:highlight w:val="none"/>
              </w:rPr>
            </w:r>
            <w:r/>
          </w:p>
        </w:tc>
        <w:tc>
          <w:tcPr>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jc w:val="center"/>
              <w:spacing w:line="360" w:lineRule="auto"/>
              <w:rPr>
                <w:rFonts w:ascii="宋体" w:hAnsi="宋体" w:eastAsia="宋体" w:cs="宋体"/>
                <w:color w:val="auto"/>
                <w:spacing w:val="20"/>
                <w:sz w:val="24"/>
                <w:szCs w:val="24"/>
                <w:highlight w:val="none"/>
              </w:rPr>
            </w:pPr>
            <w:r>
              <w:rPr>
                <w:rFonts w:ascii="宋体" w:hAnsi="宋体" w:eastAsia="宋体" w:cs="宋体"/>
                <w:color w:val="auto"/>
                <w:spacing w:val="20"/>
                <w:sz w:val="24"/>
                <w:szCs w:val="24"/>
                <w:highlight w:val="none"/>
              </w:rPr>
            </w:r>
            <w:r/>
          </w:p>
        </w:tc>
        <w:tc>
          <w:tcPr>
            <w:tcBorders>
              <w:top w:val="single" w:color="auto" w:sz="4" w:space="0"/>
              <w:left w:val="single" w:color="auto" w:sz="4" w:space="0"/>
              <w:bottom w:val="single" w:color="auto" w:sz="4" w:space="0"/>
              <w:right w:val="single" w:color="auto" w:sz="4" w:space="0"/>
            </w:tcBorders>
            <w:tcW w:w="1696" w:type="dxa"/>
            <w:textDirection w:val="lrTb"/>
            <w:noWrap w:val="false"/>
          </w:tcPr>
          <w:p>
            <w:pPr>
              <w:jc w:val="center"/>
              <w:spacing w:line="360" w:lineRule="auto"/>
              <w:rPr>
                <w:rFonts w:ascii="宋体" w:hAnsi="宋体" w:eastAsia="宋体" w:cs="宋体"/>
                <w:color w:val="auto"/>
                <w:spacing w:val="20"/>
                <w:sz w:val="24"/>
                <w:szCs w:val="24"/>
                <w:highlight w:val="none"/>
              </w:rPr>
            </w:pPr>
            <w:r>
              <w:rPr>
                <w:rFonts w:ascii="宋体" w:hAnsi="宋体" w:eastAsia="宋体" w:cs="宋体"/>
                <w:color w:val="auto"/>
                <w:spacing w:val="20"/>
                <w:sz w:val="24"/>
                <w:szCs w:val="24"/>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spacing w:line="360" w:lineRule="auto"/>
              <w:rPr>
                <w:rFonts w:ascii="宋体" w:hAnsi="宋体" w:eastAsia="宋体" w:cs="宋体"/>
                <w:color w:val="auto"/>
                <w:spacing w:val="20"/>
                <w:sz w:val="24"/>
                <w:szCs w:val="24"/>
                <w:highlight w:val="none"/>
              </w:rPr>
            </w:pPr>
            <w:r>
              <w:rPr>
                <w:rFonts w:ascii="宋体" w:hAnsi="宋体" w:eastAsia="宋体" w:cs="宋体"/>
                <w:color w:val="auto"/>
                <w:spacing w:val="20"/>
                <w:sz w:val="24"/>
                <w:szCs w:val="24"/>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spacing w:line="360" w:lineRule="auto"/>
              <w:rPr>
                <w:rFonts w:ascii="宋体" w:hAnsi="宋体" w:eastAsia="宋体" w:cs="宋体"/>
                <w:color w:val="auto"/>
                <w:spacing w:val="20"/>
                <w:sz w:val="24"/>
                <w:szCs w:val="24"/>
                <w:highlight w:val="none"/>
              </w:rPr>
            </w:pPr>
            <w:r>
              <w:rPr>
                <w:rFonts w:ascii="宋体" w:hAnsi="宋体" w:eastAsia="宋体" w:cs="宋体"/>
                <w:color w:val="auto"/>
                <w:spacing w:val="20"/>
                <w:sz w:val="24"/>
                <w:szCs w:val="24"/>
                <w:highlight w:val="none"/>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line="360" w:lineRule="auto"/>
              <w:rPr>
                <w:rFonts w:ascii="宋体" w:hAnsi="宋体" w:eastAsia="宋体" w:cs="宋体"/>
                <w:color w:val="auto"/>
                <w:spacing w:val="20"/>
                <w:sz w:val="24"/>
                <w:szCs w:val="24"/>
                <w:highlight w:val="none"/>
              </w:rPr>
            </w:pPr>
            <w:r>
              <w:rPr>
                <w:rFonts w:ascii="宋体" w:hAnsi="宋体" w:eastAsia="宋体" w:cs="宋体"/>
                <w:color w:val="auto"/>
                <w:spacing w:val="20"/>
                <w:sz w:val="24"/>
                <w:szCs w:val="24"/>
                <w:highlight w:val="none"/>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360" w:lineRule="auto"/>
              <w:rPr>
                <w:rFonts w:ascii="宋体" w:hAnsi="宋体" w:eastAsia="宋体" w:cs="宋体"/>
                <w:color w:val="auto"/>
                <w:spacing w:val="20"/>
                <w:sz w:val="24"/>
                <w:szCs w:val="24"/>
                <w:highlight w:val="none"/>
              </w:rPr>
            </w:pPr>
            <w:r>
              <w:rPr>
                <w:rFonts w:ascii="宋体" w:hAnsi="宋体" w:eastAsia="宋体" w:cs="宋体"/>
                <w:color w:val="auto"/>
                <w:spacing w:val="20"/>
                <w:sz w:val="24"/>
                <w:szCs w:val="24"/>
                <w:highlight w:val="none"/>
              </w:rPr>
            </w:r>
            <w:r/>
          </w:p>
        </w:tc>
      </w:tr>
      <w:tr>
        <w:trPr>
          <w:jc w:val="center"/>
          <w:trHeight w:val="222"/>
        </w:trPr>
        <w:tc>
          <w:tcPr>
            <w:tcBorders>
              <w:top w:val="single" w:color="auto" w:sz="4" w:space="0"/>
              <w:left w:val="single" w:color="auto" w:sz="4" w:space="0"/>
              <w:bottom w:val="single" w:color="auto" w:sz="4" w:space="0"/>
              <w:right w:val="single" w:color="auto" w:sz="4" w:space="0"/>
            </w:tcBorders>
            <w:tcW w:w="672" w:type="dxa"/>
            <w:vAlign w:val="center"/>
            <w:textDirection w:val="lrTb"/>
            <w:noWrap w:val="false"/>
          </w:tcPr>
          <w:p>
            <w:pPr>
              <w:jc w:val="center"/>
              <w:spacing w:line="360" w:lineRule="auto"/>
              <w:rPr>
                <w:rFonts w:ascii="宋体" w:hAnsi="宋体" w:eastAsia="宋体" w:cs="宋体"/>
                <w:color w:val="auto"/>
                <w:spacing w:val="20"/>
                <w:sz w:val="24"/>
                <w:szCs w:val="24"/>
                <w:highlight w:val="none"/>
              </w:rPr>
            </w:pPr>
            <w:r>
              <w:rPr>
                <w:rFonts w:ascii="宋体" w:hAnsi="宋体" w:eastAsia="宋体" w:cs="宋体"/>
                <w:color w:val="auto"/>
                <w:spacing w:val="20"/>
                <w:sz w:val="24"/>
                <w:szCs w:val="24"/>
                <w:highlight w:val="none"/>
              </w:rPr>
            </w:r>
            <w:r/>
          </w:p>
        </w:tc>
        <w:tc>
          <w:tcPr>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jc w:val="center"/>
              <w:spacing w:line="360" w:lineRule="auto"/>
              <w:rPr>
                <w:rFonts w:ascii="宋体" w:hAnsi="宋体" w:eastAsia="宋体" w:cs="宋体"/>
                <w:color w:val="auto"/>
                <w:spacing w:val="20"/>
                <w:sz w:val="24"/>
                <w:szCs w:val="24"/>
                <w:highlight w:val="none"/>
              </w:rPr>
            </w:pPr>
            <w:r>
              <w:rPr>
                <w:rFonts w:ascii="宋体" w:hAnsi="宋体" w:eastAsia="宋体" w:cs="宋体"/>
                <w:color w:val="auto"/>
                <w:spacing w:val="20"/>
                <w:sz w:val="24"/>
                <w:szCs w:val="24"/>
                <w:highlight w:val="none"/>
              </w:rPr>
            </w:r>
            <w:r/>
          </w:p>
        </w:tc>
        <w:tc>
          <w:tcPr>
            <w:tcBorders>
              <w:top w:val="single" w:color="auto" w:sz="4" w:space="0"/>
              <w:left w:val="single" w:color="auto" w:sz="4" w:space="0"/>
              <w:bottom w:val="single" w:color="auto" w:sz="4" w:space="0"/>
              <w:right w:val="single" w:color="auto" w:sz="4" w:space="0"/>
            </w:tcBorders>
            <w:tcW w:w="1696" w:type="dxa"/>
            <w:textDirection w:val="lrTb"/>
            <w:noWrap w:val="false"/>
          </w:tcPr>
          <w:p>
            <w:pPr>
              <w:jc w:val="center"/>
              <w:spacing w:line="360" w:lineRule="auto"/>
              <w:rPr>
                <w:rFonts w:ascii="宋体" w:hAnsi="宋体" w:eastAsia="宋体" w:cs="宋体"/>
                <w:color w:val="auto"/>
                <w:spacing w:val="20"/>
                <w:sz w:val="24"/>
                <w:szCs w:val="24"/>
                <w:highlight w:val="none"/>
              </w:rPr>
            </w:pPr>
            <w:r>
              <w:rPr>
                <w:rFonts w:ascii="宋体" w:hAnsi="宋体" w:eastAsia="宋体" w:cs="宋体"/>
                <w:color w:val="auto"/>
                <w:spacing w:val="20"/>
                <w:sz w:val="24"/>
                <w:szCs w:val="24"/>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spacing w:line="360" w:lineRule="auto"/>
              <w:rPr>
                <w:rFonts w:ascii="宋体" w:hAnsi="宋体" w:eastAsia="宋体" w:cs="宋体"/>
                <w:color w:val="auto"/>
                <w:spacing w:val="20"/>
                <w:sz w:val="24"/>
                <w:szCs w:val="24"/>
                <w:highlight w:val="none"/>
              </w:rPr>
            </w:pPr>
            <w:r>
              <w:rPr>
                <w:rFonts w:ascii="宋体" w:hAnsi="宋体" w:eastAsia="宋体" w:cs="宋体"/>
                <w:color w:val="auto"/>
                <w:spacing w:val="20"/>
                <w:sz w:val="24"/>
                <w:szCs w:val="24"/>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spacing w:line="360" w:lineRule="auto"/>
              <w:rPr>
                <w:rFonts w:ascii="宋体" w:hAnsi="宋体" w:eastAsia="宋体" w:cs="宋体"/>
                <w:color w:val="auto"/>
                <w:spacing w:val="20"/>
                <w:sz w:val="24"/>
                <w:szCs w:val="24"/>
                <w:highlight w:val="none"/>
              </w:rPr>
            </w:pPr>
            <w:r>
              <w:rPr>
                <w:rFonts w:ascii="宋体" w:hAnsi="宋体" w:eastAsia="宋体" w:cs="宋体"/>
                <w:color w:val="auto"/>
                <w:spacing w:val="20"/>
                <w:sz w:val="24"/>
                <w:szCs w:val="24"/>
                <w:highlight w:val="none"/>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line="360" w:lineRule="auto"/>
              <w:rPr>
                <w:rFonts w:ascii="宋体" w:hAnsi="宋体" w:eastAsia="宋体" w:cs="宋体"/>
                <w:color w:val="auto"/>
                <w:spacing w:val="20"/>
                <w:sz w:val="24"/>
                <w:szCs w:val="24"/>
                <w:highlight w:val="none"/>
              </w:rPr>
            </w:pPr>
            <w:r>
              <w:rPr>
                <w:rFonts w:ascii="宋体" w:hAnsi="宋体" w:eastAsia="宋体" w:cs="宋体"/>
                <w:color w:val="auto"/>
                <w:spacing w:val="20"/>
                <w:sz w:val="24"/>
                <w:szCs w:val="24"/>
                <w:highlight w:val="none"/>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360" w:lineRule="auto"/>
              <w:rPr>
                <w:rFonts w:ascii="宋体" w:hAnsi="宋体" w:eastAsia="宋体" w:cs="宋体"/>
                <w:color w:val="auto"/>
                <w:spacing w:val="20"/>
                <w:sz w:val="24"/>
                <w:szCs w:val="24"/>
                <w:highlight w:val="none"/>
              </w:rPr>
            </w:pPr>
            <w:r>
              <w:rPr>
                <w:rFonts w:ascii="宋体" w:hAnsi="宋体" w:eastAsia="宋体" w:cs="宋体"/>
                <w:color w:val="auto"/>
                <w:spacing w:val="20"/>
                <w:sz w:val="24"/>
                <w:szCs w:val="24"/>
                <w:highlight w:val="none"/>
              </w:rPr>
            </w:r>
            <w:r/>
          </w:p>
        </w:tc>
      </w:tr>
    </w:tbl>
    <w:p>
      <w:pPr>
        <w:ind w:firstLine="480"/>
        <w:spacing w:line="360" w:lineRule="auto"/>
        <w:tabs>
          <w:tab w:val="left" w:pos="142" w:leader="none"/>
          <w:tab w:val="left" w:pos="600" w:leader="none"/>
        </w:tabs>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p>
      <w:pPr>
        <w:ind w:firstLine="480"/>
        <w:spacing w:line="360" w:lineRule="auto"/>
        <w:tabs>
          <w:tab w:val="left" w:pos="142" w:leader="none"/>
          <w:tab w:val="left" w:pos="600" w:leader="none"/>
        </w:tabs>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投标人（单位盖章）：</w:t>
      </w:r>
      <w:r/>
    </w:p>
    <w:p>
      <w:pPr>
        <w:ind w:firstLine="480"/>
        <w:spacing w:line="360" w:lineRule="auto"/>
        <w:tabs>
          <w:tab w:val="left" w:pos="142" w:leader="none"/>
          <w:tab w:val="left" w:pos="600" w:leader="none"/>
        </w:tabs>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法定代表人或代理人（签字或盖章）：</w:t>
      </w:r>
      <w:r/>
    </w:p>
    <w:p>
      <w:pPr>
        <w:ind w:firstLine="480"/>
        <w:spacing w:line="360" w:lineRule="auto"/>
        <w:tabs>
          <w:tab w:val="left" w:pos="142" w:leader="none"/>
          <w:tab w:val="left" w:pos="600" w:leader="none"/>
        </w:tabs>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日期：     年     月     日</w:t>
      </w:r>
      <w:r/>
    </w:p>
    <w:p>
      <w:pPr>
        <w:spacing w:line="400" w:lineRule="exact"/>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ind w:firstLine="422"/>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w:t>
      </w:r>
      <w:r/>
    </w:p>
    <w:p>
      <w:pPr>
        <w:ind w:firstLine="422"/>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1.本表不得出现价格。</w:t>
      </w:r>
      <w:r/>
    </w:p>
    <w:p>
      <w:pPr>
        <w:ind w:firstLine="422"/>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2.供应商应在“投标货物和服务数量、品牌、规格、制造商明细表”中必须列明所有投标产品的品牌、规格/型号、制造商和数量，且数量需满足采购需求，</w:t>
      </w:r>
      <w:r>
        <w:rPr>
          <w:rFonts w:hint="eastAsia" w:ascii="宋体" w:hAnsi="宋体" w:eastAsia="宋体" w:cs="宋体"/>
          <w:color w:val="auto"/>
          <w:sz w:val="24"/>
          <w:szCs w:val="24"/>
          <w:highlight w:val="none"/>
        </w:rPr>
        <w:t xml:space="preserve">否则投标无效。</w:t>
      </w:r>
      <w:r/>
    </w:p>
    <w:p>
      <w:pPr>
        <w:rPr>
          <w:rFonts w:hAnsi="宋体" w:eastAsia="宋体" w:cs="宋体"/>
          <w:color w:val="auto"/>
          <w:sz w:val="24"/>
          <w:szCs w:val="24"/>
          <w:highlight w:val="none"/>
        </w:rPr>
      </w:pPr>
      <w:r>
        <w:rPr>
          <w:rFonts w:hint="eastAsia" w:hAnsi="宋体" w:eastAsia="宋体" w:cs="宋体"/>
          <w:color w:val="auto"/>
          <w:sz w:val="24"/>
          <w:szCs w:val="24"/>
          <w:highlight w:val="none"/>
        </w:rPr>
        <w:br w:type="page" w:clear="all"/>
      </w:r>
      <w:r/>
    </w:p>
    <w:p>
      <w:pPr>
        <w:spacing w:line="360" w:lineRule="auto"/>
        <w:rPr>
          <w:rFonts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rPr>
        <w:t xml:space="preserve">9、</w:t>
      </w:r>
      <w:r>
        <w:rPr>
          <w:rFonts w:hint="eastAsia" w:ascii="宋体" w:hAnsi="宋体" w:eastAsia="宋体" w:cs="宋体"/>
          <w:color w:val="auto"/>
          <w:sz w:val="24"/>
          <w:szCs w:val="24"/>
          <w:highlight w:val="none"/>
        </w:rPr>
        <w:t xml:space="preserve">投标货物的主要零部件</w:t>
      </w:r>
      <w:r>
        <w:rPr>
          <w:rFonts w:hint="eastAsia" w:ascii="宋体" w:hAnsi="宋体" w:eastAsia="宋体" w:cs="宋体"/>
          <w:bCs/>
          <w:color w:val="auto"/>
          <w:sz w:val="24"/>
          <w:szCs w:val="24"/>
          <w:highlight w:val="none"/>
          <w:lang w:val="zh-CN"/>
        </w:rPr>
        <w:t xml:space="preserve">数量、品牌、规格、制造商明细表</w:t>
      </w:r>
      <w:r/>
    </w:p>
    <w:tbl>
      <w:tblPr>
        <w:tblStyle w:val="957"/>
        <w:tblW w:w="9624"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079"/>
        <w:gridCol w:w="1945"/>
        <w:gridCol w:w="2412"/>
        <w:gridCol w:w="1477"/>
        <w:gridCol w:w="2711"/>
      </w:tblGrid>
      <w:tr>
        <w:trPr>
          <w:jc w:val="center"/>
          <w:trHeight w:val="423"/>
        </w:trPr>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jc w:val="center"/>
              <w:rPr>
                <w:rFonts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945" w:type="dxa"/>
            <w:vAlign w:val="center"/>
            <w:textDirection w:val="lrTb"/>
            <w:noWrap w:val="false"/>
          </w:tcPr>
          <w:p>
            <w:pPr>
              <w:jc w:val="center"/>
              <w:rPr>
                <w:rFonts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t xml:space="preserve">零部件名称</w:t>
            </w:r>
            <w:r/>
          </w:p>
        </w:tc>
        <w:tc>
          <w:tcPr>
            <w:tcBorders>
              <w:top w:val="single" w:color="auto" w:sz="4" w:space="0"/>
              <w:left w:val="single" w:color="auto" w:sz="4" w:space="0"/>
              <w:bottom w:val="single" w:color="auto" w:sz="4" w:space="0"/>
              <w:right w:val="single" w:color="auto" w:sz="4" w:space="0"/>
            </w:tcBorders>
            <w:tcW w:w="2412" w:type="dxa"/>
            <w:vAlign w:val="center"/>
            <w:textDirection w:val="lrTb"/>
            <w:noWrap w:val="false"/>
          </w:tcPr>
          <w:p>
            <w:pPr>
              <w:jc w:val="center"/>
              <w:rPr>
                <w:rFonts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t xml:space="preserve">规格/型号</w:t>
            </w:r>
            <w:r/>
          </w:p>
        </w:tc>
        <w:tc>
          <w:tcPr>
            <w:tcBorders>
              <w:top w:val="single" w:color="auto" w:sz="4" w:space="0"/>
              <w:left w:val="single" w:color="auto" w:sz="4" w:space="0"/>
              <w:bottom w:val="single" w:color="auto" w:sz="4" w:space="0"/>
              <w:right w:val="single" w:color="auto" w:sz="4" w:space="0"/>
            </w:tcBorders>
            <w:tcW w:w="1477" w:type="dxa"/>
            <w:vAlign w:val="center"/>
            <w:textDirection w:val="lrTb"/>
            <w:noWrap w:val="false"/>
          </w:tcPr>
          <w:p>
            <w:pPr>
              <w:jc w:val="center"/>
              <w:rPr>
                <w:rFonts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t xml:space="preserve">品牌</w:t>
            </w:r>
            <w:r/>
          </w:p>
        </w:tc>
        <w:tc>
          <w:tcPr>
            <w:tcBorders>
              <w:top w:val="single" w:color="auto" w:sz="4" w:space="0"/>
              <w:left w:val="single" w:color="auto" w:sz="4" w:space="0"/>
              <w:bottom w:val="single" w:color="auto" w:sz="4" w:space="0"/>
              <w:right w:val="single" w:color="auto" w:sz="4" w:space="0"/>
            </w:tcBorders>
            <w:tcW w:w="2711" w:type="dxa"/>
            <w:vAlign w:val="center"/>
            <w:textDirection w:val="lrTb"/>
            <w:noWrap w:val="false"/>
          </w:tcPr>
          <w:p>
            <w:pPr>
              <w:jc w:val="center"/>
              <w:rPr>
                <w:rFonts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t xml:space="preserve">制造商</w:t>
            </w:r>
            <w:r/>
          </w:p>
        </w:tc>
      </w:tr>
      <w:tr>
        <w:trPr>
          <w:jc w:val="center"/>
          <w:trHeight w:val="423"/>
        </w:trPr>
        <w:tc>
          <w:tcPr>
            <w:gridSpan w:val="5"/>
            <w:tcBorders>
              <w:top w:val="single" w:color="auto" w:sz="4" w:space="0"/>
              <w:left w:val="single" w:color="auto" w:sz="4" w:space="0"/>
              <w:bottom w:val="single" w:color="auto" w:sz="4" w:space="0"/>
              <w:right w:val="single" w:color="auto" w:sz="4" w:space="0"/>
            </w:tcBorders>
            <w:tcW w:w="9624" w:type="dxa"/>
            <w:vAlign w:val="center"/>
            <w:textDirection w:val="lrTb"/>
            <w:noWrap w:val="false"/>
          </w:tcPr>
          <w:p>
            <w:pPr>
              <w:jc w:val="left"/>
              <w:rPr>
                <w:rFonts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t xml:space="preserve">高压成套配电柜</w:t>
            </w:r>
            <w:r/>
          </w:p>
        </w:tc>
      </w:tr>
      <w:tr>
        <w:trPr>
          <w:jc w:val="center"/>
          <w:trHeight w:val="496"/>
        </w:trPr>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jc w:val="center"/>
              <w:rPr>
                <w:rFonts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W w:w="1945" w:type="dxa"/>
            <w:vAlign w:val="center"/>
            <w:textDirection w:val="lrTb"/>
            <w:noWrap w:val="false"/>
          </w:tcPr>
          <w:p>
            <w:pPr>
              <w:jc w:val="center"/>
              <w:rPr>
                <w:rFonts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t xml:space="preserve">真空断路器</w:t>
            </w:r>
            <w:r/>
          </w:p>
        </w:tc>
        <w:tc>
          <w:tcPr>
            <w:tcBorders>
              <w:top w:val="single" w:color="auto" w:sz="4" w:space="0"/>
              <w:left w:val="single" w:color="auto" w:sz="4" w:space="0"/>
              <w:bottom w:val="single" w:color="auto" w:sz="4" w:space="0"/>
              <w:right w:val="single" w:color="auto" w:sz="4" w:space="0"/>
            </w:tcBorders>
            <w:tcW w:w="2412" w:type="dxa"/>
            <w:vAlign w:val="center"/>
            <w:textDirection w:val="lrTb"/>
            <w:noWrap w:val="false"/>
          </w:tcPr>
          <w:p>
            <w:pPr>
              <w:jc w:val="center"/>
              <w:rPr>
                <w:rFonts w:ascii="宋体" w:hAnsi="宋体" w:eastAsia="宋体" w:cs="宋体"/>
                <w:color w:val="auto"/>
                <w:spacing w:val="20"/>
                <w:sz w:val="24"/>
                <w:szCs w:val="24"/>
                <w:highlight w:val="none"/>
              </w:rPr>
            </w:pPr>
            <w:r>
              <w:rPr>
                <w:rFonts w:ascii="宋体" w:hAnsi="宋体" w:eastAsia="宋体" w:cs="宋体"/>
                <w:color w:val="auto"/>
                <w:spacing w:val="20"/>
                <w:sz w:val="24"/>
                <w:szCs w:val="24"/>
                <w:highlight w:val="none"/>
              </w:rPr>
            </w:r>
            <w:r/>
          </w:p>
        </w:tc>
        <w:tc>
          <w:tcPr>
            <w:tcBorders>
              <w:top w:val="single" w:color="auto" w:sz="4" w:space="0"/>
              <w:left w:val="single" w:color="auto" w:sz="4" w:space="0"/>
              <w:bottom w:val="single" w:color="auto" w:sz="4" w:space="0"/>
              <w:right w:val="single" w:color="auto" w:sz="4" w:space="0"/>
            </w:tcBorders>
            <w:tcW w:w="1477" w:type="dxa"/>
            <w:vAlign w:val="center"/>
            <w:textDirection w:val="lrTb"/>
            <w:noWrap w:val="false"/>
          </w:tcPr>
          <w:p>
            <w:pPr>
              <w:jc w:val="center"/>
              <w:rPr>
                <w:rFonts w:ascii="宋体" w:hAnsi="宋体" w:eastAsia="宋体" w:cs="宋体"/>
                <w:color w:val="auto"/>
                <w:spacing w:val="20"/>
                <w:sz w:val="24"/>
                <w:szCs w:val="24"/>
                <w:highlight w:val="none"/>
              </w:rPr>
            </w:pPr>
            <w:r>
              <w:rPr>
                <w:rFonts w:ascii="宋体" w:hAnsi="宋体" w:eastAsia="宋体" w:cs="宋体"/>
                <w:color w:val="auto"/>
                <w:spacing w:val="20"/>
                <w:sz w:val="24"/>
                <w:szCs w:val="24"/>
                <w:highlight w:val="none"/>
              </w:rPr>
            </w:r>
            <w:r/>
          </w:p>
        </w:tc>
        <w:tc>
          <w:tcPr>
            <w:tcBorders>
              <w:top w:val="single" w:color="auto" w:sz="4" w:space="0"/>
              <w:left w:val="single" w:color="auto" w:sz="4" w:space="0"/>
              <w:bottom w:val="single" w:color="auto" w:sz="4" w:space="0"/>
              <w:right w:val="single" w:color="auto" w:sz="4" w:space="0"/>
            </w:tcBorders>
            <w:tcW w:w="2711" w:type="dxa"/>
            <w:vAlign w:val="center"/>
            <w:textDirection w:val="lrTb"/>
            <w:noWrap w:val="false"/>
          </w:tcPr>
          <w:p>
            <w:pPr>
              <w:jc w:val="center"/>
              <w:rPr>
                <w:rFonts w:ascii="宋体" w:hAnsi="宋体" w:eastAsia="宋体" w:cs="宋体"/>
                <w:color w:val="auto"/>
                <w:spacing w:val="20"/>
                <w:sz w:val="24"/>
                <w:szCs w:val="24"/>
                <w:highlight w:val="none"/>
              </w:rPr>
            </w:pPr>
            <w:r>
              <w:rPr>
                <w:rFonts w:ascii="宋体" w:hAnsi="宋体" w:eastAsia="宋体" w:cs="宋体"/>
                <w:color w:val="auto"/>
                <w:spacing w:val="20"/>
                <w:sz w:val="24"/>
                <w:szCs w:val="24"/>
                <w:highlight w:val="none"/>
              </w:rPr>
            </w:r>
            <w:r/>
          </w:p>
        </w:tc>
      </w:tr>
      <w:tr>
        <w:trPr>
          <w:jc w:val="center"/>
          <w:trHeight w:val="420"/>
        </w:trPr>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jc w:val="center"/>
              <w:rPr>
                <w:rFonts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t xml:space="preserve">2</w:t>
            </w:r>
            <w:r/>
          </w:p>
        </w:tc>
        <w:tc>
          <w:tcPr>
            <w:tcBorders>
              <w:top w:val="single" w:color="auto" w:sz="4" w:space="0"/>
              <w:left w:val="single" w:color="auto" w:sz="4" w:space="0"/>
              <w:bottom w:val="single" w:color="auto" w:sz="4" w:space="0"/>
              <w:right w:val="single" w:color="auto" w:sz="4" w:space="0"/>
            </w:tcBorders>
            <w:tcW w:w="1945" w:type="dxa"/>
            <w:vAlign w:val="center"/>
            <w:textDirection w:val="lrTb"/>
            <w:noWrap w:val="false"/>
          </w:tcPr>
          <w:p>
            <w:pPr>
              <w:jc w:val="center"/>
              <w:rPr>
                <w:rFonts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t xml:space="preserve">高压熔断器</w:t>
            </w:r>
            <w:r/>
          </w:p>
        </w:tc>
        <w:tc>
          <w:tcPr>
            <w:tcBorders>
              <w:top w:val="single" w:color="auto" w:sz="4" w:space="0"/>
              <w:left w:val="single" w:color="auto" w:sz="4" w:space="0"/>
              <w:bottom w:val="single" w:color="auto" w:sz="4" w:space="0"/>
              <w:right w:val="single" w:color="auto" w:sz="4" w:space="0"/>
            </w:tcBorders>
            <w:tcW w:w="2412" w:type="dxa"/>
            <w:vAlign w:val="center"/>
            <w:textDirection w:val="lrTb"/>
            <w:noWrap w:val="false"/>
          </w:tcPr>
          <w:p>
            <w:pPr>
              <w:jc w:val="center"/>
              <w:rPr>
                <w:rFonts w:ascii="宋体" w:hAnsi="宋体" w:eastAsia="宋体" w:cs="宋体"/>
                <w:color w:val="auto"/>
                <w:spacing w:val="20"/>
                <w:sz w:val="24"/>
                <w:szCs w:val="24"/>
                <w:highlight w:val="none"/>
              </w:rPr>
            </w:pPr>
            <w:r>
              <w:rPr>
                <w:rFonts w:ascii="宋体" w:hAnsi="宋体" w:eastAsia="宋体" w:cs="宋体"/>
                <w:color w:val="auto"/>
                <w:spacing w:val="20"/>
                <w:sz w:val="24"/>
                <w:szCs w:val="24"/>
                <w:highlight w:val="none"/>
              </w:rPr>
            </w:r>
            <w:r/>
          </w:p>
        </w:tc>
        <w:tc>
          <w:tcPr>
            <w:tcBorders>
              <w:top w:val="single" w:color="auto" w:sz="4" w:space="0"/>
              <w:left w:val="single" w:color="auto" w:sz="4" w:space="0"/>
              <w:bottom w:val="single" w:color="auto" w:sz="4" w:space="0"/>
              <w:right w:val="single" w:color="auto" w:sz="4" w:space="0"/>
            </w:tcBorders>
            <w:tcW w:w="1477" w:type="dxa"/>
            <w:vAlign w:val="center"/>
            <w:textDirection w:val="lrTb"/>
            <w:noWrap w:val="false"/>
          </w:tcPr>
          <w:p>
            <w:pPr>
              <w:jc w:val="center"/>
              <w:rPr>
                <w:rFonts w:ascii="宋体" w:hAnsi="宋体" w:eastAsia="宋体" w:cs="宋体"/>
                <w:color w:val="auto"/>
                <w:spacing w:val="20"/>
                <w:sz w:val="24"/>
                <w:szCs w:val="24"/>
                <w:highlight w:val="none"/>
              </w:rPr>
            </w:pPr>
            <w:r>
              <w:rPr>
                <w:rFonts w:ascii="宋体" w:hAnsi="宋体" w:eastAsia="宋体" w:cs="宋体"/>
                <w:color w:val="auto"/>
                <w:spacing w:val="20"/>
                <w:sz w:val="24"/>
                <w:szCs w:val="24"/>
                <w:highlight w:val="none"/>
              </w:rPr>
            </w:r>
            <w:r/>
          </w:p>
        </w:tc>
        <w:tc>
          <w:tcPr>
            <w:tcBorders>
              <w:top w:val="single" w:color="auto" w:sz="4" w:space="0"/>
              <w:left w:val="single" w:color="auto" w:sz="4" w:space="0"/>
              <w:bottom w:val="single" w:color="auto" w:sz="4" w:space="0"/>
              <w:right w:val="single" w:color="auto" w:sz="4" w:space="0"/>
            </w:tcBorders>
            <w:tcW w:w="2711" w:type="dxa"/>
            <w:vAlign w:val="center"/>
            <w:textDirection w:val="lrTb"/>
            <w:noWrap w:val="false"/>
          </w:tcPr>
          <w:p>
            <w:pPr>
              <w:jc w:val="center"/>
              <w:rPr>
                <w:rFonts w:ascii="宋体" w:hAnsi="宋体" w:eastAsia="宋体" w:cs="宋体"/>
                <w:color w:val="auto"/>
                <w:spacing w:val="20"/>
                <w:sz w:val="24"/>
                <w:szCs w:val="24"/>
                <w:highlight w:val="none"/>
              </w:rPr>
            </w:pPr>
            <w:r>
              <w:rPr>
                <w:rFonts w:ascii="宋体" w:hAnsi="宋体" w:eastAsia="宋体" w:cs="宋体"/>
                <w:color w:val="auto"/>
                <w:spacing w:val="20"/>
                <w:sz w:val="24"/>
                <w:szCs w:val="24"/>
                <w:highlight w:val="none"/>
              </w:rPr>
            </w:r>
            <w:r/>
          </w:p>
        </w:tc>
      </w:tr>
      <w:tr>
        <w:trPr>
          <w:jc w:val="center"/>
          <w:trHeight w:val="430"/>
        </w:trPr>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jc w:val="center"/>
              <w:rPr>
                <w:rFonts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t xml:space="preserve">3</w:t>
            </w:r>
            <w:r/>
          </w:p>
        </w:tc>
        <w:tc>
          <w:tcPr>
            <w:tcBorders>
              <w:top w:val="single" w:color="auto" w:sz="4" w:space="0"/>
              <w:left w:val="single" w:color="auto" w:sz="4" w:space="0"/>
              <w:bottom w:val="single" w:color="auto" w:sz="4" w:space="0"/>
              <w:right w:val="single" w:color="auto" w:sz="4" w:space="0"/>
            </w:tcBorders>
            <w:tcW w:w="1945" w:type="dxa"/>
            <w:vAlign w:val="center"/>
            <w:textDirection w:val="lrTb"/>
            <w:noWrap w:val="false"/>
          </w:tcPr>
          <w:p>
            <w:pPr>
              <w:jc w:val="center"/>
              <w:rPr>
                <w:rFonts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t xml:space="preserve">接地开关</w:t>
            </w:r>
            <w:r/>
          </w:p>
        </w:tc>
        <w:tc>
          <w:tcPr>
            <w:tcBorders>
              <w:top w:val="single" w:color="auto" w:sz="4" w:space="0"/>
              <w:left w:val="single" w:color="auto" w:sz="4" w:space="0"/>
              <w:bottom w:val="single" w:color="auto" w:sz="4" w:space="0"/>
              <w:right w:val="single" w:color="auto" w:sz="4" w:space="0"/>
            </w:tcBorders>
            <w:tcW w:w="2412" w:type="dxa"/>
            <w:vAlign w:val="center"/>
            <w:textDirection w:val="lrTb"/>
            <w:noWrap w:val="false"/>
          </w:tcPr>
          <w:p>
            <w:pPr>
              <w:jc w:val="center"/>
              <w:rPr>
                <w:rFonts w:ascii="宋体" w:hAnsi="宋体" w:eastAsia="宋体" w:cs="宋体"/>
                <w:color w:val="auto"/>
                <w:spacing w:val="20"/>
                <w:sz w:val="24"/>
                <w:szCs w:val="24"/>
                <w:highlight w:val="none"/>
              </w:rPr>
            </w:pPr>
            <w:r>
              <w:rPr>
                <w:rFonts w:ascii="宋体" w:hAnsi="宋体" w:eastAsia="宋体" w:cs="宋体"/>
                <w:color w:val="auto"/>
                <w:spacing w:val="20"/>
                <w:sz w:val="24"/>
                <w:szCs w:val="24"/>
                <w:highlight w:val="none"/>
              </w:rPr>
            </w:r>
            <w:r/>
          </w:p>
        </w:tc>
        <w:tc>
          <w:tcPr>
            <w:tcBorders>
              <w:top w:val="single" w:color="auto" w:sz="4" w:space="0"/>
              <w:left w:val="single" w:color="auto" w:sz="4" w:space="0"/>
              <w:bottom w:val="single" w:color="auto" w:sz="4" w:space="0"/>
              <w:right w:val="single" w:color="auto" w:sz="4" w:space="0"/>
            </w:tcBorders>
            <w:tcW w:w="1477" w:type="dxa"/>
            <w:vAlign w:val="center"/>
            <w:textDirection w:val="lrTb"/>
            <w:noWrap w:val="false"/>
          </w:tcPr>
          <w:p>
            <w:pPr>
              <w:jc w:val="center"/>
              <w:rPr>
                <w:rFonts w:ascii="宋体" w:hAnsi="宋体" w:eastAsia="宋体" w:cs="宋体"/>
                <w:color w:val="auto"/>
                <w:spacing w:val="20"/>
                <w:sz w:val="24"/>
                <w:szCs w:val="24"/>
                <w:highlight w:val="none"/>
              </w:rPr>
            </w:pPr>
            <w:r>
              <w:rPr>
                <w:rFonts w:ascii="宋体" w:hAnsi="宋体" w:eastAsia="宋体" w:cs="宋体"/>
                <w:color w:val="auto"/>
                <w:spacing w:val="20"/>
                <w:sz w:val="24"/>
                <w:szCs w:val="24"/>
                <w:highlight w:val="none"/>
              </w:rPr>
            </w:r>
            <w:r/>
          </w:p>
        </w:tc>
        <w:tc>
          <w:tcPr>
            <w:tcBorders>
              <w:top w:val="single" w:color="auto" w:sz="4" w:space="0"/>
              <w:left w:val="single" w:color="auto" w:sz="4" w:space="0"/>
              <w:bottom w:val="single" w:color="auto" w:sz="4" w:space="0"/>
              <w:right w:val="single" w:color="auto" w:sz="4" w:space="0"/>
            </w:tcBorders>
            <w:tcW w:w="2711" w:type="dxa"/>
            <w:vAlign w:val="center"/>
            <w:textDirection w:val="lrTb"/>
            <w:noWrap w:val="false"/>
          </w:tcPr>
          <w:p>
            <w:pPr>
              <w:jc w:val="center"/>
              <w:rPr>
                <w:rFonts w:ascii="宋体" w:hAnsi="宋体" w:eastAsia="宋体" w:cs="宋体"/>
                <w:color w:val="auto"/>
                <w:spacing w:val="20"/>
                <w:sz w:val="24"/>
                <w:szCs w:val="24"/>
                <w:highlight w:val="none"/>
              </w:rPr>
            </w:pPr>
            <w:r>
              <w:rPr>
                <w:rFonts w:ascii="宋体" w:hAnsi="宋体" w:eastAsia="宋体" w:cs="宋体"/>
                <w:color w:val="auto"/>
                <w:spacing w:val="20"/>
                <w:sz w:val="24"/>
                <w:szCs w:val="24"/>
                <w:highlight w:val="none"/>
              </w:rPr>
            </w:r>
            <w:r/>
          </w:p>
        </w:tc>
      </w:tr>
      <w:tr>
        <w:trPr>
          <w:jc w:val="center"/>
          <w:trHeight w:val="435"/>
        </w:trPr>
        <w:tc>
          <w:tcPr>
            <w:gridSpan w:val="5"/>
            <w:tcBorders>
              <w:top w:val="single" w:color="auto" w:sz="4" w:space="0"/>
              <w:left w:val="single" w:color="auto" w:sz="4" w:space="0"/>
              <w:bottom w:val="single" w:color="auto" w:sz="4" w:space="0"/>
              <w:right w:val="single" w:color="auto" w:sz="4" w:space="0"/>
            </w:tcBorders>
            <w:tcW w:w="9624" w:type="dxa"/>
            <w:vAlign w:val="center"/>
            <w:textDirection w:val="lrTb"/>
            <w:noWrap w:val="false"/>
          </w:tcPr>
          <w:p>
            <w:pPr>
              <w:jc w:val="left"/>
              <w:rPr>
                <w:rFonts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t xml:space="preserve">低压开关柜</w:t>
            </w:r>
            <w:r/>
          </w:p>
        </w:tc>
      </w:tr>
      <w:tr>
        <w:trPr>
          <w:jc w:val="center"/>
          <w:trHeight w:val="435"/>
        </w:trPr>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jc w:val="center"/>
              <w:rPr>
                <w:rFonts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W w:w="1945" w:type="dxa"/>
            <w:vAlign w:val="center"/>
            <w:textDirection w:val="lrTb"/>
            <w:noWrap w:val="false"/>
          </w:tcPr>
          <w:p>
            <w:pPr>
              <w:jc w:val="center"/>
              <w:rPr>
                <w:rFonts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t xml:space="preserve">断路器</w:t>
            </w:r>
            <w:r/>
          </w:p>
        </w:tc>
        <w:tc>
          <w:tcPr>
            <w:tcBorders>
              <w:top w:val="single" w:color="auto" w:sz="4" w:space="0"/>
              <w:left w:val="single" w:color="auto" w:sz="4" w:space="0"/>
              <w:bottom w:val="single" w:color="auto" w:sz="4" w:space="0"/>
              <w:right w:val="single" w:color="auto" w:sz="4" w:space="0"/>
            </w:tcBorders>
            <w:tcW w:w="2412" w:type="dxa"/>
            <w:vAlign w:val="center"/>
            <w:textDirection w:val="lrTb"/>
            <w:noWrap w:val="false"/>
          </w:tcPr>
          <w:p>
            <w:pPr>
              <w:jc w:val="center"/>
              <w:rPr>
                <w:rFonts w:ascii="宋体" w:hAnsi="宋体" w:eastAsia="宋体" w:cs="宋体"/>
                <w:color w:val="auto"/>
                <w:spacing w:val="20"/>
                <w:sz w:val="24"/>
                <w:szCs w:val="24"/>
                <w:highlight w:val="none"/>
              </w:rPr>
            </w:pPr>
            <w:r>
              <w:rPr>
                <w:rFonts w:ascii="宋体" w:hAnsi="宋体" w:eastAsia="宋体" w:cs="宋体"/>
                <w:color w:val="auto"/>
                <w:spacing w:val="20"/>
                <w:sz w:val="24"/>
                <w:szCs w:val="24"/>
                <w:highlight w:val="none"/>
              </w:rPr>
            </w:r>
            <w:r/>
          </w:p>
        </w:tc>
        <w:tc>
          <w:tcPr>
            <w:tcBorders>
              <w:top w:val="single" w:color="auto" w:sz="4" w:space="0"/>
              <w:left w:val="single" w:color="auto" w:sz="4" w:space="0"/>
              <w:bottom w:val="single" w:color="auto" w:sz="4" w:space="0"/>
              <w:right w:val="single" w:color="auto" w:sz="4" w:space="0"/>
            </w:tcBorders>
            <w:tcW w:w="1477" w:type="dxa"/>
            <w:vAlign w:val="center"/>
            <w:textDirection w:val="lrTb"/>
            <w:noWrap w:val="false"/>
          </w:tcPr>
          <w:p>
            <w:pPr>
              <w:jc w:val="center"/>
              <w:rPr>
                <w:rFonts w:ascii="宋体" w:hAnsi="宋体" w:eastAsia="宋体" w:cs="宋体"/>
                <w:color w:val="auto"/>
                <w:spacing w:val="20"/>
                <w:sz w:val="24"/>
                <w:szCs w:val="24"/>
                <w:highlight w:val="none"/>
              </w:rPr>
            </w:pPr>
            <w:r>
              <w:rPr>
                <w:rFonts w:ascii="宋体" w:hAnsi="宋体" w:eastAsia="宋体" w:cs="宋体"/>
                <w:color w:val="auto"/>
                <w:spacing w:val="20"/>
                <w:sz w:val="24"/>
                <w:szCs w:val="24"/>
                <w:highlight w:val="none"/>
              </w:rPr>
            </w:r>
            <w:r/>
          </w:p>
        </w:tc>
        <w:tc>
          <w:tcPr>
            <w:tcBorders>
              <w:top w:val="single" w:color="auto" w:sz="4" w:space="0"/>
              <w:left w:val="single" w:color="auto" w:sz="4" w:space="0"/>
              <w:bottom w:val="single" w:color="auto" w:sz="4" w:space="0"/>
              <w:right w:val="single" w:color="auto" w:sz="4" w:space="0"/>
            </w:tcBorders>
            <w:tcW w:w="2711" w:type="dxa"/>
            <w:vAlign w:val="center"/>
            <w:textDirection w:val="lrTb"/>
            <w:noWrap w:val="false"/>
          </w:tcPr>
          <w:p>
            <w:pPr>
              <w:jc w:val="center"/>
              <w:rPr>
                <w:rFonts w:ascii="宋体" w:hAnsi="宋体" w:eastAsia="宋体" w:cs="宋体"/>
                <w:color w:val="auto"/>
                <w:spacing w:val="20"/>
                <w:sz w:val="24"/>
                <w:szCs w:val="24"/>
                <w:highlight w:val="none"/>
              </w:rPr>
            </w:pPr>
            <w:r>
              <w:rPr>
                <w:rFonts w:ascii="宋体" w:hAnsi="宋体" w:eastAsia="宋体" w:cs="宋体"/>
                <w:color w:val="auto"/>
                <w:spacing w:val="20"/>
                <w:sz w:val="24"/>
                <w:szCs w:val="24"/>
                <w:highlight w:val="none"/>
              </w:rPr>
            </w:r>
            <w:r/>
          </w:p>
        </w:tc>
      </w:tr>
      <w:tr>
        <w:trPr>
          <w:jc w:val="center"/>
          <w:trHeight w:val="435"/>
        </w:trPr>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jc w:val="center"/>
              <w:rPr>
                <w:rFonts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t xml:space="preserve">2</w:t>
            </w:r>
            <w:r/>
          </w:p>
        </w:tc>
        <w:tc>
          <w:tcPr>
            <w:tcBorders>
              <w:top w:val="single" w:color="auto" w:sz="4" w:space="0"/>
              <w:left w:val="single" w:color="auto" w:sz="4" w:space="0"/>
              <w:bottom w:val="single" w:color="auto" w:sz="4" w:space="0"/>
              <w:right w:val="single" w:color="auto" w:sz="4" w:space="0"/>
            </w:tcBorders>
            <w:tcW w:w="1945" w:type="dxa"/>
            <w:vAlign w:val="center"/>
            <w:textDirection w:val="lrTb"/>
            <w:noWrap w:val="false"/>
          </w:tcPr>
          <w:p>
            <w:pPr>
              <w:jc w:val="center"/>
              <w:rPr>
                <w:rFonts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t xml:space="preserve">互感器</w:t>
            </w:r>
            <w:r/>
          </w:p>
        </w:tc>
        <w:tc>
          <w:tcPr>
            <w:tcBorders>
              <w:top w:val="single" w:color="auto" w:sz="4" w:space="0"/>
              <w:left w:val="single" w:color="auto" w:sz="4" w:space="0"/>
              <w:bottom w:val="single" w:color="auto" w:sz="4" w:space="0"/>
              <w:right w:val="single" w:color="auto" w:sz="4" w:space="0"/>
            </w:tcBorders>
            <w:tcW w:w="2412" w:type="dxa"/>
            <w:vAlign w:val="center"/>
            <w:textDirection w:val="lrTb"/>
            <w:noWrap w:val="false"/>
          </w:tcPr>
          <w:p>
            <w:pPr>
              <w:jc w:val="center"/>
              <w:rPr>
                <w:rFonts w:ascii="宋体" w:hAnsi="宋体" w:eastAsia="宋体" w:cs="宋体"/>
                <w:color w:val="auto"/>
                <w:spacing w:val="20"/>
                <w:sz w:val="24"/>
                <w:szCs w:val="24"/>
                <w:highlight w:val="none"/>
              </w:rPr>
            </w:pPr>
            <w:r>
              <w:rPr>
                <w:rFonts w:ascii="宋体" w:hAnsi="宋体" w:eastAsia="宋体" w:cs="宋体"/>
                <w:color w:val="auto"/>
                <w:spacing w:val="20"/>
                <w:sz w:val="24"/>
                <w:szCs w:val="24"/>
                <w:highlight w:val="none"/>
              </w:rPr>
            </w:r>
            <w:r/>
          </w:p>
        </w:tc>
        <w:tc>
          <w:tcPr>
            <w:tcBorders>
              <w:top w:val="single" w:color="auto" w:sz="4" w:space="0"/>
              <w:left w:val="single" w:color="auto" w:sz="4" w:space="0"/>
              <w:bottom w:val="single" w:color="auto" w:sz="4" w:space="0"/>
              <w:right w:val="single" w:color="auto" w:sz="4" w:space="0"/>
            </w:tcBorders>
            <w:tcW w:w="1477" w:type="dxa"/>
            <w:vAlign w:val="center"/>
            <w:textDirection w:val="lrTb"/>
            <w:noWrap w:val="false"/>
          </w:tcPr>
          <w:p>
            <w:pPr>
              <w:jc w:val="center"/>
              <w:rPr>
                <w:rFonts w:ascii="宋体" w:hAnsi="宋体" w:eastAsia="宋体" w:cs="宋体"/>
                <w:color w:val="auto"/>
                <w:spacing w:val="20"/>
                <w:sz w:val="24"/>
                <w:szCs w:val="24"/>
                <w:highlight w:val="none"/>
              </w:rPr>
            </w:pPr>
            <w:r>
              <w:rPr>
                <w:rFonts w:ascii="宋体" w:hAnsi="宋体" w:eastAsia="宋体" w:cs="宋体"/>
                <w:color w:val="auto"/>
                <w:spacing w:val="20"/>
                <w:sz w:val="24"/>
                <w:szCs w:val="24"/>
                <w:highlight w:val="none"/>
              </w:rPr>
            </w:r>
            <w:r/>
          </w:p>
        </w:tc>
        <w:tc>
          <w:tcPr>
            <w:tcBorders>
              <w:top w:val="single" w:color="auto" w:sz="4" w:space="0"/>
              <w:left w:val="single" w:color="auto" w:sz="4" w:space="0"/>
              <w:bottom w:val="single" w:color="auto" w:sz="4" w:space="0"/>
              <w:right w:val="single" w:color="auto" w:sz="4" w:space="0"/>
            </w:tcBorders>
            <w:tcW w:w="2711" w:type="dxa"/>
            <w:vAlign w:val="center"/>
            <w:textDirection w:val="lrTb"/>
            <w:noWrap w:val="false"/>
          </w:tcPr>
          <w:p>
            <w:pPr>
              <w:jc w:val="center"/>
              <w:rPr>
                <w:rFonts w:ascii="宋体" w:hAnsi="宋体" w:eastAsia="宋体" w:cs="宋体"/>
                <w:color w:val="auto"/>
                <w:spacing w:val="20"/>
                <w:sz w:val="24"/>
                <w:szCs w:val="24"/>
                <w:highlight w:val="none"/>
              </w:rPr>
            </w:pPr>
            <w:r>
              <w:rPr>
                <w:rFonts w:ascii="宋体" w:hAnsi="宋体" w:eastAsia="宋体" w:cs="宋体"/>
                <w:color w:val="auto"/>
                <w:spacing w:val="20"/>
                <w:sz w:val="24"/>
                <w:szCs w:val="24"/>
                <w:highlight w:val="none"/>
              </w:rPr>
            </w:r>
            <w:r/>
          </w:p>
        </w:tc>
      </w:tr>
      <w:tr>
        <w:trPr>
          <w:jc w:val="center"/>
          <w:trHeight w:val="394"/>
        </w:trPr>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jc w:val="center"/>
              <w:rPr>
                <w:rFonts w:ascii="宋体" w:hAnsi="宋体" w:eastAsia="宋体" w:cs="宋体"/>
                <w:color w:val="auto"/>
                <w:spacing w:val="20"/>
                <w:sz w:val="24"/>
                <w:szCs w:val="24"/>
                <w:highlight w:val="none"/>
              </w:rPr>
            </w:pPr>
            <w:r>
              <w:rPr>
                <w:rFonts w:ascii="宋体" w:hAnsi="宋体" w:eastAsia="宋体" w:cs="宋体"/>
                <w:color w:val="auto"/>
                <w:spacing w:val="20"/>
                <w:sz w:val="24"/>
                <w:szCs w:val="24"/>
                <w:highlight w:val="none"/>
              </w:rPr>
            </w:r>
            <w:r/>
          </w:p>
        </w:tc>
        <w:tc>
          <w:tcPr>
            <w:tcBorders>
              <w:top w:val="single" w:color="auto" w:sz="4" w:space="0"/>
              <w:left w:val="single" w:color="auto" w:sz="4" w:space="0"/>
              <w:bottom w:val="single" w:color="auto" w:sz="4" w:space="0"/>
              <w:right w:val="single" w:color="auto" w:sz="4" w:space="0"/>
            </w:tcBorders>
            <w:tcW w:w="1945" w:type="dxa"/>
            <w:vAlign w:val="center"/>
            <w:textDirection w:val="lrTb"/>
            <w:noWrap w:val="false"/>
          </w:tcPr>
          <w:p>
            <w:pPr>
              <w:jc w:val="center"/>
              <w:rPr>
                <w:rFonts w:ascii="宋体" w:hAnsi="宋体" w:eastAsia="宋体" w:cs="宋体"/>
                <w:color w:val="auto"/>
                <w:spacing w:val="20"/>
                <w:sz w:val="24"/>
                <w:szCs w:val="24"/>
                <w:highlight w:val="none"/>
              </w:rPr>
            </w:pPr>
            <w:r>
              <w:rPr>
                <w:rFonts w:ascii="宋体" w:hAnsi="宋体" w:eastAsia="宋体" w:cs="宋体"/>
                <w:color w:val="auto"/>
                <w:spacing w:val="20"/>
                <w:sz w:val="24"/>
                <w:szCs w:val="24"/>
                <w:highlight w:val="none"/>
              </w:rPr>
            </w:r>
            <w:r/>
          </w:p>
        </w:tc>
        <w:tc>
          <w:tcPr>
            <w:tcBorders>
              <w:top w:val="single" w:color="auto" w:sz="4" w:space="0"/>
              <w:left w:val="single" w:color="auto" w:sz="4" w:space="0"/>
              <w:bottom w:val="single" w:color="auto" w:sz="4" w:space="0"/>
              <w:right w:val="single" w:color="auto" w:sz="4" w:space="0"/>
            </w:tcBorders>
            <w:tcW w:w="2412" w:type="dxa"/>
            <w:vAlign w:val="center"/>
            <w:textDirection w:val="lrTb"/>
            <w:noWrap w:val="false"/>
          </w:tcPr>
          <w:p>
            <w:pPr>
              <w:jc w:val="center"/>
              <w:rPr>
                <w:rFonts w:ascii="宋体" w:hAnsi="宋体" w:eastAsia="宋体" w:cs="宋体"/>
                <w:color w:val="auto"/>
                <w:spacing w:val="20"/>
                <w:sz w:val="24"/>
                <w:szCs w:val="24"/>
                <w:highlight w:val="none"/>
              </w:rPr>
            </w:pPr>
            <w:r>
              <w:rPr>
                <w:rFonts w:ascii="宋体" w:hAnsi="宋体" w:eastAsia="宋体" w:cs="宋体"/>
                <w:color w:val="auto"/>
                <w:spacing w:val="20"/>
                <w:sz w:val="24"/>
                <w:szCs w:val="24"/>
                <w:highlight w:val="none"/>
              </w:rPr>
            </w:r>
            <w:r/>
          </w:p>
        </w:tc>
        <w:tc>
          <w:tcPr>
            <w:tcBorders>
              <w:top w:val="single" w:color="auto" w:sz="4" w:space="0"/>
              <w:left w:val="single" w:color="auto" w:sz="4" w:space="0"/>
              <w:bottom w:val="single" w:color="auto" w:sz="4" w:space="0"/>
              <w:right w:val="single" w:color="auto" w:sz="4" w:space="0"/>
            </w:tcBorders>
            <w:tcW w:w="1477" w:type="dxa"/>
            <w:vAlign w:val="center"/>
            <w:textDirection w:val="lrTb"/>
            <w:noWrap w:val="false"/>
          </w:tcPr>
          <w:p>
            <w:pPr>
              <w:jc w:val="center"/>
              <w:rPr>
                <w:rFonts w:ascii="宋体" w:hAnsi="宋体" w:eastAsia="宋体" w:cs="宋体"/>
                <w:color w:val="auto"/>
                <w:spacing w:val="20"/>
                <w:sz w:val="24"/>
                <w:szCs w:val="24"/>
                <w:highlight w:val="none"/>
              </w:rPr>
            </w:pPr>
            <w:r>
              <w:rPr>
                <w:rFonts w:ascii="宋体" w:hAnsi="宋体" w:eastAsia="宋体" w:cs="宋体"/>
                <w:color w:val="auto"/>
                <w:spacing w:val="20"/>
                <w:sz w:val="24"/>
                <w:szCs w:val="24"/>
                <w:highlight w:val="none"/>
              </w:rPr>
            </w:r>
            <w:r/>
          </w:p>
        </w:tc>
        <w:tc>
          <w:tcPr>
            <w:tcBorders>
              <w:top w:val="single" w:color="auto" w:sz="4" w:space="0"/>
              <w:left w:val="single" w:color="auto" w:sz="4" w:space="0"/>
              <w:bottom w:val="single" w:color="auto" w:sz="4" w:space="0"/>
              <w:right w:val="single" w:color="auto" w:sz="4" w:space="0"/>
            </w:tcBorders>
            <w:tcW w:w="2711" w:type="dxa"/>
            <w:vAlign w:val="center"/>
            <w:textDirection w:val="lrTb"/>
            <w:noWrap w:val="false"/>
          </w:tcPr>
          <w:p>
            <w:pPr>
              <w:jc w:val="center"/>
              <w:rPr>
                <w:rFonts w:ascii="宋体" w:hAnsi="宋体" w:eastAsia="宋体" w:cs="宋体"/>
                <w:color w:val="auto"/>
                <w:spacing w:val="20"/>
                <w:sz w:val="24"/>
                <w:szCs w:val="24"/>
                <w:highlight w:val="none"/>
              </w:rPr>
            </w:pPr>
            <w:r>
              <w:rPr>
                <w:rFonts w:ascii="宋体" w:hAnsi="宋体" w:eastAsia="宋体" w:cs="宋体"/>
                <w:color w:val="auto"/>
                <w:spacing w:val="20"/>
                <w:sz w:val="24"/>
                <w:szCs w:val="24"/>
                <w:highlight w:val="none"/>
              </w:rPr>
            </w:r>
            <w:r/>
          </w:p>
        </w:tc>
      </w:tr>
      <w:tr>
        <w:trPr>
          <w:jc w:val="center"/>
          <w:trHeight w:val="436"/>
        </w:trPr>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jc w:val="center"/>
              <w:rPr>
                <w:rFonts w:ascii="宋体" w:hAnsi="宋体" w:eastAsia="宋体" w:cs="宋体"/>
                <w:color w:val="auto"/>
                <w:spacing w:val="20"/>
                <w:sz w:val="24"/>
                <w:szCs w:val="24"/>
                <w:highlight w:val="none"/>
              </w:rPr>
            </w:pPr>
            <w:r>
              <w:rPr>
                <w:rFonts w:ascii="宋体" w:hAnsi="宋体" w:eastAsia="宋体" w:cs="宋体"/>
                <w:color w:val="auto"/>
                <w:spacing w:val="20"/>
                <w:sz w:val="24"/>
                <w:szCs w:val="24"/>
                <w:highlight w:val="none"/>
              </w:rPr>
            </w:r>
            <w:r/>
          </w:p>
        </w:tc>
        <w:tc>
          <w:tcPr>
            <w:tcBorders>
              <w:top w:val="single" w:color="auto" w:sz="4" w:space="0"/>
              <w:left w:val="single" w:color="auto" w:sz="4" w:space="0"/>
              <w:bottom w:val="single" w:color="auto" w:sz="4" w:space="0"/>
              <w:right w:val="single" w:color="auto" w:sz="4" w:space="0"/>
            </w:tcBorders>
            <w:tcW w:w="1945" w:type="dxa"/>
            <w:vAlign w:val="center"/>
            <w:textDirection w:val="lrTb"/>
            <w:noWrap w:val="false"/>
          </w:tcPr>
          <w:p>
            <w:pPr>
              <w:jc w:val="center"/>
              <w:rPr>
                <w:rFonts w:ascii="宋体" w:hAnsi="宋体" w:eastAsia="宋体" w:cs="宋体"/>
                <w:color w:val="auto"/>
                <w:spacing w:val="20"/>
                <w:sz w:val="24"/>
                <w:szCs w:val="24"/>
                <w:highlight w:val="none"/>
              </w:rPr>
            </w:pPr>
            <w:r>
              <w:rPr>
                <w:rFonts w:ascii="宋体" w:hAnsi="宋体" w:eastAsia="宋体" w:cs="宋体"/>
                <w:color w:val="auto"/>
                <w:spacing w:val="20"/>
                <w:sz w:val="24"/>
                <w:szCs w:val="24"/>
                <w:highlight w:val="none"/>
              </w:rPr>
            </w:r>
            <w:r/>
          </w:p>
        </w:tc>
        <w:tc>
          <w:tcPr>
            <w:tcBorders>
              <w:top w:val="single" w:color="auto" w:sz="4" w:space="0"/>
              <w:left w:val="single" w:color="auto" w:sz="4" w:space="0"/>
              <w:bottom w:val="single" w:color="auto" w:sz="4" w:space="0"/>
              <w:right w:val="single" w:color="auto" w:sz="4" w:space="0"/>
            </w:tcBorders>
            <w:tcW w:w="2412" w:type="dxa"/>
            <w:vAlign w:val="center"/>
            <w:textDirection w:val="lrTb"/>
            <w:noWrap w:val="false"/>
          </w:tcPr>
          <w:p>
            <w:pPr>
              <w:jc w:val="center"/>
              <w:rPr>
                <w:rFonts w:ascii="宋体" w:hAnsi="宋体" w:eastAsia="宋体" w:cs="宋体"/>
                <w:color w:val="auto"/>
                <w:spacing w:val="20"/>
                <w:sz w:val="24"/>
                <w:szCs w:val="24"/>
                <w:highlight w:val="none"/>
              </w:rPr>
            </w:pPr>
            <w:r>
              <w:rPr>
                <w:rFonts w:ascii="宋体" w:hAnsi="宋体" w:eastAsia="宋体" w:cs="宋体"/>
                <w:color w:val="auto"/>
                <w:spacing w:val="20"/>
                <w:sz w:val="24"/>
                <w:szCs w:val="24"/>
                <w:highlight w:val="none"/>
              </w:rPr>
            </w:r>
            <w:r/>
          </w:p>
        </w:tc>
        <w:tc>
          <w:tcPr>
            <w:tcBorders>
              <w:top w:val="single" w:color="auto" w:sz="4" w:space="0"/>
              <w:left w:val="single" w:color="auto" w:sz="4" w:space="0"/>
              <w:bottom w:val="single" w:color="auto" w:sz="4" w:space="0"/>
              <w:right w:val="single" w:color="auto" w:sz="4" w:space="0"/>
            </w:tcBorders>
            <w:tcW w:w="1477" w:type="dxa"/>
            <w:vAlign w:val="center"/>
            <w:textDirection w:val="lrTb"/>
            <w:noWrap w:val="false"/>
          </w:tcPr>
          <w:p>
            <w:pPr>
              <w:jc w:val="center"/>
              <w:rPr>
                <w:rFonts w:ascii="宋体" w:hAnsi="宋体" w:eastAsia="宋体" w:cs="宋体"/>
                <w:color w:val="auto"/>
                <w:spacing w:val="20"/>
                <w:sz w:val="24"/>
                <w:szCs w:val="24"/>
                <w:highlight w:val="none"/>
              </w:rPr>
            </w:pPr>
            <w:r>
              <w:rPr>
                <w:rFonts w:ascii="宋体" w:hAnsi="宋体" w:eastAsia="宋体" w:cs="宋体"/>
                <w:color w:val="auto"/>
                <w:spacing w:val="20"/>
                <w:sz w:val="24"/>
                <w:szCs w:val="24"/>
                <w:highlight w:val="none"/>
              </w:rPr>
            </w:r>
            <w:r/>
          </w:p>
        </w:tc>
        <w:tc>
          <w:tcPr>
            <w:tcBorders>
              <w:top w:val="single" w:color="auto" w:sz="4" w:space="0"/>
              <w:left w:val="single" w:color="auto" w:sz="4" w:space="0"/>
              <w:bottom w:val="single" w:color="auto" w:sz="4" w:space="0"/>
              <w:right w:val="single" w:color="auto" w:sz="4" w:space="0"/>
            </w:tcBorders>
            <w:tcW w:w="2711" w:type="dxa"/>
            <w:vAlign w:val="center"/>
            <w:textDirection w:val="lrTb"/>
            <w:noWrap w:val="false"/>
          </w:tcPr>
          <w:p>
            <w:pPr>
              <w:jc w:val="center"/>
              <w:rPr>
                <w:rFonts w:ascii="宋体" w:hAnsi="宋体" w:eastAsia="宋体" w:cs="宋体"/>
                <w:color w:val="auto"/>
                <w:spacing w:val="20"/>
                <w:sz w:val="24"/>
                <w:szCs w:val="24"/>
                <w:highlight w:val="none"/>
              </w:rPr>
            </w:pPr>
            <w:r>
              <w:rPr>
                <w:rFonts w:ascii="宋体" w:hAnsi="宋体" w:eastAsia="宋体" w:cs="宋体"/>
                <w:color w:val="auto"/>
                <w:spacing w:val="20"/>
                <w:sz w:val="24"/>
                <w:szCs w:val="24"/>
                <w:highlight w:val="none"/>
              </w:rPr>
            </w:r>
            <w:r/>
          </w:p>
        </w:tc>
      </w:tr>
    </w:tbl>
    <w:p>
      <w:pPr>
        <w:ind w:firstLine="480"/>
        <w:spacing w:line="360" w:lineRule="auto"/>
        <w:tabs>
          <w:tab w:val="left" w:pos="142" w:leader="none"/>
          <w:tab w:val="left" w:pos="600" w:leader="none"/>
        </w:tabs>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p>
      <w:pPr>
        <w:ind w:firstLine="480"/>
        <w:spacing w:line="360" w:lineRule="auto"/>
        <w:tabs>
          <w:tab w:val="left" w:pos="142" w:leader="none"/>
          <w:tab w:val="left" w:pos="600" w:leader="none"/>
        </w:tabs>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p>
      <w:pPr>
        <w:ind w:firstLine="480"/>
        <w:spacing w:line="360" w:lineRule="auto"/>
        <w:tabs>
          <w:tab w:val="left" w:pos="142" w:leader="none"/>
          <w:tab w:val="left" w:pos="600" w:leader="none"/>
        </w:tabs>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p>
      <w:pPr>
        <w:ind w:firstLine="480"/>
        <w:spacing w:line="360" w:lineRule="auto"/>
        <w:tabs>
          <w:tab w:val="left" w:pos="142" w:leader="none"/>
          <w:tab w:val="left" w:pos="600" w:leader="none"/>
        </w:tabs>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投标人（单位盖章）：</w:t>
      </w:r>
      <w:r/>
    </w:p>
    <w:p>
      <w:pPr>
        <w:ind w:firstLine="480"/>
        <w:spacing w:line="360" w:lineRule="auto"/>
        <w:tabs>
          <w:tab w:val="left" w:pos="142" w:leader="none"/>
          <w:tab w:val="left" w:pos="600" w:leader="none"/>
        </w:tabs>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法定代表人或代理人（签字或盖章）：</w:t>
      </w:r>
      <w:r/>
    </w:p>
    <w:p>
      <w:pPr>
        <w:ind w:firstLine="480"/>
        <w:spacing w:line="360" w:lineRule="auto"/>
        <w:tabs>
          <w:tab w:val="left" w:pos="142" w:leader="none"/>
          <w:tab w:val="left" w:pos="600" w:leader="none"/>
        </w:tabs>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日期：     年     月     日</w:t>
      </w:r>
      <w:r/>
    </w:p>
    <w:p>
      <w:pPr>
        <w:spacing w:line="400" w:lineRule="exact"/>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ind w:firstLine="422"/>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w:t>
      </w:r>
      <w:r/>
    </w:p>
    <w:p>
      <w:pPr>
        <w:ind w:firstLine="422"/>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1.本表不得出现价格。</w:t>
      </w:r>
      <w:r/>
    </w:p>
    <w:p>
      <w:pPr>
        <w:ind w:firstLine="422"/>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2.供应商应在“投标货物的主要零部件数量、品牌、规格、制造商明细表”中必须列明上述所有投标货物所使用的主要零部件的品牌、规格/型号、制造商，</w:t>
      </w:r>
      <w:r>
        <w:rPr>
          <w:rFonts w:hint="eastAsia" w:ascii="宋体" w:hAnsi="宋体" w:eastAsia="宋体" w:cs="宋体"/>
          <w:color w:val="auto"/>
          <w:sz w:val="24"/>
          <w:szCs w:val="24"/>
          <w:highlight w:val="none"/>
        </w:rPr>
        <w:t xml:space="preserve">否则投标无效。</w:t>
      </w:r>
      <w:r/>
    </w:p>
    <w:p>
      <w:pPr>
        <w:rPr>
          <w:rFonts w:hAnsi="宋体" w:eastAsia="宋体" w:cs="宋体"/>
          <w:color w:val="auto"/>
          <w:sz w:val="24"/>
          <w:szCs w:val="24"/>
          <w:highlight w:val="none"/>
        </w:rPr>
      </w:pPr>
      <w:r>
        <w:rPr>
          <w:rFonts w:hint="eastAsia" w:hAnsi="宋体" w:eastAsia="宋体" w:cs="宋体"/>
          <w:color w:val="auto"/>
          <w:sz w:val="24"/>
          <w:szCs w:val="24"/>
          <w:highlight w:val="none"/>
        </w:rPr>
        <w:br w:type="page" w:clear="all"/>
      </w:r>
      <w:r/>
    </w:p>
    <w:p>
      <w:pPr>
        <w:pStyle w:val="1034"/>
        <w:spacing w:line="360" w:lineRule="auto"/>
        <w:rPr>
          <w:rFonts w:hAnsi="宋体" w:eastAsia="宋体" w:cs="宋体"/>
          <w:color w:val="auto"/>
          <w:sz w:val="24"/>
          <w:szCs w:val="24"/>
          <w:highlight w:val="none"/>
          <w:lang w:val="zh-CN"/>
        </w:rPr>
      </w:pPr>
      <w:r>
        <w:rPr>
          <w:rFonts w:hint="eastAsia" w:hAnsi="宋体" w:eastAsia="宋体" w:cs="宋体"/>
          <w:color w:val="auto"/>
          <w:sz w:val="24"/>
          <w:szCs w:val="24"/>
          <w:highlight w:val="none"/>
        </w:rPr>
        <w:t xml:space="preserve">10、中小企业声明函</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本公司郑重声明，根据《政府采购促进中小企业发展管理办法》（财库﹝2020﹞46 号）的规定，本公司参加的</w:t>
      </w:r>
      <w:r>
        <w:rPr>
          <w:rFonts w:hint="eastAsia" w:ascii="宋体" w:hAnsi="宋体" w:eastAsia="宋体" w:cs="宋体"/>
          <w:color w:val="auto"/>
          <w:sz w:val="24"/>
          <w:szCs w:val="24"/>
          <w:highlight w:val="none"/>
          <w:u w:val="single"/>
        </w:rPr>
        <w:t xml:space="preserve">（单位名称）</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（项目名称）</w:t>
      </w:r>
      <w:r>
        <w:rPr>
          <w:rFonts w:hint="eastAsia" w:ascii="宋体" w:hAnsi="宋体" w:eastAsia="宋体" w:cs="宋体"/>
          <w:color w:val="auto"/>
          <w:sz w:val="24"/>
          <w:szCs w:val="24"/>
          <w:highlight w:val="none"/>
        </w:rPr>
        <w:t xml:space="preserve">采购活动，提供的货物全部由符合政策要求的中小企业制造。相关企业（含联合体中的中小企业、签订分包意向协议的中小企业）的具体情况如下：</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u w:val="single"/>
        </w:rPr>
        <w:t xml:space="preserve">（标的名称）</w:t>
      </w:r>
      <w:r>
        <w:rPr>
          <w:rFonts w:hint="eastAsia" w:ascii="宋体" w:hAnsi="宋体" w:eastAsia="宋体" w:cs="宋体"/>
          <w:color w:val="auto"/>
          <w:sz w:val="24"/>
          <w:szCs w:val="24"/>
          <w:highlight w:val="none"/>
        </w:rPr>
        <w:t xml:space="preserve">，属于</w:t>
      </w:r>
      <w:r>
        <w:rPr>
          <w:rFonts w:hint="eastAsia" w:ascii="宋体" w:hAnsi="宋体" w:eastAsia="宋体" w:cs="宋体"/>
          <w:color w:val="auto"/>
          <w:sz w:val="24"/>
          <w:szCs w:val="24"/>
          <w:highlight w:val="none"/>
          <w:u w:val="single"/>
        </w:rPr>
        <w:t xml:space="preserve">（招标文件中明确的所属行业）行业</w:t>
      </w:r>
      <w:r>
        <w:rPr>
          <w:rFonts w:hint="eastAsia" w:ascii="宋体" w:hAnsi="宋体" w:eastAsia="宋体" w:cs="宋体"/>
          <w:color w:val="auto"/>
          <w:sz w:val="24"/>
          <w:szCs w:val="24"/>
          <w:highlight w:val="none"/>
        </w:rPr>
        <w:t xml:space="preserve">；制造商为</w:t>
      </w:r>
      <w:r>
        <w:rPr>
          <w:rFonts w:hint="eastAsia" w:ascii="宋体" w:hAnsi="宋体" w:eastAsia="宋体" w:cs="宋体"/>
          <w:color w:val="auto"/>
          <w:sz w:val="24"/>
          <w:szCs w:val="24"/>
          <w:highlight w:val="none"/>
          <w:u w:val="single"/>
        </w:rPr>
        <w:t xml:space="preserve">（企业名称）</w:t>
      </w:r>
      <w:r>
        <w:rPr>
          <w:rFonts w:hint="eastAsia" w:ascii="宋体" w:hAnsi="宋体" w:eastAsia="宋体" w:cs="宋体"/>
          <w:color w:val="auto"/>
          <w:sz w:val="24"/>
          <w:szCs w:val="24"/>
          <w:highlight w:val="none"/>
        </w:rPr>
        <w:t xml:space="preserve">，从业人员</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人，营业收入为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万元，资产总额为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万元，属于</w:t>
      </w:r>
      <w:r>
        <w:rPr>
          <w:rFonts w:hint="eastAsia" w:ascii="宋体" w:hAnsi="宋体" w:eastAsia="宋体" w:cs="宋体"/>
          <w:color w:val="auto"/>
          <w:sz w:val="24"/>
          <w:szCs w:val="24"/>
          <w:highlight w:val="none"/>
          <w:u w:val="single"/>
        </w:rPr>
        <w:t xml:space="preserve">（中型企业、小型企业、微型企业）</w:t>
      </w:r>
      <w:r>
        <w:rPr>
          <w:rFonts w:hint="eastAsia" w:ascii="宋体" w:hAnsi="宋体" w:eastAsia="宋体" w:cs="宋体"/>
          <w:color w:val="auto"/>
          <w:sz w:val="24"/>
          <w:szCs w:val="24"/>
          <w:highlight w:val="none"/>
        </w:rPr>
        <w:t xml:space="preserve">；</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u w:val="single"/>
        </w:rPr>
        <w:t xml:space="preserve">（标的名称）</w:t>
      </w:r>
      <w:r>
        <w:rPr>
          <w:rFonts w:hint="eastAsia" w:ascii="宋体" w:hAnsi="宋体" w:eastAsia="宋体" w:cs="宋体"/>
          <w:color w:val="auto"/>
          <w:sz w:val="24"/>
          <w:szCs w:val="24"/>
          <w:highlight w:val="none"/>
        </w:rPr>
        <w:t xml:space="preserve">，属于（</w:t>
      </w:r>
      <w:r>
        <w:rPr>
          <w:rFonts w:hint="eastAsia" w:ascii="宋体" w:hAnsi="宋体" w:eastAsia="宋体" w:cs="宋体"/>
          <w:color w:val="auto"/>
          <w:sz w:val="24"/>
          <w:szCs w:val="24"/>
          <w:highlight w:val="none"/>
          <w:u w:val="single"/>
        </w:rPr>
        <w:t xml:space="preserve">招标文件中明确的所属行业）行业</w:t>
      </w:r>
      <w:r>
        <w:rPr>
          <w:rFonts w:hint="eastAsia" w:ascii="宋体" w:hAnsi="宋体" w:eastAsia="宋体" w:cs="宋体"/>
          <w:color w:val="auto"/>
          <w:sz w:val="24"/>
          <w:szCs w:val="24"/>
          <w:highlight w:val="none"/>
        </w:rPr>
        <w:t xml:space="preserve">；制造商为</w:t>
      </w:r>
      <w:r>
        <w:rPr>
          <w:rFonts w:hint="eastAsia" w:ascii="宋体" w:hAnsi="宋体" w:eastAsia="宋体" w:cs="宋体"/>
          <w:color w:val="auto"/>
          <w:sz w:val="24"/>
          <w:szCs w:val="24"/>
          <w:highlight w:val="none"/>
          <w:u w:val="single"/>
        </w:rPr>
        <w:t xml:space="preserve">（企业名称）</w:t>
      </w:r>
      <w:r>
        <w:rPr>
          <w:rFonts w:hint="eastAsia" w:ascii="宋体" w:hAnsi="宋体" w:eastAsia="宋体" w:cs="宋体"/>
          <w:color w:val="auto"/>
          <w:sz w:val="24"/>
          <w:szCs w:val="24"/>
          <w:highlight w:val="none"/>
        </w:rPr>
        <w:t xml:space="preserve">，从业人员</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人，营业收入为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万元，资产总额为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万元，属于</w:t>
      </w:r>
      <w:r>
        <w:rPr>
          <w:rFonts w:hint="eastAsia" w:ascii="宋体" w:hAnsi="宋体" w:eastAsia="宋体" w:cs="宋体"/>
          <w:color w:val="auto"/>
          <w:sz w:val="24"/>
          <w:szCs w:val="24"/>
          <w:highlight w:val="none"/>
          <w:u w:val="single"/>
        </w:rPr>
        <w:t xml:space="preserve">（中型企业、小型企业、微型企业）</w:t>
      </w:r>
      <w:r>
        <w:rPr>
          <w:rFonts w:hint="eastAsia" w:ascii="宋体" w:hAnsi="宋体" w:eastAsia="宋体" w:cs="宋体"/>
          <w:color w:val="auto"/>
          <w:sz w:val="24"/>
          <w:szCs w:val="24"/>
          <w:highlight w:val="none"/>
        </w:rPr>
        <w:t xml:space="preserve">；</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以上企业，不属于大企业的分支机构，不存在控股股东为大企业的情形，也不存在与大企业的负责人为同一人的情形。</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本企业对上述声明内容的真实性负责。如有虚假，将依法承担相应责任。</w:t>
      </w:r>
      <w:r/>
    </w:p>
    <w:p>
      <w:pPr>
        <w:ind w:firstLine="480"/>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企业名称（盖章）：</w:t>
      </w:r>
      <w:r/>
    </w:p>
    <w:p>
      <w:pPr>
        <w:ind w:firstLine="480"/>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 期：</w:t>
      </w:r>
      <w:r/>
    </w:p>
    <w:p>
      <w:pPr>
        <w:ind w:firstLine="480"/>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备注：</w:t>
      </w:r>
      <w:r/>
    </w:p>
    <w:p>
      <w:pPr>
        <w:ind w:firstLine="480"/>
        <w:spacing w:line="360" w:lineRule="auto"/>
        <w:rPr>
          <w:rFonts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zh-CN"/>
        </w:rPr>
        <w:t xml:space="preserve">从业人员、营业收入、资产总额填报上一年度数据，无上一年度数据的新成立企业可不填报；</w:t>
      </w:r>
      <w:r/>
    </w:p>
    <w:p>
      <w:pPr>
        <w:ind w:firstLine="480"/>
        <w:spacing w:line="360" w:lineRule="auto"/>
        <w:rPr>
          <w:rFonts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zh-CN"/>
        </w:rPr>
        <w:t xml:space="preserve">若供应商未在此函中对（中型企业、小型企业、微型企业）明确选择，视为非中小企业，不享受中小企业扶持政策；</w:t>
      </w:r>
      <w:r/>
    </w:p>
    <w:p>
      <w:pPr>
        <w:ind w:firstLine="480"/>
        <w:spacing w:line="360" w:lineRule="auto"/>
        <w:rPr>
          <w:rFonts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zh-CN"/>
        </w:rPr>
        <w:t xml:space="preserve">若供应商提供的“中小企业声明函”内容不实的，属于提供虚假材料谋取中标、成交，依照《中华人民共和国政府采购法》等国家有关规定追究相应责任。</w:t>
      </w:r>
      <w:r/>
    </w:p>
    <w:p>
      <w:pPr>
        <w:ind w:firstLine="480"/>
        <w:spacing w:line="360" w:lineRule="auto"/>
        <w:rPr>
          <w:rFonts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 xml:space="preserve">4、</w:t>
      </w:r>
      <w:r>
        <w:rPr>
          <w:rFonts w:hint="eastAsia" w:ascii="宋体" w:hAnsi="宋体" w:eastAsia="宋体" w:cs="宋体"/>
          <w:color w:val="auto"/>
          <w:sz w:val="24"/>
          <w:szCs w:val="24"/>
          <w:highlight w:val="none"/>
          <w:lang w:val="zh-CN"/>
        </w:rPr>
        <w:t xml:space="preserve">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w:t>
      </w:r>
      <w:r/>
    </w:p>
    <w:p>
      <w:pPr>
        <w:ind w:firstLine="480"/>
        <w:spacing w:line="440" w:lineRule="exact"/>
        <w:rPr>
          <w:rFonts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5、中标供应商为中小企业的，《中小企业声明函》将随中标结果同时公告。</w:t>
      </w:r>
      <w:r>
        <w:rPr>
          <w:rFonts w:hint="eastAsia" w:ascii="宋体" w:hAnsi="宋体" w:eastAsia="宋体" w:cs="宋体"/>
          <w:color w:val="auto"/>
          <w:sz w:val="24"/>
          <w:szCs w:val="24"/>
          <w:highlight w:val="none"/>
        </w:rPr>
        <w:br w:type="page" w:clear="all"/>
      </w:r>
      <w:r>
        <w:rPr>
          <w:rFonts w:hint="eastAsia" w:ascii="宋体" w:hAnsi="宋体" w:eastAsia="宋体" w:cs="宋体"/>
          <w:color w:val="auto"/>
          <w:sz w:val="24"/>
          <w:szCs w:val="24"/>
          <w:highlight w:val="none"/>
        </w:rPr>
        <w:t xml:space="preserve">附：中小企业划型标准规定</w:t>
      </w:r>
      <w:r/>
    </w:p>
    <w:p>
      <w:pPr>
        <w:ind w:firstLine="480"/>
        <w:spacing w:line="44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（一）农、林、牧、渔业。营业收入20000万元以下的为中小微型企业。其中，营业收入500万元及以上的为中型企业，营业收入50万元及以上的为小型企业，营业收入50万元以下的为微型企业。</w:t>
      </w:r>
      <w:r/>
    </w:p>
    <w:p>
      <w:pPr>
        <w:ind w:firstLine="480"/>
        <w:spacing w:line="44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80"/>
        <w:spacing w:line="44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80"/>
        <w:spacing w:line="44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80"/>
        <w:spacing w:line="44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80"/>
        <w:spacing w:line="44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80"/>
        <w:spacing w:line="44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80"/>
        <w:spacing w:line="44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80"/>
        <w:spacing w:line="44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80"/>
        <w:spacing w:line="44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80"/>
        <w:spacing w:line="44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80"/>
        <w:spacing w:line="44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80"/>
        <w:spacing w:line="44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80"/>
        <w:spacing w:line="44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（十四）物业管理。从业人员1000人以下或营业收入5000万元以下的为中小微型企业。其中，从业人员</w:t>
      </w:r>
      <w:r/>
    </w:p>
    <w:p>
      <w:pPr>
        <w:spacing w:line="44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300人及以上，且营业收入1000万元及以上的为中型企业；从业人员100人及以上，且营业收入500万元及以上的为小型企业；从业人员100人以下或营业收入500万元以下的为微型企业。</w:t>
      </w:r>
      <w:r/>
    </w:p>
    <w:p>
      <w:pPr>
        <w:ind w:firstLine="480"/>
        <w:spacing w:line="44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480"/>
        <w:spacing w:line="440" w:lineRule="exact"/>
        <w:rPr>
          <w:rFonts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（十六）其他未列明行业。从业人员300人以下的为中小微型企业。其中，从业人员100人及以上的为中型企业；从业人员10人及以上的为小型企业；从业人员10人以下的为微型企业。</w:t>
      </w:r>
      <w:r/>
    </w:p>
    <w:p>
      <w:pPr>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br w:type="page" w:clear="all"/>
      </w:r>
      <w:r/>
    </w:p>
    <w:p>
      <w:pPr>
        <w:spacing w:line="360" w:lineRule="auto"/>
        <w:rPr>
          <w:rFonts w:ascii="宋体" w:hAnsi="宋体" w:eastAsia="宋体" w:cs="宋体"/>
          <w:bCs/>
          <w:color w:val="auto"/>
          <w:sz w:val="24"/>
          <w:szCs w:val="24"/>
          <w:highlight w:val="none"/>
        </w:rPr>
        <w:sectPr>
          <w:footnotePr/>
          <w:endnotePr/>
          <w:type w:val="nextPage"/>
          <w:pgSz w:w="11906" w:h="16838" w:orient="portrait"/>
          <w:pgMar w:top="1134" w:right="1134" w:bottom="1134" w:left="1134" w:header="851" w:footer="992" w:gutter="0"/>
          <w:cols w:num="1" w:sep="0" w:space="720" w:equalWidth="1"/>
          <w:docGrid w:linePitch="360"/>
        </w:sectPr>
        <w:outlineLvl w:val="0"/>
      </w:pPr>
      <w:r>
        <w:rPr>
          <w:rFonts w:ascii="宋体" w:hAnsi="宋体" w:eastAsia="宋体" w:cs="宋体"/>
          <w:bCs/>
          <w:color w:val="auto"/>
          <w:sz w:val="24"/>
          <w:szCs w:val="24"/>
          <w:highlight w:val="none"/>
        </w:rPr>
      </w:r>
      <w:r/>
    </w:p>
    <w:p>
      <w:pPr>
        <w:spacing w:line="360" w:lineRule="auto"/>
        <w:rPr>
          <w:rFonts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11、残疾人福利性单位声明函</w:t>
      </w:r>
      <w:r/>
    </w:p>
    <w:p>
      <w:pPr>
        <w:spacing w:line="360" w:lineRule="auto"/>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单位的</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项目采购活动提供本单位制造的货物（由本单位承担工程/提供服务），或者提供其他残疾人福利性单位制造的货物（不包括使用非残疾人福利性单位注册商标的货物）。</w:t>
      </w:r>
      <w:r/>
    </w:p>
    <w:p>
      <w:pPr>
        <w:spacing w:line="360" w:lineRule="auto"/>
        <w:widowControl/>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spacing w:line="360" w:lineRule="auto"/>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本单位对上述声明的真实性负责。如有虚假，将依法承担相应责任。</w:t>
      </w:r>
      <w:r/>
    </w:p>
    <w:p>
      <w:pPr>
        <w:spacing w:line="360" w:lineRule="auto"/>
        <w:widowControl/>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ind w:firstLine="42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w:t>
      </w:r>
      <w:r>
        <w:rPr>
          <w:rFonts w:hint="eastAsia" w:ascii="宋体" w:hAnsi="宋体" w:eastAsia="宋体" w:cs="宋体"/>
          <w:color w:val="auto"/>
          <w:sz w:val="24"/>
          <w:szCs w:val="24"/>
          <w:highlight w:val="none"/>
        </w:rPr>
        <w:t xml:space="preserve">（单位公章）：</w:t>
      </w:r>
      <w:r/>
    </w:p>
    <w:p>
      <w:pPr>
        <w:ind w:firstLine="42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spacing w:line="360" w:lineRule="auto"/>
        <w:widowControl/>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pStyle w:val="1034"/>
        <w:spacing w:line="360" w:lineRule="auto"/>
        <w:rPr>
          <w:rFonts w:hAnsi="宋体" w:eastAsia="宋体" w:cs="宋体"/>
          <w:bCs/>
          <w:color w:val="auto"/>
          <w:sz w:val="24"/>
          <w:szCs w:val="24"/>
          <w:highlight w:val="none"/>
        </w:rPr>
        <w:sectPr>
          <w:footnotePr/>
          <w:endnotePr/>
          <w:type w:val="nextPage"/>
          <w:pgSz w:w="11906" w:h="16838" w:orient="portrait"/>
          <w:pgMar w:top="1134" w:right="1134" w:bottom="1134" w:left="1134" w:header="851" w:footer="992" w:gutter="0"/>
          <w:cols w:num="1" w:sep="0" w:space="720" w:equalWidth="1"/>
          <w:docGrid w:linePitch="360"/>
        </w:sectPr>
      </w:pPr>
      <w:r>
        <w:rPr>
          <w:rFonts w:hAnsi="宋体" w:eastAsia="宋体" w:cs="宋体"/>
          <w:bCs/>
          <w:color w:val="auto"/>
          <w:sz w:val="24"/>
          <w:szCs w:val="24"/>
          <w:highlight w:val="none"/>
        </w:rPr>
      </w:r>
      <w:r/>
    </w:p>
    <w:p>
      <w:pPr>
        <w:spacing w:line="360" w:lineRule="auto"/>
        <w:rPr>
          <w:rFonts w:ascii="方正魏碑_GBK" w:hAnsi="方正魏碑_GBK"/>
          <w:color w:val="auto"/>
          <w:sz w:val="24"/>
          <w:szCs w:val="24"/>
          <w:highlight w:val="none"/>
        </w:rPr>
        <w:outlineLvl w:val="0"/>
      </w:pPr>
      <w:r>
        <w:rPr>
          <w:rFonts w:hint="eastAsia" w:ascii="宋体" w:hAnsi="宋体" w:eastAsia="宋体" w:cs="宋体"/>
          <w:color w:val="auto"/>
          <w:sz w:val="24"/>
          <w:szCs w:val="24"/>
          <w:highlight w:val="none"/>
        </w:rPr>
        <w:t xml:space="preserve">12、关于符合本国产品标准的声明函（采购包号：**）</w:t>
      </w:r>
      <w:r>
        <w:rPr>
          <w:rFonts w:ascii="方正魏碑_GBK" w:hAnsi="方正魏碑_GBK"/>
          <w:color w:val="auto"/>
          <w:sz w:val="24"/>
          <w:szCs w:val="24"/>
          <w:highlight w:val="none"/>
        </w:rPr>
        <w:t xml:space="preserve"> </w:t>
      </w:r>
      <w:r/>
    </w:p>
    <w:p>
      <w:pPr>
        <w:pStyle w:val="993"/>
        <w:ind w:firstLine="420"/>
        <w:spacing w:before="0" w:after="0" w:line="360" w:lineRule="auto"/>
        <w:rPr>
          <w:rFonts w:hint="default" w:cs="宋体"/>
          <w:color w:val="auto"/>
          <w:highlight w:val="none"/>
        </w:rPr>
      </w:pPr>
      <w:r>
        <w:rPr>
          <w:rFonts w:cs="宋体"/>
          <w:color w:val="auto"/>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993"/>
        <w:ind w:firstLine="420"/>
        <w:spacing w:before="0" w:after="30" w:line="360" w:lineRule="auto"/>
        <w:rPr>
          <w:rFonts w:hint="default" w:cs="宋体"/>
          <w:color w:val="auto"/>
          <w:highlight w:val="none"/>
        </w:rPr>
      </w:pPr>
      <w:r>
        <w:rPr>
          <w:rFonts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1457325</wp:posOffset>
                </wp:positionH>
                <wp:positionV relativeFrom="paragraph">
                  <wp:posOffset>472440</wp:posOffset>
                </wp:positionV>
                <wp:extent cx="728345" cy="247650"/>
                <wp:effectExtent l="0" t="0" r="14604" b="0"/>
                <wp:wrapNone/>
                <wp:docPr id="4" name="图片 5" descr="C:\Users\Administrator\AppData\Local\Temp\ksohtml13132\wps2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5" descr="C:\Users\Administrator\AppData\Local\Temp\ksohtml13132\wps25.png"/>
                        <pic:cNvPicPr>
                          <a:picLocks noChangeAspect="1"/>
                        </pic:cNvPicPr>
                        <pic:nvPr/>
                      </pic:nvPicPr>
                      <pic:blipFill>
                        <a:blip r:embed="rId21"/>
                        <a:stretch/>
                      </pic:blipFill>
                      <pic:spPr bwMode="auto">
                        <a:xfrm>
                          <a:off x="0" y="0"/>
                          <a:ext cx="728382" cy="2476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251664384;o:allowoverlap:true;o:allowincell:true;mso-position-horizontal-relative:text;margin-left:114.8pt;mso-position-horizontal:absolute;mso-position-vertical-relative:text;margin-top:37.2pt;mso-position-vertical:absolute;width:57.3pt;height:19.5pt;mso-wrap-distance-left:9.0pt;mso-wrap-distance-top:0.0pt;mso-wrap-distance-right:9.0pt;mso-wrap-distance-bottom:0.0pt;" stroked="f">
                <v:path textboxrect="0,0,0,0"/>
                <v:imagedata r:id="rId21" o:title=""/>
              </v:shape>
            </w:pict>
          </mc:Fallback>
        </mc:AlternateContent>
      </w:r>
      <w:r>
        <w:rPr>
          <w:rFonts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424180</wp:posOffset>
                </wp:positionH>
                <wp:positionV relativeFrom="paragraph">
                  <wp:posOffset>472440</wp:posOffset>
                </wp:positionV>
                <wp:extent cx="728345" cy="247650"/>
                <wp:effectExtent l="0" t="0" r="14604" b="0"/>
                <wp:wrapNone/>
                <wp:docPr id="5" name="图片 4" descr="C:\Users\Administrator\AppData\Local\Temp\ksohtml13132\wps2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4" descr="C:\Users\Administrator\AppData\Local\Temp\ksohtml13132\wps25.png"/>
                        <pic:cNvPicPr>
                          <a:picLocks noChangeAspect="1"/>
                        </pic:cNvPicPr>
                        <pic:nvPr/>
                      </pic:nvPicPr>
                      <pic:blipFill>
                        <a:blip r:embed="rId21"/>
                        <a:stretch/>
                      </pic:blipFill>
                      <pic:spPr bwMode="auto">
                        <a:xfrm>
                          <a:off x="0" y="0"/>
                          <a:ext cx="728382" cy="2476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position:absolute;z-index:251663360;o:allowoverlap:true;o:allowincell:true;mso-position-horizontal-relative:text;margin-left:33.4pt;mso-position-horizontal:absolute;mso-position-vertical-relative:text;margin-top:37.2pt;mso-position-vertical:absolute;width:57.3pt;height:19.5pt;mso-wrap-distance-left:9.0pt;mso-wrap-distance-top:0.0pt;mso-wrap-distance-right:9.0pt;mso-wrap-distance-bottom:0.0pt;" stroked="f">
                <v:path textboxrect="0,0,0,0"/>
                <v:imagedata r:id="rId21" o:title=""/>
              </v:shape>
            </w:pict>
          </mc:Fallback>
        </mc:AlternateContent>
      </w:r>
      <w:r>
        <w:rPr>
          <w:rFonts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4004945</wp:posOffset>
                </wp:positionH>
                <wp:positionV relativeFrom="paragraph">
                  <wp:posOffset>253365</wp:posOffset>
                </wp:positionV>
                <wp:extent cx="728345" cy="247650"/>
                <wp:effectExtent l="0" t="0" r="14604" b="0"/>
                <wp:wrapNone/>
                <wp:docPr id="6" name="图片 4" descr="C:\Users\Administrator\AppData\Local\Temp\ksohtml13132\wps2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C:\Users\Administrator\AppData\Local\Temp\ksohtml13132\wps25.png"/>
                        <pic:cNvPicPr>
                          <a:picLocks noChangeAspect="1"/>
                        </pic:cNvPicPr>
                        <pic:nvPr/>
                      </pic:nvPicPr>
                      <pic:blipFill>
                        <a:blip r:embed="rId21"/>
                        <a:stretch/>
                      </pic:blipFill>
                      <pic:spPr bwMode="auto">
                        <a:xfrm>
                          <a:off x="0" y="0"/>
                          <a:ext cx="728382" cy="247650"/>
                        </a:xfrm>
                        <a:prstGeom prst="rect">
                          <a:avLst/>
                        </a:prstGeom>
                        <a:noFill/>
                        <a:ln>
                          <a:noFill/>
                          <a:rou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position:absolute;z-index:251662336;o:allowoverlap:true;o:allowincell:true;mso-position-horizontal-relative:text;margin-left:315.3pt;mso-position-horizontal:absolute;mso-position-vertical-relative:text;margin-top:19.9pt;mso-position-vertical:absolute;width:57.3pt;height:19.5pt;mso-wrap-distance-left:9.0pt;mso-wrap-distance-top:0.0pt;mso-wrap-distance-right:9.0pt;mso-wrap-distance-bottom:0.0pt;" stroked="f">
                <v:path textboxrect="0,0,0,0"/>
                <v:imagedata r:id="rId21" o:title=""/>
              </v:shape>
            </w:pict>
          </mc:Fallback>
        </mc:AlternateContent>
      </w:r>
      <w:r>
        <w:rPr>
          <w:rFonts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2912110</wp:posOffset>
                </wp:positionH>
                <wp:positionV relativeFrom="paragraph">
                  <wp:posOffset>253365</wp:posOffset>
                </wp:positionV>
                <wp:extent cx="728345" cy="247650"/>
                <wp:effectExtent l="0" t="0" r="14604" b="0"/>
                <wp:wrapNone/>
                <wp:docPr id="7" name="图片 2" descr="C:\Users\Administrator\AppData\Local\Temp\ksohtml13132\wps2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2" descr="C:\Users\Administrator\AppData\Local\Temp\ksohtml13132\wps25.png"/>
                        <pic:cNvPicPr>
                          <a:picLocks noChangeAspect="1"/>
                        </pic:cNvPicPr>
                        <pic:nvPr/>
                      </pic:nvPicPr>
                      <pic:blipFill>
                        <a:blip r:embed="rId21"/>
                        <a:stretch/>
                      </pic:blipFill>
                      <pic:spPr bwMode="auto">
                        <a:xfrm>
                          <a:off x="0" y="0"/>
                          <a:ext cx="728382" cy="2476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position:absolute;z-index:251661312;o:allowoverlap:true;o:allowincell:true;mso-position-horizontal-relative:text;margin-left:229.3pt;mso-position-horizontal:absolute;mso-position-vertical-relative:text;margin-top:19.9pt;mso-position-vertical:absolute;width:57.3pt;height:19.5pt;mso-wrap-distance-left:9.0pt;mso-wrap-distance-top:0.0pt;mso-wrap-distance-right:9.0pt;mso-wrap-distance-bottom:0.0pt;" stroked="f">
                <v:path textboxrect="0,0,0,0"/>
                <v:imagedata r:id="rId21" o:title=""/>
              </v:shape>
            </w:pict>
          </mc:Fallback>
        </mc:AlternateContent>
      </w:r>
      <w:r>
        <w:rPr>
          <w:rFonts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1821180</wp:posOffset>
                </wp:positionH>
                <wp:positionV relativeFrom="paragraph">
                  <wp:posOffset>253365</wp:posOffset>
                </wp:positionV>
                <wp:extent cx="728345" cy="247650"/>
                <wp:effectExtent l="0" t="0" r="14604" b="0"/>
                <wp:wrapNone/>
                <wp:docPr id="8" name="图片 1" descr="C:\Users\Administrator\AppData\Local\Temp\ksohtml13132\wps2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1" descr="C:\Users\Administrator\AppData\Local\Temp\ksohtml13132\wps25.png"/>
                        <pic:cNvPicPr>
                          <a:picLocks noChangeAspect="1"/>
                        </pic:cNvPicPr>
                        <pic:nvPr/>
                      </pic:nvPicPr>
                      <pic:blipFill>
                        <a:blip r:embed="rId21"/>
                        <a:stretch/>
                      </pic:blipFill>
                      <pic:spPr bwMode="auto">
                        <a:xfrm>
                          <a:off x="0" y="0"/>
                          <a:ext cx="728382" cy="2476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position:absolute;z-index:251660288;o:allowoverlap:true;o:allowincell:true;mso-position-horizontal-relative:text;margin-left:143.4pt;mso-position-horizontal:absolute;mso-position-vertical-relative:text;margin-top:19.9pt;mso-position-vertical:absolute;width:57.3pt;height:19.5pt;mso-wrap-distance-left:9.0pt;mso-wrap-distance-top:0.0pt;mso-wrap-distance-right:9.0pt;mso-wrap-distance-bottom:0.0pt;" stroked="f">
                <v:path textboxrect="0,0,0,0"/>
                <v:imagedata r:id="rId21" o:title=""/>
              </v:shape>
            </w:pict>
          </mc:Fallback>
        </mc:AlternateContent>
      </w:r>
      <w:r>
        <w:rPr>
          <w:rFonts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4810125</wp:posOffset>
                </wp:positionH>
                <wp:positionV relativeFrom="paragraph">
                  <wp:posOffset>5715</wp:posOffset>
                </wp:positionV>
                <wp:extent cx="728345" cy="247650"/>
                <wp:effectExtent l="0" t="0" r="14604" b="0"/>
                <wp:wrapNone/>
                <wp:docPr id="9" name="图片 24" descr="C:\Users\Administrator\AppData\Local\Temp\ksohtml13132\wps2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24" descr="C:\Users\Administrator\AppData\Local\Temp\ksohtml13132\wps25.png"/>
                        <pic:cNvPicPr>
                          <a:picLocks noChangeAspect="1"/>
                        </pic:cNvPicPr>
                        <pic:nvPr/>
                      </pic:nvPicPr>
                      <pic:blipFill>
                        <a:blip r:embed="rId21"/>
                        <a:stretch/>
                      </pic:blipFill>
                      <pic:spPr bwMode="auto">
                        <a:xfrm>
                          <a:off x="0" y="0"/>
                          <a:ext cx="728382" cy="2476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position:absolute;z-index:251659264;o:allowoverlap:true;o:allowincell:true;mso-position-horizontal-relative:text;margin-left:378.8pt;mso-position-horizontal:absolute;mso-position-vertical-relative:text;margin-top:0.4pt;mso-position-vertical:absolute;width:57.3pt;height:19.5pt;mso-wrap-distance-left:9.0pt;mso-wrap-distance-top:0.0pt;mso-wrap-distance-right:9.0pt;mso-wrap-distance-bottom:0.0pt;" stroked="f">
                <v:path textboxrect="0,0,0,0"/>
                <v:imagedata r:id="rId21" o:title=""/>
              </v:shape>
            </w:pict>
          </mc:Fallback>
        </mc:AlternateContent>
      </w:r>
      <w:r>
        <w:rPr>
          <w:rFonts w:cs="宋体"/>
          <w:color w:val="auto"/>
          <w:highlight w:val="none"/>
          <w:shd w:val="clear" w:color="auto" w:fill="ffffff"/>
        </w:rPr>
        <w:t xml:space="preserve">1.</w:t>
      </w:r>
      <w:r>
        <w:rPr>
          <w:rStyle w:val="1094"/>
          <w:rFonts w:hint="eastAsia" w:ascii="宋体" w:hAnsi="宋体" w:cs="宋体"/>
          <w:i w:val="0"/>
          <w:color w:val="auto"/>
          <w:highlight w:val="none"/>
          <w:u w:val="single"/>
          <w:shd w:val="clear" w:color="auto" w:fill="ffffff"/>
        </w:rPr>
        <w:t xml:space="preserve">（产品名称1）</w:t>
      </w:r>
      <w:r>
        <w:rPr>
          <w:rStyle w:val="1094"/>
          <w:rFonts w:hint="eastAsia" w:ascii="宋体" w:hAnsi="宋体" w:cs="宋体"/>
          <w:i w:val="0"/>
          <w:color w:val="auto"/>
          <w:highlight w:val="none"/>
          <w:shd w:val="clear" w:color="auto" w:fill="ffffff"/>
          <w:vertAlign w:val="superscript"/>
        </w:rPr>
        <w:t xml:space="preserve">1</w:t>
      </w:r>
      <w:r>
        <w:rPr>
          <w:rFonts w:cs="宋体"/>
          <w:color w:val="auto"/>
          <w:highlight w:val="none"/>
          <w:shd w:val="clear" w:color="auto" w:fill="ffffff"/>
        </w:rPr>
        <w:t xml:space="preserve">，生产厂为</w:t>
      </w:r>
      <w:r>
        <w:rPr>
          <w:rStyle w:val="1094"/>
          <w:rFonts w:hint="eastAsia" w:ascii="宋体" w:hAnsi="宋体" w:cs="宋体"/>
          <w:i w:val="0"/>
          <w:color w:val="auto"/>
          <w:highlight w:val="none"/>
          <w:u w:val="single"/>
          <w:shd w:val="clear" w:color="auto" w:fill="ffffff"/>
        </w:rPr>
        <w:t xml:space="preserve">（厂名）</w:t>
      </w:r>
      <w:r>
        <w:rPr>
          <w:rStyle w:val="1094"/>
          <w:rFonts w:hint="eastAsia" w:ascii="宋体" w:hAnsi="宋体" w:cs="宋体"/>
          <w:i w:val="0"/>
          <w:color w:val="auto"/>
          <w:highlight w:val="none"/>
          <w:shd w:val="clear" w:color="auto" w:fill="ffffff"/>
          <w:vertAlign w:val="superscript"/>
        </w:rPr>
        <w:t xml:space="preserve">2</w:t>
      </w:r>
      <w:r>
        <w:rPr>
          <w:rFonts w:cs="宋体"/>
          <w:color w:val="auto"/>
          <w:highlight w:val="none"/>
          <w:shd w:val="clear" w:color="auto" w:fill="ffffff"/>
        </w:rPr>
        <w:t xml:space="preserve">，厂址为</w:t>
      </w:r>
      <w:r>
        <w:rPr>
          <w:rStyle w:val="1094"/>
          <w:rFonts w:hint="eastAsia" w:ascii="宋体" w:hAnsi="宋体" w:cs="宋体"/>
          <w:i w:val="0"/>
          <w:color w:val="auto"/>
          <w:highlight w:val="none"/>
          <w:u w:val="single"/>
          <w:shd w:val="clear" w:color="auto" w:fill="ffffff"/>
        </w:rPr>
        <w:t xml:space="preserve">（生产厂址）</w:t>
      </w:r>
      <w:r>
        <w:rPr>
          <w:rFonts w:cs="宋体"/>
          <w:color w:val="auto"/>
          <w:highlight w:val="none"/>
          <w:shd w:val="clear" w:color="auto" w:fill="ffffff"/>
        </w:rPr>
        <w:t xml:space="preserve">。</w:t>
      </w:r>
      <w:r>
        <w:rPr>
          <w:rFonts w:cs="宋体"/>
          <w:color w:val="auto"/>
          <w:highlight w:val="none"/>
          <w:u w:val="single"/>
          <w:shd w:val="clear" w:color="auto" w:fill="ffffff"/>
        </w:rPr>
        <w:t xml:space="preserve"> </w:t>
      </w:r>
      <w:r>
        <w:rPr>
          <w:rStyle w:val="1094"/>
          <w:rFonts w:hint="eastAsia" w:ascii="宋体" w:hAnsi="宋体" w:cs="宋体"/>
          <w:i w:val="0"/>
          <w:color w:val="auto"/>
          <w:highlight w:val="none"/>
          <w:u w:val="single"/>
          <w:shd w:val="clear" w:color="auto" w:fill="ffffff"/>
        </w:rPr>
        <w:t xml:space="preserve">（产品名称1） </w:t>
      </w:r>
      <w:r>
        <w:rPr>
          <w:rFonts w:cs="宋体"/>
          <w:color w:val="auto"/>
          <w:highlight w:val="none"/>
          <w:shd w:val="clear" w:color="auto" w:fill="ffffff"/>
        </w:rPr>
        <w:t xml:space="preserve">的中国境内生产的组件成本占比≥</w:t>
      </w:r>
      <w:r>
        <w:rPr>
          <w:rStyle w:val="1094"/>
          <w:rFonts w:hint="eastAsia" w:ascii="宋体" w:hAnsi="宋体" w:cs="宋体"/>
          <w:i w:val="0"/>
          <w:color w:val="auto"/>
          <w:highlight w:val="none"/>
          <w:u w:val="single"/>
          <w:shd w:val="clear" w:color="auto" w:fill="ffffff"/>
        </w:rPr>
        <w:t xml:space="preserve">（规定比例）</w:t>
      </w:r>
      <w:r>
        <w:rPr>
          <w:rStyle w:val="1094"/>
          <w:rFonts w:hint="eastAsia" w:ascii="宋体" w:hAnsi="宋体" w:cs="宋体"/>
          <w:i w:val="0"/>
          <w:color w:val="auto"/>
          <w:highlight w:val="none"/>
          <w:shd w:val="clear" w:color="auto" w:fill="ffffff"/>
          <w:vertAlign w:val="superscript"/>
        </w:rPr>
        <w:t xml:space="preserve">3</w:t>
      </w:r>
      <w:r>
        <w:rPr>
          <w:rFonts w:cs="宋体"/>
          <w:color w:val="auto"/>
          <w:highlight w:val="none"/>
          <w:shd w:val="clear" w:color="auto" w:fill="ffffff"/>
        </w:rPr>
        <w:t xml:space="preserve">。</w:t>
      </w:r>
      <w:r>
        <w:rPr>
          <w:rStyle w:val="1094"/>
          <w:rFonts w:hint="eastAsia" w:ascii="宋体" w:hAnsi="宋体" w:cs="宋体"/>
          <w:i w:val="0"/>
          <w:color w:val="auto"/>
          <w:highlight w:val="none"/>
          <w:u w:val="single"/>
          <w:shd w:val="clear" w:color="auto" w:fill="ffffff"/>
        </w:rPr>
        <w:t xml:space="preserve">（产品名称1）</w:t>
      </w:r>
      <w:r>
        <w:rPr>
          <w:rFonts w:cs="宋体"/>
          <w:color w:val="auto"/>
          <w:highlight w:val="none"/>
          <w:shd w:val="clear" w:color="auto" w:fill="ffffff"/>
        </w:rPr>
        <w:t xml:space="preserve">的</w:t>
      </w:r>
      <w:r>
        <w:rPr>
          <w:rStyle w:val="1094"/>
          <w:rFonts w:hint="eastAsia" w:ascii="宋体" w:hAnsi="宋体" w:cs="宋体"/>
          <w:i w:val="0"/>
          <w:color w:val="auto"/>
          <w:highlight w:val="none"/>
          <w:u w:val="single"/>
          <w:shd w:val="clear" w:color="auto" w:fill="ffffff"/>
        </w:rPr>
        <w:t xml:space="preserve">（关键组件）</w:t>
      </w:r>
      <w:r>
        <w:rPr>
          <w:rStyle w:val="1094"/>
          <w:rFonts w:hint="eastAsia" w:ascii="宋体" w:hAnsi="宋体" w:cs="宋体"/>
          <w:i w:val="0"/>
          <w:color w:val="auto"/>
          <w:highlight w:val="none"/>
          <w:shd w:val="clear" w:color="auto" w:fill="ffffff"/>
          <w:vertAlign w:val="superscript"/>
        </w:rPr>
        <w:t xml:space="preserve">4</w:t>
      </w:r>
      <w:r>
        <w:rPr>
          <w:rFonts w:cs="宋体"/>
          <w:color w:val="auto"/>
          <w:highlight w:val="none"/>
          <w:shd w:val="clear" w:color="auto" w:fill="ffffff"/>
        </w:rPr>
        <w:t xml:space="preserve">在中国境内生产。</w:t>
      </w:r>
      <w:r>
        <w:rPr>
          <w:rStyle w:val="1094"/>
          <w:rFonts w:hint="eastAsia" w:ascii="宋体" w:hAnsi="宋体" w:cs="宋体"/>
          <w:i w:val="0"/>
          <w:color w:val="auto"/>
          <w:highlight w:val="none"/>
          <w:u w:val="single"/>
          <w:shd w:val="clear" w:color="auto" w:fill="ffffff"/>
        </w:rPr>
        <w:t xml:space="preserve">（产品名称1）</w:t>
      </w:r>
      <w:r>
        <w:rPr>
          <w:rFonts w:cs="宋体"/>
          <w:color w:val="auto"/>
          <w:highlight w:val="none"/>
          <w:shd w:val="clear" w:color="auto" w:fill="ffffff"/>
        </w:rPr>
        <w:t xml:space="preserve">的</w:t>
      </w:r>
      <w:r>
        <w:rPr>
          <w:rStyle w:val="1094"/>
          <w:rFonts w:hint="eastAsia" w:ascii="宋体" w:hAnsi="宋体" w:cs="宋体"/>
          <w:i w:val="0"/>
          <w:color w:val="auto"/>
          <w:highlight w:val="none"/>
          <w:u w:val="single"/>
          <w:shd w:val="clear" w:color="auto" w:fill="ffffff"/>
        </w:rPr>
        <w:t xml:space="preserve">（关键工序）</w:t>
      </w:r>
      <w:r>
        <w:rPr>
          <w:rStyle w:val="1094"/>
          <w:rFonts w:hint="eastAsia" w:ascii="宋体" w:hAnsi="宋体" w:cs="宋体"/>
          <w:i w:val="0"/>
          <w:color w:val="auto"/>
          <w:highlight w:val="none"/>
          <w:shd w:val="clear" w:color="auto" w:fill="ffffff"/>
          <w:vertAlign w:val="superscript"/>
        </w:rPr>
        <w:t xml:space="preserve">5</w:t>
      </w:r>
      <w:r>
        <w:rPr>
          <w:rFonts w:cs="宋体"/>
          <w:color w:val="auto"/>
          <w:highlight w:val="none"/>
          <w:shd w:val="clear" w:color="auto" w:fill="ffffff"/>
        </w:rPr>
        <w:t xml:space="preserve">在中国境内完成。</w:t>
      </w:r>
      <w:r/>
    </w:p>
    <w:p>
      <w:pPr>
        <w:pStyle w:val="993"/>
        <w:ind w:firstLine="420"/>
        <w:spacing w:before="0" w:after="30" w:line="360" w:lineRule="auto"/>
        <w:rPr>
          <w:rFonts w:hint="default" w:cs="宋体"/>
          <w:color w:val="auto"/>
          <w:highlight w:val="none"/>
        </w:rPr>
      </w:pPr>
      <w:r>
        <w:rPr>
          <w:rFonts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728980</wp:posOffset>
                </wp:positionH>
                <wp:positionV relativeFrom="paragraph">
                  <wp:posOffset>495300</wp:posOffset>
                </wp:positionV>
                <wp:extent cx="728345" cy="247650"/>
                <wp:effectExtent l="0" t="0" r="14604" b="0"/>
                <wp:wrapNone/>
                <wp:docPr id="10" name="图片 11" descr="C:\Users\Administrator\AppData\Local\Temp\ksohtml13132\wps2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11" descr="C:\Users\Administrator\AppData\Local\Temp\ksohtml13132\wps25.png"/>
                        <pic:cNvPicPr>
                          <a:picLocks noChangeAspect="1"/>
                        </pic:cNvPicPr>
                        <pic:nvPr/>
                      </pic:nvPicPr>
                      <pic:blipFill>
                        <a:blip r:embed="rId21"/>
                        <a:stretch/>
                      </pic:blipFill>
                      <pic:spPr bwMode="auto">
                        <a:xfrm>
                          <a:off x="0" y="0"/>
                          <a:ext cx="728382" cy="2476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position:absolute;z-index:251670528;o:allowoverlap:true;o:allowincell:true;mso-position-horizontal-relative:text;margin-left:57.4pt;mso-position-horizontal:absolute;mso-position-vertical-relative:text;margin-top:39.0pt;mso-position-vertical:absolute;width:57.3pt;height:19.5pt;mso-wrap-distance-left:9.0pt;mso-wrap-distance-top:0.0pt;mso-wrap-distance-right:9.0pt;mso-wrap-distance-bottom:0.0pt;" stroked="f">
                <v:path textboxrect="0,0,0,0"/>
                <v:imagedata r:id="rId21" o:title=""/>
              </v:shape>
            </w:pict>
          </mc:Fallback>
        </mc:AlternateContent>
      </w:r>
      <w:r>
        <w:rPr>
          <w:rFonts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margin">
                  <wp:posOffset>-130810</wp:posOffset>
                </wp:positionH>
                <wp:positionV relativeFrom="paragraph">
                  <wp:posOffset>495300</wp:posOffset>
                </wp:positionV>
                <wp:extent cx="728345" cy="247650"/>
                <wp:effectExtent l="0" t="0" r="14604" b="0"/>
                <wp:wrapNone/>
                <wp:docPr id="11" name="图片 10" descr="C:\Users\Administrator\AppData\Local\Temp\ksohtml13132\wps2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0" descr="C:\Users\Administrator\AppData\Local\Temp\ksohtml13132\wps25.png"/>
                        <pic:cNvPicPr>
                          <a:picLocks noChangeAspect="1"/>
                        </pic:cNvPicPr>
                        <pic:nvPr/>
                      </pic:nvPicPr>
                      <pic:blipFill>
                        <a:blip r:embed="rId21"/>
                        <a:stretch/>
                      </pic:blipFill>
                      <pic:spPr bwMode="auto">
                        <a:xfrm>
                          <a:off x="0" y="0"/>
                          <a:ext cx="728382" cy="2476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position:absolute;z-index:251669504;o:allowoverlap:true;o:allowincell:true;mso-position-horizontal-relative:margin;margin-left:-10.3pt;mso-position-horizontal:absolute;mso-position-vertical-relative:text;margin-top:39.0pt;mso-position-vertical:absolute;width:57.3pt;height:19.5pt;mso-wrap-distance-left:9.0pt;mso-wrap-distance-top:0.0pt;mso-wrap-distance-right:9.0pt;mso-wrap-distance-bottom:0.0pt;" stroked="f">
                <v:path textboxrect="0,0,0,0"/>
                <v:imagedata r:id="rId21" o:title=""/>
              </v:shape>
            </w:pict>
          </mc:Fallback>
        </mc:AlternateContent>
      </w:r>
      <w:r>
        <w:rPr>
          <w:rFonts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3733800</wp:posOffset>
                </wp:positionH>
                <wp:positionV relativeFrom="paragraph">
                  <wp:posOffset>247650</wp:posOffset>
                </wp:positionV>
                <wp:extent cx="728345" cy="247650"/>
                <wp:effectExtent l="0" t="0" r="14604" b="0"/>
                <wp:wrapNone/>
                <wp:docPr id="12" name="图片 12" descr="C:\Users\Administrator\AppData\Local\Temp\ksohtml13132\wps2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2" descr="C:\Users\Administrator\AppData\Local\Temp\ksohtml13132\wps25.png"/>
                        <pic:cNvPicPr>
                          <a:picLocks noChangeAspect="1"/>
                        </pic:cNvPicPr>
                        <pic:nvPr/>
                      </pic:nvPicPr>
                      <pic:blipFill>
                        <a:blip r:embed="rId21"/>
                        <a:stretch/>
                      </pic:blipFill>
                      <pic:spPr bwMode="auto">
                        <a:xfrm>
                          <a:off x="0" y="0"/>
                          <a:ext cx="728382" cy="2476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position:absolute;z-index:251668480;o:allowoverlap:true;o:allowincell:true;mso-position-horizontal-relative:text;margin-left:294.0pt;mso-position-horizontal:absolute;mso-position-vertical-relative:text;margin-top:19.5pt;mso-position-vertical:absolute;width:57.3pt;height:19.5pt;mso-wrap-distance-left:9.0pt;mso-wrap-distance-top:0.0pt;mso-wrap-distance-right:9.0pt;mso-wrap-distance-bottom:0.0pt;" stroked="f">
                <v:path textboxrect="0,0,0,0"/>
                <v:imagedata r:id="rId21" o:title=""/>
              </v:shape>
            </w:pict>
          </mc:Fallback>
        </mc:AlternateContent>
      </w:r>
      <w:r>
        <w:rPr>
          <w:rFonts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2616835</wp:posOffset>
                </wp:positionH>
                <wp:positionV relativeFrom="paragraph">
                  <wp:posOffset>247650</wp:posOffset>
                </wp:positionV>
                <wp:extent cx="728345" cy="247650"/>
                <wp:effectExtent l="0" t="0" r="14604" b="0"/>
                <wp:wrapNone/>
                <wp:docPr id="13" name="图片 8" descr="C:\Users\Administrator\AppData\Local\Temp\ksohtml13132\wps2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8" descr="C:\Users\Administrator\AppData\Local\Temp\ksohtml13132\wps25.png"/>
                        <pic:cNvPicPr>
                          <a:picLocks noChangeAspect="1"/>
                        </pic:cNvPicPr>
                        <pic:nvPr/>
                      </pic:nvPicPr>
                      <pic:blipFill>
                        <a:blip r:embed="rId21"/>
                        <a:stretch/>
                      </pic:blipFill>
                      <pic:spPr bwMode="auto">
                        <a:xfrm>
                          <a:off x="0" y="0"/>
                          <a:ext cx="728382" cy="2476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position:absolute;z-index:251667456;o:allowoverlap:true;o:allowincell:true;mso-position-horizontal-relative:text;margin-left:206.0pt;mso-position-horizontal:absolute;mso-position-vertical-relative:text;margin-top:19.5pt;mso-position-vertical:absolute;width:57.3pt;height:19.5pt;mso-wrap-distance-left:9.0pt;mso-wrap-distance-top:0.0pt;mso-wrap-distance-right:9.0pt;mso-wrap-distance-bottom:0.0pt;" stroked="f">
                <v:path textboxrect="0,0,0,0"/>
                <v:imagedata r:id="rId21" o:title=""/>
              </v:shape>
            </w:pict>
          </mc:Fallback>
        </mc:AlternateContent>
      </w:r>
      <w:r>
        <w:rPr>
          <w:rFonts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1457325</wp:posOffset>
                </wp:positionH>
                <wp:positionV relativeFrom="paragraph">
                  <wp:posOffset>247650</wp:posOffset>
                </wp:positionV>
                <wp:extent cx="728345" cy="247650"/>
                <wp:effectExtent l="0" t="0" r="14604" b="0"/>
                <wp:wrapNone/>
                <wp:docPr id="14" name="图片 7" descr="C:\Users\Administrator\AppData\Local\Temp\ksohtml13132\wps2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7" descr="C:\Users\Administrator\AppData\Local\Temp\ksohtml13132\wps25.png"/>
                        <pic:cNvPicPr>
                          <a:picLocks noChangeAspect="1"/>
                        </pic:cNvPicPr>
                        <pic:nvPr/>
                      </pic:nvPicPr>
                      <pic:blipFill>
                        <a:blip r:embed="rId21"/>
                        <a:stretch/>
                      </pic:blipFill>
                      <pic:spPr bwMode="auto">
                        <a:xfrm>
                          <a:off x="0" y="0"/>
                          <a:ext cx="728382" cy="2476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position:absolute;z-index:251666432;o:allowoverlap:true;o:allowincell:true;mso-position-horizontal-relative:text;margin-left:114.8pt;mso-position-horizontal:absolute;mso-position-vertical-relative:text;margin-top:19.5pt;mso-position-vertical:absolute;width:57.3pt;height:19.5pt;mso-wrap-distance-left:9.0pt;mso-wrap-distance-top:0.0pt;mso-wrap-distance-right:9.0pt;mso-wrap-distance-bottom:0.0pt;" stroked="f">
                <v:path textboxrect="0,0,0,0"/>
                <v:imagedata r:id="rId21" o:title=""/>
              </v:shape>
            </w:pict>
          </mc:Fallback>
        </mc:AlternateContent>
      </w:r>
      <w:r>
        <w:rPr>
          <w:rFonts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4686300</wp:posOffset>
                </wp:positionH>
                <wp:positionV relativeFrom="paragraph">
                  <wp:posOffset>0</wp:posOffset>
                </wp:positionV>
                <wp:extent cx="728345" cy="247650"/>
                <wp:effectExtent l="0" t="0" r="14604" b="0"/>
                <wp:wrapNone/>
                <wp:docPr id="15" name="图片 6" descr="C:\Users\Administrator\AppData\Local\Temp\ksohtml13132\wps2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6" descr="C:\Users\Administrator\AppData\Local\Temp\ksohtml13132\wps25.png"/>
                        <pic:cNvPicPr>
                          <a:picLocks noChangeAspect="1"/>
                        </pic:cNvPicPr>
                        <pic:nvPr/>
                      </pic:nvPicPr>
                      <pic:blipFill>
                        <a:blip r:embed="rId21"/>
                        <a:stretch/>
                      </pic:blipFill>
                      <pic:spPr bwMode="auto">
                        <a:xfrm>
                          <a:off x="0" y="0"/>
                          <a:ext cx="728382" cy="2476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position:absolute;z-index:251665408;o:allowoverlap:true;o:allowincell:true;mso-position-horizontal-relative:text;margin-left:369.0pt;mso-position-horizontal:absolute;mso-position-vertical-relative:text;margin-top:0.0pt;mso-position-vertical:absolute;width:57.3pt;height:19.5pt;mso-wrap-distance-left:9.0pt;mso-wrap-distance-top:0.0pt;mso-wrap-distance-right:9.0pt;mso-wrap-distance-bottom:0.0pt;" stroked="f">
                <v:path textboxrect="0,0,0,0"/>
                <v:imagedata r:id="rId21" o:title=""/>
              </v:shape>
            </w:pict>
          </mc:Fallback>
        </mc:AlternateContent>
      </w:r>
      <w:r>
        <w:rPr>
          <w:rFonts w:cs="宋体"/>
          <w:color w:val="auto"/>
          <w:highlight w:val="none"/>
          <w:shd w:val="clear" w:color="auto" w:fill="ffffff"/>
        </w:rPr>
        <w:t xml:space="preserve">2.</w:t>
      </w:r>
      <w:r>
        <w:rPr>
          <w:rStyle w:val="1094"/>
          <w:rFonts w:hint="eastAsia" w:ascii="宋体" w:hAnsi="宋体" w:cs="宋体"/>
          <w:i w:val="0"/>
          <w:color w:val="auto"/>
          <w:highlight w:val="none"/>
          <w:u w:val="single"/>
          <w:shd w:val="clear" w:color="auto" w:fill="ffffff"/>
        </w:rPr>
        <w:t xml:space="preserve">（产品名称2）</w:t>
      </w:r>
      <w:r>
        <w:rPr>
          <w:rFonts w:cs="宋体"/>
          <w:color w:val="auto"/>
          <w:highlight w:val="none"/>
          <w:shd w:val="clear" w:color="auto" w:fill="ffffff"/>
        </w:rPr>
        <w:t xml:space="preserve">，生产厂为</w:t>
      </w:r>
      <w:r>
        <w:rPr>
          <w:rStyle w:val="1094"/>
          <w:rFonts w:hint="eastAsia" w:ascii="宋体" w:hAnsi="宋体" w:cs="宋体"/>
          <w:i w:val="0"/>
          <w:color w:val="auto"/>
          <w:highlight w:val="none"/>
          <w:u w:val="single"/>
          <w:shd w:val="clear" w:color="auto" w:fill="ffffff"/>
        </w:rPr>
        <w:t xml:space="preserve">（厂名）</w:t>
      </w:r>
      <w:r>
        <w:rPr>
          <w:rFonts w:cs="宋体"/>
          <w:color w:val="auto"/>
          <w:highlight w:val="none"/>
          <w:shd w:val="clear" w:color="auto" w:fill="ffffff"/>
        </w:rPr>
        <w:t xml:space="preserve">，厂址为</w:t>
      </w:r>
      <w:r>
        <w:rPr>
          <w:rStyle w:val="1094"/>
          <w:rFonts w:hint="eastAsia" w:ascii="宋体" w:hAnsi="宋体" w:cs="宋体"/>
          <w:i w:val="0"/>
          <w:color w:val="auto"/>
          <w:highlight w:val="none"/>
          <w:u w:val="single"/>
          <w:shd w:val="clear" w:color="auto" w:fill="ffffff"/>
        </w:rPr>
        <w:t xml:space="preserve">（生产厂址）</w:t>
      </w:r>
      <w:r>
        <w:rPr>
          <w:rFonts w:cs="宋体"/>
          <w:color w:val="auto"/>
          <w:highlight w:val="none"/>
          <w:shd w:val="clear" w:color="auto" w:fill="ffffff"/>
        </w:rPr>
        <w:t xml:space="preserve">。</w:t>
      </w:r>
      <w:r>
        <w:rPr>
          <w:rStyle w:val="1094"/>
          <w:rFonts w:hint="eastAsia" w:ascii="宋体" w:hAnsi="宋体" w:cs="宋体"/>
          <w:i w:val="0"/>
          <w:color w:val="auto"/>
          <w:highlight w:val="none"/>
          <w:u w:val="single"/>
          <w:shd w:val="clear" w:color="auto" w:fill="ffffff"/>
        </w:rPr>
        <w:t xml:space="preserve">（产品名称2）</w:t>
      </w:r>
      <w:r>
        <w:rPr>
          <w:rFonts w:cs="宋体"/>
          <w:color w:val="auto"/>
          <w:highlight w:val="none"/>
          <w:shd w:val="clear" w:color="auto" w:fill="ffffff"/>
        </w:rPr>
        <w:t xml:space="preserve">的中国境内生产的组件成本占比≥</w:t>
      </w:r>
      <w:r>
        <w:rPr>
          <w:rStyle w:val="1094"/>
          <w:rFonts w:hint="eastAsia" w:ascii="宋体" w:hAnsi="宋体" w:cs="宋体"/>
          <w:i w:val="0"/>
          <w:color w:val="auto"/>
          <w:highlight w:val="none"/>
          <w:u w:val="single"/>
          <w:shd w:val="clear" w:color="auto" w:fill="ffffff"/>
        </w:rPr>
        <w:t xml:space="preserve">（规定比例）</w:t>
      </w:r>
      <w:r>
        <w:rPr>
          <w:rFonts w:cs="宋体"/>
          <w:color w:val="auto"/>
          <w:highlight w:val="none"/>
          <w:shd w:val="clear" w:color="auto" w:fill="ffffff"/>
        </w:rPr>
        <w:t xml:space="preserve">。</w:t>
      </w:r>
      <w:r>
        <w:rPr>
          <w:rStyle w:val="1094"/>
          <w:rFonts w:hint="eastAsia" w:ascii="宋体" w:hAnsi="宋体" w:cs="宋体"/>
          <w:i w:val="0"/>
          <w:color w:val="auto"/>
          <w:highlight w:val="none"/>
          <w:u w:val="single"/>
          <w:shd w:val="clear" w:color="auto" w:fill="ffffff"/>
        </w:rPr>
        <w:t xml:space="preserve">（产品名称2）</w:t>
      </w:r>
      <w:r>
        <w:rPr>
          <w:rFonts w:cs="宋体"/>
          <w:color w:val="auto"/>
          <w:highlight w:val="none"/>
          <w:shd w:val="clear" w:color="auto" w:fill="ffffff"/>
        </w:rPr>
        <w:t xml:space="preserve">的</w:t>
      </w:r>
      <w:r>
        <w:rPr>
          <w:rStyle w:val="1094"/>
          <w:rFonts w:hint="eastAsia" w:ascii="宋体" w:hAnsi="宋体" w:cs="宋体"/>
          <w:i w:val="0"/>
          <w:color w:val="auto"/>
          <w:highlight w:val="none"/>
          <w:u w:val="single"/>
          <w:shd w:val="clear" w:color="auto" w:fill="ffffff"/>
        </w:rPr>
        <w:t xml:space="preserve">（关键组件）</w:t>
      </w:r>
      <w:r>
        <w:rPr>
          <w:rFonts w:cs="宋体"/>
          <w:color w:val="auto"/>
          <w:highlight w:val="none"/>
          <w:shd w:val="clear" w:color="auto" w:fill="ffffff"/>
        </w:rPr>
        <w:t xml:space="preserve">在中国境内生产。</w:t>
      </w:r>
      <w:r>
        <w:rPr>
          <w:rStyle w:val="1094"/>
          <w:rFonts w:hint="eastAsia" w:ascii="宋体" w:hAnsi="宋体" w:cs="宋体"/>
          <w:i w:val="0"/>
          <w:color w:val="auto"/>
          <w:highlight w:val="none"/>
          <w:u w:val="single"/>
          <w:shd w:val="clear" w:color="auto" w:fill="ffffff"/>
        </w:rPr>
        <w:t xml:space="preserve">（产品名称1）</w:t>
      </w:r>
      <w:r>
        <w:rPr>
          <w:rFonts w:cs="宋体"/>
          <w:color w:val="auto"/>
          <w:highlight w:val="none"/>
          <w:shd w:val="clear" w:color="auto" w:fill="ffffff"/>
        </w:rPr>
        <w:t xml:space="preserve">的</w:t>
      </w:r>
      <w:r>
        <w:rPr>
          <w:rStyle w:val="1094"/>
          <w:rFonts w:hint="eastAsia" w:ascii="宋体" w:hAnsi="宋体" w:cs="宋体"/>
          <w:i w:val="0"/>
          <w:color w:val="auto"/>
          <w:highlight w:val="none"/>
          <w:u w:val="single"/>
          <w:shd w:val="clear" w:color="auto" w:fill="ffffff"/>
        </w:rPr>
        <w:t xml:space="preserve">（关键工序）</w:t>
      </w:r>
      <w:r>
        <w:rPr>
          <w:rFonts w:cs="宋体"/>
          <w:color w:val="auto"/>
          <w:highlight w:val="none"/>
          <w:shd w:val="clear" w:color="auto" w:fill="ffffff"/>
        </w:rPr>
        <w:t xml:space="preserve">在中国境内完成。</w:t>
      </w:r>
      <w:r/>
    </w:p>
    <w:p>
      <w:pPr>
        <w:pStyle w:val="993"/>
        <w:ind w:firstLine="420"/>
        <w:spacing w:before="30" w:after="30" w:line="360" w:lineRule="auto"/>
        <w:rPr>
          <w:rFonts w:hint="default" w:cs="宋体"/>
          <w:color w:val="auto"/>
          <w:highlight w:val="none"/>
        </w:rPr>
      </w:pPr>
      <w:r>
        <w:rPr>
          <w:rFonts w:cs="宋体"/>
          <w:color w:val="auto"/>
          <w:highlight w:val="none"/>
          <w:shd w:val="clear" w:color="auto" w:fill="ffffff"/>
        </w:rPr>
        <w:t xml:space="preserve">……</w:t>
      </w:r>
      <w:r/>
    </w:p>
    <w:p>
      <w:pPr>
        <w:pStyle w:val="993"/>
        <w:ind w:firstLine="420"/>
        <w:spacing w:before="30" w:after="30" w:line="360" w:lineRule="auto"/>
        <w:rPr>
          <w:rFonts w:hint="default" w:cs="宋体"/>
          <w:color w:val="auto"/>
          <w:highlight w:val="none"/>
        </w:rPr>
      </w:pPr>
      <w:r>
        <w:rPr>
          <w:rFonts w:cs="宋体"/>
          <w:color w:val="auto"/>
          <w:highlight w:val="none"/>
          <w:shd w:val="clear" w:color="auto" w:fill="ffffff"/>
        </w:rPr>
        <w:t xml:space="preserve">本公司（单位）对上述声明内容的真实性负责。如有虚假，愿承担相应法律责任。</w:t>
      </w:r>
      <w:r/>
    </w:p>
    <w:p>
      <w:pPr>
        <w:pStyle w:val="993"/>
        <w:jc w:val="right"/>
        <w:spacing w:before="30" w:after="30" w:line="360" w:lineRule="auto"/>
        <w:rPr>
          <w:rFonts w:hint="default" w:cs="宋体"/>
          <w:color w:val="auto"/>
          <w:highlight w:val="none"/>
        </w:rPr>
      </w:pPr>
      <w:r>
        <w:rPr>
          <w:rFonts w:cs="宋体"/>
          <w:color w:val="auto"/>
          <w:highlight w:val="none"/>
          <w:shd w:val="clear" w:color="auto" w:fill="ffffff"/>
        </w:rPr>
        <w:t xml:space="preserve">公司（单位）名称（盖章）：         </w:t>
      </w:r>
      <w:r/>
    </w:p>
    <w:p>
      <w:pPr>
        <w:pStyle w:val="993"/>
        <w:jc w:val="center"/>
        <w:spacing w:before="30" w:after="30" w:line="360" w:lineRule="auto"/>
        <w:rPr>
          <w:rFonts w:hint="default" w:cs="宋体"/>
          <w:color w:val="auto"/>
          <w:highlight w:val="none"/>
        </w:rPr>
      </w:pPr>
      <w:r>
        <w:rPr>
          <w:rFonts w:cs="宋体"/>
          <w:color w:val="auto"/>
          <w:highlight w:val="none"/>
          <w:shd w:val="clear" w:color="auto" w:fill="ffffff"/>
        </w:rPr>
        <w:t xml:space="preserve">                                          日期：    年   月   日         </w:t>
      </w:r>
      <w:r/>
    </w:p>
    <w:p>
      <w:pPr>
        <w:pStyle w:val="993"/>
        <w:spacing w:before="30" w:after="30" w:line="360" w:lineRule="auto"/>
        <w:rPr>
          <w:rFonts w:hint="default" w:cs="宋体"/>
          <w:color w:val="auto"/>
          <w:highlight w:val="none"/>
        </w:rPr>
      </w:pPr>
      <w:r>
        <w:rPr>
          <w:rFonts w:cs="宋体"/>
          <w:color w:val="auto"/>
          <w:highlight w:val="none"/>
          <w:shd w:val="clear" w:color="auto" w:fill="ffffff"/>
        </w:rPr>
        <w:t xml:space="preserve">__________________</w:t>
      </w:r>
      <w:r/>
    </w:p>
    <w:p>
      <w:pPr>
        <w:pStyle w:val="993"/>
        <w:spacing w:before="30" w:after="30" w:line="360" w:lineRule="auto"/>
        <w:rPr>
          <w:rFonts w:hint="default" w:cs="宋体"/>
          <w:color w:val="auto"/>
          <w:highlight w:val="none"/>
        </w:rPr>
      </w:pPr>
      <w:r>
        <w:rPr>
          <w:rFonts w:cs="宋体"/>
          <w:color w:val="auto"/>
          <w:highlight w:val="none"/>
          <w:shd w:val="clear" w:color="auto" w:fill="ffffff"/>
        </w:rPr>
        <w:t xml:space="preserve">1.产品如有型号，请在“产品名称”栏一并填写。</w:t>
      </w:r>
      <w:r/>
    </w:p>
    <w:p>
      <w:pPr>
        <w:pStyle w:val="993"/>
        <w:spacing w:before="30" w:after="30" w:line="360" w:lineRule="auto"/>
        <w:rPr>
          <w:rFonts w:hint="default" w:cs="宋体"/>
          <w:color w:val="auto"/>
          <w:highlight w:val="none"/>
        </w:rPr>
      </w:pPr>
      <w:r>
        <w:rPr>
          <w:rFonts w:cs="宋体"/>
          <w:color w:val="auto"/>
          <w:highlight w:val="none"/>
          <w:shd w:val="clear" w:color="auto" w:fill="ffffff"/>
        </w:rPr>
        <w:t xml:space="preserve">2.生产厂名与厂址应与生产厂营业执照载明的相关信息保持一致。</w:t>
      </w:r>
      <w:r/>
    </w:p>
    <w:p>
      <w:pPr>
        <w:pStyle w:val="993"/>
        <w:spacing w:before="30" w:after="30" w:line="360" w:lineRule="auto"/>
        <w:rPr>
          <w:rFonts w:hint="default" w:cs="宋体"/>
          <w:color w:val="auto"/>
          <w:highlight w:val="none"/>
        </w:rPr>
      </w:pPr>
      <w:r>
        <w:rPr>
          <w:rFonts w:cs="宋体"/>
          <w:color w:val="auto"/>
          <w:highlight w:val="none"/>
          <w:shd w:val="clear" w:color="auto" w:fill="ffffff"/>
        </w:rPr>
        <w:t xml:space="preserve">3.该产品的中国境内生产的组件成本占比相关要求实施前，“规定比例”栏可不填，下同。</w:t>
      </w:r>
      <w:r/>
    </w:p>
    <w:p>
      <w:pPr>
        <w:pStyle w:val="993"/>
        <w:spacing w:before="30" w:after="30" w:line="360" w:lineRule="auto"/>
        <w:rPr>
          <w:rFonts w:hint="default" w:cs="宋体"/>
          <w:color w:val="auto"/>
          <w:highlight w:val="none"/>
        </w:rPr>
      </w:pPr>
      <w:r>
        <w:rPr>
          <w:rFonts w:cs="宋体"/>
          <w:color w:val="auto"/>
          <w:highlight w:val="none"/>
          <w:shd w:val="clear" w:color="auto" w:fill="ffffff"/>
        </w:rPr>
        <w:t xml:space="preserve">4.该产品的关键组件要求实施前，“关键组件”栏可不填，下同。</w:t>
      </w:r>
      <w:r/>
    </w:p>
    <w:p>
      <w:pPr>
        <w:pStyle w:val="993"/>
        <w:spacing w:before="30" w:after="30" w:line="360" w:lineRule="auto"/>
        <w:rPr>
          <w:rFonts w:hint="default" w:cs="宋体"/>
          <w:color w:val="auto"/>
          <w:highlight w:val="none"/>
          <w:shd w:val="clear" w:color="auto" w:fill="ffffff"/>
        </w:rPr>
      </w:pPr>
      <w:r>
        <w:rPr>
          <w:rFonts w:cs="宋体"/>
          <w:color w:val="auto"/>
          <w:highlight w:val="none"/>
          <w:shd w:val="clear" w:color="auto" w:fill="ffffff"/>
        </w:rPr>
        <w:t xml:space="preserve">5.该产品的关键工序要求实施前，“关键工序”栏可不填，下同。</w:t>
      </w:r>
      <w:r/>
    </w:p>
    <w:p>
      <w:pPr>
        <w:jc w:val="left"/>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6.用斜线划除的地方无需填写。</w:t>
      </w:r>
      <w:r/>
    </w:p>
    <w:p>
      <w:pPr>
        <w:jc w:val="left"/>
        <w:spacing w:line="360" w:lineRule="auto"/>
        <w:rPr>
          <w:rFonts w:ascii="宋体" w:hAnsi="宋体" w:eastAsia="宋体" w:cs="宋体"/>
          <w:color w:val="auto"/>
          <w:sz w:val="24"/>
          <w:szCs w:val="24"/>
          <w:highlight w:val="none"/>
          <w:shd w:val="clear" w:color="auto" w:fill="ffffff"/>
        </w:rPr>
      </w:pPr>
      <w:r>
        <w:rPr>
          <w:rFonts w:ascii="宋体" w:hAnsi="宋体" w:eastAsia="宋体" w:cs="宋体"/>
          <w:color w:val="auto"/>
          <w:sz w:val="24"/>
          <w:szCs w:val="24"/>
          <w:highlight w:val="none"/>
          <w:shd w:val="clear" w:color="auto" w:fill="ffffff"/>
        </w:rPr>
      </w:r>
      <w:r/>
    </w:p>
    <w:p>
      <w:pPr>
        <w:jc w:val="cente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第四章 采购需求</w:t>
      </w:r>
      <w:r/>
    </w:p>
    <w:p>
      <w:pPr>
        <w:ind w:firstLine="480"/>
        <w:spacing w:line="360" w:lineRule="auto"/>
        <w:rPr>
          <w:rFonts w:ascii="宋体" w:hAnsi="宋体" w:eastAsia="宋体" w:cs="宋体"/>
          <w:color w:val="auto"/>
          <w:sz w:val="24"/>
          <w:szCs w:val="24"/>
          <w:highlight w:val="none"/>
        </w:rPr>
      </w:pPr>
      <w:r/>
      <w:bookmarkStart w:id="11" w:name="_Toc13642116"/>
      <w:r>
        <w:rPr>
          <w:rFonts w:hint="eastAsia" w:ascii="宋体" w:hAnsi="宋体" w:eastAsia="宋体" w:cs="宋体"/>
          <w:color w:val="auto"/>
          <w:sz w:val="24"/>
          <w:szCs w:val="24"/>
          <w:highlight w:val="none"/>
        </w:rPr>
        <w:t xml:space="preserve">苏州正杰招投标咨询服务有限公司受苏州市规划展示馆的委托，就其所需的</w:t>
      </w:r>
      <w:r>
        <w:rPr>
          <w:rFonts w:hint="eastAsia" w:ascii="宋体" w:hAnsi="宋体" w:eastAsia="宋体" w:cs="宋体"/>
          <w:color w:val="auto"/>
          <w:sz w:val="24"/>
          <w:szCs w:val="24"/>
          <w:highlight w:val="none"/>
        </w:rPr>
        <w:t xml:space="preserve">苏州市规划展示馆配电房设备采购项目</w:t>
      </w:r>
      <w:r>
        <w:rPr>
          <w:rFonts w:hint="eastAsia" w:ascii="宋体" w:hAnsi="宋体" w:eastAsia="宋体" w:cs="宋体"/>
          <w:color w:val="auto"/>
          <w:sz w:val="24"/>
          <w:szCs w:val="24"/>
          <w:highlight w:val="none"/>
        </w:rPr>
        <w:t xml:space="preserve">的采购进行公开招标，欢迎有资格的供应商前来参加投标。</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一、项目编号：</w:t>
      </w:r>
      <w:r>
        <w:rPr>
          <w:rFonts w:hint="eastAsia" w:ascii="宋体" w:hAnsi="宋体" w:eastAsia="宋体" w:cs="宋体"/>
          <w:bCs/>
          <w:color w:val="auto"/>
          <w:sz w:val="24"/>
          <w:szCs w:val="24"/>
          <w:highlight w:val="none"/>
          <w:lang w:eastAsia="zh-CN"/>
        </w:rPr>
        <w:t xml:space="preserve">JSZC-320500-SZZJ-G2026-0025</w:t>
      </w:r>
      <w:r>
        <w:rPr>
          <w:rFonts w:hint="eastAsia" w:ascii="宋体" w:hAnsi="宋体" w:eastAsia="宋体" w:cs="宋体"/>
          <w:bCs/>
          <w:color w:val="auto"/>
          <w:sz w:val="24"/>
          <w:szCs w:val="24"/>
          <w:highlight w:val="none"/>
        </w:rPr>
        <w:t xml:space="preserve">号。</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二、</w:t>
      </w:r>
      <w:bookmarkEnd w:id="11"/>
      <w:r/>
      <w:bookmarkStart w:id="12" w:name="_Toc13543213"/>
      <w:r>
        <w:rPr>
          <w:rFonts w:hint="eastAsia" w:ascii="宋体" w:hAnsi="宋体" w:eastAsia="宋体" w:cs="宋体"/>
          <w:bCs/>
          <w:color w:val="auto"/>
          <w:sz w:val="24"/>
          <w:szCs w:val="24"/>
          <w:highlight w:val="none"/>
        </w:rPr>
        <w:t xml:space="preserve">采购需求：</w:t>
      </w:r>
      <w:r/>
    </w:p>
    <w:p>
      <w:pPr>
        <w:ind w:firstLine="47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（一）标的物清单</w:t>
      </w:r>
      <w:r/>
    </w:p>
    <w:tbl>
      <w:tblPr>
        <w:tblStyle w:val="957"/>
        <w:tblW w:w="9664" w:type="dxa"/>
        <w:tblInd w:w="93" w:type="dxa"/>
        <w:tblLayout w:type="autofit"/>
        <w:tblCellMar>
          <w:left w:w="108" w:type="dxa"/>
          <w:top w:w="0" w:type="dxa"/>
          <w:right w:w="108" w:type="dxa"/>
          <w:bottom w:w="0" w:type="dxa"/>
        </w:tblCellMar>
        <w:tblLook w:val="04A0" w:firstRow="1" w:lastRow="0" w:firstColumn="1" w:lastColumn="0" w:noHBand="0" w:noVBand="1"/>
      </w:tblPr>
      <w:tblGrid>
        <w:gridCol w:w="540"/>
        <w:gridCol w:w="1452"/>
        <w:gridCol w:w="5962"/>
        <w:gridCol w:w="810"/>
        <w:gridCol w:w="900"/>
      </w:tblGrid>
      <w:tr>
        <w:trPr>
          <w:trHeight w:val="338"/>
        </w:trPr>
        <w:tc>
          <w:tcPr>
            <w:shd w:val="clear" w:color="ffffff" w:fill="ffffff"/>
            <w:tcBorders>
              <w:top w:val="single" w:color="000000" w:sz="4" w:space="0"/>
              <w:left w:val="single" w:color="000000" w:sz="4" w:space="0"/>
              <w:bottom w:val="single" w:color="000000" w:sz="4" w:space="0"/>
              <w:right w:val="single" w:color="000000" w:sz="4" w:space="0"/>
            </w:tcBorders>
            <w:tcW w:w="540" w:type="dxa"/>
            <w:vAlign w:val="center"/>
            <w:vMerge w:val="restart"/>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序号</w:t>
            </w:r>
            <w:r/>
          </w:p>
        </w:tc>
        <w:tc>
          <w:tcPr>
            <w:shd w:val="clear" w:color="ffffff" w:fill="ffffff"/>
            <w:tcBorders>
              <w:top w:val="single" w:color="000000" w:sz="4" w:space="0"/>
              <w:left w:val="single" w:color="000000" w:sz="4" w:space="0"/>
              <w:bottom w:val="single" w:color="000000" w:sz="4" w:space="0"/>
              <w:right w:val="single" w:color="000000" w:sz="4" w:space="0"/>
            </w:tcBorders>
            <w:tcW w:w="1452" w:type="dxa"/>
            <w:vAlign w:val="center"/>
            <w:vMerge w:val="restart"/>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项目名称</w:t>
            </w:r>
            <w:r/>
          </w:p>
        </w:tc>
        <w:tc>
          <w:tcPr>
            <w:shd w:val="clear" w:color="ffffff" w:fill="ffffff"/>
            <w:tcBorders>
              <w:top w:val="single" w:color="000000" w:sz="4" w:space="0"/>
              <w:left w:val="single" w:color="000000" w:sz="4" w:space="0"/>
              <w:bottom w:val="single" w:color="000000" w:sz="4" w:space="0"/>
              <w:right w:val="single" w:color="000000" w:sz="4" w:space="0"/>
            </w:tcBorders>
            <w:tcW w:w="5962" w:type="dxa"/>
            <w:vAlign w:val="center"/>
            <w:vMerge w:val="restart"/>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项目特征描述</w:t>
            </w:r>
            <w:r/>
          </w:p>
        </w:tc>
        <w:tc>
          <w:tcPr>
            <w:shd w:val="clear" w:color="ffffff" w:fill="ffffff"/>
            <w:tcBorders>
              <w:top w:val="single" w:color="000000" w:sz="4" w:space="0"/>
              <w:left w:val="single" w:color="000000" w:sz="4" w:space="0"/>
              <w:bottom w:val="single" w:color="000000" w:sz="4" w:space="0"/>
              <w:right w:val="single" w:color="000000" w:sz="4" w:space="0"/>
            </w:tcBorders>
            <w:tcW w:w="810" w:type="dxa"/>
            <w:vAlign w:val="center"/>
            <w:vMerge w:val="restart"/>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单位</w:t>
            </w:r>
            <w:r/>
          </w:p>
        </w:tc>
        <w:tc>
          <w:tcPr>
            <w:shd w:val="clear" w:color="ffffff" w:fill="ffffff"/>
            <w:tcBorders>
              <w:top w:val="single" w:color="000000" w:sz="4" w:space="0"/>
              <w:left w:val="single" w:color="000000" w:sz="4" w:space="0"/>
              <w:bottom w:val="single" w:color="000000" w:sz="4" w:space="0"/>
              <w:right w:val="single" w:color="000000" w:sz="4" w:space="0"/>
            </w:tcBorders>
            <w:tcW w:w="900" w:type="dxa"/>
            <w:vAlign w:val="center"/>
            <w:vMerge w:val="restart"/>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数量</w:t>
            </w:r>
            <w:r/>
          </w:p>
        </w:tc>
      </w:tr>
      <w:tr>
        <w:trPr>
          <w:trHeight w:val="440"/>
        </w:trPr>
        <w:tc>
          <w:tcPr>
            <w:gridSpan w:val="5"/>
            <w:shd w:val="clear" w:color="auto" w:fill="auto"/>
            <w:tcBorders>
              <w:top w:val="single" w:color="000000" w:sz="4" w:space="0"/>
              <w:left w:val="single" w:color="000000" w:sz="4" w:space="0"/>
              <w:bottom w:val="single" w:color="000000" w:sz="4" w:space="0"/>
              <w:right w:val="single" w:color="000000" w:sz="4" w:space="0"/>
            </w:tcBorders>
            <w:tcW w:w="9664" w:type="dxa"/>
            <w:vAlign w:val="center"/>
            <w:textDirection w:val="lrTb"/>
            <w:noWrap w:val="false"/>
          </w:tcPr>
          <w:p>
            <w:pPr>
              <w:jc w:val="center"/>
              <w:widowControl/>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bidi="ar"/>
              </w:rPr>
              <w:t xml:space="preserve">一、变电所原老旧设备拆除</w:t>
            </w:r>
            <w:r/>
          </w:p>
        </w:tc>
      </w:tr>
      <w:tr>
        <w:trPr>
          <w:trHeight w:val="2300"/>
        </w:trPr>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val="false"/>
          </w:tcPr>
          <w:p>
            <w:pPr>
              <w:jc w:val="left"/>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 变电所原老旧设备拆除</w:t>
            </w:r>
            <w:r/>
          </w:p>
        </w:tc>
        <w:tc>
          <w:tcPr>
            <w:shd w:val="clear" w:color="auto" w:fill="auto"/>
            <w:tcBorders>
              <w:top w:val="single" w:color="000000" w:sz="4" w:space="0"/>
              <w:left w:val="single" w:color="000000" w:sz="4" w:space="0"/>
              <w:bottom w:val="single" w:color="000000" w:sz="4" w:space="0"/>
              <w:right w:val="single" w:color="000000" w:sz="4" w:space="0"/>
            </w:tcBorders>
            <w:tcW w:w="5962" w:type="dxa"/>
            <w:vAlign w:val="center"/>
            <w:textDirection w:val="lrTb"/>
            <w:noWrap w:val="false"/>
          </w:tcPr>
          <w:p>
            <w:pPr>
              <w:jc w:val="left"/>
              <w:widowControl/>
              <w:rPr>
                <w:rFonts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1、原老旧设备拆除（变压器2台、高压柜6台、低压柜21台、模拟屏1台、联络母线与电缆）</w:t>
            </w:r>
            <w:r/>
          </w:p>
          <w:p>
            <w:pPr>
              <w:jc w:val="left"/>
              <w:widowControl/>
              <w:rPr>
                <w:rFonts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2、从地下室变电所内搬出运至采购人指定地点</w:t>
            </w:r>
            <w:r>
              <w:rPr>
                <w:rFonts w:hint="eastAsia" w:ascii="宋体" w:hAnsi="宋体" w:eastAsia="宋体" w:cs="宋体"/>
                <w:color w:val="auto"/>
                <w:sz w:val="24"/>
                <w:szCs w:val="24"/>
                <w:highlight w:val="none"/>
                <w:lang w:bidi="ar"/>
              </w:rPr>
              <w:t xml:space="preserve">，采购人自行处置</w:t>
            </w:r>
            <w:r/>
          </w:p>
          <w:p>
            <w:pPr>
              <w:jc w:val="left"/>
              <w:widowControl/>
              <w:rPr>
                <w:rFonts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3、需拆-搬运-装车-运输-卸车-搬运入库</w:t>
            </w:r>
            <w:r/>
          </w:p>
          <w:p>
            <w:pPr>
              <w:jc w:val="left"/>
              <w:widowControl/>
              <w:rPr>
                <w:rFonts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4、60回路低压配电柜更换时原电缆头涉及保护性拆搭头</w:t>
            </w:r>
            <w:r/>
          </w:p>
          <w:p>
            <w:pPr>
              <w:jc w:val="left"/>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5、60回路低压配电柜更换时原电缆涉及柜内部分的保护性抽出</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r>
      <w:tr>
        <w:trPr>
          <w:trHeight w:val="440"/>
        </w:trPr>
        <w:tc>
          <w:tcPr>
            <w:gridSpan w:val="5"/>
            <w:shd w:val="clear" w:color="auto" w:fill="auto"/>
            <w:tcBorders>
              <w:top w:val="single" w:color="000000" w:sz="4" w:space="0"/>
              <w:left w:val="single" w:color="000000" w:sz="4" w:space="0"/>
              <w:bottom w:val="single" w:color="000000" w:sz="4" w:space="0"/>
              <w:right w:val="single" w:color="000000" w:sz="4" w:space="0"/>
            </w:tcBorders>
            <w:tcW w:w="9664" w:type="dxa"/>
            <w:vAlign w:val="center"/>
            <w:textDirection w:val="lrTb"/>
            <w:noWrap w:val="false"/>
          </w:tcPr>
          <w:p>
            <w:pPr>
              <w:jc w:val="center"/>
              <w:widowControl/>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bidi="ar"/>
              </w:rPr>
              <w:t xml:space="preserve">二、变电所新设备安装调试</w:t>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val="false"/>
          </w:tcPr>
          <w:p>
            <w:pPr>
              <w:jc w:val="left"/>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干式变压器</w:t>
            </w:r>
            <w:r/>
          </w:p>
        </w:tc>
        <w:tc>
          <w:tcPr>
            <w:shd w:val="clear" w:color="auto" w:fill="auto"/>
            <w:tcBorders>
              <w:top w:val="single" w:color="000000" w:sz="4" w:space="0"/>
              <w:left w:val="single" w:color="000000" w:sz="4" w:space="0"/>
              <w:bottom w:val="single" w:color="000000" w:sz="4" w:space="0"/>
              <w:right w:val="single" w:color="000000" w:sz="4" w:space="0"/>
            </w:tcBorders>
            <w:tcW w:w="5962" w:type="dxa"/>
            <w:vAlign w:val="center"/>
            <w:textDirection w:val="lrTb"/>
            <w:noWrap w:val="false"/>
          </w:tcPr>
          <w:p>
            <w:pPr>
              <w:jc w:val="left"/>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1、干式变压器SCB14-1250KVA/10.5-NX2</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2、含外壳、温控、风机等附件安装</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w:t>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val="false"/>
          </w:tcPr>
          <w:p>
            <w:pPr>
              <w:jc w:val="left"/>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高压成套配电柜</w:t>
            </w:r>
            <w:r/>
          </w:p>
        </w:tc>
        <w:tc>
          <w:tcPr>
            <w:shd w:val="clear" w:color="auto" w:fill="auto"/>
            <w:tcBorders>
              <w:top w:val="single" w:color="000000" w:sz="4" w:space="0"/>
              <w:left w:val="single" w:color="000000" w:sz="4" w:space="0"/>
              <w:bottom w:val="single" w:color="000000" w:sz="4" w:space="0"/>
              <w:right w:val="single" w:color="000000" w:sz="4" w:space="0"/>
            </w:tcBorders>
            <w:tcW w:w="5962" w:type="dxa"/>
            <w:vAlign w:val="center"/>
            <w:textDirection w:val="lrTb"/>
            <w:noWrap w:val="false"/>
          </w:tcPr>
          <w:p>
            <w:pPr>
              <w:jc w:val="left"/>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1、名称：高压进线柜1GP1、2GP1</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2、型号：KYN28A-12</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3、规格：W800*D1500*H2300</w:t>
            </w:r>
            <w:r>
              <w:rPr>
                <w:rFonts w:hint="eastAsia" w:ascii="宋体" w:hAnsi="宋体" w:eastAsia="宋体" w:cs="宋体"/>
                <w:color w:val="auto"/>
                <w:sz w:val="24"/>
                <w:szCs w:val="24"/>
                <w:highlight w:val="none"/>
                <w:lang w:bidi="ar"/>
              </w:rPr>
              <w:t xml:space="preserve">mm</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w:t>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val="false"/>
          </w:tcPr>
          <w:p>
            <w:pPr>
              <w:jc w:val="left"/>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高压成套配电柜</w:t>
            </w:r>
            <w:r/>
          </w:p>
        </w:tc>
        <w:tc>
          <w:tcPr>
            <w:shd w:val="clear" w:color="auto" w:fill="auto"/>
            <w:tcBorders>
              <w:top w:val="single" w:color="000000" w:sz="4" w:space="0"/>
              <w:left w:val="single" w:color="000000" w:sz="4" w:space="0"/>
              <w:bottom w:val="single" w:color="000000" w:sz="4" w:space="0"/>
              <w:right w:val="single" w:color="000000" w:sz="4" w:space="0"/>
            </w:tcBorders>
            <w:tcW w:w="5962" w:type="dxa"/>
            <w:vAlign w:val="center"/>
            <w:textDirection w:val="lrTb"/>
            <w:noWrap w:val="false"/>
          </w:tcPr>
          <w:p>
            <w:pPr>
              <w:jc w:val="left"/>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1、名称：高压计量柜1GP2、2GP2</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2、型号：KYN28A-12</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3、规格：W800*D1500*H2300mm</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w:t>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val="false"/>
          </w:tcPr>
          <w:p>
            <w:pPr>
              <w:jc w:val="left"/>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高压成套配电柜</w:t>
            </w:r>
            <w:r/>
          </w:p>
        </w:tc>
        <w:tc>
          <w:tcPr>
            <w:shd w:val="clear" w:color="auto" w:fill="auto"/>
            <w:tcBorders>
              <w:top w:val="single" w:color="000000" w:sz="4" w:space="0"/>
              <w:left w:val="single" w:color="000000" w:sz="4" w:space="0"/>
              <w:bottom w:val="single" w:color="000000" w:sz="4" w:space="0"/>
              <w:right w:val="single" w:color="000000" w:sz="4" w:space="0"/>
            </w:tcBorders>
            <w:tcW w:w="5962" w:type="dxa"/>
            <w:vAlign w:val="center"/>
            <w:textDirection w:val="lrTb"/>
            <w:noWrap w:val="false"/>
          </w:tcPr>
          <w:p>
            <w:pPr>
              <w:jc w:val="left"/>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1、名称：高压压变避雷器柜1GP3、2GP3</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2、型号：KYN28A-12</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3、规格：W800*D1500*H2300mm</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w:t>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val="false"/>
          </w:tcPr>
          <w:p>
            <w:pPr>
              <w:jc w:val="left"/>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高压成套配电柜</w:t>
            </w:r>
            <w:r/>
          </w:p>
        </w:tc>
        <w:tc>
          <w:tcPr>
            <w:shd w:val="clear" w:color="auto" w:fill="auto"/>
            <w:tcBorders>
              <w:top w:val="single" w:color="000000" w:sz="4" w:space="0"/>
              <w:left w:val="single" w:color="000000" w:sz="4" w:space="0"/>
              <w:bottom w:val="single" w:color="000000" w:sz="4" w:space="0"/>
              <w:right w:val="single" w:color="000000" w:sz="4" w:space="0"/>
            </w:tcBorders>
            <w:tcW w:w="5962" w:type="dxa"/>
            <w:vAlign w:val="center"/>
            <w:textDirection w:val="lrTb"/>
            <w:noWrap w:val="false"/>
          </w:tcPr>
          <w:p>
            <w:pPr>
              <w:jc w:val="left"/>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1、名称：高压出线柜1GP4、2GP4</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2、型号：KYN28A-12</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3、规格：W800*D1500*H2300mm</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w:t>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val="false"/>
          </w:tcPr>
          <w:p>
            <w:pPr>
              <w:jc w:val="left"/>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低压开关柜</w:t>
            </w:r>
            <w:r/>
          </w:p>
        </w:tc>
        <w:tc>
          <w:tcPr>
            <w:shd w:val="clear" w:color="auto" w:fill="auto"/>
            <w:tcBorders>
              <w:top w:val="single" w:color="000000" w:sz="4" w:space="0"/>
              <w:left w:val="single" w:color="000000" w:sz="4" w:space="0"/>
              <w:bottom w:val="single" w:color="000000" w:sz="4" w:space="0"/>
              <w:right w:val="single" w:color="000000" w:sz="4" w:space="0"/>
            </w:tcBorders>
            <w:tcW w:w="5962" w:type="dxa"/>
            <w:vAlign w:val="center"/>
            <w:textDirection w:val="lrTb"/>
            <w:noWrap w:val="false"/>
          </w:tcPr>
          <w:p>
            <w:pPr>
              <w:jc w:val="left"/>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1、名称：低压进线柜1D6、2D4</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2、型号：GCK</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3、规格：W1000*D1000*H2200mm</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w:t>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val="false"/>
          </w:tcPr>
          <w:p>
            <w:pPr>
              <w:jc w:val="left"/>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低压开关柜</w:t>
            </w:r>
            <w:r/>
          </w:p>
        </w:tc>
        <w:tc>
          <w:tcPr>
            <w:shd w:val="clear" w:color="auto" w:fill="auto"/>
            <w:tcBorders>
              <w:top w:val="single" w:color="000000" w:sz="4" w:space="0"/>
              <w:left w:val="single" w:color="000000" w:sz="4" w:space="0"/>
              <w:bottom w:val="single" w:color="000000" w:sz="4" w:space="0"/>
              <w:right w:val="single" w:color="000000" w:sz="4" w:space="0"/>
            </w:tcBorders>
            <w:tcW w:w="5962" w:type="dxa"/>
            <w:vAlign w:val="center"/>
            <w:textDirection w:val="lrTb"/>
            <w:noWrap w:val="false"/>
          </w:tcPr>
          <w:p>
            <w:pPr>
              <w:jc w:val="left"/>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1、名称：低压电容柜1D9、1D10、2D7、2D8</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2、型号：GCK</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3、规格：W800*D1000*H2200mm</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4</w:t>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val="false"/>
          </w:tcPr>
          <w:p>
            <w:pPr>
              <w:jc w:val="left"/>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低压开关柜</w:t>
            </w:r>
            <w:r/>
          </w:p>
        </w:tc>
        <w:tc>
          <w:tcPr>
            <w:shd w:val="clear" w:color="auto" w:fill="auto"/>
            <w:tcBorders>
              <w:top w:val="single" w:color="000000" w:sz="4" w:space="0"/>
              <w:left w:val="single" w:color="000000" w:sz="4" w:space="0"/>
              <w:bottom w:val="single" w:color="000000" w:sz="4" w:space="0"/>
              <w:right w:val="single" w:color="000000" w:sz="4" w:space="0"/>
            </w:tcBorders>
            <w:tcW w:w="5962" w:type="dxa"/>
            <w:vAlign w:val="center"/>
            <w:textDirection w:val="lrTb"/>
            <w:noWrap w:val="false"/>
          </w:tcPr>
          <w:p>
            <w:pPr>
              <w:jc w:val="left"/>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1、名称：低压滤波柜APF1、APF2</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2、型号：GCK</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3、规格：W1000*D1000*H2200mm</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w:t>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val="false"/>
          </w:tcPr>
          <w:p>
            <w:pPr>
              <w:jc w:val="left"/>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低压开关柜</w:t>
            </w:r>
            <w:r/>
          </w:p>
        </w:tc>
        <w:tc>
          <w:tcPr>
            <w:shd w:val="clear" w:color="auto" w:fill="auto"/>
            <w:tcBorders>
              <w:top w:val="single" w:color="000000" w:sz="4" w:space="0"/>
              <w:left w:val="single" w:color="000000" w:sz="4" w:space="0"/>
              <w:bottom w:val="single" w:color="000000" w:sz="4" w:space="0"/>
              <w:right w:val="single" w:color="000000" w:sz="4" w:space="0"/>
            </w:tcBorders>
            <w:tcW w:w="5962" w:type="dxa"/>
            <w:vAlign w:val="center"/>
            <w:textDirection w:val="lrTb"/>
            <w:noWrap w:val="false"/>
          </w:tcPr>
          <w:p>
            <w:pPr>
              <w:jc w:val="left"/>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1、名称：低压出线柜1D1</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2、型号：GCK</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3、规格：W600*D1000*H2200mm</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val="false"/>
          </w:tcPr>
          <w:p>
            <w:pPr>
              <w:jc w:val="left"/>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低压开关柜</w:t>
            </w:r>
            <w:r/>
          </w:p>
        </w:tc>
        <w:tc>
          <w:tcPr>
            <w:shd w:val="clear" w:color="auto" w:fill="auto"/>
            <w:tcBorders>
              <w:top w:val="single" w:color="000000" w:sz="4" w:space="0"/>
              <w:left w:val="single" w:color="000000" w:sz="4" w:space="0"/>
              <w:bottom w:val="single" w:color="000000" w:sz="4" w:space="0"/>
              <w:right w:val="single" w:color="000000" w:sz="4" w:space="0"/>
            </w:tcBorders>
            <w:tcW w:w="5962" w:type="dxa"/>
            <w:vAlign w:val="center"/>
            <w:textDirection w:val="lrTb"/>
            <w:noWrap w:val="false"/>
          </w:tcPr>
          <w:p>
            <w:pPr>
              <w:jc w:val="left"/>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1、名称：低压出线柜1D2</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2、型号：GCK</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3、规格：W600*D1000*H2200mm</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val="false"/>
          </w:tcPr>
          <w:p>
            <w:pPr>
              <w:jc w:val="left"/>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低压开关柜</w:t>
            </w:r>
            <w:r/>
          </w:p>
        </w:tc>
        <w:tc>
          <w:tcPr>
            <w:shd w:val="clear" w:color="auto" w:fill="auto"/>
            <w:tcBorders>
              <w:top w:val="single" w:color="000000" w:sz="4" w:space="0"/>
              <w:left w:val="single" w:color="000000" w:sz="4" w:space="0"/>
              <w:bottom w:val="single" w:color="000000" w:sz="4" w:space="0"/>
              <w:right w:val="single" w:color="000000" w:sz="4" w:space="0"/>
            </w:tcBorders>
            <w:tcW w:w="5962" w:type="dxa"/>
            <w:vAlign w:val="center"/>
            <w:textDirection w:val="lrTb"/>
            <w:noWrap w:val="false"/>
          </w:tcPr>
          <w:p>
            <w:pPr>
              <w:jc w:val="left"/>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1、名称：低压计量柜1D3</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2、型号：GCK</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3、规格：W600*D1000*H2200mm</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val="false"/>
          </w:tcPr>
          <w:p>
            <w:pPr>
              <w:jc w:val="left"/>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低压开关柜</w:t>
            </w:r>
            <w:r/>
          </w:p>
        </w:tc>
        <w:tc>
          <w:tcPr>
            <w:shd w:val="clear" w:color="auto" w:fill="auto"/>
            <w:tcBorders>
              <w:top w:val="single" w:color="000000" w:sz="4" w:space="0"/>
              <w:left w:val="single" w:color="000000" w:sz="4" w:space="0"/>
              <w:bottom w:val="single" w:color="000000" w:sz="4" w:space="0"/>
              <w:right w:val="single" w:color="000000" w:sz="4" w:space="0"/>
            </w:tcBorders>
            <w:tcW w:w="5962" w:type="dxa"/>
            <w:vAlign w:val="center"/>
            <w:textDirection w:val="lrTb"/>
            <w:noWrap w:val="false"/>
          </w:tcPr>
          <w:p>
            <w:pPr>
              <w:jc w:val="left"/>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1、名称：低压出线柜1D4</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2、型号：GCK</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3、规格：W600*D1000*H2200mm</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val="false"/>
          </w:tcPr>
          <w:p>
            <w:pPr>
              <w:jc w:val="left"/>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低压开关柜</w:t>
            </w:r>
            <w:r/>
          </w:p>
        </w:tc>
        <w:tc>
          <w:tcPr>
            <w:shd w:val="clear" w:color="auto" w:fill="auto"/>
            <w:tcBorders>
              <w:top w:val="single" w:color="000000" w:sz="4" w:space="0"/>
              <w:left w:val="single" w:color="000000" w:sz="4" w:space="0"/>
              <w:bottom w:val="single" w:color="000000" w:sz="4" w:space="0"/>
              <w:right w:val="single" w:color="000000" w:sz="4" w:space="0"/>
            </w:tcBorders>
            <w:tcW w:w="5962" w:type="dxa"/>
            <w:vAlign w:val="center"/>
            <w:textDirection w:val="lrTb"/>
            <w:noWrap w:val="false"/>
          </w:tcPr>
          <w:p>
            <w:pPr>
              <w:jc w:val="left"/>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1、名称：低压出线柜1D5</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2、型号：GCK</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3、规格：W600*D1000*H2200mm</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val="false"/>
          </w:tcPr>
          <w:p>
            <w:pPr>
              <w:jc w:val="left"/>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低压开关柜</w:t>
            </w:r>
            <w:r/>
          </w:p>
        </w:tc>
        <w:tc>
          <w:tcPr>
            <w:shd w:val="clear" w:color="auto" w:fill="auto"/>
            <w:tcBorders>
              <w:top w:val="single" w:color="000000" w:sz="4" w:space="0"/>
              <w:left w:val="single" w:color="000000" w:sz="4" w:space="0"/>
              <w:bottom w:val="single" w:color="000000" w:sz="4" w:space="0"/>
              <w:right w:val="single" w:color="000000" w:sz="4" w:space="0"/>
            </w:tcBorders>
            <w:tcW w:w="5962" w:type="dxa"/>
            <w:vAlign w:val="center"/>
            <w:textDirection w:val="lrTb"/>
            <w:noWrap w:val="false"/>
          </w:tcPr>
          <w:p>
            <w:pPr>
              <w:jc w:val="left"/>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1、名称：低压出线柜1D7</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2、型号：GCK</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3、规格：W600*D1000*H2200mm</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val="false"/>
          </w:tcPr>
          <w:p>
            <w:pPr>
              <w:jc w:val="left"/>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低压开关柜</w:t>
            </w:r>
            <w:r/>
          </w:p>
        </w:tc>
        <w:tc>
          <w:tcPr>
            <w:shd w:val="clear" w:color="auto" w:fill="auto"/>
            <w:tcBorders>
              <w:top w:val="single" w:color="000000" w:sz="4" w:space="0"/>
              <w:left w:val="single" w:color="000000" w:sz="4" w:space="0"/>
              <w:bottom w:val="single" w:color="000000" w:sz="4" w:space="0"/>
              <w:right w:val="single" w:color="000000" w:sz="4" w:space="0"/>
            </w:tcBorders>
            <w:tcW w:w="5962" w:type="dxa"/>
            <w:vAlign w:val="center"/>
            <w:textDirection w:val="lrTb"/>
            <w:noWrap w:val="false"/>
          </w:tcPr>
          <w:p>
            <w:pPr>
              <w:jc w:val="left"/>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1、名称：低压出线柜1D8</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2、型号：GCK</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3、规格：W600*D1000*H2200mm</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val="false"/>
          </w:tcPr>
          <w:p>
            <w:pPr>
              <w:jc w:val="left"/>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低压开关柜</w:t>
            </w:r>
            <w:r/>
          </w:p>
        </w:tc>
        <w:tc>
          <w:tcPr>
            <w:shd w:val="clear" w:color="auto" w:fill="auto"/>
            <w:tcBorders>
              <w:top w:val="single" w:color="000000" w:sz="4" w:space="0"/>
              <w:left w:val="single" w:color="000000" w:sz="4" w:space="0"/>
              <w:bottom w:val="single" w:color="000000" w:sz="4" w:space="0"/>
              <w:right w:val="single" w:color="000000" w:sz="4" w:space="0"/>
            </w:tcBorders>
            <w:tcW w:w="5962" w:type="dxa"/>
            <w:vAlign w:val="center"/>
            <w:textDirection w:val="lrTb"/>
            <w:noWrap w:val="false"/>
          </w:tcPr>
          <w:p>
            <w:pPr>
              <w:jc w:val="left"/>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1、名称：低压联络柜1D11</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2、型号：GCK</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3、规格：W1000*D1000*H2200mm</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val="false"/>
          </w:tcPr>
          <w:p>
            <w:pPr>
              <w:jc w:val="left"/>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低压开关柜</w:t>
            </w:r>
            <w:r/>
          </w:p>
        </w:tc>
        <w:tc>
          <w:tcPr>
            <w:shd w:val="clear" w:color="auto" w:fill="auto"/>
            <w:tcBorders>
              <w:top w:val="single" w:color="000000" w:sz="4" w:space="0"/>
              <w:left w:val="single" w:color="000000" w:sz="4" w:space="0"/>
              <w:bottom w:val="single" w:color="000000" w:sz="4" w:space="0"/>
              <w:right w:val="single" w:color="000000" w:sz="4" w:space="0"/>
            </w:tcBorders>
            <w:tcW w:w="5962" w:type="dxa"/>
            <w:vAlign w:val="center"/>
            <w:textDirection w:val="lrTb"/>
            <w:noWrap w:val="false"/>
          </w:tcPr>
          <w:p>
            <w:pPr>
              <w:jc w:val="left"/>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1、名称：低压出线柜2D1</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2、型号：GCK</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3、规格：W600*D1000*H2200mm</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val="false"/>
          </w:tcPr>
          <w:p>
            <w:pPr>
              <w:jc w:val="left"/>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低压开关柜</w:t>
            </w:r>
            <w:r/>
          </w:p>
        </w:tc>
        <w:tc>
          <w:tcPr>
            <w:shd w:val="clear" w:color="auto" w:fill="auto"/>
            <w:tcBorders>
              <w:top w:val="single" w:color="000000" w:sz="4" w:space="0"/>
              <w:left w:val="single" w:color="000000" w:sz="4" w:space="0"/>
              <w:bottom w:val="single" w:color="000000" w:sz="4" w:space="0"/>
              <w:right w:val="single" w:color="000000" w:sz="4" w:space="0"/>
            </w:tcBorders>
            <w:tcW w:w="5962" w:type="dxa"/>
            <w:vAlign w:val="center"/>
            <w:textDirection w:val="lrTb"/>
            <w:noWrap w:val="false"/>
          </w:tcPr>
          <w:p>
            <w:pPr>
              <w:jc w:val="left"/>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1、名称：低压计量柜2D2</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2、型号：GCK</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3、规格：W600*D1000*H2200mm</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val="false"/>
          </w:tcPr>
          <w:p>
            <w:pPr>
              <w:jc w:val="left"/>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低压开关柜</w:t>
            </w:r>
            <w:r/>
          </w:p>
        </w:tc>
        <w:tc>
          <w:tcPr>
            <w:shd w:val="clear" w:color="auto" w:fill="auto"/>
            <w:tcBorders>
              <w:top w:val="single" w:color="000000" w:sz="4" w:space="0"/>
              <w:left w:val="single" w:color="000000" w:sz="4" w:space="0"/>
              <w:bottom w:val="single" w:color="000000" w:sz="4" w:space="0"/>
              <w:right w:val="single" w:color="000000" w:sz="4" w:space="0"/>
            </w:tcBorders>
            <w:tcW w:w="5962" w:type="dxa"/>
            <w:vAlign w:val="center"/>
            <w:textDirection w:val="lrTb"/>
            <w:noWrap w:val="false"/>
          </w:tcPr>
          <w:p>
            <w:pPr>
              <w:jc w:val="left"/>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1、名称：低压出线柜2D3</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2、型号：GCK</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3、规格：W600*D1000*H2200mm</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val="false"/>
          </w:tcPr>
          <w:p>
            <w:pPr>
              <w:jc w:val="left"/>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低压开关柜</w:t>
            </w:r>
            <w:r/>
          </w:p>
        </w:tc>
        <w:tc>
          <w:tcPr>
            <w:shd w:val="clear" w:color="auto" w:fill="auto"/>
            <w:tcBorders>
              <w:top w:val="single" w:color="000000" w:sz="4" w:space="0"/>
              <w:left w:val="single" w:color="000000" w:sz="4" w:space="0"/>
              <w:bottom w:val="single" w:color="000000" w:sz="4" w:space="0"/>
              <w:right w:val="single" w:color="000000" w:sz="4" w:space="0"/>
            </w:tcBorders>
            <w:tcW w:w="5962" w:type="dxa"/>
            <w:vAlign w:val="center"/>
            <w:textDirection w:val="lrTb"/>
            <w:noWrap w:val="false"/>
          </w:tcPr>
          <w:p>
            <w:pPr>
              <w:jc w:val="left"/>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1、名称：低压出线柜2D5</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2、型号：GCK</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3、规格：W600*D1000*H2200mm</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val="false"/>
          </w:tcPr>
          <w:p>
            <w:pPr>
              <w:jc w:val="left"/>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低压开关柜</w:t>
            </w:r>
            <w:r/>
          </w:p>
        </w:tc>
        <w:tc>
          <w:tcPr>
            <w:shd w:val="clear" w:color="auto" w:fill="auto"/>
            <w:tcBorders>
              <w:top w:val="single" w:color="000000" w:sz="4" w:space="0"/>
              <w:left w:val="single" w:color="000000" w:sz="4" w:space="0"/>
              <w:bottom w:val="single" w:color="000000" w:sz="4" w:space="0"/>
              <w:right w:val="single" w:color="000000" w:sz="4" w:space="0"/>
            </w:tcBorders>
            <w:tcW w:w="5962" w:type="dxa"/>
            <w:vAlign w:val="center"/>
            <w:textDirection w:val="lrTb"/>
            <w:noWrap w:val="false"/>
          </w:tcPr>
          <w:p>
            <w:pPr>
              <w:jc w:val="left"/>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1、名称：低压出线柜2D6</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2、型号：GCK</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3、规格：W600*D1000*H2200mm</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val="false"/>
          </w:tcPr>
          <w:p>
            <w:pPr>
              <w:jc w:val="left"/>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交直流馈电屏</w:t>
            </w:r>
            <w:r/>
          </w:p>
        </w:tc>
        <w:tc>
          <w:tcPr>
            <w:shd w:val="clear" w:color="auto" w:fill="auto"/>
            <w:tcBorders>
              <w:top w:val="single" w:color="000000" w:sz="4" w:space="0"/>
              <w:left w:val="single" w:color="000000" w:sz="4" w:space="0"/>
              <w:bottom w:val="single" w:color="000000" w:sz="4" w:space="0"/>
              <w:right w:val="single" w:color="000000" w:sz="4" w:space="0"/>
            </w:tcBorders>
            <w:tcW w:w="5962" w:type="dxa"/>
            <w:vAlign w:val="center"/>
            <w:textDirection w:val="lrTb"/>
            <w:noWrap w:val="false"/>
          </w:tcPr>
          <w:p>
            <w:pPr>
              <w:jc w:val="left"/>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1、名称：直流屏</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2、220V/40Ah</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val="false"/>
          </w:tcPr>
          <w:p>
            <w:pPr>
              <w:jc w:val="left"/>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继电、信号屏</w:t>
            </w:r>
            <w:r/>
          </w:p>
        </w:tc>
        <w:tc>
          <w:tcPr>
            <w:shd w:val="clear" w:color="auto" w:fill="auto"/>
            <w:tcBorders>
              <w:top w:val="single" w:color="000000" w:sz="4" w:space="0"/>
              <w:left w:val="single" w:color="000000" w:sz="4" w:space="0"/>
              <w:bottom w:val="single" w:color="000000" w:sz="4" w:space="0"/>
              <w:right w:val="single" w:color="000000" w:sz="4" w:space="0"/>
            </w:tcBorders>
            <w:tcW w:w="5962" w:type="dxa"/>
            <w:vAlign w:val="center"/>
            <w:textDirection w:val="lrTb"/>
            <w:noWrap w:val="false"/>
          </w:tcPr>
          <w:p>
            <w:pPr>
              <w:jc w:val="left"/>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1、名称：信号屏</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2、按设计及满足供电系统控制要求配置</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val="false"/>
          </w:tcPr>
          <w:p>
            <w:pPr>
              <w:jc w:val="left"/>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模拟屏</w:t>
            </w:r>
            <w:r/>
          </w:p>
        </w:tc>
        <w:tc>
          <w:tcPr>
            <w:shd w:val="clear" w:color="auto" w:fill="auto"/>
            <w:tcBorders>
              <w:top w:val="single" w:color="000000" w:sz="4" w:space="0"/>
              <w:left w:val="single" w:color="000000" w:sz="4" w:space="0"/>
              <w:bottom w:val="single" w:color="000000" w:sz="4" w:space="0"/>
              <w:right w:val="single" w:color="000000" w:sz="4" w:space="0"/>
            </w:tcBorders>
            <w:tcW w:w="5962" w:type="dxa"/>
            <w:vAlign w:val="center"/>
            <w:textDirection w:val="lrTb"/>
            <w:noWrap w:val="false"/>
          </w:tcPr>
          <w:p>
            <w:pPr>
              <w:jc w:val="left"/>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1、名称：模拟屏</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2、型号：按供电系统制作安装</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3、按原尺寸约2*4m制作</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val="false"/>
          </w:tcPr>
          <w:p>
            <w:pPr>
              <w:jc w:val="left"/>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带形母线</w:t>
            </w:r>
            <w:r/>
          </w:p>
        </w:tc>
        <w:tc>
          <w:tcPr>
            <w:shd w:val="clear" w:color="auto" w:fill="auto"/>
            <w:tcBorders>
              <w:top w:val="single" w:color="000000" w:sz="4" w:space="0"/>
              <w:left w:val="single" w:color="000000" w:sz="4" w:space="0"/>
              <w:bottom w:val="single" w:color="000000" w:sz="4" w:space="0"/>
              <w:right w:val="single" w:color="000000" w:sz="4" w:space="0"/>
            </w:tcBorders>
            <w:tcW w:w="5962" w:type="dxa"/>
            <w:vAlign w:val="center"/>
            <w:textDirection w:val="lrTb"/>
            <w:noWrap w:val="false"/>
          </w:tcPr>
          <w:p>
            <w:pPr>
              <w:jc w:val="left"/>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1、镀锡铜排ABC相125*10+N与PE相80*8mm</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2、软连接（软铜编织带）</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3、母线始端箱与变压器、低压柜连接铜排</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w:t>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val="false"/>
          </w:tcPr>
          <w:p>
            <w:pPr>
              <w:jc w:val="left"/>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低压封闭式插接母线槽</w:t>
            </w:r>
            <w:r/>
          </w:p>
        </w:tc>
        <w:tc>
          <w:tcPr>
            <w:shd w:val="clear" w:color="auto" w:fill="auto"/>
            <w:tcBorders>
              <w:top w:val="single" w:color="000000" w:sz="4" w:space="0"/>
              <w:left w:val="single" w:color="000000" w:sz="4" w:space="0"/>
              <w:bottom w:val="single" w:color="000000" w:sz="4" w:space="0"/>
              <w:right w:val="single" w:color="000000" w:sz="4" w:space="0"/>
            </w:tcBorders>
            <w:tcW w:w="5962" w:type="dxa"/>
            <w:vAlign w:val="center"/>
            <w:textDirection w:val="lrTb"/>
            <w:noWrap w:val="false"/>
          </w:tcPr>
          <w:p>
            <w:pPr>
              <w:jc w:val="left"/>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1、低压封闭式插接母线槽2500A</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2、变压器与低压柜连接母线槽</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3、长度综合考虑始端箱内引下铜排</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16</w:t>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val="false"/>
          </w:tcPr>
          <w:p>
            <w:pPr>
              <w:jc w:val="left"/>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始端箱、分线箱</w:t>
            </w:r>
            <w:r/>
          </w:p>
        </w:tc>
        <w:tc>
          <w:tcPr>
            <w:shd w:val="clear" w:color="auto" w:fill="auto"/>
            <w:tcBorders>
              <w:top w:val="single" w:color="000000" w:sz="4" w:space="0"/>
              <w:left w:val="single" w:color="000000" w:sz="4" w:space="0"/>
              <w:bottom w:val="single" w:color="000000" w:sz="4" w:space="0"/>
              <w:right w:val="single" w:color="000000" w:sz="4" w:space="0"/>
            </w:tcBorders>
            <w:tcW w:w="5962" w:type="dxa"/>
            <w:vAlign w:val="center"/>
            <w:textDirection w:val="lrTb"/>
            <w:noWrap w:val="false"/>
          </w:tcPr>
          <w:p>
            <w:pPr>
              <w:jc w:val="left"/>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1、低压母线槽始端箱2500A</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2、仅计箱体及铜排固定金具</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4</w:t>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val="false"/>
          </w:tcPr>
          <w:p>
            <w:pPr>
              <w:jc w:val="left"/>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桥架</w:t>
            </w:r>
            <w:r/>
          </w:p>
        </w:tc>
        <w:tc>
          <w:tcPr>
            <w:shd w:val="clear" w:color="auto" w:fill="auto"/>
            <w:tcBorders>
              <w:top w:val="single" w:color="000000" w:sz="4" w:space="0"/>
              <w:left w:val="single" w:color="000000" w:sz="4" w:space="0"/>
              <w:bottom w:val="single" w:color="000000" w:sz="4" w:space="0"/>
              <w:right w:val="single" w:color="000000" w:sz="4" w:space="0"/>
            </w:tcBorders>
            <w:tcW w:w="5962" w:type="dxa"/>
            <w:vAlign w:val="center"/>
            <w:textDirection w:val="lrTb"/>
            <w:noWrap w:val="false"/>
          </w:tcPr>
          <w:p>
            <w:pPr>
              <w:jc w:val="left"/>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1、电缆桥架400*20</w:t>
            </w:r>
            <w:r>
              <w:rPr>
                <w:rFonts w:ascii="宋体" w:hAnsi="宋体" w:eastAsia="宋体" w:cs="宋体"/>
                <w:color w:val="auto"/>
                <w:sz w:val="24"/>
                <w:szCs w:val="24"/>
                <w:highlight w:val="none"/>
                <w:lang w:bidi="ar"/>
              </w:rPr>
              <w:t xml:space="preserve">0</w:t>
            </w:r>
            <w:r>
              <w:rPr>
                <w:rFonts w:ascii="宋体" w:hAnsi="宋体" w:eastAsia="宋体" w:cs="宋体"/>
                <w:color w:val="auto"/>
                <w:sz w:val="24"/>
                <w:szCs w:val="24"/>
                <w:highlight w:val="none"/>
                <w:lang w:bidi="ar"/>
              </w:rPr>
              <w:t xml:space="preserve">mm</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2、至滤波柜电缆用</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16</w:t>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val="false"/>
          </w:tcPr>
          <w:p>
            <w:pPr>
              <w:jc w:val="left"/>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铁构件</w:t>
            </w:r>
            <w:r/>
          </w:p>
        </w:tc>
        <w:tc>
          <w:tcPr>
            <w:shd w:val="clear" w:color="auto" w:fill="auto"/>
            <w:tcBorders>
              <w:top w:val="single" w:color="000000" w:sz="4" w:space="0"/>
              <w:left w:val="single" w:color="000000" w:sz="4" w:space="0"/>
              <w:bottom w:val="single" w:color="000000" w:sz="4" w:space="0"/>
              <w:right w:val="single" w:color="000000" w:sz="4" w:space="0"/>
            </w:tcBorders>
            <w:tcW w:w="5962" w:type="dxa"/>
            <w:vAlign w:val="center"/>
            <w:textDirection w:val="lrTb"/>
            <w:noWrap w:val="false"/>
          </w:tcPr>
          <w:p>
            <w:pPr>
              <w:jc w:val="left"/>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1、镀锌槽钢10#</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2、高低压配电柜基础槽钢制作、安装</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3、尽量利旧，新柜补充增加考虑</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12</w:t>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val="false"/>
          </w:tcPr>
          <w:p>
            <w:pPr>
              <w:jc w:val="left"/>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铁构件</w:t>
            </w:r>
            <w:r/>
          </w:p>
        </w:tc>
        <w:tc>
          <w:tcPr>
            <w:shd w:val="clear" w:color="auto" w:fill="auto"/>
            <w:tcBorders>
              <w:top w:val="single" w:color="000000" w:sz="4" w:space="0"/>
              <w:left w:val="single" w:color="000000" w:sz="4" w:space="0"/>
              <w:bottom w:val="single" w:color="000000" w:sz="4" w:space="0"/>
              <w:right w:val="single" w:color="000000" w:sz="4" w:space="0"/>
            </w:tcBorders>
            <w:tcW w:w="5962" w:type="dxa"/>
            <w:vAlign w:val="center"/>
            <w:textDirection w:val="lrTb"/>
            <w:noWrap w:val="false"/>
          </w:tcPr>
          <w:p>
            <w:pPr>
              <w:jc w:val="left"/>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1、镀锌支架制作安装</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2、镀锌角钢、通丝吊杆等</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80</w:t>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val="false"/>
          </w:tcPr>
          <w:p>
            <w:pPr>
              <w:jc w:val="left"/>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电力电缆</w:t>
            </w:r>
            <w:r/>
          </w:p>
        </w:tc>
        <w:tc>
          <w:tcPr>
            <w:shd w:val="clear" w:color="auto" w:fill="auto"/>
            <w:tcBorders>
              <w:top w:val="single" w:color="000000" w:sz="4" w:space="0"/>
              <w:left w:val="single" w:color="000000" w:sz="4" w:space="0"/>
              <w:bottom w:val="single" w:color="000000" w:sz="4" w:space="0"/>
              <w:right w:val="single" w:color="000000" w:sz="4" w:space="0"/>
            </w:tcBorders>
            <w:tcW w:w="5962" w:type="dxa"/>
            <w:vAlign w:val="center"/>
            <w:textDirection w:val="lrTb"/>
            <w:noWrap w:val="false"/>
          </w:tcPr>
          <w:p>
            <w:pPr>
              <w:jc w:val="left"/>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1、高压电力电缆YJV-8.7/15KV-3*95</w:t>
            </w:r>
            <w:bookmarkStart w:id="13" w:name="OLE_LINK8"/>
            <w:r/>
            <w:bookmarkStart w:id="14" w:name="OLE_LINK7"/>
            <w:r>
              <w:rPr>
                <w:rFonts w:hint="eastAsia" w:ascii="宋体" w:hAnsi="宋体" w:eastAsia="宋体" w:cs="宋体"/>
                <w:color w:val="auto"/>
                <w:sz w:val="24"/>
                <w:szCs w:val="24"/>
                <w:highlight w:val="none"/>
                <w:lang w:bidi="ar"/>
              </w:rPr>
              <w:t xml:space="preserve">mm²</w:t>
            </w:r>
            <w:bookmarkEnd w:id="13"/>
            <w:r/>
            <w:bookmarkEnd w:id="14"/>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2、高压柜与变压器连接电缆</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3、原电缆沟盖板揭、盖各1次</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50</w:t>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val="false"/>
          </w:tcPr>
          <w:p>
            <w:pPr>
              <w:jc w:val="left"/>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电力电缆头</w:t>
            </w:r>
            <w:r/>
          </w:p>
        </w:tc>
        <w:tc>
          <w:tcPr>
            <w:shd w:val="clear" w:color="auto" w:fill="auto"/>
            <w:tcBorders>
              <w:top w:val="single" w:color="000000" w:sz="4" w:space="0"/>
              <w:left w:val="single" w:color="000000" w:sz="4" w:space="0"/>
              <w:bottom w:val="single" w:color="000000" w:sz="4" w:space="0"/>
              <w:right w:val="single" w:color="000000" w:sz="4" w:space="0"/>
            </w:tcBorders>
            <w:tcW w:w="5962" w:type="dxa"/>
            <w:vAlign w:val="center"/>
            <w:textDirection w:val="lrTb"/>
            <w:noWrap w:val="false"/>
          </w:tcPr>
          <w:p>
            <w:pPr>
              <w:jc w:val="left"/>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1、电力电缆头制作、安装</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2、10kV3*95mm²</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3、户内冷缩式</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4</w:t>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val="false"/>
          </w:tcPr>
          <w:p>
            <w:pPr>
              <w:jc w:val="left"/>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电力电缆</w:t>
            </w:r>
            <w:r/>
          </w:p>
        </w:tc>
        <w:tc>
          <w:tcPr>
            <w:shd w:val="clear" w:color="auto" w:fill="auto"/>
            <w:tcBorders>
              <w:top w:val="single" w:color="000000" w:sz="4" w:space="0"/>
              <w:left w:val="single" w:color="000000" w:sz="4" w:space="0"/>
              <w:bottom w:val="single" w:color="000000" w:sz="4" w:space="0"/>
              <w:right w:val="single" w:color="000000" w:sz="4" w:space="0"/>
            </w:tcBorders>
            <w:tcW w:w="5962" w:type="dxa"/>
            <w:vAlign w:val="center"/>
            <w:textDirection w:val="lrTb"/>
            <w:noWrap w:val="false"/>
          </w:tcPr>
          <w:p>
            <w:pPr>
              <w:jc w:val="left"/>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1、低压电力电缆WDZN-YJV-4*120+1*70 mm²</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2、至滤波柜电缆</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3、桥架内敷设</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30</w:t>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val="false"/>
          </w:tcPr>
          <w:p>
            <w:pPr>
              <w:jc w:val="left"/>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电力电缆头</w:t>
            </w:r>
            <w:r/>
          </w:p>
        </w:tc>
        <w:tc>
          <w:tcPr>
            <w:shd w:val="clear" w:color="auto" w:fill="auto"/>
            <w:tcBorders>
              <w:top w:val="single" w:color="000000" w:sz="4" w:space="0"/>
              <w:left w:val="single" w:color="000000" w:sz="4" w:space="0"/>
              <w:bottom w:val="single" w:color="000000" w:sz="4" w:space="0"/>
              <w:right w:val="single" w:color="000000" w:sz="4" w:space="0"/>
            </w:tcBorders>
            <w:tcW w:w="5962" w:type="dxa"/>
            <w:vAlign w:val="center"/>
            <w:textDirection w:val="lrTb"/>
            <w:noWrap w:val="false"/>
          </w:tcPr>
          <w:p>
            <w:pPr>
              <w:jc w:val="left"/>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1、电力电缆头制作、安装</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2、4*120+1*70 mm²</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3、户内热缩式</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4</w:t>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val="false"/>
          </w:tcPr>
          <w:p>
            <w:pPr>
              <w:jc w:val="left"/>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控制电缆</w:t>
            </w:r>
            <w:r/>
          </w:p>
        </w:tc>
        <w:tc>
          <w:tcPr>
            <w:shd w:val="clear" w:color="auto" w:fill="auto"/>
            <w:tcBorders>
              <w:top w:val="single" w:color="000000" w:sz="4" w:space="0"/>
              <w:left w:val="single" w:color="000000" w:sz="4" w:space="0"/>
              <w:bottom w:val="single" w:color="000000" w:sz="4" w:space="0"/>
              <w:right w:val="single" w:color="000000" w:sz="4" w:space="0"/>
            </w:tcBorders>
            <w:tcW w:w="5962" w:type="dxa"/>
            <w:vAlign w:val="center"/>
            <w:textDirection w:val="lrTb"/>
            <w:noWrap w:val="false"/>
          </w:tcPr>
          <w:p>
            <w:pPr>
              <w:jc w:val="left"/>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1、控制电缆</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2、综合考虑</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300</w:t>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val="false"/>
          </w:tcPr>
          <w:p>
            <w:pPr>
              <w:jc w:val="left"/>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控制电缆头</w:t>
            </w:r>
            <w:r/>
          </w:p>
        </w:tc>
        <w:tc>
          <w:tcPr>
            <w:shd w:val="clear" w:color="auto" w:fill="auto"/>
            <w:tcBorders>
              <w:top w:val="single" w:color="000000" w:sz="4" w:space="0"/>
              <w:left w:val="single" w:color="000000" w:sz="4" w:space="0"/>
              <w:bottom w:val="single" w:color="000000" w:sz="4" w:space="0"/>
              <w:right w:val="single" w:color="000000" w:sz="4" w:space="0"/>
            </w:tcBorders>
            <w:tcW w:w="5962" w:type="dxa"/>
            <w:vAlign w:val="center"/>
            <w:textDirection w:val="lrTb"/>
            <w:noWrap w:val="false"/>
          </w:tcPr>
          <w:p>
            <w:pPr>
              <w:jc w:val="left"/>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1、控制电缆头制作、安装</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2、芯数综合考虑</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30</w:t>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val="false"/>
          </w:tcPr>
          <w:p>
            <w:pPr>
              <w:jc w:val="left"/>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接地母线</w:t>
            </w:r>
            <w:r/>
          </w:p>
        </w:tc>
        <w:tc>
          <w:tcPr>
            <w:shd w:val="clear" w:color="auto" w:fill="auto"/>
            <w:tcBorders>
              <w:top w:val="single" w:color="000000" w:sz="4" w:space="0"/>
              <w:left w:val="single" w:color="000000" w:sz="4" w:space="0"/>
              <w:bottom w:val="single" w:color="000000" w:sz="4" w:space="0"/>
              <w:right w:val="single" w:color="000000" w:sz="4" w:space="0"/>
            </w:tcBorders>
            <w:tcW w:w="5962" w:type="dxa"/>
            <w:vAlign w:val="center"/>
            <w:textDirection w:val="lrTb"/>
            <w:noWrap w:val="false"/>
          </w:tcPr>
          <w:p>
            <w:pPr>
              <w:jc w:val="left"/>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1、镀锌扁钢50*5</w:t>
            </w:r>
            <w:r>
              <w:rPr>
                <w:rFonts w:ascii="宋体" w:hAnsi="宋体" w:eastAsia="宋体" w:cs="宋体"/>
                <w:color w:val="auto"/>
                <w:sz w:val="24"/>
                <w:szCs w:val="24"/>
                <w:highlight w:val="none"/>
                <w:lang w:bidi="ar"/>
              </w:rPr>
              <w:t xml:space="preserve">mm</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2、接地补充</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10</w:t>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val="false"/>
          </w:tcPr>
          <w:p>
            <w:pPr>
              <w:jc w:val="left"/>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接地母线</w:t>
            </w:r>
            <w:r/>
          </w:p>
        </w:tc>
        <w:tc>
          <w:tcPr>
            <w:shd w:val="clear" w:color="auto" w:fill="auto"/>
            <w:tcBorders>
              <w:top w:val="single" w:color="000000" w:sz="4" w:space="0"/>
              <w:left w:val="single" w:color="000000" w:sz="4" w:space="0"/>
              <w:bottom w:val="single" w:color="000000" w:sz="4" w:space="0"/>
              <w:right w:val="single" w:color="000000" w:sz="4" w:space="0"/>
            </w:tcBorders>
            <w:tcW w:w="5962" w:type="dxa"/>
            <w:vAlign w:val="center"/>
            <w:textDirection w:val="lrTb"/>
            <w:noWrap w:val="false"/>
          </w:tcPr>
          <w:p>
            <w:pPr>
              <w:jc w:val="left"/>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1、接地线BVR95mm²</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2、从原接地网引至新增设备</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3、桥架内敷设</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30</w:t>
            </w:r>
            <w:r/>
          </w:p>
        </w:tc>
      </w:tr>
      <w:tr>
        <w:trPr>
          <w:trHeight w:val="1600"/>
        </w:trPr>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val="false"/>
          </w:tcPr>
          <w:p>
            <w:pPr>
              <w:jc w:val="left"/>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防火堵洞</w:t>
            </w:r>
            <w:r/>
          </w:p>
        </w:tc>
        <w:tc>
          <w:tcPr>
            <w:shd w:val="clear" w:color="auto" w:fill="auto"/>
            <w:tcBorders>
              <w:top w:val="single" w:color="000000" w:sz="4" w:space="0"/>
              <w:left w:val="single" w:color="000000" w:sz="4" w:space="0"/>
              <w:bottom w:val="single" w:color="000000" w:sz="4" w:space="0"/>
              <w:right w:val="single" w:color="000000" w:sz="4" w:space="0"/>
            </w:tcBorders>
            <w:tcW w:w="5962" w:type="dxa"/>
            <w:vAlign w:val="center"/>
            <w:textDirection w:val="lrTb"/>
            <w:noWrap w:val="false"/>
          </w:tcPr>
          <w:p>
            <w:pPr>
              <w:jc w:val="left"/>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1、名称：防火封堵</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2、材质：防火泥（包、板）等</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3、部位：盘柜下</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处</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32</w:t>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val="false"/>
          </w:tcPr>
          <w:p>
            <w:pPr>
              <w:jc w:val="left"/>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新设备供配电系统调试</w:t>
            </w:r>
            <w:r/>
          </w:p>
        </w:tc>
        <w:tc>
          <w:tcPr>
            <w:shd w:val="clear" w:color="auto" w:fill="auto"/>
            <w:tcBorders>
              <w:top w:val="single" w:color="000000" w:sz="4" w:space="0"/>
              <w:left w:val="single" w:color="000000" w:sz="4" w:space="0"/>
              <w:bottom w:val="single" w:color="000000" w:sz="4" w:space="0"/>
              <w:right w:val="single" w:color="000000" w:sz="4" w:space="0"/>
            </w:tcBorders>
            <w:tcW w:w="5962" w:type="dxa"/>
            <w:vAlign w:val="center"/>
            <w:textDirection w:val="lrTb"/>
            <w:noWrap w:val="false"/>
          </w:tcPr>
          <w:p>
            <w:pPr>
              <w:jc w:val="left"/>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1、以上设备的供电交接试验、系统调试</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2、包括60回路原低压电缆从电缆沟内拉入新柜内</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3、包括60回路原低压电缆核相与新柜内开关搭接</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4、出具符合供电部门验收的调试报告</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站</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jc w:val="center"/>
              <w:widowControl/>
              <w:rPr>
                <w:rFonts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val="false"/>
          </w:tcPr>
          <w:p>
            <w:pPr>
              <w:jc w:val="left"/>
              <w:widowControl/>
              <w:rPr>
                <w:rFonts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安全工器具</w:t>
            </w:r>
            <w:r/>
          </w:p>
        </w:tc>
        <w:tc>
          <w:tcPr>
            <w:shd w:val="clear" w:color="auto" w:fill="auto"/>
            <w:tcBorders>
              <w:top w:val="single" w:color="000000" w:sz="4" w:space="0"/>
              <w:left w:val="single" w:color="000000" w:sz="4" w:space="0"/>
              <w:bottom w:val="single" w:color="000000" w:sz="4" w:space="0"/>
              <w:right w:val="single" w:color="000000" w:sz="4" w:space="0"/>
            </w:tcBorders>
            <w:tcW w:w="5962" w:type="dxa"/>
            <w:vAlign w:val="center"/>
            <w:textDirection w:val="lrTb"/>
            <w:noWrap w:val="false"/>
          </w:tcPr>
          <w:p>
            <w:pPr>
              <w:jc w:val="left"/>
              <w:widowControl/>
              <w:rPr>
                <w:rFonts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1、名称：安全工器具</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2、满足供电公司验收要求</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widowControl/>
              <w:rPr>
                <w:rFonts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站</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widowControl/>
              <w:rPr>
                <w:rFonts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1</w:t>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jc w:val="center"/>
              <w:widowControl/>
              <w:rPr>
                <w:rFonts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val="false"/>
          </w:tcPr>
          <w:p>
            <w:pPr>
              <w:jc w:val="left"/>
              <w:widowControl/>
              <w:rPr>
                <w:rFonts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后台系统</w:t>
            </w:r>
            <w:r/>
          </w:p>
        </w:tc>
        <w:tc>
          <w:tcPr>
            <w:shd w:val="clear" w:color="auto" w:fill="auto"/>
            <w:tcBorders>
              <w:top w:val="single" w:color="000000" w:sz="4" w:space="0"/>
              <w:left w:val="single" w:color="000000" w:sz="4" w:space="0"/>
              <w:bottom w:val="single" w:color="000000" w:sz="4" w:space="0"/>
              <w:right w:val="single" w:color="000000" w:sz="4" w:space="0"/>
            </w:tcBorders>
            <w:tcW w:w="5962" w:type="dxa"/>
            <w:vAlign w:val="center"/>
            <w:textDirection w:val="lrTb"/>
            <w:noWrap w:val="false"/>
          </w:tcPr>
          <w:p>
            <w:pPr>
              <w:jc w:val="left"/>
              <w:widowControl/>
              <w:rPr>
                <w:rFonts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1、电力监控后台系统</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2、包括相关软件配置、管线敷设</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widowControl/>
              <w:rPr>
                <w:rFonts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站</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widowControl/>
              <w:rPr>
                <w:rFonts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1</w:t>
            </w:r>
            <w:r/>
          </w:p>
        </w:tc>
      </w:tr>
      <w:tr>
        <w:trPr>
          <w:trHeight w:val="440"/>
        </w:trPr>
        <w:tc>
          <w:tcPr>
            <w:gridSpan w:val="5"/>
            <w:shd w:val="clear" w:color="auto" w:fill="auto"/>
            <w:tcBorders>
              <w:top w:val="single" w:color="000000" w:sz="4" w:space="0"/>
              <w:left w:val="single" w:color="000000" w:sz="4" w:space="0"/>
              <w:bottom w:val="single" w:color="000000" w:sz="4" w:space="0"/>
              <w:right w:val="single" w:color="000000" w:sz="4" w:space="0"/>
            </w:tcBorders>
            <w:tcW w:w="9664" w:type="dxa"/>
            <w:vAlign w:val="center"/>
            <w:textDirection w:val="lrTb"/>
            <w:noWrap w:val="false"/>
          </w:tcPr>
          <w:p>
            <w:pPr>
              <w:jc w:val="center"/>
              <w:widowControl/>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bidi="ar"/>
              </w:rPr>
              <w:t xml:space="preserve">三、 所内设备更换时相关防护及不停电供电保障措施</w:t>
            </w:r>
            <w:r/>
          </w:p>
        </w:tc>
      </w:tr>
      <w:tr>
        <w:trPr>
          <w:trHeight w:val="1280"/>
        </w:trPr>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val="false"/>
          </w:tcPr>
          <w:p>
            <w:pPr>
              <w:jc w:val="left"/>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过道防护</w:t>
            </w:r>
            <w:r/>
          </w:p>
        </w:tc>
        <w:tc>
          <w:tcPr>
            <w:shd w:val="clear" w:color="auto" w:fill="auto"/>
            <w:tcBorders>
              <w:top w:val="single" w:color="000000" w:sz="4" w:space="0"/>
              <w:left w:val="single" w:color="000000" w:sz="4" w:space="0"/>
              <w:bottom w:val="single" w:color="000000" w:sz="4" w:space="0"/>
              <w:right w:val="single" w:color="000000" w:sz="4" w:space="0"/>
            </w:tcBorders>
            <w:tcW w:w="5962" w:type="dxa"/>
            <w:vAlign w:val="center"/>
            <w:textDirection w:val="lrTb"/>
            <w:noWrap w:val="false"/>
          </w:tcPr>
          <w:p>
            <w:pPr>
              <w:jc w:val="left"/>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1、设备搬运地面防护措施及施工难度等</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2、塑料膜+模板等防护，完工后拆除</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3、设备位于地下室 一层，施工难度较大</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4、相关施工难度增加费用现场勘察后自行考虑</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r>
      <w:tr>
        <w:trPr>
          <w:trHeight w:val="1060"/>
        </w:trPr>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val="false"/>
          </w:tcPr>
          <w:p>
            <w:pPr>
              <w:jc w:val="left"/>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发电机</w:t>
            </w:r>
            <w:r/>
          </w:p>
        </w:tc>
        <w:tc>
          <w:tcPr>
            <w:shd w:val="clear" w:color="auto" w:fill="auto"/>
            <w:tcBorders>
              <w:top w:val="single" w:color="000000" w:sz="4" w:space="0"/>
              <w:left w:val="single" w:color="000000" w:sz="4" w:space="0"/>
              <w:bottom w:val="single" w:color="000000" w:sz="4" w:space="0"/>
              <w:right w:val="single" w:color="000000" w:sz="4" w:space="0"/>
            </w:tcBorders>
            <w:tcW w:w="5962" w:type="dxa"/>
            <w:vAlign w:val="center"/>
            <w:textDirection w:val="lrTb"/>
            <w:noWrap w:val="false"/>
          </w:tcPr>
          <w:p>
            <w:pPr>
              <w:jc w:val="left"/>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1、临时柴油发电机组租赁</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2、包含发电所需柴油</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3、临时电缆租赁</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4、现场勘察后自行考虑</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r>
    </w:tbl>
    <w:p>
      <w:pPr>
        <w:ind w:firstLine="47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注：本项目核心产品：序号2</w:t>
      </w:r>
      <w:r>
        <w:rPr>
          <w:rFonts w:hint="eastAsia" w:ascii="宋体" w:hAnsi="宋体" w:eastAsia="宋体" w:cs="宋体"/>
          <w:color w:val="auto"/>
          <w:sz w:val="24"/>
          <w:szCs w:val="24"/>
          <w:highlight w:val="none"/>
          <w:lang w:bidi="ar"/>
        </w:rPr>
        <w:t xml:space="preserve">干式变压器、</w:t>
      </w:r>
      <w:r>
        <w:rPr>
          <w:rFonts w:hint="eastAsia" w:ascii="宋体" w:hAnsi="宋体" w:eastAsia="宋体" w:cs="宋体"/>
          <w:color w:val="auto"/>
          <w:sz w:val="24"/>
          <w:szCs w:val="24"/>
          <w:highlight w:val="none"/>
        </w:rPr>
        <w:t xml:space="preserve">序号3</w:t>
      </w:r>
      <w:r>
        <w:rPr>
          <w:rFonts w:hint="eastAsia" w:ascii="宋体" w:hAnsi="宋体" w:eastAsia="宋体" w:cs="宋体"/>
          <w:color w:val="auto"/>
          <w:sz w:val="24"/>
          <w:szCs w:val="24"/>
          <w:highlight w:val="none"/>
          <w:lang w:bidi="ar"/>
        </w:rPr>
        <w:t xml:space="preserve">高压成套配电柜、</w:t>
      </w:r>
      <w:r>
        <w:rPr>
          <w:rFonts w:hint="eastAsia" w:ascii="宋体" w:hAnsi="宋体" w:eastAsia="宋体" w:cs="宋体"/>
          <w:color w:val="auto"/>
          <w:sz w:val="24"/>
          <w:szCs w:val="24"/>
          <w:highlight w:val="none"/>
        </w:rPr>
        <w:t xml:space="preserve">序号7</w:t>
      </w:r>
      <w:r>
        <w:rPr>
          <w:rFonts w:hint="eastAsia" w:ascii="宋体" w:hAnsi="宋体" w:eastAsia="宋体" w:cs="宋体"/>
          <w:color w:val="auto"/>
          <w:sz w:val="24"/>
          <w:szCs w:val="24"/>
          <w:highlight w:val="none"/>
          <w:lang w:bidi="ar"/>
        </w:rPr>
        <w:t xml:space="preserve">低压开关柜</w:t>
      </w:r>
      <w:r>
        <w:rPr>
          <w:rFonts w:hint="eastAsia" w:ascii="宋体" w:hAnsi="宋体" w:eastAsia="宋体" w:cs="宋体"/>
          <w:color w:val="auto"/>
          <w:sz w:val="24"/>
          <w:szCs w:val="24"/>
          <w:highlight w:val="none"/>
        </w:rPr>
        <w:t xml:space="preserve">。</w:t>
      </w:r>
      <w:r/>
    </w:p>
    <w:p>
      <w:pPr>
        <w:ind w:firstLine="47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（二）主要产品技术要求：详见附件一。</w:t>
      </w:r>
      <w:r/>
    </w:p>
    <w:p>
      <w:pPr>
        <w:ind w:firstLine="47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（三）安装及调试要求：</w:t>
      </w:r>
      <w:r/>
    </w:p>
    <w:p>
      <w:pPr>
        <w:ind w:firstLine="47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1、安装说明：</w:t>
      </w:r>
      <w:r/>
    </w:p>
    <w:p>
      <w:pPr>
        <w:ind w:firstLine="47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 所有安装操作材料质量及项目质量必须严格按照国家规范及江苏省、苏州市相应地方规范、招标文件、材料厂家的技术规范的有关要求执行，如果在合同履行过程中有新的国家或行业（部）规范和标准出台的，则中标单位应确保该合同产品达到并符合新的国家或行业（部）规范和标准，因此而增加的费用及风险由中标单位自行承担。</w:t>
      </w:r>
      <w:r/>
    </w:p>
    <w:p>
      <w:pPr>
        <w:ind w:firstLine="47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 中标单位须在项目实施前把详细的项目实施方案报送采购人审批，经批准同意后方可以组织操作。在项目实施期间中标单位应遵守项目现场及采购人的各项规章制度，所有产品根据采购人要求安装到位。</w:t>
      </w:r>
      <w:r/>
    </w:p>
    <w:p>
      <w:pPr>
        <w:ind w:firstLine="47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 中标单位在项目实施期间应无条件的接受采购人的监督管理，提出的质量问题要及时整改，整改完毕后通知采购人检查验收，合格后书面报送采购人备案。</w:t>
      </w:r>
      <w:r/>
    </w:p>
    <w:p>
      <w:pPr>
        <w:ind w:firstLine="47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 中标单位须按照设计要求和技术标准施工，不得擅自修改设计，不得偷工减料。</w:t>
      </w:r>
      <w:r/>
    </w:p>
    <w:p>
      <w:pPr>
        <w:ind w:firstLine="47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 中标单位负责项目实施过程中的脚手架搭拆。</w:t>
      </w:r>
      <w:r/>
    </w:p>
    <w:p>
      <w:pPr>
        <w:ind w:firstLine="47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(6) 中标单位须建立健全质量检查制度，严格工序管理，隐蔽工程在隐蔽前应通知采购人检查验收，须采取切实有效的产品保护措施，并编制相应的产品保护方案报采购人批准同意后组织实施。</w:t>
      </w:r>
      <w:r/>
    </w:p>
    <w:p>
      <w:pPr>
        <w:ind w:firstLine="47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供应商须保证投标文件所有材料的真实性及中标后所供产品的一致性。中标后，采购人有权对供货产品质量进行随机抽样检测，由此产生的所有费用由采购人承担，对产品进行合理的破坏性检测后中标单位须无偿补全该产品，如检测不合格，采购人有权要求整改到位，并不予结算相关费用或终止合同，相关损失和责任由中标供应商承担。</w:t>
      </w:r>
      <w:r/>
    </w:p>
    <w:p>
      <w:pPr>
        <w:ind w:firstLine="47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在本项目实施过程，根据项目需要，如需对原建筑或设施进行必要破拆的，须负责修复原样，相关费用由中标单位承担；如非操作需要对原建筑、设施或物品造成破坏，须照价赔偿，并根据情节严重程度，采购人有权通过法律途径追究中标单位的相关责任。在项目实施过程中的相关人员、财产的风险和责任均由中标单位承担，采购人概不负责。</w:t>
      </w:r>
      <w:r/>
    </w:p>
    <w:p>
      <w:pPr>
        <w:ind w:firstLine="47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4、本次采购项目的产品质量、安装质量及与此相关的所有项目质量安全问题均由中标单位负责，如因上述原因造成的一切后果均由中标单位自行承担。</w:t>
      </w:r>
      <w:r/>
    </w:p>
    <w:p>
      <w:pPr>
        <w:ind w:firstLine="47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5、供应商应针对本项目配置专业的安装实施技术人员，如有涉及专业资质要求的则须配置具有对应专业资质的人员负责，持证上岗。项目实施过程中的安全及环保责任问题一律由中标单位自行承担。</w:t>
      </w:r>
      <w:r/>
    </w:p>
    <w:p>
      <w:pPr>
        <w:ind w:firstLine="47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6、中标单位应对安装施工质量、安全全面负责，如中标单位原因造成质量、安全事故、中标单位承担一切经济法律责任。</w:t>
      </w:r>
      <w:r/>
    </w:p>
    <w:p>
      <w:pPr>
        <w:ind w:firstLine="47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7、中标单位必须定期参加现场会议，与买方讨论关于设施的所有问题，在每次会议上，中标单位应说明将来的工作计划、影响因素以及由于相邻的其他工作而使其工作延误的原因。</w:t>
      </w:r>
      <w:r/>
    </w:p>
    <w:p>
      <w:pPr>
        <w:ind w:firstLine="47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8、中标单位须根据采购单位的项目进度、实施方案的要求，随时提供技术人员实施安装、调试等工作，并提供相关调试工具和材料。所有供电、通电手续由中标单位负责，并确保通过供电部门验收，然后交付采购方使用。</w:t>
      </w:r>
      <w:r/>
    </w:p>
    <w:p>
      <w:pPr>
        <w:ind w:firstLine="47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9、负责通过国家相关法定部门的验收及费用（如果有的话）。</w:t>
      </w:r>
      <w:r/>
    </w:p>
    <w:p>
      <w:pPr>
        <w:ind w:firstLine="47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10、中标单位不得转包或分包。如发现有转包、违法分包现象或中标单位临时拼凑的工程队伍进行施工的情况，采购人有权立即终止合同， 由此造成的其他一切经济损失，由中标单位负责赔偿。</w:t>
      </w:r>
      <w:r/>
    </w:p>
    <w:p>
      <w:pPr>
        <w:ind w:firstLine="47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11、中标单位在施工过程中，应遵守有关环境保护的法律，履行合同约定的环境保护义务，并对违反法律和合同约定义务所造成的环境破坏、人身伤害和财产损失负责。</w:t>
      </w:r>
      <w:r/>
    </w:p>
    <w:p>
      <w:pPr>
        <w:ind w:firstLine="47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12、中标单位应按照有关规定和施工环保措施计划有序地堆放和处理施工废弃物，避免对环境造成破坏。因中标单位任意堆放或弃置施工废弃物造成妨碍公共交通、影响采购人正常办公秩序、危及民众安全、破坏周边环境，或者影响其他中标单位施工等后果的，中标单位应承担责任。</w:t>
      </w:r>
      <w:r/>
    </w:p>
    <w:p>
      <w:pPr>
        <w:ind w:firstLine="47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13、中标单位应按照文明施工的要求，应加强对噪声、粉尘、废气、废水和废油的控制，努力降低噪声，控制粉尘和废气浓度，做好废水和废油的治理和排放，负责施工场地清洁卫生工作。</w:t>
      </w:r>
      <w:r/>
    </w:p>
    <w:p>
      <w:pPr>
        <w:ind w:firstLine="47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14、中标单位应负责施工场地清洁卫生工作。</w:t>
      </w:r>
      <w:r/>
    </w:p>
    <w:p>
      <w:pPr>
        <w:ind w:firstLine="47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15、采购单位保留在投标方中标后，委托第三方对中标设备进行测试、检验、以及对项目实施后验收的权利，在验收或使用过程中如发现不能满足招标文件中要求的性能指标或投标文件中响应的性能指标，经第三方验证确实，采购单位有权要求中标单位无条件退货，并依据合同进行相关处罚。</w:t>
      </w:r>
      <w:r/>
    </w:p>
    <w:p>
      <w:pPr>
        <w:ind w:firstLine="47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16、供应商根据按照招标要求提供的技术响应表格式对技术指标逐条进行应答，性能要求达到具体数值的条款中必须明确列出具体数值。所提供的产 品资料说明可以证明应答参数的真实性。供应商和应标产品厂商共同对所有技术应答负责，一经查实有虚假响应招标要求的情况，视为不实质性响应招标文件，并参照《中华人民共和国政府采购法》第七十七条之规定进行处理。</w:t>
      </w:r>
      <w:r/>
    </w:p>
    <w:p>
      <w:pPr>
        <w:ind w:firstLine="470"/>
        <w:spacing w:line="360" w:lineRule="auto"/>
        <w:rPr>
          <w:rFonts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 xml:space="preserve">（四）设备交付、验收</w:t>
      </w:r>
      <w:r/>
    </w:p>
    <w:p>
      <w:pPr>
        <w:ind w:firstLine="470"/>
        <w:spacing w:line="360" w:lineRule="auto"/>
        <w:rPr>
          <w:rFonts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 xml:space="preserve">1、交货及安装</w:t>
      </w:r>
      <w:r>
        <w:rPr>
          <w:rFonts w:hint="eastAsia" w:ascii="宋体" w:hAnsi="宋体" w:eastAsia="宋体" w:cs="宋体"/>
          <w:color w:val="auto"/>
          <w:sz w:val="24"/>
          <w:szCs w:val="24"/>
          <w:highlight w:val="none"/>
          <w:lang w:val="zh-CN"/>
        </w:rPr>
        <w:t xml:space="preserve">期限：</w:t>
      </w:r>
      <w:r>
        <w:rPr>
          <w:rFonts w:hint="eastAsia" w:ascii="宋体" w:hAnsi="宋体" w:eastAsia="宋体" w:cs="宋体"/>
          <w:color w:val="auto"/>
          <w:sz w:val="24"/>
          <w:szCs w:val="24"/>
          <w:highlight w:val="none"/>
        </w:rPr>
        <w:t xml:space="preserve">接到采购人书面通知之日起40天内供货并完成安装调试。</w:t>
      </w:r>
      <w:r/>
    </w:p>
    <w:p>
      <w:pPr>
        <w:ind w:firstLine="470"/>
        <w:spacing w:line="360" w:lineRule="auto"/>
        <w:rPr>
          <w:rFonts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 xml:space="preserve">2、交货</w:t>
      </w:r>
      <w:r>
        <w:rPr>
          <w:rFonts w:hint="eastAsia" w:ascii="宋体" w:hAnsi="宋体" w:eastAsia="宋体" w:cs="宋体"/>
          <w:color w:val="auto"/>
          <w:sz w:val="24"/>
          <w:szCs w:val="24"/>
          <w:highlight w:val="none"/>
          <w:lang w:val="zh-CN"/>
        </w:rPr>
        <w:t xml:space="preserve">地点：</w:t>
      </w:r>
      <w:r>
        <w:rPr>
          <w:rFonts w:hint="eastAsia" w:ascii="宋体" w:hAnsi="宋体" w:eastAsia="宋体" w:cs="宋体"/>
          <w:bCs/>
          <w:color w:val="auto"/>
          <w:sz w:val="24"/>
          <w:szCs w:val="24"/>
          <w:highlight w:val="none"/>
        </w:rPr>
        <w:t xml:space="preserve">苏州市规划展示馆（苏州市姑苏区阊胥路32号）</w:t>
      </w:r>
      <w:r>
        <w:rPr>
          <w:rFonts w:hint="eastAsia" w:ascii="宋体" w:hAnsi="宋体" w:eastAsia="宋体" w:cs="宋体"/>
          <w:bCs/>
          <w:color w:val="auto"/>
          <w:sz w:val="24"/>
          <w:szCs w:val="24"/>
          <w:highlight w:val="none"/>
          <w:lang w:val="zh-CN"/>
        </w:rPr>
        <w:t xml:space="preserve">。</w:t>
      </w:r>
      <w:r/>
    </w:p>
    <w:p>
      <w:pPr>
        <w:ind w:firstLine="47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3、设备的到货、安装：</w:t>
      </w:r>
      <w:r/>
    </w:p>
    <w:p>
      <w:pPr>
        <w:ind w:firstLine="47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（1）所供设备在现场进行到货验收时,由中标单位负责，采购单位派员参加,如发现问题应及时处理直至使采购单位满意,其中费用由中标单位支付、设备的存放点由采购单位提供、中标单位负责保管。</w:t>
      </w:r>
      <w:r/>
    </w:p>
    <w:p>
      <w:pPr>
        <w:ind w:firstLine="47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（2）中标单位负责保管、看护进场的设备及附配件；</w:t>
      </w:r>
      <w:r/>
    </w:p>
    <w:p>
      <w:pPr>
        <w:ind w:firstLine="47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（3）中标单位应对设备、安装设备（工具）等提供适当的保护、包装或覆盖等处理，以免受损；</w:t>
      </w:r>
      <w:r/>
    </w:p>
    <w:p>
      <w:pPr>
        <w:ind w:firstLine="47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（4）中标单位承担安装调试期间安装场所的安全以及设备和安装调试人员的安全责任；</w:t>
      </w:r>
      <w:r/>
    </w:p>
    <w:p>
      <w:pPr>
        <w:ind w:firstLine="47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4、调试、质量保证：</w:t>
      </w:r>
      <w:r/>
    </w:p>
    <w:p>
      <w:pPr>
        <w:ind w:firstLine="47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（1）需要制定服务计划的，中标单位要制订计划并将服务计划送采购单位确认；具体服务内容按照经确认的计划进行；</w:t>
      </w:r>
      <w:r/>
    </w:p>
    <w:p>
      <w:pPr>
        <w:ind w:firstLine="47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（2）技术服务工程师到达用户现场后，向采购单位提交本次技术服务内容清单，交用户确认；</w:t>
      </w:r>
      <w:r/>
    </w:p>
    <w:p>
      <w:pPr>
        <w:ind w:firstLine="47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（3）安装调试过程中形成的服务记录须提交采购单位签字确认；</w:t>
      </w:r>
      <w:r/>
    </w:p>
    <w:p>
      <w:pPr>
        <w:ind w:firstLine="47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（4）中标单位质检部门应不定期对技术服务工程师的服务水平、服务态度和服务效果及采购单位满意度进行调查，以便及时发现服务过程中存在的问题并及时解决；</w:t>
      </w:r>
      <w:r/>
    </w:p>
    <w:p>
      <w:pPr>
        <w:ind w:firstLine="470"/>
        <w:spacing w:line="360" w:lineRule="auto"/>
        <w:rPr>
          <w:rFonts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5、验收标准：</w:t>
      </w:r>
      <w:r>
        <w:rPr>
          <w:rFonts w:hint="eastAsia" w:ascii="宋体" w:hAnsi="宋体" w:eastAsia="宋体" w:cs="宋体"/>
          <w:bCs/>
          <w:color w:val="auto"/>
          <w:sz w:val="24"/>
          <w:szCs w:val="24"/>
          <w:highlight w:val="none"/>
        </w:rPr>
        <w:t xml:space="preserve">供应商应需在投标文件中提供一份验收大纲，在采购单位确认后作为验收的依据。满足招标文件、国标或行业标准，对于设备材料需达到国标或行业标准中一等品的技术标准。交付验收标准依次序对照适用标准为：①符合中华人民共和国国家安全质量标准、环保标准或行业标准；②符合招标文件和响应承诺中采购人认可的合理最佳配置、参数及各项要求。</w:t>
      </w:r>
      <w:r/>
    </w:p>
    <w:p>
      <w:pPr>
        <w:ind w:firstLine="47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最终验收以采购单位及供电部门双重验收合格为准。</w:t>
      </w:r>
      <w:r/>
    </w:p>
    <w:p>
      <w:pPr>
        <w:ind w:firstLine="47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6、验收方法：</w:t>
      </w:r>
      <w:r/>
    </w:p>
    <w:p>
      <w:pPr>
        <w:ind w:firstLine="47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（1）中标单位供货安装完成后，采购人有权邀请相关管理部门、供电部门等进行验收。</w:t>
      </w:r>
      <w:r/>
    </w:p>
    <w:p>
      <w:pPr>
        <w:ind w:firstLine="47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中标单位须保证项目中所使用的材料、提供的设备为优质产品并完全符合国家质量检验标准。验收时采用的检验方法将按照制造厂商生产的产品验收标准和中华人民共和国有关标准以及招标文件规定的技术要求进行验收。</w:t>
      </w:r>
      <w:r/>
    </w:p>
    <w:p>
      <w:pPr>
        <w:ind w:firstLine="47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中标单位提供的材料、设备全部或部分到货后，采购人有权从每种产品中随机选定一两件产品，由质量技术监督部门进行检验，各项指标必须符合现行国家和行业标准、招标文件规定及投标文件的承诺。检验相关全部费用（含运费、检验费等）完全由中标单位承担。若检验结果不合格，则采购人有权按招标文件相关条款处理。</w:t>
      </w:r>
      <w:r/>
    </w:p>
    <w:p>
      <w:pPr>
        <w:ind w:firstLine="47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7、售后服务</w:t>
      </w:r>
      <w:r/>
    </w:p>
    <w:p>
      <w:pPr>
        <w:ind w:firstLine="47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（1）本项目免费质保期：通电后、经验收合格之</w:t>
      </w:r>
      <w:r>
        <w:rPr>
          <w:rFonts w:hint="eastAsia" w:ascii="宋体" w:hAnsi="宋体" w:eastAsia="宋体" w:cs="宋体"/>
          <w:bCs/>
          <w:color w:val="auto"/>
          <w:sz w:val="24"/>
          <w:szCs w:val="24"/>
          <w:highlight w:val="none"/>
        </w:rPr>
        <w:t xml:space="preserve">日起</w:t>
      </w:r>
      <w:r>
        <w:rPr>
          <w:rFonts w:ascii="宋体" w:hAnsi="宋体" w:eastAsia="宋体" w:cs="宋体"/>
          <w:bCs/>
          <w:color w:val="auto"/>
          <w:sz w:val="24"/>
          <w:szCs w:val="24"/>
          <w:highlight w:val="none"/>
        </w:rPr>
        <w:t xml:space="preserve">2</w:t>
      </w:r>
      <w:r>
        <w:rPr>
          <w:rFonts w:hint="eastAsia" w:ascii="宋体" w:hAnsi="宋体" w:eastAsia="宋体" w:cs="宋体"/>
          <w:bCs/>
          <w:color w:val="auto"/>
          <w:sz w:val="24"/>
          <w:szCs w:val="24"/>
          <w:highlight w:val="none"/>
        </w:rPr>
        <w:t xml:space="preserve">年</w:t>
      </w:r>
      <w:r>
        <w:rPr>
          <w:rFonts w:hint="eastAsia" w:ascii="宋体" w:hAnsi="宋体" w:eastAsia="宋体" w:cs="宋体"/>
          <w:bCs/>
          <w:color w:val="auto"/>
          <w:sz w:val="24"/>
          <w:szCs w:val="24"/>
          <w:highlight w:val="none"/>
        </w:rPr>
        <w:t xml:space="preserve">。</w:t>
      </w:r>
      <w:r/>
    </w:p>
    <w:p>
      <w:pPr>
        <w:ind w:firstLine="47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质保期内提供免费维修、保养、非人为原因损坏更换服务，供应商在接到采购人报障通知后，以优良的服务态度，立即响应，2小时以内到达现场，4小时内解决问题；在免费维修期内，产品经维修后仍无法正常使用的必须更换全新产品。</w:t>
      </w:r>
      <w:r/>
    </w:p>
    <w:p>
      <w:pPr>
        <w:ind w:firstLine="47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（3）备品备件：</w:t>
      </w:r>
      <w:r/>
    </w:p>
    <w:p>
      <w:pPr>
        <w:ind w:firstLine="47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A、中标单位应充分保证备件供应。</w:t>
      </w:r>
      <w:r/>
    </w:p>
    <w:p>
      <w:pPr>
        <w:ind w:firstLine="47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B、中标单位应针对产品的隐患准备备件，并立即进行更换。</w:t>
      </w:r>
      <w:r/>
    </w:p>
    <w:p>
      <w:pPr>
        <w:ind w:firstLine="47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C、中标单位应严格遵守服务合约的目标在最短时间内恢复正常运行。</w:t>
      </w:r>
      <w:r/>
    </w:p>
    <w:p>
      <w:pPr>
        <w:ind w:firstLine="47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D、更换的备件的型号和规格应与被更换的完全一样，更换下的备件应退还中标单位。</w:t>
      </w:r>
      <w:r/>
    </w:p>
    <w:p>
      <w:pPr>
        <w:ind w:firstLine="47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8、其他要求：</w:t>
      </w:r>
      <w:r/>
    </w:p>
    <w:p>
      <w:pPr>
        <w:ind w:firstLine="47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（1）供应商必须满足所有要求，有义务保证所投产品的完整性，部分连接运行配件未在招标书中明示的，供应商应在投标时予以补充。</w:t>
      </w:r>
      <w:r/>
    </w:p>
    <w:p>
      <w:pPr>
        <w:ind w:firstLine="47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供应商需承诺在投标文件中说明的所投产品的参数指标、产品资料、按照招标文件要求提供的服务承诺及实施方案等是真实的，投标文件中承诺，一旦由专家或者采购人或者产品到货后或者使用中发现参数指标、产品资料、服务承诺等与投标文件说明不符，采购单位有权上报相关部门进行审核，并依据相关法律进行处理。</w:t>
      </w:r>
      <w:r/>
    </w:p>
    <w:p>
      <w:pPr>
        <w:ind w:firstLine="47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（3）供应商必须承诺如果因为供应商自身的原因造成所招产品不能按时上线或产品安装进度拖延，采购人有权对供应商进行索赔，因此发生的费用无条件由供应商支付。</w:t>
      </w:r>
      <w:r/>
    </w:p>
    <w:p>
      <w:pPr>
        <w:ind w:firstLine="47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（4）培训要求</w:t>
      </w:r>
      <w:r/>
    </w:p>
    <w:p>
      <w:pPr>
        <w:ind w:firstLine="47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在所有设备安装完成后，中标单位应负责对采购人进行不少于3个工作日的日常使用方面的培训，培训对象主要包括系统管理员及使用人员。项目的日常管理及维护由系统管理员负责，专业性较强，需要进行专门的培训，以备日常工作的需要。同时也要对采购的人员进行必要的培训以确保其对业务系统能够正常、有效地使用。培训主要内容包括系统管理员技术培训和使用人员操作培训。</w:t>
      </w:r>
      <w:r/>
    </w:p>
    <w:p>
      <w:pPr>
        <w:pStyle w:val="1032"/>
        <w:ind w:firstLine="480"/>
        <w:spacing w:line="360" w:lineRule="auto"/>
        <w:rPr>
          <w:rStyle w:val="1001"/>
          <w:rFonts w:ascii="宋体" w:hAnsi="宋体" w:eastAsia="宋体" w:cs="宋体"/>
          <w:bCs/>
          <w:color w:val="auto"/>
          <w:sz w:val="24"/>
          <w:szCs w:val="24"/>
          <w:highlight w:val="none"/>
        </w:rPr>
      </w:pPr>
      <w:r>
        <w:rPr>
          <w:rStyle w:val="1001"/>
          <w:rFonts w:hint="eastAsia" w:ascii="宋体" w:hAnsi="宋体" w:eastAsia="宋体" w:cs="宋体"/>
          <w:bCs/>
          <w:color w:val="auto"/>
          <w:sz w:val="24"/>
          <w:szCs w:val="24"/>
          <w:highlight w:val="none"/>
        </w:rPr>
        <w:t xml:space="preserve">（5）现场踏勘：</w:t>
      </w:r>
      <w:r/>
    </w:p>
    <w:p>
      <w:pPr>
        <w:pStyle w:val="1032"/>
        <w:ind w:firstLine="480"/>
        <w:spacing w:line="360" w:lineRule="auto"/>
        <w:rPr>
          <w:rStyle w:val="1001"/>
          <w:rFonts w:ascii="宋体" w:hAnsi="宋体" w:eastAsia="宋体" w:cs="宋体"/>
          <w:color w:val="auto"/>
          <w:sz w:val="24"/>
          <w:szCs w:val="24"/>
          <w:highlight w:val="none"/>
        </w:rPr>
      </w:pPr>
      <w:r>
        <w:rPr>
          <w:rStyle w:val="1001"/>
          <w:rFonts w:hint="eastAsia" w:ascii="宋体" w:hAnsi="宋体" w:eastAsia="宋体" w:cs="宋体"/>
          <w:color w:val="auto"/>
          <w:sz w:val="24"/>
          <w:szCs w:val="24"/>
          <w:highlight w:val="none"/>
        </w:rPr>
        <w:t xml:space="preserve">为便于投标人实地了解项目现场情况，采购人将组织统一现场踏勘，具体信息如下：</w:t>
      </w:r>
      <w:r/>
    </w:p>
    <w:p>
      <w:pPr>
        <w:pStyle w:val="1032"/>
        <w:ind w:firstLine="480"/>
        <w:spacing w:line="360" w:lineRule="auto"/>
        <w:rPr>
          <w:rStyle w:val="1001"/>
          <w:rFonts w:ascii="宋体" w:hAnsi="宋体" w:eastAsia="宋体" w:cs="宋体"/>
          <w:color w:val="auto"/>
          <w:sz w:val="24"/>
          <w:szCs w:val="24"/>
          <w:highlight w:val="none"/>
        </w:rPr>
      </w:pPr>
      <w:r>
        <w:rPr>
          <w:rStyle w:val="1001"/>
          <w:rFonts w:hint="eastAsia" w:ascii="宋体" w:hAnsi="宋体" w:eastAsia="宋体" w:cs="宋体"/>
          <w:color w:val="auto"/>
          <w:sz w:val="24"/>
          <w:szCs w:val="24"/>
          <w:highlight w:val="none"/>
        </w:rPr>
        <w:t xml:space="preserve">现场踏勘集合时间：</w:t>
      </w:r>
      <w:r>
        <w:rPr>
          <w:rStyle w:val="1001"/>
          <w:rFonts w:ascii="宋体" w:hAnsi="宋体" w:eastAsia="宋体" w:cs="宋体"/>
          <w:color w:val="auto"/>
          <w:sz w:val="24"/>
          <w:szCs w:val="24"/>
          <w:highlight w:val="none"/>
        </w:rPr>
        <w:t xml:space="preserve">2026</w:t>
      </w:r>
      <w:r>
        <w:rPr>
          <w:rStyle w:val="1001"/>
          <w:rFonts w:hint="eastAsia" w:ascii="宋体" w:hAnsi="宋体" w:eastAsia="宋体" w:cs="宋体"/>
          <w:color w:val="auto"/>
          <w:sz w:val="24"/>
          <w:szCs w:val="24"/>
          <w:highlight w:val="none"/>
        </w:rPr>
        <w:t xml:space="preserve">年</w:t>
      </w:r>
      <w:r>
        <w:rPr>
          <w:rStyle w:val="1001"/>
          <w:rFonts w:hint="eastAsia" w:ascii="宋体" w:hAnsi="宋体" w:eastAsia="宋体" w:cs="宋体"/>
          <w:color w:val="auto"/>
          <w:sz w:val="24"/>
          <w:szCs w:val="24"/>
          <w:highlight w:val="none"/>
          <w:lang w:val="en-US" w:eastAsia="zh-CN"/>
        </w:rPr>
        <w:t xml:space="preserve">9</w:t>
      </w:r>
      <w:r>
        <w:rPr>
          <w:rStyle w:val="1001"/>
          <w:rFonts w:hint="eastAsia" w:ascii="宋体" w:hAnsi="宋体" w:eastAsia="宋体" w:cs="宋体"/>
          <w:color w:val="auto"/>
          <w:sz w:val="24"/>
          <w:szCs w:val="24"/>
          <w:highlight w:val="none"/>
        </w:rPr>
        <w:t xml:space="preserve">月</w:t>
      </w:r>
      <w:r>
        <w:rPr>
          <w:rStyle w:val="1001"/>
          <w:rFonts w:hint="eastAsia" w:ascii="宋体" w:hAnsi="宋体" w:eastAsia="宋体" w:cs="宋体"/>
          <w:color w:val="auto"/>
          <w:sz w:val="24"/>
          <w:szCs w:val="24"/>
          <w:highlight w:val="none"/>
          <w:lang w:val="en-US" w:eastAsia="zh-CN"/>
        </w:rPr>
        <w:t xml:space="preserve">3</w:t>
      </w:r>
      <w:r>
        <w:rPr>
          <w:rStyle w:val="1001"/>
          <w:rFonts w:hint="eastAsia" w:ascii="宋体" w:hAnsi="宋体" w:eastAsia="宋体" w:cs="宋体"/>
          <w:color w:val="auto"/>
          <w:sz w:val="24"/>
          <w:szCs w:val="24"/>
          <w:highlight w:val="none"/>
        </w:rPr>
        <w:t xml:space="preserve">日9</w:t>
      </w:r>
      <w:r>
        <w:rPr>
          <w:rStyle w:val="1001"/>
          <w:rFonts w:hint="eastAsia" w:ascii="宋体" w:hAnsi="宋体" w:eastAsia="宋体" w:cs="宋体"/>
          <w:color w:val="auto"/>
          <w:sz w:val="24"/>
          <w:szCs w:val="24"/>
          <w:highlight w:val="none"/>
          <w:lang w:val="en-US" w:eastAsia="zh-CN"/>
        </w:rPr>
        <w:t xml:space="preserve">点</w:t>
      </w:r>
      <w:r>
        <w:rPr>
          <w:rStyle w:val="1001"/>
          <w:rFonts w:hint="eastAsia" w:ascii="宋体" w:hAnsi="宋体" w:eastAsia="宋体" w:cs="宋体"/>
          <w:color w:val="auto"/>
          <w:sz w:val="24"/>
          <w:szCs w:val="24"/>
          <w:highlight w:val="none"/>
        </w:rPr>
        <w:t xml:space="preserve">30</w:t>
      </w:r>
      <w:r>
        <w:rPr>
          <w:rStyle w:val="1001"/>
          <w:rFonts w:hint="eastAsia" w:ascii="宋体" w:hAnsi="宋体" w:eastAsia="宋体" w:cs="宋体"/>
          <w:color w:val="auto"/>
          <w:sz w:val="24"/>
          <w:szCs w:val="24"/>
          <w:highlight w:val="none"/>
          <w:lang w:val="en-US" w:eastAsia="zh-CN"/>
        </w:rPr>
        <w:t xml:space="preserve">分</w:t>
      </w:r>
      <w:r>
        <w:rPr>
          <w:rStyle w:val="1001"/>
          <w:rFonts w:hint="eastAsia" w:ascii="宋体" w:hAnsi="宋体" w:eastAsia="宋体" w:cs="宋体"/>
          <w:color w:val="auto"/>
          <w:sz w:val="24"/>
          <w:szCs w:val="24"/>
          <w:highlight w:val="none"/>
          <w:lang w:eastAsia="zh-CN"/>
        </w:rPr>
        <w:t xml:space="preserve">，</w:t>
      </w:r>
      <w:r>
        <w:rPr>
          <w:rStyle w:val="1001"/>
          <w:rFonts w:hint="eastAsia" w:ascii="宋体" w:hAnsi="宋体" w:eastAsia="宋体" w:cs="宋体"/>
          <w:color w:val="auto"/>
          <w:sz w:val="24"/>
          <w:szCs w:val="24"/>
          <w:highlight w:val="none"/>
          <w:lang w:val="en-US" w:eastAsia="zh-CN"/>
        </w:rPr>
        <w:t xml:space="preserve">过期过时不候</w:t>
      </w:r>
      <w:r>
        <w:rPr>
          <w:rStyle w:val="1001"/>
          <w:rFonts w:hint="eastAsia" w:ascii="宋体" w:hAnsi="宋体" w:eastAsia="宋体" w:cs="宋体"/>
          <w:color w:val="auto"/>
          <w:sz w:val="24"/>
          <w:szCs w:val="24"/>
          <w:highlight w:val="none"/>
        </w:rPr>
        <w:t xml:space="preserve">。</w:t>
      </w:r>
      <w:r>
        <w:rPr>
          <w:rStyle w:val="1001"/>
          <w:rFonts w:ascii="宋体" w:hAnsi="宋体" w:eastAsia="宋体" w:cs="宋体"/>
          <w:color w:val="auto"/>
          <w:sz w:val="24"/>
          <w:szCs w:val="24"/>
          <w:highlight w:val="none"/>
        </w:rPr>
        <w:t xml:space="preserve">   </w:t>
      </w:r>
      <w:r/>
    </w:p>
    <w:p>
      <w:pPr>
        <w:pStyle w:val="1032"/>
        <w:ind w:firstLine="480"/>
        <w:spacing w:line="360" w:lineRule="auto"/>
        <w:rPr>
          <w:rStyle w:val="1001"/>
          <w:rFonts w:ascii="宋体" w:hAnsi="宋体" w:eastAsia="宋体" w:cs="宋体"/>
          <w:color w:val="auto"/>
          <w:sz w:val="24"/>
          <w:szCs w:val="24"/>
          <w:highlight w:val="none"/>
        </w:rPr>
      </w:pPr>
      <w:r>
        <w:rPr>
          <w:rStyle w:val="1001"/>
          <w:rFonts w:hint="eastAsia" w:ascii="宋体" w:hAnsi="宋体" w:eastAsia="宋体" w:cs="宋体"/>
          <w:color w:val="auto"/>
          <w:sz w:val="24"/>
          <w:szCs w:val="24"/>
          <w:highlight w:val="none"/>
        </w:rPr>
        <w:t xml:space="preserve">现场踏勘集合地点：</w:t>
      </w:r>
      <w:r>
        <w:rPr>
          <w:rFonts w:hint="eastAsia" w:ascii="宋体" w:hAnsi="宋体" w:eastAsia="宋体" w:cs="宋体"/>
          <w:bCs/>
          <w:color w:val="auto"/>
          <w:sz w:val="24"/>
          <w:szCs w:val="24"/>
          <w:highlight w:val="none"/>
        </w:rPr>
        <w:t xml:space="preserve">苏州市姑苏区阊胥路32号大门岗</w:t>
      </w:r>
      <w:r>
        <w:rPr>
          <w:rStyle w:val="1001"/>
          <w:rFonts w:hint="eastAsia" w:ascii="宋体" w:hAnsi="宋体" w:eastAsia="宋体" w:cs="宋体"/>
          <w:color w:val="auto"/>
          <w:sz w:val="24"/>
          <w:szCs w:val="24"/>
          <w:highlight w:val="none"/>
        </w:rPr>
        <w:t xml:space="preserve">。 </w:t>
      </w:r>
      <w:r/>
    </w:p>
    <w:p>
      <w:pPr>
        <w:pStyle w:val="1032"/>
        <w:ind w:firstLine="480"/>
        <w:spacing w:line="360" w:lineRule="auto"/>
        <w:rPr>
          <w:rStyle w:val="1001"/>
          <w:rFonts w:ascii="宋体" w:hAnsi="宋体" w:eastAsia="宋体" w:cs="宋体"/>
          <w:color w:val="auto"/>
          <w:sz w:val="24"/>
          <w:szCs w:val="24"/>
          <w:highlight w:val="none"/>
        </w:rPr>
      </w:pPr>
      <w:r>
        <w:rPr>
          <w:rStyle w:val="1001"/>
          <w:rFonts w:hint="eastAsia" w:ascii="宋体" w:hAnsi="宋体" w:eastAsia="宋体" w:cs="宋体"/>
          <w:color w:val="auto"/>
          <w:sz w:val="24"/>
          <w:szCs w:val="24"/>
          <w:highlight w:val="none"/>
        </w:rPr>
        <w:t xml:space="preserve">现场勘查联系方式：</w:t>
      </w:r>
      <w:r/>
    </w:p>
    <w:p>
      <w:pPr>
        <w:pStyle w:val="1032"/>
        <w:ind w:firstLine="480"/>
        <w:spacing w:line="360" w:lineRule="auto"/>
        <w:rPr>
          <w:rStyle w:val="1001"/>
          <w:rFonts w:ascii="宋体" w:hAnsi="宋体" w:eastAsia="宋体" w:cs="宋体"/>
          <w:color w:val="auto"/>
          <w:sz w:val="24"/>
          <w:szCs w:val="24"/>
          <w:highlight w:val="none"/>
        </w:rPr>
      </w:pPr>
      <w:r>
        <w:rPr>
          <w:rStyle w:val="1001"/>
          <w:rFonts w:hint="eastAsia" w:ascii="宋体" w:hAnsi="宋体" w:eastAsia="宋体" w:cs="宋体"/>
          <w:color w:val="auto"/>
          <w:sz w:val="24"/>
          <w:szCs w:val="24"/>
          <w:highlight w:val="none"/>
        </w:rPr>
        <w:t xml:space="preserve">A. 采购人：</w:t>
      </w:r>
      <w:r>
        <w:rPr>
          <w:rFonts w:hint="eastAsia" w:ascii="宋体" w:hAnsi="宋体" w:eastAsia="宋体" w:cs="宋体"/>
          <w:color w:val="auto"/>
          <w:sz w:val="24"/>
          <w:szCs w:val="24"/>
          <w:highlight w:val="none"/>
        </w:rPr>
        <w:t xml:space="preserve">杨飞，0512-68656191</w:t>
      </w:r>
      <w:r>
        <w:rPr>
          <w:rStyle w:val="1001"/>
          <w:rFonts w:hint="eastAsia" w:ascii="宋体" w:hAnsi="宋体" w:eastAsia="宋体" w:cs="宋体"/>
          <w:color w:val="auto"/>
          <w:sz w:val="24"/>
          <w:szCs w:val="24"/>
          <w:highlight w:val="none"/>
        </w:rPr>
        <w:t xml:space="preserve">。</w:t>
      </w:r>
      <w:r/>
    </w:p>
    <w:p>
      <w:pPr>
        <w:pStyle w:val="1032"/>
        <w:ind w:firstLine="480"/>
        <w:spacing w:line="360" w:lineRule="auto"/>
        <w:rPr>
          <w:rStyle w:val="1001"/>
          <w:rFonts w:ascii="宋体" w:hAnsi="宋体" w:eastAsia="宋体" w:cs="宋体"/>
          <w:color w:val="auto"/>
          <w:sz w:val="24"/>
          <w:szCs w:val="24"/>
          <w:highlight w:val="none"/>
        </w:rPr>
      </w:pPr>
      <w:r>
        <w:rPr>
          <w:rStyle w:val="1001"/>
          <w:rFonts w:hint="eastAsia" w:ascii="宋体" w:hAnsi="宋体" w:eastAsia="宋体" w:cs="宋体"/>
          <w:color w:val="auto"/>
          <w:sz w:val="24"/>
          <w:szCs w:val="24"/>
          <w:highlight w:val="none"/>
        </w:rPr>
        <w:t xml:space="preserve">B. 采购代理机构：徐杰，0512-628526523。</w:t>
      </w:r>
      <w:r/>
    </w:p>
    <w:p>
      <w:pPr>
        <w:pStyle w:val="1032"/>
        <w:ind w:firstLine="480"/>
        <w:spacing w:line="360" w:lineRule="auto"/>
        <w:rPr>
          <w:rFonts w:ascii="宋体" w:hAnsi="宋体" w:eastAsia="宋体" w:cs="宋体"/>
          <w:bCs/>
          <w:color w:val="auto"/>
          <w:sz w:val="24"/>
          <w:highlight w:val="none"/>
        </w:rPr>
      </w:pPr>
      <w:r>
        <w:rPr>
          <w:rStyle w:val="1001"/>
          <w:rFonts w:hint="eastAsia" w:ascii="宋体" w:hAnsi="宋体" w:eastAsia="宋体" w:cs="宋体"/>
          <w:color w:val="auto"/>
          <w:sz w:val="24"/>
          <w:szCs w:val="24"/>
          <w:highlight w:val="none"/>
        </w:rPr>
        <w:t xml:space="preserve">注：现场踏勘不要求投标人提供任何单位或个人的相关信息，投标人须在现场踏勘集合时间截止前到达现场踏勘集合地点，逾时不候，且不再重新组织现场踏勘。投标人应充分重视和仔细地进行现场踏勘，并对经现场踏勘得出的任何推论、理解和结论自行负责。投标人须承担参加现场踏勘的所有费用，并同时承担在现场勘查期间由于投标人行为所造成的人身伤害、财产损失或损坏，以及其他任何原因造成的损失、损坏或费用，投标人不得因此使采购人承担有关的责任和蒙受损失。</w:t>
      </w:r>
      <w:r/>
    </w:p>
    <w:p>
      <w:pPr>
        <w:ind w:firstLine="47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三、其他说明</w:t>
      </w:r>
      <w:r/>
    </w:p>
    <w:p>
      <w:pPr>
        <w:ind w:firstLine="47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投标人应针对本项目制定全面具体的实施方案，应包括但不限于安装调试、系统集成、试运行、测试、调优等内容，以及组织机构、工作时间进度表、工作程序和步骤、管理和协调方法、关键步骤的思路和要点等。</w:t>
      </w:r>
      <w:r/>
    </w:p>
    <w:p>
      <w:pPr>
        <w:ind w:firstLine="47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2、投标人应针对本项目制定全面具体的培训方案，包括培训内容、时间、地点、人次、安装维护、调试、配置及使用技能、业务人员培训、应用操作及使用等。</w:t>
      </w:r>
      <w:r/>
    </w:p>
    <w:p>
      <w:pPr>
        <w:ind w:firstLine="47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3、投标人应针对本项目制定全面具体的售后服务方案，包括售后服务人员、服务机制、响应时间、故障解决等内容。</w:t>
      </w:r>
      <w:r/>
    </w:p>
    <w:p>
      <w:pPr>
        <w:ind w:firstLine="47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4、投标人应针对本项目制定全面具体服务体系，需体现投标人服务体系的完备性、技术力量储备等内容。</w:t>
      </w:r>
      <w:r/>
    </w:p>
    <w:p>
      <w:pPr>
        <w:ind w:firstLine="47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5、投标人应配备专业的团队负责本项目，包括项目负责人1名，技术负责人一名，其他专业人员不少于3名。</w:t>
      </w:r>
      <w:r/>
    </w:p>
    <w:p>
      <w:pPr>
        <w:ind w:firstLine="47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四、绿色采购</w:t>
      </w:r>
      <w:r/>
    </w:p>
    <w:p>
      <w:pPr>
        <w:ind w:firstLine="47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关于调整优化节能产品、环境标志产品政府采购执行机制的通知》（财库〔2019〕9号）等相关文件的规定，对属于《节能产品政府采购品目清单》政府强制采购产品的，供应商需提供该产品有效期内的认证等相关证明材料。</w:t>
      </w:r>
      <w:r/>
    </w:p>
    <w:p>
      <w:pPr>
        <w:numPr>
          <w:ilvl w:val="0"/>
          <w:numId w:val="3"/>
        </w:numPr>
        <w:ind w:firstLine="47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采购人本次采购产品均不属于《节能产品政府采购品目清单》范围内的强制采购节能产品。</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采购人本次采购产品均不属于《节能产品政府采购品目清单》范围内实施优先采购的产品。</w:t>
      </w:r>
      <w:r/>
    </w:p>
    <w:p>
      <w:pPr>
        <w:ind w:firstLine="47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2、采购人本次采购产品均不属于《环境标志产品政府采购品目清单》范围内的产品。</w:t>
      </w:r>
      <w:r/>
    </w:p>
    <w:p>
      <w:pPr>
        <w:ind w:firstLine="47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五、综合说明及要求</w:t>
      </w:r>
      <w:r/>
    </w:p>
    <w:p>
      <w:pPr>
        <w:ind w:firstLine="47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人所提供的相关货物或服务应符合国家有关标准和规范，并遵循招标文件的要求，应达到或优于招标要求，并提供详细说明。若招标要求中涉及品牌或品牌导向，则仅作参考。投标文件必须如实进行实质性响应，量化指标必须列明具体数值。投标人在其投标文件中对于招标文件已提供以及未提供的货物或服务情况均须进行完整的阐述和说明，否则其投标文件将有被拒绝的可能。</w:t>
      </w:r>
      <w:r/>
    </w:p>
    <w:p>
      <w:pPr>
        <w:ind w:firstLine="470"/>
        <w:spacing w:line="360" w:lineRule="auto"/>
        <w:rPr>
          <w:rFonts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 xml:space="preserve">2、中标人</w:t>
      </w:r>
      <w:r>
        <w:rPr>
          <w:rFonts w:hint="eastAsia" w:ascii="宋体" w:hAnsi="宋体" w:eastAsia="宋体" w:cs="宋体"/>
          <w:color w:val="auto"/>
          <w:sz w:val="24"/>
          <w:szCs w:val="24"/>
          <w:highlight w:val="none"/>
          <w:lang w:val="zh-CN"/>
        </w:rPr>
        <w:t xml:space="preserve">必须对所提供货物和服务等知识产权方面的一切产权关系负全部责任，由此而引起的法律纠纷以及费用由中标人全部承担。</w:t>
      </w:r>
      <w:r/>
    </w:p>
    <w:p>
      <w:pPr>
        <w:ind w:firstLine="47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本项目为交钥匙项目，中标单位的投标报价包含了采购单位现有场地条件下，进行中标设备的安装调试达到可使用状态，并验收合格前的所有费用。中标后须按采购人要求进行安装，因场外可能的变化而引起的数量变化，以实际安装数量进行结算，变化部分的价格按中标价执行，因此而引起辅材数量有变动的，也可按实际使用数量结算，但增加的金额不得超过本招标文件的相关规定。</w:t>
      </w:r>
      <w:r/>
    </w:p>
    <w:p>
      <w:pPr>
        <w:ind w:firstLine="47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4、本招标文件未提及的技术要求，以供电部门提供的审图意见书为准。</w:t>
      </w:r>
      <w:r/>
    </w:p>
    <w:p>
      <w:pPr>
        <w:ind w:firstLine="47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5、投标文件中应明确所投产品的型号、规格及一些必须说明的技术参数，以及设备配置清单，同时明确生产厂家、型号规格等，并提供详细的技术参数及性能说明书。</w:t>
      </w:r>
      <w:r/>
    </w:p>
    <w:p>
      <w:pPr>
        <w:ind w:firstLine="47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招标文件要求中若涉及品牌型号的仅作参考，供应商可自行提供满足招标技术要求的产品进行投标。供应商必须承诺招标文件中提出的全部技术规格与要求，如果以其中某些条款不响应时，应在文件中逐条列出，未列出的视同响应招标文件要求。供应商提供的材料如有虚假，视为不实质性响应招标文件要求，已中标的取消其中标资格，并参照《中华人民共和国政府采购法》第七十七条“提供虚假材料谋取中标 ”相关处理办法处理。</w:t>
      </w:r>
      <w:r/>
    </w:p>
    <w:p>
      <w:pPr>
        <w:ind w:firstLine="47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7、若招标文件中的采购清单和技术要求与图纸资料不一致时，以招标文件为准。</w:t>
      </w:r>
      <w:r/>
    </w:p>
    <w:p>
      <w:pPr>
        <w:ind w:firstLine="47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rFonts w:hint="eastAsia" w:ascii="宋体" w:hAnsi="宋体" w:eastAsia="宋体" w:cs="宋体"/>
          <w:color w:val="auto"/>
          <w:sz w:val="24"/>
          <w:szCs w:val="24"/>
          <w:highlight w:val="none"/>
        </w:rPr>
        <w:t xml:space="preserve">注：本项目图纸请自带U盘至采购代理机构拷贝领取（不登记领取信息）。</w:t>
      </w:r>
      <w:r>
        <w:rPr>
          <w:rFonts w:hint="eastAsia" w:ascii="宋体" w:hAnsi="宋体" w:eastAsia="宋体" w:cs="宋体"/>
          <w:color w:val="auto"/>
          <w:sz w:val="24"/>
          <w:szCs w:val="24"/>
          <w:highlight w:val="none"/>
        </w:rPr>
      </w:r>
      <w:r>
        <w:rPr>
          <w:rFonts w:ascii="宋体" w:hAnsi="宋体" w:eastAsia="宋体" w:cs="宋体"/>
          <w:color w:val="auto"/>
          <w:sz w:val="24"/>
          <w:szCs w:val="24"/>
          <w:highlight w:val="none"/>
        </w:rPr>
      </w:r>
    </w:p>
    <w:p>
      <w:pPr>
        <w:ind w:firstLine="47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供应商应严格履行招标文件中规定的每一项要求，严格履行合同的责任和义务，保证按期、按质履行合同，完成合同内容所规定的全部工作，如果对其中某些条款不响应时，应在投标文件中逐条列出，未列出的视同响应。</w:t>
      </w:r>
      <w:r/>
      <w:r/>
    </w:p>
    <w:p>
      <w:pPr>
        <w:ind w:firstLine="47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9、凡涉及招标文件的补充说明和修改，均以苏州市政府采购网上公示信息为准。</w:t>
      </w:r>
      <w:r/>
    </w:p>
    <w:p>
      <w:pPr>
        <w:ind w:firstLine="470"/>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ind w:firstLine="470"/>
        <w:spacing w:line="360" w:lineRule="auto"/>
        <w:rPr>
          <w:rFonts w:ascii="宋体" w:hAnsi="宋体" w:eastAsia="宋体" w:cs="宋体"/>
          <w:color w:val="auto"/>
          <w:sz w:val="24"/>
          <w:szCs w:val="24"/>
          <w:highlight w:val="none"/>
        </w:rPr>
        <w:sectPr>
          <w:footnotePr/>
          <w:endnotePr/>
          <w:type w:val="nextPage"/>
          <w:pgSz w:w="11906" w:h="16838" w:orient="portrait"/>
          <w:pgMar w:top="1134" w:right="1134" w:bottom="1134" w:left="1134" w:header="851" w:footer="992" w:gutter="0"/>
          <w:cols w:num="1" w:sep="0" w:space="720" w:equalWidth="1"/>
          <w:docGrid w:linePitch="360"/>
        </w:sectPr>
      </w:pPr>
      <w:r>
        <w:rPr>
          <w:rFonts w:ascii="宋体" w:hAnsi="宋体" w:eastAsia="宋体" w:cs="宋体"/>
          <w:color w:val="auto"/>
          <w:sz w:val="24"/>
          <w:szCs w:val="24"/>
          <w:highlight w:val="none"/>
        </w:rPr>
      </w:r>
      <w:r/>
    </w:p>
    <w:p>
      <w:pPr>
        <w:jc w:val="center"/>
        <w:spacing w:line="360" w:lineRule="auto"/>
        <w:tabs>
          <w:tab w:val="left" w:pos="709"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第五章 合同主要条款</w:t>
      </w:r>
      <w:bookmarkEnd w:id="12"/>
      <w:r/>
      <w:r/>
    </w:p>
    <w:p>
      <w:pPr>
        <w:ind w:firstLine="480"/>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项目名称：苏州市规划展示馆配电房设备采购项目</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项目编号：</w:t>
      </w:r>
      <w:r>
        <w:rPr>
          <w:rFonts w:hint="eastAsia" w:ascii="宋体" w:hAnsi="宋体" w:eastAsia="宋体" w:cs="宋体"/>
          <w:color w:val="auto"/>
          <w:sz w:val="24"/>
          <w:szCs w:val="24"/>
          <w:highlight w:val="none"/>
          <w:lang w:eastAsia="zh-CN"/>
        </w:rPr>
        <w:t xml:space="preserve">JSZC-320500-SZZJ-G2026-0025</w:t>
      </w:r>
      <w:r/>
    </w:p>
    <w:p>
      <w:pPr>
        <w:ind w:firstLine="480"/>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甲方（项目采购人）：</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联系人： </w:t>
      </w:r>
      <w:r>
        <w:rPr>
          <w:rFonts w:hint="eastAsia" w:ascii="宋体" w:hAnsi="宋体" w:eastAsia="宋体" w:cs="宋体"/>
          <w:bCs/>
          <w:color w:val="auto"/>
          <w:sz w:val="24"/>
          <w:szCs w:val="24"/>
          <w:highlight w:val="none"/>
        </w:rPr>
        <w:tab/>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单位地址： </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电话：</w:t>
      </w:r>
      <w:r/>
    </w:p>
    <w:p>
      <w:pPr>
        <w:ind w:firstLine="480"/>
        <w:spacing w:line="360" w:lineRule="auto"/>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乙方（中标单位）：</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联系人： </w:t>
      </w:r>
      <w:r>
        <w:rPr>
          <w:rFonts w:hint="eastAsia" w:ascii="宋体" w:hAnsi="宋体" w:eastAsia="宋体" w:cs="宋体"/>
          <w:bCs/>
          <w:color w:val="auto"/>
          <w:sz w:val="24"/>
          <w:szCs w:val="24"/>
          <w:highlight w:val="none"/>
        </w:rPr>
        <w:tab/>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单位地址： </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电话：</w:t>
      </w:r>
      <w:r/>
    </w:p>
    <w:p>
      <w:pPr>
        <w:ind w:firstLine="480"/>
        <w:spacing w:line="360" w:lineRule="auto"/>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甲方所需</w:t>
      </w:r>
      <w:r>
        <w:rPr>
          <w:rFonts w:hint="eastAsia" w:ascii="宋体" w:hAnsi="宋体" w:eastAsia="宋体" w:cs="宋体"/>
          <w:color w:val="auto"/>
          <w:sz w:val="24"/>
          <w:szCs w:val="24"/>
          <w:highlight w:val="none"/>
          <w:u w:val="single"/>
        </w:rPr>
        <w:t xml:space="preserve">苏州市规划展示馆配电房设备采购</w:t>
      </w:r>
      <w:r>
        <w:rPr>
          <w:rFonts w:hint="eastAsia" w:ascii="宋体" w:hAnsi="宋体" w:eastAsia="宋体" w:cs="宋体"/>
          <w:color w:val="auto"/>
          <w:sz w:val="24"/>
          <w:szCs w:val="24"/>
          <w:highlight w:val="none"/>
        </w:rPr>
        <w:t xml:space="preserve">项目经</w:t>
      </w:r>
      <w:r>
        <w:rPr>
          <w:rFonts w:hint="eastAsia" w:ascii="宋体" w:hAnsi="宋体" w:eastAsia="宋体" w:cs="宋体"/>
          <w:color w:val="auto"/>
          <w:sz w:val="24"/>
          <w:szCs w:val="24"/>
          <w:highlight w:val="none"/>
          <w:u w:val="single"/>
        </w:rPr>
        <w:t xml:space="preserve">苏州正杰招投标咨询服务有限公司</w:t>
      </w:r>
      <w:r>
        <w:rPr>
          <w:rFonts w:hint="eastAsia" w:ascii="宋体" w:hAnsi="宋体" w:eastAsia="宋体" w:cs="宋体"/>
          <w:color w:val="auto"/>
          <w:sz w:val="24"/>
          <w:szCs w:val="24"/>
          <w:highlight w:val="none"/>
        </w:rPr>
        <w:t xml:space="preserve">以公开招标方式进行采购，并依法确定乙方为中标</w:t>
      </w:r>
      <w:r>
        <w:rPr>
          <w:rFonts w:hint="eastAsia" w:ascii="宋体" w:hAnsi="宋体" w:eastAsia="宋体" w:cs="宋体"/>
          <w:bCs/>
          <w:color w:val="auto"/>
          <w:sz w:val="24"/>
          <w:szCs w:val="24"/>
          <w:highlight w:val="none"/>
        </w:rPr>
        <w:t xml:space="preserve">单位</w:t>
      </w:r>
      <w:r>
        <w:rPr>
          <w:rFonts w:hint="eastAsia" w:ascii="宋体" w:hAnsi="宋体" w:eastAsia="宋体" w:cs="宋体"/>
          <w:color w:val="auto"/>
          <w:sz w:val="24"/>
          <w:szCs w:val="24"/>
          <w:highlight w:val="none"/>
        </w:rPr>
        <w:t xml:space="preserve">。根据《中华人民共和国民法典》和《中华人民共和国政府采购法》等有关法律法规，为明确甲方和乙方招标过程中的权利、义务和经济责任，双方遵循平等、自愿、公平和诚实信用原则，经友好协商，同意按照下面的条款和条件订立本合同，以资共同遵守。</w:t>
      </w:r>
      <w:r/>
    </w:p>
    <w:p>
      <w:pPr>
        <w:ind w:firstLine="480"/>
        <w:spacing w:line="360" w:lineRule="auto"/>
        <w:rPr>
          <w:rFonts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一、定义：以下术语有特定的含义：</w:t>
      </w:r>
      <w:r/>
    </w:p>
    <w:p>
      <w:pPr>
        <w:ind w:firstLine="480"/>
        <w:spacing w:line="360" w:lineRule="auto"/>
        <w:rPr>
          <w:rFonts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货物是指乙方基于其已中标的投标文件而应向甲方提供的符合招标要求规格及功能的产品及其全部备件，它还应包括由乙方送交给甲方的所有与使用及测试有关的应进行的任何规定的服务。</w:t>
      </w:r>
      <w:r/>
    </w:p>
    <w:p>
      <w:pPr>
        <w:ind w:firstLine="480"/>
        <w:spacing w:line="360" w:lineRule="auto"/>
        <w:rPr>
          <w:rFonts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服务是指根据合同规定乙方应承担的与供货有关的辅助义务，比如运输、保险以及其它伴随服务，比如安装或指导安装、调试以及送货上门提供技术援助、培训、配合措施、维修响应和合同中规定乙方应承担的其它义务。</w:t>
      </w:r>
      <w:r/>
    </w:p>
    <w:p>
      <w:pPr>
        <w:ind w:firstLine="480"/>
        <w:spacing w:line="360" w:lineRule="auto"/>
        <w:rPr>
          <w:rFonts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合同价是指根据中标的投标文件和合同规定，乙方在正确地履行合同义务后甲方应支付给乙方的价款。</w:t>
      </w:r>
      <w:r/>
    </w:p>
    <w:p>
      <w:pPr>
        <w:ind w:firstLine="480"/>
        <w:spacing w:line="360" w:lineRule="auto"/>
        <w:rPr>
          <w:rFonts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甲方是指合同中明确规定的实际购买货物和接受服务的单位。</w:t>
      </w:r>
      <w:r/>
    </w:p>
    <w:p>
      <w:pPr>
        <w:ind w:firstLine="480"/>
        <w:spacing w:line="360" w:lineRule="auto"/>
        <w:rPr>
          <w:rFonts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乙方是指合同中规定的提供货物和提供服务的单位。</w:t>
      </w:r>
      <w:r/>
    </w:p>
    <w:p>
      <w:pPr>
        <w:ind w:firstLine="480"/>
        <w:spacing w:line="360" w:lineRule="auto"/>
        <w:rPr>
          <w:rFonts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损失是指合同一方因不履行合同义务而导致另一方及第三方的各种损失的费用，还包括守约方为减轻损失或维护权利而需支付的各种调查费用、车旅费用、律师费用等。</w:t>
      </w:r>
      <w:r/>
    </w:p>
    <w:p>
      <w:pPr>
        <w:ind w:firstLine="480"/>
        <w:spacing w:line="360" w:lineRule="auto"/>
        <w:rPr>
          <w:rFonts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二、合同标的：</w:t>
      </w:r>
      <w:r/>
    </w:p>
    <w:tbl>
      <w:tblPr>
        <w:tblStyle w:val="95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704"/>
        <w:gridCol w:w="2693"/>
        <w:gridCol w:w="1529"/>
        <w:gridCol w:w="1642"/>
        <w:gridCol w:w="1643"/>
        <w:gridCol w:w="1643"/>
      </w:tblGrid>
      <w:tr>
        <w:trPr/>
        <w:tc>
          <w:tcPr>
            <w:tcW w:w="704" w:type="dxa"/>
            <w:textDirection w:val="lrTb"/>
            <w:noWrap w:val="false"/>
          </w:tcPr>
          <w:p>
            <w:pPr>
              <w:jc w:val="cente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W w:w="2693" w:type="dxa"/>
            <w:textDirection w:val="lrTb"/>
            <w:noWrap w:val="false"/>
          </w:tcPr>
          <w:p>
            <w:pPr>
              <w:jc w:val="cente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货物名称</w:t>
            </w:r>
            <w:r/>
          </w:p>
        </w:tc>
        <w:tc>
          <w:tcPr>
            <w:tcW w:w="1529" w:type="dxa"/>
            <w:textDirection w:val="lrTb"/>
            <w:noWrap w:val="false"/>
          </w:tcPr>
          <w:p>
            <w:pPr>
              <w:jc w:val="cente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品牌</w:t>
            </w:r>
            <w:r/>
          </w:p>
        </w:tc>
        <w:tc>
          <w:tcPr>
            <w:tcW w:w="1642" w:type="dxa"/>
            <w:textDirection w:val="lrTb"/>
            <w:noWrap w:val="false"/>
          </w:tcPr>
          <w:p>
            <w:pPr>
              <w:jc w:val="cente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数量</w:t>
            </w:r>
            <w:r/>
          </w:p>
        </w:tc>
        <w:tc>
          <w:tcPr>
            <w:tcW w:w="1643" w:type="dxa"/>
            <w:textDirection w:val="lrTb"/>
            <w:noWrap w:val="false"/>
          </w:tcPr>
          <w:p>
            <w:pPr>
              <w:jc w:val="cente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交货期限</w:t>
            </w:r>
            <w:r/>
          </w:p>
        </w:tc>
        <w:tc>
          <w:tcPr>
            <w:tcW w:w="1643" w:type="dxa"/>
            <w:textDirection w:val="lrTb"/>
            <w:noWrap w:val="false"/>
          </w:tcPr>
          <w:p>
            <w:pPr>
              <w:jc w:val="cente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小计金额(元)</w:t>
            </w:r>
            <w:r/>
          </w:p>
        </w:tc>
      </w:tr>
      <w:tr>
        <w:trPr/>
        <w:tc>
          <w:tcPr>
            <w:tcW w:w="704" w:type="dxa"/>
            <w:textDirection w:val="lrTb"/>
            <w:noWrap w:val="false"/>
          </w:tcPr>
          <w:p>
            <w:pPr>
              <w:jc w:val="cente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2693" w:type="dxa"/>
            <w:textDirection w:val="lrTb"/>
            <w:noWrap w:val="false"/>
          </w:tcPr>
          <w:p>
            <w:pPr>
              <w:jc w:val="left"/>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1529" w:type="dxa"/>
            <w:textDirection w:val="lrTb"/>
            <w:noWrap w:val="false"/>
          </w:tcPr>
          <w:p>
            <w:pPr>
              <w:jc w:val="left"/>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1642" w:type="dxa"/>
            <w:textDirection w:val="lrTb"/>
            <w:noWrap w:val="false"/>
          </w:tcPr>
          <w:p>
            <w:pPr>
              <w:jc w:val="left"/>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1643" w:type="dxa"/>
            <w:textDirection w:val="lrTb"/>
            <w:noWrap w:val="false"/>
          </w:tcPr>
          <w:p>
            <w:pPr>
              <w:jc w:val="left"/>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1643" w:type="dxa"/>
            <w:textDirection w:val="lrTb"/>
            <w:noWrap w:val="false"/>
          </w:tcPr>
          <w:p>
            <w:pPr>
              <w:jc w:val="left"/>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r>
      <w:tr>
        <w:trPr/>
        <w:tc>
          <w:tcPr>
            <w:tcW w:w="704" w:type="dxa"/>
            <w:textDirection w:val="lrTb"/>
            <w:noWrap w:val="false"/>
          </w:tcPr>
          <w:p>
            <w:pPr>
              <w:jc w:val="cente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2693" w:type="dxa"/>
            <w:textDirection w:val="lrTb"/>
            <w:noWrap w:val="false"/>
          </w:tcPr>
          <w:p>
            <w:pPr>
              <w:jc w:val="left"/>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1529" w:type="dxa"/>
            <w:textDirection w:val="lrTb"/>
            <w:noWrap w:val="false"/>
          </w:tcPr>
          <w:p>
            <w:pPr>
              <w:jc w:val="left"/>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1642" w:type="dxa"/>
            <w:textDirection w:val="lrTb"/>
            <w:noWrap w:val="false"/>
          </w:tcPr>
          <w:p>
            <w:pPr>
              <w:jc w:val="left"/>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1643" w:type="dxa"/>
            <w:textDirection w:val="lrTb"/>
            <w:noWrap w:val="false"/>
          </w:tcPr>
          <w:p>
            <w:pPr>
              <w:jc w:val="left"/>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1643" w:type="dxa"/>
            <w:textDirection w:val="lrTb"/>
            <w:noWrap w:val="false"/>
          </w:tcPr>
          <w:p>
            <w:pPr>
              <w:jc w:val="left"/>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r>
      <w:tr>
        <w:trPr/>
        <w:tc>
          <w:tcPr>
            <w:tcW w:w="704" w:type="dxa"/>
            <w:textDirection w:val="lrTb"/>
            <w:noWrap w:val="false"/>
          </w:tcPr>
          <w:p>
            <w:pPr>
              <w:jc w:val="cente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W w:w="2693" w:type="dxa"/>
            <w:textDirection w:val="lrTb"/>
            <w:noWrap w:val="false"/>
          </w:tcPr>
          <w:p>
            <w:pPr>
              <w:jc w:val="left"/>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1529" w:type="dxa"/>
            <w:textDirection w:val="lrTb"/>
            <w:noWrap w:val="false"/>
          </w:tcPr>
          <w:p>
            <w:pPr>
              <w:jc w:val="left"/>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1642" w:type="dxa"/>
            <w:textDirection w:val="lrTb"/>
            <w:noWrap w:val="false"/>
          </w:tcPr>
          <w:p>
            <w:pPr>
              <w:jc w:val="left"/>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1643" w:type="dxa"/>
            <w:textDirection w:val="lrTb"/>
            <w:noWrap w:val="false"/>
          </w:tcPr>
          <w:p>
            <w:pPr>
              <w:jc w:val="left"/>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1643" w:type="dxa"/>
            <w:textDirection w:val="lrTb"/>
            <w:noWrap w:val="false"/>
          </w:tcPr>
          <w:p>
            <w:pPr>
              <w:jc w:val="left"/>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r>
      <w:tr>
        <w:trPr/>
        <w:tc>
          <w:tcPr>
            <w:tcW w:w="704" w:type="dxa"/>
            <w:textDirection w:val="lrTb"/>
            <w:noWrap w:val="false"/>
          </w:tcPr>
          <w:p>
            <w:pPr>
              <w:jc w:val="cente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tc>
        <w:tc>
          <w:tcPr>
            <w:tcW w:w="2693" w:type="dxa"/>
            <w:textDirection w:val="lrTb"/>
            <w:noWrap w:val="false"/>
          </w:tcPr>
          <w:p>
            <w:pPr>
              <w:jc w:val="left"/>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1529" w:type="dxa"/>
            <w:textDirection w:val="lrTb"/>
            <w:noWrap w:val="false"/>
          </w:tcPr>
          <w:p>
            <w:pPr>
              <w:jc w:val="left"/>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1642" w:type="dxa"/>
            <w:textDirection w:val="lrTb"/>
            <w:noWrap w:val="false"/>
          </w:tcPr>
          <w:p>
            <w:pPr>
              <w:jc w:val="left"/>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1643" w:type="dxa"/>
            <w:textDirection w:val="lrTb"/>
            <w:noWrap w:val="false"/>
          </w:tcPr>
          <w:p>
            <w:pPr>
              <w:jc w:val="left"/>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1643" w:type="dxa"/>
            <w:textDirection w:val="lrTb"/>
            <w:noWrap w:val="false"/>
          </w:tcPr>
          <w:p>
            <w:pPr>
              <w:jc w:val="left"/>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r>
    </w:tbl>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三、合同总价款：大写人民币</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元，小写￥</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元。 </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总价款范围：合同总价应包括完成设备的供应、安装、调试、检测、总包管理、施工配合以及最长质保期内的维修、保养等招标内容所需的所有设备、材料、验收、劳务、服务等应有费用；中华人民共和国根据现行税法征收的与本合同有关的一切税费。全部费用由乙方承担，甲方不再支付报价之外的任何费用。</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对于甲方在招标文件中所要求的及乙方在投标文件和合同中所承诺提供的功能，乙方应无条件提供，由于设计及其他原因所造成的额外费用由乙方自行承担。</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四、交货地点、时间、方式： </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1.交货地点：乙方交货至甲方指定地点，所发生的运输等费用及货物的损坏造成的损失由乙方承担。</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2.交货时间：接到采购人书面通知之日起40天内供货并完成安装调试。 </w:t>
      </w:r>
      <w:r>
        <w:rPr>
          <w:rFonts w:ascii="宋体" w:hAnsi="宋体" w:eastAsia="宋体" w:cs="宋体"/>
          <w:color w:val="auto"/>
          <w:sz w:val="24"/>
          <w:szCs w:val="24"/>
          <w:highlight w:val="none"/>
        </w:rPr>
        <w:t xml:space="preserve">因甲方原因、政府管控、不可抗力导致</w:t>
      </w:r>
      <w:r>
        <w:rPr>
          <w:rFonts w:hint="eastAsia" w:ascii="宋体" w:hAnsi="宋体" w:eastAsia="宋体" w:cs="宋体"/>
          <w:color w:val="auto"/>
          <w:sz w:val="24"/>
          <w:szCs w:val="24"/>
          <w:highlight w:val="none"/>
        </w:rPr>
        <w:t xml:space="preserve">交货时间</w:t>
      </w:r>
      <w:r>
        <w:rPr>
          <w:rFonts w:ascii="宋体" w:hAnsi="宋体" w:eastAsia="宋体" w:cs="宋体"/>
          <w:color w:val="auto"/>
          <w:sz w:val="24"/>
          <w:szCs w:val="24"/>
          <w:highlight w:val="none"/>
        </w:rPr>
        <w:t xml:space="preserve">延误的，乙方可</w:t>
      </w:r>
      <w:r>
        <w:rPr>
          <w:rFonts w:hint="eastAsia" w:ascii="宋体" w:hAnsi="宋体" w:eastAsia="宋体" w:cs="宋体"/>
          <w:color w:val="auto"/>
          <w:sz w:val="24"/>
          <w:szCs w:val="24"/>
          <w:highlight w:val="none"/>
        </w:rPr>
        <w:t xml:space="preserve">在前述交货时间届满前</w:t>
      </w:r>
      <w:r>
        <w:rPr>
          <w:rFonts w:ascii="宋体" w:hAnsi="宋体" w:eastAsia="宋体" w:cs="宋体"/>
          <w:color w:val="auto"/>
          <w:sz w:val="24"/>
          <w:szCs w:val="24"/>
          <w:highlight w:val="none"/>
        </w:rPr>
        <w:t xml:space="preserve">书面申请顺延</w:t>
      </w:r>
      <w:r>
        <w:rPr>
          <w:rFonts w:hint="eastAsia" w:ascii="宋体" w:hAnsi="宋体" w:eastAsia="宋体" w:cs="宋体"/>
          <w:color w:val="auto"/>
          <w:sz w:val="24"/>
          <w:szCs w:val="24"/>
          <w:highlight w:val="none"/>
        </w:rPr>
        <w:t xml:space="preserve">交货时间</w:t>
      </w:r>
      <w:r>
        <w:rPr>
          <w:rFonts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rPr>
        <w:t xml:space="preserve">双方协商确定顺延交货时间。</w:t>
      </w:r>
      <w:r>
        <w:rPr>
          <w:rFonts w:ascii="宋体" w:hAnsi="宋体" w:eastAsia="宋体" w:cs="宋体"/>
          <w:color w:val="auto"/>
          <w:sz w:val="24"/>
          <w:szCs w:val="24"/>
          <w:highlight w:val="none"/>
        </w:rPr>
        <w:t xml:space="preserve">顺延期间不计入交货期限，乙方不承担误期赔偿责任。</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3.交货方式：乙方负责将货物安全完好运抵交货地点、安装调试并保证验收合格。</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五、付款方式：</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1.付款步骤：</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合同签订生效后，甲方在收到乙方发票后30个工作日内支付合同金额30%的预付款（乙方在付款前应按照甲方要求提供见索即付的相应金额的银行保函，验收合格后一个月内凭验收报告退还银行保函）；全部货物到场，安装调试结束，经验收合格后，甲方在收到乙方发票后30个工作日内支付至合同价款总额的95%，尾款在验收合格2年届满后收到乙方发票</w:t>
      </w:r>
      <w:r>
        <w:rPr>
          <w:rFonts w:hint="eastAsia" w:ascii="宋体" w:hAnsi="宋体" w:eastAsia="宋体" w:cs="宋体"/>
          <w:color w:val="auto"/>
          <w:sz w:val="24"/>
          <w:szCs w:val="24"/>
          <w:highlight w:val="none"/>
        </w:rPr>
        <w:t xml:space="preserve">30个工作日</w:t>
      </w:r>
      <w:r>
        <w:rPr>
          <w:rFonts w:hint="eastAsia" w:ascii="宋体" w:hAnsi="宋体" w:eastAsia="宋体" w:cs="宋体"/>
          <w:color w:val="auto"/>
          <w:sz w:val="24"/>
          <w:szCs w:val="24"/>
          <w:highlight w:val="none"/>
        </w:rPr>
        <w:t xml:space="preserve">内付清。</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rPr>
        <w:t xml:space="preserve">除预付款外，</w:t>
      </w:r>
      <w:r>
        <w:rPr>
          <w:rFonts w:hint="eastAsia" w:ascii="宋体" w:hAnsi="宋体" w:eastAsia="宋体" w:cs="宋体"/>
          <w:color w:val="auto"/>
          <w:sz w:val="24"/>
          <w:szCs w:val="24"/>
          <w:highlight w:val="none"/>
        </w:rPr>
        <w:t xml:space="preserve">乙方提请甲方付款前，应提供以下资料：</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A、甲方签收的送货回单。</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B、合格销售发票。</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C、由甲乙双方签章的《苏州市政府采购合同履行验收报告》。</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 支付方式：银行转账。</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乙方账户信息如下：</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开户名称：</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开户银行：</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银行账号：</w:t>
      </w:r>
      <w:r/>
    </w:p>
    <w:p>
      <w:pPr>
        <w:ind w:firstLine="440"/>
        <w:spacing w:line="360" w:lineRule="auto"/>
        <w:rPr>
          <w:rFonts w:ascii="宋体" w:hAnsi="宋体" w:eastAsia="宋体" w:cs="宋体"/>
          <w:color w:val="auto"/>
          <w:sz w:val="24"/>
          <w:szCs w:val="24"/>
          <w:highlight w:val="none"/>
        </w:rPr>
      </w:pPr>
      <w:r>
        <w:rPr>
          <w:rFonts w:hint="eastAsia" w:ascii="宋体" w:hAnsi="宋体" w:eastAsia="宋体" w:cs="宋体"/>
          <w:color w:val="auto"/>
          <w:spacing w:val="-10"/>
          <w:sz w:val="24"/>
          <w:szCs w:val="24"/>
          <w:highlight w:val="none"/>
        </w:rPr>
        <w:t xml:space="preserve">上述信息为乙方指定的接受甲方付款的账户信息。如乙方银行账户或付款方式需变更，乙方应于付款期限届满前10个工作日内书面通知甲方，否则产生的一切责任、因变更引起的额外费用由乙方承担</w:t>
      </w:r>
      <w:r>
        <w:rPr>
          <w:rFonts w:hint="eastAsia" w:ascii="宋体" w:hAnsi="宋体" w:eastAsia="宋体" w:cs="宋体"/>
          <w:bCs/>
          <w:color w:val="auto"/>
          <w:sz w:val="24"/>
          <w:szCs w:val="24"/>
          <w:highlight w:val="none"/>
          <w:lang w:val="zh-CN"/>
        </w:rPr>
        <w:t xml:space="preserve">。</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六、验收 </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1.乙方提交的货物由甲方负责验收。 </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甲方根据合同的规定接收货物，在接收时对货物的品种、规格、性能、质量、数量、外观以及配件等进行验收。甲方对货物的规格技术指标如有异议，应从验收之日起30个工作日内以书面形式提出。逾期未提出异议的，视为货物已验收合格。</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七、保修期：</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本项目经甲方验收合格后，乙方将提供</w:t>
      </w:r>
      <w:r>
        <w:rPr>
          <w:rFonts w:hint="eastAsia" w:ascii="宋体" w:hAnsi="宋体" w:eastAsia="宋体" w:cs="宋体"/>
          <w:color w:val="auto"/>
          <w:sz w:val="24"/>
          <w:szCs w:val="24"/>
          <w:highlight w:val="none"/>
          <w:u w:val="single"/>
        </w:rPr>
        <w:t xml:space="preserve">  </w:t>
      </w:r>
      <w:r>
        <w:rPr>
          <w:rFonts w:ascii="宋体" w:hAnsi="宋体" w:eastAsia="宋体" w:cs="宋体"/>
          <w:color w:val="auto"/>
          <w:sz w:val="24"/>
          <w:szCs w:val="24"/>
          <w:highlight w:val="none"/>
          <w:u w:val="single"/>
        </w:rPr>
        <w:t xml:space="preserve">2</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年质量保证期。质量保证期内，乙方负责对其提供的货物实行免费维修。</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八、伴随服务 </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1.乙方应提供所交付货物的全套技术文件资料，包括产品目录、软件备份、图纸、操作手册、使用说明、维护手册和服务指南等。</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2.乙方还应提供下列服务：货物的现场安装、启动和试运行；提供货物组装和维修所需的工具；在质量保证期内对所交付货物提供运行监督、维修、保养等。</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3.上述伴随服务的费用应包含在合同价中，不单独进行支付。</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4.货物的包装、储运、安装按国家有关规定执行。</w:t>
      </w:r>
      <w:r/>
    </w:p>
    <w:p>
      <w:pPr>
        <w:pStyle w:val="1063"/>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九、履约保证金</w:t>
      </w:r>
      <w:r/>
    </w:p>
    <w:p>
      <w:pPr>
        <w:pStyle w:val="1063"/>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本项目：</w:t>
      </w:r>
      <w:r>
        <w:rPr>
          <w:rFonts w:ascii="Wingdings 2" w:hAnsi="Wingdings 2" w:eastAsia="Wingdings 2" w:cs="Wingdings 2"/>
          <w:color w:val="auto"/>
          <w:sz w:val="24"/>
          <w:szCs w:val="24"/>
          <w:highlight w:val="none"/>
        </w:rPr>
        <w:t xml:space="preserve">R</w:t>
      </w:r>
      <w:r>
        <w:rPr>
          <w:rFonts w:hint="eastAsia" w:ascii="宋体" w:hAnsi="宋体"/>
          <w:color w:val="auto"/>
          <w:sz w:val="24"/>
          <w:szCs w:val="24"/>
          <w:highlight w:val="none"/>
        </w:rPr>
        <w:t xml:space="preserve">不要求提交履约保证金</w:t>
      </w:r>
      <w:r/>
    </w:p>
    <w:p>
      <w:pPr>
        <w:pStyle w:val="1063"/>
        <w:ind w:firstLine="480"/>
        <w:spacing w:line="360" w:lineRule="auto"/>
        <w:rPr>
          <w:rFonts w:ascii="宋体" w:hAnsi="宋体"/>
          <w:color w:val="auto"/>
          <w:sz w:val="24"/>
          <w:szCs w:val="24"/>
          <w:highlight w:val="none"/>
        </w:rPr>
      </w:pPr>
      <w:r>
        <w:rPr>
          <w:rFonts w:ascii="Wingdings 2" w:hAnsi="Wingdings 2" w:eastAsia="Wingdings 2" w:cs="Wingdings 2"/>
          <w:color w:val="auto"/>
          <w:sz w:val="24"/>
          <w:szCs w:val="24"/>
          <w:highlight w:val="none"/>
        </w:rPr>
        <w:t xml:space="preserve">£</w:t>
      </w:r>
      <w:r>
        <w:rPr>
          <w:rFonts w:hint="eastAsia" w:ascii="宋体" w:hAnsi="宋体"/>
          <w:color w:val="auto"/>
          <w:sz w:val="24"/>
          <w:szCs w:val="24"/>
          <w:highlight w:val="none"/>
        </w:rPr>
        <w:t xml:space="preserve">要求提交履约保证金，金额：合同金额的10%，要求如下：</w:t>
      </w:r>
      <w:r/>
    </w:p>
    <w:p>
      <w:pPr>
        <w:pStyle w:val="1063"/>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在签订合同前，成交单位应当以支票、汇票、本票或者金融机构、担保机构出具的保函等非现金形式提交。联合体成交的，其履约保证金以联合体各方或者联合体中牵头人的名义提交。履约保证金的数额不超过合同金额的10%。</w:t>
      </w:r>
      <w:r/>
    </w:p>
    <w:p>
      <w:pPr>
        <w:pStyle w:val="1063"/>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2、中标单位无故拖延或拒不提交履约保证金的，视为拒绝与采购人签订合同。</w:t>
      </w:r>
      <w:r/>
    </w:p>
    <w:p>
      <w:pPr>
        <w:pStyle w:val="1063"/>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3、履约保证金将在成交供应商合同履行完毕且验收合格后，采购人在五个工作日内退返成交供应商。</w:t>
      </w:r>
      <w:r/>
    </w:p>
    <w:p>
      <w:pPr>
        <w:pStyle w:val="1063"/>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4、履约保证金（无息）在服务期满且服务缺陷更正，并配合甲方和新中标单位办理移交手续后退还。如乙方对服务缺陷不予更正，甲方有权另请其他单位更正，所发生的费用在履约保证金中扣除。</w:t>
      </w:r>
      <w:r/>
    </w:p>
    <w:p>
      <w:pPr>
        <w:pStyle w:val="1063"/>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5、根据《关于在全省政府采购领域推行电子履约保函(保险)的通知(苏财购【2023】150号)》规定，中标(成交)供应商可以自愿选择，使用以电子履约保函(保险)形式代替提供履约保证金。供应商可通过江苏省政府采购网、“苏采云”系统链接访问登录“政府采购电子履约保函(保险)平台”，选择第三方机构并提交保函(保险)申请。详见:江苏政府采购网“资料下载”栏目(网址:www.ccgp-jiangsu.gov.cn/jiangsu/zlxz)下载“政府采购电子履约保函(保险)操作手册”。</w:t>
      </w:r>
      <w:r/>
    </w:p>
    <w:p>
      <w:pPr>
        <w:ind w:firstLine="520"/>
        <w:spacing w:line="360" w:lineRule="auto"/>
        <w:rPr>
          <w:rFonts w:ascii="宋体" w:hAnsi="宋体" w:eastAsia="宋体" w:cs="宋体"/>
          <w:bCs/>
          <w:color w:val="auto"/>
          <w:sz w:val="24"/>
          <w:szCs w:val="24"/>
          <w:highlight w:val="none"/>
        </w:rPr>
      </w:pPr>
      <w:r>
        <w:rPr>
          <w:rFonts w:hint="eastAsia" w:eastAsia="宋体"/>
          <w:bCs/>
          <w:color w:val="auto"/>
          <w:highlight w:val="none"/>
        </w:rPr>
        <w:t xml:space="preserve">十</w:t>
      </w:r>
      <w:r>
        <w:rPr>
          <w:rFonts w:hint="eastAsia" w:ascii="宋体" w:hAnsi="宋体" w:eastAsia="宋体" w:cs="宋体"/>
          <w:bCs/>
          <w:color w:val="auto"/>
          <w:sz w:val="24"/>
          <w:szCs w:val="24"/>
          <w:highlight w:val="none"/>
        </w:rPr>
        <w:t xml:space="preserve">、质量保证</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1.乙方应保证所提供的货物是原制造厂商制造的、经过合法销售渠道取得的、全新的、未使用过的，并完全符合合同规定的品牌、规格型号、技术性能、配置、质量、数量等要求。</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技术性能无特殊说明，则按国家有关部门最新颁布的标准及规范为准。乙方应保证甲方在使用本合同项下的货物或其任何一部分时免受第三方提出侵犯其知识产权、商标权或工业设计权的起诉。如果发生此类问题，乙方应负责交涉并承担一切费用和法律责任。</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乙方应保证其提供的货物在正确安装、正常使用和保养条件下，在其使用寿命内具有良好的性能。货物验收后，在质量保证期内，乙方应对由于设计、工艺或材料的缺陷所发生的任何不足或故障负责，所需费用由乙方承担。</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在质量保证期内，如果货物的规格型号、配置、技术性能、原产地及制造厂商以及其他质量技术指标与合同约定不符，或证实货物是有缺陷的，包括潜在的缺陷或使用不符合要求的材料等，甲方应尽快以书面形式向乙方提出本保证下的索赔。</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十一、索赔</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1.甲方有权根据当地国家技术监督局、进出口商品检验局或其他具有法定资格的质检机构出具的检验证书向乙方提出索赔。 </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ascii="宋体" w:hAnsi="宋体" w:eastAsia="宋体" w:cs="宋体"/>
          <w:color w:val="auto"/>
          <w:sz w:val="24"/>
          <w:szCs w:val="24"/>
          <w:highlight w:val="none"/>
        </w:rPr>
        <w:t xml:space="preserve">.乙方在收到索赔通知后可以与甲方协商，双方共同委托具有法定资格的质检机构检测，依据检测结论确认责任。</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3.如果乙方对缺陷负有责任而甲方提出索赔，乙方应按照甲方同意的下列一种或多种方式解决索赔事宜： </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（1）乙方同意退货并用合同规定的货币将货款退还给甲方，并承担由此发生的一切损失和费用，包括利息、银行手续费、运费、保险费、检验费、仓储费、装卸费以及为保护退回货物所需的其他必要费用。 </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（2）根据货物低劣、损坏程度以及甲方所遭受损失的金额，经双方商定降低货物的价格。</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用符合合同规定的规格、质量和性能要求的新零件、部件或设备来更换有缺陷的部分或修补缺陷部分，乙方应承担一切费用和风险，并负担甲方蒙受的全部直接损失。乙方应相应延长修补和更换件的质量保证期。 </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如果在乙方收到索赔通知后十五天内乙方未作答复，上述索赔应视为已被乙方接受。如乙方未能在接到甲方索赔通知后十五天内或甲方同意的延长期限内，按照上述规定的任何一种或多种方式解决索赔事宜并征得甲方同意，甲方有权从应付货款中扣回索赔金额，并拥有对赔偿不足部分进一步索赔的权利。</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十二、履约延误 </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1.乙方应按照合同规定的时间、地点交货和提供服务；甲方应按照合同规定的时间、地点接收货物和接受服务。</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2.如果乙方无正当理由拖延交货，将受到以下制裁：加收误期赔偿费、赔偿甲方因乙方拖延交货造成的损失；如果甲方无正当理由拖延接收货物和接受服务，应承担相应责任。 </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在履行合同过程中，如果乙方遇到可能妨碍其按时交货和提供服务的情况，或者甲方遇到可能妨碍其按时接收货物和接受服务的情况，应及时以书面形式将拖延的事实，可能拖延的期限和理由通知对方。甲方（或乙方）在收到乙方（或甲方）通知后，应尽快对情况进行评估，并确定是否通过修改合同，酌情延长交货时间和延期提供服务，或者终止合同。</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十三、误期赔偿 </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除合同规定外，如果乙方没有按照合同规定的时间交货和提供服务，或因运输及安装中货物缺损需要更换而影响实际交付使用时，乙方应向甲方支付误期赔偿费。误期赔偿费具体标准按合同总价每日万分之四计算。</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2.误期赔偿费可从应付货款中扣除。 </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3.收取误期赔偿费不影响甲方采取合同规定的其他补救措施的权利。 </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延期交货时间超过十五天或交货不符合合同约定满三次的，视为乙方严重违约，甲方有权立即解除合同，乙方仍需向甲方支付全部误期赔偿费，误期赔偿费不足以赔偿甲方因乙方违约造成的损失的，乙方仍需赔偿相应损失。</w:t>
      </w:r>
      <w:r>
        <w:rPr>
          <w:rFonts w:ascii="宋体" w:hAnsi="宋体" w:eastAsia="宋体" w:cs="宋体"/>
          <w:color w:val="auto"/>
          <w:sz w:val="24"/>
          <w:szCs w:val="24"/>
          <w:highlight w:val="none"/>
        </w:rPr>
        <w:t xml:space="preserve">合同解除后，对于乙方已完成供货、安装、调试且验收合格的部分，甲方应据实结算对应款项，乙方仅就未履约部分承担返还及违约责任。</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十四、不可抗力</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1.如果乙方和甲方因不可抗力而导致合同实施延误或不能履行合同义务，不应该承担误期赔偿或不能履行合同义务的责任。因乙方或甲方先延误或不能履行合同而后遇不可抗力的情形除外。</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2.本条所述的“不可抗力”系指那些双方无法控制，不可预见的事件，但不包括双方的违约或疏忽。这些事件包括但不限于：战争、严重火灾、洪水、台风、地震以及其它双方商定的事件。</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 </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十五、争端的解决 </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1.甲方和乙方应通过友好协商，解决在执行本合同过程中所发生的或与本合同有关的一切争端。如从协商开始十天内仍不能解决，可向有关合同管理部门提请调解。 </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2.如果调解不成，双方中的任何一方可向人民法院提起诉讼。诉讼由合同签订地人民法院管辖。 </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3.诉讼费由败诉方负担。</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4.因合同部分履行引发诉讼的，在诉讼期间，除正在进行诉讼的部分外，本合同的其它部分应继续执行。 </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十六、违约终止合同 </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1.在甲方因乙方违约而按合同约定采取的任何补救措施不受影响的情况下，甲方可在下列情况下向乙方发出书面通知，要求乙方在合理期限内予以整改，</w:t>
      </w:r>
      <w:r>
        <w:rPr>
          <w:rFonts w:ascii="宋体" w:hAnsi="宋体" w:eastAsia="宋体" w:cs="宋体"/>
          <w:color w:val="auto"/>
          <w:sz w:val="24"/>
          <w:szCs w:val="24"/>
          <w:highlight w:val="none"/>
        </w:rPr>
        <w:t xml:space="preserve">乙方逾期仍未整改的，甲方可</w:t>
      </w:r>
      <w:r>
        <w:rPr>
          <w:rFonts w:hint="eastAsia" w:ascii="宋体" w:hAnsi="宋体" w:eastAsia="宋体" w:cs="宋体"/>
          <w:color w:val="auto"/>
          <w:sz w:val="24"/>
          <w:szCs w:val="24"/>
          <w:highlight w:val="none"/>
        </w:rPr>
        <w:t xml:space="preserve">提出终止部分或全部合同。 </w:t>
      </w:r>
      <w:r/>
    </w:p>
    <w:p>
      <w:pPr>
        <w:ind w:firstLine="20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（1）如果乙方未能在合同规定的限期或甲方同意延长的限期内提供部分或全部货物和服务。</w:t>
      </w:r>
      <w:r/>
    </w:p>
    <w:p>
      <w:pPr>
        <w:ind w:firstLine="20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（2）如果乙方未能履行合同规定的其它任何义务。 </w:t>
      </w:r>
      <w:r/>
    </w:p>
    <w:p>
      <w:pPr>
        <w:ind w:firstLine="20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如果乙方在本合同的竞争或实施中有腐败和欺诈行为。为此，定义如下：“腐败行为”是指提供、给予、接受或索取任何有价值的东西来影响采购人员在采购过程或合同实施过程中的行为；“欺诈行为”是指为了影响采购过程或合同实施过程而谎报事实，损害甲方的利益，包括供货单位之间串通，人为地使供货活动丧失竞争性，损害甲方所能获得的权益。 </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如果甲方根据以上的规定，终止了全部或部分合同，甲方可以依其认为适当的条件和方法购买与未交货物类似的货物，乙方应对购买类似货物所超出的那部分费用负责。并且，乙方应继续履行合同中未终止的部分。 </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3.如果甲方违约，应承担相应的违约责任。 </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十七、破产终止合同：如果乙方破产或丧失清偿能力，甲方可在任何时候以书面形式通知乙方终止合同而不给乙方补偿。该终止合同将不损害或影响甲方已经采取或将要采取任何补救措施的权力。 </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十八、</w:t>
      </w:r>
      <w:r>
        <w:rPr>
          <w:rFonts w:hint="eastAsia" w:ascii="宋体" w:hAnsi="宋体" w:eastAsia="宋体" w:cs="宋体"/>
          <w:color w:val="auto"/>
          <w:sz w:val="24"/>
          <w:szCs w:val="24"/>
          <w:highlight w:val="none"/>
        </w:rPr>
        <w:t xml:space="preserve">政府采购法对政府采购合同变更终止的规定：政府采购合同的双方当事人（指甲乙双方）不得擅自变更、中止或者终止合同。政府采购合同继续履行将损害国家利益和社会公共利益的，双方当事人应当变更、中止或者终止合同。有过错的一方应当承担赔偿责任，双方都有过错的，各自承担相应的责任。 </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十九、合同转让和分包：</w:t>
      </w:r>
      <w:r>
        <w:rPr>
          <w:rFonts w:ascii="宋体" w:hAnsi="宋体" w:eastAsia="宋体" w:cs="宋体"/>
          <w:color w:val="auto"/>
          <w:sz w:val="24"/>
          <w:szCs w:val="24"/>
          <w:highlight w:val="none"/>
        </w:rPr>
        <w:t xml:space="preserve">本项目禁止整体转包、主体工作分包；乙方如需将非主体、非关键性辅助工作分包给具备资质的第三方，应提前将分包单位资质、分包内容书面报甲方审核同意，分包后乙方仍对全部合同义务承担</w:t>
      </w:r>
      <w:r>
        <w:rPr>
          <w:rFonts w:hint="eastAsia" w:ascii="宋体" w:hAnsi="宋体" w:eastAsia="宋体" w:cs="宋体"/>
          <w:color w:val="auto"/>
          <w:sz w:val="24"/>
          <w:szCs w:val="24"/>
          <w:highlight w:val="none"/>
        </w:rPr>
        <w:t xml:space="preserve">责任</w:t>
      </w:r>
      <w:r>
        <w:rPr>
          <w:rFonts w:ascii="宋体" w:hAnsi="宋体" w:eastAsia="宋体" w:cs="宋体"/>
          <w:color w:val="auto"/>
          <w:sz w:val="24"/>
          <w:szCs w:val="24"/>
          <w:highlight w:val="none"/>
        </w:rPr>
        <w:t xml:space="preserve">。</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二十、需要补充的合同条款：（根据评标过程中或者商务谈判时商定的条款和条件在订立合同时标明）。</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二十一、合同生效 </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1.双方签约人为各自法定代表人或被授权代表。</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2.本合同系指本文件及其附件中的所有部分，招标文件、中标的投标文件、中标通知书、中标人在招标过程中的澄清和承诺等为本合同不可缺少的组成部分。</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3.本合同自甲乙双方签字盖章之日起生效。</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rPr>
          <w:rFonts w:hint="eastAsia" w:ascii="宋体" w:hAnsi="宋体" w:eastAsia="宋体"/>
          <w:color w:val="auto"/>
          <w:sz w:val="24"/>
          <w:szCs w:val="24"/>
          <w:highlight w:val="none"/>
        </w:rPr>
        <w:t xml:space="preserve">本合同壹式肆份，甲乙双方各执壹份，招标代理机构贰份，具有同等法律效力</w:t>
      </w:r>
      <w:r>
        <w:rPr>
          <w:rFonts w:hint="eastAsia" w:ascii="宋体" w:hAnsi="宋体" w:eastAsia="宋体" w:cs="宋体"/>
          <w:color w:val="auto"/>
          <w:sz w:val="24"/>
          <w:szCs w:val="24"/>
          <w:highlight w:val="none"/>
        </w:rPr>
        <w:t xml:space="preserve">。</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5.本合同应按照中华人民共和国的现行法律进行解释。</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6.合同修改：除甲乙双方签署书面修改、补充协议，并成为本合同不可分割的一部分之外，本合同条件不得有任何变化或修改。</w:t>
      </w:r>
      <w:r/>
    </w:p>
    <w:p>
      <w:pPr>
        <w:ind w:firstLine="482"/>
        <w:spacing w:line="360" w:lineRule="auto"/>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7、未尽事宜</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本合同未尽事宜应按照《中华人民共和国民法典》、《中华人民共和国政府采购法》之规定解释。</w:t>
      </w:r>
      <w:r/>
    </w:p>
    <w:p>
      <w:pPr>
        <w:ind w:firstLine="480"/>
        <w:spacing w:line="360" w:lineRule="auto"/>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    方：                             乙    方：</w:t>
      </w:r>
      <w:r/>
    </w:p>
    <w:p>
      <w:pP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名称(公章)：                          名称(公章)：</w:t>
      </w:r>
      <w:r/>
    </w:p>
    <w:p>
      <w:pP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法定代表人/负责人：                   法定代表人/负责人：</w:t>
      </w:r>
      <w:r/>
    </w:p>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或授权代理人                          或授权代理人：</w:t>
      </w:r>
      <w:r/>
    </w:p>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（签字）                              （签字）</w:t>
      </w:r>
      <w:r/>
    </w:p>
    <w:p>
      <w:pP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签订日期：                            签订日期：</w:t>
      </w:r>
      <w:r/>
    </w:p>
    <w:p>
      <w:pPr>
        <w:jc w:val="center"/>
        <w:spacing w:line="360" w:lineRule="auto"/>
        <w:rPr>
          <w:rFonts w:ascii="宋体" w:hAnsi="宋体" w:eastAsia="宋体" w:cs="宋体"/>
          <w:color w:val="auto"/>
          <w:sz w:val="24"/>
          <w:szCs w:val="24"/>
          <w:highlight w:val="none"/>
        </w:rPr>
        <w:sectPr>
          <w:footnotePr/>
          <w:endnotePr/>
          <w:type w:val="nextPage"/>
          <w:pgSz w:w="11906" w:h="16838" w:orient="portrait"/>
          <w:pgMar w:top="1134" w:right="1134" w:bottom="1134" w:left="1134" w:header="851" w:footer="992" w:gutter="0"/>
          <w:cols w:num="1" w:sep="0" w:space="720" w:equalWidth="1"/>
          <w:docGrid w:linePitch="360"/>
        </w:sectPr>
      </w:pPr>
      <w:r>
        <w:rPr>
          <w:rFonts w:hint="eastAsia" w:ascii="宋体" w:hAnsi="宋体" w:eastAsia="宋体" w:cs="宋体"/>
          <w:color w:val="auto"/>
          <w:sz w:val="24"/>
          <w:szCs w:val="24"/>
          <w:highlight w:val="none"/>
        </w:rPr>
        <w:t xml:space="preserve">   </w:t>
      </w:r>
      <w:r/>
    </w:p>
    <w:p>
      <w:pPr>
        <w:jc w:val="cente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第六章 评分方法和评分标准</w:t>
      </w:r>
      <w:r/>
    </w:p>
    <w:p>
      <w:pPr>
        <w:ind w:firstLine="482"/>
        <w:spacing w:line="360" w:lineRule="auto"/>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一、评分方法：</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1、本次招标评标采用综合评分法，即指投标文件满足招标文件全部实质性要求，且按照评审因素的量化指标评审得分最高的投标人为中标候选人的评标方法。</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2、评标委员会各成员审查每份投标文件是否实质响应了招标文件的要求，非实质性响应的投标文件将被拒绝，也不进行评审。</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3、评标委员会各成员独立对每个进入打分程序的有效投标人的标书技术部分以打分的形式进行评审和评价。对评委的评分进行统计汇总时算术平均计算得分（计算结果均四舍五入保留两位小数）。</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评委评审得分和投标报价得分相加为投标人的评标总得分。如出现评标总得分最高的投标人有两个或两个以上的，以投标报价较低者优先作为中标候选人；如果投标报价也相同的，则由评标委员组织以抽签方式确定。</w:t>
      </w:r>
      <w:bookmarkStart w:id="27" w:name="_GoBack"/>
      <w:r/>
      <w:bookmarkEnd w:id="27"/>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使用综合评分法的采购项目，提供相同品牌产品且通过资格审查、符合性审查的不同投标人参加同一合同项下投标的，按一家投标人计算，评审后得分最高的同品牌投标人获得中标人推荐资格。非单一产品采购项目，多家投标人提供的核心产品品牌相同的，按照此规定处理。</w:t>
      </w:r>
      <w:r/>
    </w:p>
    <w:p>
      <w:pPr>
        <w:ind w:firstLine="482"/>
        <w:spacing w:line="360" w:lineRule="auto"/>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二、评分标准：</w:t>
      </w:r>
      <w:r/>
    </w:p>
    <w:p>
      <w:pPr>
        <w:ind w:firstLine="480"/>
        <w:spacing w:line="360" w:lineRule="auto"/>
        <w:rPr>
          <w:rFonts w:ascii="宋体" w:hAnsi="宋体" w:eastAsia="宋体" w:cs="宋体"/>
          <w:color w:val="auto"/>
          <w:highlight w:val="none"/>
        </w:rPr>
      </w:pPr>
      <w:r>
        <w:rPr>
          <w:rFonts w:hint="eastAsia" w:ascii="宋体" w:hAnsi="宋体" w:eastAsia="宋体" w:cs="宋体"/>
          <w:color w:val="auto"/>
          <w:sz w:val="24"/>
          <w:szCs w:val="24"/>
          <w:highlight w:val="none"/>
        </w:rPr>
        <w:t xml:space="preserve">总分值为100分，评审因素及各比重如下：价格分值占总分值的比重为30％（权重），技术及其他分值占总分值的比重为70％（权重）。</w:t>
      </w:r>
      <w:r/>
    </w:p>
    <w:p>
      <w:pPr>
        <w:ind w:firstLine="480"/>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（一）价格分（30分）</w:t>
      </w:r>
      <w:r/>
    </w:p>
    <w:p>
      <w:pPr>
        <w:ind w:firstLine="42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第一步：投标报价不高于采购预算的为有效报价，超出此范围的投标报价为无效报价，其投标文件不予评审，也不得标。</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第二步：以满足采购文件实质性要求且投标价格最低的投标有效报价为评标基准价，其价格分为满分，即3</w:t>
      </w:r>
      <w:r>
        <w:rPr>
          <w:rFonts w:ascii="宋体" w:hAnsi="宋体" w:eastAsia="宋体" w:cs="宋体"/>
          <w:color w:val="auto"/>
          <w:sz w:val="24"/>
          <w:szCs w:val="24"/>
          <w:highlight w:val="none"/>
        </w:rPr>
        <w:t xml:space="preserve">0</w:t>
      </w:r>
      <w:r>
        <w:rPr>
          <w:rFonts w:hint="eastAsia" w:ascii="宋体" w:hAnsi="宋体" w:eastAsia="宋体" w:cs="宋体"/>
          <w:color w:val="auto"/>
          <w:sz w:val="24"/>
          <w:szCs w:val="24"/>
          <w:highlight w:val="none"/>
        </w:rPr>
        <w:t xml:space="preserve">分。其他有效投标报价得分统一按照下列公式计算：（计算结果均四舍五入保留两位小数）</w:t>
      </w:r>
      <w:r/>
    </w:p>
    <w:p>
      <w:pPr>
        <w:ind w:firstLine="42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投标报价得分＝（基准报价/投标报价）×30％×100</w:t>
      </w:r>
      <w:r/>
    </w:p>
    <w:p>
      <w:pPr>
        <w:ind w:firstLine="422"/>
        <w:spacing w:line="360" w:lineRule="auto"/>
        <w:rPr>
          <w:rFonts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（二）技术与质量及其它（70分）</w:t>
      </w:r>
      <w:r/>
    </w:p>
    <w:p>
      <w:pPr>
        <w:ind w:firstLine="420"/>
        <w:spacing w:line="360" w:lineRule="auto"/>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rPr>
        <w:t xml:space="preserve">1、产品技术</w:t>
      </w:r>
      <w:r>
        <w:rPr>
          <w:rFonts w:hint="eastAsia" w:ascii="宋体" w:hAnsi="宋体" w:eastAsia="宋体" w:cs="宋体"/>
          <w:b/>
          <w:bCs w:val="0"/>
          <w:color w:val="auto"/>
          <w:sz w:val="24"/>
          <w:szCs w:val="24"/>
          <w:highlight w:val="none"/>
          <w:lang w:val="en-US" w:eastAsia="zh-CN"/>
        </w:rPr>
        <w:t xml:space="preserve">参数及</w:t>
      </w:r>
      <w:r>
        <w:rPr>
          <w:rFonts w:hint="eastAsia" w:ascii="宋体" w:hAnsi="宋体" w:eastAsia="宋体" w:cs="宋体"/>
          <w:b/>
          <w:bCs w:val="0"/>
          <w:color w:val="auto"/>
          <w:sz w:val="24"/>
          <w:szCs w:val="24"/>
          <w:highlight w:val="none"/>
        </w:rPr>
        <w:t xml:space="preserve">质量</w:t>
      </w:r>
      <w:r>
        <w:rPr>
          <w:rFonts w:hint="eastAsia" w:ascii="宋体" w:hAnsi="宋体" w:eastAsia="宋体" w:cs="宋体"/>
          <w:b/>
          <w:bCs w:val="0"/>
          <w:color w:val="auto"/>
          <w:sz w:val="24"/>
          <w:szCs w:val="24"/>
          <w:highlight w:val="none"/>
          <w:lang w:val="en-US" w:eastAsia="zh-CN"/>
        </w:rPr>
        <w:t xml:space="preserve">要求（16分）</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（1）产品技术参数要求</w:t>
      </w:r>
      <w:r>
        <w:rPr>
          <w:rFonts w:hint="eastAsia" w:ascii="宋体" w:hAnsi="宋体" w:eastAsia="宋体" w:cs="宋体"/>
          <w:color w:val="auto"/>
          <w:sz w:val="24"/>
          <w:szCs w:val="24"/>
          <w:highlight w:val="none"/>
        </w:rPr>
        <w:t xml:space="preserve">（10分）</w:t>
      </w:r>
      <w:bookmarkStart w:id="15" w:name="_Hlk51619939"/>
      <w:r/>
      <w:r/>
    </w:p>
    <w:p>
      <w:pPr>
        <w:ind w:firstLine="420"/>
        <w:spacing w:line="36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en-US" w:eastAsia="zh-CN" w:bidi="ar-SA"/>
        </w:rPr>
        <w:t xml:space="preserve">A、</w:t>
      </w:r>
      <w:r>
        <w:rPr>
          <w:rFonts w:hint="eastAsia" w:ascii="宋体" w:hAnsi="宋体" w:eastAsia="宋体" w:cs="宋体"/>
          <w:color w:val="auto"/>
          <w:sz w:val="24"/>
          <w:szCs w:val="24"/>
          <w:highlight w:val="none"/>
          <w:lang w:val="zh-CN" w:eastAsia="zh-CN" w:bidi="ar-SA"/>
        </w:rPr>
        <w:t xml:space="preserve">“主要产品技术要求”</w:t>
      </w:r>
      <w:r>
        <w:rPr>
          <w:rFonts w:hint="eastAsia" w:ascii="宋体" w:hAnsi="宋体" w:eastAsia="宋体" w:cs="宋体"/>
          <w:color w:val="auto"/>
          <w:sz w:val="24"/>
          <w:szCs w:val="24"/>
          <w:highlight w:val="none"/>
          <w:lang w:val="en-US" w:eastAsia="zh-CN" w:bidi="ar-SA"/>
        </w:rPr>
        <w:t xml:space="preserve">中标注“▲”项为实质性响应要求，不得偏离。</w:t>
      </w:r>
      <w:r/>
    </w:p>
    <w:p>
      <w:pPr>
        <w:ind w:firstLine="420"/>
        <w:spacing w:line="360" w:lineRule="auto"/>
        <w:rPr>
          <w:rFonts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en-US" w:eastAsia="zh-CN"/>
        </w:rPr>
        <w:t xml:space="preserve">B、</w:t>
      </w:r>
      <w:r>
        <w:rPr>
          <w:rFonts w:hint="eastAsia" w:ascii="宋体" w:hAnsi="宋体" w:eastAsia="宋体" w:cs="宋体"/>
          <w:color w:val="auto"/>
          <w:sz w:val="24"/>
          <w:szCs w:val="24"/>
          <w:highlight w:val="none"/>
          <w:lang w:val="zh-CN" w:eastAsia="zh-CN" w:bidi="ar-SA"/>
        </w:rPr>
        <w:t xml:space="preserve">“主要产品技术要求”</w:t>
      </w:r>
      <w:r>
        <w:rPr>
          <w:rFonts w:hint="eastAsia" w:ascii="宋体" w:hAnsi="宋体" w:eastAsia="宋体" w:cs="宋体"/>
          <w:color w:val="auto"/>
          <w:sz w:val="24"/>
          <w:szCs w:val="24"/>
          <w:highlight w:val="none"/>
          <w:lang w:val="en-US" w:eastAsia="zh-CN" w:bidi="ar-SA"/>
        </w:rPr>
        <w:t xml:space="preserve">中其他技术参数，</w:t>
      </w:r>
      <w:r>
        <w:rPr>
          <w:rFonts w:hint="eastAsia" w:ascii="宋体" w:hAnsi="宋体" w:eastAsia="宋体" w:cs="宋体"/>
          <w:color w:val="auto"/>
          <w:sz w:val="24"/>
          <w:szCs w:val="24"/>
          <w:highlight w:val="none"/>
          <w:lang w:val="zh-CN"/>
        </w:rPr>
        <w:t xml:space="preserve">投标单位所投产品的技术参数满足或高于招标文件中所有技术指标要求的得最高分</w:t>
      </w:r>
      <w:r>
        <w:rPr>
          <w:rFonts w:hint="eastAsia" w:ascii="宋体" w:hAnsi="宋体" w:eastAsia="宋体" w:cs="宋体"/>
          <w:color w:val="auto"/>
          <w:sz w:val="24"/>
          <w:szCs w:val="24"/>
          <w:highlight w:val="none"/>
        </w:rPr>
        <w:t xml:space="preserve">10</w:t>
      </w:r>
      <w:r>
        <w:rPr>
          <w:rFonts w:hint="eastAsia" w:ascii="宋体" w:hAnsi="宋体" w:eastAsia="宋体" w:cs="宋体"/>
          <w:color w:val="auto"/>
          <w:sz w:val="24"/>
          <w:szCs w:val="24"/>
          <w:highlight w:val="none"/>
          <w:lang w:val="zh-CN"/>
        </w:rPr>
        <w:t xml:space="preserve">分；如有负偏离的，每负偏离</w:t>
      </w:r>
      <w:r>
        <w:rPr>
          <w:rFonts w:hint="eastAsia" w:ascii="宋体" w:hAnsi="宋体" w:eastAsia="宋体" w:cs="宋体"/>
          <w:color w:val="auto"/>
          <w:sz w:val="24"/>
          <w:szCs w:val="24"/>
          <w:highlight w:val="none"/>
        </w:rPr>
        <w:t xml:space="preserve">一项在最高分基础上</w:t>
      </w:r>
      <w:r>
        <w:rPr>
          <w:rFonts w:hint="eastAsia" w:ascii="宋体" w:hAnsi="宋体" w:eastAsia="宋体" w:cs="宋体"/>
          <w:color w:val="auto"/>
          <w:sz w:val="24"/>
          <w:szCs w:val="24"/>
          <w:highlight w:val="none"/>
          <w:lang w:val="zh-CN"/>
        </w:rPr>
        <w:t xml:space="preserve">扣</w:t>
      </w: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zh-CN"/>
        </w:rPr>
        <w:t xml:space="preserve">分，</w:t>
      </w:r>
      <w:r>
        <w:rPr>
          <w:rFonts w:hint="eastAsia" w:ascii="宋体" w:hAnsi="宋体" w:eastAsia="宋体" w:cs="宋体"/>
          <w:color w:val="auto"/>
          <w:sz w:val="24"/>
          <w:szCs w:val="24"/>
          <w:highlight w:val="none"/>
        </w:rPr>
        <w:t xml:space="preserve">扣完为止</w:t>
      </w:r>
      <w:r>
        <w:rPr>
          <w:rFonts w:hint="eastAsia" w:ascii="宋体" w:hAnsi="宋体" w:eastAsia="宋体" w:cs="宋体"/>
          <w:color w:val="auto"/>
          <w:sz w:val="24"/>
          <w:szCs w:val="24"/>
          <w:highlight w:val="none"/>
          <w:lang w:val="zh-CN"/>
        </w:rPr>
        <w:t xml:space="preserve">。</w:t>
      </w:r>
      <w:bookmarkEnd w:id="15"/>
      <w:r>
        <w:rPr>
          <w:rFonts w:hint="eastAsia" w:ascii="宋体" w:hAnsi="宋体" w:eastAsia="宋体" w:cs="宋体"/>
          <w:color w:val="auto"/>
          <w:sz w:val="24"/>
          <w:szCs w:val="24"/>
          <w:highlight w:val="none"/>
        </w:rPr>
        <w:t xml:space="preserve">如有要求提供相关证明材料的还需按要求提供</w:t>
      </w:r>
      <w:r>
        <w:rPr>
          <w:rFonts w:hint="eastAsia" w:ascii="宋体" w:hAnsi="宋体" w:eastAsia="宋体" w:cs="宋体"/>
          <w:color w:val="auto"/>
          <w:sz w:val="24"/>
          <w:szCs w:val="24"/>
          <w:highlight w:val="none"/>
          <w:lang w:val="zh-CN"/>
        </w:rPr>
        <w:t xml:space="preserve">，否则视为</w:t>
      </w:r>
      <w:r>
        <w:rPr>
          <w:rFonts w:hint="eastAsia" w:ascii="宋体" w:hAnsi="宋体" w:eastAsia="宋体" w:cs="宋体"/>
          <w:color w:val="auto"/>
          <w:sz w:val="24"/>
          <w:szCs w:val="24"/>
          <w:highlight w:val="none"/>
        </w:rPr>
        <w:t xml:space="preserve">对应项</w:t>
      </w:r>
      <w:r>
        <w:rPr>
          <w:rFonts w:hint="eastAsia" w:ascii="宋体" w:hAnsi="宋体" w:eastAsia="宋体" w:cs="宋体"/>
          <w:color w:val="auto"/>
          <w:sz w:val="24"/>
          <w:szCs w:val="24"/>
          <w:highlight w:val="none"/>
          <w:lang w:val="zh-CN"/>
        </w:rPr>
        <w:t xml:space="preserve">负偏离。</w:t>
      </w:r>
      <w:bookmarkStart w:id="16" w:name="OLE_LINK11"/>
      <w:r/>
      <w:r/>
    </w:p>
    <w:p>
      <w:pPr>
        <w:ind w:firstLine="42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所投低压开关柜质量（2分）</w:t>
      </w:r>
      <w:bookmarkEnd w:id="16"/>
      <w:r/>
      <w:r/>
    </w:p>
    <w:p>
      <w:pPr>
        <w:ind w:firstLine="420"/>
        <w:spacing w:line="360" w:lineRule="auto"/>
        <w:rPr>
          <w:rFonts w:ascii="宋体" w:hAnsi="宋体" w:eastAsia="宋体" w:cs="宋体"/>
          <w:color w:val="auto"/>
          <w:sz w:val="24"/>
          <w:szCs w:val="24"/>
          <w:highlight w:val="none"/>
        </w:rPr>
      </w:pPr>
      <w:r/>
      <w:bookmarkStart w:id="17" w:name="OLE_LINK6"/>
      <w:r/>
      <w:bookmarkStart w:id="18" w:name="OLE_LINK5"/>
      <w:r>
        <w:rPr>
          <w:rFonts w:hint="eastAsia" w:ascii="宋体" w:hAnsi="宋体" w:eastAsia="宋体" w:cs="宋体"/>
          <w:color w:val="auto"/>
          <w:sz w:val="24"/>
          <w:szCs w:val="24"/>
          <w:highlight w:val="none"/>
        </w:rPr>
        <w:t xml:space="preserve">投标单位或所投产品生产企业提供所投低压开关柜具有燃弧、抗震试验报告的得2分，未提供不得分。</w:t>
      </w:r>
      <w:r/>
    </w:p>
    <w:p>
      <w:pPr>
        <w:ind w:firstLine="42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所投高压成套配电柜质量（2分）</w:t>
      </w:r>
      <w:r/>
    </w:p>
    <w:p>
      <w:pPr>
        <w:ind w:firstLine="420"/>
        <w:spacing w:line="360" w:lineRule="auto"/>
        <w:rPr>
          <w:rFonts w:ascii="宋体" w:hAnsi="宋体" w:eastAsia="宋体" w:cs="宋体"/>
          <w:color w:val="auto"/>
          <w:sz w:val="24"/>
          <w:szCs w:val="24"/>
          <w:highlight w:val="none"/>
        </w:rPr>
      </w:pPr>
      <w:r/>
      <w:bookmarkStart w:id="19" w:name="OLE_LINK13"/>
      <w:r/>
      <w:bookmarkStart w:id="20" w:name="OLE_LINK12"/>
      <w:r>
        <w:rPr>
          <w:rFonts w:hint="eastAsia" w:ascii="宋体" w:hAnsi="宋体" w:eastAsia="宋体" w:cs="宋体"/>
          <w:color w:val="auto"/>
          <w:sz w:val="24"/>
          <w:szCs w:val="24"/>
          <w:highlight w:val="none"/>
        </w:rPr>
        <w:t xml:space="preserve">投标单位或所投产品生产企业提供所投高压成套配电柜具有燃弧、凝露试验报告的得2分，未提供不得分。</w:t>
      </w:r>
      <w:r/>
    </w:p>
    <w:p>
      <w:pPr>
        <w:ind w:firstLine="42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所投电容器质量：（2分）</w:t>
      </w:r>
      <w:r/>
    </w:p>
    <w:p>
      <w:pPr>
        <w:ind w:firstLine="42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投标单位或所投产品生产企业提供所投电容器及控制器的电磁兼容试验报告的得2分。</w:t>
      </w:r>
      <w:bookmarkEnd w:id="17"/>
      <w:r/>
      <w:bookmarkEnd w:id="18"/>
      <w:r/>
      <w:bookmarkEnd w:id="19"/>
      <w:r/>
      <w:bookmarkEnd w:id="20"/>
      <w:r/>
      <w:r/>
    </w:p>
    <w:p>
      <w:pPr>
        <w:ind w:firstLine="422"/>
        <w:spacing w:line="360" w:lineRule="auto"/>
        <w:rPr>
          <w:rFonts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lang w:val="en-US" w:eastAsia="zh-CN"/>
        </w:rPr>
        <w:t xml:space="preserve">2、</w:t>
      </w:r>
      <w:r>
        <w:rPr>
          <w:rFonts w:hint="eastAsia" w:ascii="宋体" w:hAnsi="宋体" w:eastAsia="宋体" w:cs="宋体"/>
          <w:b/>
          <w:bCs w:val="0"/>
          <w:color w:val="auto"/>
          <w:sz w:val="24"/>
          <w:szCs w:val="24"/>
          <w:highlight w:val="none"/>
        </w:rPr>
        <w:t xml:space="preserve">项目整体实施方案及售后服务比较（44分）</w:t>
      </w:r>
      <w:r/>
    </w:p>
    <w:p>
      <w:pPr>
        <w:ind w:firstLine="42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（1）项目实施概况及总体安排：4分</w:t>
      </w:r>
      <w:r/>
    </w:p>
    <w:p>
      <w:pPr>
        <w:ind w:firstLine="42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方案中包括但不限于①项目概述、②总体安排；</w:t>
      </w:r>
      <w:r/>
    </w:p>
    <w:p>
      <w:pPr>
        <w:ind w:firstLine="42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上述每项应逐条叙述，方案全面合理、可行性强、操作性强、贴合项目实际的每项得2分；方案合理性较弱、可行性有所欠缺、操作性不强、与项目实际贴合度不高的得1分；每项叙述内容完全脱离采购需求或未作完整叙述的不得分。本项最高得4分。</w:t>
      </w:r>
      <w:r/>
    </w:p>
    <w:p>
      <w:pPr>
        <w:ind w:firstLine="422"/>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（2）针对本项目采购人的特殊性，提供详细的送货、安装方案：10分</w:t>
      </w:r>
      <w:r/>
    </w:p>
    <w:p>
      <w:pPr>
        <w:ind w:firstLine="42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方案中包括但不限于①送货方案、②安装方案；</w:t>
      </w:r>
      <w:r/>
    </w:p>
    <w:p>
      <w:pPr>
        <w:ind w:firstLine="42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上述每项应逐条叙述，方案详细、可行性强、完全贴合采购人实际现状的每项得5分；方案合理性较弱、可行性有所欠缺、与采购人实际现状贴合度不高的得2分；每项叙述内容完全脱离采购人实际现状或未作完整叙述的不得分。本项最高得10分。</w:t>
      </w:r>
      <w:r/>
    </w:p>
    <w:p>
      <w:pPr>
        <w:ind w:firstLine="422"/>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（3）关键技术、工艺及项目实施的重点、难点和解决方案（9分）</w:t>
      </w:r>
      <w:r/>
    </w:p>
    <w:p>
      <w:pPr>
        <w:ind w:firstLine="42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方案中包括但不限于①原有设备更换衔接方案、②深度细化的关键技术、③工艺及项目实施的重点、难点和解决方案等内容。</w:t>
      </w:r>
      <w:r/>
    </w:p>
    <w:p>
      <w:pPr>
        <w:ind w:firstLine="403"/>
        <w:spacing w:line="360" w:lineRule="auto"/>
        <w:tabs>
          <w:tab w:val="left" w:pos="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上述每项应逐条叙述，方案全面合理、可行性强、操作性强、贴合项目实际的每项得3分；方案合理性较弱、可行性有所欠缺、操作性不强、与项目实际贴合度不高的得1分；每项叙述内容完全脱离采购需求或未作完整叙述的不得分。本项最高得9分。</w:t>
      </w:r>
      <w:r/>
    </w:p>
    <w:p>
      <w:pPr>
        <w:ind w:firstLine="420"/>
        <w:spacing w:line="360" w:lineRule="auto"/>
        <w:rPr>
          <w:rFonts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（4）质量保障措施方案、安全保障措施方案（8分）</w:t>
      </w:r>
      <w:r/>
    </w:p>
    <w:p>
      <w:pPr>
        <w:ind w:firstLine="42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方案中包括但不限于①安装时对现有用电的保障方案、②现场环境保护措施、③安全保障措施方案、④与供电公司外线协调对接流程等内容。</w:t>
      </w:r>
      <w:r/>
    </w:p>
    <w:p>
      <w:pPr>
        <w:ind w:firstLine="403"/>
        <w:spacing w:line="360" w:lineRule="auto"/>
        <w:tabs>
          <w:tab w:val="left" w:pos="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上述每项应逐条叙述，方案全面合理、可行性强、操作性强、贴合项目实际的每项得2分；方案合理性较弱、可行性有所欠缺、操作性不强、与项目实际贴合度不高的得1分；每项叙述内容完全脱离采购需求或未作完整叙述的不得分。本项最高得8分。</w:t>
      </w:r>
      <w:r/>
    </w:p>
    <w:p>
      <w:pPr>
        <w:ind w:firstLine="422"/>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（5）突发事故应急预案与处理能力比较（4分）</w:t>
      </w:r>
      <w:r/>
    </w:p>
    <w:p>
      <w:pPr>
        <w:ind w:firstLine="42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方案中包括但不限于①针对该项目实施过程突发应急响应、②现场急救和重大危险源的确定和预防措施等方案等内容。</w:t>
      </w:r>
      <w:r/>
    </w:p>
    <w:p>
      <w:pPr>
        <w:ind w:firstLine="403"/>
        <w:spacing w:line="360" w:lineRule="auto"/>
        <w:tabs>
          <w:tab w:val="left" w:pos="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上述每项应逐条叙述，方案全面合理、可行性强、操作性强、贴合项目实际的每项得2分；方案合理性较弱、可行性有所欠缺、操作性不强、与项目实际贴合度不高的得1分；每项叙述内容完全脱离采购需求或未作完整叙述的不得分。本项最高得4分。</w:t>
      </w:r>
      <w:r/>
    </w:p>
    <w:p>
      <w:pPr>
        <w:ind w:firstLine="422"/>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（6）售后服务方案（9分）</w:t>
      </w:r>
      <w:r/>
    </w:p>
    <w:p>
      <w:pPr>
        <w:ind w:firstLine="42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方案中包括但不限于①理解深入采购需求、运用现代化的科技手段在质保期内对设备进行管理及维护，②运用有</w:t>
      </w:r>
      <w:bookmarkStart w:id="21" w:name="_Hlk196667002"/>
      <w:r>
        <w:rPr>
          <w:rFonts w:hint="eastAsia" w:ascii="宋体" w:hAnsi="宋体" w:eastAsia="宋体" w:cs="宋体"/>
          <w:color w:val="auto"/>
          <w:sz w:val="24"/>
          <w:szCs w:val="24"/>
          <w:highlight w:val="none"/>
        </w:rPr>
        <w:t xml:space="preserve">自有知识产权的电力管理相关软件进行售后服务管理（提供如软件著作权等证明材料）</w:t>
      </w:r>
      <w:bookmarkEnd w:id="21"/>
      <w:r>
        <w:rPr>
          <w:rFonts w:hint="eastAsia" w:ascii="宋体" w:hAnsi="宋体" w:eastAsia="宋体" w:cs="宋体"/>
          <w:color w:val="auto"/>
          <w:sz w:val="24"/>
          <w:szCs w:val="24"/>
          <w:highlight w:val="none"/>
        </w:rPr>
        <w:t xml:space="preserve">，③质保期内为客户提供合理的设备管理解决方案。</w:t>
      </w:r>
      <w:r/>
    </w:p>
    <w:p>
      <w:pPr>
        <w:ind w:firstLine="403"/>
        <w:spacing w:line="360" w:lineRule="auto"/>
        <w:tabs>
          <w:tab w:val="left" w:pos="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上述每项应逐条叙述，方案全面合理、可行性强、操作性强、贴合项目实际的每项得3分；方案合理性较弱、可行性有所欠缺、操作性不强、与项目实际贴合度不高的得1分；每项叙述内容完全脱离采购需求或未作完整叙述的不得分。本项最高得9分。</w:t>
      </w:r>
      <w:r/>
    </w:p>
    <w:p>
      <w:pPr>
        <w:numPr>
          <w:ilvl w:val="0"/>
          <w:numId w:val="0"/>
        </w:numPr>
        <w:spacing w:line="360" w:lineRule="auto"/>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 xml:space="preserve">3、人员及企业综合实力（10分）</w:t>
      </w:r>
      <w:r/>
    </w:p>
    <w:p>
      <w:pPr>
        <w:numPr>
          <w:ilvl w:val="0"/>
          <w:numId w:val="0"/>
        </w:numPr>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1</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项目负责人（2分）</w:t>
      </w:r>
      <w:r/>
    </w:p>
    <w:p>
      <w:pPr>
        <w:ind w:firstLine="42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拟投入本项目的项目负责人具有中级或中级以上职称的得2分；最高得2分。</w:t>
      </w:r>
      <w:r/>
    </w:p>
    <w:p>
      <w:pPr>
        <w:ind w:firstLine="42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注：投标文件中提供相关证书扫描件及投标单位为其缴纳的2026年1月以来任意一期社保缴纳证明，否则对应项不得分。</w:t>
      </w:r>
      <w:r/>
    </w:p>
    <w:p>
      <w:pPr>
        <w:ind w:firstLine="42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项目技术负责人（2分）</w:t>
      </w:r>
      <w:r/>
    </w:p>
    <w:p>
      <w:pPr>
        <w:ind w:firstLine="42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拟投入本项目技术负责人具有中级或中级以上职称的得2分；最高得2分。</w:t>
      </w:r>
      <w:r/>
    </w:p>
    <w:p>
      <w:pPr>
        <w:ind w:firstLine="42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注：投标文件中提供相关证书扫描件及投标单位为其缴纳的2026年1月以来任意一期社保缴纳证明，否则对应项不得分。</w:t>
      </w:r>
      <w:r/>
    </w:p>
    <w:p>
      <w:pPr>
        <w:ind w:firstLine="422"/>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类似业绩（</w:t>
      </w:r>
      <w:r>
        <w:rPr>
          <w:rFonts w:hint="eastAsia" w:ascii="宋体" w:hAnsi="宋体" w:eastAsia="宋体" w:cs="宋体"/>
          <w:bCs/>
          <w:color w:val="auto"/>
          <w:sz w:val="24"/>
          <w:szCs w:val="24"/>
          <w:highlight w:val="none"/>
          <w:lang w:val="en-US" w:eastAsia="zh-CN"/>
        </w:rPr>
        <w:t xml:space="preserve">6</w:t>
      </w:r>
      <w:r>
        <w:rPr>
          <w:rFonts w:hint="eastAsia" w:ascii="宋体" w:hAnsi="宋体" w:eastAsia="宋体" w:cs="宋体"/>
          <w:bCs/>
          <w:color w:val="auto"/>
          <w:sz w:val="24"/>
          <w:szCs w:val="24"/>
          <w:highlight w:val="none"/>
        </w:rPr>
        <w:t xml:space="preserve">分）</w:t>
      </w:r>
      <w:r/>
    </w:p>
    <w:p>
      <w:pPr>
        <w:ind w:firstLine="42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投标人2023年1月1日（含）至今（以合同签订时间为准）具有的类似业绩，有一份业绩得</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分，最高得</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分。投标文件中提供合同扫描件</w:t>
      </w:r>
      <w:r>
        <w:rPr>
          <w:rFonts w:hint="eastAsia" w:ascii="宋体" w:hAnsi="宋体" w:eastAsia="宋体" w:cs="宋体"/>
          <w:color w:val="auto"/>
          <w:sz w:val="24"/>
          <w:szCs w:val="24"/>
          <w:highlight w:val="none"/>
          <w:lang w:val="en-US" w:eastAsia="zh-CN"/>
        </w:rPr>
        <w:t xml:space="preserve">或复印件</w:t>
      </w:r>
      <w:r>
        <w:rPr>
          <w:rFonts w:hint="eastAsia" w:ascii="宋体" w:hAnsi="宋体" w:eastAsia="宋体" w:cs="宋体"/>
          <w:color w:val="auto"/>
          <w:sz w:val="24"/>
          <w:szCs w:val="24"/>
          <w:highlight w:val="none"/>
        </w:rPr>
        <w:t xml:space="preserve">，否则不得分。</w:t>
      </w:r>
      <w:r/>
    </w:p>
    <w:p>
      <w:pPr>
        <w:ind w:firstLine="480"/>
        <w:jc w:val="left"/>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评审说明：其他评审未尽事宜由评审委员会根据有关规定讨论决定。</w:t>
      </w:r>
      <w:r/>
    </w:p>
    <w:p>
      <w:pPr>
        <w:ind w:firstLine="480"/>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ind w:firstLine="482"/>
        <w:spacing w:line="360" w:lineRule="auto"/>
        <w:rPr>
          <w:rFonts w:ascii="宋体" w:hAnsi="宋体" w:eastAsia="宋体" w:cs="宋体"/>
          <w:bCs/>
          <w:color w:val="auto"/>
          <w:sz w:val="24"/>
          <w:highlight w:val="none"/>
        </w:rPr>
      </w:pPr>
      <w:r>
        <w:rPr>
          <w:rFonts w:hint="eastAsia" w:ascii="宋体" w:hAnsi="宋体" w:eastAsia="宋体" w:cs="宋体"/>
          <w:b/>
          <w:color w:val="auto"/>
          <w:sz w:val="24"/>
          <w:szCs w:val="24"/>
          <w:highlight w:val="none"/>
        </w:rPr>
        <w:t xml:space="preserve">三、政府采购政策：</w:t>
      </w:r>
      <w:r/>
    </w:p>
    <w:p>
      <w:pPr>
        <w:ind w:firstLine="480"/>
        <w:spacing w:line="360" w:lineRule="auto"/>
        <w:tabs>
          <w:tab w:val="left" w:pos="287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1、针对中小型企业的评审：</w:t>
      </w:r>
      <w:r/>
    </w:p>
    <w:p>
      <w:pPr>
        <w:ind w:firstLine="482"/>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（1）本项目专门面向中小企业采购。</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（2）依据《政府采购促进中小企业发展管理办法》规定享受扶持政策获得政府采购合同的，小微企业不得将合同分包给大中型企业，中型企业不得将合同分包给大型企业。</w:t>
      </w:r>
      <w:r/>
    </w:p>
    <w:p>
      <w:pPr>
        <w:ind w:firstLine="480"/>
        <w:spacing w:line="360" w:lineRule="auto"/>
        <w:rPr>
          <w:rFonts w:ascii="宋体" w:hAnsi="宋体" w:eastAsia="宋体" w:cs="宋体"/>
          <w:b/>
          <w:color w:val="auto"/>
          <w:sz w:val="24"/>
          <w:szCs w:val="24"/>
          <w:highlight w:val="none"/>
        </w:rPr>
      </w:pPr>
      <w:r>
        <w:rPr>
          <w:rFonts w:hint="eastAsia" w:ascii="宋体" w:hAnsi="宋体" w:eastAsia="宋体" w:cs="宋体"/>
          <w:bCs/>
          <w:color w:val="auto"/>
          <w:sz w:val="24"/>
          <w:szCs w:val="24"/>
          <w:highlight w:val="none"/>
        </w:rPr>
        <w:t xml:space="preserve">（3）本项目采购标的对应的中小企业划型标准规定所属行业为：</w:t>
      </w:r>
      <w:r>
        <w:rPr>
          <w:rFonts w:hint="eastAsia" w:ascii="宋体" w:hAnsi="宋体" w:eastAsia="宋体" w:cs="宋体"/>
          <w:b/>
          <w:color w:val="auto"/>
          <w:sz w:val="24"/>
          <w:szCs w:val="24"/>
          <w:highlight w:val="none"/>
        </w:rPr>
        <w:t xml:space="preserve">工业。</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w:t>
      </w:r>
      <w:r>
        <w:rPr>
          <w:rStyle w:val="1073"/>
          <w:rFonts w:hint="eastAsia" w:ascii="宋体" w:hAnsi="宋体" w:eastAsia="宋体" w:cs="宋体"/>
          <w:bCs/>
          <w:color w:val="auto"/>
          <w:sz w:val="24"/>
          <w:szCs w:val="24"/>
          <w:highlight w:val="none"/>
        </w:rPr>
        <w:t xml:space="preserve">中小企业参加政府采购活动，应当出具《政府采购促进中小企业发展管理办法》附件规定《中小企业声明函》，否则不得享受相关中小企业扶持政策。</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注：在货物采购项目中，供应商提供的货物既有中小企业制造货物，也有大型企业制造货物的，不享受《政府采购促进中小企业发展管理办法》规定的中小企业扶持政策。若供应商提供的《中小企业声明函》为虚假声明则视同提供虚假材料，按政府采购相关规定处理并报请政府监管部门给予行政处罚。</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未按本项目采购标的对应的中小企业划型标准规定所属行业承诺的《中小企业声明函》为无效《中小企业声明函》。</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3、针对监狱企业的评审：</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根据财政部、司法部《关于政府采购支持监狱企业发展有关问题的通知》（财库〔2014〕68号）的规定，对属于监狱企业的供应商给予评审：</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符合《关于政府采购支持监狱企业发展有关问题的通知》（财库〔2014〕68号）条件的监狱企业参加政府采购活动时，应当提供由省级以上监狱管理局、戒毒管理局（含新疆生产建设兵团）出具的属于监狱企业的证明文件。</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4、针对残疾人福利性单位的评审：</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根据财政部、民政部、中国残疾人联合会《关于促进残疾人就业政府采购政策的通知》（财库〔2017〕141号）</w:t>
      </w:r>
      <w:r>
        <w:rPr>
          <w:rFonts w:hint="eastAsia" w:ascii="宋体" w:hAnsi="宋体" w:eastAsia="宋体" w:cs="宋体"/>
          <w:bCs/>
          <w:color w:val="auto"/>
          <w:sz w:val="24"/>
          <w:szCs w:val="24"/>
          <w:highlight w:val="none"/>
        </w:rPr>
        <w:t xml:space="preserve">的规定</w:t>
      </w:r>
      <w:r>
        <w:rPr>
          <w:rFonts w:hint="eastAsia" w:ascii="宋体" w:hAnsi="宋体" w:eastAsia="宋体" w:cs="宋体"/>
          <w:color w:val="auto"/>
          <w:sz w:val="24"/>
          <w:szCs w:val="24"/>
          <w:highlight w:val="none"/>
        </w:rPr>
        <w:t xml:space="preserve">，对属于残疾人福利性单位的供应商给予评审：</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根据供应商提供的《残疾人福利性单位声明函》。</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（1）供应商对上述声明的真实性负责，若供应商提供的《残疾人福利性单位声明函》与事实不符的，依照《政府采购法》第七十七条第一款的规定追究法律责任。</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（2）供应商为残疾人福利性单位的，采购代理机构将随中标结果同时公告其《残疾人福利性单位声明函》，接受社会监督。</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5、上述针对中小型企业、监狱企业和残疾人福利性单位的评审政策不重复享受。</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6、实施本国产品标准及相关政策：</w:t>
      </w:r>
      <w:r/>
    </w:p>
    <w:p>
      <w:pPr>
        <w:ind w:firstLine="422"/>
        <w:spacing w:line="360" w:lineRule="auto"/>
        <w:rPr>
          <w:rFonts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b/>
          <w:bCs/>
          <w:color w:val="auto"/>
          <w:sz w:val="24"/>
          <w:szCs w:val="24"/>
          <w:highlight w:val="none"/>
        </w:rPr>
        <w:t xml:space="preserve">根据《国务院办公厅关于在政府采购中实施本国产品标准及相关政策的通知》（国办发（2025）34号）的规定，本项目对采购本国产品给予政策支持。</w:t>
      </w:r>
      <w:r/>
    </w:p>
    <w:p>
      <w:pPr>
        <w:ind w:firstLine="42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（4）本项目政府采购活动中既有本国产品又有非本国产品参与竞争的，依法对本国产品给予价格评审优惠，对本国产品的报价给予</w:t>
      </w:r>
      <w:r>
        <w:rPr>
          <w:rFonts w:hint="eastAsia" w:ascii="宋体" w:hAnsi="宋体" w:eastAsia="宋体" w:cs="宋体"/>
          <w:color w:val="auto"/>
          <w:sz w:val="24"/>
          <w:szCs w:val="24"/>
          <w:highlight w:val="none"/>
          <w:u w:val="single"/>
        </w:rPr>
        <w:t xml:space="preserve">20％</w:t>
      </w:r>
      <w:r>
        <w:rPr>
          <w:rFonts w:hint="eastAsia" w:ascii="宋体" w:hAnsi="宋体" w:eastAsia="宋体" w:cs="宋体"/>
          <w:color w:val="auto"/>
          <w:sz w:val="24"/>
          <w:szCs w:val="24"/>
          <w:highlight w:val="none"/>
        </w:rPr>
        <w:t xml:space="preserve">的价格扣除，用扣除后的价格参与评审。</w:t>
      </w:r>
      <w:r/>
    </w:p>
    <w:p>
      <w:pPr>
        <w:ind w:firstLine="42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当采购项目或者采购包中含有多种产品，供应商为该采购项目或者采购包提供的符合本国产品标准的产品成本之和占该供应商提供的全部产品成本之和的比例达到</w:t>
      </w:r>
      <w:r>
        <w:rPr>
          <w:rFonts w:hint="eastAsia" w:ascii="宋体" w:hAnsi="宋体" w:eastAsia="宋体" w:cs="宋体"/>
          <w:color w:val="auto"/>
          <w:sz w:val="24"/>
          <w:szCs w:val="24"/>
          <w:highlight w:val="none"/>
          <w:u w:val="single"/>
        </w:rPr>
        <w:t xml:space="preserve">80％</w:t>
      </w:r>
      <w:r>
        <w:rPr>
          <w:rFonts w:hint="eastAsia" w:ascii="宋体" w:hAnsi="宋体" w:eastAsia="宋体" w:cs="宋体"/>
          <w:color w:val="auto"/>
          <w:sz w:val="24"/>
          <w:szCs w:val="24"/>
          <w:highlight w:val="none"/>
        </w:rPr>
        <w:t xml:space="preserve">以上时（供应商需在“第三章 投标文件格式”的“公开分项报价表”中填写比例数值），依法对该供应商提供的全部产品给予价格评审优惠，即对该供应商提供的全部产品的总报价给予</w:t>
      </w:r>
      <w:r>
        <w:rPr>
          <w:rFonts w:hint="eastAsia" w:ascii="宋体" w:hAnsi="宋体" w:eastAsia="宋体" w:cs="宋体"/>
          <w:color w:val="auto"/>
          <w:sz w:val="24"/>
          <w:szCs w:val="24"/>
          <w:highlight w:val="none"/>
          <w:u w:val="single"/>
        </w:rPr>
        <w:t xml:space="preserve">20％</w:t>
      </w:r>
      <w:r>
        <w:rPr>
          <w:rFonts w:hint="eastAsia" w:ascii="宋体" w:hAnsi="宋体" w:eastAsia="宋体" w:cs="宋体"/>
          <w:color w:val="auto"/>
          <w:sz w:val="24"/>
          <w:szCs w:val="24"/>
          <w:highlight w:val="none"/>
        </w:rPr>
        <w:t xml:space="preserve">的价格扣除，用扣除后的价格参与评审。</w:t>
      </w:r>
      <w:r>
        <w:rPr>
          <w:rFonts w:hint="eastAsia" w:ascii="宋体" w:hAnsi="宋体" w:eastAsia="宋体" w:cs="宋体"/>
          <w:b/>
          <w:bCs/>
          <w:color w:val="auto"/>
          <w:sz w:val="24"/>
          <w:szCs w:val="24"/>
          <w:highlight w:val="none"/>
        </w:rPr>
        <w:t xml:space="preserve">供应商未填写比例数值，或比例数值未达到</w:t>
      </w:r>
      <w:r>
        <w:rPr>
          <w:rFonts w:hint="eastAsia" w:ascii="宋体" w:hAnsi="宋体" w:eastAsia="宋体" w:cs="宋体"/>
          <w:b/>
          <w:bCs/>
          <w:color w:val="auto"/>
          <w:sz w:val="24"/>
          <w:szCs w:val="24"/>
          <w:highlight w:val="none"/>
          <w:u w:val="single"/>
        </w:rPr>
        <w:t xml:space="preserve">80％</w:t>
      </w:r>
      <w:r>
        <w:rPr>
          <w:rFonts w:hint="eastAsia" w:ascii="宋体" w:hAnsi="宋体" w:eastAsia="宋体" w:cs="宋体"/>
          <w:b/>
          <w:bCs/>
          <w:color w:val="auto"/>
          <w:sz w:val="24"/>
          <w:szCs w:val="24"/>
          <w:highlight w:val="none"/>
        </w:rPr>
        <w:t xml:space="preserve">的，</w:t>
      </w:r>
      <w:r>
        <w:rPr>
          <w:rFonts w:hint="eastAsia" w:ascii="宋体" w:hAnsi="宋体" w:eastAsia="宋体" w:cs="宋体"/>
          <w:b/>
          <w:color w:val="auto"/>
          <w:sz w:val="24"/>
          <w:szCs w:val="24"/>
          <w:highlight w:val="none"/>
        </w:rPr>
        <w:t xml:space="preserve">将不享受本国产品价格评审优惠。</w:t>
      </w:r>
      <w:r/>
    </w:p>
    <w:p>
      <w:pPr>
        <w:ind w:firstLine="42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（5）供应商需按照采购文件的要求提供《关于符合本国产品标准的声明函》（以下简称《声明函》）或财政部会同有关部门规定的有关证明文件的，</w:t>
      </w:r>
      <w:r>
        <w:rPr>
          <w:rFonts w:hint="eastAsia" w:ascii="宋体" w:hAnsi="宋体" w:eastAsia="宋体" w:cs="宋体"/>
          <w:b/>
          <w:color w:val="auto"/>
          <w:sz w:val="24"/>
          <w:szCs w:val="24"/>
          <w:highlight w:val="none"/>
        </w:rPr>
        <w:t xml:space="preserve">如不提供或提供不符要求的将不享受本国产品价格评审优惠。</w:t>
      </w:r>
      <w:r/>
    </w:p>
    <w:p>
      <w:pPr>
        <w:ind w:firstLine="42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（6）供应商需在《声明函》中逐一、准确填写产品名称、厂名、生产厂址三项信息（《声明函》中用斜线划除的地方无需填写），</w:t>
      </w:r>
      <w:r>
        <w:rPr>
          <w:rFonts w:hint="eastAsia" w:ascii="宋体" w:hAnsi="宋体" w:eastAsia="宋体" w:cs="宋体"/>
          <w:b/>
          <w:color w:val="auto"/>
          <w:sz w:val="24"/>
          <w:szCs w:val="24"/>
          <w:highlight w:val="none"/>
        </w:rPr>
        <w:t xml:space="preserve">三项信息中任意一项未填写的视为该项产品不符合本国产品标准，不享受本国产品价格评审优惠。</w:t>
      </w:r>
      <w:r/>
    </w:p>
    <w:p>
      <w:pPr>
        <w:ind w:firstLine="42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采购文件规定的，</w:t>
      </w:r>
      <w:r>
        <w:rPr>
          <w:rFonts w:hint="eastAsia" w:ascii="宋体" w:hAnsi="宋体" w:eastAsia="宋体" w:cs="宋体"/>
          <w:b/>
          <w:color w:val="auto"/>
          <w:sz w:val="24"/>
          <w:szCs w:val="24"/>
          <w:highlight w:val="none"/>
        </w:rPr>
        <w:t xml:space="preserve">供应商提供的相关产品视为不符合本国产品标准。</w:t>
      </w:r>
      <w:r/>
    </w:p>
    <w:p>
      <w:pP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clear="all"/>
      </w:r>
      <w:r/>
    </w:p>
    <w:p>
      <w:pPr>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附件</w:t>
      </w:r>
      <w:r>
        <w:rPr>
          <w:rFonts w:hint="eastAsia" w:ascii="宋体" w:hAnsi="宋体" w:eastAsia="宋体" w:cs="宋体"/>
          <w:color w:val="auto"/>
          <w:sz w:val="24"/>
          <w:szCs w:val="24"/>
          <w:highlight w:val="none"/>
          <w:lang w:val="en-US" w:eastAsia="zh-CN"/>
        </w:rPr>
        <w:t xml:space="preserve">一</w:t>
      </w:r>
      <w:r>
        <w:rPr>
          <w:rFonts w:hint="eastAsia" w:ascii="宋体" w:hAnsi="宋体" w:eastAsia="宋体" w:cs="宋体"/>
          <w:color w:val="auto"/>
          <w:sz w:val="24"/>
          <w:szCs w:val="24"/>
          <w:highlight w:val="none"/>
        </w:rPr>
        <w:t xml:space="preserve">：</w:t>
      </w:r>
      <w:r/>
    </w:p>
    <w:p>
      <w:pPr>
        <w:pStyle w:val="980"/>
        <w:jc w:val="center"/>
        <w:spacing w:line="360" w:lineRule="auto"/>
        <w:tabs>
          <w:tab w:val="right" w:pos="8302" w:leader="dot"/>
          <w:tab w:val="clear" w:pos="9026" w:leader="none"/>
        </w:tabs>
        <w:rPr>
          <w:rStyle w:val="1000"/>
          <w:rFonts w:cs="宋体"/>
          <w:b w:val="0"/>
          <w:color w:val="auto"/>
          <w:sz w:val="32"/>
          <w:szCs w:val="32"/>
          <w:highlight w:val="none"/>
        </w:rPr>
      </w:pPr>
      <w:r>
        <w:rPr>
          <w:rStyle w:val="1000"/>
          <w:rFonts w:hint="eastAsia" w:cs="宋体"/>
          <w:b w:val="0"/>
          <w:color w:val="auto"/>
          <w:sz w:val="32"/>
          <w:szCs w:val="32"/>
          <w:highlight w:val="none"/>
        </w:rPr>
        <w:t xml:space="preserve">主要产品技术要求</w:t>
      </w:r>
      <w:r/>
    </w:p>
    <w:p>
      <w:pPr>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1、12KV高压成套配电柜技术规范及要求：</w:t>
      </w:r>
      <w:r/>
    </w:p>
    <w:p>
      <w:pPr>
        <w:ind w:firstLine="42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1.1、12KV高压成套配电柜采用的技术规范（包括但不限于下述标准，国家或地方或行业如有最新标准出台的，以最新标准为准）：</w:t>
      </w:r>
      <w:r/>
    </w:p>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GB3111-1997《高压输变电设备的绝缘配合》；</w:t>
      </w:r>
      <w:r/>
    </w:p>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GB/T16927-1997《高电压试验技术》；</w:t>
      </w:r>
      <w:r/>
    </w:p>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DL/T620-1997《交流电气装置的过电压保护和绝缘配合》；</w:t>
      </w:r>
      <w:r/>
    </w:p>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GB763-90《交流高压电器在长期工作时的发热》；</w:t>
      </w:r>
      <w:r/>
    </w:p>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GB1408-89《固体绝缘材料工频电气强度的试验方法》；</w:t>
      </w:r>
      <w:r/>
    </w:p>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GB2706-89《交流高压电器动、热稳定试验方法》；</w:t>
      </w:r>
      <w:r/>
    </w:p>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GB3309-89《高压开关设备常温下的机械试验》；</w:t>
      </w:r>
      <w:r/>
    </w:p>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GB3906-97《3～35kV交流金属封闭开关设备》；</w:t>
      </w:r>
      <w:r/>
    </w:p>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GB7354-87《局部放电测量》；</w:t>
      </w:r>
      <w:r/>
    </w:p>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GB11022-99《高压开关设备通用技术条件》；</w:t>
      </w:r>
      <w:r/>
    </w:p>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SD/T318-89《高压开关柜闭锁装置技术条件》；</w:t>
      </w:r>
      <w:r/>
    </w:p>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DL/T402-99《交流高压断路器订货技术条件》；</w:t>
      </w:r>
      <w:r/>
    </w:p>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DL/T539-93《户内交流高压开关柜和元部件凝露及污秽试验技术条件》；</w:t>
      </w:r>
      <w:r/>
    </w:p>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DL/T404-97《户内交流高压开关柜订货技术条件》；</w:t>
      </w:r>
      <w:r/>
    </w:p>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DL/T593-96《高压开关设备的共用订货技术条件》；</w:t>
      </w:r>
      <w:r/>
    </w:p>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GB7261-87《继电器及继电保护装置基本试验方法》；</w:t>
      </w:r>
      <w:r/>
    </w:p>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GB14285－93《继电保护安全自动装置技术规程》</w:t>
      </w:r>
      <w:r/>
    </w:p>
    <w:p>
      <w:pPr>
        <w:ind w:firstLine="420"/>
        <w:spacing w:line="360" w:lineRule="auto"/>
        <w:rPr>
          <w:rFonts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1.2、</w:t>
      </w:r>
      <w:r>
        <w:rPr>
          <w:rFonts w:hint="eastAsia" w:ascii="宋体" w:hAnsi="宋体" w:eastAsia="宋体" w:cs="宋体"/>
          <w:bCs/>
          <w:color w:val="auto"/>
          <w:sz w:val="24"/>
          <w:szCs w:val="24"/>
          <w:highlight w:val="none"/>
        </w:rPr>
        <w:t xml:space="preserve">12KV高压成套配电柜技术性能要求：</w:t>
      </w:r>
      <w:r/>
    </w:p>
    <w:p>
      <w:pPr>
        <w:ind w:firstLine="42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1.2.1、12KV高压成套配电柜为金属铠装中置移开式开关柜</w:t>
      </w:r>
      <w:r>
        <w:rPr>
          <w:rFonts w:hint="eastAsia" w:ascii="宋体" w:hAnsi="宋体" w:eastAsia="宋体" w:cs="宋体"/>
          <w:bCs/>
          <w:color w:val="auto"/>
          <w:sz w:val="24"/>
          <w:szCs w:val="24"/>
          <w:highlight w:val="none"/>
        </w:rPr>
        <w:t xml:space="preserve">。</w:t>
      </w:r>
      <w:r/>
    </w:p>
    <w:p>
      <w:pPr>
        <w:ind w:firstLine="42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（1）开关设备按铠装式金属封闭开关设备设计，箱体采用覆铝锌板制作。开关柜断路器应为手车式，开关本体、机构一体化结构。</w:t>
      </w:r>
      <w:r/>
    </w:p>
    <w:p>
      <w:pPr>
        <w:ind w:firstLine="42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（2）开关柜内所配一次设备（含接地开关）都与断路器参数相配合，各元件的动、热稳定性都满足要求。开关柜内，其母线室、断路器室、电缆室和仪表室等均有独立小室，小室与小室间需隔断。</w:t>
      </w:r>
      <w:r/>
    </w:p>
    <w:p>
      <w:pPr>
        <w:ind w:firstLine="42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rPr>
        <w:t xml:space="preserve">（3）所有开关柜采用可靠的机械“五防”结构</w:t>
      </w:r>
      <w:r>
        <w:rPr>
          <w:rFonts w:hint="eastAsia" w:ascii="宋体" w:hAnsi="宋体" w:eastAsia="宋体" w:cs="宋体"/>
          <w:color w:val="auto"/>
          <w:sz w:val="24"/>
          <w:szCs w:val="24"/>
          <w:highlight w:val="none"/>
        </w:rPr>
        <w:t xml:space="preserve">，以实现下列功能：当断路器处在合闸位置时，手车无法移动，当隔离手车不在工作位置时，断路器无法进行合闸操作；当断路器合闸后，隔离手车在工作位置不可移动，接地开关合闸时，断路器手车不能推进，当断路器处在“工作”位置时；无法操作（合上）接地开关。</w:t>
      </w:r>
      <w:r/>
    </w:p>
    <w:p>
      <w:pPr>
        <w:ind w:firstLine="42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（4）真空断路器的布置便于进行监视、检查和维修，柜体正面大门上与背面封板上装有防爆钢化玻璃视察窗，视察窗具有良好透明度和足够强度，并注意到与开关柜操作手柄的位置配合。</w:t>
      </w:r>
      <w:r/>
    </w:p>
    <w:p>
      <w:pPr>
        <w:ind w:firstLine="42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（5）每一位置均设有定位闭锁装置，保证手车处于特定位置时才允许进行操作。手车只有在断路器处在分闸位置时才能移动。手车应操作轻便灵活，适合各种值班人员操作。</w:t>
      </w:r>
      <w:r/>
    </w:p>
    <w:p>
      <w:pPr>
        <w:ind w:firstLine="42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（6）开关柜的前门、背门为铰链门，并且在开关试验、安装时可拆卸。</w:t>
      </w:r>
      <w:r/>
    </w:p>
    <w:p>
      <w:pPr>
        <w:ind w:firstLine="42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1.3、主要零部件：</w:t>
      </w:r>
      <w:r/>
    </w:p>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（1）真空断路器</w:t>
      </w:r>
      <w:r/>
    </w:p>
    <w:p>
      <w:pPr>
        <w:ind w:firstLine="439"/>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真空断路器技术参数要求如下：</w:t>
      </w:r>
      <w:r/>
    </w:p>
    <w:p>
      <w:pPr>
        <w:ind w:firstLine="439"/>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rPr>
        <w:t xml:space="preserve">最高运行电压：12kV</w:t>
      </w:r>
      <w:r/>
    </w:p>
    <w:p>
      <w:pPr>
        <w:ind w:firstLine="439"/>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额定频率：50HZ </w:t>
      </w:r>
      <w:r/>
    </w:p>
    <w:p>
      <w:pPr>
        <w:ind w:firstLine="42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rPr>
        <w:t xml:space="preserve">额定电流：1250A、630A（具体按图纸）</w:t>
      </w:r>
      <w:r/>
    </w:p>
    <w:p>
      <w:pPr>
        <w:ind w:firstLine="465"/>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rPr>
        <w:t xml:space="preserve">额定开断电流(有效值)：25KA、31.5KA（具体按图纸）</w:t>
      </w:r>
      <w:r/>
    </w:p>
    <w:p>
      <w:pPr>
        <w:ind w:firstLine="465"/>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rPr>
        <w:t xml:space="preserve">额定短路关合电流：63/80kA</w:t>
      </w:r>
      <w:r/>
    </w:p>
    <w:p>
      <w:pPr>
        <w:ind w:firstLine="465"/>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rPr>
        <w:t xml:space="preserve">额定峰值耐受电流：63/80kA</w:t>
      </w:r>
      <w:r/>
    </w:p>
    <w:p>
      <w:pPr>
        <w:ind w:firstLine="465"/>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1min工频耐压(有效值)：相对地-42kV，断口间-48kV</w:t>
      </w:r>
      <w:r/>
    </w:p>
    <w:p>
      <w:pPr>
        <w:ind w:firstLine="465"/>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雷电冲击耐压（峰值）：相对地-75kV，断口间-85kV</w:t>
      </w:r>
      <w:r/>
    </w:p>
    <w:p>
      <w:pPr>
        <w:ind w:firstLine="465"/>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机械寿命：30000次</w:t>
      </w:r>
      <w:r/>
    </w:p>
    <w:p>
      <w:pPr>
        <w:ind w:firstLine="465"/>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开断100%的额定短路电流次数：≥30次</w:t>
      </w:r>
      <w:r/>
    </w:p>
    <w:p>
      <w:pPr>
        <w:ind w:firstLine="465"/>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真空断路器的温升试验电流为</w:t>
      </w:r>
      <w:r>
        <w:rPr>
          <w:rFonts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rPr>
        <w:t xml:space="preserve">倍的电流</w:t>
      </w:r>
      <w:r/>
    </w:p>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（2）微机综合保护测控单元</w:t>
      </w:r>
      <w:r/>
    </w:p>
    <w:p>
      <w:pPr>
        <w:ind w:firstLine="404"/>
        <w:spacing w:line="360" w:lineRule="auto"/>
        <w:rPr>
          <w:rFonts w:ascii="宋体" w:hAnsi="宋体" w:eastAsia="宋体" w:cs="宋体"/>
          <w:bCs/>
          <w:color w:val="auto"/>
          <w:sz w:val="24"/>
          <w:szCs w:val="24"/>
          <w:highlight w:val="none"/>
        </w:rPr>
      </w:pPr>
      <w:r>
        <w:rPr>
          <w:rFonts w:hint="eastAsia" w:ascii="宋体" w:hAnsi="宋体" w:eastAsia="宋体" w:cs="宋体"/>
          <w:bCs/>
          <w:color w:val="auto"/>
          <w:spacing w:val="-4"/>
          <w:sz w:val="24"/>
          <w:szCs w:val="24"/>
          <w:highlight w:val="none"/>
        </w:rPr>
        <w:t xml:space="preserve">微机综合保护测控装置应与每个开关柜的要求相匹配，应为在中国国内应用广泛的知名品牌产品。</w:t>
      </w:r>
      <w:r>
        <w:rPr>
          <w:rFonts w:hint="eastAsia" w:ascii="宋体" w:hAnsi="宋体" w:eastAsia="宋体" w:cs="宋体"/>
          <w:color w:val="auto"/>
          <w:sz w:val="24"/>
          <w:szCs w:val="24"/>
          <w:highlight w:val="none"/>
        </w:rPr>
        <w:t xml:space="preserve">微机综合保护测控装置是高可靠性的微机型继电器，应集各类要求的保护控制功能、测量功能、监测功能、通讯功能等多功能于一体。微机型继电器可独立工作，也可通过MODBUS通讯规约与电力综合自动化系统通讯构成完整的监控系统，且满足如下要求和功能：</w:t>
      </w:r>
      <w:r/>
    </w:p>
    <w:p>
      <w:pPr>
        <w:numPr>
          <w:ilvl w:val="0"/>
          <w:numId w:val="4"/>
        </w:numPr>
        <w:ind w:left="0" w:firstLine="42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辅助电源为直流220V。</w:t>
      </w:r>
      <w:r/>
    </w:p>
    <w:p>
      <w:pPr>
        <w:numPr>
          <w:ilvl w:val="0"/>
          <w:numId w:val="4"/>
        </w:numPr>
        <w:ind w:left="0" w:firstLine="42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安装在开关柜上，所有显示、监控可在就地完成，也可在监控后台上监视。</w:t>
      </w:r>
      <w:r/>
    </w:p>
    <w:p>
      <w:pPr>
        <w:numPr>
          <w:ilvl w:val="0"/>
          <w:numId w:val="4"/>
        </w:numPr>
        <w:ind w:left="0" w:firstLine="42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友好人机界面，LCD全中文显示。汉字显示保护整定菜单。</w:t>
      </w:r>
      <w:r/>
    </w:p>
    <w:p>
      <w:pPr>
        <w:numPr>
          <w:ilvl w:val="0"/>
          <w:numId w:val="4"/>
        </w:numPr>
        <w:ind w:left="0" w:firstLine="42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保护功能：速断保护、限时速断保护、定/反时限过电流保护、零序电流保护、变压器温度、瓦斯保护等。</w:t>
      </w:r>
      <w:r/>
    </w:p>
    <w:p>
      <w:pPr>
        <w:numPr>
          <w:ilvl w:val="0"/>
          <w:numId w:val="4"/>
        </w:numPr>
        <w:ind w:left="0" w:firstLine="42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测量功能：可测量三相电流、零序电流、三相电压、有功功率、无功功率、功率因数、有功电度、无功电度等。当测量输入和保护输入不能分开接口时，应在柜内设单独的综合测量装置，保证其测量精度。</w:t>
      </w:r>
      <w:r/>
    </w:p>
    <w:p>
      <w:pPr>
        <w:numPr>
          <w:ilvl w:val="0"/>
          <w:numId w:val="4"/>
        </w:numPr>
        <w:ind w:left="0" w:firstLine="42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监测功能：断路器工作状态、微机型继电器装置的自检测等</w:t>
      </w:r>
      <w:r/>
    </w:p>
    <w:p>
      <w:pPr>
        <w:numPr>
          <w:ilvl w:val="0"/>
          <w:numId w:val="4"/>
        </w:numPr>
        <w:ind w:left="0" w:firstLine="42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通讯功能：带RS485标准通讯口（Modbus总线协议）。</w:t>
      </w:r>
      <w:r/>
    </w:p>
    <w:p>
      <w:pPr>
        <w:numPr>
          <w:ilvl w:val="0"/>
          <w:numId w:val="0"/>
        </w:numPr>
        <w:ind w:left="42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事件记录功能：可在线计录事件，即可本地显示，也可远传，所有记录需保证即使装置失电也不会丢失。</w:t>
      </w:r>
      <w:r/>
    </w:p>
    <w:p>
      <w:pPr>
        <w:numPr>
          <w:ilvl w:val="0"/>
          <w:numId w:val="0"/>
        </w:numPr>
        <w:ind w:left="42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控制功能：可在本地操作各类可控开关设备，如断路器的分合闸操作。</w:t>
      </w:r>
      <w:r/>
    </w:p>
    <w:p>
      <w:pPr>
        <w:numPr>
          <w:ilvl w:val="0"/>
          <w:numId w:val="0"/>
        </w:numPr>
        <w:ind w:left="42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具有高可靠性：在产品设计上应考虑电磁兼容性，具有较强的抗干扰能力。</w:t>
      </w:r>
      <w:r/>
    </w:p>
    <w:p>
      <w:pPr>
        <w:numPr>
          <w:ilvl w:val="0"/>
          <w:numId w:val="0"/>
        </w:numPr>
        <w:ind w:left="42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11）</w:t>
      </w:r>
      <w:r>
        <w:rPr>
          <w:rFonts w:hint="eastAsia" w:ascii="宋体" w:hAnsi="宋体" w:eastAsia="宋体" w:cs="宋体"/>
          <w:color w:val="auto"/>
          <w:sz w:val="24"/>
          <w:szCs w:val="24"/>
          <w:highlight w:val="none"/>
        </w:rPr>
        <w:t xml:space="preserve">微机型继电器的各项技术指标须满足</w:t>
      </w:r>
      <w:r>
        <w:rPr>
          <w:rFonts w:ascii="宋体" w:hAnsi="宋体" w:eastAsia="宋体" w:cs="宋体"/>
          <w:color w:val="auto"/>
          <w:sz w:val="24"/>
          <w:szCs w:val="24"/>
          <w:highlight w:val="none"/>
        </w:rPr>
        <w:t xml:space="preserve">GB</w:t>
      </w:r>
      <w:r>
        <w:rPr>
          <w:rFonts w:hint="eastAsia" w:ascii="宋体" w:hAnsi="宋体" w:eastAsia="宋体" w:cs="宋体"/>
          <w:color w:val="auto"/>
          <w:sz w:val="24"/>
          <w:szCs w:val="24"/>
          <w:highlight w:val="none"/>
        </w:rPr>
        <w:t xml:space="preserve">标准。</w:t>
      </w:r>
      <w:r/>
    </w:p>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bookmarkStart w:id="22" w:name="OLE_LINK4"/>
      <w:r>
        <w:rPr>
          <w:rFonts w:hint="eastAsia" w:ascii="宋体" w:hAnsi="宋体" w:eastAsia="宋体" w:cs="宋体"/>
          <w:color w:val="auto"/>
          <w:sz w:val="24"/>
          <w:szCs w:val="24"/>
          <w:highlight w:val="none"/>
        </w:rPr>
        <w:t xml:space="preserve">多功能仪表：为确保仪表所采集的数据稳定，需满足以下功能：带RS485通讯，电流、电压、有功功率、无功功率、功率因素、有功电度等电参数，有功为0.5级。</w:t>
      </w:r>
      <w:bookmarkEnd w:id="22"/>
      <w:r/>
      <w:r/>
    </w:p>
    <w:p>
      <w:pPr>
        <w:ind w:firstLine="420"/>
        <w:spacing w:line="360" w:lineRule="auto"/>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测量仪表应有可靠的防振动措施，不因柜内的断路器的正常工作及故障动作电流的产生的震动而影响它的正常工作及性能。外壳材料须添加 ABS阻燃材料。</w:t>
      </w:r>
      <w:r/>
    </w:p>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（4）高压熔断器：符合</w:t>
      </w:r>
      <w:r>
        <w:rPr>
          <w:rFonts w:ascii="宋体" w:hAnsi="宋体" w:eastAsia="宋体" w:cs="宋体"/>
          <w:color w:val="auto"/>
          <w:sz w:val="24"/>
          <w:szCs w:val="24"/>
          <w:highlight w:val="none"/>
        </w:rPr>
        <w:t xml:space="preserve">GB</w:t>
      </w:r>
      <w:r>
        <w:rPr>
          <w:rFonts w:hint="eastAsia" w:ascii="宋体" w:hAnsi="宋体" w:eastAsia="宋体" w:cs="宋体"/>
          <w:color w:val="auto"/>
          <w:sz w:val="24"/>
          <w:szCs w:val="24"/>
          <w:highlight w:val="none"/>
        </w:rPr>
        <w:t xml:space="preserve">标准。</w:t>
      </w:r>
      <w:r/>
    </w:p>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（5）避雷器：选用硅橡胶氧化锌避雷器。</w:t>
      </w:r>
      <w:r/>
    </w:p>
    <w:p>
      <w:pPr>
        <w:pStyle w:val="1096"/>
        <w:ind w:left="0"/>
        <w:spacing w:after="0"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（6）接地开关：在开关柜前操作，接地开关应为快速接地开关，接地设备的容量在接地开关闭合时应能承受短路电流，接地开关在闭合、断开两个位置时均能锁扣，接地与否应能在柜前辨别。</w:t>
      </w:r>
      <w:r/>
    </w:p>
    <w:p>
      <w:pPr>
        <w:spacing w:line="360" w:lineRule="auto"/>
        <w:rPr>
          <w:rFonts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2、低压开关柜技术规范及要求：</w:t>
      </w:r>
      <w:r/>
    </w:p>
    <w:p>
      <w:pPr>
        <w:ind w:firstLine="420"/>
        <w:spacing w:line="360" w:lineRule="auto"/>
        <w:rPr>
          <w:rFonts w:ascii="宋体" w:hAnsi="宋体" w:eastAsia="宋体" w:cs="宋体"/>
          <w:color w:val="auto"/>
          <w:sz w:val="24"/>
          <w:szCs w:val="24"/>
          <w:highlight w:val="none"/>
        </w:rPr>
      </w:pPr>
      <w:r/>
      <w:bookmarkStart w:id="23" w:name="_Toc13437290"/>
      <w:r/>
      <w:bookmarkStart w:id="24" w:name="_Toc13436814"/>
      <w:r/>
      <w:bookmarkStart w:id="25" w:name="_Toc13427401"/>
      <w:r>
        <w:rPr>
          <w:rFonts w:hint="eastAsia" w:ascii="宋体" w:hAnsi="宋体" w:eastAsia="宋体" w:cs="宋体"/>
          <w:color w:val="auto"/>
          <w:sz w:val="24"/>
          <w:szCs w:val="24"/>
          <w:highlight w:val="none"/>
        </w:rPr>
        <w:t xml:space="preserve">2.1、低压开关柜采用的技术规范（包括但不限于下述标准，国家或地方或行业如有最新标准出台的，以最新标准为准）：</w:t>
      </w:r>
      <w:r/>
    </w:p>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GB7251《低压成套开关设备和控制设备》；</w:t>
      </w:r>
      <w:r/>
    </w:p>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GB14048《低压开关设备和控制设备》；</w:t>
      </w:r>
      <w:r/>
    </w:p>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GB7947《绝缘导体和裸导体的颜色标志》；</w:t>
      </w:r>
      <w:r/>
    </w:p>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JB/T9661《低压抽出式成套开关设备》；</w:t>
      </w:r>
      <w:r/>
    </w:p>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JB/T5877《低压固定封闭成套开关设备》；</w:t>
      </w:r>
      <w:r/>
    </w:p>
    <w:p>
      <w:pPr>
        <w:ind w:firstLine="42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GB/T16935.1《低压系统内设备的绝缘配合第1部分：原理、要求和试验》；  </w:t>
      </w:r>
      <w:r/>
    </w:p>
    <w:p>
      <w:pPr>
        <w:ind w:firstLine="42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GB/T17886.1《标称电压1kV及以下交流电力系统用非自愈式并联电容器》；</w:t>
      </w:r>
      <w:r/>
    </w:p>
    <w:p>
      <w:pPr>
        <w:ind w:firstLine="42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JB7113《低电压并联电容器装置》；</w:t>
      </w:r>
      <w:r/>
    </w:p>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GB13539《低压熔断器》；</w:t>
      </w:r>
      <w:r/>
    </w:p>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GB 1208《电流互感器》；</w:t>
      </w:r>
      <w:r/>
    </w:p>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GB/T15576《低压无功功率静态补偿装置总技术条件》；</w:t>
      </w:r>
      <w:r/>
    </w:p>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GB4208《外壳防护等级（IP代码）》；</w:t>
      </w:r>
      <w:r/>
    </w:p>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GB 14285《继电保护和安全自动装置技术规程》；</w:t>
      </w:r>
      <w:r/>
    </w:p>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GB/T 7261《继电器及装置基本试验方法》</w:t>
      </w:r>
      <w:bookmarkEnd w:id="23"/>
      <w:r/>
      <w:bookmarkEnd w:id="24"/>
      <w:r/>
      <w:bookmarkEnd w:id="25"/>
      <w:r>
        <w:rPr>
          <w:rFonts w:hint="eastAsia" w:ascii="宋体" w:hAnsi="宋体" w:eastAsia="宋体" w:cs="宋体"/>
          <w:color w:val="auto"/>
          <w:sz w:val="24"/>
          <w:szCs w:val="24"/>
          <w:highlight w:val="none"/>
        </w:rPr>
        <w:t xml:space="preserve">。</w:t>
      </w:r>
      <w:r/>
    </w:p>
    <w:p>
      <w:pPr>
        <w:ind w:firstLine="211"/>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2.2、低压开关柜技术要求：</w:t>
      </w:r>
      <w:r/>
    </w:p>
    <w:p>
      <w:pPr>
        <w:ind w:firstLine="211"/>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2.2.1、低压开关柜要求</w:t>
      </w:r>
      <w:r/>
    </w:p>
    <w:p>
      <w:pPr>
        <w:ind w:firstLine="422"/>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低压柜采用低压抽出式开关柜</w:t>
      </w:r>
      <w:r/>
    </w:p>
    <w:p>
      <w:pPr>
        <w:ind w:firstLine="42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（1）低压柜型式采用标准模数化设计，柜体的全部金属结构件都需采用敷铝锌板或森吉米尔镀锌板制成,防护等级IP4X，门板、仪表板由优质冷板制成，并作环氧树脂静电粉末喷涂。</w:t>
      </w:r>
      <w:r/>
    </w:p>
    <w:p>
      <w:pPr>
        <w:ind w:firstLine="42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（2）开关柜结构的基本骨架采用一次成型钢管进行组合装配的结构或C型折边，柜体的全部金属结构件都需经过防腐处理。 </w:t>
      </w:r>
      <w:r/>
    </w:p>
    <w:p>
      <w:pPr>
        <w:ind w:firstLine="42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（3）开关柜应有足够的机械强度，以保证元件安装后及操作时无摇晃、不变形。</w:t>
      </w:r>
      <w:r/>
    </w:p>
    <w:p>
      <w:pPr>
        <w:ind w:firstLine="42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（4）开关柜内的每个柜体分隔为三大区域，即水平母线区，功能单元区及电缆区。</w:t>
      </w:r>
      <w:r/>
    </w:p>
    <w:p>
      <w:pPr>
        <w:ind w:firstLine="42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（5）开关柜应由门、封板、隔板、安装支架，以及母线、功能单元等零部件组装而成。开关柜内零部件尺寸、隔室尺寸，均应实行模数化。</w:t>
      </w:r>
      <w:r/>
    </w:p>
    <w:p>
      <w:pPr>
        <w:ind w:firstLine="42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（6）如是抽屉柜必须采用多功能功能板，即抽屉在抽出位置时，抽屉部分和垂直母排完全隔离。</w:t>
      </w:r>
      <w:r/>
    </w:p>
    <w:p>
      <w:pPr>
        <w:ind w:firstLine="42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（7）外接导线端子</w:t>
      </w:r>
      <w:r/>
    </w:p>
    <w:p>
      <w:pPr>
        <w:ind w:firstLine="42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端子应能适用于连接随额定电流而定的最小至最大截面积的单根或多根电缆。考虑接线可靠性，所有630A及以下抽屉回路必须配置专用接线端子。 </w:t>
      </w:r>
      <w:r/>
    </w:p>
    <w:p>
      <w:pPr>
        <w:numPr>
          <w:ilvl w:val="0"/>
          <w:numId w:val="5"/>
        </w:numPr>
        <w:ind w:firstLine="42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保护性接地</w:t>
      </w:r>
      <w:r/>
    </w:p>
    <w:p>
      <w:pPr>
        <w:ind w:firstLine="42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低压开关柜内要设有独立的PE接地系统，并且贯穿于整个装置，PE线的材料采用铜排，要能与低压开关柜柜体、接地保护导体通过螺钉可靠连接。低压开关柜底板、框架和金属外壳等外露导体部件通过直接的、相互有效连接，或通过由保护导体完成的相互有效连接以确保保护电路的连续性。低压开关柜的固定抽出式开关及金属外壳与低压开关柜的框架通过专用部件进行直接的、相互有效连接以确保保护电路的连续性。</w:t>
      </w:r>
      <w:r/>
    </w:p>
    <w:p>
      <w:pPr>
        <w:ind w:firstLine="42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保护导体应能承受装置的运输、安装时受的机械应力和在单相接地短路事故中所生的机械应力和热应力，其保护电路的连续性不被破坏。</w:t>
      </w:r>
      <w:r/>
    </w:p>
    <w:p>
      <w:pPr>
        <w:ind w:left="42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（9）母线及绝缘导线</w:t>
      </w:r>
      <w:r/>
    </w:p>
    <w:p>
      <w:pPr>
        <w:ind w:firstLine="42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母线应按</w:t>
      </w:r>
      <w:r>
        <w:rPr>
          <w:rFonts w:ascii="宋体" w:hAnsi="宋体" w:eastAsia="宋体" w:cs="宋体"/>
          <w:color w:val="auto"/>
          <w:sz w:val="24"/>
          <w:szCs w:val="24"/>
          <w:highlight w:val="none"/>
        </w:rPr>
        <w:t xml:space="preserve">GB</w:t>
      </w:r>
      <w:r>
        <w:rPr>
          <w:rFonts w:hint="eastAsia" w:ascii="宋体" w:hAnsi="宋体" w:eastAsia="宋体" w:cs="宋体"/>
          <w:color w:val="auto"/>
          <w:sz w:val="24"/>
          <w:szCs w:val="24"/>
          <w:highlight w:val="none"/>
        </w:rPr>
        <w:t xml:space="preserve">相关标准，采用高导电值的铜质母线，母线截面在整个长度内应均匀，确保能承受连续的负荷电流，并能满足系统的动稳定的技术要求。</w:t>
      </w:r>
      <w:r/>
    </w:p>
    <w:p>
      <w:pPr>
        <w:ind w:firstLine="42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母线之间的连接要保持有足够和持久的接触压力，且不使母线产生永久变形。（变压器与柜体之间要具有软连接）</w:t>
      </w:r>
      <w:r/>
    </w:p>
    <w:p>
      <w:pPr>
        <w:ind w:firstLine="42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柜内所用的绝缘导线应为铜质多股绞线，柜内一般配线应用1.5mm</w:t>
      </w:r>
      <w:r>
        <w:rPr>
          <w:rFonts w:hint="eastAsia" w:ascii="宋体" w:hAnsi="宋体" w:eastAsia="宋体" w:cs="宋体"/>
          <w:color w:val="auto"/>
          <w:sz w:val="24"/>
          <w:szCs w:val="24"/>
          <w:highlight w:val="none"/>
          <w:vertAlign w:val="superscript"/>
        </w:rPr>
        <w:t xml:space="preserve">2</w:t>
      </w:r>
      <w:r>
        <w:rPr>
          <w:rFonts w:hint="eastAsia" w:ascii="宋体" w:hAnsi="宋体" w:eastAsia="宋体" w:cs="宋体"/>
          <w:color w:val="auto"/>
          <w:sz w:val="24"/>
          <w:szCs w:val="24"/>
          <w:highlight w:val="none"/>
        </w:rPr>
        <w:t xml:space="preserve">的绝缘导线（电流回路为2.5mm</w:t>
      </w:r>
      <w:r>
        <w:rPr>
          <w:rFonts w:hint="eastAsia" w:ascii="宋体" w:hAnsi="宋体" w:eastAsia="宋体" w:cs="宋体"/>
          <w:color w:val="auto"/>
          <w:sz w:val="24"/>
          <w:szCs w:val="24"/>
          <w:highlight w:val="none"/>
          <w:vertAlign w:val="superscript"/>
        </w:rPr>
        <w:t xml:space="preserve">2</w:t>
      </w:r>
      <w:r>
        <w:rPr>
          <w:rFonts w:hint="eastAsia" w:ascii="宋体" w:hAnsi="宋体" w:eastAsia="宋体" w:cs="宋体"/>
          <w:color w:val="auto"/>
          <w:sz w:val="24"/>
          <w:szCs w:val="24"/>
          <w:highlight w:val="none"/>
        </w:rPr>
        <w:t xml:space="preserve">），可动部分的过渡应柔软，并能承受住挠曲而不致损坏。</w:t>
      </w:r>
      <w:r/>
    </w:p>
    <w:p>
      <w:pPr>
        <w:ind w:firstLine="211"/>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2.2.2、主要零部件：</w:t>
      </w:r>
      <w:r/>
    </w:p>
    <w:p>
      <w:pPr>
        <w:numPr>
          <w:ilvl w:val="0"/>
          <w:numId w:val="6"/>
        </w:numPr>
        <w:ind w:firstLine="42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断路器技术参数：</w:t>
      </w:r>
      <w:r/>
    </w:p>
    <w:p>
      <w:pPr>
        <w:ind w:firstLine="42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1）低压交流断路器及脱扣器采用品牌的标准型产品，不允许采用经济型产品。</w:t>
      </w:r>
      <w:r/>
    </w:p>
    <w:p>
      <w:pPr>
        <w:ind w:firstLine="42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框架断路器应符合相关标准，包括IEC60947-2以及GB14048.2。</w:t>
      </w:r>
      <w:r/>
    </w:p>
    <w:p>
      <w:pPr>
        <w:ind w:firstLine="42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低压框架断路器，带有智能型保护装置，应按IEC和GB的要求设计与制造并符合每台0.4kV开关柜的操作要求。</w:t>
      </w:r>
      <w:r/>
    </w:p>
    <w:p>
      <w:pPr>
        <w:ind w:firstLine="42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框架断路器技术性能：</w:t>
      </w:r>
      <w:r/>
    </w:p>
    <w:p>
      <w:pPr>
        <w:numPr>
          <w:ilvl w:val="0"/>
          <w:numId w:val="0"/>
        </w:numPr>
        <w:ind w:left="420"/>
        <w:spacing w:line="360" w:lineRule="auto"/>
        <w:tabs>
          <w:tab w:val="left" w:pos="905"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rPr>
        <w:t xml:space="preserve">a）</w:t>
      </w:r>
      <w:r>
        <w:rPr>
          <w:rFonts w:hint="eastAsia" w:ascii="宋体" w:hAnsi="宋体" w:eastAsia="宋体" w:cs="宋体"/>
          <w:color w:val="auto"/>
          <w:sz w:val="24"/>
          <w:szCs w:val="24"/>
          <w:highlight w:val="none"/>
        </w:rPr>
        <w:t xml:space="preserve">额定工作电压Ue：690V AC,绝缘电压Ui：1000V AC</w:t>
      </w:r>
      <w:r/>
    </w:p>
    <w:p>
      <w:pPr>
        <w:numPr>
          <w:ilvl w:val="0"/>
          <w:numId w:val="0"/>
        </w:numPr>
        <w:ind w:left="420"/>
        <w:spacing w:line="360" w:lineRule="auto"/>
        <w:tabs>
          <w:tab w:val="left" w:pos="905"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b）</w:t>
      </w:r>
      <w:r>
        <w:rPr>
          <w:rFonts w:hint="eastAsia" w:ascii="宋体" w:hAnsi="宋体" w:eastAsia="宋体" w:cs="宋体"/>
          <w:color w:val="auto"/>
          <w:sz w:val="24"/>
          <w:szCs w:val="24"/>
          <w:highlight w:val="none"/>
        </w:rPr>
        <w:t xml:space="preserve">操作机构应为手动和电动储能型；</w:t>
      </w:r>
      <w:r/>
    </w:p>
    <w:p>
      <w:pPr>
        <w:numPr>
          <w:ilvl w:val="0"/>
          <w:numId w:val="0"/>
        </w:numPr>
        <w:ind w:left="420"/>
        <w:spacing w:line="360" w:lineRule="auto"/>
        <w:tabs>
          <w:tab w:val="left" w:pos="905"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rPr>
        <w:t xml:space="preserve">c）</w:t>
      </w:r>
      <w:r>
        <w:rPr>
          <w:rFonts w:hint="eastAsia" w:ascii="宋体" w:hAnsi="宋体" w:eastAsia="宋体" w:cs="宋体"/>
          <w:color w:val="auto"/>
          <w:sz w:val="24"/>
          <w:szCs w:val="24"/>
          <w:highlight w:val="none"/>
        </w:rPr>
        <w:t xml:space="preserve">电子式脱扣器，具有速断、长延时、短延时、接地故障保护功能，具体功能需求按图；</w:t>
      </w:r>
      <w:r/>
    </w:p>
    <w:p>
      <w:pPr>
        <w:numPr>
          <w:ilvl w:val="0"/>
          <w:numId w:val="0"/>
        </w:numPr>
        <w:ind w:left="420"/>
        <w:spacing w:line="360" w:lineRule="auto"/>
        <w:tabs>
          <w:tab w:val="left" w:pos="420" w:leader="none"/>
          <w:tab w:val="left" w:pos="905"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rPr>
        <w:t xml:space="preserve">d）</w:t>
      </w:r>
      <w:r>
        <w:rPr>
          <w:rFonts w:hint="eastAsia" w:ascii="宋体" w:hAnsi="宋体" w:eastAsia="宋体" w:cs="宋体"/>
          <w:color w:val="auto"/>
          <w:sz w:val="24"/>
          <w:szCs w:val="24"/>
          <w:highlight w:val="none"/>
        </w:rPr>
        <w:t xml:space="preserve">框架断路器分断能力要求Icu=Ics≥</w:t>
      </w:r>
      <w:r>
        <w:rPr>
          <w:rFonts w:ascii="宋体" w:hAnsi="宋体" w:eastAsia="宋体" w:cs="宋体"/>
          <w:color w:val="auto"/>
          <w:sz w:val="24"/>
          <w:szCs w:val="24"/>
          <w:highlight w:val="none"/>
        </w:rPr>
        <w:t xml:space="preserve">50</w:t>
      </w:r>
      <w:r>
        <w:rPr>
          <w:rFonts w:hint="eastAsia" w:ascii="宋体" w:hAnsi="宋体" w:eastAsia="宋体" w:cs="宋体"/>
          <w:color w:val="auto"/>
          <w:sz w:val="24"/>
          <w:szCs w:val="24"/>
          <w:highlight w:val="none"/>
        </w:rPr>
        <w:t xml:space="preserve">kA；</w:t>
      </w:r>
      <w:r/>
    </w:p>
    <w:p>
      <w:pPr>
        <w:numPr>
          <w:ilvl w:val="0"/>
          <w:numId w:val="0"/>
        </w:numPr>
        <w:ind w:left="420"/>
        <w:spacing w:line="360" w:lineRule="auto"/>
        <w:tabs>
          <w:tab w:val="left" w:pos="905"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e）</w:t>
      </w:r>
      <w:r>
        <w:rPr>
          <w:rFonts w:hint="eastAsia" w:ascii="宋体" w:hAnsi="宋体" w:eastAsia="宋体" w:cs="宋体"/>
          <w:color w:val="auto"/>
          <w:sz w:val="24"/>
          <w:szCs w:val="24"/>
          <w:highlight w:val="none"/>
        </w:rPr>
        <w:t xml:space="preserve">每台断路器以抽出方式允许在隔离条件下调换、试验及维修。抽出式结构应联锁防止断路器在闭合位置时推拉并允许安全试验及维修；</w:t>
      </w:r>
      <w:r/>
    </w:p>
    <w:p>
      <w:pPr>
        <w:ind w:firstLine="42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2）塑壳断路器应符合相关标准，包括IEC60947-2以及GB14048.2。</w:t>
      </w:r>
      <w:r/>
    </w:p>
    <w:p>
      <w:pPr>
        <w:ind w:firstLine="42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满足系统电压、电流、频率以及分断能力的性能水平要求。额定工作电压：690V AC；额定绝缘电压：800V AC；</w:t>
      </w:r>
      <w:r/>
    </w:p>
    <w:p>
      <w:pPr>
        <w:ind w:firstLine="42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rPr>
        <w:t xml:space="preserve">额定极限短路分断能力：≥</w:t>
      </w:r>
      <w:r>
        <w:rPr>
          <w:rFonts w:ascii="宋体" w:hAnsi="宋体" w:eastAsia="宋体" w:cs="宋体"/>
          <w:color w:val="auto"/>
          <w:sz w:val="24"/>
          <w:szCs w:val="24"/>
          <w:highlight w:val="none"/>
        </w:rPr>
        <w:t xml:space="preserve">50</w:t>
      </w:r>
      <w:r>
        <w:rPr>
          <w:rFonts w:hint="eastAsia" w:ascii="宋体" w:hAnsi="宋体" w:eastAsia="宋体" w:cs="宋体"/>
          <w:color w:val="auto"/>
          <w:sz w:val="24"/>
          <w:szCs w:val="24"/>
          <w:highlight w:val="none"/>
        </w:rPr>
        <w:t xml:space="preserve">KA。额定运行短路分断能力(Ics)=100%Icu。</w:t>
      </w:r>
      <w:r/>
    </w:p>
    <w:p>
      <w:pPr>
        <w:ind w:firstLine="42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塑壳断路器采用热磁式脱扣器。</w:t>
      </w:r>
      <w:r/>
    </w:p>
    <w:p>
      <w:pPr>
        <w:ind w:firstLine="42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为更好保证系统稳定及维护使用安全，塑壳断路器应为限流型断路器，同时应保持耐湿热性，耐-40°到70°高温，短路故障时要求最短时间内脱扣，并且具有优良的绝缘特性。</w:t>
      </w:r>
      <w:r/>
    </w:p>
    <w:p>
      <w:pPr>
        <w:ind w:firstLine="42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断路器应为模块化结构，并可在不拆卸塑壳断路器外壳的情况下加装各种内部附件(如分励脱扣器、辅助触头、报警触头)，而无需改变断路器结构和低压开关柜结构，同时面板、附件为标准化设计，常用附件分励脱扣器、辅助触头、报警触头要求100-</w:t>
      </w:r>
      <w:r>
        <w:rPr>
          <w:rFonts w:ascii="宋体" w:hAnsi="宋体" w:eastAsia="宋体" w:cs="宋体"/>
          <w:color w:val="auto"/>
          <w:sz w:val="24"/>
          <w:szCs w:val="24"/>
          <w:highlight w:val="none"/>
        </w:rPr>
        <w:t xml:space="preserve">63</w:t>
      </w:r>
      <w:r>
        <w:rPr>
          <w:rFonts w:hint="eastAsia" w:ascii="宋体" w:hAnsi="宋体" w:eastAsia="宋体" w:cs="宋体"/>
          <w:color w:val="auto"/>
          <w:sz w:val="24"/>
          <w:szCs w:val="24"/>
          <w:highlight w:val="none"/>
        </w:rPr>
        <w:t xml:space="preserve">0A全系列通用。</w:t>
      </w:r>
      <w:r/>
    </w:p>
    <w:p>
      <w:pPr>
        <w:numPr>
          <w:ilvl w:val="0"/>
          <w:numId w:val="6"/>
        </w:numPr>
        <w:ind w:firstLine="42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互感器需为当地供电部门验收合格的产品，精度不低于0.5级。</w:t>
      </w:r>
      <w:r/>
    </w:p>
    <w:p>
      <w:pPr>
        <w:pStyle w:val="1044"/>
        <w:numPr>
          <w:ilvl w:val="0"/>
          <w:numId w:val="6"/>
        </w:numPr>
        <w:spacing w:line="360" w:lineRule="auto"/>
        <w:rPr>
          <w:rFonts w:cs="宋体"/>
          <w:color w:val="auto"/>
          <w:highlight w:val="none"/>
        </w:rPr>
      </w:pPr>
      <w:r>
        <w:rPr>
          <w:rFonts w:hint="eastAsia" w:cs="宋体"/>
          <w:color w:val="auto"/>
          <w:highlight w:val="none"/>
        </w:rPr>
        <w:t xml:space="preserve">无功补偿装置：各变电所低压侧采用成套的智能型免维护电容补偿装置混合补偿，补偿后变压器高压侧功率因数应不小于0.95，要求电抗器7%、电容器、投切开关和控制器应为同一厂家生产商。必须满足苏州供电局对单相补偿的比例要求。为了确保散热性，电容、电抗须采用分体式安装，不得将电容、电抗组成模块化。并应符合下列主要技术要求：</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1)电容补偿采用智能型免维护无功补偿装置，具备过零投切等功能，同时在分组投切时，不应产生谐振。采用分相+三相混合补偿。</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rPr>
        <w:t xml:space="preserve">2)电容器的投切开关应选用电磁式零投切复合开关，过零投切、电压故障缺相保护、电源电压缺相保护、自诊断故障保护、空载保护、断电保护。</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rPr>
        <w:t xml:space="preserve">3)</w:t>
      </w:r>
      <w:r>
        <w:rPr>
          <w:rFonts w:ascii="宋体" w:hAnsi="宋体" w:eastAsia="宋体" w:cs="宋体"/>
          <w:color w:val="auto"/>
          <w:sz w:val="24"/>
          <w:szCs w:val="24"/>
          <w:highlight w:val="none"/>
        </w:rPr>
        <w:t xml:space="preserve">电抗器选用在</w:t>
      </w:r>
      <w:r>
        <w:rPr>
          <w:rFonts w:hint="eastAsia" w:ascii="宋体" w:hAnsi="宋体" w:eastAsia="宋体" w:cs="宋体"/>
          <w:color w:val="auto"/>
          <w:sz w:val="24"/>
          <w:szCs w:val="24"/>
          <w:highlight w:val="none"/>
        </w:rPr>
        <w:t xml:space="preserve">补偿</w:t>
      </w:r>
      <w:r>
        <w:rPr>
          <w:rFonts w:ascii="宋体" w:hAnsi="宋体" w:eastAsia="宋体" w:cs="宋体"/>
          <w:color w:val="auto"/>
          <w:sz w:val="24"/>
          <w:szCs w:val="24"/>
          <w:highlight w:val="none"/>
        </w:rPr>
        <w:t xml:space="preserve">回路抑制</w:t>
      </w:r>
      <w:r>
        <w:rPr>
          <w:rFonts w:hint="eastAsia" w:ascii="宋体" w:hAnsi="宋体" w:eastAsia="宋体" w:cs="宋体"/>
          <w:color w:val="auto"/>
          <w:sz w:val="24"/>
          <w:szCs w:val="24"/>
          <w:highlight w:val="none"/>
        </w:rPr>
        <w:t xml:space="preserve">5</w:t>
      </w:r>
      <w:r>
        <w:rPr>
          <w:rFonts w:ascii="宋体" w:hAnsi="宋体" w:eastAsia="宋体" w:cs="宋体"/>
          <w:color w:val="auto"/>
          <w:sz w:val="24"/>
          <w:szCs w:val="24"/>
          <w:highlight w:val="none"/>
        </w:rPr>
        <w:t xml:space="preserve">次或以上谐波</w:t>
      </w:r>
      <w:r>
        <w:rPr>
          <w:rFonts w:hint="eastAsia" w:ascii="宋体" w:hAnsi="宋体" w:eastAsia="宋体" w:cs="宋体"/>
          <w:color w:val="auto"/>
          <w:sz w:val="24"/>
          <w:szCs w:val="24"/>
          <w:highlight w:val="none"/>
        </w:rPr>
        <w:t xml:space="preserve">，</w:t>
      </w:r>
      <w:r>
        <w:rPr>
          <w:rFonts w:ascii="宋体" w:hAnsi="宋体" w:eastAsia="宋体" w:cs="宋体"/>
          <w:color w:val="auto"/>
          <w:sz w:val="24"/>
          <w:szCs w:val="24"/>
          <w:highlight w:val="none"/>
        </w:rPr>
        <w:t xml:space="preserve">电抗器的电抗值须为电容器容抗值的</w:t>
      </w:r>
      <w:r>
        <w:rPr>
          <w:rFonts w:hint="eastAsia" w:ascii="宋体" w:hAnsi="宋体" w:eastAsia="宋体" w:cs="宋体"/>
          <w:color w:val="auto"/>
          <w:sz w:val="24"/>
          <w:szCs w:val="24"/>
          <w:highlight w:val="none"/>
        </w:rPr>
        <w:t xml:space="preserve">7</w:t>
      </w:r>
      <w:r>
        <w:rPr>
          <w:rFonts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rPr>
        <w:t xml:space="preserve">应在1.3倍额定电流长期运行。</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4)电容器外型须为圆柱形，电容器组件须为干式，采用聚丙烯薄膜为电介质，</w:t>
      </w:r>
      <w:r>
        <w:rPr>
          <w:rFonts w:ascii="宋体" w:hAnsi="宋体" w:eastAsia="宋体" w:cs="宋体"/>
          <w:color w:val="auto"/>
          <w:sz w:val="24"/>
          <w:szCs w:val="24"/>
          <w:highlight w:val="none"/>
        </w:rPr>
        <w:t xml:space="preserve">具有自愈性能</w:t>
      </w:r>
      <w:r>
        <w:rPr>
          <w:rFonts w:hint="eastAsia" w:ascii="宋体" w:hAnsi="宋体" w:eastAsia="宋体" w:cs="宋体"/>
          <w:color w:val="auto"/>
          <w:sz w:val="24"/>
          <w:szCs w:val="24"/>
          <w:highlight w:val="none"/>
        </w:rPr>
        <w:t xml:space="preserve">，</w:t>
      </w:r>
      <w:r>
        <w:rPr>
          <w:rFonts w:ascii="宋体" w:hAnsi="宋体" w:eastAsia="宋体" w:cs="宋体"/>
          <w:color w:val="auto"/>
          <w:sz w:val="24"/>
          <w:szCs w:val="24"/>
          <w:highlight w:val="none"/>
        </w:rPr>
        <w:t xml:space="preserve">被永久击穿时仅故障元件退出运行，其</w:t>
      </w:r>
      <w:r>
        <w:rPr>
          <w:rFonts w:hint="eastAsia" w:ascii="宋体" w:hAnsi="宋体" w:eastAsia="宋体" w:cs="宋体"/>
          <w:color w:val="auto"/>
          <w:sz w:val="24"/>
          <w:szCs w:val="24"/>
          <w:highlight w:val="none"/>
        </w:rPr>
        <w:t xml:space="preserve">它</w:t>
      </w:r>
      <w:r>
        <w:rPr>
          <w:rFonts w:ascii="宋体" w:hAnsi="宋体" w:eastAsia="宋体" w:cs="宋体"/>
          <w:color w:val="auto"/>
          <w:sz w:val="24"/>
          <w:szCs w:val="24"/>
          <w:highlight w:val="none"/>
        </w:rPr>
        <w:t xml:space="preserve">元件仍可正常运行</w:t>
      </w:r>
      <w:r>
        <w:rPr>
          <w:rFonts w:hint="eastAsia" w:ascii="宋体" w:hAnsi="宋体" w:eastAsia="宋体" w:cs="宋体"/>
          <w:color w:val="auto"/>
          <w:sz w:val="24"/>
          <w:szCs w:val="24"/>
          <w:highlight w:val="none"/>
        </w:rPr>
        <w:t xml:space="preserve">。</w:t>
      </w:r>
      <w:r>
        <w:rPr>
          <w:rFonts w:ascii="宋体" w:hAnsi="宋体" w:eastAsia="宋体" w:cs="宋体"/>
          <w:color w:val="auto"/>
          <w:sz w:val="24"/>
          <w:szCs w:val="24"/>
          <w:highlight w:val="none"/>
        </w:rPr>
        <w:t xml:space="preserve">电容器应具有不浸油、不渗漏、不燃烧、不爆炸、不污染环境以及寿命长、损耗低等先进指标</w:t>
      </w:r>
      <w:r>
        <w:rPr>
          <w:rFonts w:hint="eastAsia" w:ascii="宋体" w:hAnsi="宋体" w:eastAsia="宋体" w:cs="宋体"/>
          <w:color w:val="auto"/>
          <w:sz w:val="24"/>
          <w:szCs w:val="24"/>
          <w:highlight w:val="none"/>
        </w:rPr>
        <w:t xml:space="preserve">。电容器</w:t>
      </w:r>
      <w:r>
        <w:rPr>
          <w:rFonts w:ascii="宋体" w:hAnsi="宋体" w:eastAsia="宋体" w:cs="宋体"/>
          <w:color w:val="auto"/>
          <w:sz w:val="24"/>
          <w:szCs w:val="24"/>
          <w:highlight w:val="none"/>
        </w:rPr>
        <w:t xml:space="preserve">最大过电压能力</w:t>
      </w:r>
      <w:r>
        <w:rPr>
          <w:rFonts w:hint="eastAsia" w:ascii="宋体" w:hAnsi="宋体" w:eastAsia="宋体" w:cs="宋体"/>
          <w:color w:val="auto"/>
          <w:sz w:val="24"/>
          <w:szCs w:val="24"/>
          <w:highlight w:val="none"/>
        </w:rPr>
        <w:t xml:space="preserve">应</w:t>
      </w:r>
      <w:r>
        <w:rPr>
          <w:rFonts w:ascii="宋体" w:hAnsi="宋体" w:eastAsia="宋体" w:cs="宋体"/>
          <w:color w:val="auto"/>
          <w:sz w:val="24"/>
          <w:szCs w:val="24"/>
          <w:highlight w:val="none"/>
        </w:rPr>
        <w:t xml:space="preserve">不低于1.1</w:t>
      </w:r>
      <w:r>
        <w:rPr>
          <w:rFonts w:hint="eastAsia" w:ascii="宋体" w:hAnsi="宋体" w:eastAsia="宋体" w:cs="宋体"/>
          <w:color w:val="auto"/>
          <w:sz w:val="24"/>
          <w:szCs w:val="24"/>
          <w:highlight w:val="none"/>
        </w:rPr>
        <w:t xml:space="preserve">倍额定电压。</w:t>
      </w:r>
      <w:r>
        <w:rPr>
          <w:rFonts w:ascii="宋体" w:hAnsi="宋体" w:eastAsia="宋体" w:cs="宋体"/>
          <w:color w:val="auto"/>
          <w:sz w:val="24"/>
          <w:szCs w:val="24"/>
          <w:highlight w:val="none"/>
        </w:rPr>
        <w:t xml:space="preserve">最大过电流能力不低于1.</w:t>
      </w:r>
      <w:r>
        <w:rPr>
          <w:rFonts w:hint="eastAsia" w:ascii="宋体" w:hAnsi="宋体" w:eastAsia="宋体" w:cs="宋体"/>
          <w:color w:val="auto"/>
          <w:sz w:val="24"/>
          <w:szCs w:val="24"/>
          <w:highlight w:val="none"/>
        </w:rPr>
        <w:t xml:space="preserve">3额定电流。</w:t>
      </w:r>
      <w:r/>
    </w:p>
    <w:p>
      <w:pPr>
        <w:ind w:firstLine="420"/>
        <w:spacing w:line="440" w:lineRule="exact"/>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rPr>
          <w:rFonts w:hint="eastAsia" w:ascii="宋体" w:hAnsi="宋体" w:eastAsia="宋体" w:cs="宋体"/>
          <w:color w:val="auto"/>
          <w:sz w:val="24"/>
          <w:szCs w:val="24"/>
          <w:highlight w:val="none"/>
          <w:lang w:val="en-GB"/>
        </w:rPr>
        <w:t xml:space="preserve">低压有源滤波</w:t>
      </w:r>
      <w:r>
        <w:rPr>
          <w:rFonts w:hint="eastAsia" w:ascii="宋体" w:hAnsi="宋体" w:eastAsia="宋体" w:cs="宋体"/>
          <w:color w:val="auto"/>
          <w:sz w:val="24"/>
          <w:szCs w:val="24"/>
          <w:highlight w:val="none"/>
        </w:rPr>
        <w:t xml:space="preserve">装置：</w:t>
      </w:r>
      <w:r>
        <w:rPr>
          <w:rFonts w:hint="eastAsia" w:ascii="宋体" w:hAnsi="宋体" w:eastAsia="宋体" w:cs="宋体"/>
          <w:color w:val="auto"/>
          <w:sz w:val="24"/>
          <w:szCs w:val="24"/>
          <w:highlight w:val="none"/>
          <w:lang w:val="en-GB"/>
        </w:rPr>
        <w:t xml:space="preserve">其功能为用于动态抑制谐波，它能对大小和频率都在变化的谐波进行治理，保证系统内的谐波含量符合要求。为保证供电系统安全有效的运行，低压有源电力滤波要求技术先进、生产工艺成熟可靠、结构紧凑、便于安装和维护。</w:t>
      </w:r>
      <w:r>
        <w:rPr>
          <w:rFonts w:hint="eastAsia" w:ascii="宋体" w:hAnsi="宋体" w:eastAsia="宋体" w:cs="宋体"/>
          <w:color w:val="auto"/>
          <w:sz w:val="24"/>
          <w:szCs w:val="24"/>
          <w:highlight w:val="none"/>
        </w:rPr>
        <w:t xml:space="preserve">按招标方性能要求选择对应型号选择，应配置符合国家现行的相关规定的高性能产品。同时要求</w:t>
      </w:r>
      <w:r>
        <w:rPr>
          <w:rFonts w:hint="eastAsia" w:ascii="宋体" w:hAnsi="宋体" w:eastAsia="宋体" w:cs="宋体"/>
          <w:color w:val="auto"/>
          <w:sz w:val="24"/>
          <w:szCs w:val="24"/>
          <w:highlight w:val="none"/>
          <w:lang w:val="en-GB"/>
        </w:rPr>
        <w:t xml:space="preserve">有源滤波</w:t>
      </w:r>
      <w:r>
        <w:rPr>
          <w:rFonts w:hint="eastAsia" w:ascii="宋体" w:hAnsi="宋体" w:eastAsia="宋体" w:cs="宋体"/>
          <w:color w:val="auto"/>
          <w:sz w:val="24"/>
          <w:szCs w:val="24"/>
          <w:highlight w:val="none"/>
        </w:rPr>
        <w:t xml:space="preserve">产品为环保无污染产品。</w:t>
      </w:r>
      <w:r/>
    </w:p>
    <w:p>
      <w:pPr>
        <w:ind w:firstLine="420"/>
        <w:spacing w:line="360" w:lineRule="auto"/>
        <w:rPr>
          <w:rFonts w:ascii="宋体" w:hAnsi="宋体" w:eastAsia="宋体" w:cs="宋体"/>
          <w:color w:val="auto"/>
          <w:sz w:val="24"/>
          <w:szCs w:val="24"/>
          <w:highlight w:val="none"/>
          <w:lang w:val="en-GB"/>
        </w:rPr>
      </w:pPr>
      <w:r>
        <w:rPr>
          <w:rFonts w:hint="eastAsia" w:ascii="宋体" w:hAnsi="宋体" w:eastAsia="宋体" w:cs="宋体"/>
          <w:color w:val="auto"/>
          <w:sz w:val="24"/>
          <w:szCs w:val="24"/>
          <w:highlight w:val="none"/>
          <w:lang w:val="en-GB"/>
        </w:rPr>
        <w:t xml:space="preserve">有源滤波</w:t>
      </w:r>
      <w:r>
        <w:rPr>
          <w:rFonts w:hint="eastAsia" w:ascii="宋体" w:hAnsi="宋体" w:eastAsia="宋体" w:cs="宋体"/>
          <w:color w:val="auto"/>
          <w:sz w:val="24"/>
          <w:szCs w:val="24"/>
          <w:highlight w:val="none"/>
        </w:rPr>
        <w:t xml:space="preserve">装置</w:t>
      </w:r>
      <w:r>
        <w:rPr>
          <w:rFonts w:hint="eastAsia" w:ascii="宋体" w:hAnsi="宋体" w:eastAsia="宋体" w:cs="宋体"/>
          <w:color w:val="auto"/>
          <w:sz w:val="24"/>
          <w:szCs w:val="24"/>
          <w:highlight w:val="none"/>
          <w:lang w:val="en-GB"/>
        </w:rPr>
        <w:t xml:space="preserve">要求：</w:t>
      </w:r>
      <w:r/>
    </w:p>
    <w:p>
      <w:pPr>
        <w:ind w:firstLine="42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val="en-GB"/>
        </w:rPr>
        <w:t xml:space="preserve">1）带电导体配电系统的型式：三相四线</w:t>
      </w:r>
      <w:r>
        <w:rPr>
          <w:rFonts w:hint="eastAsia" w:ascii="宋体" w:hAnsi="宋体" w:eastAsia="宋体" w:cs="宋体"/>
          <w:color w:val="auto"/>
          <w:sz w:val="24"/>
          <w:szCs w:val="24"/>
          <w:highlight w:val="none"/>
        </w:rPr>
        <w:t xml:space="preserve">/三相三线，可设置</w:t>
      </w:r>
      <w:r/>
    </w:p>
    <w:p>
      <w:pPr>
        <w:ind w:firstLine="420"/>
        <w:spacing w:line="360" w:lineRule="auto"/>
        <w:rPr>
          <w:rFonts w:ascii="宋体" w:hAnsi="宋体" w:eastAsia="宋体" w:cs="宋体"/>
          <w:color w:val="auto"/>
          <w:sz w:val="24"/>
          <w:szCs w:val="24"/>
          <w:highlight w:val="none"/>
          <w:lang w:val="en-GB"/>
        </w:rPr>
      </w:pPr>
      <w:r>
        <w:rPr>
          <w:rFonts w:hint="eastAsia" w:ascii="宋体" w:hAnsi="宋体" w:eastAsia="宋体" w:cs="宋体"/>
          <w:color w:val="auto"/>
          <w:sz w:val="24"/>
          <w:szCs w:val="24"/>
          <w:highlight w:val="none"/>
          <w:lang w:val="en-GB"/>
        </w:rPr>
        <w:t xml:space="preserve">2）额定电压：AC</w:t>
      </w:r>
      <w:r>
        <w:rPr>
          <w:rFonts w:hint="eastAsia" w:ascii="宋体" w:hAnsi="宋体" w:eastAsia="宋体" w:cs="宋体"/>
          <w:color w:val="auto"/>
          <w:sz w:val="24"/>
          <w:szCs w:val="24"/>
          <w:highlight w:val="none"/>
        </w:rPr>
        <w:t xml:space="preserve">400</w:t>
      </w:r>
      <w:r>
        <w:rPr>
          <w:rFonts w:hint="eastAsia" w:ascii="宋体" w:hAnsi="宋体" w:eastAsia="宋体" w:cs="宋体"/>
          <w:color w:val="auto"/>
          <w:sz w:val="24"/>
          <w:szCs w:val="24"/>
          <w:highlight w:val="none"/>
          <w:lang w:val="en-GB"/>
        </w:rPr>
        <w:t xml:space="preserve">V波动范围</w:t>
      </w:r>
      <w:r>
        <w:rPr>
          <w:rFonts w:hint="eastAsia" w:ascii="宋体" w:hAnsi="宋体" w:eastAsia="宋体" w:cs="宋体"/>
          <w:color w:val="auto"/>
          <w:sz w:val="24"/>
          <w:szCs w:val="24"/>
          <w:highlight w:val="none"/>
        </w:rPr>
        <w:t xml:space="preserve">±15</w:t>
      </w:r>
      <w:r>
        <w:rPr>
          <w:rFonts w:hint="eastAsia" w:ascii="宋体" w:hAnsi="宋体" w:eastAsia="宋体" w:cs="宋体"/>
          <w:color w:val="auto"/>
          <w:sz w:val="24"/>
          <w:szCs w:val="24"/>
          <w:highlight w:val="none"/>
          <w:lang w:val="en-GB"/>
        </w:rPr>
        <w:t xml:space="preserve">%</w:t>
      </w:r>
      <w:r/>
    </w:p>
    <w:p>
      <w:pPr>
        <w:ind w:firstLine="42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val="en-GB"/>
        </w:rPr>
        <w:t xml:space="preserve">3）额定频率：50Hz</w:t>
      </w:r>
      <w:r>
        <w:rPr>
          <w:rFonts w:hint="eastAsia" w:ascii="宋体" w:hAnsi="宋体" w:eastAsia="宋体" w:cs="宋体"/>
          <w:color w:val="auto"/>
          <w:sz w:val="24"/>
          <w:szCs w:val="24"/>
          <w:highlight w:val="none"/>
        </w:rPr>
        <w:t xml:space="preserve">±1Hz</w:t>
      </w:r>
      <w:r/>
    </w:p>
    <w:p>
      <w:pPr>
        <w:ind w:firstLine="42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rPr>
          <w:rFonts w:hint="eastAsia" w:ascii="宋体" w:hAnsi="宋体" w:eastAsia="宋体" w:cs="宋体"/>
          <w:color w:val="auto"/>
          <w:sz w:val="24"/>
          <w:szCs w:val="24"/>
          <w:highlight w:val="none"/>
          <w:lang w:val="en-GB"/>
        </w:rPr>
        <w:t xml:space="preserve">CT的要求：开合式 输出：5A。</w:t>
      </w:r>
      <w:r/>
    </w:p>
    <w:p>
      <w:pPr>
        <w:ind w:firstLine="420"/>
        <w:spacing w:line="360" w:lineRule="auto"/>
        <w:rPr>
          <w:rFonts w:ascii="宋体" w:hAnsi="宋体" w:eastAsia="宋体" w:cs="宋体"/>
          <w:color w:val="auto"/>
          <w:sz w:val="24"/>
          <w:szCs w:val="24"/>
          <w:highlight w:val="none"/>
          <w:lang w:val="en-GB"/>
        </w:rPr>
      </w:pPr>
      <w:r>
        <w:rPr>
          <w:rFonts w:hint="eastAsia" w:ascii="宋体" w:hAnsi="宋体" w:eastAsia="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rPr>
        <w:t xml:space="preserve">5）</w:t>
      </w:r>
      <w:r>
        <w:rPr>
          <w:rFonts w:hint="eastAsia" w:ascii="宋体" w:hAnsi="宋体" w:eastAsia="宋体" w:cs="宋体"/>
          <w:color w:val="auto"/>
          <w:sz w:val="24"/>
          <w:szCs w:val="24"/>
          <w:highlight w:val="none"/>
          <w:lang w:val="en-GB"/>
        </w:rPr>
        <w:t xml:space="preserve">滤波范围：2~50次谐波</w:t>
      </w:r>
      <w:r/>
    </w:p>
    <w:p>
      <w:pPr>
        <w:ind w:firstLine="42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6）单次谐波滤除：≥94%</w:t>
      </w:r>
      <w:r/>
    </w:p>
    <w:p>
      <w:pPr>
        <w:ind w:firstLine="420"/>
        <w:spacing w:line="360" w:lineRule="auto"/>
        <w:rPr>
          <w:rFonts w:ascii="宋体" w:hAnsi="宋体" w:eastAsia="宋体" w:cs="宋体"/>
          <w:color w:val="auto"/>
          <w:sz w:val="24"/>
          <w:szCs w:val="24"/>
          <w:highlight w:val="none"/>
          <w:lang w:val="en-GB"/>
        </w:rPr>
      </w:pPr>
      <w:r>
        <w:rPr>
          <w:rFonts w:hint="eastAsia" w:ascii="宋体" w:hAnsi="宋体" w:eastAsia="宋体" w:cs="宋体"/>
          <w:color w:val="auto"/>
          <w:sz w:val="24"/>
          <w:szCs w:val="24"/>
          <w:highlight w:val="none"/>
          <w:lang w:val="en-GB"/>
        </w:rPr>
        <w:t xml:space="preserve">7）</w:t>
      </w:r>
      <w:r>
        <w:rPr>
          <w:rFonts w:hint="eastAsia" w:ascii="宋体" w:hAnsi="宋体" w:eastAsia="宋体" w:cs="宋体"/>
          <w:color w:val="auto"/>
          <w:sz w:val="24"/>
          <w:szCs w:val="24"/>
          <w:highlight w:val="none"/>
        </w:rPr>
        <w:t xml:space="preserve">总</w:t>
      </w:r>
      <w:r>
        <w:rPr>
          <w:rFonts w:hint="eastAsia" w:ascii="宋体" w:hAnsi="宋体" w:eastAsia="宋体" w:cs="宋体"/>
          <w:color w:val="auto"/>
          <w:sz w:val="24"/>
          <w:szCs w:val="24"/>
          <w:highlight w:val="none"/>
          <w:lang w:val="en-GB"/>
        </w:rPr>
        <w:t xml:space="preserve">滤波效率：≥95% </w:t>
      </w:r>
      <w:r/>
    </w:p>
    <w:p>
      <w:pPr>
        <w:ind w:firstLine="420"/>
        <w:spacing w:line="360" w:lineRule="auto"/>
        <w:rPr>
          <w:rFonts w:ascii="宋体" w:hAnsi="宋体" w:eastAsia="宋体" w:cs="宋体"/>
          <w:color w:val="auto"/>
          <w:sz w:val="24"/>
          <w:szCs w:val="24"/>
          <w:highlight w:val="none"/>
          <w:lang w:val="en-GB"/>
        </w:rPr>
      </w:pPr>
      <w:r>
        <w:rPr>
          <w:rFonts w:hint="eastAsia" w:ascii="宋体" w:hAnsi="宋体" w:eastAsia="宋体" w:cs="宋体"/>
          <w:color w:val="auto"/>
          <w:sz w:val="24"/>
          <w:szCs w:val="24"/>
          <w:highlight w:val="none"/>
          <w:lang w:val="en-GB"/>
        </w:rPr>
        <w:t xml:space="preserve">8）响应时间：≤</w:t>
      </w:r>
      <w:r>
        <w:rPr>
          <w:rFonts w:ascii="宋体" w:hAnsi="宋体" w:eastAsia="宋体" w:cs="宋体"/>
          <w:color w:val="auto"/>
          <w:sz w:val="24"/>
          <w:szCs w:val="24"/>
          <w:highlight w:val="none"/>
          <w:lang w:val="en-GB"/>
        </w:rPr>
        <w:t xml:space="preserve">10</w:t>
      </w:r>
      <w:r>
        <w:rPr>
          <w:rFonts w:hint="eastAsia" w:ascii="宋体" w:hAnsi="宋体" w:eastAsia="宋体" w:cs="宋体"/>
          <w:color w:val="auto"/>
          <w:sz w:val="24"/>
          <w:szCs w:val="24"/>
          <w:highlight w:val="none"/>
          <w:lang w:val="en-GB"/>
        </w:rPr>
        <w:t xml:space="preserve">ms</w:t>
      </w:r>
      <w:r/>
    </w:p>
    <w:p>
      <w:pPr>
        <w:ind w:firstLine="420"/>
        <w:spacing w:line="360" w:lineRule="auto"/>
        <w:rPr>
          <w:rFonts w:ascii="宋体" w:hAnsi="宋体" w:eastAsia="宋体" w:cs="宋体"/>
          <w:color w:val="auto"/>
          <w:sz w:val="24"/>
          <w:szCs w:val="24"/>
          <w:highlight w:val="none"/>
          <w:lang w:val="en-GB"/>
        </w:rPr>
      </w:pPr>
      <w:r>
        <w:rPr>
          <w:rFonts w:hint="eastAsia" w:ascii="宋体" w:hAnsi="宋体" w:eastAsia="宋体" w:cs="宋体"/>
          <w:color w:val="auto"/>
          <w:sz w:val="24"/>
          <w:szCs w:val="24"/>
          <w:highlight w:val="none"/>
          <w:lang w:val="en-GB"/>
        </w:rPr>
        <w:t xml:space="preserve">9）有功功率损耗：&lt;3%</w:t>
      </w:r>
      <w:r/>
    </w:p>
    <w:p>
      <w:pPr>
        <w:ind w:firstLine="420"/>
        <w:spacing w:line="360" w:lineRule="auto"/>
        <w:rPr>
          <w:rFonts w:ascii="宋体" w:hAnsi="宋体" w:eastAsia="宋体" w:cs="宋体"/>
          <w:color w:val="auto"/>
          <w:sz w:val="24"/>
          <w:szCs w:val="24"/>
          <w:highlight w:val="none"/>
          <w:lang w:val="en-GB"/>
        </w:rPr>
      </w:pPr>
      <w:r>
        <w:rPr>
          <w:rFonts w:hint="eastAsia" w:ascii="宋体" w:hAnsi="宋体" w:eastAsia="宋体" w:cs="宋体"/>
          <w:color w:val="auto"/>
          <w:sz w:val="24"/>
          <w:szCs w:val="24"/>
          <w:highlight w:val="none"/>
        </w:rPr>
        <w:t xml:space="preserve">10）</w:t>
      </w:r>
      <w:r>
        <w:rPr>
          <w:rFonts w:hint="eastAsia" w:ascii="宋体" w:hAnsi="宋体" w:eastAsia="宋体" w:cs="宋体"/>
          <w:color w:val="auto"/>
          <w:sz w:val="24"/>
          <w:szCs w:val="24"/>
          <w:highlight w:val="none"/>
          <w:lang w:val="en-GB"/>
        </w:rPr>
        <w:t xml:space="preserve">有源滤波器自身的效率≥9</w:t>
      </w:r>
      <w:r>
        <w:rPr>
          <w:rFonts w:ascii="宋体" w:hAnsi="宋体" w:eastAsia="宋体" w:cs="宋体"/>
          <w:color w:val="auto"/>
          <w:sz w:val="24"/>
          <w:szCs w:val="24"/>
          <w:highlight w:val="none"/>
          <w:lang w:val="en-GB"/>
        </w:rPr>
        <w:t xml:space="preserve">7.5</w:t>
      </w:r>
      <w:r>
        <w:rPr>
          <w:rFonts w:hint="eastAsia" w:ascii="宋体" w:hAnsi="宋体" w:eastAsia="宋体" w:cs="宋体"/>
          <w:color w:val="auto"/>
          <w:sz w:val="24"/>
          <w:szCs w:val="24"/>
          <w:highlight w:val="none"/>
          <w:lang w:val="en-GB"/>
        </w:rPr>
        <w:t xml:space="preserve">%</w:t>
      </w:r>
      <w:r/>
    </w:p>
    <w:p>
      <w:pPr>
        <w:ind w:firstLine="420"/>
        <w:spacing w:line="360" w:lineRule="auto"/>
        <w:rPr>
          <w:rFonts w:ascii="宋体" w:hAnsi="宋体" w:eastAsia="宋体" w:cs="宋体"/>
          <w:color w:val="auto"/>
          <w:sz w:val="24"/>
          <w:szCs w:val="24"/>
          <w:highlight w:val="none"/>
          <w:lang w:val="en-GB"/>
        </w:rPr>
      </w:pPr>
      <w:r>
        <w:rPr>
          <w:rFonts w:hint="eastAsia" w:ascii="宋体" w:hAnsi="宋体" w:eastAsia="宋体" w:cs="宋体"/>
          <w:color w:val="auto"/>
          <w:sz w:val="24"/>
          <w:szCs w:val="24"/>
          <w:highlight w:val="none"/>
          <w:lang w:val="en-GB"/>
        </w:rPr>
        <w:t xml:space="preserve">11）噪音：≤5</w:t>
      </w:r>
      <w:r>
        <w:rPr>
          <w:rFonts w:ascii="宋体" w:hAnsi="宋体" w:eastAsia="宋体" w:cs="宋体"/>
          <w:color w:val="auto"/>
          <w:sz w:val="24"/>
          <w:szCs w:val="24"/>
          <w:highlight w:val="none"/>
          <w:lang w:val="en-GB"/>
        </w:rPr>
        <w:t xml:space="preserve">5</w:t>
      </w:r>
      <w:r>
        <w:rPr>
          <w:rFonts w:hint="eastAsia" w:ascii="宋体" w:hAnsi="宋体" w:eastAsia="宋体" w:cs="宋体"/>
          <w:color w:val="auto"/>
          <w:sz w:val="24"/>
          <w:szCs w:val="24"/>
          <w:highlight w:val="none"/>
          <w:lang w:val="en-GB"/>
        </w:rPr>
        <w:t xml:space="preserve">DB</w:t>
      </w:r>
      <w:r/>
    </w:p>
    <w:p>
      <w:pPr>
        <w:ind w:firstLine="42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12）基波补偿率RPC≥99%。</w:t>
      </w:r>
      <w:r/>
    </w:p>
    <w:p>
      <w:pPr>
        <w:ind w:firstLine="420"/>
        <w:spacing w:line="360" w:lineRule="auto"/>
        <w:rPr>
          <w:rFonts w:ascii="宋体" w:hAnsi="宋体" w:eastAsia="宋体" w:cs="宋体"/>
          <w:color w:val="auto"/>
          <w:sz w:val="24"/>
          <w:szCs w:val="24"/>
          <w:highlight w:val="none"/>
          <w:lang w:val="en-GB"/>
        </w:rPr>
      </w:pPr>
      <w:r>
        <w:rPr>
          <w:rFonts w:hint="eastAsia" w:ascii="宋体" w:hAnsi="宋体" w:eastAsia="宋体" w:cs="宋体"/>
          <w:color w:val="auto"/>
          <w:sz w:val="24"/>
          <w:szCs w:val="24"/>
          <w:highlight w:val="none"/>
        </w:rPr>
        <w:t xml:space="preserve">13）IGBT</w:t>
      </w:r>
      <w:r>
        <w:rPr>
          <w:rFonts w:hint="eastAsia" w:ascii="宋体" w:hAnsi="宋体" w:eastAsia="宋体" w:cs="宋体"/>
          <w:color w:val="auto"/>
          <w:sz w:val="24"/>
          <w:szCs w:val="24"/>
          <w:highlight w:val="none"/>
          <w:lang w:val="en-GB"/>
        </w:rPr>
        <w:t xml:space="preserve">开关频率：</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GB"/>
        </w:rPr>
        <w:t xml:space="preserve">20kHz</w:t>
      </w:r>
      <w:r/>
    </w:p>
    <w:p>
      <w:pPr>
        <w:ind w:firstLine="42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14）有源滤波器采用模块化结构，最多并联台数</w:t>
      </w:r>
      <w:r>
        <w:rPr>
          <w:rFonts w:ascii="宋体" w:hAnsi="宋体" w:eastAsia="宋体" w:cs="宋体"/>
          <w:color w:val="auto"/>
          <w:sz w:val="24"/>
          <w:szCs w:val="24"/>
          <w:highlight w:val="none"/>
        </w:rPr>
        <w:t xml:space="preserve">8</w:t>
      </w:r>
      <w:r>
        <w:rPr>
          <w:rFonts w:hint="eastAsia" w:ascii="宋体" w:hAnsi="宋体" w:eastAsia="宋体" w:cs="宋体"/>
          <w:color w:val="auto"/>
          <w:sz w:val="24"/>
          <w:szCs w:val="24"/>
          <w:highlight w:val="none"/>
        </w:rPr>
        <w:t xml:space="preserve">台以上</w:t>
      </w:r>
      <w:r/>
    </w:p>
    <w:p>
      <w:pPr>
        <w:ind w:firstLine="42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15）有源滤波器单模块容量可达到</w:t>
      </w:r>
      <w:r>
        <w:rPr>
          <w:rFonts w:ascii="宋体" w:hAnsi="宋体" w:eastAsia="宋体" w:cs="宋体"/>
          <w:color w:val="auto"/>
          <w:sz w:val="24"/>
          <w:szCs w:val="24"/>
          <w:highlight w:val="none"/>
        </w:rPr>
        <w:t xml:space="preserve">15</w:t>
      </w:r>
      <w:r>
        <w:rPr>
          <w:rFonts w:hint="eastAsia" w:ascii="宋体" w:hAnsi="宋体" w:eastAsia="宋体" w:cs="宋体"/>
          <w:color w:val="auto"/>
          <w:sz w:val="24"/>
          <w:szCs w:val="24"/>
          <w:highlight w:val="none"/>
        </w:rPr>
        <w:t xml:space="preserve">0A。</w:t>
      </w:r>
      <w:r/>
    </w:p>
    <w:p>
      <w:pPr>
        <w:ind w:firstLine="420"/>
        <w:spacing w:line="360" w:lineRule="auto"/>
        <w:rPr>
          <w:rFonts w:ascii="宋体" w:hAnsi="宋体" w:eastAsia="宋体" w:cs="宋体"/>
          <w:color w:val="auto"/>
          <w:sz w:val="24"/>
          <w:szCs w:val="24"/>
          <w:highlight w:val="none"/>
          <w:lang w:val="en-GB"/>
        </w:rPr>
      </w:pPr>
      <w:r>
        <w:rPr>
          <w:rFonts w:hint="eastAsia" w:ascii="宋体" w:hAnsi="宋体" w:eastAsia="宋体" w:cs="宋体"/>
          <w:color w:val="auto"/>
          <w:sz w:val="24"/>
          <w:szCs w:val="24"/>
          <w:highlight w:val="none"/>
          <w:lang w:val="en-GB"/>
        </w:rPr>
        <w:t xml:space="preserve">有源滤波</w:t>
      </w:r>
      <w:r>
        <w:rPr>
          <w:rFonts w:hint="eastAsia" w:ascii="宋体" w:hAnsi="宋体" w:eastAsia="宋体" w:cs="宋体"/>
          <w:color w:val="auto"/>
          <w:sz w:val="24"/>
          <w:szCs w:val="24"/>
          <w:highlight w:val="none"/>
        </w:rPr>
        <w:t xml:space="preserve">装置</w:t>
      </w:r>
      <w:r>
        <w:rPr>
          <w:rFonts w:hint="eastAsia" w:ascii="宋体" w:hAnsi="宋体" w:eastAsia="宋体" w:cs="宋体"/>
          <w:color w:val="auto"/>
          <w:sz w:val="24"/>
          <w:szCs w:val="24"/>
          <w:highlight w:val="none"/>
          <w:lang w:val="en-GB"/>
        </w:rPr>
        <w:t xml:space="preserve">的技术性能要求</w:t>
      </w:r>
      <w:r/>
    </w:p>
    <w:p>
      <w:pPr>
        <w:ind w:firstLine="420"/>
        <w:spacing w:line="360" w:lineRule="auto"/>
        <w:rPr>
          <w:rFonts w:ascii="宋体" w:hAnsi="宋体" w:eastAsia="宋体" w:cs="宋体"/>
          <w:color w:val="auto"/>
          <w:sz w:val="24"/>
          <w:szCs w:val="24"/>
          <w:highlight w:val="none"/>
          <w:lang w:val="en-GB"/>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GB"/>
        </w:rPr>
        <w:t xml:space="preserve">有源滤波</w:t>
      </w:r>
      <w:r>
        <w:rPr>
          <w:rFonts w:hint="eastAsia" w:ascii="宋体" w:hAnsi="宋体" w:eastAsia="宋体" w:cs="宋体"/>
          <w:color w:val="auto"/>
          <w:sz w:val="24"/>
          <w:szCs w:val="24"/>
          <w:highlight w:val="none"/>
        </w:rPr>
        <w:t xml:space="preserve">装置</w:t>
      </w:r>
      <w:r>
        <w:rPr>
          <w:rFonts w:hint="eastAsia" w:ascii="宋体" w:hAnsi="宋体" w:eastAsia="宋体" w:cs="宋体"/>
          <w:color w:val="auto"/>
          <w:sz w:val="24"/>
          <w:szCs w:val="24"/>
          <w:highlight w:val="none"/>
          <w:lang w:val="en-GB"/>
        </w:rPr>
        <w:t xml:space="preserve">功能为用于动态抑制谐波，同时可进行无功补偿，它能对大小和频率都变化的谐波以及变化的无功进行补偿。保证系统内的谐波含量满足要求。</w:t>
      </w:r>
      <w:r/>
    </w:p>
    <w:p>
      <w:pPr>
        <w:ind w:firstLine="42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2）相/线：3相4线或3相3线可选择</w:t>
      </w:r>
      <w:r/>
    </w:p>
    <w:p>
      <w:pPr>
        <w:ind w:firstLine="420"/>
        <w:spacing w:line="360" w:lineRule="auto"/>
        <w:rPr>
          <w:rFonts w:ascii="宋体" w:hAnsi="宋体" w:eastAsia="宋体" w:cs="宋体"/>
          <w:color w:val="auto"/>
          <w:sz w:val="24"/>
          <w:szCs w:val="24"/>
          <w:highlight w:val="none"/>
          <w:lang w:val="en-GB"/>
        </w:rPr>
      </w:pPr>
      <w:r>
        <w:rPr>
          <w:rFonts w:hint="eastAsia" w:ascii="宋体" w:hAnsi="宋体" w:eastAsia="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GB"/>
        </w:rPr>
        <w:t xml:space="preserve">装置主回路设有高频滤波电路，除了常规的LCL回路之外，还需要配有单调谐吸收回路，能够很好地吸收IGBT开关动作产生的高频纹波。</w:t>
      </w:r>
      <w:r/>
    </w:p>
    <w:p>
      <w:pPr>
        <w:ind w:firstLine="420"/>
        <w:spacing w:line="360" w:lineRule="auto"/>
        <w:rPr>
          <w:rFonts w:ascii="宋体" w:hAnsi="宋体" w:eastAsia="宋体" w:cs="宋体"/>
          <w:color w:val="auto"/>
          <w:sz w:val="24"/>
          <w:szCs w:val="24"/>
          <w:highlight w:val="none"/>
          <w:lang w:val="en-GB"/>
        </w:rPr>
      </w:pPr>
      <w:r>
        <w:rPr>
          <w:rFonts w:hint="eastAsia" w:ascii="宋体" w:hAnsi="宋体" w:eastAsia="宋体" w:cs="宋体"/>
          <w:color w:val="auto"/>
          <w:sz w:val="24"/>
          <w:szCs w:val="24"/>
          <w:highlight w:val="none"/>
        </w:rPr>
        <w:t xml:space="preserve">4）</w:t>
      </w:r>
      <w:r>
        <w:rPr>
          <w:rFonts w:hint="eastAsia" w:ascii="宋体" w:hAnsi="宋体" w:eastAsia="宋体" w:cs="宋体"/>
          <w:color w:val="auto"/>
          <w:sz w:val="24"/>
          <w:szCs w:val="24"/>
          <w:highlight w:val="none"/>
          <w:lang w:val="en-GB"/>
        </w:rPr>
        <w:t xml:space="preserve">当三相负荷电流不平衡时，有源滤波装置应可正常补偿并消除负荷不平衡现象，中性线滤波能力应为相线的三倍。</w:t>
      </w:r>
      <w:r/>
    </w:p>
    <w:p>
      <w:pPr>
        <w:ind w:firstLine="420"/>
        <w:spacing w:line="360" w:lineRule="auto"/>
        <w:rPr>
          <w:rFonts w:ascii="宋体" w:hAnsi="宋体" w:eastAsia="宋体" w:cs="宋体"/>
          <w:color w:val="auto"/>
          <w:sz w:val="24"/>
          <w:szCs w:val="24"/>
          <w:highlight w:val="none"/>
          <w:lang w:val="en-GB"/>
        </w:rPr>
      </w:pPr>
      <w:r>
        <w:rPr>
          <w:rFonts w:hint="eastAsia" w:ascii="宋体" w:hAnsi="宋体" w:eastAsia="宋体" w:cs="宋体"/>
          <w:color w:val="auto"/>
          <w:sz w:val="24"/>
          <w:szCs w:val="24"/>
          <w:highlight w:val="none"/>
        </w:rPr>
        <w:t xml:space="preserve">5）</w:t>
      </w:r>
      <w:r>
        <w:rPr>
          <w:rFonts w:hint="eastAsia" w:ascii="宋体" w:hAnsi="宋体" w:eastAsia="宋体" w:cs="宋体"/>
          <w:color w:val="auto"/>
          <w:sz w:val="24"/>
          <w:szCs w:val="24"/>
          <w:highlight w:val="none"/>
          <w:lang w:val="en-GB"/>
        </w:rPr>
        <w:t xml:space="preserve">装置主要由以下几部分组成，包括主电路、指令电流运算电路、驱动电路、电流跟踪控制电路、电源系统等。</w:t>
      </w:r>
      <w:r/>
    </w:p>
    <w:p>
      <w:pPr>
        <w:ind w:firstLine="420"/>
        <w:spacing w:line="360" w:lineRule="auto"/>
        <w:rPr>
          <w:rFonts w:ascii="宋体" w:hAnsi="宋体" w:eastAsia="宋体" w:cs="宋体"/>
          <w:color w:val="auto"/>
          <w:sz w:val="24"/>
          <w:szCs w:val="24"/>
          <w:highlight w:val="none"/>
          <w:lang w:val="en-GB"/>
        </w:rPr>
      </w:pPr>
      <w:r>
        <w:rPr>
          <w:rFonts w:hint="eastAsia" w:ascii="宋体" w:hAnsi="宋体" w:eastAsia="宋体" w:cs="宋体"/>
          <w:color w:val="auto"/>
          <w:sz w:val="24"/>
          <w:szCs w:val="24"/>
          <w:highlight w:val="none"/>
        </w:rPr>
        <w:t xml:space="preserve">6）</w:t>
      </w:r>
      <w:r>
        <w:rPr>
          <w:rFonts w:hint="eastAsia" w:ascii="宋体" w:hAnsi="宋体" w:eastAsia="宋体" w:cs="宋体"/>
          <w:color w:val="auto"/>
          <w:sz w:val="24"/>
          <w:szCs w:val="24"/>
          <w:highlight w:val="none"/>
          <w:lang w:val="en-GB"/>
        </w:rPr>
        <w:t xml:space="preserve">有源滤波装置应独立于电网阻抗及系统阻抗之外，不受电网阻抗和系统阻抗变化的影响。</w:t>
      </w:r>
      <w:r/>
    </w:p>
    <w:p>
      <w:pPr>
        <w:ind w:firstLine="420"/>
        <w:spacing w:line="360" w:lineRule="auto"/>
        <w:rPr>
          <w:rFonts w:ascii="宋体" w:hAnsi="宋体" w:eastAsia="宋体" w:cs="宋体"/>
          <w:color w:val="auto"/>
          <w:sz w:val="24"/>
          <w:szCs w:val="24"/>
          <w:highlight w:val="none"/>
          <w:lang w:val="en-GB"/>
        </w:rPr>
      </w:pPr>
      <w:r>
        <w:rPr>
          <w:rFonts w:hint="eastAsia" w:ascii="宋体" w:hAnsi="宋体" w:eastAsia="宋体" w:cs="宋体"/>
          <w:color w:val="auto"/>
          <w:sz w:val="24"/>
          <w:szCs w:val="24"/>
          <w:highlight w:val="none"/>
        </w:rPr>
        <w:t xml:space="preserve">7）</w:t>
      </w:r>
      <w:r>
        <w:rPr>
          <w:rFonts w:hint="eastAsia" w:ascii="宋体" w:hAnsi="宋体" w:eastAsia="宋体" w:cs="宋体"/>
          <w:color w:val="auto"/>
          <w:sz w:val="24"/>
          <w:szCs w:val="24"/>
          <w:highlight w:val="none"/>
          <w:lang w:val="en-GB"/>
        </w:rPr>
        <w:t xml:space="preserve">有源滤波装置应能滤除2~50次各次谐波，并可根据需要设定需要滤波的谐波次段和滤除谐波的目标值。</w:t>
      </w:r>
      <w:r/>
    </w:p>
    <w:p>
      <w:pPr>
        <w:ind w:firstLine="420"/>
        <w:spacing w:line="360" w:lineRule="auto"/>
        <w:rPr>
          <w:rFonts w:ascii="宋体" w:hAnsi="宋体" w:eastAsia="宋体" w:cs="宋体"/>
          <w:color w:val="auto"/>
          <w:sz w:val="24"/>
          <w:szCs w:val="24"/>
          <w:highlight w:val="none"/>
          <w:lang w:val="en-GB"/>
        </w:rPr>
      </w:pPr>
      <w:r>
        <w:rPr>
          <w:rFonts w:hint="eastAsia" w:ascii="宋体" w:hAnsi="宋体" w:eastAsia="宋体" w:cs="宋体"/>
          <w:color w:val="auto"/>
          <w:sz w:val="24"/>
          <w:szCs w:val="24"/>
          <w:highlight w:val="none"/>
        </w:rPr>
        <w:t xml:space="preserve">8）</w:t>
      </w:r>
      <w:r>
        <w:rPr>
          <w:rFonts w:hint="eastAsia" w:ascii="宋体" w:hAnsi="宋体" w:eastAsia="宋体" w:cs="宋体"/>
          <w:color w:val="auto"/>
          <w:sz w:val="24"/>
          <w:szCs w:val="24"/>
          <w:highlight w:val="none"/>
          <w:lang w:val="en-GB"/>
        </w:rPr>
        <w:t xml:space="preserve">有源滤波器应具备完整的保护功能，包括输出过电流、输出限流、超温保护、直流母线电压保护、交流输入欠电压保护、交流输入过电压保护、控制系统故障、主电路器件损坏切除等功能。</w:t>
      </w:r>
      <w:r/>
    </w:p>
    <w:p>
      <w:pPr>
        <w:ind w:firstLine="420"/>
        <w:spacing w:line="360" w:lineRule="auto"/>
        <w:rPr>
          <w:rFonts w:ascii="宋体" w:hAnsi="宋体" w:eastAsia="宋体" w:cs="宋体"/>
          <w:color w:val="auto"/>
          <w:sz w:val="24"/>
          <w:szCs w:val="24"/>
          <w:highlight w:val="none"/>
          <w:lang w:val="en-GB"/>
        </w:rPr>
      </w:pPr>
      <w:r>
        <w:rPr>
          <w:rFonts w:hint="eastAsia" w:ascii="宋体" w:hAnsi="宋体" w:eastAsia="宋体" w:cs="宋体"/>
          <w:color w:val="auto"/>
          <w:sz w:val="24"/>
          <w:szCs w:val="24"/>
          <w:highlight w:val="none"/>
        </w:rPr>
        <w:t xml:space="preserve">9）</w:t>
      </w:r>
      <w:r>
        <w:rPr>
          <w:rFonts w:hint="eastAsia" w:ascii="宋体" w:hAnsi="宋体" w:eastAsia="宋体" w:cs="宋体"/>
          <w:color w:val="auto"/>
          <w:sz w:val="24"/>
          <w:szCs w:val="24"/>
          <w:highlight w:val="none"/>
          <w:lang w:val="en-GB"/>
        </w:rPr>
        <w:t xml:space="preserve">具有缓启动回路，以避免启动瞬间过大的突入电流，并限制该电流在额定范围内。</w:t>
      </w:r>
      <w:r/>
    </w:p>
    <w:p>
      <w:pPr>
        <w:ind w:firstLine="420"/>
        <w:spacing w:line="360" w:lineRule="auto"/>
        <w:rPr>
          <w:rFonts w:ascii="宋体" w:hAnsi="宋体" w:eastAsia="宋体" w:cs="宋体"/>
          <w:color w:val="auto"/>
          <w:sz w:val="24"/>
          <w:szCs w:val="24"/>
          <w:highlight w:val="none"/>
          <w:lang w:val="en-GB"/>
        </w:rPr>
      </w:pPr>
      <w:r>
        <w:rPr>
          <w:rFonts w:hint="eastAsia" w:ascii="宋体" w:hAnsi="宋体" w:eastAsia="宋体" w:cs="宋体"/>
          <w:color w:val="auto"/>
          <w:sz w:val="24"/>
          <w:szCs w:val="24"/>
          <w:highlight w:val="none"/>
          <w:lang w:val="en-GB"/>
        </w:rPr>
        <w:t xml:space="preserve">有源滤波器自动限定在额定容量范围内100%输出，如果负载侧谐波电流大于其额定容量，滤波器应能在额定容量内继续输出电流补偿谐波，不发出过载导致设备超载或退出运行。</w:t>
      </w:r>
      <w:r/>
    </w:p>
    <w:p>
      <w:pPr>
        <w:ind w:firstLine="420"/>
        <w:spacing w:line="360" w:lineRule="auto"/>
        <w:rPr>
          <w:rFonts w:ascii="宋体" w:hAnsi="宋体" w:eastAsia="宋体" w:cs="宋体"/>
          <w:color w:val="auto"/>
          <w:sz w:val="24"/>
          <w:szCs w:val="24"/>
          <w:highlight w:val="none"/>
          <w:lang w:val="en-GB"/>
        </w:rPr>
      </w:pPr>
      <w:r>
        <w:rPr>
          <w:rFonts w:hint="eastAsia" w:ascii="宋体" w:hAnsi="宋体" w:eastAsia="宋体" w:cs="宋体"/>
          <w:color w:val="auto"/>
          <w:sz w:val="24"/>
          <w:szCs w:val="24"/>
          <w:highlight w:val="none"/>
        </w:rPr>
        <w:t xml:space="preserve">10）</w:t>
      </w:r>
      <w:r>
        <w:rPr>
          <w:rFonts w:hint="eastAsia" w:ascii="宋体" w:hAnsi="宋体" w:eastAsia="宋体" w:cs="宋体"/>
          <w:color w:val="auto"/>
          <w:sz w:val="24"/>
          <w:szCs w:val="24"/>
          <w:highlight w:val="none"/>
          <w:lang w:val="en-GB"/>
        </w:rPr>
        <w:t xml:space="preserve">有源滤波装置在滤波的同时应可避免过补偿，即可以做到只滤波而不产生无功功率，完全避免过补偿，也可以通过设定目标功率因数，将滤波后剩余的能量用于无功补偿。</w:t>
      </w:r>
      <w:r/>
    </w:p>
    <w:p>
      <w:pPr>
        <w:ind w:firstLine="420"/>
        <w:spacing w:line="360" w:lineRule="auto"/>
        <w:rPr>
          <w:rFonts w:ascii="宋体" w:hAnsi="宋体" w:eastAsia="宋体" w:cs="宋体"/>
          <w:color w:val="auto"/>
          <w:sz w:val="24"/>
          <w:szCs w:val="24"/>
          <w:highlight w:val="none"/>
          <w:lang w:val="en-GB"/>
        </w:rPr>
      </w:pPr>
      <w:r>
        <w:rPr>
          <w:rFonts w:hint="eastAsia" w:ascii="宋体" w:hAnsi="宋体" w:eastAsia="宋体" w:cs="宋体"/>
          <w:color w:val="auto"/>
          <w:sz w:val="24"/>
          <w:szCs w:val="24"/>
          <w:highlight w:val="none"/>
        </w:rPr>
        <w:t xml:space="preserve">11）</w:t>
      </w:r>
      <w:r>
        <w:rPr>
          <w:rFonts w:hint="eastAsia" w:ascii="宋体" w:hAnsi="宋体" w:eastAsia="宋体" w:cs="宋体"/>
          <w:color w:val="auto"/>
          <w:sz w:val="24"/>
          <w:szCs w:val="24"/>
          <w:highlight w:val="none"/>
          <w:lang w:val="en-GB"/>
        </w:rPr>
        <w:t xml:space="preserve">采用双层散热结构设计，控制器件与发热元件分层放置，散热性能优越且维护量少，避免因控制电路积灰问题导致设备故障率上升；</w:t>
      </w:r>
      <w:r/>
    </w:p>
    <w:p>
      <w:pPr>
        <w:ind w:firstLine="42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rPr>
        <w:t xml:space="preserve">12）有源滤波器具备RS485通讯接口并且可以扩展以太网络接口、干接点接口，并设置备用通道，配备远程数据监看功能,能够通过网络随时查看设备运行状况。</w:t>
      </w:r>
      <w:r/>
    </w:p>
    <w:p>
      <w:pPr>
        <w:ind w:firstLine="42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（5）多功能仪表：为确保仪表所采集的数据稳定，需满足以下功能：带RS485通讯，电流、电压、有功功率、无功功率、功率因素、有功电度等电参数，有功为0.5级。</w:t>
      </w:r>
      <w:r/>
    </w:p>
    <w:p>
      <w:pPr>
        <w:ind w:firstLine="420"/>
        <w:spacing w:line="360" w:lineRule="auto"/>
        <w:rPr>
          <w:rFonts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测量仪表应有可靠的防振动措施，不因柜内的断路器的正常工作及故障动作电流的产生的震动而影响它的正常工作及性能。外壳材料须添加 ABS阻燃材料。</w:t>
      </w:r>
      <w:r/>
    </w:p>
    <w:p>
      <w:pPr>
        <w:spacing w:line="360" w:lineRule="auto"/>
        <w:rPr>
          <w:rFonts w:ascii="宋体" w:hAnsi="宋体" w:eastAsia="宋体" w:cs="宋体"/>
          <w:bCs/>
          <w:color w:val="auto"/>
          <w:sz w:val="24"/>
          <w:szCs w:val="24"/>
          <w:highlight w:val="none"/>
        </w:rPr>
      </w:pPr>
      <w:r/>
      <w:bookmarkStart w:id="26" w:name="OLE_LINK3"/>
      <w:r>
        <w:rPr>
          <w:rFonts w:hint="eastAsia" w:ascii="宋体" w:hAnsi="宋体" w:eastAsia="宋体" w:cs="宋体"/>
          <w:bCs/>
          <w:color w:val="auto"/>
          <w:sz w:val="24"/>
          <w:szCs w:val="24"/>
          <w:highlight w:val="none"/>
        </w:rPr>
        <w:t xml:space="preserve">3、变压器技术要求</w:t>
      </w:r>
      <w:r/>
    </w:p>
    <w:p>
      <w:pPr>
        <w:ind w:firstLine="42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3.1、变压器的技术规范要求：本项目为干式变压器，变压器设备参数、性能、规格型号须符合通过审核且合格的设计图纸技术要求或者优于设计图纸中的技术要求。</w:t>
      </w:r>
      <w:r/>
    </w:p>
    <w:p>
      <w:pPr>
        <w:ind w:firstLine="42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树脂环氧浇注式干式变压器技术性能表：</w:t>
      </w:r>
      <w:r/>
    </w:p>
    <w:tbl>
      <w:tblPr>
        <w:tblStyle w:val="957"/>
        <w:tblW w:w="857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00"/>
        <w:gridCol w:w="2753"/>
        <w:gridCol w:w="4923"/>
      </w:tblGrid>
      <w:tr>
        <w:trPr>
          <w:trHeight w:val="346"/>
        </w:trPr>
        <w:tc>
          <w:tcPr>
            <w:tcW w:w="900" w:type="dxa"/>
            <w:vAlign w:val="center"/>
            <w:textDirection w:val="lrTb"/>
            <w:noWrap/>
          </w:tcPr>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W w:w="2753" w:type="dxa"/>
            <w:vAlign w:val="center"/>
            <w:textDirection w:val="lrTb"/>
            <w:noWrap/>
          </w:tcPr>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内容</w:t>
            </w:r>
            <w:r/>
          </w:p>
        </w:tc>
        <w:tc>
          <w:tcPr>
            <w:tcW w:w="4923" w:type="dxa"/>
            <w:vAlign w:val="center"/>
            <w:textDirection w:val="lrTb"/>
            <w:noWrap/>
          </w:tcPr>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保证值</w:t>
            </w:r>
            <w:r/>
          </w:p>
        </w:tc>
      </w:tr>
      <w:tr>
        <w:trPr/>
        <w:tc>
          <w:tcPr>
            <w:tcW w:w="900" w:type="dxa"/>
            <w:vAlign w:val="center"/>
            <w:textDirection w:val="lrTb"/>
            <w:noWrap/>
          </w:tcPr>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2753" w:type="dxa"/>
            <w:vAlign w:val="center"/>
            <w:textDirection w:val="lrTb"/>
            <w:noWrap/>
          </w:tcPr>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容量</w:t>
            </w:r>
            <w:r/>
          </w:p>
        </w:tc>
        <w:tc>
          <w:tcPr>
            <w:tcW w:w="4923" w:type="dxa"/>
            <w:vAlign w:val="center"/>
            <w:textDirection w:val="lrTb"/>
            <w:noWrap/>
          </w:tcPr>
          <w:p>
            <w:pP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1250</w:t>
            </w:r>
            <w:r>
              <w:rPr>
                <w:rFonts w:hint="eastAsia" w:ascii="宋体" w:hAnsi="宋体" w:eastAsia="宋体" w:cs="宋体"/>
                <w:color w:val="auto"/>
                <w:sz w:val="24"/>
                <w:szCs w:val="24"/>
                <w:highlight w:val="none"/>
              </w:rPr>
              <w:t xml:space="preserve">KVA</w:t>
            </w:r>
            <w:r/>
          </w:p>
        </w:tc>
      </w:tr>
      <w:tr>
        <w:trPr/>
        <w:tc>
          <w:tcPr>
            <w:tcW w:w="900" w:type="dxa"/>
            <w:vAlign w:val="center"/>
            <w:textDirection w:val="lrTb"/>
            <w:noWrap/>
          </w:tcPr>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2753" w:type="dxa"/>
            <w:vAlign w:val="center"/>
            <w:textDirection w:val="lrTb"/>
            <w:noWrap/>
          </w:tcPr>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额定电压</w:t>
            </w:r>
            <w:r/>
          </w:p>
        </w:tc>
        <w:tc>
          <w:tcPr>
            <w:tcW w:w="4923" w:type="dxa"/>
            <w:vAlign w:val="center"/>
            <w:textDirection w:val="lrTb"/>
            <w:noWrap/>
          </w:tcPr>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高压10KV  低压400V</w:t>
            </w:r>
            <w:r/>
          </w:p>
        </w:tc>
      </w:tr>
      <w:tr>
        <w:trPr/>
        <w:tc>
          <w:tcPr>
            <w:tcW w:w="900" w:type="dxa"/>
            <w:vAlign w:val="center"/>
            <w:textDirection w:val="lrTb"/>
            <w:noWrap/>
          </w:tcPr>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W w:w="2753" w:type="dxa"/>
            <w:vAlign w:val="center"/>
            <w:textDirection w:val="lrTb"/>
            <w:noWrap/>
          </w:tcPr>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额定频率</w:t>
            </w:r>
            <w:r/>
          </w:p>
        </w:tc>
        <w:tc>
          <w:tcPr>
            <w:tcW w:w="4923" w:type="dxa"/>
            <w:vAlign w:val="center"/>
            <w:textDirection w:val="lrTb"/>
            <w:noWrap/>
          </w:tcPr>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50HZ</w:t>
            </w:r>
            <w:r/>
          </w:p>
        </w:tc>
      </w:tr>
      <w:tr>
        <w:trPr>
          <w:trHeight w:val="184"/>
        </w:trPr>
        <w:tc>
          <w:tcPr>
            <w:tcW w:w="900" w:type="dxa"/>
            <w:vAlign w:val="center"/>
            <w:textDirection w:val="lrTb"/>
            <w:noWrap/>
          </w:tcPr>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c>
          <w:tcPr>
            <w:tcW w:w="2753" w:type="dxa"/>
            <w:vAlign w:val="center"/>
            <w:textDirection w:val="lrTb"/>
            <w:noWrap/>
          </w:tcPr>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调压范围</w:t>
            </w:r>
            <w:r/>
          </w:p>
        </w:tc>
        <w:tc>
          <w:tcPr>
            <w:tcW w:w="4923" w:type="dxa"/>
            <w:vAlign w:val="center"/>
            <w:textDirection w:val="lrTb"/>
            <w:noWrap/>
          </w:tcPr>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10±2*2.5%/0.4KV</w:t>
            </w:r>
            <w:r/>
          </w:p>
        </w:tc>
      </w:tr>
      <w:tr>
        <w:trPr/>
        <w:tc>
          <w:tcPr>
            <w:tcW w:w="900" w:type="dxa"/>
            <w:vAlign w:val="center"/>
            <w:textDirection w:val="lrTb"/>
            <w:noWrap/>
          </w:tcPr>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c>
          <w:tcPr>
            <w:tcW w:w="2753" w:type="dxa"/>
            <w:vAlign w:val="center"/>
            <w:textDirection w:val="lrTb"/>
            <w:noWrap/>
          </w:tcPr>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调压方式</w:t>
            </w:r>
            <w:r/>
          </w:p>
        </w:tc>
        <w:tc>
          <w:tcPr>
            <w:tcW w:w="4923" w:type="dxa"/>
            <w:vAlign w:val="center"/>
            <w:textDirection w:val="lrTb"/>
            <w:noWrap/>
          </w:tcPr>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无励磁调压</w:t>
            </w:r>
            <w:r/>
          </w:p>
        </w:tc>
      </w:tr>
      <w:tr>
        <w:trPr/>
        <w:tc>
          <w:tcPr>
            <w:tcW w:w="900" w:type="dxa"/>
            <w:vAlign w:val="center"/>
            <w:textDirection w:val="lrTb"/>
            <w:noWrap/>
          </w:tcPr>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p>
        </w:tc>
        <w:tc>
          <w:tcPr>
            <w:tcW w:w="2753" w:type="dxa"/>
            <w:vAlign w:val="center"/>
            <w:textDirection w:val="lrTb"/>
            <w:noWrap/>
          </w:tcPr>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阻抗电压</w:t>
            </w:r>
            <w:r/>
          </w:p>
        </w:tc>
        <w:tc>
          <w:tcPr>
            <w:tcW w:w="4923" w:type="dxa"/>
            <w:vAlign w:val="center"/>
            <w:textDirection w:val="lrTb"/>
            <w:noWrap/>
          </w:tcPr>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p>
        </w:tc>
      </w:tr>
      <w:tr>
        <w:trPr/>
        <w:tc>
          <w:tcPr>
            <w:tcW w:w="900" w:type="dxa"/>
            <w:vAlign w:val="center"/>
            <w:textDirection w:val="lrTb"/>
            <w:noWrap/>
          </w:tcPr>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w:t>
            </w:r>
            <w:r/>
          </w:p>
        </w:tc>
        <w:tc>
          <w:tcPr>
            <w:tcW w:w="2753" w:type="dxa"/>
            <w:vAlign w:val="center"/>
            <w:textDirection w:val="lrTb"/>
            <w:noWrap/>
          </w:tcPr>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联接组别</w:t>
            </w:r>
            <w:r/>
          </w:p>
        </w:tc>
        <w:tc>
          <w:tcPr>
            <w:tcW w:w="4923" w:type="dxa"/>
            <w:vAlign w:val="center"/>
            <w:textDirection w:val="lrTb"/>
            <w:noWrap/>
          </w:tcPr>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Dyn11</w:t>
            </w:r>
            <w:r/>
          </w:p>
        </w:tc>
      </w:tr>
      <w:tr>
        <w:trPr/>
        <w:tc>
          <w:tcPr>
            <w:tcW w:w="900" w:type="dxa"/>
            <w:vAlign w:val="center"/>
            <w:textDirection w:val="lrTb"/>
            <w:noWrap/>
          </w:tcPr>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rPr>
              <w:t xml:space="preserve">8</w:t>
            </w:r>
            <w:r/>
          </w:p>
        </w:tc>
        <w:tc>
          <w:tcPr>
            <w:tcW w:w="2753" w:type="dxa"/>
            <w:vAlign w:val="center"/>
            <w:textDirection w:val="lrTb"/>
            <w:noWrap/>
          </w:tcPr>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外壳保护等级</w:t>
            </w:r>
            <w:r/>
          </w:p>
        </w:tc>
        <w:tc>
          <w:tcPr>
            <w:tcW w:w="4923" w:type="dxa"/>
            <w:vAlign w:val="center"/>
            <w:textDirection w:val="lrTb"/>
            <w:noWrap/>
          </w:tcPr>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IP40</w:t>
            </w:r>
            <w:r/>
          </w:p>
        </w:tc>
      </w:tr>
      <w:tr>
        <w:trPr/>
        <w:tc>
          <w:tcPr>
            <w:tcW w:w="900" w:type="dxa"/>
            <w:vAlign w:val="center"/>
            <w:textDirection w:val="lrTb"/>
            <w:noWrap/>
          </w:tcPr>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w:t>
            </w:r>
            <w:r/>
          </w:p>
        </w:tc>
        <w:tc>
          <w:tcPr>
            <w:tcW w:w="2753" w:type="dxa"/>
            <w:vAlign w:val="center"/>
            <w:textDirection w:val="lrTb"/>
            <w:noWrap/>
          </w:tcPr>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冷却方式</w:t>
            </w:r>
            <w:r/>
          </w:p>
        </w:tc>
        <w:tc>
          <w:tcPr>
            <w:tcW w:w="4923" w:type="dxa"/>
            <w:vAlign w:val="center"/>
            <w:textDirection w:val="lrTb"/>
            <w:noWrap/>
          </w:tcPr>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AN+AF</w:t>
            </w:r>
            <w:r/>
          </w:p>
        </w:tc>
      </w:tr>
      <w:tr>
        <w:trPr/>
        <w:tc>
          <w:tcPr>
            <w:tcW w:w="900" w:type="dxa"/>
            <w:vAlign w:val="center"/>
            <w:textDirection w:val="lrTb"/>
            <w:noWrap/>
          </w:tcPr>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w:t>
            </w:r>
            <w:r/>
          </w:p>
        </w:tc>
        <w:tc>
          <w:tcPr>
            <w:tcW w:w="2753" w:type="dxa"/>
            <w:vAlign w:val="center"/>
            <w:textDirection w:val="lrTb"/>
            <w:noWrap/>
          </w:tcPr>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噪音</w:t>
            </w:r>
            <w:r/>
          </w:p>
        </w:tc>
        <w:tc>
          <w:tcPr>
            <w:tcW w:w="4923" w:type="dxa"/>
            <w:vAlign w:val="center"/>
            <w:textDirection w:val="lrTb"/>
            <w:noWrap/>
          </w:tcPr>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≤52db</w:t>
            </w:r>
            <w:r/>
          </w:p>
        </w:tc>
      </w:tr>
      <w:tr>
        <w:trPr/>
        <w:tc>
          <w:tcPr>
            <w:tcW w:w="900" w:type="dxa"/>
            <w:vAlign w:val="center"/>
            <w:textDirection w:val="lrTb"/>
            <w:noWrap/>
          </w:tcPr>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rPr>
              <w:t xml:space="preserve">11</w:t>
            </w:r>
            <w:r/>
          </w:p>
        </w:tc>
        <w:tc>
          <w:tcPr>
            <w:tcW w:w="2753" w:type="dxa"/>
            <w:vAlign w:val="center"/>
            <w:textDirection w:val="lrTb"/>
            <w:noWrap/>
          </w:tcPr>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绝缘等级</w:t>
            </w:r>
            <w:r/>
          </w:p>
        </w:tc>
        <w:tc>
          <w:tcPr>
            <w:tcW w:w="4923" w:type="dxa"/>
            <w:vAlign w:val="center"/>
            <w:textDirection w:val="lrTb"/>
            <w:noWrap/>
          </w:tcPr>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H</w:t>
            </w:r>
            <w:r/>
          </w:p>
        </w:tc>
      </w:tr>
      <w:tr>
        <w:trPr/>
        <w:tc>
          <w:tcPr>
            <w:tcW w:w="900" w:type="dxa"/>
            <w:vAlign w:val="center"/>
            <w:textDirection w:val="lrTb"/>
            <w:noWrap/>
          </w:tcPr>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w:t>
            </w:r>
            <w:r/>
          </w:p>
        </w:tc>
        <w:tc>
          <w:tcPr>
            <w:tcW w:w="2753" w:type="dxa"/>
            <w:vAlign w:val="center"/>
            <w:textDirection w:val="lrTb"/>
            <w:noWrap/>
          </w:tcPr>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空载电流</w:t>
            </w:r>
            <w:r/>
          </w:p>
        </w:tc>
        <w:tc>
          <w:tcPr>
            <w:tcW w:w="4923" w:type="dxa"/>
            <w:vAlign w:val="center"/>
            <w:textDirection w:val="lrTb"/>
            <w:noWrap/>
          </w:tcPr>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0.7%</w:t>
            </w:r>
            <w:r/>
          </w:p>
        </w:tc>
      </w:tr>
      <w:tr>
        <w:trPr/>
        <w:tc>
          <w:tcPr>
            <w:tcW w:w="900" w:type="dxa"/>
            <w:vAlign w:val="center"/>
            <w:textDirection w:val="lrTb"/>
            <w:noWrap/>
          </w:tcPr>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w:t>
            </w:r>
            <w:r/>
          </w:p>
        </w:tc>
        <w:tc>
          <w:tcPr>
            <w:tcW w:w="2753" w:type="dxa"/>
            <w:vAlign w:val="center"/>
            <w:textDirection w:val="lrTb"/>
            <w:noWrap/>
          </w:tcPr>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空载损耗</w:t>
            </w:r>
            <w:r/>
          </w:p>
        </w:tc>
        <w:tc>
          <w:tcPr>
            <w:tcW w:w="4923" w:type="dxa"/>
            <w:vAlign w:val="center"/>
            <w:textDirection w:val="lrTb"/>
            <w:noWrap/>
          </w:tcPr>
          <w:p>
            <w:pPr>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满足二级能效要求</w:t>
            </w:r>
            <w:r/>
          </w:p>
        </w:tc>
      </w:tr>
      <w:tr>
        <w:trPr/>
        <w:tc>
          <w:tcPr>
            <w:tcW w:w="900" w:type="dxa"/>
            <w:vAlign w:val="center"/>
            <w:textDirection w:val="lrTb"/>
            <w:noWrap/>
          </w:tcPr>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w:t>
            </w:r>
            <w:r/>
          </w:p>
        </w:tc>
        <w:tc>
          <w:tcPr>
            <w:tcW w:w="2753" w:type="dxa"/>
            <w:vAlign w:val="center"/>
            <w:textDirection w:val="lrTb"/>
            <w:noWrap/>
          </w:tcPr>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负载损耗（120℃）</w:t>
            </w:r>
            <w:r/>
          </w:p>
        </w:tc>
        <w:tc>
          <w:tcPr>
            <w:tcW w:w="4923" w:type="dxa"/>
            <w:vAlign w:val="center"/>
            <w:textDirection w:val="lrTb"/>
            <w:noWrap/>
          </w:tcPr>
          <w:p>
            <w:pPr>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满足二级能效要求</w:t>
            </w:r>
            <w:r/>
          </w:p>
        </w:tc>
      </w:tr>
      <w:tr>
        <w:trPr/>
        <w:tc>
          <w:tcPr>
            <w:tcW w:w="900" w:type="dxa"/>
            <w:vAlign w:val="center"/>
            <w:textDirection w:val="lrTb"/>
            <w:noWrap/>
          </w:tcPr>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rPr>
              <w:t xml:space="preserve">15</w:t>
            </w:r>
            <w:r/>
          </w:p>
        </w:tc>
        <w:tc>
          <w:tcPr>
            <w:tcW w:w="2753" w:type="dxa"/>
            <w:vAlign w:val="center"/>
            <w:textDirection w:val="lrTb"/>
            <w:noWrap/>
          </w:tcPr>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保护</w:t>
            </w:r>
            <w:r/>
          </w:p>
        </w:tc>
        <w:tc>
          <w:tcPr>
            <w:tcW w:w="4923" w:type="dxa"/>
            <w:vAlign w:val="center"/>
            <w:textDirection w:val="lrTb"/>
            <w:noWrap/>
          </w:tcPr>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带温控温显、自动排风装置，带超温跳闸信号、变压器门与高压出线开关实现机械闭锁接口，带通讯接口，并具有远传功能，带电磁门锁。提供2对有源接点。</w:t>
            </w:r>
            <w:r/>
          </w:p>
        </w:tc>
      </w:tr>
      <w:tr>
        <w:trPr/>
        <w:tc>
          <w:tcPr>
            <w:tcW w:w="900" w:type="dxa"/>
            <w:vAlign w:val="center"/>
            <w:textDirection w:val="lrTb"/>
            <w:noWrap/>
          </w:tcPr>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rPr>
              <w:t xml:space="preserve">16</w:t>
            </w:r>
            <w:r/>
          </w:p>
        </w:tc>
        <w:tc>
          <w:tcPr>
            <w:tcW w:w="2753" w:type="dxa"/>
            <w:vAlign w:val="center"/>
            <w:textDirection w:val="lrTb"/>
            <w:noWrap/>
          </w:tcPr>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过载运行能力</w:t>
            </w:r>
            <w:r/>
          </w:p>
        </w:tc>
        <w:tc>
          <w:tcPr>
            <w:tcW w:w="4923" w:type="dxa"/>
            <w:vAlign w:val="center"/>
            <w:textDirection w:val="lrTb"/>
            <w:noWrap/>
          </w:tcPr>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变压器应包含完整的自动冷却风机、温度传感器以保证变压器可以过载50%（不少于一小时）</w:t>
            </w:r>
            <w:r/>
          </w:p>
        </w:tc>
      </w:tr>
      <w:tr>
        <w:trPr/>
        <w:tc>
          <w:tcPr>
            <w:tcW w:w="900" w:type="dxa"/>
            <w:vAlign w:val="center"/>
            <w:textDirection w:val="lrTb"/>
            <w:noWrap/>
          </w:tcPr>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w:t>
            </w:r>
            <w:r/>
          </w:p>
        </w:tc>
        <w:tc>
          <w:tcPr>
            <w:tcW w:w="2753" w:type="dxa"/>
            <w:vAlign w:val="center"/>
            <w:textDirection w:val="lrTb"/>
            <w:noWrap/>
          </w:tcPr>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设计保证使用寿命</w:t>
            </w:r>
            <w:r/>
          </w:p>
        </w:tc>
        <w:tc>
          <w:tcPr>
            <w:tcW w:w="4923" w:type="dxa"/>
            <w:vAlign w:val="center"/>
            <w:textDirection w:val="lrTb"/>
            <w:noWrap/>
          </w:tcPr>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不小于30年</w:t>
            </w:r>
            <w:r/>
          </w:p>
        </w:tc>
      </w:tr>
    </w:tbl>
    <w:p>
      <w:pPr>
        <w:ind w:firstLine="422"/>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3.2、变压器须采用环氧树脂浇注10kV SCB型（GB20052-2020二级能效）干式变压器。因苏州环境因素及曾因结构问题发生采购单位事故等情况，干式变压器低压相排在内（靠铁芯）、零排在外的结构在苏州地区不适用。</w:t>
      </w:r>
      <w:r/>
    </w:p>
    <w:p>
      <w:pPr>
        <w:ind w:firstLine="422"/>
        <w:spacing w:line="360" w:lineRule="auto"/>
        <w:rPr>
          <w:rFonts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3.3、</w:t>
      </w:r>
      <w:r>
        <w:rPr>
          <w:rFonts w:hint="eastAsia" w:ascii="宋体" w:hAnsi="宋体" w:eastAsia="宋体" w:cs="宋体"/>
          <w:color w:val="auto"/>
          <w:sz w:val="24"/>
          <w:szCs w:val="24"/>
          <w:highlight w:val="none"/>
        </w:rPr>
        <w:t xml:space="preserve">环境条件：变压器须适用于热带区域及以下连续性操作条件。</w:t>
      </w:r>
      <w:r/>
    </w:p>
    <w:p>
      <w:pPr>
        <w:ind w:firstLine="42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变压器房环境温度：-10至50度（摄氏）</w:t>
      </w:r>
      <w:r/>
    </w:p>
    <w:p>
      <w:pPr>
        <w:ind w:firstLine="42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相对湿度  93%RH</w:t>
      </w:r>
      <w:r/>
    </w:p>
    <w:p>
      <w:pPr>
        <w:ind w:firstLine="42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海拔高度＜1000米</w:t>
      </w:r>
      <w:r/>
    </w:p>
    <w:p>
      <w:pPr>
        <w:ind w:firstLine="42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地震烈度6度</w:t>
      </w:r>
      <w:r/>
    </w:p>
    <w:p>
      <w:pPr>
        <w:ind w:firstLine="42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3.4、系统概况</w:t>
      </w:r>
      <w:r/>
    </w:p>
    <w:p>
      <w:pPr>
        <w:ind w:firstLine="42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额定电压：高压10KV  低压400V</w:t>
      </w:r>
      <w:r/>
    </w:p>
    <w:p>
      <w:pPr>
        <w:ind w:firstLine="42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额定频率：50HZ</w:t>
      </w:r>
      <w:r/>
    </w:p>
    <w:p>
      <w:pPr>
        <w:ind w:firstLine="42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安装地点：户内</w:t>
      </w:r>
      <w:r/>
    </w:p>
    <w:p>
      <w:pPr>
        <w:ind w:firstLine="422"/>
        <w:spacing w:line="360" w:lineRule="auto"/>
        <w:rPr>
          <w:rFonts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3.5、</w:t>
      </w:r>
      <w:r>
        <w:rPr>
          <w:rFonts w:hint="eastAsia" w:ascii="宋体" w:hAnsi="宋体" w:eastAsia="宋体" w:cs="宋体"/>
          <w:color w:val="auto"/>
          <w:sz w:val="24"/>
          <w:szCs w:val="24"/>
          <w:highlight w:val="none"/>
        </w:rPr>
        <w:t xml:space="preserve">变压器主要材质要求</w:t>
      </w:r>
      <w:r/>
    </w:p>
    <w:p>
      <w:pPr>
        <w:ind w:firstLine="42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（1）铁心为优质高导磁、冷轧晶粒取向电工硅钢片，铁心规格不低于30ZH120。要求为宝钢、武钢或新日铁，或不低于此的等同硅钢片。</w:t>
      </w:r>
      <w:r/>
    </w:p>
    <w:p>
      <w:pPr>
        <w:ind w:firstLine="422"/>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（2）高压线圈线绕，低压线圈箔绕；若选用其他材质替代视为未实质性响应要求为无效投标。</w:t>
      </w:r>
      <w:r/>
    </w:p>
    <w:p>
      <w:pPr>
        <w:ind w:firstLine="42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高压线圈为分段、多层式结构，用H级无氧铜导线绕制，在真空下立式浇注，采用优质环氧树脂系统材料经自动计量、混料、搅拌、真空脱气、脱湿，在真空中从底部浸透到线圈各个间隙，确保浇注成型的线圈不含有空穴、气泡，免除局部放电现象，且环氧树脂的热膨胀率与铜的热膨胀率相近。高压线圈具有良好的导热性能，可在任何环境下避免树脂龟裂，延长线圈的使用寿命，运行时具有优越的抗冲击、抗温度变化、抗开裂性能。</w:t>
      </w:r>
      <w:r/>
    </w:p>
    <w:p>
      <w:pPr>
        <w:ind w:firstLine="42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高低压线圈采用铜箔作导体，箔宽等于线圈高度，相对于高压线圈的平衡安匝区域可自由匹配低压电流密度，使安匝分布平衡，改善轴向漏磁分布；线圈端部平整，解决绕线式所导致的轴向力问题，电荷平均、自然地分布在整个线圈上，能迅速、有效地将损耗产生的热量通过轴向向外散发，消除热点现象。为变压器安全运行提供可靠保障。</w:t>
      </w:r>
      <w:r/>
    </w:p>
    <w:p>
      <w:pPr>
        <w:ind w:firstLine="42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3.6、信号温度计（温控仪）由温度监测系统和输出控制系统两部分电路组成并满足保护系统各项功能的实现，并配有通讯协议接口（RS-232/RS-485）。</w:t>
      </w:r>
      <w:r/>
    </w:p>
    <w:p>
      <w:pPr>
        <w:ind w:firstLine="42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3.7、冷却风机功能特点：采用高强度铝合金搭扣结构组合而成，风量大，噪音低，冷却均匀，安装拆卸方便。采用空气自冷（AN）时，在正常使用条件下，干式变压器可在额定容量下长期连续运行；采用强迫风冷（AF）时，在正常使用条件下，变压器可过载50%，适用于备急救过负荷或断续过负荷时运行。</w:t>
      </w:r>
      <w:r/>
    </w:p>
    <w:p>
      <w:pPr>
        <w:ind w:firstLine="42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3.8、外壳</w:t>
      </w:r>
      <w:r/>
    </w:p>
    <w:p>
      <w:pPr>
        <w:ind w:firstLine="42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（1）主要材质美观，防腐蚀，结构采用拼装式，机械强度高，可方便地在现场组装，前后均设检修门，且变压器带外壳运行不降容。</w:t>
      </w:r>
      <w:r/>
    </w:p>
    <w:p>
      <w:pPr>
        <w:ind w:firstLine="42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防护等级为IP40，变压器外壳的门，其防护等级与外壳相同，可以防止固体异物进入箱体，为变压器和操作人员提供安全屏障，适用于户内运行。在维护时，如需要打开变压器外壳的门，有可靠的联锁装置来保证操作者的安全。外壳配置行程开关，实现开门报警功能。</w:t>
      </w:r>
      <w:r/>
    </w:p>
    <w:p>
      <w:pPr>
        <w:ind w:firstLine="42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3.9、其他要求</w:t>
      </w:r>
      <w:r/>
    </w:p>
    <w:p>
      <w:pPr>
        <w:ind w:firstLine="42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（1）变压器的结构能保证工作人员的安全和便于运行、维护、检查、监视、检修和试验。</w:t>
      </w:r>
      <w:r/>
    </w:p>
    <w:p>
      <w:pPr>
        <w:ind w:firstLine="42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（2）变压器中的各组件及其支持绝缘件的外绝缘件的外绝缘爬电比距（高压电器组件外绝缘的爬电距离与最高电压之比）按凝露型考虑，能满足并符合最新国家标准。</w:t>
      </w:r>
      <w:r/>
    </w:p>
    <w:p>
      <w:pPr>
        <w:ind w:firstLine="42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（3）型式试验</w:t>
      </w:r>
      <w:r/>
    </w:p>
    <w:p>
      <w:pPr>
        <w:ind w:firstLine="42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型式试验是变压器定型生产的必备技术条件。</w:t>
      </w:r>
      <w:r/>
    </w:p>
    <w:p>
      <w:pPr>
        <w:ind w:firstLine="42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（4）出厂试验：出厂试验数据必须符合要求值，变压器中的配件，出厂试验情况报告，随产品一并提交给采购单位。</w:t>
      </w:r>
      <w:r/>
    </w:p>
    <w:p>
      <w:pPr>
        <w:ind w:firstLine="42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变压器根据最新国家标准规定项目进行试验，提供工厂出厂标准。每一台变压器都在制造厂内进行出厂试验。</w:t>
      </w:r>
      <w:bookmarkEnd w:id="26"/>
      <w:r/>
      <w:r/>
    </w:p>
    <w:p>
      <w:pPr>
        <w:spacing w:line="360" w:lineRule="auto"/>
        <w:tabs>
          <w:tab w:val="left" w:pos="0" w:leader="none"/>
        </w:tabs>
        <w:rPr>
          <w:rFonts w:ascii="宋体" w:hAnsi="宋体" w:eastAsia="宋体" w:cs="宋体"/>
          <w:color w:val="auto"/>
          <w:sz w:val="24"/>
          <w:szCs w:val="24"/>
          <w:highlight w:val="none"/>
        </w:rPr>
        <w:outlineLvl w:val="3"/>
      </w:pPr>
      <w:r>
        <w:rPr>
          <w:rFonts w:hint="eastAsia" w:ascii="宋体" w:hAnsi="宋体" w:eastAsia="宋体" w:cs="宋体"/>
          <w:color w:val="auto"/>
          <w:sz w:val="24"/>
          <w:szCs w:val="24"/>
          <w:highlight w:val="none"/>
        </w:rPr>
        <w:t xml:space="preserve">4、</w:t>
      </w:r>
      <w:r>
        <w:rPr>
          <w:rFonts w:hint="eastAsia" w:ascii="宋体" w:hAnsi="宋体" w:eastAsia="宋体" w:cs="宋体"/>
          <w:color w:val="auto"/>
          <w:sz w:val="24"/>
          <w:szCs w:val="24"/>
          <w:highlight w:val="none"/>
          <w:lang w:val="zh-CN"/>
        </w:rPr>
        <w:t xml:space="preserve">电力综合自动化系统</w:t>
      </w:r>
      <w:r>
        <w:rPr>
          <w:rFonts w:hint="eastAsia" w:ascii="宋体" w:hAnsi="宋体" w:eastAsia="宋体" w:cs="宋体"/>
          <w:color w:val="auto"/>
          <w:sz w:val="24"/>
          <w:szCs w:val="24"/>
          <w:highlight w:val="none"/>
        </w:rPr>
        <w:t xml:space="preserve">要求</w:t>
      </w:r>
      <w:r/>
    </w:p>
    <w:p>
      <w:pPr>
        <w:ind w:firstLine="470"/>
        <w:spacing w:line="360" w:lineRule="auto"/>
        <w:tabs>
          <w:tab w:val="left" w:pos="36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电力综合自动化系统通过对综合保护测控装置、多功能电表及其它第三方硬件等的连接，通过网关将相关数据及信号上传至电力综合自动化系统，实现对配电房内相关用电数据的监测、采集分析、智能化管理等目的（详见电力综合自动化系统架构图）。</w:t>
      </w:r>
      <w:r/>
    </w:p>
    <w:p>
      <w:pPr>
        <w:ind w:firstLine="420"/>
        <w:jc w:val="left"/>
        <w:spacing w:line="360" w:lineRule="auto"/>
        <w:widowControl/>
        <w:rPr>
          <w:rStyle w:val="1098"/>
          <w:rFonts w:hint="default"/>
          <w:color w:val="auto"/>
          <w:highlight w:val="none"/>
        </w:rPr>
      </w:pPr>
      <w:r>
        <w:rPr>
          <w:rStyle w:val="1097"/>
          <w:rFonts w:hint="eastAsia" w:ascii="宋体" w:hAnsi="宋体" w:eastAsia="宋体" w:cs="宋体"/>
          <w:color w:val="auto"/>
          <w:sz w:val="24"/>
          <w:szCs w:val="24"/>
          <w:highlight w:val="none"/>
        </w:rPr>
        <w:t xml:space="preserve">（1）</w:t>
      </w:r>
      <w:r>
        <w:rPr>
          <w:rStyle w:val="1098"/>
          <w:rFonts w:hint="default"/>
          <w:color w:val="auto"/>
          <w:highlight w:val="none"/>
        </w:rPr>
        <w:t xml:space="preserve">基本功能要求：</w:t>
      </w:r>
      <w:r/>
    </w:p>
    <w:p>
      <w:pPr>
        <w:ind w:firstLine="420"/>
        <w:jc w:val="left"/>
        <w:spacing w:line="360" w:lineRule="auto"/>
        <w:widowControl/>
        <w:rPr>
          <w:rStyle w:val="1098"/>
          <w:rFonts w:hint="default"/>
          <w:color w:val="auto"/>
          <w:highlight w:val="none"/>
        </w:rPr>
      </w:pPr>
      <w:r>
        <w:rPr>
          <w:rStyle w:val="1097"/>
          <w:rFonts w:hint="eastAsia" w:ascii="宋体" w:hAnsi="宋体" w:eastAsia="宋体" w:cs="宋体"/>
          <w:color w:val="auto"/>
          <w:sz w:val="24"/>
          <w:szCs w:val="24"/>
          <w:highlight w:val="none"/>
        </w:rPr>
        <w:t xml:space="preserve">1.1）</w:t>
      </w:r>
      <w:r>
        <w:rPr>
          <w:rStyle w:val="1098"/>
          <w:rFonts w:hint="default"/>
          <w:color w:val="auto"/>
          <w:highlight w:val="none"/>
        </w:rPr>
        <w:t xml:space="preserve">实时数据采集与处理实时采集模拟量、开关量、数字量、温度量、脉冲量以及各类事件信息，对实时数据进行统计、分析与计算，包括：</w:t>
      </w:r>
      <w:r/>
    </w:p>
    <w:p>
      <w:pPr>
        <w:ind w:firstLine="420"/>
        <w:jc w:val="left"/>
        <w:spacing w:line="360" w:lineRule="auto"/>
        <w:widowControl/>
        <w:rPr>
          <w:rStyle w:val="1098"/>
          <w:rFonts w:hint="default"/>
          <w:color w:val="auto"/>
          <w:highlight w:val="none"/>
        </w:rPr>
      </w:pPr>
      <w:r>
        <w:rPr>
          <w:rStyle w:val="1097"/>
          <w:rFonts w:hint="eastAsia" w:ascii="宋体" w:hAnsi="宋体" w:eastAsia="宋体" w:cs="宋体"/>
          <w:color w:val="auto"/>
          <w:sz w:val="24"/>
          <w:szCs w:val="24"/>
          <w:highlight w:val="none"/>
        </w:rPr>
        <w:t xml:space="preserve">1.2</w:t>
      </w:r>
      <w:r>
        <w:rPr>
          <w:rStyle w:val="1098"/>
          <w:rFonts w:hint="default"/>
          <w:color w:val="auto"/>
          <w:highlight w:val="none"/>
        </w:rPr>
        <w:t xml:space="preserve">）监测所有高、低压供电回路的电流、电压、有功、无功电度、功率因数等模拟量，以及反映进断路器等状态、故障等开关量。</w:t>
      </w:r>
      <w:r/>
    </w:p>
    <w:p>
      <w:pPr>
        <w:ind w:firstLine="420"/>
        <w:jc w:val="left"/>
        <w:spacing w:line="360" w:lineRule="auto"/>
        <w:widowControl/>
        <w:rPr>
          <w:rStyle w:val="1098"/>
          <w:rFonts w:hint="default"/>
          <w:color w:val="auto"/>
          <w:highlight w:val="none"/>
        </w:rPr>
      </w:pPr>
      <w:r>
        <w:rPr>
          <w:rStyle w:val="1098"/>
          <w:rFonts w:hint="default"/>
          <w:color w:val="auto"/>
          <w:highlight w:val="none"/>
        </w:rPr>
        <w:t xml:space="preserve">1.3）变压器实时温度值，冷却风机的工作状态。</w:t>
      </w:r>
      <w:r/>
    </w:p>
    <w:p>
      <w:pPr>
        <w:ind w:firstLine="420"/>
        <w:jc w:val="left"/>
        <w:spacing w:line="360" w:lineRule="auto"/>
        <w:widowControl/>
        <w:rPr>
          <w:rStyle w:val="1098"/>
          <w:rFonts w:hint="default"/>
          <w:color w:val="auto"/>
          <w:highlight w:val="none"/>
        </w:rPr>
      </w:pPr>
      <w:r>
        <w:rPr>
          <w:rStyle w:val="1098"/>
          <w:rFonts w:hint="default"/>
          <w:color w:val="auto"/>
          <w:highlight w:val="none"/>
        </w:rPr>
        <w:t xml:space="preserve">1.4）直流屏的直流电压、输出电流等模拟量。</w:t>
      </w:r>
      <w:r/>
    </w:p>
    <w:p>
      <w:pPr>
        <w:ind w:firstLine="420"/>
        <w:jc w:val="left"/>
        <w:spacing w:line="360" w:lineRule="auto"/>
        <w:widowControl/>
        <w:rPr>
          <w:rStyle w:val="1098"/>
          <w:rFonts w:hint="default"/>
          <w:color w:val="auto"/>
          <w:highlight w:val="none"/>
        </w:rPr>
      </w:pPr>
      <w:r>
        <w:rPr>
          <w:rStyle w:val="1098"/>
          <w:rFonts w:hint="default"/>
          <w:color w:val="auto"/>
          <w:highlight w:val="none"/>
        </w:rPr>
        <w:t xml:space="preserve">1.5）无功补偿装置控制器投切状态开关量。</w:t>
      </w:r>
      <w:r/>
    </w:p>
    <w:p>
      <w:pPr>
        <w:ind w:firstLine="420"/>
        <w:jc w:val="left"/>
        <w:spacing w:line="360" w:lineRule="auto"/>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实时统计各回路每日、每月、每年的有功电度总值和无功电度总值。数据采集周期、方式、参数等可由用户在线定义，状态量的变化应优先传送。采集仪表的详细参数仪表功能。</w:t>
      </w:r>
      <w:r/>
    </w:p>
    <w:p>
      <w:pPr>
        <w:ind w:firstLine="420"/>
        <w:jc w:val="left"/>
        <w:spacing w:line="360" w:lineRule="auto"/>
        <w:widowControl/>
        <w:rPr>
          <w:rStyle w:val="1099"/>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Style w:val="1099"/>
          <w:rFonts w:hint="eastAsia" w:ascii="宋体" w:hAnsi="宋体" w:eastAsia="宋体" w:cs="宋体"/>
          <w:color w:val="auto"/>
          <w:sz w:val="24"/>
          <w:szCs w:val="24"/>
          <w:highlight w:val="none"/>
        </w:rPr>
        <w:t xml:space="preserve">界面显示提供电气运行状态情况，实时显示图形和数据，并及时刷新，保证数据的完整和及时显示。</w:t>
      </w:r>
      <w:r/>
    </w:p>
    <w:p>
      <w:pPr>
        <w:ind w:firstLine="420"/>
        <w:jc w:val="left"/>
        <w:spacing w:line="360" w:lineRule="auto"/>
        <w:widowControl/>
        <w:rPr>
          <w:rStyle w:val="1099"/>
          <w:rFonts w:ascii="宋体" w:hAnsi="宋体" w:eastAsia="宋体" w:cs="宋体"/>
          <w:color w:val="auto"/>
          <w:sz w:val="24"/>
          <w:szCs w:val="24"/>
          <w:highlight w:val="none"/>
        </w:rPr>
      </w:pPr>
      <w:r>
        <w:rPr>
          <w:rStyle w:val="1099"/>
          <w:rFonts w:hint="eastAsia" w:ascii="宋体" w:hAnsi="宋体" w:eastAsia="宋体" w:cs="宋体"/>
          <w:color w:val="auto"/>
          <w:sz w:val="24"/>
          <w:szCs w:val="24"/>
          <w:highlight w:val="none"/>
        </w:rPr>
        <w:t xml:space="preserve">接线图：包括开关位置和各实时电量信息。图形包括一次接线图、所用电交流系统图、 直流系统图等图形，可根据招标人需要绘制各种图形。</w:t>
      </w:r>
      <w:r/>
    </w:p>
    <w:p>
      <w:pPr>
        <w:ind w:firstLine="420"/>
        <w:jc w:val="left"/>
        <w:spacing w:line="360" w:lineRule="auto"/>
        <w:widowControl/>
        <w:rPr>
          <w:rStyle w:val="1099"/>
          <w:rFonts w:ascii="宋体" w:hAnsi="宋体" w:eastAsia="宋体" w:cs="宋体"/>
          <w:color w:val="auto"/>
          <w:sz w:val="24"/>
          <w:szCs w:val="24"/>
          <w:highlight w:val="none"/>
        </w:rPr>
      </w:pPr>
      <w:r>
        <w:rPr>
          <w:rStyle w:val="1099"/>
          <w:rFonts w:hint="eastAsia" w:ascii="宋体" w:hAnsi="宋体" w:eastAsia="宋体" w:cs="宋体"/>
          <w:color w:val="auto"/>
          <w:sz w:val="24"/>
          <w:szCs w:val="24"/>
          <w:highlight w:val="none"/>
        </w:rPr>
        <w:t xml:space="preserve">工况图：包括日常数据、电度显示等画面；能显示整个系统的工作状态图。</w:t>
      </w:r>
      <w:r/>
    </w:p>
    <w:p>
      <w:pPr>
        <w:ind w:firstLine="420"/>
        <w:jc w:val="left"/>
        <w:spacing w:line="360" w:lineRule="auto"/>
        <w:widowControl/>
        <w:rPr>
          <w:rStyle w:val="1099"/>
          <w:rFonts w:ascii="宋体" w:hAnsi="宋体" w:eastAsia="宋体" w:cs="宋体"/>
          <w:color w:val="auto"/>
          <w:sz w:val="24"/>
          <w:szCs w:val="24"/>
          <w:highlight w:val="none"/>
        </w:rPr>
      </w:pPr>
      <w:r>
        <w:rPr>
          <w:rStyle w:val="1099"/>
          <w:rFonts w:hint="eastAsia" w:ascii="宋体" w:hAnsi="宋体" w:eastAsia="宋体" w:cs="宋体"/>
          <w:color w:val="auto"/>
          <w:sz w:val="24"/>
          <w:szCs w:val="24"/>
          <w:highlight w:val="none"/>
        </w:rPr>
        <w:t xml:space="preserve">棒图：有电流棒、负荷棒图等实时刷新显示图。</w:t>
      </w:r>
      <w:r/>
    </w:p>
    <w:p>
      <w:pPr>
        <w:ind w:firstLine="420"/>
        <w:jc w:val="left"/>
        <w:spacing w:line="360" w:lineRule="auto"/>
        <w:widowControl/>
        <w:rPr>
          <w:rStyle w:val="1099"/>
          <w:rFonts w:ascii="宋体" w:hAnsi="宋体" w:eastAsia="宋体" w:cs="宋体"/>
          <w:color w:val="auto"/>
          <w:sz w:val="24"/>
          <w:szCs w:val="24"/>
          <w:highlight w:val="none"/>
        </w:rPr>
      </w:pPr>
      <w:r>
        <w:rPr>
          <w:rStyle w:val="1099"/>
          <w:rFonts w:hint="eastAsia" w:ascii="宋体" w:hAnsi="宋体" w:eastAsia="宋体" w:cs="宋体"/>
          <w:color w:val="auto"/>
          <w:sz w:val="24"/>
          <w:szCs w:val="24"/>
          <w:highlight w:val="none"/>
        </w:rPr>
        <w:t xml:space="preserve">曲线画面：有电压曲线、电流曲线、负荷曲线等。</w:t>
      </w:r>
      <w:r/>
    </w:p>
    <w:p>
      <w:pPr>
        <w:ind w:firstLine="420"/>
        <w:jc w:val="left"/>
        <w:spacing w:line="360" w:lineRule="auto"/>
        <w:widowControl/>
        <w:rPr>
          <w:rStyle w:val="1099"/>
          <w:rFonts w:ascii="宋体" w:hAnsi="宋体" w:eastAsia="宋体" w:cs="宋体"/>
          <w:color w:val="auto"/>
          <w:sz w:val="24"/>
          <w:szCs w:val="24"/>
          <w:highlight w:val="none"/>
        </w:rPr>
      </w:pPr>
      <w:r>
        <w:rPr>
          <w:rStyle w:val="1099"/>
          <w:rFonts w:hint="eastAsia" w:ascii="宋体" w:hAnsi="宋体" w:eastAsia="宋体" w:cs="宋体"/>
          <w:color w:val="auto"/>
          <w:sz w:val="24"/>
          <w:szCs w:val="24"/>
          <w:highlight w:val="none"/>
        </w:rPr>
        <w:t xml:space="preserve">一览表：包括事故信号一览表、故障信号一览表、操作信号一览表、系统自检信息。</w:t>
      </w:r>
      <w:r/>
    </w:p>
    <w:p>
      <w:pPr>
        <w:ind w:firstLine="420"/>
        <w:jc w:val="left"/>
        <w:spacing w:line="360" w:lineRule="auto"/>
        <w:widowControl/>
        <w:rPr>
          <w:rStyle w:val="1099"/>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rPr>
        <w:t xml:space="preserve">）</w:t>
      </w:r>
      <w:r>
        <w:rPr>
          <w:rStyle w:val="1099"/>
          <w:rFonts w:hint="eastAsia" w:ascii="宋体" w:hAnsi="宋体" w:eastAsia="宋体" w:cs="宋体"/>
          <w:color w:val="auto"/>
          <w:sz w:val="24"/>
          <w:szCs w:val="24"/>
          <w:highlight w:val="none"/>
        </w:rPr>
        <w:t xml:space="preserve">历史数据存储系统主站设有历史数据库，纪录周期可设定，保留全部监测量：一日</w:t>
      </w:r>
      <w:r>
        <w:rPr>
          <w:rFonts w:hint="eastAsia" w:ascii="宋体" w:hAnsi="宋体" w:eastAsia="宋体" w:cs="宋体"/>
          <w:color w:val="auto"/>
          <w:sz w:val="24"/>
          <w:szCs w:val="24"/>
          <w:highlight w:val="none"/>
        </w:rPr>
        <w:t xml:space="preserve">24</w:t>
      </w:r>
      <w:r>
        <w:rPr>
          <w:rStyle w:val="1099"/>
          <w:rFonts w:hint="eastAsia" w:ascii="宋体" w:hAnsi="宋体" w:eastAsia="宋体" w:cs="宋体"/>
          <w:color w:val="auto"/>
          <w:sz w:val="24"/>
          <w:szCs w:val="24"/>
          <w:highlight w:val="none"/>
        </w:rPr>
        <w:t xml:space="preserve">小时、一月内每日和一年内每月的统计数据；以及重要事故、操作纪录保存的时间，各历史数据及在线查询、显示，保存时间可在线修改。</w:t>
      </w:r>
      <w:r/>
    </w:p>
    <w:p>
      <w:pPr>
        <w:ind w:firstLine="420"/>
        <w:jc w:val="left"/>
        <w:spacing w:line="360" w:lineRule="auto"/>
        <w:widowControl/>
        <w:rPr>
          <w:rStyle w:val="1099"/>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ascii="宋体" w:hAnsi="宋体" w:eastAsia="宋体" w:cs="宋体"/>
          <w:color w:val="auto"/>
          <w:sz w:val="24"/>
          <w:szCs w:val="24"/>
          <w:highlight w:val="none"/>
        </w:rPr>
        <w:t xml:space="preserve">4</w:t>
      </w:r>
      <w:r>
        <w:rPr>
          <w:rFonts w:hint="eastAsia" w:ascii="宋体" w:hAnsi="宋体" w:eastAsia="宋体" w:cs="宋体"/>
          <w:color w:val="auto"/>
          <w:sz w:val="24"/>
          <w:szCs w:val="24"/>
          <w:highlight w:val="none"/>
        </w:rPr>
        <w:t xml:space="preserve">）</w:t>
      </w:r>
      <w:r>
        <w:rPr>
          <w:rStyle w:val="1099"/>
          <w:rFonts w:hint="eastAsia" w:ascii="宋体" w:hAnsi="宋体" w:eastAsia="宋体" w:cs="宋体"/>
          <w:color w:val="auto"/>
          <w:sz w:val="24"/>
          <w:szCs w:val="24"/>
          <w:highlight w:val="none"/>
        </w:rPr>
        <w:t xml:space="preserve">报表生成功能应提供典型报表模板。应支持定时和随机两种打印方式。随机打印是自动记录故障，事故情况下操作时的事件，并响应手动选择的各打印功能；定时打印是专用于定时报表的打印。事故、故障及操作控制项目的自动打印，成组或选择打印；事故、故障通过报表可输出至 </w:t>
      </w:r>
      <w:r>
        <w:rPr>
          <w:rFonts w:hint="eastAsia" w:ascii="宋体" w:hAnsi="宋体" w:eastAsia="宋体" w:cs="宋体"/>
          <w:color w:val="auto"/>
          <w:sz w:val="24"/>
          <w:szCs w:val="24"/>
          <w:highlight w:val="none"/>
        </w:rPr>
        <w:t xml:space="preserve">Excel </w:t>
      </w:r>
      <w:r>
        <w:rPr>
          <w:rStyle w:val="1099"/>
          <w:rFonts w:hint="eastAsia" w:ascii="宋体" w:hAnsi="宋体" w:eastAsia="宋体" w:cs="宋体"/>
          <w:color w:val="auto"/>
          <w:sz w:val="24"/>
          <w:szCs w:val="24"/>
          <w:highlight w:val="none"/>
        </w:rPr>
        <w:t xml:space="preserve">表格。提供负荷曲线、趋势曲线打印。历史数据选择打印。运行日志，包括日报表、月报表打印。各种随机选择打印。</w:t>
      </w:r>
      <w:r/>
    </w:p>
    <w:p>
      <w:pPr>
        <w:ind w:firstLine="420"/>
        <w:jc w:val="left"/>
        <w:spacing w:line="360" w:lineRule="auto"/>
        <w:widowControl/>
        <w:rPr>
          <w:rStyle w:val="1099"/>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ascii="宋体" w:hAnsi="宋体" w:eastAsia="宋体" w:cs="宋体"/>
          <w:color w:val="auto"/>
          <w:sz w:val="24"/>
          <w:szCs w:val="24"/>
          <w:highlight w:val="none"/>
        </w:rPr>
        <w:t xml:space="preserve">5</w:t>
      </w:r>
      <w:r>
        <w:rPr>
          <w:rFonts w:hint="eastAsia" w:ascii="宋体" w:hAnsi="宋体" w:eastAsia="宋体" w:cs="宋体"/>
          <w:color w:val="auto"/>
          <w:sz w:val="24"/>
          <w:szCs w:val="24"/>
          <w:highlight w:val="none"/>
        </w:rPr>
        <w:t xml:space="preserve">）</w:t>
      </w:r>
      <w:r>
        <w:rPr>
          <w:rStyle w:val="1099"/>
          <w:rFonts w:hint="eastAsia" w:ascii="宋体" w:hAnsi="宋体" w:eastAsia="宋体" w:cs="宋体"/>
          <w:color w:val="auto"/>
          <w:sz w:val="24"/>
          <w:szCs w:val="24"/>
          <w:highlight w:val="none"/>
        </w:rPr>
        <w:t xml:space="preserve">安全性管理系统软件设置支持多种权限分区和密级设置，为系统管理员、工程师、一般值班操作人员等提供分级密码，并对所有操作自动进行带时标事件纪录，可建立良好的反事故措施。实现系统安全锁定功能，避免运行人员操作系统以外的其他程序。</w:t>
      </w:r>
      <w:r/>
    </w:p>
    <w:p>
      <w:pPr>
        <w:ind w:firstLine="420"/>
        <w:jc w:val="left"/>
        <w:spacing w:line="360" w:lineRule="auto"/>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ascii="宋体" w:hAnsi="宋体" w:eastAsia="宋体" w:cs="宋体"/>
          <w:color w:val="auto"/>
          <w:sz w:val="24"/>
          <w:szCs w:val="24"/>
          <w:highlight w:val="none"/>
        </w:rPr>
        <w:t xml:space="preserve">6</w:t>
      </w:r>
      <w:r>
        <w:rPr>
          <w:rFonts w:hint="eastAsia" w:ascii="宋体" w:hAnsi="宋体" w:eastAsia="宋体" w:cs="宋体"/>
          <w:color w:val="auto"/>
          <w:sz w:val="24"/>
          <w:szCs w:val="24"/>
          <w:highlight w:val="none"/>
        </w:rPr>
        <w:t xml:space="preserve">）</w:t>
      </w:r>
      <w:r>
        <w:rPr>
          <w:rStyle w:val="1099"/>
          <w:rFonts w:hint="eastAsia" w:ascii="宋体" w:hAnsi="宋体" w:eastAsia="宋体" w:cs="宋体"/>
          <w:color w:val="auto"/>
          <w:sz w:val="24"/>
          <w:szCs w:val="24"/>
          <w:highlight w:val="none"/>
        </w:rPr>
        <w:t xml:space="preserve">硬件要求在系统设计时</w:t>
      </w:r>
      <w:r>
        <w:rPr>
          <w:rFonts w:hint="eastAsia" w:ascii="宋体" w:hAnsi="宋体" w:eastAsia="宋体" w:cs="宋体"/>
          <w:color w:val="auto"/>
          <w:sz w:val="24"/>
          <w:szCs w:val="24"/>
          <w:highlight w:val="none"/>
        </w:rPr>
        <w:t xml:space="preserve">，</w:t>
      </w:r>
      <w:r>
        <w:rPr>
          <w:rStyle w:val="1099"/>
          <w:rFonts w:hint="eastAsia" w:ascii="宋体" w:hAnsi="宋体" w:eastAsia="宋体" w:cs="宋体"/>
          <w:color w:val="auto"/>
          <w:sz w:val="24"/>
          <w:szCs w:val="24"/>
          <w:highlight w:val="none"/>
        </w:rPr>
        <w:t xml:space="preserve">除应满足基本功能要求还应考虑可靠性、可维修性、可扩性。系统和各单元的逻辑设计应采用校验技术，留有适当逻辑余量。硬件系统应有自检功能。配置设备的性能应符合相应产品的国家标准。</w:t>
      </w:r>
      <w:r/>
    </w:p>
    <w:p>
      <w:pPr>
        <w:ind w:firstLine="420"/>
        <w:jc w:val="left"/>
        <w:spacing w:line="360" w:lineRule="auto"/>
        <w:widowControl/>
        <w:rPr>
          <w:rStyle w:val="1099"/>
          <w:rFonts w:ascii="宋体" w:hAnsi="宋体" w:eastAsia="宋体" w:cs="宋体"/>
          <w:color w:val="auto"/>
          <w:sz w:val="24"/>
          <w:szCs w:val="24"/>
          <w:highlight w:val="none"/>
        </w:rPr>
      </w:pPr>
      <w:r>
        <w:rPr>
          <w:rStyle w:val="1099"/>
          <w:rFonts w:hint="eastAsia" w:ascii="宋体" w:hAnsi="宋体" w:eastAsia="宋体" w:cs="宋体"/>
          <w:color w:val="auto"/>
          <w:sz w:val="24"/>
          <w:szCs w:val="24"/>
          <w:highlight w:val="none"/>
        </w:rPr>
        <w:t xml:space="preserve">主要硬件配备及参数：配至不小于</w:t>
      </w:r>
      <w:r>
        <w:rPr>
          <w:rFonts w:hint="eastAsia" w:ascii="宋体" w:hAnsi="宋体" w:eastAsia="宋体" w:cs="宋体"/>
          <w:color w:val="auto"/>
          <w:sz w:val="24"/>
          <w:szCs w:val="24"/>
          <w:highlight w:val="none"/>
        </w:rPr>
        <w:t xml:space="preserve">21</w:t>
      </w:r>
      <w:r>
        <w:rPr>
          <w:rStyle w:val="1099"/>
          <w:rFonts w:hint="eastAsia" w:ascii="宋体" w:hAnsi="宋体" w:eastAsia="宋体" w:cs="宋体"/>
          <w:color w:val="auto"/>
          <w:sz w:val="24"/>
          <w:szCs w:val="24"/>
          <w:highlight w:val="none"/>
        </w:rPr>
        <w:t xml:space="preserve">″液晶显示（处理）器。其余硬件配置满足系统软件运行要求，确保系统顺畅并长时间运行。</w:t>
      </w:r>
      <w:r/>
    </w:p>
    <w:p>
      <w:pPr>
        <w:spacing w:line="360" w:lineRule="auto"/>
        <w:tabs>
          <w:tab w:val="left" w:pos="36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5、电力电缆技术要求及规范</w:t>
      </w:r>
      <w:r/>
    </w:p>
    <w:p>
      <w:pPr>
        <w:spacing w:line="360" w:lineRule="auto"/>
        <w:tabs>
          <w:tab w:val="left" w:pos="36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5.1 高压电缆执行标准</w:t>
      </w:r>
      <w:r/>
    </w:p>
    <w:p>
      <w:pPr>
        <w:ind w:firstLine="470"/>
        <w:spacing w:line="360" w:lineRule="auto"/>
        <w:tabs>
          <w:tab w:val="left" w:pos="36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GB/T12706     设计制造</w:t>
      </w:r>
      <w:r/>
    </w:p>
    <w:p>
      <w:pPr>
        <w:ind w:firstLine="470"/>
        <w:spacing w:line="360" w:lineRule="auto"/>
        <w:tabs>
          <w:tab w:val="left" w:pos="36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GB/T 3048     电线电缆电性能试验方法</w:t>
      </w:r>
      <w:r/>
    </w:p>
    <w:p>
      <w:pPr>
        <w:ind w:firstLine="470"/>
        <w:spacing w:line="360" w:lineRule="auto"/>
        <w:tabs>
          <w:tab w:val="left" w:pos="36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GB/T 3956     电缆的导体</w:t>
      </w:r>
      <w:r/>
    </w:p>
    <w:p>
      <w:pPr>
        <w:ind w:firstLine="470"/>
        <w:spacing w:line="360" w:lineRule="auto"/>
        <w:tabs>
          <w:tab w:val="left" w:pos="36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GB/T 3952     电工圆铜线坯</w:t>
      </w:r>
      <w:r/>
    </w:p>
    <w:p>
      <w:pPr>
        <w:ind w:firstLine="470"/>
        <w:spacing w:line="360" w:lineRule="auto"/>
        <w:tabs>
          <w:tab w:val="left" w:pos="36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GB/T 3953     电工圆铜线</w:t>
      </w:r>
      <w:r/>
    </w:p>
    <w:p>
      <w:pPr>
        <w:ind w:firstLine="470"/>
        <w:spacing w:line="360" w:lineRule="auto"/>
        <w:tabs>
          <w:tab w:val="left" w:pos="36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GB/T 3954     电工圆铝杆</w:t>
      </w:r>
      <w:r/>
    </w:p>
    <w:p>
      <w:pPr>
        <w:ind w:firstLine="470"/>
        <w:spacing w:line="360" w:lineRule="auto"/>
        <w:tabs>
          <w:tab w:val="left" w:pos="36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GB/T 3955     电工圆铝线</w:t>
      </w:r>
      <w:r/>
    </w:p>
    <w:p>
      <w:pPr>
        <w:spacing w:line="360" w:lineRule="auto"/>
        <w:tabs>
          <w:tab w:val="left" w:pos="36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5.2高压电缆的运行条件</w:t>
      </w:r>
      <w:r/>
    </w:p>
    <w:p>
      <w:pPr>
        <w:ind w:firstLine="470"/>
        <w:spacing w:line="360" w:lineRule="auto"/>
        <w:tabs>
          <w:tab w:val="left" w:pos="36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5.2.1优质高压交联电缆产品使用特性：</w:t>
      </w:r>
      <w:r/>
    </w:p>
    <w:p>
      <w:pPr>
        <w:ind w:firstLine="470"/>
        <w:spacing w:line="360" w:lineRule="auto"/>
        <w:tabs>
          <w:tab w:val="left" w:pos="36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1）.电缆导体最高运行温度为90℃</w:t>
      </w:r>
      <w:r/>
    </w:p>
    <w:p>
      <w:pPr>
        <w:ind w:firstLine="470"/>
        <w:spacing w:line="360" w:lineRule="auto"/>
        <w:tabs>
          <w:tab w:val="left" w:pos="36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2）.短路时电缆导体的最高温度不超过250℃</w:t>
      </w:r>
      <w:r/>
    </w:p>
    <w:p>
      <w:pPr>
        <w:ind w:firstLine="470"/>
        <w:spacing w:line="360" w:lineRule="auto"/>
        <w:tabs>
          <w:tab w:val="left" w:pos="36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3短路时间不超过5S</w:t>
      </w:r>
      <w:r/>
    </w:p>
    <w:p>
      <w:pPr>
        <w:ind w:firstLine="470"/>
        <w:spacing w:line="360" w:lineRule="auto"/>
        <w:tabs>
          <w:tab w:val="left" w:pos="36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5.2.2高压电缆的结构</w:t>
      </w:r>
      <w:r/>
    </w:p>
    <w:p>
      <w:pPr>
        <w:ind w:firstLine="470"/>
        <w:spacing w:line="360" w:lineRule="auto"/>
        <w:tabs>
          <w:tab w:val="left" w:pos="36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1）导体采用圆形或者成型导体。导体表面光洁、无油污、无损伤绝缘的毛刺，锐边，无凸起或断裂的单线。</w:t>
      </w:r>
      <w:r/>
    </w:p>
    <w:p>
      <w:pPr>
        <w:ind w:firstLine="470"/>
        <w:spacing w:line="360" w:lineRule="auto"/>
        <w:tabs>
          <w:tab w:val="left" w:pos="36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2）绝缘要求性能符合GB/T12706.2-2020标准。绝缘厚度标称值为4.5mm，最薄点厚度不小于标称值的90%-0.1mm。绝缘偏心度不大于15%。</w:t>
      </w:r>
      <w:r/>
    </w:p>
    <w:p>
      <w:pPr>
        <w:ind w:firstLine="470"/>
        <w:spacing w:line="360" w:lineRule="auto"/>
        <w:tabs>
          <w:tab w:val="left" w:pos="36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3)外护套表面应光滑，无尖角、颗粒、烧焦或擦伤的痕迹,符合GB/T12706.2-2020标准。</w:t>
      </w:r>
      <w:r/>
    </w:p>
    <w:p>
      <w:pPr>
        <w:ind w:firstLine="470"/>
        <w:spacing w:line="360" w:lineRule="auto"/>
        <w:tabs>
          <w:tab w:val="left" w:pos="36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4)成品电缆标志表面印有生产厂家、电缆型号、额定电压、规格、米标和生产年份的连续标记，标志字迹清楚、容易辨认、耐擦，并符合GB6995.3规定。</w:t>
      </w:r>
      <w:r/>
    </w:p>
    <w:p>
      <w:pPr>
        <w:jc w:val="left"/>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jc w:val="right"/>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jc w:val="left"/>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jc w:val="right"/>
        <w:spacing w:line="360" w:lineRule="auto"/>
        <w:rPr>
          <w:rFonts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（全文完）</w:t>
      </w:r>
      <w:r/>
    </w:p>
    <w:sectPr>
      <w:footnotePr/>
      <w:endnotePr/>
      <w:type w:val="nextPage"/>
      <w:pgSz w:w="11906" w:h="16838" w:orient="portrait"/>
      <w:pgMar w:top="1134" w:right="1134" w:bottom="1134" w:left="1134"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2">
    <w:panose1 w:val="05020102010507070707"/>
  </w:font>
  <w:font w:name="方正魏碑_GBK">
    <w:panose1 w:val="020B0503020202020204"/>
  </w:font>
  <w:font w:name="Wingdings">
    <w:panose1 w:val="05000000000000000000"/>
  </w:font>
  <w:font w:name="TimesNewRomanPSMT">
    <w:panose1 w:val="02020603050405020304"/>
  </w:font>
  <w:font w:name="仿宋">
    <w:panose1 w:val="02010609060101010101"/>
  </w:font>
  <w:font w:name="微软雅黑">
    <w:panose1 w:val="020B0503020204020204"/>
  </w:font>
  <w:font w:name="Calibri">
    <w:panose1 w:val="020F0502020204030204"/>
  </w:font>
  <w:font w:name="华文细黑">
    <w:panose1 w:val="02010600040101010101"/>
  </w:font>
  <w:font w:name="Courier New">
    <w:panose1 w:val="02070309020205020404"/>
  </w:font>
  <w:font w:name="Symbol">
    <w:panose1 w:val="05050102010706020507"/>
  </w:font>
  <w:font w:name="方正仿宋简体">
    <w:panose1 w:val="020B0503020202020204"/>
  </w:font>
  <w:font w:name="Tahoma">
    <w:panose1 w:val="020B0604030504040204"/>
  </w:font>
  <w:font w:name="仿宋_GB2312">
    <w:panose1 w:val="02010609060101010101"/>
  </w:font>
  <w:font w:name="黑体">
    <w:panose1 w:val="02010609060101010101"/>
  </w:font>
  <w:font w:name="Cambria">
    <w:panose1 w:val="02040503050406030204"/>
  </w:font>
  <w:font w:name="楷体_GB2312">
    <w:panose1 w:val="02010609060101010101"/>
  </w:font>
  <w:font w:name="Arial Unicode MS">
    <w:panose1 w:val="020B0604020202020204"/>
  </w:font>
  <w:font w:name="Arial">
    <w:panose1 w:val="020B0604020202020204"/>
  </w:font>
  <w:font w:name="创艺简仿宋">
    <w:panose1 w:val="020B0503020202020204"/>
  </w:font>
  <w:font w:name="monospace">
    <w:panose1 w:val="020B0503020202020204"/>
  </w:font>
  <w:font w:name="宋体">
    <w:panose1 w:val="02010600030101010101"/>
  </w:font>
  <w:font w:name="ABBvoice CNSG">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7"/>
      <w:ind w:right="360" w:firstLine="342"/>
    </w:pPr>
    <w:r>
      <w:rPr>
        <w:rFonts w:hint="eastAsia"/>
      </w:rPr>
      <w:t xml:space="preserve">苏州正杰招投标咨询服务有限公司</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7"/>
      <w:rPr>
        <w:rStyle w:val="1001"/>
      </w:rPr>
      <w:framePr w:wrap="around" w:vAnchor="text" w:hAnchor="margin" w:xAlign="right" w:y="1"/>
    </w:pPr>
    <w:r>
      <w:fldChar w:fldCharType="begin"/>
    </w:r>
    <w:r>
      <w:rPr>
        <w:rStyle w:val="1001"/>
      </w:rPr>
      <w:instrText xml:space="preserve">PAGE  </w:instrText>
    </w:r>
    <w:r>
      <w:fldChar w:fldCharType="end"/>
    </w:r>
    <w:r/>
  </w:p>
  <w:p>
    <w:pPr>
      <w:pStyle w:val="977"/>
      <w:ind w:right="360" w:firstLine="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7"/>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7"/>
      <w:ind w:right="360" w:firstLine="342"/>
    </w:pPr>
    <w:r>
      <w:rPr>
        <w:rFonts w:hint="eastAsia"/>
      </w:rPr>
      <w:t xml:space="preserve">苏州正杰招投标咨询服务有限公司</w: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7"/>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7"/>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1828800" cy="1828800"/>
                      </a:xfrm>
                      <a:prstGeom prst="rect">
                        <a:avLst/>
                      </a:prstGeom>
                      <a:noFill/>
                      <a:ln>
                        <a:noFill/>
                      </a:ln>
                      <a:effectLst/>
                    </wps:spPr>
                    <wps:txbx>
                      <w:txbxContent>
                        <w:p>
                          <w:pPr>
                            <w:pStyle w:val="977"/>
                          </w:pPr>
                          <w:r>
                            <w:fldChar w:fldCharType="begin"/>
                          </w:r>
                          <w:r>
                            <w:instrText xml:space="preserve"> PAGE  \* MERGEFORMAT </w:instrText>
                          </w:r>
                          <w:r>
                            <w:fldChar w:fldCharType="separate"/>
                          </w:r>
                          <w:r>
                            <w:t xml:space="preserve">63</w:t>
                          </w:r>
                          <w:r>
                            <w:fldChar w:fldCharType="end"/>
                          </w:r>
                          <w:r/>
                        </w:p>
                      </w:txbxContent>
                    </wps:txbx>
                    <wps:bodyPr rot="0" vert="horz" wrap="none" lIns="0" tIns="0" rIns="0" bIns="0" anchor="t" anchorCtr="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v:textbox inset="0,0,0,0">
                <w:txbxContent>
                  <w:p>
                    <w:pPr>
                      <w:pStyle w:val="977"/>
                    </w:pPr>
                    <w:r>
                      <w:fldChar w:fldCharType="begin"/>
                    </w:r>
                    <w:r>
                      <w:instrText xml:space="preserve"> PAGE  \* MERGEFORMAT </w:instrText>
                    </w:r>
                    <w:r>
                      <w:fldChar w:fldCharType="separate"/>
                    </w:r>
                    <w:r>
                      <w:t xml:space="preserve">63</w:t>
                    </w:r>
                    <w: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7"/>
      <w:ind w:right="360"/>
      <w:rPr>
        <w:rFonts w:ascii="宋体" w:hAnsi="宋体" w:eastAsia="宋体" w:cs="宋体"/>
      </w:rPr>
    </w:pPr>
    <w:r>
      <w:rPr>
        <w:rFonts w:hint="eastAsia" w:ascii="宋体" w:hAnsi="宋体" w:eastAsia="宋体" w:cs="宋体"/>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right</wp:align>
              </wp:positionH>
              <wp:positionV relativeFrom="paragraph">
                <wp:posOffset>0</wp:posOffset>
              </wp:positionV>
              <wp:extent cx="1828800" cy="1828800"/>
              <wp:effectExtent l="0" t="0" r="0" b="0"/>
              <wp:wrapNone/>
              <wp:docPr id="2"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77"/>
                            <w:rPr>
                              <w:rFonts w:ascii="宋体" w:hAnsi="宋体" w:eastAsia="宋体" w:cs="宋体"/>
                              <w:sz w:val="21"/>
                              <w:szCs w:val="21"/>
                            </w:rPr>
                          </w:pPr>
                          <w:r>
                            <w:rPr>
                              <w:rFonts w:hint="eastAsia" w:ascii="宋体" w:hAnsi="宋体" w:eastAsia="宋体" w:cs="宋体"/>
                              <w:sz w:val="21"/>
                              <w:szCs w:val="21"/>
                            </w:rPr>
                            <w:t xml:space="preserve">第 </w:t>
                          </w: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PAGE  \* MERGEFORMAT </w:instrText>
                          </w:r>
                          <w:r>
                            <w:rPr>
                              <w:rFonts w:hint="eastAsia" w:ascii="宋体" w:hAnsi="宋体" w:eastAsia="宋体" w:cs="宋体"/>
                              <w:sz w:val="21"/>
                              <w:szCs w:val="21"/>
                            </w:rPr>
                            <w:fldChar w:fldCharType="separate"/>
                          </w:r>
                          <w:r>
                            <w:rPr>
                              <w:rFonts w:ascii="宋体" w:hAnsi="宋体" w:eastAsia="宋体" w:cs="宋体"/>
                              <w:sz w:val="21"/>
                              <w:szCs w:val="21"/>
                            </w:rPr>
                            <w:t xml:space="preserve">66</w:t>
                          </w:r>
                          <w:r>
                            <w:rPr>
                              <w:rFonts w:hint="eastAsia" w:ascii="宋体" w:hAnsi="宋体" w:eastAsia="宋体" w:cs="宋体"/>
                              <w:sz w:val="21"/>
                              <w:szCs w:val="21"/>
                            </w:rPr>
                            <w:fldChar w:fldCharType="end"/>
                          </w:r>
                          <w:r>
                            <w:rPr>
                              <w:rFonts w:hint="eastAsia" w:ascii="宋体" w:hAnsi="宋体" w:eastAsia="宋体" w:cs="宋体"/>
                              <w:sz w:val="21"/>
                              <w:szCs w:val="21"/>
                            </w:rPr>
                            <w:t xml:space="preserve"> 页</w:t>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right;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77"/>
                      <w:rPr>
                        <w:rFonts w:ascii="宋体" w:hAnsi="宋体" w:eastAsia="宋体" w:cs="宋体"/>
                        <w:sz w:val="21"/>
                        <w:szCs w:val="21"/>
                      </w:rPr>
                    </w:pPr>
                    <w:r>
                      <w:rPr>
                        <w:rFonts w:hint="eastAsia" w:ascii="宋体" w:hAnsi="宋体" w:eastAsia="宋体" w:cs="宋体"/>
                        <w:sz w:val="21"/>
                        <w:szCs w:val="21"/>
                      </w:rPr>
                      <w:t xml:space="preserve">第 </w:t>
                    </w: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PAGE  \* MERGEFORMAT </w:instrText>
                    </w:r>
                    <w:r>
                      <w:rPr>
                        <w:rFonts w:hint="eastAsia" w:ascii="宋体" w:hAnsi="宋体" w:eastAsia="宋体" w:cs="宋体"/>
                        <w:sz w:val="21"/>
                        <w:szCs w:val="21"/>
                      </w:rPr>
                      <w:fldChar w:fldCharType="separate"/>
                    </w:r>
                    <w:r>
                      <w:rPr>
                        <w:rFonts w:ascii="宋体" w:hAnsi="宋体" w:eastAsia="宋体" w:cs="宋体"/>
                        <w:sz w:val="21"/>
                        <w:szCs w:val="21"/>
                      </w:rPr>
                      <w:t xml:space="preserve">66</w:t>
                    </w:r>
                    <w:r>
                      <w:rPr>
                        <w:rFonts w:hint="eastAsia" w:ascii="宋体" w:hAnsi="宋体" w:eastAsia="宋体" w:cs="宋体"/>
                        <w:sz w:val="21"/>
                        <w:szCs w:val="21"/>
                      </w:rPr>
                      <w:fldChar w:fldCharType="end"/>
                    </w:r>
                    <w:r>
                      <w:rPr>
                        <w:rFonts w:hint="eastAsia" w:ascii="宋体" w:hAnsi="宋体" w:eastAsia="宋体" w:cs="宋体"/>
                        <w:sz w:val="21"/>
                        <w:szCs w:val="21"/>
                      </w:rPr>
                      <w:t xml:space="preserve"> 页</w:t>
                    </w:r>
                    <w:r/>
                  </w:p>
                </w:txbxContent>
              </v:textbox>
            </v:shape>
          </w:pict>
        </mc:Fallback>
      </mc:AlternateContent>
    </w:r>
    <w:r>
      <w:rPr>
        <w:rFonts w:hint="eastAsia" w:ascii="宋体" w:hAnsi="宋体" w:eastAsia="宋体" w:cs="宋体"/>
      </w:rPr>
      <w:t xml:space="preserve">苏州正杰招投标咨询服务有限公司</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9"/>
      <w:jc w:val="both"/>
      <w:rPr>
        <w:rFonts w:ascii="宋体" w:hAnsi="宋体" w:eastAsia="宋体" w:cs="宋体"/>
        <w:sz w:val="21"/>
        <w:szCs w:val="21"/>
      </w:rPr>
    </w:pPr>
    <w:r>
      <w:rPr>
        <w:rFonts w:hint="eastAsia" w:ascii="宋体" w:hAnsi="宋体" w:eastAsia="宋体" w:cs="宋体"/>
        <w:sz w:val="21"/>
        <w:szCs w:val="21"/>
      </w:rPr>
      <w:t xml:space="preserve">政府采购招标文件                                      项目编号：</w:t>
    </w:r>
    <w:r>
      <w:rPr>
        <w:rFonts w:hint="eastAsia" w:ascii="宋体" w:hAnsi="宋体" w:eastAsia="宋体" w:cs="宋体"/>
        <w:sz w:val="21"/>
        <w:szCs w:val="21"/>
        <w:lang w:eastAsia="zh-CN"/>
      </w:rPr>
      <w:t xml:space="preserve">JSZC-320500-SZZJ-G2026-0025</w:t>
    </w:r>
    <w:r>
      <w:rPr>
        <w:rFonts w:hint="eastAsia" w:ascii="宋体" w:hAnsi="宋体" w:eastAsia="宋体" w:cs="宋体"/>
        <w:sz w:val="21"/>
        <w:szCs w:val="21"/>
      </w:rPr>
      <w:t xml:space="preserve">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9"/>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9"/>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8"/>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ind w:left="425" w:hanging="425"/>
      </w:pPr>
      <w:rPr>
        <w:rFonts w:hint="eastAsia"/>
      </w:rPr>
    </w:lvl>
    <w:lvl w:ilvl="1">
      <w:start w:val="1"/>
      <w:numFmt w:val="decimal"/>
      <w:isLgl w:val="false"/>
      <w:suff w:val="tab"/>
      <w:lvlText w:val="%1.%2"/>
      <w:lvlJc w:val="left"/>
      <w:pPr>
        <w:ind w:left="1277" w:hanging="567"/>
      </w:pPr>
    </w:lvl>
    <w:lvl w:ilvl="2">
      <w:start w:val="1"/>
      <w:numFmt w:val="decimal"/>
      <w:isLgl w:val="false"/>
      <w:suff w:val="tab"/>
      <w:lvlText w:val="%1.%2.%3"/>
      <w:lvlJc w:val="left"/>
      <w:pPr>
        <w:ind w:left="992" w:hanging="567"/>
      </w:pPr>
    </w:lvl>
    <w:lvl w:ilvl="3">
      <w:start w:val="1"/>
      <w:numFmt w:val="decimal"/>
      <w:isLgl w:val="false"/>
      <w:suff w:val="tab"/>
      <w:lvlText w:val="%1.%2.%3.%4"/>
      <w:lvlJc w:val="left"/>
      <w:pPr>
        <w:ind w:left="1984" w:hanging="708"/>
      </w:pPr>
    </w:lvl>
    <w:lvl w:ilvl="4">
      <w:start w:val="1"/>
      <w:numFmt w:val="decimal"/>
      <w:isLgl w:val="false"/>
      <w:suff w:val="tab"/>
      <w:lvlText w:val="%1.%2.%3.%4.%5"/>
      <w:lvlJc w:val="left"/>
      <w:pPr>
        <w:ind w:left="2551" w:hanging="850"/>
      </w:pPr>
    </w:lvl>
    <w:lvl w:ilvl="5">
      <w:start w:val="1"/>
      <w:numFmt w:val="decimal"/>
      <w:isLgl w:val="false"/>
      <w:suff w:val="tab"/>
      <w:lvlText w:val="%1.%2.%3.%4.%5.%6"/>
      <w:lvlJc w:val="left"/>
      <w:pPr>
        <w:ind w:left="3260" w:hanging="1134"/>
      </w:pPr>
    </w:lvl>
    <w:lvl w:ilvl="6">
      <w:start w:val="1"/>
      <w:numFmt w:val="decimal"/>
      <w:isLgl w:val="false"/>
      <w:suff w:val="tab"/>
      <w:lvlText w:val="%1.%2.%3.%4.%5.%6.%7"/>
      <w:lvlJc w:val="left"/>
      <w:pPr>
        <w:ind w:left="3827" w:hanging="1276"/>
      </w:pPr>
    </w:lvl>
    <w:lvl w:ilvl="7">
      <w:start w:val="1"/>
      <w:numFmt w:val="decimal"/>
      <w:isLgl w:val="false"/>
      <w:suff w:val="tab"/>
      <w:lvlText w:val="%1.%2.%3.%4.%5.%6.%7.%8"/>
      <w:lvlJc w:val="left"/>
      <w:pPr>
        <w:ind w:left="4394" w:hanging="1418"/>
      </w:pPr>
    </w:lvl>
    <w:lvl w:ilvl="8">
      <w:start w:val="1"/>
      <w:numFmt w:val="decimal"/>
      <w:isLgl w:val="false"/>
      <w:suff w:val="tab"/>
      <w:lvlText w:val="%1.%2.%3.%4.%5.%6.%7.%8.%9"/>
      <w:lvlJc w:val="left"/>
      <w:pPr>
        <w:ind w:left="5102" w:hanging="1700"/>
      </w:pPr>
    </w:lvl>
  </w:abstractNum>
  <w:abstractNum w:abstractNumId="5">
    <w:multiLevelType w:val="hybridMultilevel"/>
    <w:lvl w:ilvl="0">
      <w:start w:val="1"/>
      <w:numFmt w:val="decimal"/>
      <w:pStyle w:val="1030"/>
      <w:isLgl w:val="false"/>
      <w:suff w:val="tab"/>
      <w:lvlText w:val="%1"/>
      <w:lvlJc w:val="left"/>
      <w:pPr>
        <w:ind w:left="432" w:hanging="432"/>
        <w:tabs>
          <w:tab w:val="left" w:pos="432" w:leader="none"/>
        </w:tabs>
      </w:pPr>
    </w:lvl>
    <w:lvl w:ilvl="1">
      <w:start w:val="1"/>
      <w:numFmt w:val="decimal"/>
      <w:isLgl w:val="false"/>
      <w:suff w:val="tab"/>
      <w:lvlText w:val="%1.%2"/>
      <w:lvlJc w:val="left"/>
      <w:pPr>
        <w:ind w:left="576" w:hanging="576"/>
        <w:tabs>
          <w:tab w:val="left" w:pos="576" w:leader="none"/>
        </w:tabs>
      </w:pPr>
    </w:lvl>
    <w:lvl w:ilvl="2">
      <w:start w:val="1"/>
      <w:numFmt w:val="decimal"/>
      <w:isLgl w:val="false"/>
      <w:suff w:val="tab"/>
      <w:lvlText w:val="%1.%2.%3"/>
      <w:lvlJc w:val="left"/>
      <w:pPr>
        <w:ind w:left="720" w:hanging="720"/>
        <w:tabs>
          <w:tab w:val="left" w:pos="720" w:leader="none"/>
        </w:tabs>
      </w:pPr>
    </w:lvl>
    <w:lvl w:ilvl="3">
      <w:start w:val="1"/>
      <w:numFmt w:val="decimal"/>
      <w:isLgl w:val="false"/>
      <w:suff w:val="tab"/>
      <w:lvlText w:val="%1.%2.%3.%4"/>
      <w:lvlJc w:val="left"/>
      <w:pPr>
        <w:ind w:left="864" w:hanging="864"/>
        <w:tabs>
          <w:tab w:val="left" w:pos="864" w:leader="none"/>
        </w:tabs>
      </w:pPr>
    </w:lvl>
    <w:lvl w:ilvl="4">
      <w:start w:val="1"/>
      <w:numFmt w:val="decimal"/>
      <w:pStyle w:val="951"/>
      <w:isLgl w:val="false"/>
      <w:suff w:val="tab"/>
      <w:lvlText w:val="%1.%2.%3.%4.%5"/>
      <w:lvlJc w:val="left"/>
      <w:pPr>
        <w:ind w:left="1008" w:hanging="1008"/>
        <w:tabs>
          <w:tab w:val="left" w:pos="1008" w:leader="none"/>
        </w:tabs>
      </w:pPr>
    </w:lvl>
    <w:lvl w:ilvl="5">
      <w:start w:val="1"/>
      <w:numFmt w:val="decimal"/>
      <w:pStyle w:val="952"/>
      <w:isLgl w:val="false"/>
      <w:suff w:val="tab"/>
      <w:lvlText w:val="%1.%2.%3.%4.%5.%6"/>
      <w:lvlJc w:val="left"/>
      <w:pPr>
        <w:ind w:left="1152" w:hanging="1152"/>
        <w:tabs>
          <w:tab w:val="left" w:pos="1152" w:leader="none"/>
        </w:tabs>
      </w:pPr>
    </w:lvl>
    <w:lvl w:ilvl="6">
      <w:start w:val="1"/>
      <w:numFmt w:val="decimal"/>
      <w:pStyle w:val="953"/>
      <w:isLgl w:val="false"/>
      <w:suff w:val="tab"/>
      <w:lvlText w:val="%1.%2.%3.%4.%5.%6.%7"/>
      <w:lvlJc w:val="left"/>
      <w:pPr>
        <w:ind w:left="1296" w:hanging="1296"/>
        <w:tabs>
          <w:tab w:val="left" w:pos="1296" w:leader="none"/>
        </w:tabs>
      </w:pPr>
    </w:lvl>
    <w:lvl w:ilvl="7">
      <w:start w:val="1"/>
      <w:numFmt w:val="decimal"/>
      <w:pStyle w:val="954"/>
      <w:isLgl w:val="false"/>
      <w:suff w:val="tab"/>
      <w:lvlText w:val="%1.%2.%3.%4.%5.%6.%7.%8"/>
      <w:lvlJc w:val="left"/>
      <w:pPr>
        <w:ind w:left="1440" w:hanging="1440"/>
        <w:tabs>
          <w:tab w:val="left" w:pos="1440" w:leader="none"/>
        </w:tabs>
      </w:pPr>
    </w:lvl>
    <w:lvl w:ilvl="8">
      <w:start w:val="1"/>
      <w:numFmt w:val="decimal"/>
      <w:pStyle w:val="955"/>
      <w:isLgl w:val="false"/>
      <w:suff w:val="tab"/>
      <w:lvlText w:val="%1.%2.%3.%4.%5.%6.%7.%8.%9"/>
      <w:lvlJc w:val="left"/>
      <w:pPr>
        <w:ind w:left="1584" w:hanging="1584"/>
        <w:tabs>
          <w:tab w:val="left" w:pos="1584" w:leader="none"/>
        </w:tabs>
      </w:pPr>
    </w:lvl>
  </w:abstractNum>
  <w:num w:numId="1">
    <w:abstractNumId w:val="5"/>
  </w:num>
  <w:num w:numId="2">
    <w:abstractNumId w:val="4"/>
  </w:num>
  <w:num w:numId="3">
    <w:abstractNumId w:val="3"/>
  </w:num>
  <w:num w:numId="4">
    <w:abstractNumId w:val="2"/>
  </w:num>
  <w:num w:numId="5">
    <w:abstractNumId w:val="0"/>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96">
    <w:name w:val="Heading 1 Char"/>
    <w:basedOn w:val="956"/>
    <w:link w:val="947"/>
    <w:uiPriority w:val="9"/>
    <w:rPr>
      <w:rFonts w:ascii="Arial" w:hAnsi="Arial" w:eastAsia="Arial" w:cs="Arial"/>
      <w:sz w:val="40"/>
      <w:szCs w:val="40"/>
    </w:rPr>
  </w:style>
  <w:style w:type="character" w:styleId="797">
    <w:name w:val="Heading 2 Char"/>
    <w:basedOn w:val="956"/>
    <w:link w:val="948"/>
    <w:uiPriority w:val="9"/>
    <w:rPr>
      <w:rFonts w:ascii="Arial" w:hAnsi="Arial" w:eastAsia="Arial" w:cs="Arial"/>
      <w:sz w:val="34"/>
    </w:rPr>
  </w:style>
  <w:style w:type="character" w:styleId="798">
    <w:name w:val="Heading 3 Char"/>
    <w:basedOn w:val="956"/>
    <w:link w:val="949"/>
    <w:uiPriority w:val="9"/>
    <w:rPr>
      <w:rFonts w:ascii="Arial" w:hAnsi="Arial" w:eastAsia="Arial" w:cs="Arial"/>
      <w:sz w:val="30"/>
      <w:szCs w:val="30"/>
    </w:rPr>
  </w:style>
  <w:style w:type="character" w:styleId="799">
    <w:name w:val="Heading 4 Char"/>
    <w:basedOn w:val="956"/>
    <w:link w:val="1015"/>
    <w:uiPriority w:val="9"/>
    <w:rPr>
      <w:rFonts w:ascii="Arial" w:hAnsi="Arial" w:eastAsia="Arial" w:cs="Arial"/>
      <w:b/>
      <w:bCs/>
      <w:sz w:val="26"/>
      <w:szCs w:val="26"/>
    </w:rPr>
  </w:style>
  <w:style w:type="character" w:styleId="800">
    <w:name w:val="Heading 5 Char"/>
    <w:basedOn w:val="956"/>
    <w:link w:val="951"/>
    <w:uiPriority w:val="9"/>
    <w:rPr>
      <w:rFonts w:ascii="Arial" w:hAnsi="Arial" w:eastAsia="Arial" w:cs="Arial"/>
      <w:b/>
      <w:bCs/>
      <w:sz w:val="24"/>
      <w:szCs w:val="24"/>
    </w:rPr>
  </w:style>
  <w:style w:type="character" w:styleId="801">
    <w:name w:val="Heading 6 Char"/>
    <w:basedOn w:val="956"/>
    <w:link w:val="952"/>
    <w:uiPriority w:val="9"/>
    <w:rPr>
      <w:rFonts w:ascii="Arial" w:hAnsi="Arial" w:eastAsia="Arial" w:cs="Arial"/>
      <w:b/>
      <w:bCs/>
      <w:sz w:val="22"/>
      <w:szCs w:val="22"/>
    </w:rPr>
  </w:style>
  <w:style w:type="character" w:styleId="802">
    <w:name w:val="Heading 7 Char"/>
    <w:basedOn w:val="956"/>
    <w:link w:val="953"/>
    <w:uiPriority w:val="9"/>
    <w:rPr>
      <w:rFonts w:ascii="Arial" w:hAnsi="Arial" w:eastAsia="Arial" w:cs="Arial"/>
      <w:b/>
      <w:bCs/>
      <w:i/>
      <w:iCs/>
      <w:sz w:val="22"/>
      <w:szCs w:val="22"/>
    </w:rPr>
  </w:style>
  <w:style w:type="character" w:styleId="803">
    <w:name w:val="Heading 8 Char"/>
    <w:basedOn w:val="956"/>
    <w:link w:val="954"/>
    <w:uiPriority w:val="9"/>
    <w:rPr>
      <w:rFonts w:ascii="Arial" w:hAnsi="Arial" w:eastAsia="Arial" w:cs="Arial"/>
      <w:i/>
      <w:iCs/>
      <w:sz w:val="22"/>
      <w:szCs w:val="22"/>
    </w:rPr>
  </w:style>
  <w:style w:type="character" w:styleId="804">
    <w:name w:val="Heading 9 Char"/>
    <w:basedOn w:val="956"/>
    <w:link w:val="955"/>
    <w:uiPriority w:val="9"/>
    <w:rPr>
      <w:rFonts w:ascii="Arial" w:hAnsi="Arial" w:eastAsia="Arial" w:cs="Arial"/>
      <w:i/>
      <w:iCs/>
      <w:sz w:val="21"/>
      <w:szCs w:val="21"/>
    </w:rPr>
  </w:style>
  <w:style w:type="character" w:styleId="805">
    <w:name w:val="Title Char"/>
    <w:basedOn w:val="956"/>
    <w:link w:val="995"/>
    <w:uiPriority w:val="10"/>
    <w:rPr>
      <w:sz w:val="48"/>
      <w:szCs w:val="48"/>
    </w:rPr>
  </w:style>
  <w:style w:type="paragraph" w:styleId="806">
    <w:name w:val="Subtitle"/>
    <w:basedOn w:val="946"/>
    <w:next w:val="946"/>
    <w:link w:val="807"/>
    <w:uiPriority w:val="11"/>
    <w:qFormat/>
    <w:pPr>
      <w:spacing w:before="200" w:after="200"/>
    </w:pPr>
    <w:rPr>
      <w:sz w:val="24"/>
      <w:szCs w:val="24"/>
    </w:rPr>
  </w:style>
  <w:style w:type="character" w:styleId="807">
    <w:name w:val="Subtitle Char"/>
    <w:basedOn w:val="956"/>
    <w:link w:val="806"/>
    <w:uiPriority w:val="11"/>
    <w:rPr>
      <w:sz w:val="24"/>
      <w:szCs w:val="24"/>
    </w:rPr>
  </w:style>
  <w:style w:type="paragraph" w:styleId="808">
    <w:name w:val="Quote"/>
    <w:basedOn w:val="946"/>
    <w:next w:val="946"/>
    <w:link w:val="809"/>
    <w:uiPriority w:val="29"/>
    <w:qFormat/>
    <w:pPr>
      <w:ind w:left="720" w:right="720"/>
    </w:pPr>
    <w:rPr>
      <w:i/>
    </w:rPr>
  </w:style>
  <w:style w:type="character" w:styleId="809">
    <w:name w:val="Quote Char"/>
    <w:link w:val="808"/>
    <w:uiPriority w:val="29"/>
    <w:rPr>
      <w:i/>
    </w:rPr>
  </w:style>
  <w:style w:type="paragraph" w:styleId="810">
    <w:name w:val="Intense Quote"/>
    <w:basedOn w:val="946"/>
    <w:next w:val="946"/>
    <w:link w:val="81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11">
    <w:name w:val="Intense Quote Char"/>
    <w:link w:val="810"/>
    <w:uiPriority w:val="30"/>
    <w:rPr>
      <w:i/>
    </w:rPr>
  </w:style>
  <w:style w:type="character" w:styleId="812">
    <w:name w:val="Header Char"/>
    <w:basedOn w:val="956"/>
    <w:link w:val="979"/>
    <w:uiPriority w:val="99"/>
  </w:style>
  <w:style w:type="character" w:styleId="813">
    <w:name w:val="Footer Char"/>
    <w:basedOn w:val="956"/>
    <w:link w:val="977"/>
    <w:uiPriority w:val="99"/>
  </w:style>
  <w:style w:type="paragraph" w:styleId="814">
    <w:name w:val="Caption"/>
    <w:basedOn w:val="946"/>
    <w:next w:val="946"/>
    <w:uiPriority w:val="35"/>
    <w:semiHidden/>
    <w:unhideWhenUsed/>
    <w:qFormat/>
    <w:pPr>
      <w:spacing w:line="276" w:lineRule="auto"/>
    </w:pPr>
    <w:rPr>
      <w:b/>
      <w:bCs/>
      <w:color w:val="4f81bd" w:themeColor="accent1"/>
      <w:sz w:val="18"/>
      <w:szCs w:val="18"/>
    </w:rPr>
  </w:style>
  <w:style w:type="character" w:styleId="815">
    <w:name w:val="Caption Char"/>
    <w:basedOn w:val="814"/>
    <w:link w:val="977"/>
    <w:uiPriority w:val="99"/>
  </w:style>
  <w:style w:type="table" w:styleId="816">
    <w:name w:val="Table Grid Light"/>
    <w:basedOn w:val="95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17">
    <w:name w:val="Plain Table 1"/>
    <w:basedOn w:val="95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8">
    <w:name w:val="Plain Table 2"/>
    <w:basedOn w:val="95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9">
    <w:name w:val="Plain Table 3"/>
    <w:basedOn w:val="95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0">
    <w:name w:val="Plain Table 4"/>
    <w:basedOn w:val="95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1">
    <w:name w:val="Plain Table 5"/>
    <w:basedOn w:val="95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22">
    <w:name w:val="Grid Table 1 Light"/>
    <w:basedOn w:val="95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23">
    <w:name w:val="Grid Table 1 Light - Accent 1"/>
    <w:basedOn w:val="95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24">
    <w:name w:val="Grid Table 1 Light - Accent 2"/>
    <w:basedOn w:val="95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25">
    <w:name w:val="Grid Table 1 Light - Accent 3"/>
    <w:basedOn w:val="95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26">
    <w:name w:val="Grid Table 1 Light - Accent 4"/>
    <w:basedOn w:val="95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27">
    <w:name w:val="Grid Table 1 Light - Accent 5"/>
    <w:basedOn w:val="95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28">
    <w:name w:val="Grid Table 1 Light - Accent 6"/>
    <w:basedOn w:val="95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29">
    <w:name w:val="Grid Table 2"/>
    <w:basedOn w:val="95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30">
    <w:name w:val="Grid Table 2 - Accent 1"/>
    <w:basedOn w:val="95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31">
    <w:name w:val="Grid Table 2 - Accent 2"/>
    <w:basedOn w:val="95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32">
    <w:name w:val="Grid Table 2 - Accent 3"/>
    <w:basedOn w:val="95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33">
    <w:name w:val="Grid Table 2 - Accent 4"/>
    <w:basedOn w:val="95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34">
    <w:name w:val="Grid Table 2 - Accent 5"/>
    <w:basedOn w:val="95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35">
    <w:name w:val="Grid Table 2 - Accent 6"/>
    <w:basedOn w:val="95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36">
    <w:name w:val="Grid Table 3"/>
    <w:basedOn w:val="95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7">
    <w:name w:val="Grid Table 3 - Accent 1"/>
    <w:basedOn w:val="95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8">
    <w:name w:val="Grid Table 3 - Accent 2"/>
    <w:basedOn w:val="95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9">
    <w:name w:val="Grid Table 3 - Accent 3"/>
    <w:basedOn w:val="95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0">
    <w:name w:val="Grid Table 3 - Accent 4"/>
    <w:basedOn w:val="95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1">
    <w:name w:val="Grid Table 3 - Accent 5"/>
    <w:basedOn w:val="95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2">
    <w:name w:val="Grid Table 3 - Accent 6"/>
    <w:basedOn w:val="95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3">
    <w:name w:val="Grid Table 4"/>
    <w:basedOn w:val="95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4">
    <w:name w:val="Grid Table 4 - Accent 1"/>
    <w:basedOn w:val="957"/>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ae3f3" w:themeFill="accent1" w:themeFillTint="32"/>
      </w:tcPr>
    </w:tblStylePr>
    <w:tblStylePr w:type="band1Vert">
      <w:rPr>
        <w:rFonts w:ascii="Arial" w:hAnsi="Arial"/>
        <w:color w:val="404040"/>
        <w:sz w:val="22"/>
      </w:rPr>
      <w:tcPr>
        <w:shd w:val="clear" w:color="ffffff"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37fc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45">
    <w:name w:val="Grid Table 4 - Accent 2"/>
    <w:basedOn w:val="957"/>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46">
    <w:name w:val="Grid Table 4 - Accent 3"/>
    <w:basedOn w:val="957"/>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47">
    <w:name w:val="Grid Table 4 - Accent 4"/>
    <w:basedOn w:val="957"/>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48">
    <w:name w:val="Grid Table 4 - Accent 5"/>
    <w:basedOn w:val="957"/>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5b9bd5"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49">
    <w:name w:val="Grid Table 4 - Accent 6"/>
    <w:basedOn w:val="957"/>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50">
    <w:name w:val="Grid Table 5 Dark"/>
    <w:basedOn w:val="95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51">
    <w:name w:val="Grid Table 5 Dark- Accent 1"/>
    <w:basedOn w:val="95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2f2" w:themeFill="accent1" w:themeFillTint="34"/>
    </w:tblPr>
    <w:tblStylePr w:type="band1Horz">
      <w:tcPr>
        <w:shd w:val="clear" w:color="ffffff" w:themeColor="accent1" w:themeTint="75" w:fill="aabfe3" w:themeFill="accent1" w:themeFillTint="75"/>
      </w:tcPr>
    </w:tblStylePr>
    <w:tblStylePr w:type="band1Vert">
      <w:tcPr>
        <w:shd w:val="clear" w:color="ffffff" w:themeColor="accent1" w:themeTint="75" w:fill="aabfe3" w:themeFill="accent1" w:themeFillTint="75"/>
      </w:tcPr>
    </w:tblStylePr>
    <w:tblStylePr w:type="firstCol">
      <w:rPr>
        <w:rFonts w:ascii="Arial" w:hAnsi="Arial"/>
        <w:b/>
        <w:color w:val="ffffff"/>
        <w:sz w:val="22"/>
      </w:rPr>
      <w:tcPr>
        <w:shd w:val="clear" w:color="ffffff" w:themeColor="accent1" w:fill="4472c4" w:themeFill="accent1"/>
      </w:tcPr>
    </w:tblStylePr>
    <w:tblStylePr w:type="firstRow">
      <w:rPr>
        <w:rFonts w:ascii="Arial" w:hAnsi="Arial"/>
        <w:b/>
        <w:color w:val="ffffff"/>
        <w:sz w:val="22"/>
      </w:rPr>
      <w:tcPr>
        <w:shd w:val="clear" w:color="ffffff" w:themeColor="accent1" w:fill="4472c4" w:themeFill="accent1"/>
      </w:tcPr>
    </w:tblStylePr>
    <w:tblStylePr w:type="lastCol">
      <w:rPr>
        <w:rFonts w:ascii="Arial" w:hAnsi="Arial"/>
        <w:b/>
        <w:color w:val="ffffff"/>
        <w:sz w:val="22"/>
      </w:rPr>
      <w:tcPr>
        <w:shd w:val="clear" w:color="ffffff" w:themeColor="accent1" w:fill="4472c4" w:themeFill="accent1"/>
      </w:tcPr>
    </w:tblStylePr>
    <w:tblStylePr w:type="lastRow">
      <w:rPr>
        <w:rFonts w:ascii="Arial" w:hAnsi="Arial"/>
        <w:b/>
        <w:color w:val="ffffff"/>
        <w:sz w:val="22"/>
      </w:rPr>
      <w:tcPr>
        <w:shd w:val="clear" w:color="ffffff" w:themeColor="accent1" w:fill="4472c4" w:themeFill="accent1"/>
        <w:tcBorders>
          <w:top w:val="single" w:color="000000" w:themeColor="light1" w:sz="4" w:space="0"/>
        </w:tcBorders>
      </w:tcPr>
    </w:tblStylePr>
  </w:style>
  <w:style w:type="table" w:styleId="852">
    <w:name w:val="Grid Table 5 Dark - Accent 2"/>
    <w:basedOn w:val="95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53">
    <w:name w:val="Grid Table 5 Dark - Accent 3"/>
    <w:basedOn w:val="95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54">
    <w:name w:val="Grid Table 5 Dark- Accent 4"/>
    <w:basedOn w:val="95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55">
    <w:name w:val="Grid Table 5 Dark - Accent 5"/>
    <w:basedOn w:val="95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debf6" w:themeFill="accent5" w:themeFillTint="34"/>
    </w:tblPr>
    <w:tblStylePr w:type="band1Horz">
      <w:tcPr>
        <w:shd w:val="clear" w:color="ffffff" w:themeColor="accent5" w:themeTint="75" w:fill="b4d2eb" w:themeFill="accent5" w:themeFillTint="75"/>
      </w:tcPr>
    </w:tblStylePr>
    <w:tblStylePr w:type="band1Vert">
      <w:tcPr>
        <w:shd w:val="clear" w:color="ffffff" w:themeColor="accent5" w:themeTint="75" w:fill="b4d2eb" w:themeFill="accent5" w:themeFillTint="75"/>
      </w:tcPr>
    </w:tblStylePr>
    <w:tblStylePr w:type="firstCol">
      <w:rPr>
        <w:rFonts w:ascii="Arial" w:hAnsi="Arial"/>
        <w:b/>
        <w:color w:val="ffffff"/>
        <w:sz w:val="22"/>
      </w:rPr>
      <w:tcPr>
        <w:shd w:val="clear" w:color="ffffff" w:themeColor="accent5" w:fill="5b9bd5" w:themeFill="accent5"/>
      </w:tcPr>
    </w:tblStylePr>
    <w:tblStylePr w:type="firstRow">
      <w:rPr>
        <w:rFonts w:ascii="Arial" w:hAnsi="Arial"/>
        <w:b/>
        <w:color w:val="ffffff"/>
        <w:sz w:val="22"/>
      </w:rPr>
      <w:tcPr>
        <w:shd w:val="clear" w:color="ffffff" w:themeColor="accent5" w:fill="5b9bd5" w:themeFill="accent5"/>
      </w:tcPr>
    </w:tblStylePr>
    <w:tblStylePr w:type="lastCol">
      <w:rPr>
        <w:rFonts w:ascii="Arial" w:hAnsi="Arial"/>
        <w:b/>
        <w:color w:val="ffffff"/>
        <w:sz w:val="22"/>
      </w:rPr>
      <w:tcPr>
        <w:shd w:val="clear" w:color="ffffff" w:themeColor="accent5" w:fill="5b9bd5" w:themeFill="accent5"/>
      </w:tcPr>
    </w:tblStylePr>
    <w:tblStylePr w:type="lastRow">
      <w:rPr>
        <w:rFonts w:ascii="Arial" w:hAnsi="Arial"/>
        <w:b/>
        <w:color w:val="ffffff"/>
        <w:sz w:val="22"/>
      </w:rPr>
      <w:tcPr>
        <w:shd w:val="clear" w:color="ffffff" w:themeColor="accent5" w:fill="5b9bd5" w:themeFill="accent5"/>
        <w:tcBorders>
          <w:top w:val="single" w:color="000000" w:themeColor="light1" w:sz="4" w:space="0"/>
        </w:tcBorders>
      </w:tcPr>
    </w:tblStylePr>
  </w:style>
  <w:style w:type="table" w:styleId="856">
    <w:name w:val="Grid Table 5 Dark - Accent 6"/>
    <w:basedOn w:val="95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57">
    <w:name w:val="Grid Table 6 Colorful"/>
    <w:basedOn w:val="95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58">
    <w:name w:val="Grid Table 6 Colorful - Accent 1"/>
    <w:basedOn w:val="957"/>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404040" w:themeColor="accent1" w:themeTint="80" w:themeShade="95"/>
        <w:sz w:val="22"/>
      </w:rPr>
    </w:tblStylePr>
    <w:tblStylePr w:type="firstCol">
      <w:rPr>
        <w:b/>
        <w:color w:val="3664a9" w:themeColor="accent1" w:themeTint="80" w:themeShade="95"/>
      </w:rPr>
    </w:tblStylePr>
    <w:tblStylePr w:type="firstRow">
      <w:rPr>
        <w:b/>
        <w:color w:val="3664a9" w:themeColor="accent1" w:themeTint="80" w:themeShade="95"/>
      </w:rPr>
      <w:tcPr>
        <w:tcBorders>
          <w:bottom w:val="single" w:color="000000" w:themeColor="accent1" w:themeTint="80" w:sz="12" w:space="0"/>
        </w:tcBorders>
      </w:tcPr>
    </w:tblStylePr>
    <w:tblStylePr w:type="lastCol">
      <w:rPr>
        <w:b/>
        <w:color w:val="3664a9" w:themeColor="accent1" w:themeTint="80" w:themeShade="95"/>
      </w:rPr>
    </w:tblStylePr>
    <w:tblStylePr w:type="lastRow">
      <w:rPr>
        <w:b/>
        <w:color w:val="3664a9" w:themeColor="accent1" w:themeTint="80" w:themeShade="95"/>
      </w:rPr>
    </w:tblStylePr>
    <w:tblStylePr w:type="wholeTable">
      <w:rPr>
        <w:rFonts w:ascii="Arial" w:hAnsi="Arial"/>
        <w:color w:val="404040" w:themeColor="accent1" w:themeTint="80" w:themeShade="95"/>
        <w:sz w:val="22"/>
      </w:rPr>
    </w:tblStylePr>
  </w:style>
  <w:style w:type="table" w:styleId="859">
    <w:name w:val="Grid Table 6 Colorful - Accent 2"/>
    <w:basedOn w:val="95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860">
    <w:name w:val="Grid Table 6 Colorful - Accent 3"/>
    <w:basedOn w:val="957"/>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861">
    <w:name w:val="Grid Table 6 Colorful - Accent 4"/>
    <w:basedOn w:val="95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862">
    <w:name w:val="Grid Table 6 Colorful - Accent 5"/>
    <w:basedOn w:val="957"/>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5"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863">
    <w:name w:val="Grid Table 6 Colorful - Accent 6"/>
    <w:basedOn w:val="957"/>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6"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864">
    <w:name w:val="Grid Table 7 Colorful"/>
    <w:basedOn w:val="95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65">
    <w:name w:val="Grid Table 7 Colorful - Accent 1"/>
    <w:basedOn w:val="957"/>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664a9"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3664a9" w:themeColor="accent1" w:themeTint="80" w:themeShade="95"/>
        <w:sz w:val="22"/>
      </w:rPr>
    </w:tblStylePr>
    <w:tblStylePr w:type="firstCol">
      <w:rPr>
        <w:rFonts w:ascii="Arial" w:hAnsi="Arial"/>
        <w:i/>
        <w:color w:val="3664a9"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664a9"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664a9"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664a9"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66">
    <w:name w:val="Grid Table 7 Colorful - Accent 2"/>
    <w:basedOn w:val="957"/>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67">
    <w:name w:val="Grid Table 7 Colorful - Accent 3"/>
    <w:basedOn w:val="957"/>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68">
    <w:name w:val="Grid Table 7 Colorful - Accent 4"/>
    <w:basedOn w:val="957"/>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69">
    <w:name w:val="Grid Table 7 Colorful - Accent 5"/>
    <w:basedOn w:val="957"/>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45d8d"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245d8d" w:themeColor="accent5" w:themeShade="95"/>
        <w:sz w:val="22"/>
      </w:rPr>
    </w:tblStylePr>
    <w:tblStylePr w:type="firstCol">
      <w:rPr>
        <w:rFonts w:ascii="Arial" w:hAnsi="Arial"/>
        <w:i/>
        <w:color w:val="245d8d"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45d8d"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45d8d"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45d8d"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70">
    <w:name w:val="Grid Table 7 Colorful - Accent 6"/>
    <w:basedOn w:val="957"/>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71">
    <w:name w:val="List Table 1 Light"/>
    <w:basedOn w:val="95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2">
    <w:name w:val="List Table 1 Light - Accent 1"/>
    <w:basedOn w:val="957"/>
    <w:uiPriority w:val="99"/>
    <w:pPr>
      <w:spacing w:after="0" w:line="240" w:lineRule="auto"/>
    </w:pPr>
    <w:tblPr>
      <w:tblStyleRowBandSize w:val="1"/>
      <w:tblStyleColBandSize w:val="1"/>
      <w:tblInd w:w="0" w:type="dxa"/>
    </w:tblPr>
    <w:tblStylePr w:type="band1Horz">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73">
    <w:name w:val="List Table 1 Light - Accent 2"/>
    <w:basedOn w:val="957"/>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74">
    <w:name w:val="List Table 1 Light - Accent 3"/>
    <w:basedOn w:val="957"/>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75">
    <w:name w:val="List Table 1 Light - Accent 4"/>
    <w:basedOn w:val="957"/>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76">
    <w:name w:val="List Table 1 Light - Accent 5"/>
    <w:basedOn w:val="957"/>
    <w:uiPriority w:val="99"/>
    <w:pPr>
      <w:spacing w:after="0" w:line="240" w:lineRule="auto"/>
    </w:pPr>
    <w:tblPr>
      <w:tblStyleRowBandSize w:val="1"/>
      <w:tblStyleColBandSize w:val="1"/>
      <w:tblInd w:w="0" w:type="dxa"/>
    </w:tblPr>
    <w:tblStylePr w:type="band1Horz">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77">
    <w:name w:val="List Table 1 Light - Accent 6"/>
    <w:basedOn w:val="957"/>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78">
    <w:name w:val="List Table 2"/>
    <w:basedOn w:val="95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79">
    <w:name w:val="List Table 2 - Accent 1"/>
    <w:basedOn w:val="957"/>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80">
    <w:name w:val="List Table 2 - Accent 2"/>
    <w:basedOn w:val="957"/>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81">
    <w:name w:val="List Table 2 - Accent 3"/>
    <w:basedOn w:val="957"/>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82">
    <w:name w:val="List Table 2 - Accent 4"/>
    <w:basedOn w:val="957"/>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83">
    <w:name w:val="List Table 2 - Accent 5"/>
    <w:basedOn w:val="957"/>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84">
    <w:name w:val="List Table 2 - Accent 6"/>
    <w:basedOn w:val="957"/>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85">
    <w:name w:val="List Table 3"/>
    <w:basedOn w:val="95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86">
    <w:name w:val="List Table 3 - Accent 1"/>
    <w:basedOn w:val="957"/>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887">
    <w:name w:val="List Table 3 - Accent 2"/>
    <w:basedOn w:val="95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888">
    <w:name w:val="List Table 3 - Accent 3"/>
    <w:basedOn w:val="957"/>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889">
    <w:name w:val="List Table 3 - Accent 4"/>
    <w:basedOn w:val="95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890">
    <w:name w:val="List Table 3 - Accent 5"/>
    <w:basedOn w:val="957"/>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cc4e5" w:themeFill="accent5" w:themeFillTint="9A"/>
      </w:tcPr>
    </w:tblStylePr>
    <w:tblStylePr w:type="lastCol">
      <w:rPr>
        <w:b/>
        <w:color w:val="404040"/>
      </w:rPr>
    </w:tblStylePr>
    <w:tblStylePr w:type="lastRow">
      <w:rPr>
        <w:b/>
        <w:color w:val="404040"/>
      </w:rPr>
    </w:tblStylePr>
  </w:style>
  <w:style w:type="table" w:styleId="891">
    <w:name w:val="List Table 3 - Accent 6"/>
    <w:basedOn w:val="957"/>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892">
    <w:name w:val="List Table 4"/>
    <w:basedOn w:val="95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93">
    <w:name w:val="List Table 4 - Accent 1"/>
    <w:basedOn w:val="957"/>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894">
    <w:name w:val="List Table 4 - Accent 2"/>
    <w:basedOn w:val="957"/>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895">
    <w:name w:val="List Table 4 - Accent 3"/>
    <w:basedOn w:val="957"/>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896">
    <w:name w:val="List Table 4 - Accent 4"/>
    <w:basedOn w:val="957"/>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897">
    <w:name w:val="List Table 4 - Accent 5"/>
    <w:basedOn w:val="957"/>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5b9bd5" w:themeFill="accent5"/>
      </w:tcPr>
    </w:tblStylePr>
    <w:tblStylePr w:type="lastCol">
      <w:rPr>
        <w:b/>
        <w:color w:val="404040"/>
      </w:rPr>
    </w:tblStylePr>
    <w:tblStylePr w:type="lastRow">
      <w:rPr>
        <w:b/>
        <w:color w:val="404040"/>
      </w:rPr>
    </w:tblStylePr>
  </w:style>
  <w:style w:type="table" w:styleId="898">
    <w:name w:val="List Table 4 - Accent 6"/>
    <w:basedOn w:val="957"/>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899">
    <w:name w:val="List Table 5 Dark"/>
    <w:basedOn w:val="95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0">
    <w:name w:val="List Table 5 Dark - Accent 1"/>
    <w:basedOn w:val="957"/>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472c4" w:themeFill="accent1"/>
    </w:tblPr>
    <w:tblStylePr w:type="band1Horz">
      <w:tcPr>
        <w:shd w:val="clear" w:color="ffffff" w:themeColor="accent1" w:fill="4472c4" w:themeFill="accent1"/>
        <w:tcBorders>
          <w:top w:val="single" w:color="000000" w:themeColor="light1" w:sz="4" w:space="0"/>
          <w:bottom w:val="single" w:color="000000" w:themeColor="light1" w:sz="4" w:space="0"/>
        </w:tcBorders>
      </w:tcPr>
    </w:tblStylePr>
    <w:tblStylePr w:type="band1Vert">
      <w:tcPr>
        <w:shd w:val="clear" w:color="ffffff" w:themeColor="accent1" w:fill="4472c4" w:themeFill="accent1"/>
        <w:tcBorders>
          <w:left w:val="single" w:color="000000" w:themeColor="light1" w:sz="4" w:space="0"/>
          <w:right w:val="single" w:color="000000" w:themeColor="light1" w:sz="4" w:space="0"/>
        </w:tcBorders>
      </w:tcPr>
    </w:tblStylePr>
    <w:tblStylePr w:type="band2Horz">
      <w:tcPr>
        <w:shd w:val="clear" w:color="ffffff" w:themeColor="accent1" w:fill="4472c4"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472c4"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1">
    <w:name w:val="List Table 5 Dark - Accent 2"/>
    <w:basedOn w:val="957"/>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2">
    <w:name w:val="List Table 5 Dark - Accent 3"/>
    <w:basedOn w:val="957"/>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3">
    <w:name w:val="List Table 5 Dark - Accent 4"/>
    <w:basedOn w:val="957"/>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4">
    <w:name w:val="List Table 5 Dark - Accent 5"/>
    <w:basedOn w:val="957"/>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cc4e5" w:themeFill="accent5" w:themeFillTint="9A"/>
    </w:tblPr>
    <w:tblStylePr w:type="band1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cc4e5"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cc4e5"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5">
    <w:name w:val="List Table 5 Dark - Accent 6"/>
    <w:basedOn w:val="957"/>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6">
    <w:name w:val="List Table 6 Colorful"/>
    <w:basedOn w:val="95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07">
    <w:name w:val="List Table 6 Colorful - Accent 1"/>
    <w:basedOn w:val="957"/>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404040" w:themeColor="accent1" w:themeShade="95"/>
        <w:sz w:val="22"/>
      </w:rPr>
    </w:tblStylePr>
    <w:tblStylePr w:type="firstCol">
      <w:rPr>
        <w:b/>
        <w:color w:val="254374" w:themeColor="accent1" w:themeShade="95"/>
      </w:rPr>
    </w:tblStylePr>
    <w:tblStylePr w:type="firstRow">
      <w:rPr>
        <w:b/>
        <w:color w:val="254374" w:themeColor="accent1" w:themeShade="95"/>
      </w:rPr>
      <w:tcPr>
        <w:tcBorders>
          <w:bottom w:val="single" w:color="000000" w:themeColor="accent1" w:sz="4" w:space="0"/>
        </w:tcBorders>
      </w:tcPr>
    </w:tblStylePr>
    <w:tblStylePr w:type="lastCol">
      <w:rPr>
        <w:b/>
        <w:color w:val="254374" w:themeColor="accent1" w:themeShade="95"/>
      </w:rPr>
    </w:tblStylePr>
    <w:tblStylePr w:type="lastRow">
      <w:rPr>
        <w:b/>
        <w:color w:val="254374" w:themeColor="accent1" w:themeShade="95"/>
      </w:rPr>
      <w:tcPr>
        <w:tcBorders>
          <w:top w:val="single" w:color="000000" w:themeColor="accent1" w:sz="4" w:space="0"/>
        </w:tcBorders>
      </w:tcPr>
    </w:tblStylePr>
  </w:style>
  <w:style w:type="table" w:styleId="908">
    <w:name w:val="List Table 6 Colorful - Accent 2"/>
    <w:basedOn w:val="957"/>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909">
    <w:name w:val="List Table 6 Colorful - Accent 3"/>
    <w:basedOn w:val="957"/>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910">
    <w:name w:val="List Table 6 Colorful - Accent 4"/>
    <w:basedOn w:val="957"/>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911">
    <w:name w:val="List Table 6 Colorful - Accent 5"/>
    <w:basedOn w:val="957"/>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404040" w:themeColor="accent5" w:themeTint="9A" w:themeShade="95"/>
        <w:sz w:val="22"/>
      </w:rPr>
    </w:tblStylePr>
    <w:tblStylePr w:type="firstCol">
      <w:rPr>
        <w:b/>
        <w:color w:val="2e78b1" w:themeColor="accent5" w:themeTint="9A" w:themeShade="95"/>
      </w:rPr>
    </w:tblStylePr>
    <w:tblStylePr w:type="firstRow">
      <w:rPr>
        <w:b/>
        <w:color w:val="2e78b1" w:themeColor="accent5" w:themeTint="9A" w:themeShade="95"/>
      </w:rPr>
      <w:tcPr>
        <w:tcBorders>
          <w:bottom w:val="single" w:color="000000" w:themeColor="accent5" w:themeTint="9A" w:sz="4" w:space="0"/>
        </w:tcBorders>
      </w:tcPr>
    </w:tblStylePr>
    <w:tblStylePr w:type="lastCol">
      <w:rPr>
        <w:b/>
        <w:color w:val="2e78b1" w:themeColor="accent5" w:themeTint="9A" w:themeShade="95"/>
      </w:rPr>
    </w:tblStylePr>
    <w:tblStylePr w:type="lastRow">
      <w:rPr>
        <w:b/>
        <w:color w:val="2e78b1" w:themeColor="accent5" w:themeTint="9A" w:themeShade="95"/>
      </w:rPr>
      <w:tcPr>
        <w:tcBorders>
          <w:top w:val="single" w:color="000000" w:themeColor="accent5" w:themeTint="9A" w:sz="4" w:space="0"/>
        </w:tcBorders>
      </w:tcPr>
    </w:tblStylePr>
  </w:style>
  <w:style w:type="table" w:styleId="912">
    <w:name w:val="List Table 6 Colorful - Accent 6"/>
    <w:basedOn w:val="957"/>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913">
    <w:name w:val="List Table 7 Colorful"/>
    <w:basedOn w:val="95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14">
    <w:name w:val="List Table 7 Colorful - Accent 1"/>
    <w:basedOn w:val="957"/>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54374"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254374" w:themeColor="accent1" w:themeShade="95"/>
        <w:sz w:val="22"/>
      </w:rPr>
    </w:tblStylePr>
    <w:tblStylePr w:type="firstCol">
      <w:rPr>
        <w:rFonts w:ascii="Arial" w:hAnsi="Arial"/>
        <w:i/>
        <w:color w:val="254374"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54374"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54374"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54374"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54374" w:themeColor="accent1" w:themeShade="95"/>
        <w:sz w:val="22"/>
      </w:rPr>
    </w:tblStylePr>
  </w:style>
  <w:style w:type="table" w:styleId="915">
    <w:name w:val="List Table 7 Colorful - Accent 2"/>
    <w:basedOn w:val="957"/>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916">
    <w:name w:val="List Table 7 Colorful - Accent 3"/>
    <w:basedOn w:val="957"/>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917">
    <w:name w:val="List Table 7 Colorful - Accent 4"/>
    <w:basedOn w:val="957"/>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918">
    <w:name w:val="List Table 7 Colorful - Accent 5"/>
    <w:basedOn w:val="957"/>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e78b1"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2e78b1" w:themeColor="accent5" w:themeTint="9A" w:themeShade="95"/>
        <w:sz w:val="22"/>
      </w:rPr>
    </w:tblStylePr>
    <w:tblStylePr w:type="firstCol">
      <w:rPr>
        <w:rFonts w:ascii="Arial" w:hAnsi="Arial"/>
        <w:i/>
        <w:color w:val="2e78b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e78b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e78b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e78b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e78b1" w:themeColor="accent5" w:themeTint="9A" w:themeShade="95"/>
        <w:sz w:val="22"/>
      </w:rPr>
    </w:tblStylePr>
  </w:style>
  <w:style w:type="table" w:styleId="919">
    <w:name w:val="List Table 7 Colorful - Accent 6"/>
    <w:basedOn w:val="957"/>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920">
    <w:name w:val="Lined - Accent"/>
    <w:basedOn w:val="95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21">
    <w:name w:val="Lined - Accent 1"/>
    <w:basedOn w:val="95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922">
    <w:name w:val="Lined - Accent 2"/>
    <w:basedOn w:val="95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923">
    <w:name w:val="Lined - Accent 3"/>
    <w:basedOn w:val="95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924">
    <w:name w:val="Lined - Accent 4"/>
    <w:basedOn w:val="95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925">
    <w:name w:val="Lined - Accent 5"/>
    <w:basedOn w:val="95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926">
    <w:name w:val="Lined - Accent 6"/>
    <w:basedOn w:val="95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927">
    <w:name w:val="Bordered &amp; Lined - Accent"/>
    <w:basedOn w:val="957"/>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28">
    <w:name w:val="Bordered &amp; Lined - Accent 1"/>
    <w:basedOn w:val="957"/>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929">
    <w:name w:val="Bordered &amp; Lined - Accent 2"/>
    <w:basedOn w:val="957"/>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930">
    <w:name w:val="Bordered &amp; Lined - Accent 3"/>
    <w:basedOn w:val="957"/>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931">
    <w:name w:val="Bordered &amp; Lined - Accent 4"/>
    <w:basedOn w:val="957"/>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932">
    <w:name w:val="Bordered &amp; Lined - Accent 5"/>
    <w:basedOn w:val="957"/>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933">
    <w:name w:val="Bordered &amp; Lined - Accent 6"/>
    <w:basedOn w:val="957"/>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934">
    <w:name w:val="Bordered"/>
    <w:basedOn w:val="957"/>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35">
    <w:name w:val="Bordered - Accent 1"/>
    <w:basedOn w:val="95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36">
    <w:name w:val="Bordered - Accent 2"/>
    <w:basedOn w:val="95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37">
    <w:name w:val="Bordered - Accent 3"/>
    <w:basedOn w:val="95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38">
    <w:name w:val="Bordered - Accent 4"/>
    <w:basedOn w:val="95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39">
    <w:name w:val="Bordered - Accent 5"/>
    <w:basedOn w:val="95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40">
    <w:name w:val="Bordered - Accent 6"/>
    <w:basedOn w:val="95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41">
    <w:name w:val="Footnote Text Char"/>
    <w:link w:val="984"/>
    <w:uiPriority w:val="99"/>
    <w:rPr>
      <w:sz w:val="18"/>
    </w:rPr>
  </w:style>
  <w:style w:type="paragraph" w:styleId="942">
    <w:name w:val="endnote text"/>
    <w:basedOn w:val="946"/>
    <w:link w:val="943"/>
    <w:uiPriority w:val="99"/>
    <w:semiHidden/>
    <w:unhideWhenUsed/>
    <w:pPr>
      <w:spacing w:after="0" w:line="240" w:lineRule="auto"/>
    </w:pPr>
    <w:rPr>
      <w:sz w:val="20"/>
    </w:rPr>
  </w:style>
  <w:style w:type="character" w:styleId="943">
    <w:name w:val="Endnote Text Char"/>
    <w:link w:val="942"/>
    <w:uiPriority w:val="99"/>
    <w:rPr>
      <w:sz w:val="20"/>
    </w:rPr>
  </w:style>
  <w:style w:type="character" w:styleId="944">
    <w:name w:val="endnote reference"/>
    <w:basedOn w:val="956"/>
    <w:uiPriority w:val="99"/>
    <w:semiHidden/>
    <w:unhideWhenUsed/>
    <w:rPr>
      <w:vertAlign w:val="superscript"/>
    </w:rPr>
  </w:style>
  <w:style w:type="paragraph" w:styleId="945">
    <w:name w:val="TOC Heading"/>
    <w:uiPriority w:val="39"/>
    <w:unhideWhenUsed/>
  </w:style>
  <w:style w:type="paragraph" w:styleId="946" w:default="1">
    <w:name w:val="Normal"/>
    <w:uiPriority w:val="0"/>
    <w:qFormat/>
    <w:pPr>
      <w:jc w:val="both"/>
      <w:widowControl w:val="off"/>
    </w:pPr>
    <w:rPr>
      <w:rFonts w:ascii="Times New Roman" w:hAnsi="Times New Roman" w:eastAsia="楷体_GB2312" w:cs="Times New Roman"/>
      <w:sz w:val="26"/>
      <w:lang w:val="en-US" w:eastAsia="zh-CN" w:bidi="ar-SA"/>
    </w:rPr>
  </w:style>
  <w:style w:type="paragraph" w:styleId="947">
    <w:name w:val="Heading 1"/>
    <w:basedOn w:val="946"/>
    <w:next w:val="946"/>
    <w:link w:val="1082"/>
    <w:uiPriority w:val="0"/>
    <w:qFormat/>
    <w:pPr>
      <w:keepLines/>
      <w:keepNext/>
      <w:spacing w:before="340" w:after="330" w:line="578" w:lineRule="auto"/>
      <w:outlineLvl w:val="0"/>
    </w:pPr>
    <w:rPr>
      <w:b/>
      <w:sz w:val="44"/>
    </w:rPr>
  </w:style>
  <w:style w:type="paragraph" w:styleId="948">
    <w:name w:val="Heading 2"/>
    <w:basedOn w:val="946"/>
    <w:next w:val="946"/>
    <w:uiPriority w:val="0"/>
    <w:qFormat/>
    <w:pPr>
      <w:jc w:val="left"/>
      <w:keepLines/>
      <w:keepNext/>
      <w:outlineLvl w:val="1"/>
    </w:pPr>
    <w:rPr>
      <w:rFonts w:ascii="宋体" w:hAnsi="宋体"/>
      <w:b/>
    </w:rPr>
  </w:style>
  <w:style w:type="paragraph" w:styleId="949">
    <w:name w:val="Heading 3"/>
    <w:basedOn w:val="946"/>
    <w:next w:val="946"/>
    <w:uiPriority w:val="0"/>
    <w:qFormat/>
    <w:pPr>
      <w:jc w:val="left"/>
      <w:keepLines/>
      <w:keepNext/>
      <w:outlineLvl w:val="2"/>
    </w:pPr>
    <w:rPr>
      <w:b/>
    </w:rPr>
  </w:style>
  <w:style w:type="paragraph" w:styleId="950">
    <w:name w:val="Heading 4"/>
    <w:basedOn w:val="946"/>
    <w:next w:val="946"/>
    <w:uiPriority w:val="9"/>
    <w:qFormat/>
    <w:pPr>
      <w:keepLines/>
      <w:keepNext/>
      <w:spacing w:before="280" w:after="290" w:line="376" w:lineRule="auto"/>
      <w:outlineLvl w:val="3"/>
    </w:pPr>
    <w:rPr>
      <w:rFonts w:ascii="Cambria" w:hAnsi="Cambria"/>
      <w:bCs/>
      <w:szCs w:val="28"/>
    </w:rPr>
  </w:style>
  <w:style w:type="paragraph" w:styleId="951">
    <w:name w:val="Heading 5"/>
    <w:basedOn w:val="946"/>
    <w:next w:val="958"/>
    <w:uiPriority w:val="0"/>
    <w:qFormat/>
    <w:pPr>
      <w:numPr>
        <w:ilvl w:val="4"/>
        <w:numId w:val="1"/>
      </w:numPr>
      <w:keepLines/>
      <w:keepNext/>
      <w:spacing w:before="280" w:after="290" w:line="376" w:lineRule="auto"/>
      <w:outlineLvl w:val="4"/>
    </w:pPr>
    <w:rPr>
      <w:rFonts w:ascii="宋体" w:eastAsia="宋体"/>
      <w:b/>
      <w:spacing w:val="-2"/>
      <w:position w:val="-6"/>
      <w:sz w:val="28"/>
    </w:rPr>
  </w:style>
  <w:style w:type="paragraph" w:styleId="952">
    <w:name w:val="Heading 6"/>
    <w:basedOn w:val="946"/>
    <w:next w:val="946"/>
    <w:uiPriority w:val="0"/>
    <w:qFormat/>
    <w:pPr>
      <w:numPr>
        <w:ilvl w:val="5"/>
        <w:numId w:val="1"/>
      </w:numPr>
      <w:keepLines/>
      <w:keepNext/>
      <w:spacing w:before="240" w:after="64" w:line="320" w:lineRule="auto"/>
      <w:outlineLvl w:val="5"/>
    </w:pPr>
    <w:rPr>
      <w:rFonts w:ascii="Arial" w:hAnsi="Arial" w:eastAsia="黑体"/>
      <w:b/>
      <w:spacing w:val="-2"/>
      <w:position w:val="-6"/>
      <w:sz w:val="24"/>
    </w:rPr>
  </w:style>
  <w:style w:type="paragraph" w:styleId="953">
    <w:name w:val="Heading 7"/>
    <w:basedOn w:val="946"/>
    <w:next w:val="958"/>
    <w:uiPriority w:val="0"/>
    <w:qFormat/>
    <w:pPr>
      <w:numPr>
        <w:ilvl w:val="6"/>
        <w:numId w:val="1"/>
      </w:numPr>
      <w:keepLines/>
      <w:keepNext/>
      <w:spacing w:before="240" w:after="64" w:line="320" w:lineRule="auto"/>
      <w:outlineLvl w:val="6"/>
    </w:pPr>
    <w:rPr>
      <w:rFonts w:ascii="宋体" w:eastAsia="宋体"/>
      <w:b/>
      <w:spacing w:val="-2"/>
      <w:position w:val="-6"/>
      <w:sz w:val="24"/>
    </w:rPr>
  </w:style>
  <w:style w:type="paragraph" w:styleId="954">
    <w:name w:val="Heading 8"/>
    <w:basedOn w:val="946"/>
    <w:next w:val="958"/>
    <w:uiPriority w:val="0"/>
    <w:qFormat/>
    <w:pPr>
      <w:numPr>
        <w:ilvl w:val="7"/>
        <w:numId w:val="1"/>
      </w:numPr>
      <w:keepLines/>
      <w:keepNext/>
      <w:spacing w:before="240" w:after="64" w:line="320" w:lineRule="auto"/>
      <w:outlineLvl w:val="7"/>
    </w:pPr>
    <w:rPr>
      <w:rFonts w:ascii="Arial" w:hAnsi="Arial" w:eastAsia="黑体"/>
      <w:spacing w:val="-2"/>
      <w:position w:val="-6"/>
      <w:sz w:val="24"/>
    </w:rPr>
  </w:style>
  <w:style w:type="paragraph" w:styleId="955">
    <w:name w:val="Heading 9"/>
    <w:basedOn w:val="946"/>
    <w:next w:val="958"/>
    <w:uiPriority w:val="0"/>
    <w:qFormat/>
    <w:pPr>
      <w:numPr>
        <w:ilvl w:val="8"/>
        <w:numId w:val="1"/>
      </w:numPr>
      <w:keepLines/>
      <w:keepNext/>
      <w:spacing w:before="240" w:after="64" w:line="320" w:lineRule="auto"/>
      <w:outlineLvl w:val="8"/>
    </w:pPr>
    <w:rPr>
      <w:rFonts w:ascii="Arial" w:hAnsi="Arial" w:eastAsia="黑体"/>
      <w:spacing w:val="-2"/>
      <w:position w:val="-6"/>
      <w:sz w:val="28"/>
    </w:rPr>
  </w:style>
  <w:style w:type="character" w:styleId="956" w:default="1">
    <w:name w:val="Default Paragraph Font"/>
    <w:uiPriority w:val="1"/>
    <w:semiHidden/>
    <w:unhideWhenUsed/>
    <w:qFormat/>
  </w:style>
  <w:style w:type="table" w:styleId="957" w:default="1">
    <w:name w:val="Normal Table"/>
    <w:uiPriority w:val="99"/>
    <w:semiHidden/>
    <w:unhideWhenUsed/>
    <w:qFormat/>
    <w:tblPr>
      <w:tblCellMar>
        <w:left w:w="108" w:type="dxa"/>
        <w:top w:w="0" w:type="dxa"/>
        <w:right w:w="108" w:type="dxa"/>
        <w:bottom w:w="0" w:type="dxa"/>
      </w:tblCellMar>
    </w:tblPr>
  </w:style>
  <w:style w:type="paragraph" w:styleId="958">
    <w:name w:val="Normal Indent"/>
    <w:basedOn w:val="946"/>
    <w:next w:val="946"/>
    <w:link w:val="1020"/>
    <w:uiPriority w:val="0"/>
    <w:qFormat/>
    <w:pPr>
      <w:ind w:firstLine="420"/>
      <w:jc w:val="left"/>
    </w:pPr>
    <w:rPr>
      <w:sz w:val="24"/>
    </w:rPr>
  </w:style>
  <w:style w:type="paragraph" w:styleId="959">
    <w:name w:val="toc 7"/>
    <w:basedOn w:val="946"/>
    <w:next w:val="946"/>
    <w:uiPriority w:val="0"/>
    <w:qFormat/>
    <w:pPr>
      <w:ind w:left="2520"/>
    </w:pPr>
  </w:style>
  <w:style w:type="paragraph" w:styleId="960">
    <w:name w:val="index 8"/>
    <w:basedOn w:val="946"/>
    <w:next w:val="946"/>
    <w:uiPriority w:val="0"/>
    <w:qFormat/>
    <w:pPr>
      <w:ind w:left="2940"/>
    </w:pPr>
  </w:style>
  <w:style w:type="paragraph" w:styleId="961">
    <w:name w:val="index 5"/>
    <w:basedOn w:val="946"/>
    <w:next w:val="946"/>
    <w:uiPriority w:val="0"/>
    <w:qFormat/>
    <w:pPr>
      <w:ind w:left="1680"/>
    </w:pPr>
  </w:style>
  <w:style w:type="paragraph" w:styleId="962">
    <w:name w:val="Document Map"/>
    <w:basedOn w:val="946"/>
    <w:uiPriority w:val="0"/>
    <w:qFormat/>
    <w:pPr>
      <w:shd w:val="clear" w:color="auto" w:fill="000080"/>
    </w:pPr>
  </w:style>
  <w:style w:type="paragraph" w:styleId="963">
    <w:name w:val="annotation text"/>
    <w:basedOn w:val="946"/>
    <w:link w:val="1072"/>
    <w:uiPriority w:val="0"/>
    <w:qFormat/>
    <w:pPr>
      <w:jc w:val="left"/>
    </w:pPr>
  </w:style>
  <w:style w:type="paragraph" w:styleId="964">
    <w:name w:val="index 6"/>
    <w:basedOn w:val="946"/>
    <w:next w:val="946"/>
    <w:uiPriority w:val="0"/>
    <w:qFormat/>
    <w:pPr>
      <w:ind w:left="2100"/>
    </w:pPr>
  </w:style>
  <w:style w:type="paragraph" w:styleId="965">
    <w:name w:val="Body Text"/>
    <w:basedOn w:val="946"/>
    <w:next w:val="946"/>
    <w:uiPriority w:val="0"/>
    <w:qFormat/>
    <w:pPr>
      <w:spacing w:line="400" w:lineRule="exact"/>
    </w:pPr>
    <w:rPr>
      <w:rFonts w:ascii="楷体_GB2312"/>
      <w:sz w:val="28"/>
    </w:rPr>
  </w:style>
  <w:style w:type="paragraph" w:styleId="966">
    <w:name w:val="Body Text Indent"/>
    <w:basedOn w:val="946"/>
    <w:next w:val="946"/>
    <w:uiPriority w:val="0"/>
    <w:qFormat/>
    <w:pPr>
      <w:ind w:left="570"/>
      <w:spacing w:line="520" w:lineRule="exact"/>
    </w:pPr>
    <w:rPr>
      <w:rFonts w:ascii="方正仿宋简体" w:hAnsi="创艺简仿宋" w:eastAsia="方正仿宋简体"/>
      <w:sz w:val="24"/>
    </w:rPr>
  </w:style>
  <w:style w:type="paragraph" w:styleId="967">
    <w:name w:val="List Continue"/>
    <w:basedOn w:val="946"/>
    <w:uiPriority w:val="99"/>
    <w:unhideWhenUsed/>
    <w:qFormat/>
    <w:pPr>
      <w:ind w:left="200"/>
      <w:spacing w:after="120"/>
    </w:pPr>
    <w:rPr>
      <w:rFonts w:ascii="宋体" w:hAnsi="宋体" w:cs="Symbol"/>
      <w:sz w:val="28"/>
    </w:rPr>
  </w:style>
  <w:style w:type="paragraph" w:styleId="968">
    <w:name w:val="index 4"/>
    <w:basedOn w:val="946"/>
    <w:next w:val="946"/>
    <w:uiPriority w:val="0"/>
    <w:qFormat/>
    <w:pPr>
      <w:ind w:left="1260"/>
    </w:pPr>
  </w:style>
  <w:style w:type="paragraph" w:styleId="969">
    <w:name w:val="toc 5"/>
    <w:basedOn w:val="946"/>
    <w:next w:val="946"/>
    <w:uiPriority w:val="0"/>
    <w:qFormat/>
    <w:pPr>
      <w:ind w:left="1680"/>
    </w:pPr>
  </w:style>
  <w:style w:type="paragraph" w:styleId="970">
    <w:name w:val="toc 3"/>
    <w:basedOn w:val="946"/>
    <w:next w:val="946"/>
    <w:uiPriority w:val="0"/>
    <w:qFormat/>
    <w:pPr>
      <w:ind w:left="840"/>
    </w:pPr>
  </w:style>
  <w:style w:type="paragraph" w:styleId="971">
    <w:name w:val="Plain Text"/>
    <w:basedOn w:val="946"/>
    <w:link w:val="1024"/>
    <w:uiPriority w:val="0"/>
    <w:qFormat/>
    <w:rPr>
      <w:rFonts w:ascii="宋体" w:hAnsi="Courier New"/>
    </w:rPr>
  </w:style>
  <w:style w:type="paragraph" w:styleId="972">
    <w:name w:val="toc 8"/>
    <w:basedOn w:val="946"/>
    <w:next w:val="946"/>
    <w:uiPriority w:val="0"/>
    <w:qFormat/>
    <w:pPr>
      <w:ind w:left="2940"/>
    </w:pPr>
  </w:style>
  <w:style w:type="paragraph" w:styleId="973">
    <w:name w:val="index 3"/>
    <w:basedOn w:val="946"/>
    <w:next w:val="946"/>
    <w:uiPriority w:val="0"/>
    <w:qFormat/>
    <w:pPr>
      <w:ind w:left="840"/>
    </w:pPr>
  </w:style>
  <w:style w:type="paragraph" w:styleId="974">
    <w:name w:val="Date"/>
    <w:basedOn w:val="946"/>
    <w:next w:val="946"/>
    <w:link w:val="1025"/>
    <w:uiPriority w:val="0"/>
    <w:qFormat/>
    <w:rPr>
      <w:rFonts w:ascii="宋体" w:hAnsi="宋体"/>
      <w:sz w:val="24"/>
    </w:rPr>
  </w:style>
  <w:style w:type="paragraph" w:styleId="975">
    <w:name w:val="Body Text Indent 2"/>
    <w:basedOn w:val="946"/>
    <w:uiPriority w:val="0"/>
    <w:qFormat/>
    <w:pPr>
      <w:ind w:firstLine="502"/>
      <w:spacing w:line="360" w:lineRule="auto"/>
      <w:tabs>
        <w:tab w:val="left" w:pos="0" w:leader="none"/>
      </w:tabs>
    </w:pPr>
    <w:rPr>
      <w:rFonts w:ascii="宋体" w:eastAsia="宋体"/>
      <w:b/>
      <w:bCs/>
      <w:sz w:val="24"/>
    </w:rPr>
  </w:style>
  <w:style w:type="paragraph" w:styleId="976">
    <w:name w:val="Balloon Text"/>
    <w:basedOn w:val="946"/>
    <w:uiPriority w:val="0"/>
    <w:qFormat/>
    <w:rPr>
      <w:sz w:val="18"/>
      <w:szCs w:val="18"/>
    </w:rPr>
  </w:style>
  <w:style w:type="paragraph" w:styleId="977">
    <w:name w:val="Footer"/>
    <w:basedOn w:val="946"/>
    <w:link w:val="1080"/>
    <w:uiPriority w:val="99"/>
    <w:qFormat/>
    <w:pPr>
      <w:jc w:val="left"/>
      <w:tabs>
        <w:tab w:val="center" w:pos="4153" w:leader="none"/>
        <w:tab w:val="right" w:pos="8306" w:leader="none"/>
      </w:tabs>
    </w:pPr>
    <w:rPr>
      <w:sz w:val="18"/>
    </w:rPr>
  </w:style>
  <w:style w:type="paragraph" w:styleId="978">
    <w:name w:val="envelope return"/>
    <w:basedOn w:val="946"/>
    <w:uiPriority w:val="0"/>
    <w:qFormat/>
    <w:rPr>
      <w:rFonts w:ascii="Arial" w:hAnsi="Arial"/>
    </w:rPr>
  </w:style>
  <w:style w:type="paragraph" w:styleId="979">
    <w:name w:val="Header"/>
    <w:basedOn w:val="946"/>
    <w:link w:val="1081"/>
    <w:uiPriority w:val="99"/>
    <w:qFormat/>
    <w:pPr>
      <w:jc w:val="center"/>
      <w:tabs>
        <w:tab w:val="center" w:pos="4153" w:leader="none"/>
        <w:tab w:val="right" w:pos="8306" w:leader="none"/>
      </w:tabs>
      <w:pBdr>
        <w:bottom w:val="single" w:color="auto" w:sz="6" w:space="1"/>
      </w:pBdr>
    </w:pPr>
    <w:rPr>
      <w:sz w:val="18"/>
    </w:rPr>
  </w:style>
  <w:style w:type="paragraph" w:styleId="980">
    <w:name w:val="toc 1"/>
    <w:basedOn w:val="946"/>
    <w:next w:val="946"/>
    <w:uiPriority w:val="0"/>
    <w:qFormat/>
    <w:pPr>
      <w:tabs>
        <w:tab w:val="right" w:pos="9026" w:leader="dot"/>
      </w:tabs>
    </w:pPr>
    <w:rPr>
      <w:rFonts w:ascii="宋体" w:hAnsi="宋体" w:eastAsia="宋体"/>
      <w:sz w:val="24"/>
    </w:rPr>
  </w:style>
  <w:style w:type="paragraph" w:styleId="981">
    <w:name w:val="toc 4"/>
    <w:basedOn w:val="946"/>
    <w:next w:val="946"/>
    <w:uiPriority w:val="0"/>
    <w:qFormat/>
    <w:pPr>
      <w:ind w:left="1260"/>
    </w:pPr>
  </w:style>
  <w:style w:type="paragraph" w:styleId="982">
    <w:name w:val="index heading"/>
    <w:basedOn w:val="946"/>
    <w:next w:val="983"/>
    <w:uiPriority w:val="0"/>
    <w:qFormat/>
  </w:style>
  <w:style w:type="paragraph" w:styleId="983">
    <w:name w:val="index 1"/>
    <w:basedOn w:val="946"/>
    <w:next w:val="946"/>
    <w:uiPriority w:val="0"/>
    <w:qFormat/>
  </w:style>
  <w:style w:type="paragraph" w:styleId="984">
    <w:name w:val="footnote text"/>
    <w:basedOn w:val="946"/>
    <w:uiPriority w:val="0"/>
    <w:qFormat/>
    <w:pPr>
      <w:jc w:val="left"/>
    </w:pPr>
    <w:rPr>
      <w:sz w:val="18"/>
    </w:rPr>
  </w:style>
  <w:style w:type="paragraph" w:styleId="985">
    <w:name w:val="toc 6"/>
    <w:basedOn w:val="946"/>
    <w:next w:val="946"/>
    <w:uiPriority w:val="0"/>
    <w:qFormat/>
    <w:pPr>
      <w:ind w:left="2100"/>
    </w:pPr>
  </w:style>
  <w:style w:type="paragraph" w:styleId="986">
    <w:name w:val="Body Text Indent 3"/>
    <w:basedOn w:val="946"/>
    <w:uiPriority w:val="0"/>
    <w:qFormat/>
    <w:pPr>
      <w:ind w:firstLine="617"/>
      <w:spacing w:line="360" w:lineRule="auto"/>
    </w:pPr>
    <w:rPr>
      <w:rFonts w:eastAsia="宋体"/>
      <w:sz w:val="24"/>
      <w:szCs w:val="24"/>
    </w:rPr>
  </w:style>
  <w:style w:type="paragraph" w:styleId="987">
    <w:name w:val="index 7"/>
    <w:basedOn w:val="946"/>
    <w:next w:val="946"/>
    <w:uiPriority w:val="0"/>
    <w:qFormat/>
    <w:pPr>
      <w:ind w:left="2520"/>
    </w:pPr>
  </w:style>
  <w:style w:type="paragraph" w:styleId="988">
    <w:name w:val="index 9"/>
    <w:basedOn w:val="946"/>
    <w:next w:val="946"/>
    <w:uiPriority w:val="0"/>
    <w:qFormat/>
    <w:pPr>
      <w:ind w:left="3360"/>
    </w:pPr>
  </w:style>
  <w:style w:type="paragraph" w:styleId="989">
    <w:name w:val="table of figures"/>
    <w:basedOn w:val="946"/>
    <w:next w:val="946"/>
    <w:uiPriority w:val="0"/>
    <w:qFormat/>
    <w:pPr>
      <w:ind w:left="420" w:hanging="420"/>
      <w:jc w:val="left"/>
    </w:pPr>
    <w:rPr>
      <w:smallCaps/>
      <w:sz w:val="24"/>
    </w:rPr>
  </w:style>
  <w:style w:type="paragraph" w:styleId="990">
    <w:name w:val="toc 2"/>
    <w:basedOn w:val="946"/>
    <w:next w:val="946"/>
    <w:uiPriority w:val="0"/>
    <w:qFormat/>
    <w:pPr>
      <w:ind w:left="420"/>
    </w:pPr>
  </w:style>
  <w:style w:type="paragraph" w:styleId="991">
    <w:name w:val="toc 9"/>
    <w:basedOn w:val="946"/>
    <w:next w:val="946"/>
    <w:uiPriority w:val="0"/>
    <w:qFormat/>
    <w:pPr>
      <w:ind w:left="3360"/>
    </w:pPr>
  </w:style>
  <w:style w:type="paragraph" w:styleId="992">
    <w:name w:val="HTML Preformatted"/>
    <w:basedOn w:val="946"/>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楷体_GB2312"/>
      <w:sz w:val="20"/>
    </w:rPr>
  </w:style>
  <w:style w:type="paragraph" w:styleId="993">
    <w:name w:val="Normal (Web)"/>
    <w:basedOn w:val="946"/>
    <w:uiPriority w:val="99"/>
    <w:qFormat/>
    <w:pPr>
      <w:jc w:val="left"/>
      <w:spacing w:before="100" w:beforeAutospacing="1" w:after="100" w:afterAutospacing="1"/>
      <w:widowControl/>
    </w:pPr>
    <w:rPr>
      <w:rFonts w:hint="eastAsia" w:ascii="宋体" w:hAnsi="宋体" w:eastAsia="宋体"/>
      <w:sz w:val="24"/>
      <w:szCs w:val="24"/>
    </w:rPr>
  </w:style>
  <w:style w:type="paragraph" w:styleId="994">
    <w:name w:val="index 2"/>
    <w:basedOn w:val="946"/>
    <w:next w:val="946"/>
    <w:uiPriority w:val="0"/>
    <w:qFormat/>
    <w:pPr>
      <w:ind w:left="420"/>
    </w:pPr>
  </w:style>
  <w:style w:type="paragraph" w:styleId="995">
    <w:name w:val="Title"/>
    <w:basedOn w:val="946"/>
    <w:next w:val="946"/>
    <w:link w:val="1083"/>
    <w:uiPriority w:val="10"/>
    <w:qFormat/>
    <w:pPr>
      <w:jc w:val="center"/>
    </w:pPr>
    <w:rPr>
      <w:rFonts w:ascii="黑体" w:hAnsi="黑体" w:eastAsia="黑体"/>
      <w:sz w:val="28"/>
      <w:szCs w:val="24"/>
    </w:rPr>
  </w:style>
  <w:style w:type="paragraph" w:styleId="996">
    <w:name w:val="annotation subject"/>
    <w:basedOn w:val="963"/>
    <w:next w:val="963"/>
    <w:uiPriority w:val="0"/>
    <w:qFormat/>
    <w:rPr>
      <w:bCs/>
    </w:rPr>
  </w:style>
  <w:style w:type="paragraph" w:styleId="997">
    <w:name w:val="Body Text First Indent"/>
    <w:basedOn w:val="965"/>
    <w:uiPriority w:val="0"/>
    <w:qFormat/>
    <w:pPr>
      <w:ind w:firstLine="420"/>
      <w:spacing w:after="120" w:line="300" w:lineRule="auto"/>
    </w:pPr>
    <w:rPr>
      <w:rFonts w:ascii="Times New Roman" w:eastAsia="宋体"/>
      <w:sz w:val="24"/>
      <w:szCs w:val="24"/>
    </w:rPr>
  </w:style>
  <w:style w:type="paragraph" w:styleId="998">
    <w:name w:val="Body Text First Indent 2"/>
    <w:basedOn w:val="966"/>
    <w:next w:val="997"/>
    <w:uiPriority w:val="99"/>
    <w:semiHidden/>
    <w:unhideWhenUsed/>
    <w:qFormat/>
    <w:pPr>
      <w:ind w:firstLine="420"/>
    </w:pPr>
  </w:style>
  <w:style w:type="table" w:styleId="999">
    <w:name w:val="Table Grid"/>
    <w:basedOn w:val="957"/>
    <w:uiPriority w:val="99"/>
    <w:unhideWhenUse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000">
    <w:name w:val="Strong"/>
    <w:basedOn w:val="956"/>
    <w:uiPriority w:val="22"/>
    <w:qFormat/>
    <w:rPr>
      <w:b/>
      <w:bCs/>
    </w:rPr>
  </w:style>
  <w:style w:type="character" w:styleId="1001">
    <w:name w:val="page number"/>
    <w:basedOn w:val="956"/>
    <w:uiPriority w:val="0"/>
    <w:qFormat/>
  </w:style>
  <w:style w:type="character" w:styleId="1002">
    <w:name w:val="FollowedHyperlink"/>
    <w:basedOn w:val="956"/>
    <w:uiPriority w:val="99"/>
    <w:semiHidden/>
    <w:unhideWhenUsed/>
    <w:qFormat/>
    <w:rPr>
      <w:color w:val="333333"/>
      <w:u w:val="none"/>
    </w:rPr>
  </w:style>
  <w:style w:type="character" w:styleId="1003">
    <w:name w:val="Emphasis"/>
    <w:basedOn w:val="956"/>
    <w:uiPriority w:val="20"/>
    <w:qFormat/>
  </w:style>
  <w:style w:type="character" w:styleId="1004">
    <w:name w:val="HTML Definition"/>
    <w:basedOn w:val="956"/>
    <w:uiPriority w:val="99"/>
    <w:semiHidden/>
    <w:unhideWhenUsed/>
    <w:qFormat/>
  </w:style>
  <w:style w:type="character" w:styleId="1005">
    <w:name w:val="HTML Typewriter"/>
    <w:basedOn w:val="956"/>
    <w:uiPriority w:val="99"/>
    <w:semiHidden/>
    <w:unhideWhenUsed/>
    <w:qFormat/>
    <w:rPr>
      <w:rFonts w:hint="default" w:ascii="monospace" w:hAnsi="monospace" w:eastAsia="monospace" w:cs="monospace"/>
      <w:sz w:val="20"/>
    </w:rPr>
  </w:style>
  <w:style w:type="character" w:styleId="1006">
    <w:name w:val="HTML Acronym"/>
    <w:basedOn w:val="956"/>
    <w:uiPriority w:val="99"/>
    <w:semiHidden/>
    <w:unhideWhenUsed/>
    <w:qFormat/>
  </w:style>
  <w:style w:type="character" w:styleId="1007">
    <w:name w:val="HTML Variable"/>
    <w:basedOn w:val="956"/>
    <w:uiPriority w:val="99"/>
    <w:semiHidden/>
    <w:unhideWhenUsed/>
    <w:qFormat/>
  </w:style>
  <w:style w:type="character" w:styleId="1008">
    <w:name w:val="Hyperlink"/>
    <w:basedOn w:val="956"/>
    <w:uiPriority w:val="99"/>
    <w:unhideWhenUsed/>
    <w:qFormat/>
    <w:rPr>
      <w:color w:val="0000ff"/>
      <w:u w:val="none"/>
    </w:rPr>
  </w:style>
  <w:style w:type="character" w:styleId="1009">
    <w:name w:val="HTML Code"/>
    <w:basedOn w:val="956"/>
    <w:uiPriority w:val="99"/>
    <w:semiHidden/>
    <w:unhideWhenUsed/>
    <w:qFormat/>
    <w:rPr>
      <w:rFonts w:hint="default" w:ascii="monospace" w:hAnsi="monospace" w:eastAsia="monospace" w:cs="monospace"/>
      <w:sz w:val="20"/>
    </w:rPr>
  </w:style>
  <w:style w:type="character" w:styleId="1010">
    <w:name w:val="annotation reference"/>
    <w:uiPriority w:val="0"/>
    <w:qFormat/>
    <w:rPr>
      <w:sz w:val="21"/>
      <w:szCs w:val="21"/>
    </w:rPr>
  </w:style>
  <w:style w:type="character" w:styleId="1011">
    <w:name w:val="HTML Cite"/>
    <w:basedOn w:val="956"/>
    <w:uiPriority w:val="99"/>
    <w:semiHidden/>
    <w:unhideWhenUsed/>
    <w:qFormat/>
  </w:style>
  <w:style w:type="character" w:styleId="1012">
    <w:name w:val="footnote reference"/>
    <w:uiPriority w:val="0"/>
    <w:qFormat/>
    <w:rPr>
      <w:vertAlign w:val="superscript"/>
    </w:rPr>
  </w:style>
  <w:style w:type="character" w:styleId="1013">
    <w:name w:val="HTML Keyboard"/>
    <w:basedOn w:val="956"/>
    <w:uiPriority w:val="99"/>
    <w:semiHidden/>
    <w:unhideWhenUsed/>
    <w:qFormat/>
    <w:rPr>
      <w:rFonts w:ascii="monospace" w:hAnsi="monospace" w:eastAsia="monospace" w:cs="monospace"/>
      <w:sz w:val="20"/>
    </w:rPr>
  </w:style>
  <w:style w:type="character" w:styleId="1014">
    <w:name w:val="HTML Sample"/>
    <w:basedOn w:val="956"/>
    <w:uiPriority w:val="99"/>
    <w:semiHidden/>
    <w:unhideWhenUsed/>
    <w:qFormat/>
    <w:rPr>
      <w:rFonts w:hint="default" w:ascii="monospace" w:hAnsi="monospace" w:eastAsia="monospace" w:cs="monospace"/>
    </w:rPr>
  </w:style>
  <w:style w:type="paragraph" w:styleId="1015" w:customStyle="1">
    <w:name w:val="Heading 4"/>
    <w:basedOn w:val="946"/>
    <w:next w:val="1016"/>
    <w:uiPriority w:val="0"/>
    <w:qFormat/>
    <w:pPr>
      <w:keepLines/>
      <w:keepNext/>
      <w:spacing w:before="120" w:after="120"/>
    </w:pPr>
    <w:rPr>
      <w:rFonts w:ascii="Cambria" w:hAnsi="Cambria" w:eastAsia="华文细黑"/>
      <w:b/>
      <w:sz w:val="28"/>
    </w:rPr>
  </w:style>
  <w:style w:type="paragraph" w:styleId="1016" w:customStyle="1">
    <w:name w:val="NormalIndent"/>
    <w:basedOn w:val="946"/>
    <w:uiPriority w:val="0"/>
    <w:qFormat/>
    <w:pPr>
      <w:ind w:firstLine="420"/>
    </w:pPr>
  </w:style>
  <w:style w:type="paragraph" w:styleId="1017" w:customStyle="1">
    <w:name w:val="正文1"/>
    <w:next w:val="946"/>
    <w:uiPriority w:val="0"/>
    <w:qFormat/>
    <w:pPr>
      <w:jc w:val="both"/>
      <w:spacing w:line="360" w:lineRule="atLeast"/>
      <w:widowControl w:val="off"/>
    </w:pPr>
    <w:rPr>
      <w:rFonts w:ascii="Times New Roman" w:hAnsi="Times New Roman" w:eastAsia="宋体" w:cs="Times New Roman"/>
      <w:lang w:val="en-US" w:eastAsia="zh-CN" w:bidi="ar-SA"/>
    </w:rPr>
  </w:style>
  <w:style w:type="paragraph" w:styleId="1018" w:customStyle="1">
    <w:name w:val="目录 51"/>
    <w:next w:val="946"/>
    <w:uiPriority w:val="0"/>
    <w:qFormat/>
    <w:pPr>
      <w:ind w:left="1275"/>
      <w:jc w:val="both"/>
    </w:pPr>
    <w:rPr>
      <w:rFonts w:ascii="Times New Roman" w:hAnsi="Times New Roman" w:eastAsia="宋体" w:cs="Times New Roman"/>
      <w:sz w:val="21"/>
      <w:lang w:val="en-US" w:eastAsia="zh-CN" w:bidi="ar-SA"/>
    </w:rPr>
  </w:style>
  <w:style w:type="paragraph" w:styleId="1019" w:customStyle="1">
    <w:name w:val="段"/>
    <w:next w:val="946"/>
    <w:uiPriority w:val="99"/>
    <w:qFormat/>
    <w:pPr>
      <w:ind w:firstLine="200"/>
      <w:jc w:val="both"/>
      <w:spacing w:line="360" w:lineRule="auto"/>
    </w:pPr>
    <w:rPr>
      <w:rFonts w:ascii="宋体" w:hAnsi="Calibri" w:eastAsia="宋体" w:cs="Times New Roman"/>
      <w:sz w:val="24"/>
      <w:szCs w:val="22"/>
      <w:lang w:val="en-US" w:eastAsia="zh-CN" w:bidi="ar-SA"/>
    </w:rPr>
  </w:style>
  <w:style w:type="character" w:styleId="1020" w:customStyle="1">
    <w:name w:val="正文缩进 字符"/>
    <w:link w:val="958"/>
    <w:uiPriority w:val="0"/>
    <w:qFormat/>
    <w:rPr>
      <w:rFonts w:eastAsia="楷体_GB2312"/>
      <w:sz w:val="24"/>
      <w:lang w:val="en-US" w:eastAsia="zh-CN" w:bidi="ar-SA"/>
    </w:rPr>
  </w:style>
  <w:style w:type="character" w:styleId="1021" w:customStyle="1">
    <w:name w:val="列出段落 Char"/>
    <w:link w:val="1022"/>
    <w:uiPriority w:val="0"/>
    <w:qFormat/>
    <w:rPr>
      <w:rFonts w:eastAsia="楷体_GB2312"/>
      <w:sz w:val="26"/>
      <w:lang w:val="zh-CN" w:eastAsia="zh-CN" w:bidi="ar-SA"/>
    </w:rPr>
  </w:style>
  <w:style w:type="paragraph" w:styleId="1022" w:customStyle="1">
    <w:name w:val="序号"/>
    <w:basedOn w:val="946"/>
    <w:next w:val="1023"/>
    <w:link w:val="1021"/>
    <w:uiPriority w:val="0"/>
    <w:qFormat/>
    <w:pPr>
      <w:ind w:firstLine="420"/>
    </w:pPr>
    <w:rPr>
      <w:lang w:val="zh-CN"/>
    </w:rPr>
  </w:style>
  <w:style w:type="paragraph" w:styleId="1023" w:customStyle="1">
    <w:name w:val="列表段落1"/>
    <w:basedOn w:val="946"/>
    <w:uiPriority w:val="34"/>
    <w:qFormat/>
    <w:pPr>
      <w:ind w:firstLine="420"/>
    </w:pPr>
  </w:style>
  <w:style w:type="character" w:styleId="1024" w:customStyle="1">
    <w:name w:val="纯文本 字符"/>
    <w:link w:val="971"/>
    <w:uiPriority w:val="0"/>
    <w:qFormat/>
    <w:rPr>
      <w:rFonts w:ascii="宋体" w:hAnsi="Courier New" w:eastAsia="楷体_GB2312"/>
      <w:sz w:val="26"/>
      <w:lang w:val="en-US" w:eastAsia="zh-CN" w:bidi="ar-SA"/>
    </w:rPr>
  </w:style>
  <w:style w:type="character" w:styleId="1025" w:customStyle="1">
    <w:name w:val="日期 字符"/>
    <w:link w:val="974"/>
    <w:uiPriority w:val="0"/>
    <w:qFormat/>
    <w:rPr>
      <w:rFonts w:ascii="宋体" w:hAnsi="宋体" w:eastAsia="楷体_GB2312"/>
      <w:sz w:val="24"/>
      <w:lang w:val="en-US" w:eastAsia="zh-CN" w:bidi="ar-SA"/>
    </w:rPr>
  </w:style>
  <w:style w:type="character" w:styleId="1026" w:customStyle="1">
    <w:name w:val="表格正文 字符"/>
    <w:link w:val="1027"/>
    <w:uiPriority w:val="0"/>
    <w:qFormat/>
    <w:rPr>
      <w:rFonts w:ascii="宋体" w:hAnsi="宋体" w:eastAsia="楷体_GB2312"/>
      <w:sz w:val="26"/>
      <w:szCs w:val="24"/>
      <w:lang w:val="en-US" w:eastAsia="zh-CN" w:bidi="ar-SA"/>
    </w:rPr>
  </w:style>
  <w:style w:type="paragraph" w:styleId="1027" w:customStyle="1">
    <w:name w:val="表格正文"/>
    <w:basedOn w:val="946"/>
    <w:next w:val="946"/>
    <w:link w:val="1026"/>
    <w:uiPriority w:val="0"/>
    <w:qFormat/>
    <w:rPr>
      <w:rFonts w:ascii="宋体" w:hAnsi="宋体"/>
      <w:szCs w:val="24"/>
    </w:rPr>
  </w:style>
  <w:style w:type="character" w:styleId="1028" w:customStyle="1">
    <w:name w:val="缩进正文 字符"/>
    <w:link w:val="1029"/>
    <w:uiPriority w:val="0"/>
    <w:qFormat/>
    <w:rPr>
      <w:rFonts w:ascii="Calibri" w:hAnsi="Calibri" w:eastAsia="楷体_GB2312"/>
      <w:sz w:val="26"/>
      <w:szCs w:val="24"/>
      <w:lang w:val="en-US" w:eastAsia="zh-CN" w:bidi="ar-SA"/>
    </w:rPr>
  </w:style>
  <w:style w:type="paragraph" w:styleId="1029" w:customStyle="1">
    <w:name w:val="缩进正文"/>
    <w:basedOn w:val="946"/>
    <w:link w:val="1028"/>
    <w:uiPriority w:val="0"/>
    <w:qFormat/>
    <w:pPr>
      <w:ind w:firstLine="200"/>
    </w:pPr>
    <w:rPr>
      <w:rFonts w:ascii="Calibri" w:hAnsi="Calibri"/>
      <w:szCs w:val="24"/>
    </w:rPr>
  </w:style>
  <w:style w:type="paragraph" w:styleId="1030" w:customStyle="1">
    <w:name w:val="Char Char Char"/>
    <w:basedOn w:val="946"/>
    <w:uiPriority w:val="0"/>
    <w:qFormat/>
    <w:pPr>
      <w:numPr>
        <w:ilvl w:val="0"/>
        <w:numId w:val="1"/>
      </w:numPr>
      <w:tabs>
        <w:tab w:val="clear" w:pos="432" w:leader="none"/>
        <w:tab w:val="left" w:pos="840" w:leader="none"/>
      </w:tabs>
    </w:pPr>
    <w:rPr>
      <w:rFonts w:eastAsia="宋体"/>
      <w:sz w:val="21"/>
      <w:szCs w:val="24"/>
    </w:rPr>
  </w:style>
  <w:style w:type="paragraph" w:styleId="1031" w:customStyle="1">
    <w:name w:val="Char Char Char1 Char Char Char Char"/>
    <w:basedOn w:val="946"/>
    <w:uiPriority w:val="0"/>
    <w:qFormat/>
    <w:pPr>
      <w:jc w:val="left"/>
      <w:spacing w:after="160" w:line="240" w:lineRule="exact"/>
      <w:widowControl/>
    </w:pPr>
    <w:rPr>
      <w:rFonts w:eastAsia="宋体"/>
      <w:sz w:val="24"/>
      <w:szCs w:val="24"/>
    </w:rPr>
  </w:style>
  <w:style w:type="paragraph" w:styleId="1032" w:customStyle="1">
    <w:name w:val="正文 A"/>
    <w:uiPriority w:val="0"/>
    <w:qFormat/>
    <w:pPr>
      <w:jc w:val="both"/>
      <w:widowControl w:val="off"/>
    </w:pPr>
    <w:rPr>
      <w:rFonts w:ascii="Times New Roman" w:hAnsi="Arial Unicode MS" w:eastAsia="Arial Unicode MS" w:cs="Arial Unicode MS"/>
      <w:color w:val="000000"/>
      <w:sz w:val="21"/>
      <w:szCs w:val="21"/>
      <w:lang w:val="en-US" w:eastAsia="zh-CN" w:bidi="ar-SA"/>
    </w:rPr>
  </w:style>
  <w:style w:type="paragraph" w:styleId="1033" w:customStyle="1">
    <w:name w:val="首行缩进"/>
    <w:basedOn w:val="946"/>
    <w:uiPriority w:val="0"/>
    <w:qFormat/>
    <w:pPr>
      <w:ind w:firstLine="480"/>
    </w:pPr>
    <w:rPr>
      <w:lang w:val="zh-CN"/>
    </w:rPr>
  </w:style>
  <w:style w:type="paragraph" w:styleId="1034" w:customStyle="1">
    <w:name w:val="纯文本1"/>
    <w:basedOn w:val="946"/>
    <w:uiPriority w:val="0"/>
    <w:qFormat/>
    <w:rPr>
      <w:rFonts w:ascii="宋体" w:hAnsi="Courier New"/>
    </w:rPr>
  </w:style>
  <w:style w:type="paragraph" w:styleId="1035" w:customStyle="1">
    <w:name w:val="_Style 1"/>
    <w:basedOn w:val="946"/>
    <w:uiPriority w:val="34"/>
    <w:qFormat/>
    <w:pPr>
      <w:ind w:firstLine="420"/>
      <w:spacing w:line="312" w:lineRule="auto"/>
    </w:pPr>
  </w:style>
  <w:style w:type="paragraph" w:styleId="1036" w:customStyle="1">
    <w:name w:val="_Style 12"/>
    <w:basedOn w:val="962"/>
    <w:uiPriority w:val="0"/>
    <w:qFormat/>
    <w:pPr>
      <w:spacing w:line="360" w:lineRule="auto"/>
    </w:pPr>
  </w:style>
  <w:style w:type="paragraph" w:styleId="1037" w:customStyle="1">
    <w:name w:val="列出段落1"/>
    <w:basedOn w:val="946"/>
    <w:uiPriority w:val="0"/>
    <w:qFormat/>
    <w:pPr>
      <w:ind w:firstLine="420"/>
    </w:pPr>
    <w:rPr>
      <w:rFonts w:ascii="Calibri" w:hAnsi="Calibri"/>
      <w:szCs w:val="21"/>
    </w:rPr>
  </w:style>
  <w:style w:type="paragraph" w:styleId="1038" w:customStyle="1">
    <w:name w:val="缩进正文-"/>
    <w:basedOn w:val="946"/>
    <w:uiPriority w:val="0"/>
    <w:qFormat/>
    <w:pPr>
      <w:ind w:firstLine="200"/>
      <w:spacing w:before="100" w:beforeAutospacing="1" w:line="360" w:lineRule="auto"/>
    </w:pPr>
    <w:rPr>
      <w:rFonts w:ascii="宋体" w:hAnsi="宋体" w:eastAsia="宋体"/>
      <w:color w:val="000000"/>
      <w:sz w:val="24"/>
      <w:szCs w:val="21"/>
    </w:rPr>
  </w:style>
  <w:style w:type="paragraph" w:styleId="1039" w:customStyle="1">
    <w:name w:val="*正文"/>
    <w:basedOn w:val="946"/>
    <w:uiPriority w:val="0"/>
    <w:qFormat/>
    <w:pPr>
      <w:ind w:firstLine="200"/>
      <w:spacing w:line="360" w:lineRule="auto"/>
      <w:widowControl/>
    </w:pPr>
    <w:rPr>
      <w:rFonts w:ascii="仿宋_GB2312" w:hAnsi="Calibri" w:eastAsia="仿宋_GB2312"/>
      <w:sz w:val="24"/>
      <w:szCs w:val="28"/>
    </w:rPr>
  </w:style>
  <w:style w:type="paragraph" w:styleId="1040" w:customStyle="1">
    <w:name w:val="纯文本11"/>
    <w:basedOn w:val="946"/>
    <w:uiPriority w:val="99"/>
    <w:qFormat/>
    <w:rPr>
      <w:rFonts w:ascii="宋体" w:hAnsi="Courier New"/>
    </w:rPr>
  </w:style>
  <w:style w:type="paragraph" w:styleId="1041" w:customStyle="1">
    <w:name w:val="Char Char Char1 Char"/>
    <w:basedOn w:val="946"/>
    <w:uiPriority w:val="0"/>
    <w:semiHidden/>
    <w:qFormat/>
    <w:pPr>
      <w:ind w:firstLine="200"/>
      <w:spacing w:line="360" w:lineRule="auto"/>
    </w:pPr>
    <w:rPr>
      <w:rFonts w:ascii="宋体" w:hAnsi="宋体" w:cs="宋体"/>
      <w:sz w:val="24"/>
    </w:rPr>
  </w:style>
  <w:style w:type="paragraph" w:styleId="1042" w:customStyle="1">
    <w:name w:val="Char Char1 Char Char Char Char"/>
    <w:basedOn w:val="962"/>
    <w:uiPriority w:val="0"/>
    <w:qFormat/>
    <w:pPr>
      <w:spacing w:line="360" w:lineRule="auto"/>
    </w:pPr>
    <w:rPr>
      <w:rFonts w:ascii="Tahoma" w:hAnsi="Tahoma" w:eastAsia="宋体"/>
      <w:sz w:val="24"/>
      <w:szCs w:val="24"/>
    </w:rPr>
  </w:style>
  <w:style w:type="paragraph" w:styleId="1043" w:customStyle="1">
    <w:name w:val="p0"/>
    <w:basedOn w:val="946"/>
    <w:uiPriority w:val="0"/>
    <w:qFormat/>
    <w:rPr>
      <w:rFonts w:hint="eastAsia"/>
    </w:rPr>
  </w:style>
  <w:style w:type="paragraph" w:styleId="1044">
    <w:name w:val="List Paragraph"/>
    <w:basedOn w:val="946"/>
    <w:uiPriority w:val="34"/>
    <w:qFormat/>
    <w:pPr>
      <w:ind w:firstLine="420"/>
    </w:pPr>
    <w:rPr>
      <w:rFonts w:ascii="宋体" w:hAnsi="宋体" w:eastAsia="宋体"/>
      <w:sz w:val="24"/>
      <w:szCs w:val="24"/>
    </w:rPr>
  </w:style>
  <w:style w:type="paragraph" w:styleId="1045" w:customStyle="1">
    <w:name w:val="Char"/>
    <w:basedOn w:val="946"/>
    <w:uiPriority w:val="0"/>
    <w:qFormat/>
    <w:rPr>
      <w:rFonts w:ascii="Tahoma" w:hAnsi="Tahoma" w:eastAsia="宋体"/>
      <w:sz w:val="24"/>
    </w:rPr>
  </w:style>
  <w:style w:type="paragraph" w:styleId="1046" w:customStyle="1">
    <w:name w:val="列出段落2"/>
    <w:basedOn w:val="946"/>
    <w:uiPriority w:val="34"/>
    <w:qFormat/>
    <w:pPr>
      <w:ind w:firstLine="420"/>
    </w:pPr>
  </w:style>
  <w:style w:type="paragraph" w:styleId="1047" w:customStyle="1">
    <w:name w:val="纯文本12"/>
    <w:basedOn w:val="946"/>
    <w:uiPriority w:val="0"/>
    <w:qFormat/>
    <w:rPr>
      <w:rFonts w:ascii="宋体" w:hAnsi="Courier New"/>
    </w:rPr>
  </w:style>
  <w:style w:type="paragraph" w:styleId="1048" w:customStyle="1">
    <w:name w:val="纯文本2"/>
    <w:basedOn w:val="946"/>
    <w:uiPriority w:val="0"/>
    <w:qFormat/>
    <w:rPr>
      <w:rFonts w:ascii="宋体" w:hAnsi="Courier New"/>
    </w:rPr>
  </w:style>
  <w:style w:type="paragraph" w:styleId="1049" w:customStyle="1">
    <w:name w:val="Char1"/>
    <w:basedOn w:val="946"/>
    <w:uiPriority w:val="0"/>
    <w:qFormat/>
    <w:rPr>
      <w:rFonts w:ascii="Tahoma" w:hAnsi="Tahoma" w:eastAsia="宋体"/>
      <w:sz w:val="24"/>
    </w:rPr>
  </w:style>
  <w:style w:type="paragraph" w:styleId="1050" w:customStyle="1">
    <w:name w:val="表格内容"/>
    <w:basedOn w:val="946"/>
    <w:uiPriority w:val="0"/>
    <w:qFormat/>
    <w:pPr>
      <w:jc w:val="left"/>
      <w:spacing w:before="100" w:beforeAutospacing="1" w:after="100" w:afterAutospacing="1" w:line="360" w:lineRule="auto"/>
    </w:pPr>
    <w:rPr>
      <w:rFonts w:ascii="宋体" w:hAnsi="宋体" w:eastAsia="宋体"/>
      <w:bCs/>
      <w:sz w:val="21"/>
      <w:szCs w:val="21"/>
    </w:rPr>
  </w:style>
  <w:style w:type="paragraph" w:styleId="1051" w:customStyle="1">
    <w:name w:val="纯文本3"/>
    <w:basedOn w:val="946"/>
    <w:uiPriority w:val="0"/>
    <w:qFormat/>
    <w:rPr>
      <w:rFonts w:ascii="宋体" w:hAnsi="Courier New"/>
      <w:sz w:val="28"/>
    </w:rPr>
  </w:style>
  <w:style w:type="paragraph" w:styleId="1052" w:customStyle="1">
    <w:name w:val="font7"/>
    <w:basedOn w:val="946"/>
    <w:uiPriority w:val="0"/>
    <w:qFormat/>
    <w:pPr>
      <w:jc w:val="left"/>
      <w:spacing w:before="100" w:beforeAutospacing="1" w:after="100" w:afterAutospacing="1"/>
      <w:widowControl/>
    </w:pPr>
    <w:rPr>
      <w:rFonts w:eastAsia="宋体"/>
      <w:sz w:val="20"/>
    </w:rPr>
  </w:style>
  <w:style w:type="paragraph" w:styleId="1053" w:customStyle="1">
    <w:name w:val="纯文本4"/>
    <w:basedOn w:val="946"/>
    <w:uiPriority w:val="0"/>
    <w:qFormat/>
    <w:rPr>
      <w:rFonts w:ascii="宋体" w:hAnsi="Courier New"/>
    </w:rPr>
  </w:style>
  <w:style w:type="paragraph" w:styleId="1054" w:customStyle="1">
    <w:name w:val="纯文本5"/>
    <w:basedOn w:val="946"/>
    <w:uiPriority w:val="0"/>
    <w:qFormat/>
    <w:rPr>
      <w:rFonts w:ascii="宋体" w:hAnsi="Courier New"/>
      <w:sz w:val="28"/>
    </w:rPr>
  </w:style>
  <w:style w:type="paragraph" w:styleId="1055" w:customStyle="1">
    <w:name w:val="Default"/>
    <w:next w:val="964"/>
    <w:uiPriority w:val="0"/>
    <w:qFormat/>
    <w:pPr>
      <w:widowControl w:val="off"/>
    </w:pPr>
    <w:rPr>
      <w:rFonts w:ascii="宋体" w:hAnsi="Calibri" w:eastAsia="宋体" w:cs="宋体"/>
      <w:color w:val="000000"/>
      <w:sz w:val="24"/>
      <w:szCs w:val="24"/>
      <w:lang w:val="en-US" w:eastAsia="zh-CN" w:bidi="ar-SA"/>
    </w:rPr>
  </w:style>
  <w:style w:type="character" w:styleId="1056" w:customStyle="1">
    <w:name w:val="font171"/>
    <w:basedOn w:val="956"/>
    <w:uiPriority w:val="0"/>
    <w:qFormat/>
    <w:rPr>
      <w:rFonts w:hint="eastAsia" w:ascii="宋体" w:hAnsi="宋体" w:eastAsia="宋体" w:cs="宋体"/>
      <w:b/>
      <w:bCs/>
      <w:color w:val="000000"/>
      <w:sz w:val="36"/>
      <w:szCs w:val="36"/>
      <w:u w:val="none"/>
    </w:rPr>
  </w:style>
  <w:style w:type="character" w:styleId="1057" w:customStyle="1">
    <w:name w:val="font41"/>
    <w:basedOn w:val="956"/>
    <w:uiPriority w:val="0"/>
    <w:qFormat/>
    <w:rPr>
      <w:rFonts w:hint="default" w:ascii="Times New Roman" w:hAnsi="Times New Roman" w:cs="Times New Roman"/>
      <w:b/>
      <w:bCs/>
      <w:color w:val="000000"/>
      <w:sz w:val="36"/>
      <w:szCs w:val="36"/>
      <w:u w:val="none"/>
    </w:rPr>
  </w:style>
  <w:style w:type="character" w:styleId="1058" w:customStyle="1">
    <w:name w:val="font101"/>
    <w:basedOn w:val="956"/>
    <w:uiPriority w:val="0"/>
    <w:qFormat/>
    <w:rPr>
      <w:rFonts w:hint="eastAsia" w:ascii="宋体" w:hAnsi="宋体" w:eastAsia="宋体" w:cs="宋体"/>
      <w:b/>
      <w:bCs/>
      <w:color w:val="000000"/>
      <w:sz w:val="24"/>
      <w:szCs w:val="24"/>
      <w:u w:val="none"/>
    </w:rPr>
  </w:style>
  <w:style w:type="character" w:styleId="1059" w:customStyle="1">
    <w:name w:val="font91"/>
    <w:basedOn w:val="956"/>
    <w:uiPriority w:val="0"/>
    <w:qFormat/>
    <w:rPr>
      <w:rFonts w:hint="default" w:ascii="Times New Roman" w:hAnsi="Times New Roman" w:cs="Times New Roman"/>
      <w:b/>
      <w:bCs/>
      <w:color w:val="000000"/>
      <w:sz w:val="24"/>
      <w:szCs w:val="24"/>
      <w:u w:val="none"/>
    </w:rPr>
  </w:style>
  <w:style w:type="character" w:styleId="1060" w:customStyle="1">
    <w:name w:val="font121"/>
    <w:basedOn w:val="956"/>
    <w:uiPriority w:val="0"/>
    <w:qFormat/>
    <w:rPr>
      <w:rFonts w:hint="eastAsia" w:ascii="宋体" w:hAnsi="宋体" w:eastAsia="宋体" w:cs="宋体"/>
      <w:color w:val="000000"/>
      <w:sz w:val="24"/>
      <w:szCs w:val="24"/>
      <w:u w:val="none"/>
    </w:rPr>
  </w:style>
  <w:style w:type="character" w:styleId="1061" w:customStyle="1">
    <w:name w:val="font61"/>
    <w:basedOn w:val="956"/>
    <w:uiPriority w:val="0"/>
    <w:qFormat/>
    <w:rPr>
      <w:rFonts w:hint="default" w:ascii="Times New Roman" w:hAnsi="Times New Roman" w:cs="Times New Roman"/>
      <w:color w:val="000000"/>
      <w:sz w:val="24"/>
      <w:szCs w:val="24"/>
      <w:u w:val="none"/>
    </w:rPr>
  </w:style>
  <w:style w:type="character" w:styleId="1062" w:customStyle="1">
    <w:name w:val="font151"/>
    <w:basedOn w:val="956"/>
    <w:uiPriority w:val="0"/>
    <w:qFormat/>
    <w:rPr>
      <w:rFonts w:ascii="宋体" w:hAnsi="宋体" w:eastAsia="宋体" w:cs="宋体"/>
      <w:color w:val="000000"/>
      <w:sz w:val="24"/>
      <w:szCs w:val="24"/>
      <w:u w:val="none"/>
    </w:rPr>
  </w:style>
  <w:style w:type="paragraph" w:styleId="1063" w:customStyle="1">
    <w:name w:val="正文_1_0"/>
    <w:uiPriority w:val="99"/>
    <w:qFormat/>
    <w:pPr>
      <w:jc w:val="both"/>
      <w:widowControl w:val="off"/>
    </w:pPr>
    <w:rPr>
      <w:rFonts w:ascii="Calibri" w:hAnsi="Calibri" w:eastAsia="宋体" w:cs="Times New Roman"/>
      <w:sz w:val="21"/>
      <w:szCs w:val="22"/>
      <w:lang w:val="en-US" w:eastAsia="zh-CN" w:bidi="ar-SA"/>
    </w:rPr>
  </w:style>
  <w:style w:type="paragraph" w:styleId="1064" w:customStyle="1">
    <w:name w:val="msolistparagraph"/>
    <w:basedOn w:val="946"/>
    <w:uiPriority w:val="0"/>
    <w:qFormat/>
    <w:pPr>
      <w:ind w:firstLine="420"/>
    </w:pPr>
    <w:rPr>
      <w:szCs w:val="21"/>
    </w:rPr>
  </w:style>
  <w:style w:type="paragraph" w:styleId="1065" w:customStyle="1">
    <w:name w:val="Table Paragraph"/>
    <w:basedOn w:val="946"/>
    <w:uiPriority w:val="1"/>
    <w:qFormat/>
    <w:rPr>
      <w:rFonts w:ascii="宋体" w:hAnsi="宋体" w:cs="宋体"/>
      <w:lang w:val="zh-CN" w:bidi="zh-CN"/>
    </w:rPr>
  </w:style>
  <w:style w:type="character" w:styleId="1066" w:customStyle="1">
    <w:name w:val="font21"/>
    <w:basedOn w:val="956"/>
    <w:uiPriority w:val="0"/>
    <w:qFormat/>
    <w:rPr>
      <w:rFonts w:hint="eastAsia" w:ascii="仿宋" w:hAnsi="仿宋" w:eastAsia="仿宋" w:cs="仿宋"/>
      <w:color w:val="000000"/>
      <w:sz w:val="22"/>
      <w:szCs w:val="22"/>
      <w:u w:val="none"/>
    </w:rPr>
  </w:style>
  <w:style w:type="character" w:styleId="1067" w:customStyle="1">
    <w:name w:val="font71"/>
    <w:basedOn w:val="956"/>
    <w:uiPriority w:val="0"/>
    <w:qFormat/>
    <w:rPr>
      <w:rFonts w:hint="eastAsia" w:ascii="宋体" w:hAnsi="宋体" w:eastAsia="宋体" w:cs="宋体"/>
      <w:color w:val="000000"/>
      <w:sz w:val="22"/>
      <w:szCs w:val="22"/>
      <w:u w:val="none"/>
    </w:rPr>
  </w:style>
  <w:style w:type="character" w:styleId="1068" w:customStyle="1">
    <w:name w:val="font01"/>
    <w:basedOn w:val="956"/>
    <w:uiPriority w:val="0"/>
    <w:qFormat/>
    <w:rPr>
      <w:rFonts w:hint="eastAsia" w:ascii="宋体" w:hAnsi="宋体" w:eastAsia="宋体" w:cs="宋体"/>
      <w:color w:val="000000"/>
      <w:sz w:val="22"/>
      <w:szCs w:val="22"/>
      <w:u w:val="none"/>
    </w:rPr>
  </w:style>
  <w:style w:type="character" w:styleId="1069" w:customStyle="1">
    <w:name w:val="font11"/>
    <w:basedOn w:val="956"/>
    <w:uiPriority w:val="0"/>
    <w:qFormat/>
    <w:rPr>
      <w:rFonts w:hint="eastAsia" w:ascii="宋体" w:hAnsi="宋体" w:eastAsia="宋体" w:cs="宋体"/>
      <w:color w:val="ff0000"/>
      <w:sz w:val="22"/>
      <w:szCs w:val="22"/>
      <w:u w:val="none"/>
    </w:rPr>
  </w:style>
  <w:style w:type="character" w:styleId="1070" w:customStyle="1">
    <w:name w:val="font31"/>
    <w:basedOn w:val="956"/>
    <w:uiPriority w:val="0"/>
    <w:qFormat/>
    <w:rPr>
      <w:rFonts w:hint="eastAsia" w:ascii="宋体" w:hAnsi="宋体" w:eastAsia="宋体" w:cs="宋体"/>
      <w:color w:val="ff0000"/>
      <w:sz w:val="22"/>
      <w:szCs w:val="22"/>
      <w:u w:val="none"/>
    </w:rPr>
  </w:style>
  <w:style w:type="paragraph" w:styleId="1071" w:customStyle="1">
    <w:name w:val="p2"/>
    <w:basedOn w:val="946"/>
    <w:uiPriority w:val="0"/>
    <w:qFormat/>
    <w:pPr>
      <w:spacing w:before="100" w:beforeAutospacing="1" w:after="100" w:afterAutospacing="1"/>
    </w:pPr>
    <w:rPr>
      <w:rFonts w:ascii="宋体" w:hAnsi="宋体"/>
      <w:sz w:val="24"/>
      <w:szCs w:val="24"/>
    </w:rPr>
  </w:style>
  <w:style w:type="character" w:styleId="1072" w:customStyle="1">
    <w:name w:val="批注文字 字符"/>
    <w:link w:val="963"/>
    <w:uiPriority w:val="0"/>
    <w:qFormat/>
    <w:rPr>
      <w:rFonts w:eastAsia="楷体_GB2312"/>
      <w:sz w:val="26"/>
    </w:rPr>
  </w:style>
  <w:style w:type="character" w:styleId="1073" w:customStyle="1">
    <w:name w:val="NormalCharacter"/>
    <w:link w:val="1074"/>
    <w:uiPriority w:val="0"/>
    <w:qFormat/>
    <w:rPr>
      <w:sz w:val="20"/>
      <w:szCs w:val="20"/>
    </w:rPr>
  </w:style>
  <w:style w:type="paragraph" w:styleId="1074" w:customStyle="1">
    <w:name w:val="UserStyle_4"/>
    <w:basedOn w:val="946"/>
    <w:link w:val="1073"/>
    <w:uiPriority w:val="99"/>
    <w:qFormat/>
    <w:rPr>
      <w:sz w:val="20"/>
    </w:rPr>
  </w:style>
  <w:style w:type="character" w:styleId="1075" w:customStyle="1">
    <w:name w:val="hover"/>
    <w:basedOn w:val="956"/>
    <w:uiPriority w:val="0"/>
    <w:qFormat/>
    <w:rPr>
      <w:color w:val="2590eb"/>
    </w:rPr>
  </w:style>
  <w:style w:type="character" w:styleId="1076" w:customStyle="1">
    <w:name w:val="hover1"/>
    <w:basedOn w:val="956"/>
    <w:uiPriority w:val="0"/>
    <w:qFormat/>
  </w:style>
  <w:style w:type="character" w:styleId="1077" w:customStyle="1">
    <w:name w:val="hover2"/>
    <w:basedOn w:val="956"/>
    <w:uiPriority w:val="0"/>
    <w:qFormat/>
    <w:rPr>
      <w:color w:val="2590eb"/>
    </w:rPr>
  </w:style>
  <w:style w:type="character" w:styleId="1078" w:customStyle="1">
    <w:name w:val="15"/>
    <w:basedOn w:val="956"/>
    <w:uiPriority w:val="0"/>
    <w:qFormat/>
  </w:style>
  <w:style w:type="paragraph" w:styleId="1079" w:customStyle="1">
    <w:name w:val="p"/>
    <w:basedOn w:val="946"/>
    <w:uiPriority w:val="0"/>
    <w:qFormat/>
    <w:pPr>
      <w:jc w:val="left"/>
      <w:spacing w:before="100" w:beforeAutospacing="1" w:after="100" w:afterAutospacing="1"/>
      <w:widowControl/>
    </w:pPr>
    <w:rPr>
      <w:rFonts w:ascii="宋体" w:hAnsi="宋体" w:eastAsia="宋体" w:cs="宋体"/>
      <w:sz w:val="24"/>
      <w:szCs w:val="24"/>
    </w:rPr>
  </w:style>
  <w:style w:type="character" w:styleId="1080" w:customStyle="1">
    <w:name w:val="页脚 字符"/>
    <w:basedOn w:val="956"/>
    <w:link w:val="977"/>
    <w:uiPriority w:val="99"/>
    <w:qFormat/>
    <w:rPr>
      <w:rFonts w:eastAsia="楷体_GB2312"/>
      <w:sz w:val="18"/>
    </w:rPr>
  </w:style>
  <w:style w:type="character" w:styleId="1081" w:customStyle="1">
    <w:name w:val="页眉 字符"/>
    <w:basedOn w:val="956"/>
    <w:link w:val="979"/>
    <w:uiPriority w:val="99"/>
    <w:qFormat/>
    <w:rPr>
      <w:rFonts w:eastAsia="楷体_GB2312"/>
      <w:sz w:val="18"/>
    </w:rPr>
  </w:style>
  <w:style w:type="character" w:styleId="1082" w:customStyle="1">
    <w:name w:val="标题 1 字符"/>
    <w:link w:val="947"/>
    <w:uiPriority w:val="0"/>
    <w:qFormat/>
    <w:rPr>
      <w:rFonts w:eastAsia="楷体_GB2312"/>
      <w:b/>
      <w:sz w:val="44"/>
    </w:rPr>
  </w:style>
  <w:style w:type="character" w:styleId="1083" w:customStyle="1">
    <w:name w:val="标题 字符"/>
    <w:basedOn w:val="956"/>
    <w:link w:val="995"/>
    <w:uiPriority w:val="10"/>
    <w:qFormat/>
    <w:rPr>
      <w:rFonts w:ascii="黑体" w:hAnsi="黑体" w:eastAsia="黑体"/>
      <w:sz w:val="28"/>
      <w:szCs w:val="24"/>
    </w:rPr>
  </w:style>
  <w:style w:type="paragraph" w:styleId="1084" w:customStyle="1">
    <w:name w:val="UserStyle_780"/>
    <w:basedOn w:val="946"/>
    <w:uiPriority w:val="0"/>
    <w:qFormat/>
    <w:rPr>
      <w:rFonts w:ascii="宋体" w:hAnsi="Courier New"/>
      <w:sz w:val="28"/>
      <w:szCs w:val="24"/>
    </w:rPr>
  </w:style>
  <w:style w:type="paragraph" w:styleId="1085" w:customStyle="1">
    <w:name w:val="修订1"/>
    <w:hidden/>
    <w:uiPriority w:val="99"/>
    <w:semiHidden/>
    <w:qFormat/>
    <w:rPr>
      <w:rFonts w:ascii="Times New Roman" w:hAnsi="Times New Roman" w:eastAsia="楷体_GB2312" w:cs="Times New Roman"/>
      <w:sz w:val="26"/>
      <w:lang w:val="en-US" w:eastAsia="zh-CN" w:bidi="ar-SA"/>
    </w:rPr>
  </w:style>
  <w:style w:type="paragraph" w:styleId="1086" w:customStyle="1">
    <w:name w:val="修订2"/>
    <w:hidden/>
    <w:uiPriority w:val="99"/>
    <w:unhideWhenUsed/>
    <w:qFormat/>
    <w:rPr>
      <w:rFonts w:ascii="Times New Roman" w:hAnsi="Times New Roman" w:eastAsia="楷体_GB2312" w:cs="Times New Roman"/>
      <w:sz w:val="26"/>
      <w:lang w:val="en-US" w:eastAsia="zh-CN" w:bidi="ar-SA"/>
    </w:rPr>
  </w:style>
  <w:style w:type="character" w:styleId="1087" w:customStyle="1">
    <w:name w:val="font51"/>
    <w:basedOn w:val="956"/>
    <w:uiPriority w:val="0"/>
    <w:qFormat/>
    <w:rPr>
      <w:rFonts w:hint="eastAsia" w:ascii="仿宋" w:hAnsi="仿宋" w:eastAsia="仿宋" w:cs="仿宋"/>
      <w:color w:val="ff0000"/>
      <w:sz w:val="20"/>
      <w:szCs w:val="20"/>
      <w:u w:val="none"/>
    </w:rPr>
  </w:style>
  <w:style w:type="table" w:styleId="1088" w:customStyle="1">
    <w:name w:val="网格型1"/>
    <w:basedOn w:val="1089"/>
    <w:uiPriority w:val="0"/>
    <w:qFormat/>
    <w:pPr>
      <w:jc w:val="both"/>
      <w:widowControl w:val="off"/>
    </w:pPr>
    <w:tblPr/>
  </w:style>
  <w:style w:type="table" w:styleId="1089" w:customStyle="1">
    <w:name w:val="普通表格1"/>
    <w:uiPriority w:val="0"/>
    <w:qFormat/>
    <w:tblPr>
      <w:tblCellMar>
        <w:left w:w="0" w:type="dxa"/>
        <w:top w:w="0" w:type="dxa"/>
        <w:right w:w="0" w:type="dxa"/>
        <w:bottom w:w="0" w:type="dxa"/>
      </w:tblCellMar>
    </w:tblPr>
  </w:style>
  <w:style w:type="character" w:styleId="1090" w:customStyle="1">
    <w:name w:val="font81"/>
    <w:basedOn w:val="956"/>
    <w:uiPriority w:val="0"/>
    <w:qFormat/>
    <w:rPr>
      <w:rFonts w:ascii="微软雅黑" w:hAnsi="微软雅黑" w:eastAsia="微软雅黑" w:cs="微软雅黑"/>
      <w:color w:val="000000"/>
      <w:sz w:val="21"/>
      <w:szCs w:val="21"/>
      <w:u w:val="none"/>
    </w:rPr>
  </w:style>
  <w:style w:type="character" w:styleId="1091" w:customStyle="1">
    <w:name w:val="apple-style-span"/>
    <w:basedOn w:val="956"/>
    <w:uiPriority w:val="0"/>
    <w:qFormat/>
  </w:style>
  <w:style w:type="paragraph" w:styleId="1092">
    <w:name w:val="No Spacing"/>
    <w:uiPriority w:val="1"/>
    <w:qFormat/>
    <w:pPr>
      <w:jc w:val="both"/>
      <w:widowControl w:val="off"/>
    </w:pPr>
    <w:rPr>
      <w:rFonts w:ascii="Times New Roman" w:hAnsi="Times New Roman" w:eastAsia="宋体" w:cs="Times New Roman"/>
      <w:sz w:val="21"/>
      <w:szCs w:val="24"/>
      <w:lang w:val="en-US" w:eastAsia="zh-CN" w:bidi="ar-SA"/>
    </w:rPr>
  </w:style>
  <w:style w:type="paragraph" w:styleId="1093" w:customStyle="1">
    <w:name w:val="表格文字"/>
    <w:basedOn w:val="946"/>
    <w:next w:val="965"/>
    <w:uiPriority w:val="0"/>
    <w:qFormat/>
    <w:pPr>
      <w:jc w:val="left"/>
      <w:spacing w:line="360" w:lineRule="auto"/>
    </w:pPr>
    <w:rPr>
      <w:bCs/>
      <w:spacing w:val="10"/>
    </w:rPr>
  </w:style>
  <w:style w:type="character" w:styleId="1094" w:customStyle="1">
    <w:name w:val="16"/>
    <w:basedOn w:val="956"/>
    <w:uiPriority w:val="0"/>
    <w:qFormat/>
    <w:rPr>
      <w:rFonts w:hint="default" w:ascii="Times New Roman" w:hAnsi="Times New Roman" w:cs="Times New Roman"/>
      <w:i/>
    </w:rPr>
  </w:style>
  <w:style w:type="paragraph" w:styleId="1095" w:customStyle="1">
    <w:name w:val="+正文"/>
    <w:basedOn w:val="946"/>
    <w:uiPriority w:val="0"/>
    <w:qFormat/>
    <w:pPr>
      <w:ind w:firstLine="200"/>
      <w:spacing w:line="360" w:lineRule="auto"/>
    </w:pPr>
    <w:rPr>
      <w:sz w:val="24"/>
    </w:rPr>
  </w:style>
  <w:style w:type="paragraph" w:styleId="1096" w:customStyle="1">
    <w:name w:val="bodytext indent_0.75"/>
    <w:basedOn w:val="946"/>
    <w:uiPriority w:val="0"/>
    <w:qFormat/>
    <w:pPr>
      <w:ind w:left="990"/>
      <w:spacing w:after="60" w:line="400" w:lineRule="atLeast"/>
      <w:tabs>
        <w:tab w:val="left" w:pos="1440" w:leader="none"/>
      </w:tabs>
    </w:pPr>
    <w:rPr>
      <w:rFonts w:ascii="ABBvoice CNSG" w:hAnsi="ABBvoice CNSG" w:eastAsia="ABBvoice CNSG"/>
    </w:rPr>
  </w:style>
  <w:style w:type="character" w:styleId="1097" w:customStyle="1">
    <w:name w:val="fontstyle11"/>
    <w:uiPriority w:val="0"/>
    <w:qFormat/>
    <w:rPr>
      <w:rFonts w:ascii="TimesNewRomanPSMT" w:hAnsi="TimesNewRomanPSMT" w:eastAsia="TimesNewRomanPSMT" w:cs="TimesNewRomanPSMT"/>
      <w:color w:val="000000"/>
      <w:sz w:val="22"/>
      <w:szCs w:val="22"/>
    </w:rPr>
  </w:style>
  <w:style w:type="character" w:styleId="1098" w:customStyle="1">
    <w:name w:val="fontstyle01"/>
    <w:uiPriority w:val="0"/>
    <w:qFormat/>
    <w:rPr>
      <w:rFonts w:hint="eastAsia" w:ascii="宋体" w:hAnsi="宋体" w:eastAsia="宋体" w:cs="宋体"/>
      <w:color w:val="000000"/>
      <w:sz w:val="24"/>
      <w:szCs w:val="24"/>
    </w:rPr>
  </w:style>
  <w:style w:type="character" w:styleId="1099" w:customStyle="1">
    <w:name w:val="fontstyle21"/>
    <w:uiPriority w:val="0"/>
    <w:qFormat/>
    <w:rPr>
      <w:rFonts w:hint="default" w:ascii="Times New Roman" w:hAnsi="Times New Roman" w:cs="Times New Roman"/>
      <w:color w:val="000000"/>
      <w:sz w:val="18"/>
      <w:szCs w:val="18"/>
    </w:rPr>
  </w:style>
  <w:style w:type="numbering" w:styleId="110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footer" Target="footer6.xml" /><Relationship Id="rId18" Type="http://schemas.openxmlformats.org/officeDocument/2006/relationships/customXml" Target="../customXml/item1.xml" /><Relationship Id="rId19" Type="http://schemas.openxmlformats.org/officeDocument/2006/relationships/customXml" Target="../customXml/item2.xml" /><Relationship Id="rId20" Type="http://schemas.openxmlformats.org/officeDocument/2006/relationships/image" Target="media/image1.png"/><Relationship Id="rId21"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SelectedStyle="\APASixthEditionOfficeOnline.xsl" Version="6" StyleName="APA"/>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3C6D716C-ED16-404E-BDC9-AD32125575DB}"/>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Organization</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shen</dc:creator>
  <cp:lastModifiedBy>沈鹰</cp:lastModifiedBy>
  <cp:revision>43</cp:revision>
  <dcterms:created xsi:type="dcterms:W3CDTF">2023-12-12T02:15:00Z</dcterms:created>
  <dcterms:modified xsi:type="dcterms:W3CDTF">2026-08-27T02:32:49Z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3276159CFC304494A9D450A9153AF724_13</vt:lpwstr>
  </property>
  <property fmtid="{D5CDD505-2E9C-101B-9397-08002B2CF9AE}" pid="4" name="KSOTemplateDocerSaveRecord">
    <vt:lpwstr>eyJoZGlkIjoiZTg1ZjBiYjczODk3ZDAxZTcxNzhmZTc1ZjVmOWU3NDAiLCJ1c2VySWQiOiI0MTgxMDg2MzUifQ==</vt:lpwstr>
  </property>
</Properties>
</file>