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AF3C3">
      <w:pPr>
        <w:spacing w:before="120" w:after="120" w:line="360" w:lineRule="auto"/>
        <w:jc w:val="left"/>
        <w:rPr>
          <w:rFonts w:ascii="宋体" w:hAnsi="宋体" w:eastAsia="宋体" w:cs="宋体"/>
          <w:b/>
          <w:bCs/>
          <w:color w:val="000000" w:themeColor="text1"/>
          <w:sz w:val="84"/>
          <w14:textFill>
            <w14:solidFill>
              <w14:schemeClr w14:val="tx1"/>
            </w14:solidFill>
          </w14:textFill>
        </w:rPr>
      </w:pPr>
    </w:p>
    <w:p w14:paraId="6FB68754">
      <w:pPr>
        <w:spacing w:before="120" w:after="120" w:line="360" w:lineRule="auto"/>
        <w:jc w:val="center"/>
        <w:rPr>
          <w:rFonts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招　标　文　件</w:t>
      </w:r>
    </w:p>
    <w:p w14:paraId="1C4D72F1">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hint="eastAsia"/>
          <w:b/>
          <w:sz w:val="30"/>
          <w:szCs w:val="30"/>
        </w:rPr>
      </w:pPr>
    </w:p>
    <w:p w14:paraId="28B72108">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hint="eastAsia"/>
          <w:b/>
          <w:sz w:val="30"/>
          <w:szCs w:val="30"/>
        </w:rPr>
      </w:pPr>
    </w:p>
    <w:p w14:paraId="6A6B2EEF">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1201" w:firstLineChars="400"/>
        <w:textAlignment w:val="auto"/>
        <w:rPr>
          <w:rFonts w:hint="eastAsia"/>
          <w:b/>
          <w:sz w:val="30"/>
          <w:szCs w:val="30"/>
        </w:rPr>
      </w:pPr>
      <w:r>
        <w:rPr>
          <w:rFonts w:hint="eastAsia"/>
          <w:b/>
          <w:sz w:val="30"/>
          <w:szCs w:val="30"/>
        </w:rPr>
        <w:t>项目名称：宿迁市计量测试所化学衡器类设备检测</w:t>
      </w:r>
    </w:p>
    <w:p w14:paraId="61181252">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2701" w:firstLineChars="900"/>
        <w:textAlignment w:val="auto"/>
        <w:rPr>
          <w:rFonts w:hint="eastAsia"/>
          <w:b/>
          <w:sz w:val="30"/>
          <w:szCs w:val="30"/>
        </w:rPr>
      </w:pPr>
      <w:r>
        <w:rPr>
          <w:rFonts w:hint="eastAsia"/>
          <w:b/>
          <w:sz w:val="30"/>
          <w:szCs w:val="30"/>
        </w:rPr>
        <w:t>装置采购项目</w:t>
      </w:r>
    </w:p>
    <w:p w14:paraId="1DBCB767">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1201" w:firstLineChars="400"/>
        <w:textAlignment w:val="auto"/>
        <w:rPr>
          <w:rFonts w:hint="eastAsia"/>
          <w:b/>
          <w:sz w:val="30"/>
          <w:szCs w:val="30"/>
        </w:rPr>
      </w:pPr>
      <w:r>
        <w:rPr>
          <w:rFonts w:hint="eastAsia"/>
          <w:b/>
          <w:sz w:val="30"/>
          <w:szCs w:val="30"/>
        </w:rPr>
        <w:t xml:space="preserve">项目编号：JSZC-321300-JSHB-G2026-0006               </w:t>
      </w:r>
    </w:p>
    <w:p w14:paraId="77D22350">
      <w:pPr>
        <w:ind w:left="2100" w:leftChars="1000"/>
        <w:rPr>
          <w:rFonts w:hint="eastAsia"/>
          <w:b/>
          <w:sz w:val="30"/>
          <w:szCs w:val="30"/>
        </w:rPr>
      </w:pPr>
    </w:p>
    <w:p w14:paraId="1E8280B0">
      <w:pPr>
        <w:ind w:left="2100" w:leftChars="1000"/>
        <w:rPr>
          <w:rFonts w:hint="eastAsia"/>
          <w:b/>
          <w:sz w:val="30"/>
          <w:szCs w:val="30"/>
        </w:rPr>
      </w:pPr>
      <w:r>
        <w:rPr>
          <w:rFonts w:hint="eastAsia"/>
          <w:b/>
          <w:sz w:val="30"/>
          <w:szCs w:val="30"/>
        </w:rPr>
        <w:t>（货物类项目，专门面向中小企业采购）</w:t>
      </w:r>
    </w:p>
    <w:p w14:paraId="3045EC0D">
      <w:pPr>
        <w:pStyle w:val="191"/>
        <w:spacing w:before="0" w:after="0"/>
        <w:ind w:firstLine="0"/>
        <w:rPr>
          <w:rFonts w:hint="eastAsia" w:ascii="Times New Roman" w:hAnsi="Times New Roman"/>
        </w:rPr>
      </w:pPr>
    </w:p>
    <w:p w14:paraId="6F04DE80">
      <w:pPr>
        <w:pStyle w:val="191"/>
        <w:spacing w:before="0" w:after="0"/>
        <w:ind w:firstLine="0"/>
        <w:rPr>
          <w:rFonts w:hint="eastAsia" w:ascii="Times New Roman" w:hAnsi="Times New Roman"/>
        </w:rPr>
      </w:pPr>
    </w:p>
    <w:p w14:paraId="353EA586">
      <w:pPr>
        <w:pStyle w:val="191"/>
        <w:spacing w:before="0" w:after="0"/>
        <w:ind w:firstLine="0"/>
        <w:rPr>
          <w:rFonts w:hint="eastAsia" w:ascii="Times New Roman" w:hAnsi="Times New Roman"/>
        </w:rPr>
      </w:pPr>
    </w:p>
    <w:p w14:paraId="0912752A">
      <w:pPr>
        <w:pStyle w:val="191"/>
        <w:spacing w:before="0" w:after="0"/>
        <w:ind w:firstLine="0"/>
        <w:rPr>
          <w:rFonts w:hint="eastAsia" w:ascii="Times New Roman" w:hAnsi="Times New Roman"/>
        </w:rPr>
      </w:pPr>
    </w:p>
    <w:p w14:paraId="18393AA4">
      <w:pPr>
        <w:pStyle w:val="191"/>
        <w:spacing w:before="0" w:after="0"/>
        <w:ind w:firstLine="0"/>
        <w:rPr>
          <w:rFonts w:hint="eastAsia" w:ascii="Times New Roman" w:hAnsi="Times New Roman"/>
        </w:rPr>
      </w:pPr>
    </w:p>
    <w:p w14:paraId="04D53694">
      <w:pPr>
        <w:pStyle w:val="191"/>
        <w:spacing w:before="0" w:after="0"/>
        <w:ind w:firstLine="0"/>
        <w:rPr>
          <w:rFonts w:hint="eastAsia" w:ascii="Times New Roman" w:hAnsi="Times New Roman"/>
        </w:rPr>
      </w:pPr>
    </w:p>
    <w:p w14:paraId="68F8350A">
      <w:pPr>
        <w:pStyle w:val="191"/>
        <w:spacing w:before="0" w:after="0"/>
        <w:ind w:firstLine="0"/>
        <w:rPr>
          <w:rFonts w:hint="eastAsia" w:ascii="Times New Roman" w:hAnsi="Times New Roman"/>
        </w:rPr>
      </w:pPr>
    </w:p>
    <w:p w14:paraId="7766F95E">
      <w:pPr>
        <w:pStyle w:val="191"/>
        <w:spacing w:before="0" w:after="0"/>
        <w:ind w:firstLine="0"/>
        <w:rPr>
          <w:rFonts w:hint="eastAsia" w:ascii="Times New Roman" w:hAnsi="Times New Roman"/>
        </w:rPr>
      </w:pPr>
    </w:p>
    <w:p w14:paraId="78A85352">
      <w:pPr>
        <w:pStyle w:val="191"/>
        <w:ind w:firstLine="1684" w:firstLineChars="526"/>
        <w:jc w:val="both"/>
        <w:rPr>
          <w:rFonts w:hint="eastAsia" w:ascii="Times New Roman" w:hAnsi="Times New Roman"/>
          <w:b/>
          <w:bCs/>
          <w:sz w:val="32"/>
          <w:u w:val="single"/>
        </w:rPr>
      </w:pPr>
      <w:r>
        <w:rPr>
          <w:rFonts w:hint="eastAsia" w:ascii="Times New Roman" w:hAnsi="Times New Roman"/>
          <w:b/>
          <w:bCs/>
          <w:sz w:val="32"/>
        </w:rPr>
        <w:t>采</w:t>
      </w:r>
      <w:r>
        <w:rPr>
          <w:rFonts w:hint="eastAsia" w:ascii="Times New Roman" w:hAnsi="Times New Roman"/>
          <w:b/>
          <w:bCs/>
          <w:sz w:val="32"/>
          <w:lang w:val="en-US" w:eastAsia="zh-CN"/>
        </w:rPr>
        <w:t xml:space="preserve">   </w:t>
      </w:r>
      <w:r>
        <w:rPr>
          <w:rFonts w:hint="eastAsia" w:ascii="Times New Roman" w:hAnsi="Times New Roman"/>
          <w:b/>
          <w:bCs/>
          <w:sz w:val="32"/>
        </w:rPr>
        <w:t>购</w:t>
      </w:r>
      <w:r>
        <w:rPr>
          <w:rFonts w:hint="eastAsia" w:ascii="Times New Roman" w:hAnsi="Times New Roman"/>
          <w:b/>
          <w:bCs/>
          <w:sz w:val="32"/>
          <w:lang w:val="en-US" w:eastAsia="zh-CN"/>
        </w:rPr>
        <w:t xml:space="preserve">  </w:t>
      </w:r>
      <w:r>
        <w:rPr>
          <w:rFonts w:hint="eastAsia" w:ascii="Times New Roman" w:hAnsi="Times New Roman"/>
          <w:b/>
          <w:bCs/>
          <w:sz w:val="32"/>
        </w:rPr>
        <w:t>人：</w:t>
      </w:r>
      <w:r>
        <w:rPr>
          <w:rFonts w:hint="eastAsia" w:ascii="Times New Roman" w:hAnsi="Times New Roman"/>
          <w:b/>
          <w:bCs/>
          <w:sz w:val="32"/>
          <w:u w:val="single"/>
        </w:rPr>
        <w:t xml:space="preserve">    宿迁市计量测试所       </w:t>
      </w:r>
    </w:p>
    <w:p w14:paraId="0B60AF5E">
      <w:pPr>
        <w:pStyle w:val="191"/>
        <w:ind w:firstLine="1601" w:firstLineChars="500"/>
        <w:jc w:val="both"/>
        <w:rPr>
          <w:rFonts w:hint="eastAsia" w:ascii="Times New Roman" w:hAnsi="Times New Roman"/>
          <w:b/>
          <w:bCs/>
          <w:sz w:val="32"/>
          <w:u w:val="single"/>
        </w:rPr>
      </w:pPr>
      <w:r>
        <w:rPr>
          <w:rFonts w:hint="eastAsia" w:ascii="Times New Roman" w:hAnsi="Times New Roman"/>
          <w:b/>
          <w:bCs/>
          <w:sz w:val="32"/>
        </w:rPr>
        <w:t>采购代理机构：</w:t>
      </w:r>
      <w:r>
        <w:rPr>
          <w:rFonts w:hint="eastAsia" w:ascii="Times New Roman" w:hAnsi="Times New Roman"/>
          <w:b/>
          <w:bCs/>
          <w:sz w:val="32"/>
          <w:u w:val="single"/>
        </w:rPr>
        <w:t>江苏宏邦工程管理咨询有限公司</w:t>
      </w:r>
    </w:p>
    <w:p w14:paraId="4CD389BD">
      <w:pPr>
        <w:pStyle w:val="191"/>
        <w:ind w:firstLine="1684" w:firstLineChars="526"/>
        <w:jc w:val="both"/>
        <w:rPr>
          <w:rFonts w:hint="eastAsia" w:ascii="Times New Roman" w:hAnsi="Times New Roman"/>
          <w:b/>
          <w:bCs/>
          <w:sz w:val="32"/>
        </w:rPr>
      </w:pPr>
      <w:r>
        <w:rPr>
          <w:rFonts w:hint="eastAsia" w:ascii="Times New Roman" w:hAnsi="Times New Roman"/>
          <w:b/>
          <w:bCs/>
          <w:sz w:val="32"/>
          <w:lang w:eastAsia="zh-CN"/>
        </w:rPr>
        <w:t>日</w:t>
      </w:r>
      <w:r>
        <w:rPr>
          <w:rFonts w:hint="eastAsia" w:ascii="Times New Roman" w:hAnsi="Times New Roman"/>
          <w:b/>
          <w:bCs/>
          <w:sz w:val="32"/>
          <w:lang w:val="en-US" w:eastAsia="zh-CN"/>
        </w:rPr>
        <w:t xml:space="preserve">        </w:t>
      </w:r>
      <w:r>
        <w:rPr>
          <w:rFonts w:hint="eastAsia" w:ascii="Times New Roman" w:hAnsi="Times New Roman"/>
          <w:b/>
          <w:bCs/>
          <w:sz w:val="32"/>
          <w:lang w:eastAsia="zh-CN"/>
        </w:rPr>
        <w:t>期：</w:t>
      </w:r>
      <w:r>
        <w:rPr>
          <w:rFonts w:hint="eastAsia" w:ascii="Times New Roman" w:hAnsi="Times New Roman"/>
          <w:b/>
          <w:bCs/>
          <w:sz w:val="32"/>
        </w:rPr>
        <w:t>2</w:t>
      </w:r>
      <w:r>
        <w:rPr>
          <w:rFonts w:ascii="Times New Roman" w:hAnsi="Times New Roman"/>
          <w:b/>
          <w:bCs/>
          <w:sz w:val="32"/>
        </w:rPr>
        <w:t>02</w:t>
      </w:r>
      <w:r>
        <w:rPr>
          <w:rFonts w:hint="eastAsia" w:ascii="Times New Roman" w:hAnsi="Times New Roman"/>
          <w:b/>
          <w:bCs/>
          <w:sz w:val="32"/>
          <w:lang w:val="en-US" w:eastAsia="zh-CN"/>
        </w:rPr>
        <w:t>6</w:t>
      </w:r>
      <w:r>
        <w:rPr>
          <w:rFonts w:hint="eastAsia" w:ascii="Times New Roman" w:hAnsi="Times New Roman"/>
          <w:b/>
          <w:bCs/>
          <w:sz w:val="32"/>
        </w:rPr>
        <w:t>年0</w:t>
      </w:r>
      <w:r>
        <w:rPr>
          <w:rFonts w:ascii="Times New Roman" w:hAnsi="Times New Roman"/>
          <w:b/>
          <w:bCs/>
          <w:sz w:val="32"/>
        </w:rPr>
        <w:t>9</w:t>
      </w:r>
      <w:r>
        <w:rPr>
          <w:rFonts w:hint="eastAsia" w:ascii="Times New Roman" w:hAnsi="Times New Roman"/>
          <w:b/>
          <w:bCs/>
          <w:sz w:val="32"/>
        </w:rPr>
        <w:t>月</w:t>
      </w:r>
      <w:r>
        <w:rPr>
          <w:rFonts w:hint="eastAsia" w:ascii="Times New Roman" w:hAnsi="Times New Roman" w:eastAsia="宋体"/>
          <w:b/>
          <w:bCs/>
          <w:sz w:val="32"/>
          <w:lang w:val="en-US" w:eastAsia="zh-CN"/>
        </w:rPr>
        <w:t>28</w:t>
      </w:r>
      <w:r>
        <w:rPr>
          <w:rFonts w:hint="eastAsia" w:ascii="Times New Roman" w:hAnsi="Times New Roman"/>
          <w:b/>
          <w:bCs/>
          <w:sz w:val="32"/>
        </w:rPr>
        <w:t>日</w:t>
      </w:r>
    </w:p>
    <w:p w14:paraId="4E05D8B6">
      <w:pPr>
        <w:spacing w:before="120" w:after="120" w:line="360" w:lineRule="auto"/>
        <w:jc w:val="center"/>
        <w:rPr>
          <w:rFonts w:ascii="宋体" w:hAnsi="宋体" w:eastAsia="宋体" w:cs="宋体"/>
          <w:b/>
          <w:bCs/>
          <w:color w:val="000000" w:themeColor="text1"/>
          <w:sz w:val="32"/>
          <w14:textFill>
            <w14:solidFill>
              <w14:schemeClr w14:val="tx1"/>
            </w14:solidFill>
          </w14:textFill>
        </w:rPr>
      </w:pPr>
    </w:p>
    <w:p w14:paraId="224F9624">
      <w:pPr>
        <w:spacing w:line="360" w:lineRule="auto"/>
        <w:jc w:val="center"/>
        <w:rPr>
          <w:rFonts w:ascii="宋体" w:hAnsi="宋体" w:eastAsia="宋体" w:cs="宋体"/>
          <w:b/>
          <w:color w:val="000000" w:themeColor="text1"/>
          <w:sz w:val="28"/>
          <w:szCs w:val="21"/>
          <w14:textFill>
            <w14:solidFill>
              <w14:schemeClr w14:val="tx1"/>
            </w14:solidFill>
          </w14:textFill>
        </w:rPr>
      </w:pPr>
      <w:bookmarkStart w:id="0" w:name="_Toc120614210"/>
      <w:bookmarkStart w:id="1" w:name="_Toc523127445"/>
      <w:bookmarkStart w:id="2" w:name="_Toc16938516"/>
      <w:bookmarkStart w:id="3" w:name="_Toc513029200"/>
      <w:bookmarkStart w:id="4" w:name="_Toc479757206"/>
      <w:bookmarkStart w:id="5" w:name="_Toc20823272"/>
      <w:r>
        <w:rPr>
          <w:rFonts w:hint="eastAsia" w:ascii="宋体" w:hAnsi="宋体" w:eastAsia="宋体" w:cs="宋体"/>
          <w:b/>
          <w:color w:val="000000" w:themeColor="text1"/>
          <w:sz w:val="44"/>
          <w:szCs w:val="21"/>
          <w14:textFill>
            <w14:solidFill>
              <w14:schemeClr w14:val="tx1"/>
            </w14:solidFill>
          </w14:textFill>
        </w:rPr>
        <w:t>总  目  录</w:t>
      </w:r>
    </w:p>
    <w:p w14:paraId="493BF778">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rPr>
      </w:pPr>
      <w:r>
        <w:rPr>
          <w:rFonts w:hint="eastAsia" w:ascii="宋体" w:hAnsi="宋体" w:eastAsia="宋体" w:cs="宋体"/>
          <w:b/>
          <w:bCs/>
          <w:caps/>
          <w:color w:val="000000" w:themeColor="text1"/>
          <w:sz w:val="36"/>
          <w:szCs w:val="36"/>
          <w14:textFill>
            <w14:solidFill>
              <w14:schemeClr w14:val="tx1"/>
            </w14:solidFill>
          </w14:textFill>
        </w:rPr>
        <w:fldChar w:fldCharType="begin"/>
      </w:r>
      <w:r>
        <w:rPr>
          <w:rFonts w:hint="eastAsia" w:ascii="宋体" w:hAnsi="宋体" w:eastAsia="宋体" w:cs="宋体"/>
          <w:b/>
          <w:bCs/>
          <w:caps/>
          <w:color w:val="000000" w:themeColor="text1"/>
          <w:sz w:val="36"/>
          <w:szCs w:val="36"/>
          <w14:textFill>
            <w14:solidFill>
              <w14:schemeClr w14:val="tx1"/>
            </w14:solidFill>
          </w14:textFill>
        </w:rPr>
        <w:instrText xml:space="preserve">TOC \o "1-1" \h \u </w:instrText>
      </w:r>
      <w:r>
        <w:rPr>
          <w:rFonts w:hint="eastAsia" w:ascii="宋体" w:hAnsi="宋体" w:eastAsia="宋体" w:cs="宋体"/>
          <w:b/>
          <w:bCs/>
          <w:caps/>
          <w:color w:val="000000" w:themeColor="text1"/>
          <w:sz w:val="36"/>
          <w:szCs w:val="36"/>
          <w14:textFill>
            <w14:solidFill>
              <w14:schemeClr w14:val="tx1"/>
            </w14:solidFill>
          </w14:textFill>
        </w:rPr>
        <w:fldChar w:fldCharType="separate"/>
      </w:r>
      <w:r>
        <w:rPr>
          <w:rFonts w:hint="eastAsia" w:ascii="宋体" w:hAnsi="宋体" w:eastAsia="宋体" w:cs="宋体"/>
          <w:bCs/>
          <w:caps/>
          <w:color w:val="000000" w:themeColor="text1"/>
          <w:sz w:val="28"/>
          <w:szCs w:val="48"/>
          <w14:textFill>
            <w14:solidFill>
              <w14:schemeClr w14:val="tx1"/>
            </w14:solidFill>
          </w14:textFill>
        </w:rPr>
        <w:fldChar w:fldCharType="begin"/>
      </w:r>
      <w:r>
        <w:rPr>
          <w:rFonts w:hint="eastAsia" w:ascii="宋体" w:hAnsi="宋体" w:eastAsia="宋体" w:cs="宋体"/>
          <w:bCs/>
          <w:caps/>
          <w:sz w:val="28"/>
          <w:szCs w:val="48"/>
        </w:rPr>
        <w:instrText xml:space="preserve"> HYPERLINK \l _Toc4339 </w:instrText>
      </w:r>
      <w:r>
        <w:rPr>
          <w:rFonts w:hint="eastAsia" w:ascii="宋体" w:hAnsi="宋体" w:eastAsia="宋体" w:cs="宋体"/>
          <w:bCs/>
          <w:caps/>
          <w:sz w:val="28"/>
          <w:szCs w:val="48"/>
        </w:rPr>
        <w:fldChar w:fldCharType="separate"/>
      </w:r>
      <w:r>
        <w:rPr>
          <w:rFonts w:hint="eastAsia" w:ascii="宋体" w:hAnsi="宋体" w:eastAsia="宋体" w:cs="宋体"/>
          <w:bCs/>
          <w:sz w:val="28"/>
          <w:szCs w:val="56"/>
        </w:rPr>
        <w:t>第一章 投标邀请</w:t>
      </w:r>
      <w:r>
        <w:rPr>
          <w:sz w:val="28"/>
          <w:szCs w:val="36"/>
        </w:rPr>
        <w:tab/>
      </w:r>
      <w:r>
        <w:rPr>
          <w:sz w:val="28"/>
          <w:szCs w:val="36"/>
        </w:rPr>
        <w:fldChar w:fldCharType="begin"/>
      </w:r>
      <w:r>
        <w:rPr>
          <w:sz w:val="28"/>
          <w:szCs w:val="36"/>
        </w:rPr>
        <w:instrText xml:space="preserve"> PAGEREF _Toc4339 \h </w:instrText>
      </w:r>
      <w:r>
        <w:rPr>
          <w:sz w:val="28"/>
          <w:szCs w:val="36"/>
        </w:rPr>
        <w:fldChar w:fldCharType="separate"/>
      </w:r>
      <w:r>
        <w:rPr>
          <w:sz w:val="28"/>
          <w:szCs w:val="36"/>
        </w:rPr>
        <w:t>2</w:t>
      </w:r>
      <w:r>
        <w:rPr>
          <w:sz w:val="28"/>
          <w:szCs w:val="36"/>
        </w:rPr>
        <w:fldChar w:fldCharType="end"/>
      </w:r>
      <w:r>
        <w:rPr>
          <w:rFonts w:hint="eastAsia" w:ascii="宋体" w:hAnsi="宋体" w:eastAsia="宋体" w:cs="宋体"/>
          <w:bCs/>
          <w:caps/>
          <w:color w:val="000000" w:themeColor="text1"/>
          <w:sz w:val="28"/>
          <w:szCs w:val="48"/>
          <w14:textFill>
            <w14:solidFill>
              <w14:schemeClr w14:val="tx1"/>
            </w14:solidFill>
          </w14:textFill>
        </w:rPr>
        <w:fldChar w:fldCharType="end"/>
      </w:r>
    </w:p>
    <w:p w14:paraId="25E0EB9C">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rPr>
      </w:pPr>
      <w:r>
        <w:rPr>
          <w:rFonts w:hint="eastAsia" w:ascii="宋体" w:hAnsi="宋体" w:eastAsia="宋体" w:cs="宋体"/>
          <w:bCs/>
          <w:color w:val="000000" w:themeColor="text1"/>
          <w:sz w:val="28"/>
          <w:szCs w:val="48"/>
          <w14:textFill>
            <w14:solidFill>
              <w14:schemeClr w14:val="tx1"/>
            </w14:solidFill>
          </w14:textFill>
        </w:rPr>
        <w:fldChar w:fldCharType="begin"/>
      </w:r>
      <w:r>
        <w:rPr>
          <w:rFonts w:hint="eastAsia" w:ascii="宋体" w:hAnsi="宋体" w:eastAsia="宋体" w:cs="宋体"/>
          <w:bCs/>
          <w:sz w:val="28"/>
          <w:szCs w:val="48"/>
        </w:rPr>
        <w:instrText xml:space="preserve"> HYPERLINK \l _Toc28130 </w:instrText>
      </w:r>
      <w:r>
        <w:rPr>
          <w:rFonts w:hint="eastAsia" w:ascii="宋体" w:hAnsi="宋体" w:eastAsia="宋体" w:cs="宋体"/>
          <w:bCs/>
          <w:sz w:val="28"/>
          <w:szCs w:val="48"/>
        </w:rPr>
        <w:fldChar w:fldCharType="separate"/>
      </w:r>
      <w:r>
        <w:rPr>
          <w:rFonts w:hint="eastAsia" w:ascii="宋体" w:hAnsi="宋体" w:eastAsia="宋体" w:cs="宋体"/>
          <w:bCs/>
          <w:sz w:val="28"/>
          <w:szCs w:val="56"/>
        </w:rPr>
        <w:t>第二章 投标人须知</w:t>
      </w:r>
      <w:r>
        <w:rPr>
          <w:sz w:val="28"/>
          <w:szCs w:val="36"/>
        </w:rPr>
        <w:tab/>
      </w:r>
      <w:r>
        <w:rPr>
          <w:sz w:val="28"/>
          <w:szCs w:val="36"/>
        </w:rPr>
        <w:fldChar w:fldCharType="begin"/>
      </w:r>
      <w:r>
        <w:rPr>
          <w:sz w:val="28"/>
          <w:szCs w:val="36"/>
        </w:rPr>
        <w:instrText xml:space="preserve"> PAGEREF _Toc28130 \h </w:instrText>
      </w:r>
      <w:r>
        <w:rPr>
          <w:sz w:val="28"/>
          <w:szCs w:val="36"/>
        </w:rPr>
        <w:fldChar w:fldCharType="separate"/>
      </w:r>
      <w:r>
        <w:rPr>
          <w:sz w:val="28"/>
          <w:szCs w:val="36"/>
        </w:rPr>
        <w:t>5</w:t>
      </w:r>
      <w:r>
        <w:rPr>
          <w:sz w:val="28"/>
          <w:szCs w:val="36"/>
        </w:rPr>
        <w:fldChar w:fldCharType="end"/>
      </w:r>
      <w:r>
        <w:rPr>
          <w:rFonts w:hint="eastAsia" w:ascii="宋体" w:hAnsi="宋体" w:eastAsia="宋体" w:cs="宋体"/>
          <w:bCs/>
          <w:color w:val="000000" w:themeColor="text1"/>
          <w:sz w:val="28"/>
          <w:szCs w:val="48"/>
          <w14:textFill>
            <w14:solidFill>
              <w14:schemeClr w14:val="tx1"/>
            </w14:solidFill>
          </w14:textFill>
        </w:rPr>
        <w:fldChar w:fldCharType="end"/>
      </w:r>
    </w:p>
    <w:p w14:paraId="7188D802">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rPr>
      </w:pPr>
      <w:r>
        <w:rPr>
          <w:rFonts w:hint="eastAsia" w:ascii="宋体" w:hAnsi="宋体" w:eastAsia="宋体" w:cs="宋体"/>
          <w:bCs/>
          <w:color w:val="000000" w:themeColor="text1"/>
          <w:sz w:val="28"/>
          <w:szCs w:val="48"/>
          <w14:textFill>
            <w14:solidFill>
              <w14:schemeClr w14:val="tx1"/>
            </w14:solidFill>
          </w14:textFill>
        </w:rPr>
        <w:fldChar w:fldCharType="begin"/>
      </w:r>
      <w:r>
        <w:rPr>
          <w:rFonts w:hint="eastAsia" w:ascii="宋体" w:hAnsi="宋体" w:eastAsia="宋体" w:cs="宋体"/>
          <w:bCs/>
          <w:sz w:val="28"/>
          <w:szCs w:val="48"/>
        </w:rPr>
        <w:instrText xml:space="preserve"> HYPERLINK \l _Toc27293 </w:instrText>
      </w:r>
      <w:r>
        <w:rPr>
          <w:rFonts w:hint="eastAsia" w:ascii="宋体" w:hAnsi="宋体" w:eastAsia="宋体" w:cs="宋体"/>
          <w:bCs/>
          <w:sz w:val="28"/>
          <w:szCs w:val="48"/>
        </w:rPr>
        <w:fldChar w:fldCharType="separate"/>
      </w:r>
      <w:r>
        <w:rPr>
          <w:rFonts w:hint="eastAsia" w:ascii="宋体" w:hAnsi="宋体" w:eastAsia="宋体" w:cs="宋体"/>
          <w:sz w:val="28"/>
          <w:szCs w:val="40"/>
        </w:rPr>
        <w:t>第三章 合同文本</w:t>
      </w:r>
      <w:r>
        <w:rPr>
          <w:sz w:val="28"/>
          <w:szCs w:val="36"/>
        </w:rPr>
        <w:tab/>
      </w:r>
      <w:r>
        <w:rPr>
          <w:sz w:val="28"/>
          <w:szCs w:val="36"/>
        </w:rPr>
        <w:fldChar w:fldCharType="begin"/>
      </w:r>
      <w:r>
        <w:rPr>
          <w:sz w:val="28"/>
          <w:szCs w:val="36"/>
        </w:rPr>
        <w:instrText xml:space="preserve"> PAGEREF _Toc27293 \h </w:instrText>
      </w:r>
      <w:r>
        <w:rPr>
          <w:sz w:val="28"/>
          <w:szCs w:val="36"/>
        </w:rPr>
        <w:fldChar w:fldCharType="separate"/>
      </w:r>
      <w:r>
        <w:rPr>
          <w:sz w:val="28"/>
          <w:szCs w:val="36"/>
        </w:rPr>
        <w:t>23</w:t>
      </w:r>
      <w:r>
        <w:rPr>
          <w:sz w:val="28"/>
          <w:szCs w:val="36"/>
        </w:rPr>
        <w:fldChar w:fldCharType="end"/>
      </w:r>
      <w:r>
        <w:rPr>
          <w:rFonts w:hint="eastAsia" w:ascii="宋体" w:hAnsi="宋体" w:eastAsia="宋体" w:cs="宋体"/>
          <w:bCs/>
          <w:color w:val="000000" w:themeColor="text1"/>
          <w:sz w:val="28"/>
          <w:szCs w:val="48"/>
          <w14:textFill>
            <w14:solidFill>
              <w14:schemeClr w14:val="tx1"/>
            </w14:solidFill>
          </w14:textFill>
        </w:rPr>
        <w:fldChar w:fldCharType="end"/>
      </w:r>
    </w:p>
    <w:p w14:paraId="2055D7D6">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rPr>
      </w:pPr>
      <w:r>
        <w:rPr>
          <w:rFonts w:hint="eastAsia" w:ascii="宋体" w:hAnsi="宋体" w:eastAsia="宋体" w:cs="宋体"/>
          <w:bCs/>
          <w:color w:val="000000" w:themeColor="text1"/>
          <w:sz w:val="28"/>
          <w:szCs w:val="48"/>
          <w14:textFill>
            <w14:solidFill>
              <w14:schemeClr w14:val="tx1"/>
            </w14:solidFill>
          </w14:textFill>
        </w:rPr>
        <w:fldChar w:fldCharType="begin"/>
      </w:r>
      <w:r>
        <w:rPr>
          <w:rFonts w:hint="eastAsia" w:ascii="宋体" w:hAnsi="宋体" w:eastAsia="宋体" w:cs="宋体"/>
          <w:bCs/>
          <w:sz w:val="28"/>
          <w:szCs w:val="48"/>
        </w:rPr>
        <w:instrText xml:space="preserve"> HYPERLINK \l _Toc1604 </w:instrText>
      </w:r>
      <w:r>
        <w:rPr>
          <w:rFonts w:hint="eastAsia" w:ascii="宋体" w:hAnsi="宋体" w:eastAsia="宋体" w:cs="宋体"/>
          <w:bCs/>
          <w:sz w:val="28"/>
          <w:szCs w:val="48"/>
        </w:rPr>
        <w:fldChar w:fldCharType="separate"/>
      </w:r>
      <w:r>
        <w:rPr>
          <w:rFonts w:hint="eastAsia" w:ascii="宋体" w:hAnsi="宋体" w:eastAsia="宋体" w:cs="宋体"/>
          <w:sz w:val="28"/>
          <w:szCs w:val="40"/>
        </w:rPr>
        <w:t>第四章 采购需求</w:t>
      </w:r>
      <w:r>
        <w:rPr>
          <w:sz w:val="28"/>
          <w:szCs w:val="36"/>
        </w:rPr>
        <w:tab/>
      </w:r>
      <w:r>
        <w:rPr>
          <w:sz w:val="28"/>
          <w:szCs w:val="36"/>
        </w:rPr>
        <w:fldChar w:fldCharType="begin"/>
      </w:r>
      <w:r>
        <w:rPr>
          <w:sz w:val="28"/>
          <w:szCs w:val="36"/>
        </w:rPr>
        <w:instrText xml:space="preserve"> PAGEREF _Toc1604 \h </w:instrText>
      </w:r>
      <w:r>
        <w:rPr>
          <w:sz w:val="28"/>
          <w:szCs w:val="36"/>
        </w:rPr>
        <w:fldChar w:fldCharType="separate"/>
      </w:r>
      <w:r>
        <w:rPr>
          <w:sz w:val="28"/>
          <w:szCs w:val="36"/>
        </w:rPr>
        <w:t>32</w:t>
      </w:r>
      <w:r>
        <w:rPr>
          <w:sz w:val="28"/>
          <w:szCs w:val="36"/>
        </w:rPr>
        <w:fldChar w:fldCharType="end"/>
      </w:r>
      <w:r>
        <w:rPr>
          <w:rFonts w:hint="eastAsia" w:ascii="宋体" w:hAnsi="宋体" w:eastAsia="宋体" w:cs="宋体"/>
          <w:bCs/>
          <w:color w:val="000000" w:themeColor="text1"/>
          <w:sz w:val="28"/>
          <w:szCs w:val="48"/>
          <w14:textFill>
            <w14:solidFill>
              <w14:schemeClr w14:val="tx1"/>
            </w14:solidFill>
          </w14:textFill>
        </w:rPr>
        <w:fldChar w:fldCharType="end"/>
      </w:r>
    </w:p>
    <w:p w14:paraId="16EBCFAB">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rPr>
      </w:pPr>
      <w:r>
        <w:rPr>
          <w:rFonts w:hint="eastAsia" w:ascii="宋体" w:hAnsi="宋体" w:eastAsia="宋体" w:cs="宋体"/>
          <w:bCs/>
          <w:color w:val="000000" w:themeColor="text1"/>
          <w:sz w:val="28"/>
          <w:szCs w:val="48"/>
          <w14:textFill>
            <w14:solidFill>
              <w14:schemeClr w14:val="tx1"/>
            </w14:solidFill>
          </w14:textFill>
        </w:rPr>
        <w:fldChar w:fldCharType="begin"/>
      </w:r>
      <w:r>
        <w:rPr>
          <w:rFonts w:hint="eastAsia" w:ascii="宋体" w:hAnsi="宋体" w:eastAsia="宋体" w:cs="宋体"/>
          <w:bCs/>
          <w:sz w:val="28"/>
          <w:szCs w:val="48"/>
        </w:rPr>
        <w:instrText xml:space="preserve"> HYPERLINK \l _Toc22651 </w:instrText>
      </w:r>
      <w:r>
        <w:rPr>
          <w:rFonts w:hint="eastAsia" w:ascii="宋体" w:hAnsi="宋体" w:eastAsia="宋体" w:cs="宋体"/>
          <w:bCs/>
          <w:sz w:val="28"/>
          <w:szCs w:val="48"/>
        </w:rPr>
        <w:fldChar w:fldCharType="separate"/>
      </w:r>
      <w:r>
        <w:rPr>
          <w:rFonts w:hint="eastAsia" w:ascii="宋体" w:hAnsi="宋体" w:eastAsia="宋体" w:cs="宋体"/>
          <w:sz w:val="28"/>
          <w:szCs w:val="40"/>
        </w:rPr>
        <w:t>第五章 评标方法与评标标准</w:t>
      </w:r>
      <w:r>
        <w:rPr>
          <w:sz w:val="28"/>
          <w:szCs w:val="36"/>
        </w:rPr>
        <w:tab/>
      </w:r>
      <w:r>
        <w:rPr>
          <w:sz w:val="28"/>
          <w:szCs w:val="36"/>
        </w:rPr>
        <w:fldChar w:fldCharType="begin"/>
      </w:r>
      <w:r>
        <w:rPr>
          <w:sz w:val="28"/>
          <w:szCs w:val="36"/>
        </w:rPr>
        <w:instrText xml:space="preserve"> PAGEREF _Toc22651 \h </w:instrText>
      </w:r>
      <w:r>
        <w:rPr>
          <w:sz w:val="28"/>
          <w:szCs w:val="36"/>
        </w:rPr>
        <w:fldChar w:fldCharType="separate"/>
      </w:r>
      <w:r>
        <w:rPr>
          <w:sz w:val="28"/>
          <w:szCs w:val="36"/>
        </w:rPr>
        <w:t>40</w:t>
      </w:r>
      <w:r>
        <w:rPr>
          <w:sz w:val="28"/>
          <w:szCs w:val="36"/>
        </w:rPr>
        <w:fldChar w:fldCharType="end"/>
      </w:r>
      <w:r>
        <w:rPr>
          <w:rFonts w:hint="eastAsia" w:ascii="宋体" w:hAnsi="宋体" w:eastAsia="宋体" w:cs="宋体"/>
          <w:bCs/>
          <w:color w:val="000000" w:themeColor="text1"/>
          <w:sz w:val="28"/>
          <w:szCs w:val="48"/>
          <w14:textFill>
            <w14:solidFill>
              <w14:schemeClr w14:val="tx1"/>
            </w14:solidFill>
          </w14:textFill>
        </w:rPr>
        <w:fldChar w:fldCharType="end"/>
      </w:r>
    </w:p>
    <w:p w14:paraId="58822520">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 w:val="28"/>
          <w:szCs w:val="48"/>
          <w14:textFill>
            <w14:solidFill>
              <w14:schemeClr w14:val="tx1"/>
            </w14:solidFill>
          </w14:textFill>
        </w:rPr>
        <w:fldChar w:fldCharType="begin"/>
      </w:r>
      <w:r>
        <w:rPr>
          <w:rFonts w:hint="eastAsia" w:ascii="宋体" w:hAnsi="宋体" w:eastAsia="宋体" w:cs="宋体"/>
          <w:bCs/>
          <w:sz w:val="28"/>
          <w:szCs w:val="48"/>
        </w:rPr>
        <w:instrText xml:space="preserve"> HYPERLINK \l _Toc8770 </w:instrText>
      </w:r>
      <w:r>
        <w:rPr>
          <w:rFonts w:hint="eastAsia" w:ascii="宋体" w:hAnsi="宋体" w:eastAsia="宋体" w:cs="宋体"/>
          <w:bCs/>
          <w:sz w:val="28"/>
          <w:szCs w:val="48"/>
        </w:rPr>
        <w:fldChar w:fldCharType="separate"/>
      </w:r>
      <w:r>
        <w:rPr>
          <w:rFonts w:hint="eastAsia" w:ascii="宋体" w:hAnsi="宋体" w:eastAsia="宋体" w:cs="宋体"/>
          <w:sz w:val="28"/>
          <w:szCs w:val="40"/>
        </w:rPr>
        <w:t>第六章 投标文件格式</w:t>
      </w:r>
      <w:r>
        <w:rPr>
          <w:sz w:val="28"/>
          <w:szCs w:val="36"/>
        </w:rPr>
        <w:tab/>
      </w:r>
      <w:r>
        <w:rPr>
          <w:sz w:val="28"/>
          <w:szCs w:val="36"/>
        </w:rPr>
        <w:fldChar w:fldCharType="begin"/>
      </w:r>
      <w:r>
        <w:rPr>
          <w:sz w:val="28"/>
          <w:szCs w:val="36"/>
        </w:rPr>
        <w:instrText xml:space="preserve"> PAGEREF _Toc8770 \h </w:instrText>
      </w:r>
      <w:r>
        <w:rPr>
          <w:sz w:val="28"/>
          <w:szCs w:val="36"/>
        </w:rPr>
        <w:fldChar w:fldCharType="separate"/>
      </w:r>
      <w:r>
        <w:rPr>
          <w:sz w:val="28"/>
          <w:szCs w:val="36"/>
        </w:rPr>
        <w:t>48</w:t>
      </w:r>
      <w:r>
        <w:rPr>
          <w:sz w:val="28"/>
          <w:szCs w:val="36"/>
        </w:rPr>
        <w:fldChar w:fldCharType="end"/>
      </w:r>
      <w:r>
        <w:rPr>
          <w:rFonts w:hint="eastAsia" w:ascii="宋体" w:hAnsi="宋体" w:eastAsia="宋体" w:cs="宋体"/>
          <w:bCs/>
          <w:color w:val="000000" w:themeColor="text1"/>
          <w:sz w:val="28"/>
          <w:szCs w:val="48"/>
          <w14:textFill>
            <w14:solidFill>
              <w14:schemeClr w14:val="tx1"/>
            </w14:solidFill>
          </w14:textFill>
        </w:rPr>
        <w:fldChar w:fldCharType="end"/>
      </w:r>
      <w:r>
        <w:rPr>
          <w:rFonts w:hint="eastAsia" w:ascii="宋体" w:hAnsi="宋体" w:eastAsia="宋体" w:cs="宋体"/>
          <w:bCs/>
          <w:color w:val="000000" w:themeColor="text1"/>
          <w:szCs w:val="36"/>
          <w14:textFill>
            <w14:solidFill>
              <w14:schemeClr w14:val="tx1"/>
            </w14:solidFill>
          </w14:textFill>
        </w:rPr>
        <w:fldChar w:fldCharType="end"/>
      </w:r>
    </w:p>
    <w:p w14:paraId="11FC2156">
      <w:pPr>
        <w:rPr>
          <w:rFonts w:ascii="宋体" w:hAnsi="宋体" w:eastAsia="宋体" w:cs="宋体"/>
          <w:color w:val="000000" w:themeColor="text1"/>
          <w:szCs w:val="21"/>
          <w14:textFill>
            <w14:solidFill>
              <w14:schemeClr w14:val="tx1"/>
            </w14:solidFill>
          </w14:textFill>
        </w:rPr>
      </w:pPr>
    </w:p>
    <w:p w14:paraId="596721FD">
      <w:pPr>
        <w:rPr>
          <w:rFonts w:ascii="宋体" w:hAnsi="宋体" w:eastAsia="宋体" w:cs="宋体"/>
          <w:color w:val="000000" w:themeColor="text1"/>
          <w:szCs w:val="21"/>
          <w14:textFill>
            <w14:solidFill>
              <w14:schemeClr w14:val="tx1"/>
            </w14:solidFill>
          </w14:textFill>
        </w:rPr>
      </w:pPr>
    </w:p>
    <w:p w14:paraId="28D975F7">
      <w:pPr>
        <w:rPr>
          <w:rFonts w:ascii="宋体" w:hAnsi="宋体" w:eastAsia="宋体" w:cs="宋体"/>
          <w:color w:val="000000" w:themeColor="text1"/>
          <w:szCs w:val="21"/>
          <w14:textFill>
            <w14:solidFill>
              <w14:schemeClr w14:val="tx1"/>
            </w14:solidFill>
          </w14:textFill>
        </w:rPr>
      </w:pPr>
    </w:p>
    <w:p w14:paraId="4C532010">
      <w:pPr>
        <w:rPr>
          <w:rFonts w:ascii="宋体" w:hAnsi="宋体" w:eastAsia="宋体" w:cs="宋体"/>
          <w:color w:val="000000" w:themeColor="text1"/>
          <w:szCs w:val="21"/>
          <w14:textFill>
            <w14:solidFill>
              <w14:schemeClr w14:val="tx1"/>
            </w14:solidFill>
          </w14:textFill>
        </w:rPr>
      </w:pPr>
    </w:p>
    <w:p w14:paraId="0AECE9BE">
      <w:pPr>
        <w:rPr>
          <w:rFonts w:ascii="宋体" w:hAnsi="宋体" w:eastAsia="宋体" w:cs="宋体"/>
          <w:color w:val="000000" w:themeColor="text1"/>
          <w:szCs w:val="21"/>
          <w14:textFill>
            <w14:solidFill>
              <w14:schemeClr w14:val="tx1"/>
            </w14:solidFill>
          </w14:textFill>
        </w:rPr>
      </w:pPr>
    </w:p>
    <w:p w14:paraId="7B1B6CA3">
      <w:pPr>
        <w:rPr>
          <w:rFonts w:ascii="宋体" w:hAnsi="宋体" w:eastAsia="宋体" w:cs="宋体"/>
          <w:color w:val="000000" w:themeColor="text1"/>
          <w:szCs w:val="21"/>
          <w14:textFill>
            <w14:solidFill>
              <w14:schemeClr w14:val="tx1"/>
            </w14:solidFill>
          </w14:textFill>
        </w:rPr>
      </w:pPr>
    </w:p>
    <w:p w14:paraId="76BE5F63">
      <w:pPr>
        <w:rPr>
          <w:rFonts w:ascii="宋体" w:hAnsi="宋体" w:eastAsia="宋体" w:cs="宋体"/>
          <w:color w:val="000000" w:themeColor="text1"/>
          <w:szCs w:val="21"/>
          <w14:textFill>
            <w14:solidFill>
              <w14:schemeClr w14:val="tx1"/>
            </w14:solidFill>
          </w14:textFill>
        </w:rPr>
      </w:pPr>
    </w:p>
    <w:p w14:paraId="134605FA">
      <w:pPr>
        <w:rPr>
          <w:rFonts w:ascii="宋体" w:hAnsi="宋体" w:eastAsia="宋体" w:cs="宋体"/>
          <w:color w:val="000000" w:themeColor="text1"/>
          <w:szCs w:val="21"/>
          <w14:textFill>
            <w14:solidFill>
              <w14:schemeClr w14:val="tx1"/>
            </w14:solidFill>
          </w14:textFill>
        </w:rPr>
      </w:pPr>
    </w:p>
    <w:p w14:paraId="3205B4E2">
      <w:pPr>
        <w:rPr>
          <w:rFonts w:ascii="宋体" w:hAnsi="宋体" w:eastAsia="宋体" w:cs="宋体"/>
          <w:color w:val="000000" w:themeColor="text1"/>
          <w:szCs w:val="21"/>
          <w14:textFill>
            <w14:solidFill>
              <w14:schemeClr w14:val="tx1"/>
            </w14:solidFill>
          </w14:textFill>
        </w:rPr>
      </w:pPr>
    </w:p>
    <w:p w14:paraId="27DE8AB9">
      <w:pPr>
        <w:rPr>
          <w:rFonts w:ascii="宋体" w:hAnsi="宋体" w:eastAsia="宋体" w:cs="宋体"/>
          <w:color w:val="000000" w:themeColor="text1"/>
          <w:szCs w:val="21"/>
          <w14:textFill>
            <w14:solidFill>
              <w14:schemeClr w14:val="tx1"/>
            </w14:solidFill>
          </w14:textFill>
        </w:rPr>
      </w:pPr>
    </w:p>
    <w:p w14:paraId="7FF84B25">
      <w:pPr>
        <w:rPr>
          <w:rFonts w:ascii="宋体" w:hAnsi="宋体" w:eastAsia="宋体" w:cs="宋体"/>
          <w:color w:val="000000" w:themeColor="text1"/>
          <w:szCs w:val="21"/>
          <w14:textFill>
            <w14:solidFill>
              <w14:schemeClr w14:val="tx1"/>
            </w14:solidFill>
          </w14:textFill>
        </w:rPr>
      </w:pPr>
    </w:p>
    <w:p w14:paraId="151193C4">
      <w:pPr>
        <w:rPr>
          <w:rFonts w:ascii="宋体" w:hAnsi="宋体" w:eastAsia="宋体" w:cs="宋体"/>
          <w:color w:val="000000" w:themeColor="text1"/>
          <w:szCs w:val="21"/>
          <w14:textFill>
            <w14:solidFill>
              <w14:schemeClr w14:val="tx1"/>
            </w14:solidFill>
          </w14:textFill>
        </w:rPr>
      </w:pPr>
    </w:p>
    <w:p w14:paraId="3A7ED29F">
      <w:pPr>
        <w:rPr>
          <w:rFonts w:ascii="宋体" w:hAnsi="宋体" w:eastAsia="宋体" w:cs="宋体"/>
          <w:color w:val="000000" w:themeColor="text1"/>
          <w:szCs w:val="21"/>
          <w14:textFill>
            <w14:solidFill>
              <w14:schemeClr w14:val="tx1"/>
            </w14:solidFill>
          </w14:textFill>
        </w:rPr>
      </w:pPr>
    </w:p>
    <w:p w14:paraId="6883642C">
      <w:pPr>
        <w:rPr>
          <w:rFonts w:ascii="宋体" w:hAnsi="宋体" w:eastAsia="宋体" w:cs="宋体"/>
          <w:color w:val="000000" w:themeColor="text1"/>
          <w:szCs w:val="21"/>
          <w14:textFill>
            <w14:solidFill>
              <w14:schemeClr w14:val="tx1"/>
            </w14:solidFill>
          </w14:textFill>
        </w:rPr>
      </w:pPr>
    </w:p>
    <w:p w14:paraId="1C791557">
      <w:pPr>
        <w:rPr>
          <w:rFonts w:ascii="宋体" w:hAnsi="宋体" w:eastAsia="宋体" w:cs="宋体"/>
          <w:color w:val="000000" w:themeColor="text1"/>
          <w:szCs w:val="21"/>
          <w14:textFill>
            <w14:solidFill>
              <w14:schemeClr w14:val="tx1"/>
            </w14:solidFill>
          </w14:textFill>
        </w:rPr>
      </w:pPr>
    </w:p>
    <w:p w14:paraId="5A0BE169">
      <w:pPr>
        <w:rPr>
          <w:rFonts w:ascii="宋体" w:hAnsi="宋体" w:eastAsia="宋体" w:cs="宋体"/>
          <w:color w:val="000000" w:themeColor="text1"/>
          <w:szCs w:val="21"/>
          <w14:textFill>
            <w14:solidFill>
              <w14:schemeClr w14:val="tx1"/>
            </w14:solidFill>
          </w14:textFill>
        </w:rPr>
      </w:pPr>
    </w:p>
    <w:p w14:paraId="76B0225E">
      <w:pPr>
        <w:rPr>
          <w:rFonts w:ascii="宋体" w:hAnsi="宋体" w:eastAsia="宋体" w:cs="宋体"/>
          <w:color w:val="000000" w:themeColor="text1"/>
          <w:szCs w:val="21"/>
          <w14:textFill>
            <w14:solidFill>
              <w14:schemeClr w14:val="tx1"/>
            </w14:solidFill>
          </w14:textFill>
        </w:rPr>
      </w:pPr>
    </w:p>
    <w:p w14:paraId="7CC44E13">
      <w:pPr>
        <w:rPr>
          <w:rFonts w:ascii="宋体" w:hAnsi="宋体" w:eastAsia="宋体" w:cs="宋体"/>
          <w:color w:val="000000" w:themeColor="text1"/>
          <w:szCs w:val="21"/>
          <w14:textFill>
            <w14:solidFill>
              <w14:schemeClr w14:val="tx1"/>
            </w14:solidFill>
          </w14:textFill>
        </w:rPr>
      </w:pPr>
    </w:p>
    <w:p w14:paraId="70371DAD">
      <w:pPr>
        <w:rPr>
          <w:rFonts w:ascii="宋体" w:hAnsi="宋体" w:eastAsia="宋体" w:cs="宋体"/>
          <w:color w:val="000000" w:themeColor="text1"/>
          <w:szCs w:val="21"/>
          <w14:textFill>
            <w14:solidFill>
              <w14:schemeClr w14:val="tx1"/>
            </w14:solidFill>
          </w14:textFill>
        </w:rPr>
      </w:pPr>
    </w:p>
    <w:p w14:paraId="7C092B0B">
      <w:pPr>
        <w:rPr>
          <w:rFonts w:ascii="宋体" w:hAnsi="宋体" w:eastAsia="宋体" w:cs="宋体"/>
          <w:color w:val="000000" w:themeColor="text1"/>
          <w:szCs w:val="21"/>
          <w14:textFill>
            <w14:solidFill>
              <w14:schemeClr w14:val="tx1"/>
            </w14:solidFill>
          </w14:textFill>
        </w:rPr>
      </w:pPr>
    </w:p>
    <w:p w14:paraId="3ACA55A2">
      <w:pPr>
        <w:rPr>
          <w:rFonts w:ascii="宋体" w:hAnsi="宋体" w:eastAsia="宋体" w:cs="宋体"/>
          <w:color w:val="000000" w:themeColor="text1"/>
          <w:szCs w:val="21"/>
          <w14:textFill>
            <w14:solidFill>
              <w14:schemeClr w14:val="tx1"/>
            </w14:solidFill>
          </w14:textFill>
        </w:rPr>
      </w:pPr>
    </w:p>
    <w:p w14:paraId="13E7EA1D">
      <w:pPr>
        <w:rPr>
          <w:rFonts w:ascii="宋体" w:hAnsi="宋体" w:eastAsia="宋体" w:cs="宋体"/>
          <w:color w:val="000000" w:themeColor="text1"/>
          <w:szCs w:val="21"/>
          <w14:textFill>
            <w14:solidFill>
              <w14:schemeClr w14:val="tx1"/>
            </w14:solidFill>
          </w14:textFill>
        </w:rPr>
      </w:pPr>
    </w:p>
    <w:p w14:paraId="7B62DB36">
      <w:pPr>
        <w:rPr>
          <w:rFonts w:ascii="宋体" w:hAnsi="宋体" w:eastAsia="宋体" w:cs="宋体"/>
          <w:color w:val="000000" w:themeColor="text1"/>
          <w:szCs w:val="21"/>
          <w14:textFill>
            <w14:solidFill>
              <w14:schemeClr w14:val="tx1"/>
            </w14:solidFill>
          </w14:textFill>
        </w:rPr>
      </w:pPr>
    </w:p>
    <w:p w14:paraId="3CA89824">
      <w:pPr>
        <w:rPr>
          <w:rFonts w:ascii="宋体" w:hAnsi="宋体" w:eastAsia="宋体" w:cs="宋体"/>
          <w:color w:val="000000" w:themeColor="text1"/>
          <w:szCs w:val="21"/>
          <w14:textFill>
            <w14:solidFill>
              <w14:schemeClr w14:val="tx1"/>
            </w14:solidFill>
          </w14:textFill>
        </w:rPr>
      </w:pPr>
    </w:p>
    <w:p w14:paraId="2F66D4FA">
      <w:pPr>
        <w:rPr>
          <w:rFonts w:ascii="宋体" w:hAnsi="宋体" w:eastAsia="宋体" w:cs="宋体"/>
          <w:color w:val="000000" w:themeColor="text1"/>
          <w:szCs w:val="21"/>
          <w14:textFill>
            <w14:solidFill>
              <w14:schemeClr w14:val="tx1"/>
            </w14:solidFill>
          </w14:textFill>
        </w:rPr>
      </w:pPr>
    </w:p>
    <w:p w14:paraId="50F4291A">
      <w:pPr>
        <w:keepNext/>
        <w:keepLines/>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eastAsia="宋体" w:cs="宋体"/>
          <w:b/>
          <w:bCs/>
          <w:color w:val="000000" w:themeColor="text1"/>
          <w:sz w:val="44"/>
          <w:szCs w:val="44"/>
          <w14:textFill>
            <w14:solidFill>
              <w14:schemeClr w14:val="tx1"/>
            </w14:solidFill>
          </w14:textFill>
        </w:rPr>
      </w:pPr>
      <w:bookmarkStart w:id="6" w:name="_Toc4339"/>
      <w:r>
        <w:rPr>
          <w:rFonts w:hint="eastAsia" w:ascii="宋体" w:hAnsi="宋体" w:eastAsia="宋体" w:cs="宋体"/>
          <w:b/>
          <w:bCs/>
          <w:color w:val="000000" w:themeColor="text1"/>
          <w:sz w:val="44"/>
          <w:szCs w:val="44"/>
          <w14:textFill>
            <w14:solidFill>
              <w14:schemeClr w14:val="tx1"/>
            </w14:solidFill>
          </w14:textFill>
        </w:rPr>
        <w:t>第一章</w:t>
      </w:r>
      <w:bookmarkEnd w:id="0"/>
      <w:r>
        <w:rPr>
          <w:rFonts w:hint="eastAsia" w:ascii="宋体" w:hAnsi="宋体" w:eastAsia="宋体" w:cs="宋体"/>
          <w:b/>
          <w:bCs/>
          <w:color w:val="000000" w:themeColor="text1"/>
          <w:sz w:val="44"/>
          <w:szCs w:val="44"/>
          <w14:textFill>
            <w14:solidFill>
              <w14:schemeClr w14:val="tx1"/>
            </w14:solidFill>
          </w14:textFill>
        </w:rPr>
        <w:t xml:space="preserve"> 投标邀请</w:t>
      </w:r>
      <w:bookmarkEnd w:id="6"/>
    </w:p>
    <w:p w14:paraId="35B23ED1">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受</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sz w:val="24"/>
          <w:szCs w:val="24"/>
          <w:u w:val="single"/>
        </w:rPr>
        <w:t>宿迁市计量测试所</w:t>
      </w:r>
      <w:r>
        <w:rPr>
          <w:rFonts w:hint="eastAsia" w:eastAsia="宋体"/>
          <w:sz w:val="24"/>
          <w:szCs w:val="24"/>
          <w:u w:val="single"/>
          <w:lang w:val="en-US" w:eastAsia="zh-CN"/>
        </w:rPr>
        <w:t xml:space="preserve"> </w:t>
      </w:r>
      <w:r>
        <w:rPr>
          <w:rFonts w:hint="eastAsia" w:ascii="宋体" w:hAnsi="宋体" w:eastAsia="宋体" w:cs="宋体"/>
          <w:color w:val="000000" w:themeColor="text1"/>
          <w:sz w:val="24"/>
          <w14:textFill>
            <w14:solidFill>
              <w14:schemeClr w14:val="tx1"/>
            </w14:solidFill>
          </w14:textFill>
        </w:rPr>
        <w:t>的委托</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sz w:val="24"/>
          <w:szCs w:val="24"/>
          <w:u w:val="single"/>
        </w:rPr>
        <w:t>江苏宏邦工程管理咨询有限公司</w:t>
      </w:r>
      <w:r>
        <w:rPr>
          <w:rFonts w:hint="eastAsia" w:eastAsia="宋体"/>
          <w:sz w:val="24"/>
          <w:szCs w:val="24"/>
          <w:u w:val="single"/>
          <w:lang w:val="en-US" w:eastAsia="zh-CN"/>
        </w:rPr>
        <w:t xml:space="preserve"> </w:t>
      </w:r>
      <w:r>
        <w:rPr>
          <w:rFonts w:hint="eastAsia" w:ascii="宋体" w:hAnsi="宋体" w:eastAsia="宋体" w:cs="宋体"/>
          <w:color w:val="000000" w:themeColor="text1"/>
          <w:sz w:val="24"/>
          <w14:textFill>
            <w14:solidFill>
              <w14:schemeClr w14:val="tx1"/>
            </w14:solidFill>
          </w14:textFill>
        </w:rPr>
        <w:t>就</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sz w:val="24"/>
          <w:szCs w:val="24"/>
          <w:u w:val="single"/>
        </w:rPr>
        <w:t>宿迁市计量测试所化学衡器类设备检测装置采购</w:t>
      </w:r>
      <w:r>
        <w:rPr>
          <w:rFonts w:hint="eastAsia"/>
          <w:sz w:val="24"/>
          <w:szCs w:val="24"/>
          <w:highlight w:val="none"/>
          <w:u w:val="single"/>
        </w:rPr>
        <w:t>项目(JSZC-321300-JSHB-G2026-0006)</w:t>
      </w:r>
      <w:r>
        <w:rPr>
          <w:rFonts w:hint="eastAsia" w:ascii="宋体" w:hAnsi="宋体" w:eastAsia="宋体" w:cs="宋体"/>
          <w:color w:val="000000" w:themeColor="text1"/>
          <w:sz w:val="24"/>
          <w14:textFill>
            <w14:solidFill>
              <w14:schemeClr w14:val="tx1"/>
            </w14:solidFill>
          </w14:textFill>
        </w:rPr>
        <w:t>进行公开招标采购，欢迎符合条件的投标人投标。</w:t>
      </w:r>
    </w:p>
    <w:p w14:paraId="2E98EC1C">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项目概况</w:t>
      </w:r>
    </w:p>
    <w:p w14:paraId="5D9B6DD5">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14:textFill>
            <w14:solidFill>
              <w14:schemeClr w14:val="tx1"/>
            </w14:solidFill>
          </w14:textFill>
        </w:rPr>
      </w:pPr>
      <w:r>
        <w:rPr>
          <w:rFonts w:hint="eastAsia"/>
          <w:sz w:val="24"/>
          <w:szCs w:val="24"/>
          <w:u w:val="single"/>
        </w:rPr>
        <w:t>宿迁市计量测试所化学衡器类设备检测装置采购项目</w:t>
      </w:r>
      <w:r>
        <w:rPr>
          <w:rFonts w:hint="eastAsia" w:eastAsia="宋体"/>
          <w:sz w:val="24"/>
          <w:szCs w:val="24"/>
          <w:u w:val="single"/>
          <w:lang w:val="en-US" w:eastAsia="zh-CN"/>
        </w:rPr>
        <w:t xml:space="preserve"> </w:t>
      </w:r>
      <w:r>
        <w:rPr>
          <w:rFonts w:hint="eastAsia" w:ascii="宋体" w:hAnsi="宋体" w:eastAsia="宋体" w:cs="宋体"/>
          <w:color w:val="000000" w:themeColor="text1"/>
          <w:sz w:val="24"/>
          <w:u w:val="none"/>
          <w14:textFill>
            <w14:solidFill>
              <w14:schemeClr w14:val="tx1"/>
            </w14:solidFill>
          </w14:textFill>
        </w:rPr>
        <w:t>的潜在投标人应在“苏采云”系统（网址：http://jszfcg.jsczt.cn/）获取招标文件，并于</w:t>
      </w:r>
      <w:r>
        <w:rPr>
          <w:rFonts w:hint="eastAsia" w:ascii="宋体" w:hAnsi="宋体" w:eastAsia="宋体" w:cs="宋体"/>
          <w:color w:val="000000" w:themeColor="text1"/>
          <w:sz w:val="24"/>
          <w:u w:val="single"/>
          <w14:textFill>
            <w14:solidFill>
              <w14:schemeClr w14:val="tx1"/>
            </w14:solidFill>
          </w14:textFill>
        </w:rPr>
        <w:t>2026年</w:t>
      </w:r>
      <w:r>
        <w:rPr>
          <w:rFonts w:hint="eastAsia" w:ascii="宋体" w:hAnsi="宋体" w:eastAsia="宋体" w:cs="宋体"/>
          <w:color w:val="000000" w:themeColor="text1"/>
          <w:sz w:val="24"/>
          <w:u w:val="single"/>
          <w:lang w:val="en-US" w:eastAsia="zh-CN"/>
          <w14:textFill>
            <w14:solidFill>
              <w14:schemeClr w14:val="tx1"/>
            </w14:solidFill>
          </w14:textFill>
        </w:rPr>
        <w:t>10</w:t>
      </w:r>
      <w:r>
        <w:rPr>
          <w:rFonts w:hint="eastAsia" w:ascii="宋体" w:hAnsi="宋体" w:eastAsia="宋体" w:cs="宋体"/>
          <w:color w:val="000000" w:themeColor="text1"/>
          <w:sz w:val="24"/>
          <w:u w:val="single"/>
          <w14:textFill>
            <w14:solidFill>
              <w14:schemeClr w14:val="tx1"/>
            </w14:solidFill>
          </w14:textFill>
        </w:rPr>
        <w:t>月</w:t>
      </w:r>
      <w:r>
        <w:rPr>
          <w:rFonts w:hint="eastAsia" w:ascii="宋体" w:hAnsi="宋体" w:eastAsia="宋体" w:cs="宋体"/>
          <w:color w:val="000000" w:themeColor="text1"/>
          <w:sz w:val="24"/>
          <w:u w:val="single"/>
          <w:lang w:val="en-US" w:eastAsia="zh-CN"/>
          <w14:textFill>
            <w14:solidFill>
              <w14:schemeClr w14:val="tx1"/>
            </w14:solidFill>
          </w14:textFill>
        </w:rPr>
        <w:t>21</w:t>
      </w:r>
      <w:r>
        <w:rPr>
          <w:rFonts w:hint="eastAsia" w:ascii="宋体" w:hAnsi="宋体" w:eastAsia="宋体" w:cs="宋体"/>
          <w:color w:val="000000" w:themeColor="text1"/>
          <w:sz w:val="24"/>
          <w:u w:val="single"/>
          <w14:textFill>
            <w14:solidFill>
              <w14:schemeClr w14:val="tx1"/>
            </w14:solidFill>
          </w14:textFill>
        </w:rPr>
        <w:t>日09:30（北京时间）前递交投标文件</w:t>
      </w:r>
      <w:r>
        <w:rPr>
          <w:rFonts w:hint="eastAsia" w:ascii="宋体" w:hAnsi="宋体" w:eastAsia="宋体" w:cs="宋体"/>
          <w:color w:val="000000" w:themeColor="text1"/>
          <w:sz w:val="24"/>
          <w14:textFill>
            <w14:solidFill>
              <w14:schemeClr w14:val="tx1"/>
            </w14:solidFill>
          </w14:textFill>
        </w:rPr>
        <w:t>。</w:t>
      </w:r>
    </w:p>
    <w:p w14:paraId="290451C5">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7" w:name="_Toc35393621"/>
      <w:bookmarkStart w:id="8" w:name="_Toc35393790"/>
      <w:bookmarkStart w:id="9" w:name="_Toc38985263"/>
      <w:bookmarkStart w:id="10" w:name="_Toc28359079"/>
      <w:bookmarkStart w:id="11" w:name="_Toc28359002"/>
      <w:bookmarkStart w:id="12" w:name="_Hlk24379207"/>
      <w:r>
        <w:rPr>
          <w:rFonts w:hint="eastAsia" w:ascii="宋体" w:hAnsi="宋体" w:eastAsia="宋体" w:cs="宋体"/>
          <w:b/>
          <w:bCs/>
          <w:color w:val="000000" w:themeColor="text1"/>
          <w:sz w:val="32"/>
          <w:szCs w:val="32"/>
          <w14:textFill>
            <w14:solidFill>
              <w14:schemeClr w14:val="tx1"/>
            </w14:solidFill>
          </w14:textFill>
        </w:rPr>
        <w:t>一、项目基本情况</w:t>
      </w:r>
      <w:bookmarkEnd w:id="7"/>
      <w:bookmarkEnd w:id="8"/>
      <w:bookmarkEnd w:id="9"/>
      <w:bookmarkEnd w:id="10"/>
      <w:bookmarkEnd w:id="11"/>
    </w:p>
    <w:p w14:paraId="1DEB6A54">
      <w:pPr>
        <w:keepNext/>
        <w:keepLines/>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1.项目编号：JSZC-321300-JSHB-G2026-0006</w:t>
      </w:r>
      <w:r>
        <w:rPr>
          <w:rFonts w:hint="eastAsia" w:ascii="宋体" w:hAnsi="宋体" w:eastAsia="宋体" w:cs="宋体"/>
          <w:color w:val="000000" w:themeColor="text1"/>
          <w:sz w:val="24"/>
          <w:lang w:val="en-US" w:eastAsia="zh-CN"/>
          <w14:textFill>
            <w14:solidFill>
              <w14:schemeClr w14:val="tx1"/>
            </w14:solidFill>
          </w14:textFill>
        </w:rPr>
        <w:t xml:space="preserve"> </w:t>
      </w:r>
    </w:p>
    <w:p w14:paraId="56EE167E">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2.项目名称：</w:t>
      </w:r>
      <w:bookmarkEnd w:id="12"/>
      <w:r>
        <w:rPr>
          <w:rFonts w:hint="eastAsia" w:ascii="宋体" w:hAnsi="宋体" w:eastAsia="宋体" w:cs="宋体"/>
          <w:color w:val="000000" w:themeColor="text1"/>
          <w:sz w:val="24"/>
          <w14:textFill>
            <w14:solidFill>
              <w14:schemeClr w14:val="tx1"/>
            </w14:solidFill>
          </w14:textFill>
        </w:rPr>
        <w:t>宿迁市计量测试所化学衡器类设备检测装置采购项目</w:t>
      </w:r>
    </w:p>
    <w:p w14:paraId="15789A3F">
      <w:pPr>
        <w:spacing w:line="360" w:lineRule="auto"/>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3.预算金额：</w:t>
      </w:r>
      <w:r>
        <w:rPr>
          <w:rFonts w:hint="eastAsia" w:ascii="宋体" w:hAnsi="宋体" w:eastAsia="宋体" w:cs="宋体"/>
          <w:color w:val="000000" w:themeColor="text1"/>
          <w:sz w:val="24"/>
          <w:lang w:val="en-US" w:eastAsia="zh-CN"/>
          <w14:textFill>
            <w14:solidFill>
              <w14:schemeClr w14:val="tx1"/>
            </w14:solidFill>
          </w14:textFill>
        </w:rPr>
        <w:t>150.2万元</w:t>
      </w:r>
    </w:p>
    <w:p w14:paraId="11E1B54E">
      <w:pPr>
        <w:spacing w:line="360" w:lineRule="auto"/>
        <w:ind w:firstLine="48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4.本项目设定最高限价：</w:t>
      </w:r>
      <w:r>
        <w:rPr>
          <w:rFonts w:hint="eastAsia" w:ascii="宋体" w:hAnsi="宋体" w:eastAsia="宋体" w:cs="宋体"/>
          <w:color w:val="000000" w:themeColor="text1"/>
          <w:sz w:val="24"/>
          <w:lang w:val="en-US" w:eastAsia="zh-CN"/>
          <w14:textFill>
            <w14:solidFill>
              <w14:schemeClr w14:val="tx1"/>
            </w14:solidFill>
          </w14:textFill>
        </w:rPr>
        <w:t xml:space="preserve">148.7万元 </w:t>
      </w:r>
    </w:p>
    <w:p w14:paraId="2911E4EF">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5.采购需求（简介）：宿迁市计量测试所化学衡器类设备检测装置采购项目</w:t>
      </w:r>
      <w:r>
        <w:rPr>
          <w:rFonts w:hint="eastAsia" w:ascii="宋体" w:hAnsi="宋体" w:eastAsia="宋体" w:cs="宋体"/>
          <w:color w:val="000000" w:themeColor="text1"/>
          <w:sz w:val="24"/>
          <w:lang w:val="en-US" w:eastAsia="zh-CN"/>
          <w14:textFill>
            <w14:solidFill>
              <w14:schemeClr w14:val="tx1"/>
            </w14:solidFill>
          </w14:textFill>
        </w:rPr>
        <w:t>,主要包含：</w:t>
      </w:r>
      <w:r>
        <w:rPr>
          <w:rFonts w:hint="eastAsia" w:ascii="宋体" w:hAnsi="宋体" w:cs="宋体" w:eastAsiaTheme="minorEastAsia"/>
          <w:sz w:val="24"/>
          <w:szCs w:val="24"/>
          <w:highlight w:val="none"/>
          <w:lang w:val="en-US" w:eastAsia="zh-CN" w:bidi="ar-SA"/>
        </w:rPr>
        <w:t>酸度计检定仪</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液体恒温槽</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温湿度检定箱</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温湿度试验设备自动检定系统</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质量比较仪</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温度探头和湿度探头</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检定电导率仪专用交流电阻箱</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水分快速测定仪</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eastAsiaTheme="minorEastAsia"/>
          <w:sz w:val="24"/>
          <w:szCs w:val="24"/>
          <w:highlight w:val="none"/>
          <w:lang w:val="en-US" w:eastAsia="zh-CN" w:bidi="ar-SA"/>
        </w:rPr>
        <w:t>干燥箱</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cs="宋体" w:eastAsiaTheme="minorEastAsia"/>
          <w:sz w:val="24"/>
          <w:szCs w:val="24"/>
          <w:highlight w:val="none"/>
          <w:lang w:val="en-US" w:eastAsia="zh-CN" w:bidi="ar-SA"/>
        </w:rPr>
        <w:t>温湿度巡检仪</w:t>
      </w:r>
      <w:r>
        <w:rPr>
          <w:rFonts w:hint="eastAsia" w:ascii="宋体" w:hAnsi="宋体" w:cs="宋体"/>
          <w:sz w:val="24"/>
          <w:szCs w:val="24"/>
          <w:highlight w:val="none"/>
          <w:lang w:val="en-US" w:eastAsia="zh-CN" w:bidi="ar-SA"/>
        </w:rPr>
        <w:t>等</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详细内容见第四章采购需求。</w:t>
      </w:r>
    </w:p>
    <w:p w14:paraId="2E24CF87">
      <w:pPr>
        <w:spacing w:line="360" w:lineRule="auto"/>
        <w:ind w:firstLine="48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6.合同履行期限：</w:t>
      </w:r>
      <w:r>
        <w:rPr>
          <w:rFonts w:ascii="Times New Roman" w:hAnsi="Times New Roman"/>
          <w:color w:val="000000"/>
          <w:sz w:val="24"/>
          <w:szCs w:val="24"/>
        </w:rPr>
        <w:t>合同签订后</w:t>
      </w:r>
      <w:r>
        <w:rPr>
          <w:rFonts w:hint="eastAsia" w:ascii="Times New Roman" w:hAnsi="Times New Roman" w:eastAsia="宋体"/>
          <w:color w:val="000000"/>
          <w:sz w:val="24"/>
          <w:szCs w:val="24"/>
          <w:lang w:val="en-US" w:eastAsia="zh-CN"/>
        </w:rPr>
        <w:t>30</w:t>
      </w:r>
      <w:r>
        <w:rPr>
          <w:rFonts w:ascii="Times New Roman" w:hAnsi="Times New Roman"/>
          <w:color w:val="000000"/>
          <w:sz w:val="24"/>
          <w:szCs w:val="24"/>
        </w:rPr>
        <w:t>日历天内送到甲方指定地点完成安装、调试、</w:t>
      </w:r>
      <w:r>
        <w:rPr>
          <w:rFonts w:hint="eastAsia" w:ascii="Times New Roman" w:hAnsi="Times New Roman"/>
          <w:color w:val="000000"/>
          <w:sz w:val="24"/>
          <w:szCs w:val="24"/>
          <w:lang w:val="zh-CN"/>
        </w:rPr>
        <w:t>检定/校准</w:t>
      </w:r>
      <w:r>
        <w:rPr>
          <w:rFonts w:ascii="Times New Roman" w:hAnsi="Times New Roman"/>
          <w:color w:val="000000"/>
          <w:sz w:val="24"/>
          <w:szCs w:val="24"/>
        </w:rPr>
        <w:t>并经验收合格后交付甲方使用</w:t>
      </w:r>
      <w:r>
        <w:rPr>
          <w:rFonts w:hint="eastAsia" w:ascii="Times New Roman" w:hAnsi="Times New Roman" w:eastAsia="宋体"/>
          <w:color w:val="000000"/>
          <w:sz w:val="24"/>
          <w:szCs w:val="24"/>
          <w:lang w:eastAsia="zh-CN"/>
        </w:rPr>
        <w:t>。</w:t>
      </w:r>
    </w:p>
    <w:p w14:paraId="792CD2C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7.本项目不接受联合体投标。</w:t>
      </w:r>
    </w:p>
    <w:p w14:paraId="169CC92D">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13" w:name="_Toc38985264"/>
      <w:bookmarkStart w:id="14" w:name="_Toc35393622"/>
      <w:bookmarkStart w:id="15" w:name="_Toc28359003"/>
      <w:bookmarkStart w:id="16" w:name="_Toc35393791"/>
      <w:bookmarkStart w:id="17" w:name="_Toc28359080"/>
      <w:r>
        <w:rPr>
          <w:rFonts w:hint="eastAsia" w:ascii="宋体" w:hAnsi="宋体" w:eastAsia="宋体" w:cs="宋体"/>
          <w:b/>
          <w:bCs/>
          <w:color w:val="000000" w:themeColor="text1"/>
          <w:sz w:val="32"/>
          <w:szCs w:val="32"/>
          <w14:textFill>
            <w14:solidFill>
              <w14:schemeClr w14:val="tx1"/>
            </w14:solidFill>
          </w14:textFill>
        </w:rPr>
        <w:t>二、申请人的资格要求：</w:t>
      </w:r>
      <w:bookmarkEnd w:id="13"/>
      <w:bookmarkEnd w:id="14"/>
      <w:bookmarkEnd w:id="15"/>
      <w:bookmarkEnd w:id="16"/>
      <w:bookmarkEnd w:id="17"/>
    </w:p>
    <w:p w14:paraId="7173781F">
      <w:pPr>
        <w:spacing w:line="360" w:lineRule="auto"/>
        <w:ind w:firstLine="480"/>
        <w:rPr>
          <w:rFonts w:ascii="宋体" w:hAnsi="宋体" w:eastAsia="宋体" w:cs="宋体"/>
          <w:color w:val="000000" w:themeColor="text1"/>
          <w:sz w:val="24"/>
          <w14:textFill>
            <w14:solidFill>
              <w14:schemeClr w14:val="tx1"/>
            </w14:solidFill>
          </w14:textFill>
        </w:rPr>
      </w:pPr>
      <w:bookmarkStart w:id="18" w:name="_Toc28359004"/>
      <w:bookmarkStart w:id="19" w:name="_Toc38985265"/>
      <w:bookmarkStart w:id="20" w:name="_Toc35393623"/>
      <w:bookmarkStart w:id="21" w:name="_Toc35393792"/>
      <w:bookmarkStart w:id="22" w:name="_Toc28359081"/>
      <w:r>
        <w:rPr>
          <w:rFonts w:hint="eastAsia" w:ascii="宋体" w:hAnsi="宋体" w:eastAsia="宋体" w:cs="宋体"/>
          <w:color w:val="000000" w:themeColor="text1"/>
          <w:sz w:val="24"/>
          <w14:textFill>
            <w14:solidFill>
              <w14:schemeClr w14:val="tx1"/>
            </w14:solidFill>
          </w14:textFill>
        </w:rPr>
        <w:t>（一）通用资格要求</w:t>
      </w:r>
    </w:p>
    <w:p w14:paraId="5E43EF7F">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1.具备《中华人民共和国政府采购法》第二十二条第一款规定的6项条件（按要求提供投标声明及承诺函）。</w:t>
      </w:r>
    </w:p>
    <w:p w14:paraId="307297DD">
      <w:pPr>
        <w:spacing w:line="360" w:lineRule="auto"/>
        <w:ind w:firstLine="480"/>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47F3CC7">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3.落实政府采购政策需满足的资格要求：本项目属于专门面向中小企业采购的项目，投标人应为中小微企业、监狱企业、残疾人福利性单位。非中小型企业参与本项目投标，将作无效标处理。</w:t>
      </w:r>
    </w:p>
    <w:p w14:paraId="0B180EC6">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（二）本项目的特定资格要求：无。</w:t>
      </w:r>
    </w:p>
    <w:p w14:paraId="63D0C536">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三、获取招标文件</w:t>
      </w:r>
      <w:bookmarkEnd w:id="18"/>
      <w:bookmarkEnd w:id="19"/>
      <w:bookmarkEnd w:id="20"/>
      <w:bookmarkEnd w:id="21"/>
      <w:bookmarkEnd w:id="22"/>
    </w:p>
    <w:p w14:paraId="7A2D0FA4">
      <w:pPr>
        <w:spacing w:line="360" w:lineRule="auto"/>
        <w:ind w:firstLine="480"/>
        <w:rPr>
          <w:rFonts w:ascii="宋体" w:hAnsi="宋体" w:eastAsia="宋体" w:cs="宋体"/>
          <w:color w:val="000000" w:themeColor="text1"/>
          <w:sz w:val="24"/>
          <w14:textFill>
            <w14:solidFill>
              <w14:schemeClr w14:val="tx1"/>
            </w14:solidFill>
          </w14:textFill>
        </w:rPr>
      </w:pPr>
      <w:bookmarkStart w:id="23" w:name="_Toc28359082"/>
      <w:bookmarkStart w:id="24" w:name="_Toc28359005"/>
      <w:bookmarkStart w:id="25" w:name="_Toc38985266"/>
      <w:bookmarkStart w:id="26" w:name="_Toc35393624"/>
      <w:bookmarkStart w:id="27" w:name="_Toc35393793"/>
      <w:r>
        <w:rPr>
          <w:rFonts w:hint="eastAsia" w:ascii="宋体" w:hAnsi="宋体" w:eastAsia="宋体" w:cs="宋体"/>
          <w:color w:val="000000" w:themeColor="text1"/>
          <w:sz w:val="24"/>
          <w14:textFill>
            <w14:solidFill>
              <w14:schemeClr w14:val="tx1"/>
            </w14:solidFill>
          </w14:textFill>
        </w:rPr>
        <w:t>1.时间：自招标文件公告发布之日起5个工作日。</w:t>
      </w:r>
    </w:p>
    <w:p w14:paraId="6CA1D78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方式：投标人应在招标文件提供的时间内，通过“苏采云”系统（网址：http://jszfcg.jsczt.cn/）或江苏政府采购网点击“政府采购管理交易系统（苏采云）”，使用CA锁进入系统从“项目参与”--“采购项目”菜单中，找到本项目获取采购文件（后缀名为“.kedt”）。</w:t>
      </w:r>
    </w:p>
    <w:p w14:paraId="5B1ED64C">
      <w:pPr>
        <w:spacing w:line="360" w:lineRule="auto"/>
        <w:ind w:firstLine="480"/>
        <w:rPr>
          <w:rFonts w:ascii="宋体" w:hAnsi="宋体" w:eastAsia="宋体" w:cs="宋体"/>
          <w:color w:val="000000" w:themeColor="text1"/>
          <w:sz w:val="24"/>
          <w14:textFill>
            <w14:solidFill>
              <w14:schemeClr w14:val="tx1"/>
            </w14:solidFill>
          </w14:textFill>
        </w:rPr>
      </w:pPr>
      <w:bookmarkStart w:id="28" w:name="EB0c44ff4da61f4af989d119fe214be450"/>
      <w:r>
        <w:rPr>
          <w:rFonts w:hint="eastAsia" w:ascii="宋体" w:hAnsi="宋体" w:eastAsia="宋体" w:cs="宋体"/>
          <w:color w:val="000000" w:themeColor="text1"/>
          <w:sz w:val="24"/>
          <w14:textFill>
            <w14:solidFill>
              <w14:schemeClr w14:val="tx1"/>
            </w14:solidFill>
          </w14:textFill>
        </w:rPr>
        <w:t>3.本项目共分</w:t>
      </w:r>
      <w:r>
        <w:rPr>
          <w:rFonts w:hint="eastAsia" w:ascii="宋体" w:hAnsi="宋体" w:eastAsia="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包。投标人未按要求获取招标文件导致无法投标的，后果自负（其投标文件不予接受）。</w:t>
      </w:r>
      <w:bookmarkEnd w:id="28"/>
    </w:p>
    <w:p w14:paraId="37DDB963">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四、提交投标文件</w:t>
      </w:r>
      <w:bookmarkEnd w:id="23"/>
      <w:bookmarkEnd w:id="24"/>
      <w:r>
        <w:rPr>
          <w:rFonts w:hint="eastAsia" w:ascii="宋体" w:hAnsi="宋体" w:eastAsia="宋体" w:cs="宋体"/>
          <w:b/>
          <w:bCs/>
          <w:color w:val="000000" w:themeColor="text1"/>
          <w:sz w:val="32"/>
          <w:szCs w:val="32"/>
          <w14:textFill>
            <w14:solidFill>
              <w14:schemeClr w14:val="tx1"/>
            </w14:solidFill>
          </w14:textFill>
        </w:rPr>
        <w:t>截止时间、开标时间和地点</w:t>
      </w:r>
      <w:bookmarkEnd w:id="25"/>
      <w:bookmarkEnd w:id="26"/>
      <w:bookmarkEnd w:id="27"/>
    </w:p>
    <w:p w14:paraId="7C517834">
      <w:pPr>
        <w:spacing w:line="360" w:lineRule="auto"/>
        <w:ind w:firstLine="480"/>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提交投标文件截止时间、开标时间：</w:t>
      </w:r>
      <w:r>
        <w:rPr>
          <w:rFonts w:hint="eastAsia" w:ascii="宋体" w:hAnsi="宋体" w:eastAsia="宋体" w:cs="宋体"/>
          <w:bCs/>
          <w:color w:val="000000" w:themeColor="text1"/>
          <w:sz w:val="24"/>
          <w14:textFill>
            <w14:solidFill>
              <w14:schemeClr w14:val="tx1"/>
            </w14:solidFill>
          </w14:textFill>
        </w:rPr>
        <w:t>2026年</w:t>
      </w:r>
      <w:r>
        <w:rPr>
          <w:rFonts w:hint="eastAsia" w:ascii="宋体" w:hAnsi="宋体" w:eastAsia="宋体" w:cs="宋体"/>
          <w:bCs/>
          <w:color w:val="000000" w:themeColor="text1"/>
          <w:sz w:val="24"/>
          <w:lang w:val="en-US" w:eastAsia="zh-CN"/>
          <w14:textFill>
            <w14:solidFill>
              <w14:schemeClr w14:val="tx1"/>
            </w14:solidFill>
          </w14:textFill>
        </w:rPr>
        <w:t>10</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lang w:val="en-US" w:eastAsia="zh-CN"/>
          <w14:textFill>
            <w14:solidFill>
              <w14:schemeClr w14:val="tx1"/>
            </w14:solidFill>
          </w14:textFill>
        </w:rPr>
        <w:t>21</w:t>
      </w:r>
      <w:r>
        <w:rPr>
          <w:rFonts w:hint="eastAsia" w:ascii="宋体" w:hAnsi="宋体" w:eastAsia="宋体" w:cs="宋体"/>
          <w:color w:val="000000" w:themeColor="text1"/>
          <w:sz w:val="24"/>
          <w14:textFill>
            <w14:solidFill>
              <w14:schemeClr w14:val="tx1"/>
            </w14:solidFill>
          </w14:textFill>
        </w:rPr>
        <w:t>日</w:t>
      </w:r>
      <w:r>
        <w:rPr>
          <w:rFonts w:hint="eastAsia" w:ascii="宋体" w:hAnsi="宋体" w:eastAsia="宋体" w:cs="宋体"/>
          <w:bCs/>
          <w:color w:val="000000" w:themeColor="text1"/>
          <w:sz w:val="24"/>
          <w14:textFill>
            <w14:solidFill>
              <w14:schemeClr w14:val="tx1"/>
            </w14:solidFill>
          </w14:textFill>
        </w:rPr>
        <w:t>09</w:t>
      </w:r>
      <w:r>
        <w:rPr>
          <w:rFonts w:hint="eastAsia" w:ascii="宋体" w:hAnsi="宋体" w:eastAsia="宋体" w:cs="宋体"/>
          <w:bCs/>
          <w:color w:val="000000" w:themeColor="text1"/>
          <w:sz w:val="24"/>
          <w:lang w:eastAsia="zh-CN"/>
          <w14:textFill>
            <w14:solidFill>
              <w14:schemeClr w14:val="tx1"/>
            </w14:solidFill>
          </w14:textFill>
        </w:rPr>
        <w:t>时</w:t>
      </w:r>
      <w:r>
        <w:rPr>
          <w:rFonts w:hint="eastAsia" w:ascii="宋体" w:hAnsi="宋体" w:eastAsia="宋体" w:cs="宋体"/>
          <w:bCs/>
          <w:color w:val="000000" w:themeColor="text1"/>
          <w:sz w:val="24"/>
          <w14:textFill>
            <w14:solidFill>
              <w14:schemeClr w14:val="tx1"/>
            </w14:solidFill>
          </w14:textFill>
        </w:rPr>
        <w:t>30分（北京时间）</w:t>
      </w:r>
    </w:p>
    <w:p w14:paraId="2CF79DB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2.地点：“苏采云”政府采购交易系统网上开标大厅。</w:t>
      </w:r>
    </w:p>
    <w:p w14:paraId="3168754D">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bookmarkStart w:id="29" w:name="_Toc35393625"/>
      <w:bookmarkStart w:id="30" w:name="_Toc28359084"/>
      <w:bookmarkStart w:id="31" w:name="_Toc38985267"/>
      <w:bookmarkStart w:id="32" w:name="_Toc28359007"/>
      <w:bookmarkStart w:id="33" w:name="_Toc35393794"/>
      <w:r>
        <w:rPr>
          <w:rFonts w:hint="eastAsia" w:ascii="宋体" w:hAnsi="宋体" w:eastAsia="宋体" w:cs="宋体"/>
          <w:b/>
          <w:bCs/>
          <w:color w:val="000000" w:themeColor="text1"/>
          <w:sz w:val="32"/>
          <w:szCs w:val="32"/>
          <w14:textFill>
            <w14:solidFill>
              <w14:schemeClr w14:val="tx1"/>
            </w14:solidFill>
          </w14:textFill>
        </w:rPr>
        <w:t>五、公告期限</w:t>
      </w:r>
      <w:bookmarkEnd w:id="29"/>
      <w:bookmarkEnd w:id="30"/>
      <w:bookmarkEnd w:id="31"/>
      <w:bookmarkEnd w:id="32"/>
      <w:bookmarkEnd w:id="33"/>
    </w:p>
    <w:p w14:paraId="75239472">
      <w:pPr>
        <w:spacing w:line="360" w:lineRule="auto"/>
        <w:ind w:firstLine="480"/>
        <w:rPr>
          <w:rFonts w:ascii="宋体" w:hAnsi="宋体" w:eastAsia="宋体" w:cs="宋体"/>
          <w:color w:val="000000" w:themeColor="text1"/>
          <w:sz w:val="24"/>
          <w14:textFill>
            <w14:solidFill>
              <w14:schemeClr w14:val="tx1"/>
            </w14:solidFill>
          </w14:textFill>
        </w:rPr>
      </w:pPr>
      <w:bookmarkStart w:id="34" w:name="_Toc35393626"/>
      <w:bookmarkStart w:id="35" w:name="_Toc35393795"/>
      <w:bookmarkStart w:id="36" w:name="_Toc38985268"/>
      <w:r>
        <w:rPr>
          <w:rFonts w:hint="eastAsia" w:ascii="宋体" w:hAnsi="宋体" w:eastAsia="宋体" w:cs="宋体"/>
          <w:color w:val="000000" w:themeColor="text1"/>
          <w:sz w:val="24"/>
          <w14:textFill>
            <w14:solidFill>
              <w14:schemeClr w14:val="tx1"/>
            </w14:solidFill>
          </w14:textFill>
        </w:rPr>
        <w:t>招标公告及招标文件公告期限为自本公告发布之日起5个工作日。</w:t>
      </w:r>
      <w:r>
        <w:rPr>
          <w:rFonts w:hint="eastAsia" w:ascii="宋体" w:hAnsi="宋体" w:eastAsia="宋体" w:cs="宋体"/>
          <w:color w:val="000000" w:themeColor="text1"/>
          <w:sz w:val="24"/>
          <w:szCs w:val="21"/>
          <w14:textFill>
            <w14:solidFill>
              <w14:schemeClr w14:val="tx1"/>
            </w14:solidFill>
          </w14:textFill>
        </w:rPr>
        <w:t>招标公告发布媒体：</w:t>
      </w:r>
      <w:bookmarkStart w:id="37" w:name="OLE_LINK3"/>
      <w:r>
        <w:rPr>
          <w:rFonts w:hint="eastAsia" w:ascii="Times New Roman" w:hAnsi="Times New Roman" w:cs="仿宋"/>
          <w:sz w:val="24"/>
          <w:szCs w:val="24"/>
        </w:rPr>
        <w:t>江苏政府采购网</w:t>
      </w:r>
      <w:bookmarkEnd w:id="37"/>
      <w:r>
        <w:rPr>
          <w:rFonts w:hint="eastAsia" w:ascii="Times New Roman" w:hAnsi="Times New Roman" w:cs="仿宋"/>
          <w:sz w:val="24"/>
          <w:szCs w:val="24"/>
        </w:rPr>
        <w:t>、宿迁市政府采购网等</w:t>
      </w:r>
      <w:r>
        <w:rPr>
          <w:rFonts w:hint="eastAsia" w:ascii="宋体" w:hAnsi="宋体" w:eastAsia="宋体" w:cs="宋体"/>
          <w:color w:val="000000" w:themeColor="text1"/>
          <w:sz w:val="24"/>
          <w14:textFill>
            <w14:solidFill>
              <w14:schemeClr w14:val="tx1"/>
            </w14:solidFill>
          </w14:textFill>
        </w:rPr>
        <w:t>。</w:t>
      </w:r>
    </w:p>
    <w:p w14:paraId="3A85D9E1">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六、其他补充事宜</w:t>
      </w:r>
      <w:bookmarkEnd w:id="34"/>
      <w:bookmarkEnd w:id="35"/>
      <w:bookmarkEnd w:id="36"/>
    </w:p>
    <w:p w14:paraId="11700C62">
      <w:pPr>
        <w:spacing w:line="360" w:lineRule="auto"/>
        <w:ind w:firstLine="480"/>
        <w:rPr>
          <w:rFonts w:hint="eastAsia" w:ascii="宋体" w:hAnsi="宋体" w:eastAsia="宋体" w:cs="宋体"/>
          <w:bCs/>
          <w:color w:val="000000" w:themeColor="text1"/>
          <w:sz w:val="24"/>
          <w14:textFill>
            <w14:solidFill>
              <w14:schemeClr w14:val="tx1"/>
            </w14:solidFill>
          </w14:textFill>
        </w:rPr>
      </w:pPr>
      <w:bookmarkStart w:id="38" w:name="_Toc38985269"/>
      <w:bookmarkStart w:id="39" w:name="_Toc35393796"/>
      <w:bookmarkStart w:id="40" w:name="_Toc28359085"/>
      <w:bookmarkStart w:id="41" w:name="_Toc28359008"/>
      <w:bookmarkStart w:id="42" w:name="_Toc35393627"/>
      <w:r>
        <w:rPr>
          <w:rFonts w:hint="eastAsia" w:ascii="宋体" w:hAnsi="宋体" w:eastAsia="宋体" w:cs="宋体"/>
          <w:bCs/>
          <w:color w:val="000000" w:themeColor="text1"/>
          <w:sz w:val="24"/>
          <w14:textFill>
            <w14:solidFill>
              <w14:schemeClr w14:val="tx1"/>
            </w14:solidFill>
          </w14:textFill>
        </w:rPr>
        <w:t>1.招标公告发布媒体</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江苏政府采购网、宿迁市政府采购网等。</w:t>
      </w:r>
    </w:p>
    <w:p w14:paraId="751F9F96">
      <w:pPr>
        <w:spacing w:line="360" w:lineRule="auto"/>
        <w:ind w:firstLine="48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2.“CA”数字证书办理</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“苏采云”系统目前仅支持“苏采云”系统下的意源CA。省内各地区办理的“苏采云”系统下的意源CA全省通用。宿迁地区CA数字证书办理联系方式</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18351098172。</w:t>
      </w:r>
    </w:p>
    <w:p w14:paraId="6BF86176">
      <w:pPr>
        <w:spacing w:line="360" w:lineRule="auto"/>
        <w:ind w:firstLine="48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3.宿迁地区“苏采云”系统技术支持客服电话</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0527-84363067、0519-86722806。</w:t>
      </w:r>
    </w:p>
    <w:p w14:paraId="1275C4AF">
      <w:pPr>
        <w:spacing w:line="360" w:lineRule="auto"/>
        <w:ind w:firstLine="48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4.现场勘察及答疑</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本项目不组织集中勘察及答疑，投标人如对采购需求有疑问，请咨询采购单位联系人。</w:t>
      </w:r>
    </w:p>
    <w:p w14:paraId="7488F4C8">
      <w:pPr>
        <w:spacing w:line="360" w:lineRule="auto"/>
        <w:ind w:firstLine="48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lang w:val="en-US" w:eastAsia="zh-CN"/>
          <w14:textFill>
            <w14:solidFill>
              <w14:schemeClr w14:val="tx1"/>
            </w14:solidFill>
          </w14:textFill>
        </w:rPr>
        <w:t>5</w:t>
      </w:r>
      <w:r>
        <w:rPr>
          <w:rFonts w:hint="eastAsia" w:ascii="宋体" w:hAnsi="宋体" w:eastAsia="宋体" w:cs="宋体"/>
          <w:bCs/>
          <w:color w:val="000000" w:themeColor="text1"/>
          <w:sz w:val="24"/>
          <w14:textFill>
            <w14:solidFill>
              <w14:schemeClr w14:val="tx1"/>
            </w14:solidFill>
          </w14:textFill>
        </w:rPr>
        <w:t>.财政部门监督电话：0527-84363063。</w:t>
      </w:r>
    </w:p>
    <w:p w14:paraId="03F2DE5B">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七、本次招标联系方式</w:t>
      </w:r>
      <w:bookmarkEnd w:id="38"/>
      <w:bookmarkEnd w:id="39"/>
      <w:bookmarkEnd w:id="40"/>
      <w:bookmarkEnd w:id="41"/>
      <w:bookmarkEnd w:id="42"/>
    </w:p>
    <w:p w14:paraId="7F8C00AC">
      <w:pPr>
        <w:widowControl/>
        <w:spacing w:line="360" w:lineRule="auto"/>
        <w:ind w:firstLine="56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1.招标人信息</w:t>
      </w:r>
    </w:p>
    <w:p w14:paraId="74BE5BA4">
      <w:pPr>
        <w:spacing w:line="360" w:lineRule="auto"/>
        <w:ind w:firstLine="480"/>
        <w:jc w:val="left"/>
        <w:rPr>
          <w:rFonts w:hint="eastAsia" w:ascii="宋体" w:hAnsi="宋体" w:eastAsia="宋体" w:cs="宋体"/>
          <w:color w:val="000000" w:themeColor="text1"/>
          <w:sz w:val="24"/>
          <w14:textFill>
            <w14:solidFill>
              <w14:schemeClr w14:val="tx1"/>
            </w14:solidFill>
          </w14:textFill>
        </w:rPr>
      </w:pPr>
      <w:bookmarkStart w:id="43" w:name="_Toc28359009"/>
      <w:bookmarkStart w:id="44" w:name="_Toc28359086"/>
      <w:r>
        <w:rPr>
          <w:rFonts w:hint="eastAsia" w:ascii="宋体" w:hAnsi="宋体" w:eastAsia="宋体" w:cs="宋体"/>
          <w:color w:val="000000" w:themeColor="text1"/>
          <w:sz w:val="24"/>
          <w14:textFill>
            <w14:solidFill>
              <w14:schemeClr w14:val="tx1"/>
            </w14:solidFill>
          </w14:textFill>
        </w:rPr>
        <w:t>名 称：</w:t>
      </w:r>
      <w:bookmarkStart w:id="45" w:name="EB1ff633e75df84747a21e47b67129b3f1"/>
      <w:r>
        <w:rPr>
          <w:rFonts w:hint="eastAsia" w:ascii="宋体" w:hAnsi="宋体" w:eastAsia="宋体" w:cs="宋体"/>
          <w:color w:val="000000" w:themeColor="text1"/>
          <w:sz w:val="24"/>
          <w14:textFill>
            <w14:solidFill>
              <w14:schemeClr w14:val="tx1"/>
            </w14:solidFill>
          </w14:textFill>
        </w:rPr>
        <w:t>宿迁市计量测试所</w:t>
      </w:r>
      <w:bookmarkEnd w:id="45"/>
    </w:p>
    <w:p w14:paraId="4D9A6DC8">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址：宿迁市经济开发区建陵路西侧</w:t>
      </w:r>
    </w:p>
    <w:p w14:paraId="69BB83E5">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联系人：倪铮铮</w:t>
      </w:r>
    </w:p>
    <w:p w14:paraId="3BF8DDFB">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联系方式：0527-84568695</w:t>
      </w:r>
    </w:p>
    <w:p w14:paraId="524BE657">
      <w:pPr>
        <w:widowControl/>
        <w:spacing w:line="360" w:lineRule="auto"/>
        <w:ind w:firstLine="56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2.采购代理机构信息</w:t>
      </w:r>
      <w:bookmarkEnd w:id="43"/>
      <w:bookmarkEnd w:id="44"/>
    </w:p>
    <w:p w14:paraId="7CFA6999">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名 称：江苏宏邦工程管理咨询有限公司</w:t>
      </w:r>
    </w:p>
    <w:p w14:paraId="3A358F95">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址：宿迁市凯林瑞百货大楼10楼1002室</w:t>
      </w:r>
    </w:p>
    <w:p w14:paraId="5CB89CAF">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联系人：董田田</w:t>
      </w:r>
    </w:p>
    <w:p w14:paraId="123135F7">
      <w:pPr>
        <w:spacing w:line="360" w:lineRule="auto"/>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联系方式：</w:t>
      </w:r>
      <w:r>
        <w:rPr>
          <w:rFonts w:hint="eastAsia" w:ascii="宋体" w:hAnsi="宋体" w:eastAsia="宋体" w:cs="宋体"/>
          <w:color w:val="000000" w:themeColor="text1"/>
          <w:sz w:val="24"/>
          <w:lang w:val="en-US" w:eastAsia="zh-CN"/>
          <w14:textFill>
            <w14:solidFill>
              <w14:schemeClr w14:val="tx1"/>
            </w14:solidFill>
          </w14:textFill>
        </w:rPr>
        <w:t>052788858966、</w:t>
      </w:r>
      <w:r>
        <w:rPr>
          <w:rFonts w:hint="eastAsia" w:ascii="宋体" w:hAnsi="宋体" w:eastAsia="宋体" w:cs="宋体"/>
          <w:color w:val="000000" w:themeColor="text1"/>
          <w:sz w:val="24"/>
          <w14:textFill>
            <w14:solidFill>
              <w14:schemeClr w14:val="tx1"/>
            </w14:solidFill>
          </w14:textFill>
        </w:rPr>
        <w:t>18360131381</w:t>
      </w:r>
    </w:p>
    <w:p w14:paraId="2D72FDDC">
      <w:pPr>
        <w:keepNext/>
        <w:keepLines/>
        <w:spacing w:line="360" w:lineRule="auto"/>
        <w:outlineLvl w:val="2"/>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八、其他</w:t>
      </w:r>
    </w:p>
    <w:p w14:paraId="12E7CB00">
      <w:pPr>
        <w:spacing w:line="360" w:lineRule="auto"/>
        <w:ind w:firstLine="480"/>
        <w:rPr>
          <w:rFonts w:ascii="宋体" w:hAnsi="宋体" w:eastAsia="宋体" w:cs="宋体"/>
          <w:iCs/>
          <w:color w:val="000000" w:themeColor="text1"/>
          <w:sz w:val="24"/>
          <w:szCs w:val="21"/>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1.有关本次招标的事项若存在变动或修改，敬请及时关注“江苏政府采购网</w:t>
      </w:r>
      <w:r>
        <w:rPr>
          <w:rFonts w:hint="eastAsia" w:ascii="宋体" w:hAnsi="宋体" w:eastAsia="宋体" w:cs="宋体"/>
          <w:iCs/>
          <w:color w:val="000000" w:themeColor="text1"/>
          <w:sz w:val="24"/>
          <w:szCs w:val="21"/>
          <w:lang w:eastAsia="zh-CN"/>
          <w14:textFill>
            <w14:solidFill>
              <w14:schemeClr w14:val="tx1"/>
            </w14:solidFill>
          </w14:textFill>
        </w:rPr>
        <w:t>、</w:t>
      </w:r>
      <w:r>
        <w:rPr>
          <w:rFonts w:hint="eastAsia" w:cs="仿宋_GB2312"/>
          <w:iCs/>
          <w:sz w:val="24"/>
          <w:highlight w:val="white"/>
        </w:rPr>
        <w:t>宿迁市政府采购网</w:t>
      </w:r>
      <w:r>
        <w:rPr>
          <w:rFonts w:hint="eastAsia" w:ascii="宋体" w:hAnsi="宋体" w:eastAsia="宋体" w:cs="宋体"/>
          <w:iCs/>
          <w:color w:val="000000" w:themeColor="text1"/>
          <w:sz w:val="24"/>
          <w:szCs w:val="21"/>
          <w14:textFill>
            <w14:solidFill>
              <w14:schemeClr w14:val="tx1"/>
            </w14:solidFill>
          </w14:textFill>
        </w:rPr>
        <w:t>”等平台更正公告。</w:t>
      </w:r>
    </w:p>
    <w:p w14:paraId="4E0A0F06">
      <w:pPr>
        <w:tabs>
          <w:tab w:val="left" w:pos="900"/>
        </w:tabs>
        <w:spacing w:line="360" w:lineRule="auto"/>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本次招标不收取投标保证金。</w:t>
      </w:r>
    </w:p>
    <w:p w14:paraId="48CFF75A">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p>
    <w:p w14:paraId="6F40150E">
      <w:pPr>
        <w:keepNext/>
        <w:keepLines/>
        <w:pageBreakBefore w:val="0"/>
        <w:widowControl w:val="0"/>
        <w:kinsoku/>
        <w:wordWrap/>
        <w:overflowPunct/>
        <w:topLinePunct w:val="0"/>
        <w:autoSpaceDE/>
        <w:autoSpaceDN/>
        <w:bidi w:val="0"/>
        <w:adjustRightInd/>
        <w:snapToGrid/>
        <w:spacing w:before="260" w:after="260"/>
        <w:ind w:firstLine="2426"/>
        <w:textAlignment w:val="auto"/>
        <w:outlineLvl w:val="0"/>
        <w:rPr>
          <w:rFonts w:ascii="宋体" w:hAnsi="宋体" w:eastAsia="宋体" w:cs="宋体"/>
          <w:color w:val="000000" w:themeColor="text1"/>
          <w:sz w:val="44"/>
          <w:szCs w:val="44"/>
          <w14:textFill>
            <w14:solidFill>
              <w14:schemeClr w14:val="tx1"/>
            </w14:solidFill>
          </w14:textFill>
        </w:rPr>
      </w:pPr>
      <w:bookmarkStart w:id="46" w:name="_Toc120614211"/>
      <w:bookmarkStart w:id="47" w:name="_Toc28130"/>
      <w:r>
        <w:rPr>
          <w:rFonts w:hint="eastAsia" w:ascii="宋体" w:hAnsi="宋体" w:eastAsia="宋体" w:cs="宋体"/>
          <w:b/>
          <w:bCs/>
          <w:color w:val="000000" w:themeColor="text1"/>
          <w:sz w:val="44"/>
          <w:szCs w:val="44"/>
          <w14:textFill>
            <w14:solidFill>
              <w14:schemeClr w14:val="tx1"/>
            </w14:solidFill>
          </w14:textFill>
        </w:rPr>
        <w:t>第二章</w:t>
      </w:r>
      <w:bookmarkEnd w:id="1"/>
      <w:bookmarkEnd w:id="2"/>
      <w:bookmarkEnd w:id="3"/>
      <w:bookmarkEnd w:id="4"/>
      <w:bookmarkEnd w:id="5"/>
      <w:bookmarkEnd w:id="46"/>
      <w:bookmarkStart w:id="48" w:name="_Toc513029202"/>
      <w:bookmarkStart w:id="49" w:name="_Toc20823274"/>
      <w:bookmarkStart w:id="50" w:name="_Toc120614213"/>
      <w:bookmarkStart w:id="51" w:name="_Toc16938518"/>
      <w:r>
        <w:rPr>
          <w:rFonts w:hint="eastAsia" w:ascii="宋体" w:hAnsi="宋体" w:eastAsia="宋体" w:cs="宋体"/>
          <w:b/>
          <w:bCs/>
          <w:color w:val="000000" w:themeColor="text1"/>
          <w:sz w:val="44"/>
          <w:szCs w:val="44"/>
          <w14:textFill>
            <w14:solidFill>
              <w14:schemeClr w14:val="tx1"/>
            </w14:solidFill>
          </w14:textFill>
        </w:rPr>
        <w:t xml:space="preserve"> 投标人须知</w:t>
      </w:r>
      <w:bookmarkEnd w:id="47"/>
      <w:bookmarkEnd w:id="48"/>
      <w:bookmarkEnd w:id="49"/>
      <w:bookmarkEnd w:id="50"/>
      <w:bookmarkEnd w:id="51"/>
    </w:p>
    <w:p w14:paraId="0EC74447">
      <w:pPr>
        <w:pStyle w:val="3"/>
        <w:spacing w:before="0" w:after="120" w:line="240" w:lineRule="auto"/>
        <w:rPr>
          <w:rFonts w:ascii="宋体" w:hAnsi="宋体" w:eastAsia="宋体" w:cs="宋体"/>
          <w:bCs/>
          <w:color w:val="000000" w:themeColor="text1"/>
          <w:szCs w:val="22"/>
          <w14:textFill>
            <w14:solidFill>
              <w14:schemeClr w14:val="tx1"/>
            </w14:solidFill>
          </w14:textFill>
        </w:rPr>
      </w:pPr>
      <w:bookmarkStart w:id="52" w:name="_Toc4529"/>
      <w:bookmarkStart w:id="53" w:name="_Toc120614214"/>
      <w:bookmarkStart w:id="54" w:name="_Toc16938519"/>
      <w:bookmarkStart w:id="55" w:name="_Toc20823275"/>
      <w:bookmarkStart w:id="56" w:name="_Toc513029203"/>
      <w:r>
        <w:rPr>
          <w:rFonts w:hint="eastAsia" w:ascii="宋体" w:hAnsi="宋体" w:eastAsia="宋体" w:cs="宋体"/>
          <w:bCs/>
          <w:color w:val="000000" w:themeColor="text1"/>
          <w:szCs w:val="22"/>
          <w14:textFill>
            <w14:solidFill>
              <w14:schemeClr w14:val="tx1"/>
            </w14:solidFill>
          </w14:textFill>
        </w:rPr>
        <w:t>投标人须知前附表：</w:t>
      </w:r>
      <w:bookmarkEnd w:id="52"/>
    </w:p>
    <w:tbl>
      <w:tblPr>
        <w:tblStyle w:val="33"/>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3379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2A3FC09E">
            <w:pPr>
              <w:jc w:val="center"/>
              <w:rPr>
                <w:rFonts w:ascii="宋体" w:hAnsi="宋体" w:eastAsia="宋体" w:cs="宋体"/>
                <w:b/>
                <w:color w:val="000000" w:themeColor="text1"/>
                <w:sz w:val="24"/>
                <w14:textFill>
                  <w14:solidFill>
                    <w14:schemeClr w14:val="tx1"/>
                  </w14:solidFill>
                </w14:textFill>
              </w:rPr>
            </w:pPr>
            <w:bookmarkStart w:id="57" w:name="_Toc29262"/>
            <w:bookmarkStart w:id="58" w:name="_Toc81575191"/>
            <w:bookmarkStart w:id="59" w:name="_Toc81575154"/>
            <w:r>
              <w:rPr>
                <w:rFonts w:hint="eastAsia" w:ascii="宋体" w:hAnsi="宋体" w:eastAsia="宋体" w:cs="宋体"/>
                <w:b/>
                <w:color w:val="000000" w:themeColor="text1"/>
                <w:sz w:val="24"/>
                <w14:textFill>
                  <w14:solidFill>
                    <w14:schemeClr w14:val="tx1"/>
                  </w14:solidFill>
                </w14:textFill>
              </w:rPr>
              <w:t>序号</w:t>
            </w:r>
          </w:p>
        </w:tc>
        <w:tc>
          <w:tcPr>
            <w:tcW w:w="1772" w:type="dxa"/>
            <w:tcBorders>
              <w:top w:val="single" w:color="auto" w:sz="4" w:space="0"/>
              <w:left w:val="nil"/>
              <w:bottom w:val="single" w:color="auto" w:sz="4" w:space="0"/>
              <w:right w:val="single" w:color="auto" w:sz="4" w:space="0"/>
            </w:tcBorders>
            <w:noWrap w:val="0"/>
            <w:vAlign w:val="center"/>
          </w:tcPr>
          <w:p w14:paraId="435AE931">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内容</w:t>
            </w:r>
          </w:p>
        </w:tc>
        <w:tc>
          <w:tcPr>
            <w:tcW w:w="6579" w:type="dxa"/>
            <w:tcBorders>
              <w:top w:val="single" w:color="auto" w:sz="4" w:space="0"/>
              <w:left w:val="nil"/>
              <w:bottom w:val="single" w:color="auto" w:sz="4" w:space="0"/>
              <w:right w:val="single" w:color="auto" w:sz="4" w:space="0"/>
            </w:tcBorders>
            <w:noWrap w:val="0"/>
            <w:vAlign w:val="center"/>
          </w:tcPr>
          <w:p w14:paraId="6365D86B">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说明及要求</w:t>
            </w:r>
          </w:p>
        </w:tc>
      </w:tr>
      <w:tr w14:paraId="4C6D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D8E7FE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772" w:type="dxa"/>
            <w:tcBorders>
              <w:top w:val="single" w:color="auto" w:sz="4" w:space="0"/>
              <w:left w:val="nil"/>
              <w:bottom w:val="single" w:color="auto" w:sz="4" w:space="0"/>
              <w:right w:val="single" w:color="auto" w:sz="4" w:space="0"/>
            </w:tcBorders>
            <w:noWrap w:val="0"/>
            <w:vAlign w:val="center"/>
          </w:tcPr>
          <w:p w14:paraId="3B31A0AD">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6579" w:type="dxa"/>
            <w:tcBorders>
              <w:top w:val="single" w:color="auto" w:sz="4" w:space="0"/>
              <w:left w:val="nil"/>
              <w:bottom w:val="single" w:color="auto" w:sz="4" w:space="0"/>
              <w:right w:val="single" w:color="auto" w:sz="4" w:space="0"/>
            </w:tcBorders>
            <w:noWrap w:val="0"/>
            <w:vAlign w:val="center"/>
          </w:tcPr>
          <w:p w14:paraId="7F4F518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本项目</w:t>
            </w:r>
            <w:bookmarkStart w:id="60" w:name="EB9a5853ee094f4f0ea6ec3169265f6f2c"/>
            <w:r>
              <w:rPr>
                <w:rFonts w:hint="eastAsia" w:ascii="宋体" w:hAnsi="宋体" w:eastAsia="宋体" w:cs="宋体"/>
                <w:color w:val="000000" w:themeColor="text1"/>
                <w:sz w:val="24"/>
                <w14:textFill>
                  <w14:solidFill>
                    <w14:schemeClr w14:val="tx1"/>
                  </w14:solidFill>
                </w14:textFill>
              </w:rPr>
              <w:t>属性按以下第</w:t>
            </w:r>
            <w:bookmarkEnd w:id="60"/>
            <w:r>
              <w:rPr>
                <w:rFonts w:hint="eastAsia" w:ascii="宋体" w:hAnsi="宋体" w:eastAsia="宋体" w:cs="宋体"/>
                <w:color w:val="000000" w:themeColor="text1"/>
                <w:sz w:val="24"/>
                <w:u w:val="single"/>
                <w14:textFill>
                  <w14:solidFill>
                    <w14:schemeClr w14:val="tx1"/>
                  </w14:solidFill>
                </w14:textFill>
              </w:rPr>
              <w:t xml:space="preserve"> 1 </w:t>
            </w:r>
            <w:r>
              <w:rPr>
                <w:rFonts w:hint="eastAsia" w:ascii="宋体" w:hAnsi="宋体" w:eastAsia="宋体" w:cs="宋体"/>
                <w:color w:val="000000" w:themeColor="text1"/>
                <w:sz w:val="24"/>
                <w14:textFill>
                  <w14:solidFill>
                    <w14:schemeClr w14:val="tx1"/>
                  </w14:solidFill>
                </w14:textFill>
              </w:rPr>
              <w:t>种确定：</w:t>
            </w:r>
          </w:p>
          <w:p w14:paraId="4284402C">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1.货物</w:t>
            </w:r>
            <w:bookmarkStart w:id="61" w:name="EBd5c6c026f9674c39b21b31ecd0c1e7fa"/>
            <w:r>
              <w:rPr>
                <w:rFonts w:hint="eastAsia" w:ascii="宋体" w:hAnsi="宋体" w:eastAsia="宋体" w:cs="宋体"/>
                <w:color w:val="000000" w:themeColor="text1"/>
                <w:sz w:val="24"/>
                <w14:textFill>
                  <w14:solidFill>
                    <w14:schemeClr w14:val="tx1"/>
                  </w14:solidFill>
                </w14:textFill>
              </w:rPr>
              <w:t>采购；2.</w:t>
            </w:r>
            <w:bookmarkEnd w:id="61"/>
            <w:r>
              <w:rPr>
                <w:rFonts w:hint="eastAsia" w:ascii="宋体" w:hAnsi="宋体" w:eastAsia="宋体" w:cs="宋体"/>
                <w:color w:val="000000" w:themeColor="text1"/>
                <w:sz w:val="24"/>
                <w14:textFill>
                  <w14:solidFill>
                    <w14:schemeClr w14:val="tx1"/>
                  </w14:solidFill>
                </w14:textFill>
              </w:rPr>
              <w:t>服务</w:t>
            </w:r>
            <w:bookmarkStart w:id="62" w:name="EBf7d2a4f44ecb4166a93ea852e73be69f"/>
            <w:r>
              <w:rPr>
                <w:rFonts w:hint="eastAsia" w:ascii="宋体" w:hAnsi="宋体" w:eastAsia="宋体" w:cs="宋体"/>
                <w:color w:val="000000" w:themeColor="text1"/>
                <w:sz w:val="24"/>
                <w14:textFill>
                  <w14:solidFill>
                    <w14:schemeClr w14:val="tx1"/>
                  </w14:solidFill>
                </w14:textFill>
              </w:rPr>
              <w:t>采购；3.</w:t>
            </w:r>
            <w:bookmarkEnd w:id="62"/>
            <w:r>
              <w:rPr>
                <w:rFonts w:hint="eastAsia" w:ascii="宋体" w:hAnsi="宋体" w:eastAsia="宋体" w:cs="宋体"/>
                <w:color w:val="000000" w:themeColor="text1"/>
                <w:sz w:val="24"/>
                <w14:textFill>
                  <w14:solidFill>
                    <w14:schemeClr w14:val="tx1"/>
                  </w14:solidFill>
                </w14:textFill>
              </w:rPr>
              <w:t>工程采购。</w:t>
            </w:r>
          </w:p>
        </w:tc>
      </w:tr>
      <w:tr w14:paraId="4104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76A931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p>
        </w:tc>
        <w:tc>
          <w:tcPr>
            <w:tcW w:w="1772" w:type="dxa"/>
            <w:tcBorders>
              <w:top w:val="single" w:color="auto" w:sz="4" w:space="0"/>
              <w:left w:val="nil"/>
              <w:bottom w:val="single" w:color="auto" w:sz="4" w:space="0"/>
              <w:right w:val="single" w:color="auto" w:sz="4" w:space="0"/>
            </w:tcBorders>
            <w:noWrap w:val="0"/>
            <w:vAlign w:val="center"/>
          </w:tcPr>
          <w:p w14:paraId="0D444C2F">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投标有效期</w:t>
            </w:r>
          </w:p>
        </w:tc>
        <w:tc>
          <w:tcPr>
            <w:tcW w:w="6579" w:type="dxa"/>
            <w:tcBorders>
              <w:top w:val="single" w:color="auto" w:sz="4" w:space="0"/>
              <w:left w:val="nil"/>
              <w:bottom w:val="single" w:color="auto" w:sz="4" w:space="0"/>
              <w:right w:val="single" w:color="auto" w:sz="4" w:space="0"/>
            </w:tcBorders>
            <w:noWrap w:val="0"/>
            <w:vAlign w:val="center"/>
          </w:tcPr>
          <w:p w14:paraId="68D68969">
            <w:pPr>
              <w:spacing w:line="400" w:lineRule="exact"/>
              <w:jc w:val="left"/>
              <w:rPr>
                <w:rFonts w:ascii="宋体" w:hAnsi="宋体" w:eastAsia="宋体" w:cs="宋体"/>
                <w:color w:val="000000" w:themeColor="text1"/>
                <w:sz w:val="24"/>
                <w14:textFill>
                  <w14:solidFill>
                    <w14:schemeClr w14:val="tx1"/>
                  </w14:solidFill>
                </w14:textFill>
              </w:rPr>
            </w:pPr>
            <w:bookmarkStart w:id="63" w:name="EBd40b5fb42f2944a3b45e579ce3941f02"/>
            <w:bookmarkEnd w:id="63"/>
            <w:r>
              <w:rPr>
                <w:rFonts w:hint="eastAsia" w:ascii="宋体" w:hAnsi="宋体" w:eastAsia="宋体" w:cs="宋体"/>
                <w:color w:val="000000" w:themeColor="text1"/>
                <w:sz w:val="24"/>
                <w14:textFill>
                  <w14:solidFill>
                    <w14:schemeClr w14:val="tx1"/>
                  </w14:solidFill>
                </w14:textFill>
              </w:rPr>
              <w:t>60日（从提交投标文件截止之日起算）</w:t>
            </w:r>
          </w:p>
        </w:tc>
      </w:tr>
      <w:tr w14:paraId="2FD8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78033F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p>
        </w:tc>
        <w:tc>
          <w:tcPr>
            <w:tcW w:w="1772" w:type="dxa"/>
            <w:tcBorders>
              <w:top w:val="single" w:color="auto" w:sz="4" w:space="0"/>
              <w:left w:val="nil"/>
              <w:bottom w:val="single" w:color="auto" w:sz="4" w:space="0"/>
              <w:right w:val="single" w:color="auto" w:sz="4" w:space="0"/>
            </w:tcBorders>
            <w:noWrap w:val="0"/>
            <w:vAlign w:val="center"/>
          </w:tcPr>
          <w:p w14:paraId="10716EF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投标文件份数</w:t>
            </w:r>
          </w:p>
        </w:tc>
        <w:tc>
          <w:tcPr>
            <w:tcW w:w="6579" w:type="dxa"/>
            <w:tcBorders>
              <w:top w:val="single" w:color="auto" w:sz="4" w:space="0"/>
              <w:left w:val="nil"/>
              <w:bottom w:val="single" w:color="auto" w:sz="4" w:space="0"/>
              <w:right w:val="single" w:color="auto" w:sz="4" w:space="0"/>
            </w:tcBorders>
            <w:noWrap w:val="0"/>
            <w:vAlign w:val="center"/>
          </w:tcPr>
          <w:p w14:paraId="153CC7AA">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提交加密电子投标文件</w:t>
            </w:r>
            <w:r>
              <w:rPr>
                <w:rFonts w:hint="eastAsia" w:ascii="宋体" w:hAnsi="宋体" w:eastAsia="宋体" w:cs="宋体"/>
                <w:color w:val="000000" w:themeColor="text1"/>
                <w:sz w:val="24"/>
                <w:u w:val="single"/>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份</w:t>
            </w:r>
            <w:r>
              <w:rPr>
                <w:rFonts w:hint="eastAsia"/>
                <w:bCs/>
                <w:sz w:val="24"/>
                <w:highlight w:val="none"/>
              </w:rPr>
              <w:t>中标后按相关要求提供与电子投标文件一致的纸质打印投标文件</w:t>
            </w:r>
            <w:r>
              <w:rPr>
                <w:b/>
                <w:bCs/>
                <w:sz w:val="24"/>
                <w:highlight w:val="none"/>
              </w:rPr>
              <w:t>4</w:t>
            </w:r>
            <w:r>
              <w:rPr>
                <w:rFonts w:hint="eastAsia"/>
                <w:b/>
                <w:bCs/>
                <w:sz w:val="24"/>
                <w:highlight w:val="none"/>
              </w:rPr>
              <w:t>份</w:t>
            </w:r>
            <w:r>
              <w:rPr>
                <w:rFonts w:hint="eastAsia"/>
                <w:bCs/>
                <w:sz w:val="24"/>
                <w:highlight w:val="none"/>
              </w:rPr>
              <w:t>。</w:t>
            </w:r>
          </w:p>
        </w:tc>
      </w:tr>
      <w:tr w14:paraId="6469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815D57D">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772" w:type="dxa"/>
            <w:tcBorders>
              <w:top w:val="single" w:color="auto" w:sz="4" w:space="0"/>
              <w:left w:val="nil"/>
              <w:bottom w:val="single" w:color="auto" w:sz="4" w:space="0"/>
              <w:right w:val="single" w:color="auto" w:sz="4" w:space="0"/>
            </w:tcBorders>
            <w:noWrap w:val="0"/>
            <w:vAlign w:val="center"/>
          </w:tcPr>
          <w:p w14:paraId="21C2DD7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开标</w:t>
            </w:r>
          </w:p>
        </w:tc>
        <w:tc>
          <w:tcPr>
            <w:tcW w:w="6579" w:type="dxa"/>
            <w:tcBorders>
              <w:top w:val="single" w:color="auto" w:sz="4" w:space="0"/>
              <w:left w:val="nil"/>
              <w:bottom w:val="single" w:color="auto" w:sz="4" w:space="0"/>
              <w:right w:val="single" w:color="auto" w:sz="4" w:space="0"/>
            </w:tcBorders>
            <w:noWrap w:val="0"/>
            <w:vAlign w:val="center"/>
          </w:tcPr>
          <w:p w14:paraId="5EE4E955">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“苏采云”政府采购交易系统网上开标大厅进行不见面开标。</w:t>
            </w:r>
          </w:p>
        </w:tc>
      </w:tr>
      <w:tr w14:paraId="6826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5386A8B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772" w:type="dxa"/>
            <w:tcBorders>
              <w:top w:val="single" w:color="auto" w:sz="4" w:space="0"/>
              <w:left w:val="nil"/>
              <w:bottom w:val="single" w:color="auto" w:sz="4" w:space="0"/>
              <w:right w:val="single" w:color="auto" w:sz="4" w:space="0"/>
            </w:tcBorders>
            <w:noWrap w:val="0"/>
            <w:vAlign w:val="center"/>
          </w:tcPr>
          <w:p w14:paraId="55C1D03C">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进口产品</w:t>
            </w:r>
          </w:p>
        </w:tc>
        <w:tc>
          <w:tcPr>
            <w:tcW w:w="6579" w:type="dxa"/>
            <w:tcBorders>
              <w:top w:val="single" w:color="auto" w:sz="4" w:space="0"/>
              <w:left w:val="nil"/>
              <w:bottom w:val="single" w:color="auto" w:sz="4" w:space="0"/>
              <w:right w:val="single" w:color="auto" w:sz="4" w:space="0"/>
            </w:tcBorders>
            <w:noWrap w:val="0"/>
            <w:vAlign w:val="center"/>
          </w:tcPr>
          <w:p w14:paraId="0A20809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种方式确定：</w:t>
            </w:r>
          </w:p>
          <w:p w14:paraId="3FC1F4F2">
            <w:pPr>
              <w:widowControl/>
              <w:spacing w:line="36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1.接受进口产品。</w:t>
            </w:r>
            <w:r>
              <w:rPr>
                <w:rFonts w:hint="eastAsia" w:ascii="宋体" w:hAnsi="宋体" w:eastAsia="宋体" w:cs="宋体"/>
                <w:color w:val="000000" w:themeColor="text1"/>
                <w:sz w:val="24"/>
                <w:szCs w:val="22"/>
                <w14:textFill>
                  <w14:solidFill>
                    <w14:schemeClr w14:val="tx1"/>
                  </w14:solidFill>
                </w14:textFill>
              </w:rPr>
              <w:t>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14:textFill>
                  <w14:solidFill>
                    <w14:schemeClr w14:val="tx1"/>
                  </w14:solidFill>
                </w14:textFill>
              </w:rPr>
              <w:t>；</w:t>
            </w:r>
          </w:p>
          <w:p w14:paraId="4B12F633">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2.不接受进口产品。</w:t>
            </w:r>
          </w:p>
        </w:tc>
      </w:tr>
      <w:tr w14:paraId="2231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95686C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772" w:type="dxa"/>
            <w:tcBorders>
              <w:top w:val="single" w:color="auto" w:sz="4" w:space="0"/>
              <w:left w:val="nil"/>
              <w:bottom w:val="single" w:color="auto" w:sz="4" w:space="0"/>
              <w:right w:val="single" w:color="auto" w:sz="4" w:space="0"/>
            </w:tcBorders>
            <w:noWrap w:val="0"/>
            <w:vAlign w:val="center"/>
          </w:tcPr>
          <w:p w14:paraId="3A99FD95">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评标办法</w:t>
            </w:r>
          </w:p>
        </w:tc>
        <w:tc>
          <w:tcPr>
            <w:tcW w:w="6579" w:type="dxa"/>
            <w:tcBorders>
              <w:top w:val="single" w:color="auto" w:sz="4" w:space="0"/>
              <w:left w:val="nil"/>
              <w:bottom w:val="single" w:color="auto" w:sz="4" w:space="0"/>
              <w:right w:val="single" w:color="auto" w:sz="4" w:space="0"/>
            </w:tcBorders>
            <w:noWrap w:val="0"/>
            <w:vAlign w:val="center"/>
          </w:tcPr>
          <w:p w14:paraId="04D23F1D">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具体评标办法详见招标文件第</w:t>
            </w:r>
            <w:r>
              <w:rPr>
                <w:rFonts w:hint="eastAsia" w:ascii="宋体" w:hAnsi="宋体" w:eastAsia="宋体" w:cs="宋体"/>
                <w:color w:val="000000" w:themeColor="text1"/>
                <w:sz w:val="24"/>
                <w:lang w:eastAsia="zh-CN"/>
                <w14:textFill>
                  <w14:solidFill>
                    <w14:schemeClr w14:val="tx1"/>
                  </w14:solidFill>
                </w14:textFill>
              </w:rPr>
              <w:t>五</w:t>
            </w:r>
            <w:r>
              <w:rPr>
                <w:rFonts w:hint="eastAsia" w:ascii="宋体" w:hAnsi="宋体" w:eastAsia="宋体" w:cs="宋体"/>
                <w:color w:val="000000" w:themeColor="text1"/>
                <w:sz w:val="24"/>
                <w14:textFill>
                  <w14:solidFill>
                    <w14:schemeClr w14:val="tx1"/>
                  </w14:solidFill>
                </w14:textFill>
              </w:rPr>
              <w:t>章。</w:t>
            </w:r>
          </w:p>
          <w:p w14:paraId="5FAD3479">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评标委员会依据招标文件规定的评标办法和标准推荐</w:t>
            </w:r>
            <w:r>
              <w:rPr>
                <w:rFonts w:hint="eastAsia" w:ascii="宋体" w:hAnsi="宋体" w:eastAsia="宋体" w:cs="宋体"/>
                <w:color w:val="000000" w:themeColor="text1"/>
                <w:sz w:val="24"/>
                <w:u w:val="single"/>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名中标候选人。</w:t>
            </w:r>
          </w:p>
        </w:tc>
      </w:tr>
      <w:tr w14:paraId="3F83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609371B7">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w:t>
            </w:r>
          </w:p>
        </w:tc>
        <w:tc>
          <w:tcPr>
            <w:tcW w:w="1772" w:type="dxa"/>
            <w:tcBorders>
              <w:top w:val="single" w:color="auto" w:sz="4" w:space="0"/>
              <w:left w:val="nil"/>
              <w:bottom w:val="single" w:color="auto" w:sz="4" w:space="0"/>
              <w:right w:val="single" w:color="auto" w:sz="4" w:space="0"/>
            </w:tcBorders>
            <w:noWrap w:val="0"/>
            <w:vAlign w:val="center"/>
          </w:tcPr>
          <w:p w14:paraId="69F10B68">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确定中标人</w:t>
            </w:r>
          </w:p>
        </w:tc>
        <w:tc>
          <w:tcPr>
            <w:tcW w:w="6579" w:type="dxa"/>
            <w:tcBorders>
              <w:top w:val="single" w:color="auto" w:sz="4" w:space="0"/>
              <w:left w:val="nil"/>
              <w:bottom w:val="single" w:color="auto" w:sz="4" w:space="0"/>
              <w:right w:val="single" w:color="auto" w:sz="4" w:space="0"/>
            </w:tcBorders>
            <w:noWrap w:val="0"/>
            <w:vAlign w:val="center"/>
          </w:tcPr>
          <w:p w14:paraId="1BC1DD46">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1</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种方式确定中标人：</w:t>
            </w:r>
          </w:p>
          <w:p w14:paraId="125951E6">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1.采购人按规定在评标委员会推荐的中标候选人中确定中标人；</w:t>
            </w:r>
          </w:p>
          <w:p w14:paraId="3D884D0A">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2.采购人授权评标委员会直接确定中标人。</w:t>
            </w:r>
          </w:p>
        </w:tc>
      </w:tr>
      <w:tr w14:paraId="2F1F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C74DCD0">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772" w:type="dxa"/>
            <w:tcBorders>
              <w:top w:val="single" w:color="auto" w:sz="4" w:space="0"/>
              <w:left w:val="nil"/>
              <w:bottom w:val="single" w:color="auto" w:sz="4" w:space="0"/>
              <w:right w:val="single" w:color="auto" w:sz="4" w:space="0"/>
            </w:tcBorders>
            <w:noWrap w:val="0"/>
            <w:vAlign w:val="center"/>
          </w:tcPr>
          <w:p w14:paraId="29411C76">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分包要求</w:t>
            </w:r>
          </w:p>
        </w:tc>
        <w:tc>
          <w:tcPr>
            <w:tcW w:w="6579" w:type="dxa"/>
            <w:tcBorders>
              <w:top w:val="single" w:color="auto" w:sz="4" w:space="0"/>
              <w:left w:val="nil"/>
              <w:bottom w:val="single" w:color="auto" w:sz="4" w:space="0"/>
              <w:right w:val="single" w:color="auto" w:sz="4" w:space="0"/>
            </w:tcBorders>
            <w:noWrap w:val="0"/>
            <w:vAlign w:val="center"/>
          </w:tcPr>
          <w:p w14:paraId="5D944BDC">
            <w:pPr>
              <w:spacing w:line="400" w:lineRule="exact"/>
              <w:jc w:val="left"/>
              <w:rPr>
                <w:rFonts w:ascii="宋体" w:hAnsi="宋体" w:eastAsia="宋体" w:cs="宋体"/>
                <w:color w:val="000000" w:themeColor="text1"/>
                <w:sz w:val="24"/>
                <w14:textFill>
                  <w14:solidFill>
                    <w14:schemeClr w14:val="tx1"/>
                  </w14:solidFill>
                </w14:textFill>
              </w:rPr>
            </w:pPr>
            <w:bookmarkStart w:id="64" w:name="EBebac1462c5d9459fbda8a75065c2455d"/>
            <w:r>
              <w:rPr>
                <w:rFonts w:hint="eastAsia" w:ascii="宋体" w:hAnsi="宋体" w:eastAsia="宋体" w:cs="宋体"/>
                <w:color w:val="000000" w:themeColor="text1"/>
                <w:sz w:val="24"/>
                <w14:textFill>
                  <w14:solidFill>
                    <w14:schemeClr w14:val="tx1"/>
                  </w14:solidFill>
                </w14:textFill>
              </w:rPr>
              <w:t>本项目的非主体、非关键性工作是否允许分包</w:t>
            </w:r>
            <w:bookmarkEnd w:id="64"/>
            <w:r>
              <w:rPr>
                <w:rFonts w:hint="eastAsia" w:ascii="宋体" w:hAnsi="宋体" w:eastAsia="宋体" w:cs="宋体"/>
                <w:color w:val="000000" w:themeColor="text1"/>
                <w:sz w:val="24"/>
                <w14:textFill>
                  <w14:solidFill>
                    <w14:schemeClr w14:val="tx1"/>
                  </w14:solidFill>
                </w14:textFill>
              </w:rPr>
              <w:t>按以下第</w:t>
            </w:r>
            <w:r>
              <w:rPr>
                <w:rFonts w:hint="eastAsia" w:ascii="宋体" w:hAnsi="宋体" w:eastAsia="宋体" w:cs="宋体"/>
                <w:color w:val="000000" w:themeColor="text1"/>
                <w:sz w:val="24"/>
                <w:u w:val="single"/>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种方式确定：</w:t>
            </w:r>
          </w:p>
          <w:p w14:paraId="48179E32">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1.允许分包，</w:t>
            </w:r>
            <w:bookmarkStart w:id="65" w:name="EB512ba06683724173802e2aae54a26079"/>
            <w:r>
              <w:rPr>
                <w:rFonts w:hint="eastAsia" w:ascii="宋体" w:hAnsi="宋体" w:eastAsia="宋体" w:cs="宋体"/>
                <w:color w:val="000000" w:themeColor="text1"/>
                <w:sz w:val="24"/>
                <w14:textFill>
                  <w14:solidFill>
                    <w14:schemeClr w14:val="tx1"/>
                  </w14:solidFill>
                </w14:textFill>
              </w:rPr>
              <w:t>允许大中型企业向一家或者多家小微企业分包，分包具体内容、金额或比例：</w:t>
            </w:r>
            <w:bookmarkEnd w:id="65"/>
            <w:r>
              <w:rPr>
                <w:rFonts w:hint="eastAsia" w:ascii="宋体" w:hAnsi="宋体" w:eastAsia="宋体" w:cs="宋体"/>
                <w:color w:val="000000" w:themeColor="text1"/>
                <w:sz w:val="24"/>
                <w14:textFill>
                  <w14:solidFill>
                    <w14:schemeClr w14:val="tx1"/>
                  </w14:solidFill>
                </w14:textFill>
              </w:rPr>
              <w:t>无</w:t>
            </w:r>
          </w:p>
          <w:p w14:paraId="1425A023">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2.不允许分包。</w:t>
            </w:r>
          </w:p>
        </w:tc>
      </w:tr>
      <w:tr w14:paraId="62A5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B0C52E3">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772" w:type="dxa"/>
            <w:tcBorders>
              <w:top w:val="single" w:color="auto" w:sz="4" w:space="0"/>
              <w:left w:val="nil"/>
              <w:bottom w:val="single" w:color="auto" w:sz="4" w:space="0"/>
              <w:right w:val="single" w:color="auto" w:sz="4" w:space="0"/>
            </w:tcBorders>
            <w:noWrap w:val="0"/>
            <w:vAlign w:val="center"/>
          </w:tcPr>
          <w:p w14:paraId="77236000">
            <w:pPr>
              <w:spacing w:line="400" w:lineRule="exact"/>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代理费用收取方式及标准</w:t>
            </w:r>
          </w:p>
        </w:tc>
        <w:tc>
          <w:tcPr>
            <w:tcW w:w="6579" w:type="dxa"/>
            <w:tcBorders>
              <w:top w:val="single" w:color="auto" w:sz="4" w:space="0"/>
              <w:left w:val="nil"/>
              <w:bottom w:val="single" w:color="auto" w:sz="4" w:space="0"/>
              <w:right w:val="single" w:color="auto" w:sz="4" w:space="0"/>
            </w:tcBorders>
            <w:noWrap w:val="0"/>
            <w:vAlign w:val="center"/>
          </w:tcPr>
          <w:p w14:paraId="1F06BDD7">
            <w:pPr>
              <w:widowControl/>
              <w:spacing w:line="360" w:lineRule="exact"/>
              <w:rPr>
                <w:rFonts w:ascii="宋体" w:hAnsi="宋体" w:eastAsia="宋体" w:cs="宋体"/>
                <w:color w:val="000000" w:themeColor="text1"/>
                <w:sz w:val="24"/>
                <w14:textFill>
                  <w14:solidFill>
                    <w14:schemeClr w14:val="tx1"/>
                  </w14:solidFill>
                </w14:textFill>
              </w:rPr>
            </w:pPr>
            <w:bookmarkStart w:id="66" w:name="EBfe735bb6fc4d4e5e9e350f940db98c5f"/>
            <w:bookmarkEnd w:id="66"/>
            <w:r>
              <w:rPr>
                <w:rFonts w:hint="eastAsia" w:ascii="宋体" w:hAnsi="宋体" w:eastAsia="宋体" w:cs="宋体"/>
                <w:color w:val="000000" w:themeColor="text1"/>
                <w:sz w:val="24"/>
                <w14:textFill>
                  <w14:solidFill>
                    <w14:schemeClr w14:val="tx1"/>
                  </w14:solidFill>
                </w14:textFill>
              </w:rPr>
              <w:t>代理服务费由采购人按计价格〔2002〕1980号文件规定标准的</w:t>
            </w:r>
            <w:r>
              <w:rPr>
                <w:rFonts w:hint="eastAsia" w:ascii="宋体" w:hAnsi="宋体" w:eastAsia="宋体" w:cs="宋体"/>
                <w:color w:val="000000" w:themeColor="text1"/>
                <w:sz w:val="24"/>
                <w:lang w:val="en-US" w:eastAsia="zh-CN"/>
                <w14:textFill>
                  <w14:solidFill>
                    <w14:schemeClr w14:val="tx1"/>
                  </w14:solidFill>
                </w14:textFill>
              </w:rPr>
              <w:t>60</w:t>
            </w:r>
            <w:r>
              <w:rPr>
                <w:rFonts w:hint="eastAsia" w:ascii="宋体" w:hAnsi="宋体" w:eastAsia="宋体" w:cs="宋体"/>
                <w:color w:val="000000" w:themeColor="text1"/>
                <w:sz w:val="24"/>
                <w14:textFill>
                  <w14:solidFill>
                    <w14:schemeClr w14:val="tx1"/>
                  </w14:solidFill>
                </w14:textFill>
              </w:rPr>
              <w:t>%计取支付，评委费据实结算。可使用数字人民币支付。</w:t>
            </w:r>
            <w:bookmarkEnd w:id="57"/>
            <w:bookmarkEnd w:id="58"/>
            <w:bookmarkEnd w:id="59"/>
          </w:p>
        </w:tc>
      </w:tr>
      <w:tr w14:paraId="3F12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A2D1B82">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w:t>
            </w:r>
          </w:p>
        </w:tc>
        <w:tc>
          <w:tcPr>
            <w:tcW w:w="1772" w:type="dxa"/>
            <w:tcBorders>
              <w:top w:val="single" w:color="auto" w:sz="4" w:space="0"/>
              <w:left w:val="nil"/>
              <w:bottom w:val="single" w:color="auto" w:sz="4" w:space="0"/>
              <w:right w:val="single" w:color="auto" w:sz="4" w:space="0"/>
            </w:tcBorders>
            <w:noWrap w:val="0"/>
            <w:vAlign w:val="center"/>
          </w:tcPr>
          <w:p w14:paraId="1A9BC15C">
            <w:pPr>
              <w:spacing w:line="4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其他</w:t>
            </w:r>
          </w:p>
        </w:tc>
        <w:tc>
          <w:tcPr>
            <w:tcW w:w="6579" w:type="dxa"/>
            <w:tcBorders>
              <w:top w:val="single" w:color="auto" w:sz="4" w:space="0"/>
              <w:left w:val="nil"/>
              <w:bottom w:val="single" w:color="auto" w:sz="4" w:space="0"/>
              <w:right w:val="single" w:color="auto" w:sz="4" w:space="0"/>
            </w:tcBorders>
            <w:noWrap w:val="0"/>
            <w:vAlign w:val="center"/>
          </w:tcPr>
          <w:p w14:paraId="3919A8E0">
            <w:pPr>
              <w:widowControl/>
              <w:spacing w:line="3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1.本招标文件设置“□”的，以□内打√项内容为准。</w:t>
            </w:r>
          </w:p>
          <w:p w14:paraId="44663A1E">
            <w:pPr>
              <w:widowControl/>
              <w:spacing w:line="3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2.踏勘现场：本项目不组织踏勘现场，各投标人自行踏勘，费用自理。因未踏勘或未仔细踏勘造成的损失自负。</w:t>
            </w:r>
          </w:p>
          <w:p w14:paraId="2FD9B547">
            <w:pPr>
              <w:widowControl/>
              <w:spacing w:line="36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3.信用信息查询截止时间：资格审查结束前。由采购人在资格审查现场查询信用信息，网页截屏打印，查询结果留存并归档。</w:t>
            </w:r>
          </w:p>
        </w:tc>
      </w:tr>
      <w:bookmarkEnd w:id="53"/>
      <w:bookmarkEnd w:id="54"/>
      <w:bookmarkEnd w:id="55"/>
      <w:bookmarkEnd w:id="56"/>
    </w:tbl>
    <w:p w14:paraId="678A0856">
      <w:pPr>
        <w:spacing w:line="500" w:lineRule="exact"/>
        <w:rPr>
          <w:rFonts w:ascii="宋体" w:hAnsi="宋体" w:eastAsia="宋体" w:cs="宋体"/>
          <w:b/>
          <w:color w:val="000000" w:themeColor="text1"/>
          <w:sz w:val="24"/>
          <w:szCs w:val="22"/>
          <w14:textFill>
            <w14:solidFill>
              <w14:schemeClr w14:val="tx1"/>
            </w14:solidFill>
          </w14:textFill>
        </w:rPr>
      </w:pPr>
      <w:bookmarkStart w:id="67" w:name="_Toc764"/>
      <w:bookmarkStart w:id="68" w:name="_Toc28142"/>
      <w:bookmarkStart w:id="69" w:name="_Toc20956"/>
      <w:bookmarkStart w:id="70" w:name="_Toc513029242"/>
      <w:bookmarkStart w:id="71" w:name="_Toc16938558"/>
      <w:bookmarkStart w:id="72" w:name="_Toc120614221"/>
      <w:bookmarkStart w:id="73" w:name="_Toc479757207"/>
      <w:bookmarkStart w:id="74" w:name="_Toc20823314"/>
      <w:r>
        <w:rPr>
          <w:rFonts w:hint="eastAsia" w:ascii="宋体" w:hAnsi="宋体" w:eastAsia="宋体" w:cs="宋体"/>
          <w:b/>
          <w:color w:val="000000" w:themeColor="text1"/>
          <w:sz w:val="28"/>
          <w14:textFill>
            <w14:solidFill>
              <w14:schemeClr w14:val="tx1"/>
            </w14:solidFill>
          </w14:textFill>
        </w:rPr>
        <w:t>一、总 则</w:t>
      </w:r>
      <w:bookmarkEnd w:id="67"/>
      <w:bookmarkEnd w:id="68"/>
      <w:bookmarkEnd w:id="69"/>
    </w:p>
    <w:p w14:paraId="789F784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1.招标方式</w:t>
      </w:r>
    </w:p>
    <w:p w14:paraId="022833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本次招标采取公开招标方式。</w:t>
      </w:r>
    </w:p>
    <w:p w14:paraId="78BF001C">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2.合格的投标人</w:t>
      </w:r>
    </w:p>
    <w:p w14:paraId="4C40565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2.1合格的投标人必须符合招标文件第一部分《投标邀请函》第二条及须知前附表相关规定，且具备完成本项目的能力，中标后不允许转包。</w:t>
      </w:r>
    </w:p>
    <w:p w14:paraId="1D30FDC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2.2合格的投标人应遵守《中华人民共和国政府采购法》《中华人民共和国政府采购法实施条例》《中华人民共和国民法典（第三编合同）》等有关法律法规。</w:t>
      </w:r>
    </w:p>
    <w:p w14:paraId="5CB6871B">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3.适用法律</w:t>
      </w:r>
    </w:p>
    <w:p w14:paraId="7F34FF6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本次招标及由本次招标产生的合同受到中华人民共和国的相关法律法规制约和保护。</w:t>
      </w:r>
    </w:p>
    <w:p w14:paraId="06093AD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4.投标费用</w:t>
      </w:r>
    </w:p>
    <w:p w14:paraId="4D9D85A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投标人应自行承担所有参加投标有关的费用。</w:t>
      </w:r>
    </w:p>
    <w:p w14:paraId="2F0B426E">
      <w:pPr>
        <w:spacing w:line="480" w:lineRule="exact"/>
        <w:ind w:firstLine="482"/>
        <w:rPr>
          <w:rFonts w:ascii="Times New Roman" w:hAnsi="Times New Roman" w:cs="仿宋"/>
          <w:b/>
          <w:sz w:val="24"/>
        </w:rPr>
      </w:pPr>
      <w:r>
        <w:rPr>
          <w:rFonts w:hint="eastAsia" w:ascii="宋体" w:hAnsi="宋体" w:eastAsia="宋体" w:cs="宋体"/>
          <w:b/>
          <w:color w:val="000000" w:themeColor="text1"/>
          <w:sz w:val="24"/>
          <w:szCs w:val="22"/>
          <w14:textFill>
            <w14:solidFill>
              <w14:schemeClr w14:val="tx1"/>
            </w14:solidFill>
          </w14:textFill>
        </w:rPr>
        <w:t>5.</w:t>
      </w:r>
      <w:r>
        <w:rPr>
          <w:rFonts w:hint="eastAsia" w:ascii="Times New Roman" w:hAnsi="Times New Roman" w:cs="仿宋"/>
          <w:b/>
          <w:sz w:val="24"/>
        </w:rPr>
        <w:t>招标文件构成</w:t>
      </w:r>
    </w:p>
    <w:p w14:paraId="18C5BD96">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62F95058">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11D0FCB6">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7844FDE7">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03FEE609">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442F6226">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54CE4C32">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32E3C9D6">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1C5574CD">
      <w:pPr>
        <w:spacing w:line="48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Times New Roman" w:hAnsi="Times New Roman" w:cs="仿宋"/>
          <w:sz w:val="24"/>
        </w:rPr>
        <w:t>5.2投标人应认真阅读招标文件中所有的事项、格式、条款和规范等要求，按招标文件要求和规定编制投标文件</w:t>
      </w:r>
      <w:r>
        <w:rPr>
          <w:rFonts w:hint="eastAsia" w:ascii="宋体" w:hAnsi="宋体" w:eastAsia="宋体" w:cs="宋体"/>
          <w:color w:val="000000" w:themeColor="text1"/>
          <w:sz w:val="24"/>
          <w:szCs w:val="22"/>
          <w14:textFill>
            <w14:solidFill>
              <w14:schemeClr w14:val="tx1"/>
            </w14:solidFill>
          </w14:textFill>
        </w:rPr>
        <w:t>。</w:t>
      </w:r>
      <w:bookmarkStart w:id="75" w:name="EB03f11de025af49a0b0680fbbffa2bc40"/>
      <w:bookmarkEnd w:id="75"/>
    </w:p>
    <w:p w14:paraId="515F9886">
      <w:pPr>
        <w:spacing w:line="480" w:lineRule="exact"/>
        <w:ind w:firstLine="480"/>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6.政府采购政策</w:t>
      </w:r>
    </w:p>
    <w:p w14:paraId="0F7FEAF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本项目落实的政府采购政策为应序号为</w:t>
      </w:r>
      <w:r>
        <w:rPr>
          <w:rFonts w:hint="eastAsia" w:ascii="宋体" w:hAnsi="宋体" w:eastAsia="宋体" w:cs="宋体"/>
          <w:color w:val="000000" w:themeColor="text1"/>
          <w:sz w:val="24"/>
          <w:szCs w:val="22"/>
          <w:u w:val="single"/>
          <w14:textFill>
            <w14:solidFill>
              <w14:schemeClr w14:val="tx1"/>
            </w14:solidFill>
          </w14:textFill>
        </w:rPr>
        <w:t>6.1、6.3</w:t>
      </w:r>
    </w:p>
    <w:p w14:paraId="5B07759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6.1中小企业政策</w:t>
      </w:r>
    </w:p>
    <w:p w14:paraId="7B20DFC8">
      <w:pPr>
        <w:spacing w:line="500" w:lineRule="exact"/>
        <w:ind w:firstLine="480"/>
        <w:rPr>
          <w:rFonts w:ascii="宋体" w:hAnsi="宋体" w:eastAsia="宋体" w:cs="宋体"/>
          <w:b/>
          <w:bCs/>
          <w:color w:val="000000" w:themeColor="text1"/>
          <w:sz w:val="24"/>
          <w:szCs w:val="22"/>
          <w:u w:val="single"/>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本项目采购标的对应的中小企业划分标准所属行业：</w:t>
      </w:r>
      <w:r>
        <w:rPr>
          <w:rFonts w:hint="eastAsia" w:ascii="宋体" w:hAnsi="宋体" w:eastAsia="宋体" w:cs="宋体"/>
          <w:b/>
          <w:bCs/>
          <w:color w:val="000000" w:themeColor="text1"/>
          <w:sz w:val="24"/>
          <w:szCs w:val="22"/>
          <w:u w:val="single"/>
          <w14:textFill>
            <w14:solidFill>
              <w14:schemeClr w14:val="tx1"/>
            </w14:solidFill>
          </w14:textFill>
        </w:rPr>
        <w:t>工业</w:t>
      </w:r>
    </w:p>
    <w:p w14:paraId="79E3AFC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本项目按以下第</w:t>
      </w:r>
      <w:r>
        <w:rPr>
          <w:rFonts w:hint="eastAsia" w:ascii="宋体" w:hAnsi="宋体" w:eastAsia="宋体" w:cs="宋体"/>
          <w:b/>
          <w:bCs/>
          <w:color w:val="000000" w:themeColor="text1"/>
          <w:sz w:val="24"/>
          <w:szCs w:val="22"/>
          <w:u w:val="single"/>
          <w14:textFill>
            <w14:solidFill>
              <w14:schemeClr w14:val="tx1"/>
            </w14:solidFill>
          </w14:textFill>
        </w:rPr>
        <w:t>（</w:t>
      </w:r>
      <w:r>
        <w:rPr>
          <w:rFonts w:hint="eastAsia" w:ascii="宋体" w:hAnsi="宋体" w:eastAsia="宋体" w:cs="宋体"/>
          <w:b/>
          <w:bCs/>
          <w:color w:val="000000" w:themeColor="text1"/>
          <w:sz w:val="24"/>
          <w:szCs w:val="22"/>
          <w:u w:val="single"/>
          <w:lang w:val="en-US" w:eastAsia="zh-CN"/>
          <w14:textFill>
            <w14:solidFill>
              <w14:schemeClr w14:val="tx1"/>
            </w14:solidFill>
          </w14:textFill>
        </w:rPr>
        <w:t>1</w:t>
      </w:r>
      <w:r>
        <w:rPr>
          <w:rFonts w:hint="eastAsia" w:ascii="宋体" w:hAnsi="宋体" w:eastAsia="宋体" w:cs="宋体"/>
          <w:b/>
          <w:bCs/>
          <w:color w:val="000000" w:themeColor="text1"/>
          <w:sz w:val="24"/>
          <w:szCs w:val="22"/>
          <w:u w:val="single"/>
          <w14:textFill>
            <w14:solidFill>
              <w14:schemeClr w14:val="tx1"/>
            </w14:solidFill>
          </w14:textFill>
        </w:rPr>
        <w:t>）</w:t>
      </w:r>
      <w:r>
        <w:rPr>
          <w:rFonts w:hint="eastAsia" w:ascii="宋体" w:hAnsi="宋体" w:eastAsia="宋体" w:cs="宋体"/>
          <w:color w:val="000000" w:themeColor="text1"/>
          <w:sz w:val="24"/>
          <w:szCs w:val="22"/>
          <w14:textFill>
            <w14:solidFill>
              <w14:schemeClr w14:val="tx1"/>
            </w14:solidFill>
          </w14:textFill>
        </w:rPr>
        <w:t>项政策确定本项目落实的中小企业政策：</w:t>
      </w:r>
    </w:p>
    <w:p w14:paraId="03F69DD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（1）本项目专门面向中小企业（含监狱与戒毒企业、残疾人福利企业）采购。</w:t>
      </w:r>
    </w:p>
    <w:p w14:paraId="6CF7916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（2）对符合规定情形的小微企业报价给予</w:t>
      </w:r>
      <w:r>
        <w:rPr>
          <w:rFonts w:hint="eastAsia" w:ascii="宋体" w:hAnsi="宋体" w:eastAsia="宋体" w:cs="宋体"/>
          <w:b/>
          <w:bCs/>
          <w:color w:val="000000" w:themeColor="text1"/>
          <w:sz w:val="24"/>
          <w:szCs w:val="22"/>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u w:val="single"/>
          <w14:textFill>
            <w14:solidFill>
              <w14:schemeClr w14:val="tx1"/>
            </w14:solidFill>
          </w14:textFill>
        </w:rPr>
        <w:t>%</w:t>
      </w:r>
      <w:r>
        <w:rPr>
          <w:rFonts w:hint="eastAsia" w:ascii="宋体" w:hAnsi="宋体" w:eastAsia="宋体" w:cs="宋体"/>
          <w:color w:val="000000" w:themeColor="text1"/>
          <w:sz w:val="24"/>
          <w:szCs w:val="22"/>
          <w14:textFill>
            <w14:solidFill>
              <w14:schemeClr w14:val="tx1"/>
            </w14:solidFill>
          </w14:textFill>
        </w:rPr>
        <w:t>的扣除，用扣除后的价格参加评审。</w:t>
      </w:r>
    </w:p>
    <w:p w14:paraId="70DC629C">
      <w:pPr>
        <w:spacing w:line="48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在服务采购项目中，服务由中小企业承接，即提供服务的人员为中小企业依照《中华人民共和国劳动合同法》订立劳动合同的从业人员。</w:t>
      </w:r>
    </w:p>
    <w:p w14:paraId="0B3D04EB">
      <w:pPr>
        <w:spacing w:line="500" w:lineRule="exact"/>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在货物采购项目中，货物由中小企业制造，即货物由中小企业生产且使用该中小企业商号或者注册商标；</w:t>
      </w:r>
    </w:p>
    <w:p w14:paraId="269E9F0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36AFAF7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1FB805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74729E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p>
    <w:p w14:paraId="74F542B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 政府采购节能产品、环境标志产品</w:t>
      </w:r>
    </w:p>
    <w:p w14:paraId="520079F4">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6BB902D0">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6.2.2采购人拟采购的产品属于政府强制采购的节能产品品目清单范围的，投标人须提供国家确定的认证机构出具的、处于有效期之内的节能产品认证证书的，否则无效标处理。</w:t>
      </w:r>
    </w:p>
    <w:p w14:paraId="4661839A">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6.2.3采购人拟采购的产品属于优先采购的节能环保品目清单范围的，按以下条件优先采购：</w:t>
      </w:r>
    </w:p>
    <w:p w14:paraId="5DCB47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采用综合评分法的项目，对提供有效节能环保证书的投标人加分。</w:t>
      </w:r>
    </w:p>
    <w:p w14:paraId="664A5C2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采用最低评标价法的项目，同等条件下优先推荐提供有效节能环保证书多的投标人为中标人。</w:t>
      </w:r>
    </w:p>
    <w:p w14:paraId="5670E75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6.3政府采购需求标准</w:t>
      </w:r>
    </w:p>
    <w:p w14:paraId="7C748C4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6.3.1商品包装、快递包装政府采购需求标准（试行）</w:t>
      </w:r>
    </w:p>
    <w:p w14:paraId="4C49F09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部分采购需求。</w:t>
      </w:r>
    </w:p>
    <w:p w14:paraId="598ABFB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6.3.2绿色数据中心政府采购需求标准（试行）</w:t>
      </w:r>
    </w:p>
    <w:p w14:paraId="61AA04BE">
      <w:pPr>
        <w:spacing w:line="500" w:lineRule="exact"/>
        <w:ind w:firstLine="480"/>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为加快数据中心绿色转型，根据财政部 生态环境部 工业和信息化部关于印发《绿色数据中心政府采购需求标准（试行）》的通知，本项目如涉及绿色数据中心，具体需求详见第四部分采购需求。</w:t>
      </w:r>
    </w:p>
    <w:p w14:paraId="0E326313">
      <w:pPr>
        <w:ind w:firstLine="643"/>
        <w:jc w:val="center"/>
        <w:outlineLvl w:val="1"/>
        <w:rPr>
          <w:rFonts w:ascii="宋体" w:hAnsi="宋体" w:eastAsia="宋体" w:cs="宋体"/>
          <w:b/>
          <w:color w:val="000000" w:themeColor="text1"/>
          <w:sz w:val="32"/>
          <w14:textFill>
            <w14:solidFill>
              <w14:schemeClr w14:val="tx1"/>
            </w14:solidFill>
          </w14:textFill>
        </w:rPr>
      </w:pPr>
      <w:bookmarkStart w:id="76" w:name="_Toc4523"/>
      <w:bookmarkStart w:id="77" w:name="_Toc29306"/>
      <w:bookmarkStart w:id="78" w:name="_Toc24837"/>
      <w:bookmarkStart w:id="79" w:name="_Toc81575193"/>
      <w:bookmarkStart w:id="80" w:name="_Toc81575156"/>
      <w:r>
        <w:rPr>
          <w:rFonts w:hint="eastAsia" w:ascii="宋体" w:hAnsi="宋体" w:eastAsia="宋体" w:cs="宋体"/>
          <w:b/>
          <w:color w:val="000000" w:themeColor="text1"/>
          <w:sz w:val="32"/>
          <w14:textFill>
            <w14:solidFill>
              <w14:schemeClr w14:val="tx1"/>
            </w14:solidFill>
          </w14:textFill>
        </w:rPr>
        <w:t>二、招标文件</w:t>
      </w:r>
      <w:bookmarkEnd w:id="76"/>
      <w:bookmarkEnd w:id="77"/>
      <w:bookmarkEnd w:id="78"/>
      <w:bookmarkEnd w:id="79"/>
      <w:bookmarkEnd w:id="80"/>
    </w:p>
    <w:p w14:paraId="4D91476B">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7.招标文件构成</w:t>
      </w:r>
    </w:p>
    <w:p w14:paraId="476AABB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7.1招标文件由以下部分组成：</w:t>
      </w:r>
    </w:p>
    <w:p w14:paraId="0AD82CF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第一部分：投标邀请函；</w:t>
      </w:r>
    </w:p>
    <w:p w14:paraId="29B280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第二部分：投标人须知； </w:t>
      </w:r>
    </w:p>
    <w:p w14:paraId="49A2EC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第三部分：资格审查及评分办法；</w:t>
      </w:r>
    </w:p>
    <w:p w14:paraId="78B48A3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第四部分：采购需求；</w:t>
      </w:r>
    </w:p>
    <w:p w14:paraId="03A30BB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第五部分：合同格式及条款；</w:t>
      </w:r>
    </w:p>
    <w:p w14:paraId="19FDEAC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第六部分：投标文件格式。</w:t>
      </w:r>
    </w:p>
    <w:p w14:paraId="3515D0F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请仔细检查招标文件是否齐全，如有缺漏请立即与代理机构联系解决。</w:t>
      </w:r>
    </w:p>
    <w:p w14:paraId="41EA81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DC862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8.招标文件的澄清</w:t>
      </w:r>
    </w:p>
    <w:p w14:paraId="4DBA3D1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任何要求对招标文件澄清的投标人，均应在招标文件提供截止时间之前提出，采购代理机构对规定时间内收到的澄清要求予以答复，答复不包括问题的来源。</w:t>
      </w:r>
    </w:p>
    <w:p w14:paraId="0E769694">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9.招标文件的修改</w:t>
      </w:r>
    </w:p>
    <w:p w14:paraId="789041A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p>
    <w:p w14:paraId="31A4DC7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9.2招标文件的修改将在原公告媒体上发布更正公告，并对投标人具有约束力。 </w:t>
      </w:r>
    </w:p>
    <w:p w14:paraId="0AFB608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9.3投标人应及时登录“苏采云”系统获取澄清答疑文件（修改后招标文件），如因投标人原因未能及时下载澄清和修改后的招标文件，由此造成的相关责任，由投标人承担。 </w:t>
      </w:r>
    </w:p>
    <w:p w14:paraId="128B3F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9.4采购代理机构发出的所有补充、修改和变更文件均作为招标文件的组成部分，与招标文件具有同等法律效力。 </w:t>
      </w:r>
    </w:p>
    <w:p w14:paraId="14FDCBD7">
      <w:pPr>
        <w:ind w:firstLine="420"/>
        <w:rPr>
          <w:rFonts w:ascii="宋体" w:hAnsi="宋体" w:eastAsia="宋体" w:cs="宋体"/>
          <w:color w:val="000000" w:themeColor="text1"/>
          <w:szCs w:val="22"/>
          <w14:textFill>
            <w14:solidFill>
              <w14:schemeClr w14:val="tx1"/>
            </w14:solidFill>
          </w14:textFill>
        </w:rPr>
      </w:pPr>
      <w:bookmarkStart w:id="81" w:name="EBec71fc1696a240c4b620fe1e00b2ce58"/>
      <w:bookmarkEnd w:id="81"/>
      <w:bookmarkStart w:id="82" w:name="EB2154fb7cf02b4b0980c6759aa29ee4ed"/>
      <w:bookmarkEnd w:id="82"/>
      <w:bookmarkStart w:id="83" w:name="EB453bde7f4ddc418fae2aad9fbcd82554"/>
      <w:bookmarkEnd w:id="83"/>
    </w:p>
    <w:p w14:paraId="36DC372D">
      <w:pPr>
        <w:ind w:firstLine="643"/>
        <w:jc w:val="center"/>
        <w:outlineLvl w:val="1"/>
        <w:rPr>
          <w:rFonts w:ascii="宋体" w:hAnsi="宋体" w:eastAsia="宋体" w:cs="宋体"/>
          <w:b/>
          <w:color w:val="000000" w:themeColor="text1"/>
          <w:sz w:val="32"/>
          <w14:textFill>
            <w14:solidFill>
              <w14:schemeClr w14:val="tx1"/>
            </w14:solidFill>
          </w14:textFill>
        </w:rPr>
      </w:pPr>
      <w:bookmarkStart w:id="84" w:name="_Toc5756"/>
      <w:bookmarkStart w:id="85" w:name="_Toc81575194"/>
      <w:bookmarkStart w:id="86" w:name="_Toc11461"/>
      <w:bookmarkStart w:id="87" w:name="_Toc81575157"/>
      <w:bookmarkStart w:id="88" w:name="_Toc2717"/>
      <w:r>
        <w:rPr>
          <w:rFonts w:hint="eastAsia" w:ascii="宋体" w:hAnsi="宋体" w:eastAsia="宋体" w:cs="宋体"/>
          <w:b/>
          <w:color w:val="000000" w:themeColor="text1"/>
          <w:sz w:val="32"/>
          <w14:textFill>
            <w14:solidFill>
              <w14:schemeClr w14:val="tx1"/>
            </w14:solidFill>
          </w14:textFill>
        </w:rPr>
        <w:t>三、投标文件的编制</w:t>
      </w:r>
      <w:bookmarkEnd w:id="84"/>
      <w:bookmarkEnd w:id="85"/>
      <w:bookmarkEnd w:id="86"/>
      <w:bookmarkEnd w:id="87"/>
      <w:bookmarkEnd w:id="88"/>
    </w:p>
    <w:p w14:paraId="6E38BE1D">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10.投标文件的编制要求</w:t>
      </w:r>
    </w:p>
    <w:p w14:paraId="53E567D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2A97108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10.2投标文件应当对招标文件有关合同履行期限、投标有效期、质量要求、技术标准和要求、招标范围等实质性内容作出响应。</w:t>
      </w:r>
    </w:p>
    <w:p w14:paraId="2778ABF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10.3中标后按相关要求提供与电子投标文件一致的纸质打印投标文件。 </w:t>
      </w:r>
    </w:p>
    <w:p w14:paraId="243DE86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10.4投标文件须加盖电子签章之处，应按要求加盖投标人数字证书的电子签章。其他需要盖章但未明确要求电子签章的，投标人可按要求加盖公章后上传材料电子件或直接加盖电子签章。 </w:t>
      </w:r>
    </w:p>
    <w:p w14:paraId="136F1D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p>
    <w:p w14:paraId="3C42D78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1.6投标人应当通过“苏采云”系统提交数据电文形式的投标文件（即电子投标）。未进行投标文件提交并解密的投标人，按照无效响应处理（因“苏采云”系统导致解密失败的除外）。</w:t>
      </w:r>
    </w:p>
    <w:p w14:paraId="33C75002">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11.投标文件构成</w:t>
      </w:r>
    </w:p>
    <w:p w14:paraId="0BD7026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11.1投标声明及承诺函。</w:t>
      </w:r>
    </w:p>
    <w:p w14:paraId="0DADDA8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11.2法人授权书；</w:t>
      </w:r>
    </w:p>
    <w:p w14:paraId="1B06767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11.3报价文件</w:t>
      </w:r>
    </w:p>
    <w:p w14:paraId="402C6D1C">
      <w:pPr>
        <w:spacing w:line="500" w:lineRule="exact"/>
        <w:ind w:firstLine="480"/>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11.3.1开标一览表</w:t>
      </w:r>
      <w:r>
        <w:rPr>
          <w:rFonts w:hint="eastAsia" w:ascii="宋体" w:hAnsi="宋体" w:eastAsia="宋体" w:cs="宋体"/>
          <w:color w:val="000000" w:themeColor="text1"/>
          <w:sz w:val="24"/>
          <w:szCs w:val="22"/>
          <w:lang w:eastAsia="zh-CN"/>
          <w14:textFill>
            <w14:solidFill>
              <w14:schemeClr w14:val="tx1"/>
            </w14:solidFill>
          </w14:textFill>
        </w:rPr>
        <w:t>。</w:t>
      </w:r>
    </w:p>
    <w:p w14:paraId="76401CC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11.4综合评审评分项相关技术文件</w:t>
      </w:r>
    </w:p>
    <w:p w14:paraId="4233270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11.5商务文件</w:t>
      </w:r>
    </w:p>
    <w:p w14:paraId="232AA307">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89" w:name="EBdc2c24f6358343e896cd43bd6621a619"/>
      <w:r>
        <w:rPr>
          <w:rFonts w:hint="eastAsia" w:ascii="宋体" w:hAnsi="宋体" w:eastAsia="宋体" w:cs="宋体"/>
          <w:color w:val="000000" w:themeColor="text1"/>
          <w:sz w:val="24"/>
          <w:szCs w:val="22"/>
          <w14:textFill>
            <w14:solidFill>
              <w14:schemeClr w14:val="tx1"/>
            </w14:solidFill>
          </w14:textFill>
        </w:rPr>
        <w:t>11.5.1投标人承担的类似项目业绩一览表；</w:t>
      </w:r>
    </w:p>
    <w:p w14:paraId="0BC7425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11.5.2其他商务文件。</w:t>
      </w:r>
      <w:bookmarkEnd w:id="89"/>
    </w:p>
    <w:p w14:paraId="3AF757F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11.6投标人认为有必要提供的其他材料。</w:t>
      </w:r>
    </w:p>
    <w:p w14:paraId="3A54AD28">
      <w:pPr>
        <w:spacing w:line="500" w:lineRule="exact"/>
        <w:ind w:firstLine="482"/>
        <w:rPr>
          <w:rFonts w:ascii="宋体" w:hAnsi="宋体" w:eastAsia="宋体" w:cs="宋体"/>
          <w:b/>
          <w:color w:val="000000" w:themeColor="text1"/>
          <w:sz w:val="24"/>
          <w:szCs w:val="22"/>
          <w14:textFill>
            <w14:solidFill>
              <w14:schemeClr w14:val="tx1"/>
            </w14:solidFill>
          </w14:textFill>
        </w:rPr>
      </w:pPr>
      <w:bookmarkStart w:id="90" w:name="EBc50e2bb832bb43068403b10c1cce6141"/>
      <w:r>
        <w:rPr>
          <w:rFonts w:hint="eastAsia" w:ascii="宋体" w:hAnsi="宋体" w:eastAsia="宋体" w:cs="宋体"/>
          <w:b/>
          <w:color w:val="000000" w:themeColor="text1"/>
          <w:sz w:val="24"/>
          <w:szCs w:val="22"/>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子件的，评标委员会可以视同其未提供。</w:t>
      </w:r>
      <w:bookmarkEnd w:id="90"/>
    </w:p>
    <w:p w14:paraId="0733D14C">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12.投标文件的加密</w:t>
      </w:r>
    </w:p>
    <w:p w14:paraId="6209E91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投标人应使用经苏采云系统认可的电子商务认证授权机构（CA认证中心）颁发的数字证书对其电子投标文件认证并加密，未按要求加密并认证的投标文件，不予受理。</w:t>
      </w:r>
    </w:p>
    <w:p w14:paraId="171FB46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13.投标报价</w:t>
      </w:r>
    </w:p>
    <w:p w14:paraId="7B8D5BD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13.1报价为一次报价，于开标会议当场宣读。</w:t>
      </w:r>
    </w:p>
    <w:p w14:paraId="2AE98B5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13.2本项目不接受备选的投标方案或有选择的报价，只允许有一个报价。</w:t>
      </w:r>
      <w:r>
        <w:rPr>
          <w:rFonts w:hint="eastAsia" w:ascii="宋体" w:hAnsi="宋体" w:eastAsia="宋体" w:cs="宋体"/>
          <w:color w:val="000000" w:themeColor="text1"/>
          <w:sz w:val="24"/>
          <w14:textFill>
            <w14:solidFill>
              <w14:schemeClr w14:val="tx1"/>
            </w14:solidFill>
          </w14:textFill>
        </w:rPr>
        <w:t>投标报价内容包括：响应报价应包括货款、包装、运输、装卸、保险、税金、售后等完成本项目所涉及的一切相关费用。</w:t>
      </w:r>
    </w:p>
    <w:p w14:paraId="61656AD3">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13.3报价注意事项：投标人报价时应充分考虑所有可能影响到报价的因素，一旦评标结束最终中标，如发生漏、缺、少项，都将被认为是中标人的报价让利行为，损失自负。</w:t>
      </w:r>
    </w:p>
    <w:p w14:paraId="49C4D90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14.投标保证金</w:t>
      </w:r>
    </w:p>
    <w:p w14:paraId="4FC98F4F">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91" w:name="EB183a0bf075204c54a4ff090f1aecaaa7"/>
      <w:r>
        <w:rPr>
          <w:rFonts w:hint="eastAsia" w:ascii="宋体" w:hAnsi="宋体" w:eastAsia="宋体" w:cs="宋体"/>
          <w:color w:val="000000" w:themeColor="text1"/>
          <w:sz w:val="24"/>
          <w:szCs w:val="22"/>
          <w14:textFill>
            <w14:solidFill>
              <w14:schemeClr w14:val="tx1"/>
            </w14:solidFill>
          </w14:textFill>
        </w:rPr>
        <w:t>本项目不收取投标保证金。</w:t>
      </w:r>
      <w:bookmarkEnd w:id="91"/>
    </w:p>
    <w:p w14:paraId="2F21657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15.投标有效期</w:t>
      </w:r>
    </w:p>
    <w:p w14:paraId="0784F76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15.1在投标人须知前附表规定的投标有效期内，投标有效期从提交投标文件的截止之日起算。投标有效期不足的投标，在评标时将其视为投标无效。</w:t>
      </w:r>
    </w:p>
    <w:p w14:paraId="7A728A2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116CEE3C">
      <w:pPr>
        <w:ind w:firstLine="643"/>
        <w:jc w:val="center"/>
        <w:outlineLvl w:val="1"/>
        <w:rPr>
          <w:rFonts w:ascii="宋体" w:hAnsi="宋体" w:eastAsia="宋体" w:cs="宋体"/>
          <w:b/>
          <w:color w:val="000000" w:themeColor="text1"/>
          <w:sz w:val="32"/>
          <w14:textFill>
            <w14:solidFill>
              <w14:schemeClr w14:val="tx1"/>
            </w14:solidFill>
          </w14:textFill>
        </w:rPr>
      </w:pPr>
      <w:bookmarkStart w:id="92" w:name="_Toc18329"/>
      <w:bookmarkStart w:id="93" w:name="_Toc81575195"/>
      <w:bookmarkStart w:id="94" w:name="_Toc23443"/>
      <w:bookmarkStart w:id="95" w:name="_Toc2130"/>
      <w:bookmarkStart w:id="96" w:name="_Toc81575158"/>
      <w:r>
        <w:rPr>
          <w:rFonts w:hint="eastAsia" w:ascii="宋体" w:hAnsi="宋体" w:eastAsia="宋体" w:cs="宋体"/>
          <w:b/>
          <w:color w:val="000000" w:themeColor="text1"/>
          <w:sz w:val="32"/>
          <w14:textFill>
            <w14:solidFill>
              <w14:schemeClr w14:val="tx1"/>
            </w14:solidFill>
          </w14:textFill>
        </w:rPr>
        <w:t>四、投标文件的提交</w:t>
      </w:r>
      <w:bookmarkEnd w:id="92"/>
      <w:bookmarkEnd w:id="93"/>
      <w:bookmarkEnd w:id="94"/>
      <w:bookmarkEnd w:id="95"/>
      <w:bookmarkEnd w:id="96"/>
    </w:p>
    <w:p w14:paraId="567A684F">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16.投标文件的提交</w:t>
      </w:r>
    </w:p>
    <w:p w14:paraId="358C5F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p>
    <w:p w14:paraId="345B8FD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人应将电子投标文件上传至“苏采云”系统对应的本次开标分包中，未及时上传的，招标人不予受理。投标文件提交截止时间后，投标人对投标报价或其他实质性内容修正的函件和增加的任何优惠条件，一律拒绝接收。</w:t>
      </w:r>
    </w:p>
    <w:p w14:paraId="4390223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16.2除招标文件另有规定外，投标人所提交的投标文件不予退还。</w:t>
      </w:r>
    </w:p>
    <w:p w14:paraId="77DFF05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16.3网上投标文件的修改和撤回：在投标截止时间之前，投标人可以撤回或重新提交投标文件，投标文件以最终完成上传的为准。</w:t>
      </w:r>
    </w:p>
    <w:p w14:paraId="5E156F1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16.4采购代理机构可以通过修改招标文件酌情延长投标文件接收截止日期，在此情况下，投标人的所有权利和义务以及投标人受制约的截止日期均应以延长后新的截止日期为准。</w:t>
      </w:r>
    </w:p>
    <w:p w14:paraId="4902E9AA">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17.投标文件被拒绝接收的情形</w:t>
      </w:r>
    </w:p>
    <w:p w14:paraId="6D6AB545">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17.1在招标文件规定的投标截止时间后上传的投标文件。</w:t>
      </w:r>
    </w:p>
    <w:p w14:paraId="5ED8A871">
      <w:pPr>
        <w:ind w:firstLine="643"/>
        <w:jc w:val="center"/>
        <w:outlineLvl w:val="1"/>
        <w:rPr>
          <w:rFonts w:ascii="宋体" w:hAnsi="宋体" w:eastAsia="宋体" w:cs="宋体"/>
          <w:b/>
          <w:color w:val="000000" w:themeColor="text1"/>
          <w:sz w:val="32"/>
          <w14:textFill>
            <w14:solidFill>
              <w14:schemeClr w14:val="tx1"/>
            </w14:solidFill>
          </w14:textFill>
        </w:rPr>
      </w:pPr>
      <w:bookmarkStart w:id="97" w:name="_Toc212"/>
      <w:bookmarkStart w:id="98" w:name="_Toc81575196"/>
      <w:bookmarkStart w:id="99" w:name="_Toc26208"/>
      <w:bookmarkStart w:id="100" w:name="_Toc8841"/>
      <w:bookmarkStart w:id="101" w:name="_Toc81575159"/>
      <w:r>
        <w:rPr>
          <w:rFonts w:hint="eastAsia" w:ascii="宋体" w:hAnsi="宋体" w:eastAsia="宋体" w:cs="宋体"/>
          <w:b/>
          <w:color w:val="000000" w:themeColor="text1"/>
          <w:sz w:val="32"/>
          <w14:textFill>
            <w14:solidFill>
              <w14:schemeClr w14:val="tx1"/>
            </w14:solidFill>
          </w14:textFill>
        </w:rPr>
        <w:t>五、无效标、废标、串通投标认定条款</w:t>
      </w:r>
      <w:bookmarkEnd w:id="97"/>
      <w:bookmarkEnd w:id="98"/>
      <w:bookmarkEnd w:id="99"/>
      <w:bookmarkEnd w:id="100"/>
      <w:bookmarkEnd w:id="101"/>
    </w:p>
    <w:p w14:paraId="0869E1D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18.无效投标条款</w:t>
      </w:r>
    </w:p>
    <w:p w14:paraId="121C0AFA">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102" w:name="EB94942e5430df4fb8a077f3cf7667f212"/>
      <w:r>
        <w:rPr>
          <w:rFonts w:hint="eastAsia" w:ascii="宋体" w:hAnsi="宋体" w:eastAsia="宋体" w:cs="宋体"/>
          <w:color w:val="000000" w:themeColor="text1"/>
          <w:sz w:val="24"/>
          <w:szCs w:val="22"/>
          <w14:textFill>
            <w14:solidFill>
              <w14:schemeClr w14:val="tx1"/>
            </w14:solidFill>
          </w14:textFill>
        </w:rPr>
        <w:t>18.1投标人不符合招标文件规定资格要求的或未按规定提交资质证件的；</w:t>
      </w:r>
    </w:p>
    <w:p w14:paraId="66B0904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18.2投标文件签署、盖章不符合招标文件要求的；</w:t>
      </w:r>
    </w:p>
    <w:p w14:paraId="6B9F92E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18.3未按招标文件要求提供电子投标文件，或者在苏采云系统规定的时间内未成功解密电子投标文件；</w:t>
      </w:r>
    </w:p>
    <w:p w14:paraId="3B7FD20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18.4报价超过招标文件中规定的预算金额或者最高限价的；</w:t>
      </w:r>
    </w:p>
    <w:p w14:paraId="51EC4B7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18.5投标文件出现重大偏离，未对招标文件进行实质性响应的（★部分为实质性要求）；</w:t>
      </w:r>
    </w:p>
    <w:p w14:paraId="719A628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18.6投标文件含有采购人不能接受的附加条件的；</w:t>
      </w:r>
    </w:p>
    <w:p w14:paraId="1EC92A5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18.7投标人有本招标文件规定的恶意串通投标情形的；</w:t>
      </w:r>
    </w:p>
    <w:p w14:paraId="2EA95B4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18.8其他评标委员会认为有必要取消的投标；</w:t>
      </w:r>
    </w:p>
    <w:p w14:paraId="5082EB2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18.9法律法规规定的其他情况。</w:t>
      </w:r>
      <w:bookmarkEnd w:id="102"/>
    </w:p>
    <w:p w14:paraId="1048E77A">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19.废标条款</w:t>
      </w:r>
    </w:p>
    <w:p w14:paraId="3726C42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19.1符合专业条件的投标人或者对招标文件作实质响应的投标人不足三家的；</w:t>
      </w:r>
    </w:p>
    <w:p w14:paraId="4A710B5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19.2出现影响采购公正的违法、违规行为的；</w:t>
      </w:r>
    </w:p>
    <w:p w14:paraId="1FC74A2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19.3投标人的报价均超过了采购预算，且采购人不能支付的；</w:t>
      </w:r>
    </w:p>
    <w:p w14:paraId="0E61FE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19.4因重大变故，采购任务取消的。</w:t>
      </w:r>
    </w:p>
    <w:p w14:paraId="1C49591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19.5评标委员会认定招标文件存在歧义、重大缺陷导致评审工作无法进行。</w:t>
      </w:r>
    </w:p>
    <w:p w14:paraId="73E0975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19.6因苏采云系统故障原因造成开标不成功的。</w:t>
      </w:r>
    </w:p>
    <w:p w14:paraId="613CA863">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20.投标人不足三家情形处理</w:t>
      </w:r>
    </w:p>
    <w:p w14:paraId="616EEE7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投标截止后投标人不足3家或者通过资格审查或符合性审查的投标人不足3家的，除采购任务取消情形外，按财政部令第87号第四十三条条款进行处理。</w:t>
      </w:r>
    </w:p>
    <w:p w14:paraId="6C6ED3E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21.取消中标候选人资格条款</w:t>
      </w:r>
    </w:p>
    <w:p w14:paraId="43304C7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21.1提供虚假材料谋取中标的；</w:t>
      </w:r>
    </w:p>
    <w:p w14:paraId="00D6AB0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21.2采取不正当手段诋毁、排挤其他投标人的；</w:t>
      </w:r>
    </w:p>
    <w:p w14:paraId="2A445CD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21.3与采购人、其他投标人或者采购代理机构恶意串通的；</w:t>
      </w:r>
    </w:p>
    <w:p w14:paraId="5706038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21.4向采购人、采购代理机构行贿或者提供其他不正当利益的；</w:t>
      </w:r>
    </w:p>
    <w:p w14:paraId="45D9CD7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21.5未在规定时间内与采购人签订采购合同的；</w:t>
      </w:r>
    </w:p>
    <w:p w14:paraId="4C760A7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21.6法律法规规定的其他情况。</w:t>
      </w:r>
    </w:p>
    <w:p w14:paraId="5A5DD748">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22.串通投标的情形</w:t>
      </w:r>
    </w:p>
    <w:p w14:paraId="237F6F0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有下列情形之一的，属于恶意串通投标：</w:t>
      </w:r>
    </w:p>
    <w:p w14:paraId="575CC2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22.1投标人直接或间接从采购人或采购代理机构处获得其他投标人的投标情况，并修改其投标文件；</w:t>
      </w:r>
    </w:p>
    <w:p w14:paraId="67AC59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22.2评审活动开始前投标人直接或间接从采购人或采购代理机构处获得评标委员会组成人员情况；</w:t>
      </w:r>
    </w:p>
    <w:p w14:paraId="0DDDF14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22.3投标人接受采购人或采购代理机构授意撤换、修改投标文件；</w:t>
      </w:r>
    </w:p>
    <w:p w14:paraId="04B9A39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22.4投标人之间协商投标报价、技术方案等投标文件实质性内容；</w:t>
      </w:r>
    </w:p>
    <w:p w14:paraId="57E704F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22.5属于同一集团、协会、商会等组织成员的投标人按照该组织要求协同投标；</w:t>
      </w:r>
    </w:p>
    <w:p w14:paraId="467AEC2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22.6投标人之间事先约定由某一特定投标人中标、中标；</w:t>
      </w:r>
    </w:p>
    <w:p w14:paraId="1E9B9D7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22.7投标人之间商定部分投标人放弃投标或者放弃中标、中标；</w:t>
      </w:r>
    </w:p>
    <w:p w14:paraId="43E55D4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22.8投标人与采购人或采购代理机构之间、投标人相互之间为谋求特定投标人中标或者排斥其他投标人的其他串通行为；</w:t>
      </w:r>
    </w:p>
    <w:p w14:paraId="24F90B1F">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有下列情形之一的，视为投标人串通投标，其投标无效：</w:t>
      </w:r>
    </w:p>
    <w:p w14:paraId="1A99FBB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22.9不同投标人的投标文件由同一单位或者个人编制；</w:t>
      </w:r>
    </w:p>
    <w:p w14:paraId="29B5DEB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22.10不同投标人委托同一单位或者个人办理投标事宜；</w:t>
      </w:r>
    </w:p>
    <w:p w14:paraId="07DD463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22.11不同投标人的投标文件载明的项目管理成员或者联系人员为同一人；</w:t>
      </w:r>
    </w:p>
    <w:p w14:paraId="5C4C249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22.12不同投标人的投标文件异常一致或者投标报价呈规律性差异；</w:t>
      </w:r>
    </w:p>
    <w:p w14:paraId="4EF0063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22.13不同投标人的投标文件相互混装；</w:t>
      </w:r>
    </w:p>
    <w:p w14:paraId="4277ACD1">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22.14不同投标人的投标保证金从同一单位或者个人的账户转出。</w:t>
      </w:r>
      <w:bookmarkStart w:id="103" w:name="_Toc20026"/>
      <w:bookmarkStart w:id="104" w:name="_Toc81575197"/>
      <w:bookmarkStart w:id="105" w:name="_Toc81575160"/>
      <w:bookmarkStart w:id="106" w:name="_Toc24370"/>
    </w:p>
    <w:p w14:paraId="354B34AE">
      <w:pPr>
        <w:ind w:firstLine="643"/>
        <w:jc w:val="center"/>
        <w:outlineLvl w:val="1"/>
        <w:rPr>
          <w:rFonts w:ascii="宋体" w:hAnsi="宋体" w:eastAsia="宋体" w:cs="宋体"/>
          <w:b/>
          <w:color w:val="000000" w:themeColor="text1"/>
          <w:sz w:val="32"/>
          <w14:textFill>
            <w14:solidFill>
              <w14:schemeClr w14:val="tx1"/>
            </w14:solidFill>
          </w14:textFill>
        </w:rPr>
      </w:pPr>
      <w:bookmarkStart w:id="107" w:name="_Toc24905"/>
      <w:r>
        <w:rPr>
          <w:rFonts w:hint="eastAsia" w:ascii="宋体" w:hAnsi="宋体" w:eastAsia="宋体" w:cs="宋体"/>
          <w:b/>
          <w:color w:val="000000" w:themeColor="text1"/>
          <w:sz w:val="32"/>
          <w14:textFill>
            <w14:solidFill>
              <w14:schemeClr w14:val="tx1"/>
            </w14:solidFill>
          </w14:textFill>
        </w:rPr>
        <w:t>六、开标、资格审查、评标程序</w:t>
      </w:r>
      <w:bookmarkEnd w:id="103"/>
      <w:bookmarkEnd w:id="104"/>
      <w:bookmarkEnd w:id="105"/>
      <w:bookmarkEnd w:id="106"/>
      <w:bookmarkEnd w:id="107"/>
    </w:p>
    <w:p w14:paraId="26F91306">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23.开标会议</w:t>
      </w:r>
    </w:p>
    <w:p w14:paraId="008C45B3">
      <w:pPr>
        <w:spacing w:line="480" w:lineRule="exact"/>
        <w:ind w:firstLine="480"/>
        <w:rPr>
          <w:rFonts w:ascii="Times New Roman" w:hAnsi="Times New Roman" w:cs="仿宋"/>
          <w:sz w:val="24"/>
        </w:rPr>
      </w:pPr>
      <w:r>
        <w:rPr>
          <w:rFonts w:hint="eastAsia" w:ascii="Times New Roman" w:hAnsi="Times New Roman" w:eastAsia="宋体" w:cs="仿宋"/>
          <w:sz w:val="24"/>
          <w:lang w:val="en-US" w:eastAsia="zh-CN"/>
        </w:rPr>
        <w:t>23.1</w:t>
      </w:r>
      <w:r>
        <w:rPr>
          <w:rFonts w:hint="eastAsia" w:ascii="Times New Roman" w:hAnsi="Times New Roman" w:cs="仿宋"/>
          <w:sz w:val="24"/>
        </w:rPr>
        <w:t>采购代理机构将在招标公告中规定的时间和地点组织公开开标。投标人应当按照规定参加开标活动，在“苏采云”系统规定的时间内对投标文件解密。</w:t>
      </w:r>
    </w:p>
    <w:p w14:paraId="6D934777">
      <w:pPr>
        <w:spacing w:line="480" w:lineRule="exact"/>
        <w:ind w:firstLine="480"/>
        <w:rPr>
          <w:rFonts w:ascii="Times New Roman" w:hAnsi="Times New Roman" w:cs="仿宋"/>
          <w:sz w:val="24"/>
        </w:rPr>
      </w:pPr>
      <w:r>
        <w:rPr>
          <w:rFonts w:hint="eastAsia" w:ascii="Times New Roman" w:hAnsi="Times New Roman" w:eastAsia="宋体" w:cs="仿宋"/>
          <w:sz w:val="24"/>
          <w:lang w:val="en-US" w:eastAsia="zh-CN"/>
        </w:rPr>
        <w:t>23.2</w:t>
      </w:r>
      <w:r>
        <w:rPr>
          <w:rFonts w:hint="eastAsia" w:ascii="Times New Roman" w:hAnsi="Times New Roman" w:cs="仿宋"/>
          <w:sz w:val="24"/>
        </w:rPr>
        <w:t>开标仪式由采购代理机构组织。“苏采云”系统将自动对项目进行开标，并宣布各投标人名称和投标价格。</w:t>
      </w:r>
    </w:p>
    <w:p w14:paraId="4EC47088">
      <w:pPr>
        <w:spacing w:line="480" w:lineRule="exact"/>
        <w:ind w:firstLine="482"/>
        <w:rPr>
          <w:rFonts w:ascii="Times New Roman" w:hAnsi="Times New Roman" w:cs="仿宋"/>
          <w:b/>
          <w:bCs/>
          <w:sz w:val="24"/>
        </w:rPr>
      </w:pPr>
      <w:r>
        <w:rPr>
          <w:rFonts w:hint="eastAsia" w:ascii="Times New Roman" w:hAnsi="Times New Roman" w:eastAsia="宋体" w:cs="仿宋"/>
          <w:b/>
          <w:bCs/>
          <w:sz w:val="24"/>
          <w:lang w:val="en-US" w:eastAsia="zh-CN"/>
        </w:rPr>
        <w:t>23.3</w:t>
      </w:r>
      <w:r>
        <w:rPr>
          <w:rFonts w:hint="eastAsia" w:ascii="Times New Roman" w:hAnsi="Times New Roman" w:cs="仿宋"/>
          <w:b/>
          <w:bCs/>
          <w:sz w:val="24"/>
        </w:rPr>
        <w:t>投标人用于解密的CA证书应为该投标文件生成加密、上传的同一把CA证书。投标人应登录“苏采云”系统进入“开标大厅”，在系统约定时间内使用CA证书解密，未成功解密的视为放弃投标。</w:t>
      </w:r>
    </w:p>
    <w:p w14:paraId="5EC1547B">
      <w:pPr>
        <w:spacing w:line="480" w:lineRule="exact"/>
        <w:ind w:firstLine="480"/>
        <w:rPr>
          <w:rFonts w:ascii="Times New Roman" w:hAnsi="Times New Roman" w:cs="仿宋"/>
          <w:sz w:val="24"/>
        </w:rPr>
      </w:pPr>
      <w:r>
        <w:rPr>
          <w:rFonts w:hint="eastAsia" w:ascii="Times New Roman" w:hAnsi="Times New Roman" w:eastAsia="宋体" w:cs="仿宋"/>
          <w:sz w:val="24"/>
          <w:lang w:val="en-US" w:eastAsia="zh-CN"/>
        </w:rPr>
        <w:t>23.4</w:t>
      </w:r>
      <w:r>
        <w:rPr>
          <w:rFonts w:hint="eastAsia" w:ascii="Times New Roman" w:hAnsi="Times New Roman" w:cs="仿宋"/>
          <w:sz w:val="24"/>
        </w:rPr>
        <w:t>投标人如果对开标过程和开标记录有疑义，应当按规定提出。如“苏采云”系统中《开标记录表》宣布后5分钟内未提出的，视同认可开标结果。</w:t>
      </w:r>
    </w:p>
    <w:p w14:paraId="776FFA92">
      <w:pPr>
        <w:spacing w:line="480" w:lineRule="exact"/>
        <w:ind w:firstLine="480"/>
        <w:rPr>
          <w:rFonts w:ascii="宋体" w:hAnsi="宋体" w:eastAsia="宋体" w:cs="宋体"/>
          <w:color w:val="000000" w:themeColor="text1"/>
          <w:sz w:val="24"/>
          <w:szCs w:val="22"/>
          <w14:textFill>
            <w14:solidFill>
              <w14:schemeClr w14:val="tx1"/>
            </w14:solidFill>
          </w14:textFill>
        </w:rPr>
      </w:pPr>
      <w:r>
        <w:rPr>
          <w:rFonts w:hint="eastAsia" w:ascii="Times New Roman" w:hAnsi="Times New Roman" w:eastAsia="宋体" w:cs="仿宋"/>
          <w:sz w:val="24"/>
          <w:lang w:val="en-US" w:eastAsia="zh-CN"/>
        </w:rPr>
        <w:t>23.5</w:t>
      </w:r>
      <w:r>
        <w:rPr>
          <w:rFonts w:hint="eastAsia" w:ascii="Times New Roman" w:hAnsi="Times New Roman" w:cs="仿宋"/>
          <w:sz w:val="24"/>
        </w:rPr>
        <w:t>投标人在开、评标全过程中应保持通讯畅通，及时登录“苏采云”系统查阅、答复相关信息。</w:t>
      </w:r>
    </w:p>
    <w:p w14:paraId="5F078F11">
      <w:pPr>
        <w:spacing w:line="500" w:lineRule="exact"/>
        <w:ind w:firstLine="482"/>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24.开标流程</w:t>
      </w:r>
    </w:p>
    <w:p w14:paraId="7A2956F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24.1不见面开标主要程序：主持人按下列程序进行开标，开标按分包顺序进行。</w:t>
      </w:r>
    </w:p>
    <w:p w14:paraId="777D42A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24.1.1开标主持；</w:t>
      </w:r>
    </w:p>
    <w:p w14:paraId="3C5E569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24.1.2投标人对电子投标文件解密；</w:t>
      </w:r>
    </w:p>
    <w:p w14:paraId="355F5A2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24.1.3唱标；</w:t>
      </w:r>
    </w:p>
    <w:p w14:paraId="16B6D33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24.1.4开标会议结束。</w:t>
      </w:r>
    </w:p>
    <w:p w14:paraId="4E235114">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25.资格审查</w:t>
      </w:r>
    </w:p>
    <w:p w14:paraId="3DC00B03">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color w:val="000000" w:themeColor="text1"/>
          <w:sz w:val="24"/>
          <w:szCs w:val="22"/>
          <w14:textFill>
            <w14:solidFill>
              <w14:schemeClr w14:val="tx1"/>
            </w14:solidFill>
          </w14:textFill>
        </w:rPr>
      </w:pPr>
      <w:bookmarkStart w:id="108" w:name="EBa9c0a2c9e523494487594c65b2a92370"/>
      <w:r>
        <w:rPr>
          <w:rFonts w:hint="eastAsia" w:ascii="宋体" w:hAnsi="宋体" w:eastAsia="宋体" w:cs="宋体"/>
          <w:color w:val="000000" w:themeColor="text1"/>
          <w:sz w:val="24"/>
          <w:szCs w:val="22"/>
          <w14:textFill>
            <w14:solidFill>
              <w14:schemeClr w14:val="tx1"/>
            </w14:solidFill>
          </w14:textFill>
        </w:rPr>
        <w:t>25.1开标结束后，采购人依法根据招标文件的规定对投标人的资格证明文件等进行审查。</w:t>
      </w:r>
      <w:bookmarkEnd w:id="108"/>
    </w:p>
    <w:p w14:paraId="5B1A642D">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26.评标委员会</w:t>
      </w:r>
    </w:p>
    <w:p w14:paraId="4779025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p>
    <w:p w14:paraId="5B1CB19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27.评标原则</w:t>
      </w:r>
    </w:p>
    <w:p w14:paraId="0B68C1C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“公平、公正、客观、择优”为评标的基本原则，以招标文件和投标文件为评标的基本依据，并按照招标文件规定的评标方法和评标标准进行评标。评标委员会将根据这一原则，公正、平等地对待各投标人。</w:t>
      </w:r>
    </w:p>
    <w:p w14:paraId="6DA30CA3">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28.评标程序</w:t>
      </w:r>
    </w:p>
    <w:p w14:paraId="39D2811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9" w:name="EB1499356fad43416eb16398733accabf7"/>
      <w:r>
        <w:rPr>
          <w:rFonts w:hint="eastAsia" w:ascii="宋体" w:hAnsi="宋体" w:eastAsia="宋体" w:cs="宋体"/>
          <w:color w:val="000000" w:themeColor="text1"/>
          <w:sz w:val="24"/>
          <w:szCs w:val="22"/>
          <w14:textFill>
            <w14:solidFill>
              <w14:schemeClr w14:val="tx1"/>
            </w14:solidFill>
          </w14:textFill>
        </w:rPr>
        <w:t>所谓重大偏离是指投标人投标文件中所述设备质量、技术规格、数量、合同履行期限和服务等明显不能满足招标文件要求。</w:t>
      </w:r>
      <w:bookmarkEnd w:id="109"/>
      <w:r>
        <w:rPr>
          <w:rFonts w:hint="eastAsia" w:ascii="宋体" w:hAnsi="宋体" w:eastAsia="宋体" w:cs="宋体"/>
          <w:color w:val="000000" w:themeColor="text1"/>
          <w:sz w:val="24"/>
          <w:szCs w:val="22"/>
          <w14:textFill>
            <w14:solidFill>
              <w14:schemeClr w14:val="tx1"/>
            </w14:solidFill>
          </w14:textFill>
        </w:rPr>
        <w:t>重大偏离的认定须经评标委员会三分之二以上同意。</w:t>
      </w:r>
    </w:p>
    <w:p w14:paraId="14D9A50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评标委员会判断“投标文件”的响应性，仅基于“投标文件”本身而不靠外部证据。对非实质性响应的投标文件，投标人不能通过修正或撤销不符之处，而使其成为实质性响应。</w:t>
      </w:r>
    </w:p>
    <w:p w14:paraId="6E7CB2D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28.2相同品牌产品投标</w:t>
      </w:r>
    </w:p>
    <w:p w14:paraId="04F6FDC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D1ACCB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874AA6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28.2.3非单一产品采购项目，采购人确定核心产品，并在招标文件中载明。</w:t>
      </w:r>
      <w:bookmarkStart w:id="110" w:name="OLE_LINK10"/>
      <w:r>
        <w:rPr>
          <w:rFonts w:hint="eastAsia" w:ascii="宋体" w:hAnsi="宋体" w:eastAsia="宋体" w:cs="宋体"/>
          <w:color w:val="000000" w:themeColor="text1"/>
          <w:sz w:val="24"/>
          <w:szCs w:val="22"/>
          <w14:textFill>
            <w14:solidFill>
              <w14:schemeClr w14:val="tx1"/>
            </w14:solidFill>
          </w14:textFill>
        </w:rPr>
        <w:t>多家投标人提供的核心产品品牌相同的，</w:t>
      </w:r>
      <w:bookmarkEnd w:id="110"/>
      <w:r>
        <w:rPr>
          <w:rFonts w:hint="eastAsia" w:ascii="宋体" w:hAnsi="宋体" w:eastAsia="宋体" w:cs="宋体"/>
          <w:color w:val="000000" w:themeColor="text1"/>
          <w:sz w:val="24"/>
          <w:szCs w:val="22"/>
          <w14:textFill>
            <w14:solidFill>
              <w14:schemeClr w14:val="tx1"/>
            </w14:solidFill>
          </w14:textFill>
        </w:rPr>
        <w:t>按前两款规定处理。</w:t>
      </w:r>
    </w:p>
    <w:p w14:paraId="4FD7648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28.3澄清有关问题。</w:t>
      </w:r>
    </w:p>
    <w:p w14:paraId="3BB9FF6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p>
    <w:p w14:paraId="4167E5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p>
    <w:p w14:paraId="731AE38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28.3.2投标文件报价出现前后不一致的，除招标文件另有规定外，按照下列规定修正：</w:t>
      </w:r>
    </w:p>
    <w:p w14:paraId="32A78D1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①投标文件中开标一览表（报价表）内容与投标文件中相应内容不一致的，以开标一览表（报价表）为准；</w:t>
      </w:r>
    </w:p>
    <w:p w14:paraId="70B83C4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②大写金额和小写金额不一致的，以大写金额为准；</w:t>
      </w:r>
    </w:p>
    <w:p w14:paraId="7552969E">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③单价金额小数点或者百分比有明显错位的，以开标一览表的总价为准，并修改单价；</w:t>
      </w:r>
    </w:p>
    <w:p w14:paraId="048772C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④总价金额与按单价汇总金额不一致的，以单价金额计算结果为准。</w:t>
      </w:r>
    </w:p>
    <w:p w14:paraId="6F858F71">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同时出现两种以上不一致的，按照前款规定的顺序修正。</w:t>
      </w:r>
    </w:p>
    <w:p w14:paraId="3AE7D7E8">
      <w:pPr>
        <w:spacing w:line="480" w:lineRule="exact"/>
        <w:ind w:firstLine="480"/>
        <w:rPr>
          <w:rFonts w:ascii="Times New Roman" w:hAnsi="Times New Roman" w:cs="仿宋"/>
          <w:sz w:val="24"/>
        </w:rPr>
      </w:pPr>
      <w:r>
        <w:rPr>
          <w:rFonts w:hint="eastAsia" w:ascii="Times New Roman" w:hAnsi="Times New Roman" w:cs="仿宋"/>
          <w:sz w:val="24"/>
        </w:rPr>
        <w:t>评标委员会将按上述修正错误的方法调整投标文件中的投标报价，并通过“苏采云”系统告知投标人，调整后的价格应对投标人具有约束力。投标人不接受修正后的价格，其投标将被拒绝。</w:t>
      </w:r>
    </w:p>
    <w:p w14:paraId="74E285A7">
      <w:pPr>
        <w:spacing w:line="480" w:lineRule="exact"/>
        <w:ind w:firstLine="480"/>
        <w:rPr>
          <w:rFonts w:hint="eastAsia" w:ascii="Times New Roman" w:hAnsi="Times New Roman" w:cs="仿宋"/>
          <w:sz w:val="24"/>
        </w:rPr>
      </w:pPr>
      <w:r>
        <w:rPr>
          <w:rFonts w:hint="eastAsia" w:ascii="Times New Roman" w:hAnsi="Times New Roman" w:cs="仿宋"/>
          <w:sz w:val="24"/>
        </w:rPr>
        <w:t>28.4异常低价投标审查。</w:t>
      </w:r>
    </w:p>
    <w:p w14:paraId="3BBEE87C">
      <w:pPr>
        <w:spacing w:line="480" w:lineRule="exact"/>
        <w:ind w:firstLine="480"/>
        <w:rPr>
          <w:rFonts w:hint="eastAsia" w:ascii="Times New Roman" w:hAnsi="Times New Roman" w:cs="仿宋"/>
          <w:sz w:val="24"/>
        </w:rPr>
      </w:pPr>
      <w:r>
        <w:rPr>
          <w:rFonts w:hint="eastAsia" w:ascii="Times New Roman" w:hAnsi="Times New Roman" w:cs="仿宋"/>
          <w:sz w:val="24"/>
        </w:rPr>
        <w:t>28.4.1评审过程中出现下列情形之一的，评标委员会应当启动异常低价响应审查程序：</w:t>
      </w:r>
    </w:p>
    <w:p w14:paraId="5E6B8BE1">
      <w:pPr>
        <w:spacing w:line="480" w:lineRule="exact"/>
        <w:ind w:firstLine="480"/>
        <w:rPr>
          <w:rFonts w:hint="eastAsia" w:ascii="Times New Roman" w:hAnsi="Times New Roman" w:cs="仿宋"/>
          <w:sz w:val="24"/>
        </w:rPr>
      </w:pPr>
      <w:r>
        <w:rPr>
          <w:rFonts w:hint="eastAsia" w:ascii="Times New Roman" w:hAnsi="Times New Roman" w:cs="仿宋"/>
          <w:sz w:val="24"/>
        </w:rPr>
        <w:t>（1）投标（响应）报价低于全部通过符合性审查投标人投标（响应）报价平均值的50%的，即投标（响应）报价＜全部通过符合性审查投标人投标（响应）报价平均值×50%；</w:t>
      </w:r>
    </w:p>
    <w:p w14:paraId="0E0D3769">
      <w:pPr>
        <w:spacing w:line="480" w:lineRule="exact"/>
        <w:ind w:firstLine="480"/>
        <w:rPr>
          <w:rFonts w:hint="eastAsia" w:ascii="Times New Roman" w:hAnsi="Times New Roman" w:cs="仿宋"/>
          <w:sz w:val="24"/>
        </w:rPr>
      </w:pPr>
      <w:r>
        <w:rPr>
          <w:rFonts w:hint="eastAsia" w:ascii="Times New Roman" w:hAnsi="Times New Roman" w:cs="仿宋"/>
          <w:sz w:val="24"/>
        </w:rPr>
        <w:t>（2）投标（响应）报价低于通过符合性审查的次低报价投标人投标（响应）报价50%的，即投标（响应）报价＜通过符合性审查的次低报价投标人投标（响应）报价×50%；</w:t>
      </w:r>
    </w:p>
    <w:p w14:paraId="03165625">
      <w:pPr>
        <w:spacing w:line="480" w:lineRule="exact"/>
        <w:ind w:firstLine="480"/>
        <w:rPr>
          <w:rFonts w:hint="eastAsia" w:ascii="Times New Roman" w:hAnsi="Times New Roman" w:cs="仿宋"/>
          <w:sz w:val="24"/>
        </w:rPr>
      </w:pPr>
      <w:r>
        <w:rPr>
          <w:rFonts w:hint="eastAsia" w:ascii="Times New Roman" w:hAnsi="Times New Roman" w:cs="仿宋"/>
          <w:sz w:val="24"/>
        </w:rPr>
        <w:t>（3）投标（响应）报价低于采购项目最高限价45%的，即投标（响应）报价＜采购项目最高限价×45%；</w:t>
      </w:r>
    </w:p>
    <w:p w14:paraId="17266A77">
      <w:pPr>
        <w:spacing w:line="480" w:lineRule="exact"/>
        <w:ind w:firstLine="480"/>
        <w:rPr>
          <w:rFonts w:hint="eastAsia" w:ascii="Times New Roman" w:hAnsi="Times New Roman" w:cs="仿宋"/>
          <w:sz w:val="24"/>
        </w:rPr>
      </w:pPr>
      <w:r>
        <w:rPr>
          <w:rFonts w:hint="eastAsia" w:ascii="Times New Roman" w:hAnsi="Times New Roman" w:cs="仿宋"/>
          <w:sz w:val="24"/>
        </w:rPr>
        <w:t>（4）评审委员会基于专业判断，认为投标人报价过低，有可能影响产品质量或者不能诚信履约的其他情形。</w:t>
      </w:r>
    </w:p>
    <w:p w14:paraId="06430B24">
      <w:pPr>
        <w:spacing w:line="480" w:lineRule="exact"/>
        <w:ind w:firstLine="480"/>
        <w:rPr>
          <w:rFonts w:hint="eastAsia" w:ascii="Times New Roman" w:hAnsi="Times New Roman" w:cs="仿宋"/>
          <w:sz w:val="24"/>
        </w:rPr>
      </w:pPr>
      <w:r>
        <w:rPr>
          <w:rFonts w:hint="eastAsia" w:ascii="Times New Roman" w:hAnsi="Times New Roman" w:cs="仿宋"/>
          <w:sz w:val="24"/>
        </w:rPr>
        <w:t>28.4.2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12C09B9">
      <w:pPr>
        <w:spacing w:line="480" w:lineRule="exact"/>
        <w:ind w:firstLine="480"/>
        <w:rPr>
          <w:rFonts w:hint="eastAsia" w:ascii="Times New Roman" w:hAnsi="Times New Roman" w:cs="仿宋"/>
          <w:sz w:val="24"/>
        </w:rPr>
      </w:pPr>
      <w:r>
        <w:rPr>
          <w:rFonts w:hint="eastAsia" w:ascii="Times New Roman" w:hAnsi="Times New Roman" w:cs="仿宋"/>
          <w:sz w:val="24"/>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4ABE676">
      <w:pPr>
        <w:spacing w:line="480" w:lineRule="exact"/>
        <w:ind w:firstLine="480"/>
        <w:rPr>
          <w:rFonts w:hint="eastAsia" w:ascii="Times New Roman" w:hAnsi="Times New Roman" w:cs="仿宋"/>
          <w:sz w:val="24"/>
        </w:rPr>
      </w:pPr>
      <w:r>
        <w:rPr>
          <w:rFonts w:hint="eastAsia" w:ascii="Times New Roman" w:hAnsi="Times New Roman" w:cs="仿宋"/>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BA1D95">
      <w:pPr>
        <w:spacing w:line="480" w:lineRule="exact"/>
        <w:ind w:firstLine="480"/>
        <w:rPr>
          <w:rFonts w:hint="eastAsia" w:ascii="Times New Roman" w:hAnsi="Times New Roman" w:cs="仿宋"/>
          <w:sz w:val="24"/>
        </w:rPr>
      </w:pPr>
      <w:r>
        <w:rPr>
          <w:rFonts w:hint="eastAsia" w:ascii="Times New Roman" w:hAnsi="Times New Roman" w:cs="仿宋"/>
          <w:sz w:val="24"/>
        </w:rPr>
        <w:t>异常低价投标（响应）审查的启动原因、审查意见和审查结果应当在评审报告中记录，并随投标人提供的相关书面说明及证明材料，以及评审委员会有关互联网浏览、查询历史一并归档。</w:t>
      </w:r>
    </w:p>
    <w:p w14:paraId="6D7727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28.5比较。评标委员会将按招标文件中规定的评标方法和标准，对符合性检查合格的投标文件进行商务和技术评比。</w:t>
      </w:r>
    </w:p>
    <w:p w14:paraId="3092734D">
      <w:pPr>
        <w:spacing w:line="500" w:lineRule="exact"/>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28.6推荐中标候选人。评标委员会按照招标文件中规定的评标方法和标准推荐中标候选人。</w:t>
      </w:r>
    </w:p>
    <w:p w14:paraId="24E25968">
      <w:pPr>
        <w:ind w:firstLine="643"/>
        <w:jc w:val="center"/>
        <w:outlineLvl w:val="1"/>
        <w:rPr>
          <w:rFonts w:ascii="宋体" w:hAnsi="宋体" w:eastAsia="宋体" w:cs="宋体"/>
          <w:b/>
          <w:color w:val="000000" w:themeColor="text1"/>
          <w:sz w:val="32"/>
          <w14:textFill>
            <w14:solidFill>
              <w14:schemeClr w14:val="tx1"/>
            </w14:solidFill>
          </w14:textFill>
        </w:rPr>
      </w:pPr>
      <w:bookmarkStart w:id="111" w:name="_Toc81575161"/>
      <w:bookmarkStart w:id="112" w:name="_Toc81575198"/>
      <w:bookmarkStart w:id="113" w:name="_Toc8580"/>
      <w:bookmarkStart w:id="114" w:name="_Toc6494"/>
      <w:bookmarkStart w:id="115" w:name="_Toc5785"/>
      <w:r>
        <w:rPr>
          <w:rFonts w:hint="eastAsia" w:ascii="宋体" w:hAnsi="宋体" w:eastAsia="宋体" w:cs="宋体"/>
          <w:b/>
          <w:color w:val="000000" w:themeColor="text1"/>
          <w:sz w:val="32"/>
          <w14:textFill>
            <w14:solidFill>
              <w14:schemeClr w14:val="tx1"/>
            </w14:solidFill>
          </w14:textFill>
        </w:rPr>
        <w:t>七、中标及合同签订</w:t>
      </w:r>
      <w:bookmarkEnd w:id="111"/>
      <w:bookmarkEnd w:id="112"/>
      <w:bookmarkEnd w:id="113"/>
      <w:bookmarkEnd w:id="114"/>
      <w:bookmarkEnd w:id="115"/>
    </w:p>
    <w:p w14:paraId="12B7B47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29.确定中标人</w:t>
      </w:r>
    </w:p>
    <w:p w14:paraId="1F1A534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29.1中标投标人确定之日起2个工作日内，采购人或采购代理机构将在财政部门指定信息媒体上发布中标结果，中标公告的公告期限为 1个工作日。</w:t>
      </w:r>
    </w:p>
    <w:p w14:paraId="6ADE840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29.2在中标结果公告期届满前，中标人被列为失信被执行人的，取消其中标资格，并重新确定中标人。</w:t>
      </w:r>
    </w:p>
    <w:p w14:paraId="0984FC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29.3采购人不得通过对样品进行检测、对投标人进行考察等方式改变评审结果。</w:t>
      </w:r>
    </w:p>
    <w:p w14:paraId="10040DA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29.4采购人应当自收到评审报告之日起5个工作日内在评审报告推荐的中标候选人中按顺序确定中标人。</w:t>
      </w:r>
    </w:p>
    <w:p w14:paraId="42A3FF89">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30.中标通知书</w:t>
      </w:r>
    </w:p>
    <w:p w14:paraId="1938C97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p>
    <w:p w14:paraId="4CEA2FEE">
      <w:pPr>
        <w:spacing w:line="500" w:lineRule="exact"/>
        <w:ind w:firstLine="480"/>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30.2中标通知书发出之日起5个工作日内，</w:t>
      </w:r>
      <w:r>
        <w:rPr>
          <w:rFonts w:hint="eastAsia" w:ascii="宋体" w:hAnsi="宋体" w:eastAsia="宋体" w:cs="宋体"/>
          <w:b/>
          <w:bCs/>
          <w:color w:val="000000" w:themeColor="text1"/>
          <w:sz w:val="24"/>
          <w:szCs w:val="22"/>
          <w14:textFill>
            <w14:solidFill>
              <w14:schemeClr w14:val="tx1"/>
            </w14:solidFill>
          </w14:textFill>
        </w:rPr>
        <w:t>中标人应提供3份与网上投标文件一致的纸质打印投标文件。</w:t>
      </w:r>
    </w:p>
    <w:p w14:paraId="35E4811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30.3采用综合评分法评审的，未中标的投标人可于中标结果公告期限届满之日起通过苏采云系统查看自己的评审得分及排序情况。</w:t>
      </w:r>
    </w:p>
    <w:p w14:paraId="3804F460">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30.4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p>
    <w:p w14:paraId="404142E7">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31.签订和公告合同</w:t>
      </w:r>
    </w:p>
    <w:p w14:paraId="1C115C6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31.1采购人与中标投标人应当在中标通知书发出之日起15日内签订政府采购合同。招标文件、中标人的投标文件以及评标过程中有关澄清文件均作为合同附件。</w:t>
      </w:r>
    </w:p>
    <w:p w14:paraId="629072D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31.2中标投标人拒绝与采购人签订合同的，采购人可以按照评审报告推荐的中标候选人名单排序，确定下一候选人为中标投标人，也可以重新开展政府采购活动。</w:t>
      </w:r>
    </w:p>
    <w:p w14:paraId="304CD00A">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31.3采购人在自合同签订之日起2个工作日内，将合同在指定的媒体上公告。</w:t>
      </w:r>
    </w:p>
    <w:p w14:paraId="218DF138">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32.履约保证金</w:t>
      </w:r>
    </w:p>
    <w:p w14:paraId="05A39F8C">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按照以下第</w:t>
      </w:r>
      <w:r>
        <w:rPr>
          <w:rFonts w:hint="eastAsia" w:ascii="宋体" w:hAnsi="宋体" w:eastAsia="宋体" w:cs="宋体"/>
          <w:b/>
          <w:color w:val="000000" w:themeColor="text1"/>
          <w:sz w:val="24"/>
          <w:szCs w:val="22"/>
          <w:u w:val="single"/>
          <w14:textFill>
            <w14:solidFill>
              <w14:schemeClr w14:val="tx1"/>
            </w14:solidFill>
          </w14:textFill>
        </w:rPr>
        <w:t>（1）</w:t>
      </w:r>
      <w:r>
        <w:rPr>
          <w:rFonts w:hint="eastAsia" w:ascii="宋体" w:hAnsi="宋体" w:eastAsia="宋体" w:cs="宋体"/>
          <w:bCs/>
          <w:color w:val="000000" w:themeColor="text1"/>
          <w:sz w:val="24"/>
          <w:szCs w:val="22"/>
          <w:lang w:val="zh-CN"/>
          <w14:textFill>
            <w14:solidFill>
              <w14:schemeClr w14:val="tx1"/>
            </w14:solidFill>
          </w14:textFill>
        </w:rPr>
        <w:t>方式确定履约保证收取方式。</w:t>
      </w:r>
    </w:p>
    <w:p w14:paraId="730A8A22">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（1）不收取履约保证金。</w:t>
      </w:r>
    </w:p>
    <w:p w14:paraId="00EF05C5">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（2）本项目收取履约保证</w:t>
      </w:r>
      <w:r>
        <w:rPr>
          <w:rFonts w:hint="eastAsia" w:ascii="宋体" w:hAnsi="宋体" w:eastAsia="宋体" w:cs="宋体"/>
          <w:bCs/>
          <w:color w:val="000000" w:themeColor="text1"/>
          <w:sz w:val="24"/>
          <w14:textFill>
            <w14:solidFill>
              <w14:schemeClr w14:val="tx1"/>
            </w14:solidFill>
          </w14:textFill>
        </w:rPr>
        <w:t>金</w:t>
      </w:r>
      <w:r>
        <w:rPr>
          <w:rFonts w:hint="eastAsia" w:ascii="宋体" w:hAnsi="宋体" w:eastAsia="宋体" w:cs="宋体"/>
          <w:bCs/>
          <w:color w:val="000000" w:themeColor="text1"/>
          <w:sz w:val="24"/>
          <w:lang w:val="zh-CN"/>
          <w14:textFill>
            <w14:solidFill>
              <w14:schemeClr w14:val="tx1"/>
            </w14:solidFill>
          </w14:textFill>
        </w:rPr>
        <w:t>应在采购合同签订前提交，履约保证金的金额：按采购合同总价的</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u w:val="single"/>
          <w:lang w:val="en-US" w:eastAsia="zh-CN"/>
          <w14:textFill>
            <w14:solidFill>
              <w14:schemeClr w14:val="tx1"/>
            </w14:solidFill>
          </w14:textFill>
        </w:rPr>
        <w:t>/</w:t>
      </w:r>
      <w:r>
        <w:rPr>
          <w:rFonts w:hint="eastAsia" w:ascii="宋体" w:hAnsi="宋体" w:eastAsia="宋体" w:cs="宋体"/>
          <w:b/>
          <w:color w:val="000000" w:themeColor="text1"/>
          <w:sz w:val="24"/>
          <w:u w:val="single"/>
          <w14:textFill>
            <w14:solidFill>
              <w14:schemeClr w14:val="tx1"/>
            </w14:solidFill>
          </w14:textFill>
        </w:rPr>
        <w:t>%</w:t>
      </w: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Cs/>
          <w:color w:val="000000" w:themeColor="text1"/>
          <w:sz w:val="24"/>
          <w:lang w:val="zh-CN"/>
          <w14:textFill>
            <w14:solidFill>
              <w14:schemeClr w14:val="tx1"/>
            </w14:solidFill>
          </w14:textFill>
        </w:rPr>
        <w:t>使用江苏政府采购电子履约保函（保险）代缴履约保证金，按采购合同价的</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lang w:val="zh-CN"/>
          <w14:textFill>
            <w14:solidFill>
              <w14:schemeClr w14:val="tx1"/>
            </w14:solidFill>
          </w14:textFill>
        </w:rPr>
        <w:t>%</w:t>
      </w:r>
      <w:r>
        <w:rPr>
          <w:rFonts w:hint="eastAsia" w:ascii="宋体" w:hAnsi="宋体" w:eastAsia="宋体" w:cs="宋体"/>
          <w:color w:val="000000" w:themeColor="text1"/>
          <w:sz w:val="24"/>
          <w:u w:val="single"/>
          <w14:textFill>
            <w14:solidFill>
              <w14:schemeClr w14:val="tx1"/>
            </w14:solidFill>
          </w14:textFill>
        </w:rPr>
        <w:t>（以履约保证金原提交金额的6折）</w:t>
      </w:r>
      <w:r>
        <w:rPr>
          <w:rFonts w:hint="eastAsia" w:ascii="宋体" w:hAnsi="宋体" w:eastAsia="宋体" w:cs="宋体"/>
          <w:bCs/>
          <w:color w:val="000000" w:themeColor="text1"/>
          <w:sz w:val="24"/>
          <w:lang w:val="zh-CN"/>
          <w14:textFill>
            <w14:solidFill>
              <w14:schemeClr w14:val="tx1"/>
            </w14:solidFill>
          </w14:textFill>
        </w:rPr>
        <w:t>）计取。除银行电汇、网上银行、数字人外，投标人还可选用银行保函、担保公司的保证担保或保险公司的保证保险等多种形式向采购人缴纳；</w:t>
      </w:r>
    </w:p>
    <w:p w14:paraId="02C02616">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履约保证金退还的方式：</w:t>
      </w:r>
    </w:p>
    <w:p w14:paraId="35136274">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以银行电汇、网上银行、数字人民币形式缴纳履约保证金的，退回至投标人存款账户或投标人数字人民币账户；以保函、担保、保险等形式缴纳履约保证金的，在保函、担保、保险约定的保证期限届满之日起自行失效；</w:t>
      </w:r>
    </w:p>
    <w:p w14:paraId="62EC4CA1">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履约保证金退还的条件：</w:t>
      </w:r>
    </w:p>
    <w:p w14:paraId="5477C0AD">
      <w:pPr>
        <w:spacing w:line="560" w:lineRule="exact"/>
        <w:ind w:firstLine="480"/>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a、货物类项目，项目验收合格，出具验收报告及履约保证金收据申请退付；</w:t>
      </w:r>
    </w:p>
    <w:p w14:paraId="5746A351">
      <w:pPr>
        <w:spacing w:line="560" w:lineRule="exact"/>
        <w:ind w:firstLine="480"/>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b、服务类项目，项目履约期满评价合格，出具履约评价报告及履约保证金收据申请退付；</w:t>
      </w:r>
    </w:p>
    <w:p w14:paraId="26BCF91F">
      <w:pPr>
        <w:spacing w:line="560" w:lineRule="exact"/>
        <w:ind w:firstLine="480"/>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c、工程类项目，项目完工验收合格，出具完工证明及履约保证金收据申请退付；</w:t>
      </w:r>
    </w:p>
    <w:p w14:paraId="318F028F">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履约保证金退还时间：</w:t>
      </w:r>
    </w:p>
    <w:p w14:paraId="2C930EEB">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采购人收到投标人退付申请后5个工作日内退还</w:t>
      </w:r>
      <w:r>
        <w:rPr>
          <w:rFonts w:hint="eastAsia" w:ascii="宋体" w:hAnsi="宋体" w:eastAsia="宋体" w:cs="宋体"/>
          <w:bCs/>
          <w:color w:val="000000" w:themeColor="text1"/>
          <w:sz w:val="24"/>
          <w:lang w:val="zh-CN"/>
          <w14:textFill>
            <w14:solidFill>
              <w14:schemeClr w14:val="tx1"/>
            </w14:solidFill>
          </w14:textFill>
        </w:rPr>
        <w:t>；</w:t>
      </w:r>
    </w:p>
    <w:p w14:paraId="11B4039F">
      <w:pPr>
        <w:spacing w:line="560" w:lineRule="exact"/>
        <w:ind w:firstLine="480"/>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履约保证金不予退还情形：</w:t>
      </w:r>
    </w:p>
    <w:p w14:paraId="75C32985">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themeColor="text1"/>
          <w:sz w:val="24"/>
          <w:szCs w:val="22"/>
          <w:lang w:val="zh-CN"/>
          <w14:textFill>
            <w14:solidFill>
              <w14:schemeClr w14:val="tx1"/>
            </w14:solidFill>
          </w14:textFill>
        </w:rPr>
        <w:t>；</w:t>
      </w:r>
    </w:p>
    <w:p w14:paraId="5A6F0983">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逾期退还履约保证金的违约责任：</w:t>
      </w:r>
    </w:p>
    <w:p w14:paraId="0C660CC0">
      <w:pPr>
        <w:spacing w:line="560" w:lineRule="exact"/>
        <w:ind w:firstLine="480"/>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除应当退还履约保证金外，还应当按中国人民银行同期贷款基准利率上浮20％后的利率支付逾期资金占用费，但因投标人自身原因导致无法及时退还的除外。</w:t>
      </w:r>
    </w:p>
    <w:p w14:paraId="37BC0A4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33.线上融资</w:t>
      </w:r>
    </w:p>
    <w:p w14:paraId="2C7A65E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中小微企业投标人可通过中征应收账款融资服务平台（网址：https://www.crcrfsp.com），凭借中标通知书或政府采购合同向金融机构申请融资。</w:t>
      </w:r>
    </w:p>
    <w:p w14:paraId="60D2056F">
      <w:pPr>
        <w:spacing w:line="500" w:lineRule="exact"/>
        <w:ind w:firstLine="482"/>
        <w:rPr>
          <w:rFonts w:ascii="宋体" w:hAnsi="宋体" w:eastAsia="宋体" w:cs="宋体"/>
          <w:b/>
          <w:color w:val="000000" w:themeColor="text1"/>
          <w:sz w:val="24"/>
          <w:szCs w:val="22"/>
          <w14:textFill>
            <w14:solidFill>
              <w14:schemeClr w14:val="tx1"/>
            </w14:solidFill>
          </w14:textFill>
        </w:rPr>
      </w:pPr>
      <w:bookmarkStart w:id="116" w:name="EBb07a540bbba846748e1de4dbefab2ad1"/>
      <w:bookmarkEnd w:id="116"/>
      <w:r>
        <w:rPr>
          <w:rFonts w:hint="eastAsia" w:ascii="宋体" w:hAnsi="宋体" w:eastAsia="宋体" w:cs="宋体"/>
          <w:b/>
          <w:color w:val="000000" w:themeColor="text1"/>
          <w:sz w:val="24"/>
          <w:szCs w:val="22"/>
          <w14:textFill>
            <w14:solidFill>
              <w14:schemeClr w14:val="tx1"/>
            </w14:solidFill>
          </w14:textFill>
        </w:rPr>
        <w:t>34.合同履行</w:t>
      </w:r>
    </w:p>
    <w:p w14:paraId="10DAC43F">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34.1政府采购合同订立后，合同各方不得擅自变更、中止或者终止合同。</w:t>
      </w:r>
    </w:p>
    <w:p w14:paraId="7B05DB2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34.2政府采购合同履行中，采购人需追加与合同标的相同的货物、工程或者服务的，在不改变合同其他条款的前提下，可以与中标投标人签订补充合同，但所补充合同的采购金额不得超过原采购金额的10%。</w:t>
      </w:r>
    </w:p>
    <w:p w14:paraId="066C4BC5">
      <w:pPr>
        <w:ind w:firstLine="420"/>
        <w:rPr>
          <w:rFonts w:ascii="宋体" w:hAnsi="宋体" w:eastAsia="宋体" w:cs="宋体"/>
          <w:color w:val="000000" w:themeColor="text1"/>
          <w:szCs w:val="22"/>
          <w14:textFill>
            <w14:solidFill>
              <w14:schemeClr w14:val="tx1"/>
            </w14:solidFill>
          </w14:textFill>
        </w:rPr>
      </w:pPr>
    </w:p>
    <w:p w14:paraId="7FC726D2">
      <w:pPr>
        <w:ind w:firstLine="643"/>
        <w:jc w:val="center"/>
        <w:outlineLvl w:val="1"/>
        <w:rPr>
          <w:rFonts w:ascii="宋体" w:hAnsi="宋体" w:eastAsia="宋体" w:cs="宋体"/>
          <w:b/>
          <w:color w:val="000000" w:themeColor="text1"/>
          <w:sz w:val="32"/>
          <w14:textFill>
            <w14:solidFill>
              <w14:schemeClr w14:val="tx1"/>
            </w14:solidFill>
          </w14:textFill>
        </w:rPr>
      </w:pPr>
      <w:bookmarkStart w:id="117" w:name="_Toc14927"/>
      <w:bookmarkStart w:id="118" w:name="_Toc27103"/>
      <w:bookmarkStart w:id="119" w:name="_Toc81575199"/>
      <w:bookmarkStart w:id="120" w:name="_Toc7550"/>
      <w:bookmarkStart w:id="121" w:name="_Toc81575162"/>
      <w:r>
        <w:rPr>
          <w:rFonts w:hint="eastAsia" w:ascii="宋体" w:hAnsi="宋体" w:eastAsia="宋体" w:cs="宋体"/>
          <w:b/>
          <w:color w:val="000000" w:themeColor="text1"/>
          <w:sz w:val="32"/>
          <w14:textFill>
            <w14:solidFill>
              <w14:schemeClr w14:val="tx1"/>
            </w14:solidFill>
          </w14:textFill>
        </w:rPr>
        <w:t>八、验收及付款</w:t>
      </w:r>
      <w:bookmarkEnd w:id="117"/>
      <w:bookmarkEnd w:id="118"/>
      <w:bookmarkEnd w:id="119"/>
      <w:bookmarkEnd w:id="120"/>
      <w:bookmarkEnd w:id="121"/>
    </w:p>
    <w:p w14:paraId="03F33AF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35.验收（考核）</w:t>
      </w:r>
    </w:p>
    <w:p w14:paraId="585940A2">
      <w:pPr>
        <w:spacing w:line="500" w:lineRule="exact"/>
        <w:ind w:firstLine="480"/>
        <w:rPr>
          <w:rFonts w:ascii="宋体" w:hAnsi="宋体" w:eastAsia="宋体" w:cs="宋体"/>
          <w:color w:val="000000" w:themeColor="text1"/>
          <w:sz w:val="24"/>
          <w:szCs w:val="22"/>
          <w14:textFill>
            <w14:solidFill>
              <w14:schemeClr w14:val="tx1"/>
            </w14:solidFill>
          </w14:textFill>
        </w:rPr>
      </w:pPr>
      <w:bookmarkStart w:id="122" w:name="EBbbb2492ed6b84c9193a6bb6f72a512f3"/>
      <w:r>
        <w:rPr>
          <w:rFonts w:hint="eastAsia" w:ascii="宋体" w:hAnsi="宋体" w:eastAsia="宋体" w:cs="宋体"/>
          <w:color w:val="000000" w:themeColor="text1"/>
          <w:sz w:val="24"/>
          <w:szCs w:val="22"/>
          <w14:textFill>
            <w14:solidFill>
              <w14:schemeClr w14:val="tx1"/>
            </w14:solidFill>
          </w14:textFill>
        </w:rPr>
        <w:t>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2"/>
      <w:r>
        <w:rPr>
          <w:rFonts w:hint="eastAsia" w:ascii="宋体" w:hAnsi="宋体" w:eastAsia="宋体" w:cs="宋体"/>
          <w:color w:val="000000" w:themeColor="text1"/>
          <w:sz w:val="24"/>
          <w:szCs w:val="22"/>
          <w14:textFill>
            <w14:solidFill>
              <w14:schemeClr w14:val="tx1"/>
            </w14:solidFill>
          </w14:textFill>
        </w:rPr>
        <w:t>。</w:t>
      </w:r>
    </w:p>
    <w:p w14:paraId="653852B5">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36.付款</w:t>
      </w:r>
    </w:p>
    <w:p w14:paraId="352F3A15">
      <w:pPr>
        <w:tabs>
          <w:tab w:val="left" w:pos="2020"/>
        </w:tabs>
        <w:spacing w:line="480" w:lineRule="exact"/>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按照付款方式，采购人及时办理付款手续。对于满足合同约定支付条件的，自收到发票后10个工作日内将资金支付到合同约定的投标人账户或投标人数字人民币账户。</w:t>
      </w:r>
    </w:p>
    <w:p w14:paraId="1FE82B51">
      <w:pPr>
        <w:tabs>
          <w:tab w:val="left" w:pos="2020"/>
        </w:tabs>
        <w:spacing w:line="480" w:lineRule="exact"/>
        <w:ind w:firstLine="480"/>
        <w:jc w:val="left"/>
        <w:rPr>
          <w:rFonts w:hint="eastAsia" w:ascii="宋体" w:hAnsi="宋体" w:eastAsia="宋体" w:cs="宋体"/>
          <w:b/>
          <w:bCs/>
          <w:color w:val="000000" w:themeColor="text1"/>
          <w:sz w:val="24"/>
          <w:szCs w:val="22"/>
          <w:highlight w:val="none"/>
          <w:u w:val="single"/>
          <w14:textFill>
            <w14:solidFill>
              <w14:schemeClr w14:val="tx1"/>
            </w14:solidFill>
          </w14:textFill>
        </w:rPr>
      </w:pPr>
      <w:r>
        <w:rPr>
          <w:rFonts w:hint="eastAsia" w:ascii="宋体" w:hAnsi="宋体" w:eastAsia="宋体" w:cs="宋体"/>
          <w:b/>
          <w:bCs/>
          <w:color w:val="000000" w:themeColor="text1"/>
          <w:sz w:val="24"/>
          <w:szCs w:val="22"/>
          <w:highlight w:val="none"/>
          <w:u w:val="single"/>
          <w14:textFill>
            <w14:solidFill>
              <w14:schemeClr w14:val="tx1"/>
            </w14:solidFill>
          </w14:textFill>
        </w:rPr>
        <w:t>预付款：</w:t>
      </w:r>
      <w:r>
        <w:rPr>
          <w:rFonts w:hint="eastAsia" w:ascii="宋体" w:hAnsi="宋体" w:eastAsia="宋体" w:cs="宋体"/>
          <w:b/>
          <w:bCs/>
          <w:color w:val="000000" w:themeColor="text1"/>
          <w:sz w:val="24"/>
          <w:szCs w:val="22"/>
          <w:highlight w:val="yellow"/>
          <w:u w:val="single"/>
          <w14:textFill>
            <w14:solidFill>
              <w14:schemeClr w14:val="tx1"/>
            </w14:solidFill>
          </w14:textFill>
        </w:rPr>
        <w:t>合同金额的</w:t>
      </w:r>
      <w:r>
        <w:rPr>
          <w:rFonts w:hint="eastAsia" w:ascii="宋体" w:hAnsi="宋体" w:eastAsia="宋体" w:cs="宋体"/>
          <w:b/>
          <w:bCs/>
          <w:color w:val="000000" w:themeColor="text1"/>
          <w:sz w:val="24"/>
          <w:szCs w:val="22"/>
          <w:highlight w:val="yellow"/>
          <w:u w:val="single"/>
          <w:lang w:val="en-US" w:eastAsia="zh-CN"/>
          <w14:textFill>
            <w14:solidFill>
              <w14:schemeClr w14:val="tx1"/>
            </w14:solidFill>
          </w14:textFill>
        </w:rPr>
        <w:t>5</w:t>
      </w:r>
      <w:r>
        <w:rPr>
          <w:rFonts w:hint="eastAsia" w:ascii="宋体" w:hAnsi="宋体" w:eastAsia="宋体" w:cs="宋体"/>
          <w:b/>
          <w:bCs/>
          <w:color w:val="000000" w:themeColor="text1"/>
          <w:sz w:val="24"/>
          <w:szCs w:val="22"/>
          <w:highlight w:val="yellow"/>
          <w:u w:val="single"/>
          <w14:textFill>
            <w14:solidFill>
              <w14:schemeClr w14:val="tx1"/>
            </w14:solidFill>
          </w14:textFill>
        </w:rPr>
        <w:t>0%，合同签订后按规定支付；</w:t>
      </w:r>
    </w:p>
    <w:p w14:paraId="051612C7">
      <w:pPr>
        <w:tabs>
          <w:tab w:val="left" w:pos="2020"/>
        </w:tabs>
        <w:spacing w:line="480" w:lineRule="exact"/>
        <w:ind w:firstLine="480"/>
        <w:jc w:val="left"/>
        <w:rPr>
          <w:rFonts w:hint="eastAsia" w:ascii="宋体" w:hAnsi="宋体" w:eastAsia="宋体" w:cs="宋体"/>
          <w:b/>
          <w:bCs/>
          <w:color w:val="000000" w:themeColor="text1"/>
          <w:sz w:val="24"/>
          <w:szCs w:val="22"/>
          <w:highlight w:val="none"/>
          <w:u w:val="single"/>
          <w14:textFill>
            <w14:solidFill>
              <w14:schemeClr w14:val="tx1"/>
            </w14:solidFill>
          </w14:textFill>
        </w:rPr>
      </w:pPr>
      <w:r>
        <w:rPr>
          <w:rFonts w:hint="eastAsia" w:ascii="宋体" w:hAnsi="宋体" w:eastAsia="宋体" w:cs="宋体"/>
          <w:b/>
          <w:bCs/>
          <w:color w:val="000000" w:themeColor="text1"/>
          <w:sz w:val="24"/>
          <w:szCs w:val="22"/>
          <w:highlight w:val="none"/>
          <w:u w:val="single"/>
          <w14:textFill>
            <w14:solidFill>
              <w14:schemeClr w14:val="tx1"/>
            </w14:solidFill>
          </w14:textFill>
        </w:rPr>
        <w:t>进度款：全部设备货物安装调试完毕、检定/校准完成经验收合</w:t>
      </w:r>
      <w:r>
        <w:rPr>
          <w:rFonts w:hint="eastAsia" w:ascii="宋体" w:hAnsi="宋体" w:eastAsia="宋体" w:cs="宋体"/>
          <w:b/>
          <w:bCs/>
          <w:color w:val="000000" w:themeColor="text1"/>
          <w:sz w:val="24"/>
          <w:szCs w:val="22"/>
          <w:highlight w:val="none"/>
          <w:u w:val="single"/>
          <w:lang w:val="zh-CN"/>
          <w14:textFill>
            <w14:solidFill>
              <w14:schemeClr w14:val="tx1"/>
            </w14:solidFill>
          </w14:textFill>
        </w:rPr>
        <w:t>格并提供全额增值税专用发票后付至</w:t>
      </w:r>
      <w:r>
        <w:rPr>
          <w:rFonts w:hint="eastAsia" w:ascii="宋体" w:hAnsi="宋体" w:eastAsia="宋体" w:cs="宋体"/>
          <w:b/>
          <w:bCs/>
          <w:color w:val="000000" w:themeColor="text1"/>
          <w:sz w:val="24"/>
          <w:szCs w:val="22"/>
          <w:highlight w:val="none"/>
          <w:u w:val="single"/>
          <w14:textFill>
            <w14:solidFill>
              <w14:schemeClr w14:val="tx1"/>
            </w14:solidFill>
          </w14:textFill>
        </w:rPr>
        <w:t>合同金额的100%。</w:t>
      </w:r>
    </w:p>
    <w:p w14:paraId="570AFFCE">
      <w:pPr>
        <w:spacing w:line="56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注：在签订合同时，中标人明确表示无需预付款或者主动要求降低预付款比例的，采购人可不适用前述规定。</w:t>
      </w:r>
    </w:p>
    <w:p w14:paraId="35CBF82B">
      <w:pPr>
        <w:ind w:firstLine="643"/>
        <w:jc w:val="center"/>
        <w:outlineLvl w:val="1"/>
        <w:rPr>
          <w:rFonts w:ascii="宋体" w:hAnsi="宋体" w:eastAsia="宋体" w:cs="宋体"/>
          <w:b/>
          <w:color w:val="000000" w:themeColor="text1"/>
          <w:sz w:val="32"/>
          <w14:textFill>
            <w14:solidFill>
              <w14:schemeClr w14:val="tx1"/>
            </w14:solidFill>
          </w14:textFill>
        </w:rPr>
      </w:pPr>
      <w:bookmarkStart w:id="123" w:name="EB859756b3800e4c948b9ef2cc4c48f3fa"/>
      <w:bookmarkEnd w:id="123"/>
      <w:bookmarkStart w:id="124" w:name="EB277cdb9ada634793b6698cebd3ac7144"/>
      <w:bookmarkEnd w:id="124"/>
      <w:bookmarkStart w:id="125" w:name="_Toc12263"/>
      <w:bookmarkStart w:id="126" w:name="_Toc81575200"/>
      <w:bookmarkStart w:id="127" w:name="_Toc25046"/>
      <w:bookmarkStart w:id="128" w:name="_Toc81575163"/>
      <w:bookmarkStart w:id="129" w:name="_Toc27933"/>
      <w:r>
        <w:rPr>
          <w:rFonts w:hint="eastAsia" w:ascii="宋体" w:hAnsi="宋体" w:eastAsia="宋体" w:cs="宋体"/>
          <w:b/>
          <w:color w:val="000000" w:themeColor="text1"/>
          <w:sz w:val="32"/>
          <w14:textFill>
            <w14:solidFill>
              <w14:schemeClr w14:val="tx1"/>
            </w14:solidFill>
          </w14:textFill>
        </w:rPr>
        <w:t>九、质疑与投诉</w:t>
      </w:r>
      <w:bookmarkEnd w:id="125"/>
      <w:bookmarkEnd w:id="126"/>
      <w:bookmarkEnd w:id="127"/>
      <w:bookmarkEnd w:id="128"/>
      <w:bookmarkEnd w:id="129"/>
    </w:p>
    <w:p w14:paraId="18F7F080">
      <w:pPr>
        <w:spacing w:line="500" w:lineRule="exact"/>
        <w:ind w:firstLine="482"/>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37.质疑与投诉</w:t>
      </w:r>
    </w:p>
    <w:p w14:paraId="2B210FEB">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themeColor="text1"/>
          <w:sz w:val="24"/>
          <w14:textFill>
            <w14:solidFill>
              <w14:schemeClr w14:val="tx1"/>
            </w14:solidFill>
          </w14:textFill>
        </w:rPr>
        <w:t>以书面形式向采购人或者其委托的采购代理机构提出质疑</w:t>
      </w:r>
      <w:r>
        <w:rPr>
          <w:rFonts w:hint="eastAsia" w:ascii="宋体" w:hAnsi="宋体" w:eastAsia="宋体" w:cs="宋体"/>
          <w:color w:val="000000" w:themeColor="text1"/>
          <w:sz w:val="24"/>
          <w:szCs w:val="22"/>
          <w14:textFill>
            <w14:solidFill>
              <w14:schemeClr w14:val="tx1"/>
            </w14:solidFill>
          </w14:textFill>
        </w:rPr>
        <w:t>。质疑超出采购机构代理范围的，投标人应当向采购人提出。</w:t>
      </w:r>
    </w:p>
    <w:p w14:paraId="33299125">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本项目接收质疑函的方式：</w:t>
      </w:r>
      <w:bookmarkStart w:id="130" w:name="EB56bd2a40e102476eadbb1fc6a9202461"/>
      <w:bookmarkEnd w:id="130"/>
      <w:r>
        <w:rPr>
          <w:rFonts w:hint="eastAsia" w:ascii="宋体" w:hAnsi="宋体" w:eastAsia="宋体" w:cs="宋体"/>
          <w:color w:val="000000" w:themeColor="text1"/>
          <w:sz w:val="24"/>
          <w:szCs w:val="22"/>
          <w14:textFill>
            <w14:solidFill>
              <w14:schemeClr w14:val="tx1"/>
            </w14:solidFill>
          </w14:textFill>
        </w:rPr>
        <w:t>现场接收或邮寄接收。</w:t>
      </w:r>
    </w:p>
    <w:p w14:paraId="345C0BDC">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联系部门：</w:t>
      </w:r>
      <w:bookmarkStart w:id="131" w:name="EB5e47d6fc0b5b4e22bc47b8fd9ab9894f"/>
      <w:r>
        <w:rPr>
          <w:rFonts w:hint="eastAsia" w:ascii="宋体" w:hAnsi="宋体" w:eastAsia="宋体" w:cs="宋体"/>
          <w:color w:val="000000" w:themeColor="text1"/>
          <w:sz w:val="24"/>
          <w:szCs w:val="22"/>
          <w14:textFill>
            <w14:solidFill>
              <w14:schemeClr w14:val="tx1"/>
            </w14:solidFill>
          </w14:textFill>
        </w:rPr>
        <w:t>宿迁市计量测试所/江苏宏邦工程管理咨询有限公司</w:t>
      </w:r>
      <w:bookmarkEnd w:id="131"/>
    </w:p>
    <w:p w14:paraId="4049A2EF">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联系电话：</w:t>
      </w:r>
      <w:bookmarkStart w:id="132" w:name="EBac24332b85d642ddb6b4a1fa61c8735b"/>
      <w:r>
        <w:rPr>
          <w:rFonts w:hint="eastAsia" w:ascii="宋体" w:hAnsi="宋体" w:eastAsia="宋体" w:cs="宋体"/>
          <w:color w:val="000000" w:themeColor="text1"/>
          <w:sz w:val="24"/>
          <w:szCs w:val="22"/>
          <w14:textFill>
            <w14:solidFill>
              <w14:schemeClr w14:val="tx1"/>
            </w14:solidFill>
          </w14:textFill>
        </w:rPr>
        <w:t>0527-84568695</w:t>
      </w:r>
      <w:bookmarkEnd w:id="132"/>
      <w:r>
        <w:rPr>
          <w:rFonts w:hint="eastAsia" w:ascii="宋体" w:hAnsi="宋体" w:eastAsia="宋体" w:cs="宋体"/>
          <w:color w:val="000000" w:themeColor="text1"/>
          <w:sz w:val="24"/>
          <w:szCs w:val="22"/>
          <w14:textFill>
            <w14:solidFill>
              <w14:schemeClr w14:val="tx1"/>
            </w14:solidFill>
          </w14:textFill>
        </w:rPr>
        <w:t>/0527-88858966</w:t>
      </w:r>
    </w:p>
    <w:p w14:paraId="6DBF336A">
      <w:pPr>
        <w:spacing w:line="500" w:lineRule="exact"/>
        <w:ind w:firstLine="48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通讯地址：</w:t>
      </w:r>
      <w:bookmarkStart w:id="133" w:name="EBbc4de356f0dc436eb73023cf20f4397b"/>
      <w:r>
        <w:rPr>
          <w:rFonts w:hint="eastAsia" w:ascii="宋体" w:hAnsi="宋体" w:eastAsia="宋体" w:cs="宋体"/>
          <w:color w:val="000000" w:themeColor="text1"/>
          <w:sz w:val="24"/>
          <w14:textFill>
            <w14:solidFill>
              <w14:schemeClr w14:val="tx1"/>
            </w14:solidFill>
          </w14:textFill>
        </w:rPr>
        <w:t>宿迁市经济开发区建陵路西侧</w:t>
      </w:r>
      <w:r>
        <w:rPr>
          <w:rFonts w:hint="eastAsia" w:ascii="宋体" w:hAnsi="宋体" w:eastAsia="宋体" w:cs="宋体"/>
          <w:color w:val="000000" w:themeColor="text1"/>
          <w:sz w:val="24"/>
          <w:szCs w:val="22"/>
          <w14:textFill>
            <w14:solidFill>
              <w14:schemeClr w14:val="tx1"/>
            </w14:solidFill>
          </w14:textFill>
        </w:rPr>
        <w:t>/宿迁市凯琳瑞百货大楼10楼</w:t>
      </w:r>
      <w:bookmarkEnd w:id="133"/>
    </w:p>
    <w:p w14:paraId="3670DA9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37.2投标人应知其权益受到损害之日，是指：</w:t>
      </w:r>
    </w:p>
    <w:p w14:paraId="721D9E69">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（1）对本项目采购文件提出质疑的，为获取采购文件之日或者采购文件公告期限届满之日；</w:t>
      </w:r>
    </w:p>
    <w:p w14:paraId="76C7598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（2）对本项目采购过程提出质疑的，为各采购程序环节结束之日；</w:t>
      </w:r>
    </w:p>
    <w:p w14:paraId="452874A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（3）对本项目中标或者中标结果提出质疑的，为中标或者中标结果公告期限届满之日。</w:t>
      </w:r>
    </w:p>
    <w:p w14:paraId="1C6138E3">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37.3质疑投标人应当是参与所质疑项目采购活动的投标人。潜在投标人已依法获取其可质疑的采购文件的，方可对该文件提出质疑。投标人在法定质疑期内应一次性提出针对同一采购程序环节的质疑。</w:t>
      </w:r>
    </w:p>
    <w:p w14:paraId="4D489D71">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37.4投标人提出质疑应当提交质疑函和必要的证明材料。质疑函的必备内容：</w:t>
      </w:r>
    </w:p>
    <w:p w14:paraId="3C340627">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（1）投标人的姓名或者名称、地址、邮编、联系人及联系电话；</w:t>
      </w:r>
    </w:p>
    <w:p w14:paraId="1551F23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（2）质疑项目的名称、编号；</w:t>
      </w:r>
    </w:p>
    <w:p w14:paraId="5CCA6C62">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（3）获取采购文件的时间。</w:t>
      </w:r>
    </w:p>
    <w:p w14:paraId="40064CA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（4）具体、明确的质疑事项和质疑事项相关的请求；</w:t>
      </w:r>
    </w:p>
    <w:p w14:paraId="645F596D">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（5）事实依据；</w:t>
      </w:r>
    </w:p>
    <w:p w14:paraId="0496E1D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（6）必要的法律依据；</w:t>
      </w:r>
    </w:p>
    <w:p w14:paraId="141C1338">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（7）提出质疑的日期；</w:t>
      </w:r>
    </w:p>
    <w:p w14:paraId="2B3E613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（8）投标人为自然人的，由本人签字；投标人为法人或者其他组织的，应当由法定代表人、主要负责人，或者其授权代表签字或者盖章，并加盖公章。</w:t>
      </w:r>
    </w:p>
    <w:p w14:paraId="5C988604">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2E187976">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37.5采购人、采购代理机构在收到质疑函后7个工作日内作出答复，并以书面形式通知质疑投标人和其他有关投标人，但质疑答复的内容不涉及商业秘密。</w:t>
      </w:r>
    </w:p>
    <w:p w14:paraId="63FB054C">
      <w:pPr>
        <w:spacing w:line="500" w:lineRule="exact"/>
        <w:ind w:firstLine="480"/>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37.6质疑投标人对采购人、采购代理机构的答复不满意，或者采购人、采购代理机构未在规定时间内作出答复的，可以在答复期满后15个工作日内向同级财政部门提起投诉。</w:t>
      </w:r>
    </w:p>
    <w:p w14:paraId="30EF80C7">
      <w:pPr>
        <w:rPr>
          <w:rFonts w:ascii="宋体" w:hAnsi="宋体" w:eastAsia="宋体" w:cs="宋体"/>
          <w:color w:val="000000" w:themeColor="text1"/>
          <w:szCs w:val="21"/>
          <w14:textFill>
            <w14:solidFill>
              <w14:schemeClr w14:val="tx1"/>
            </w14:solidFill>
          </w14:textFill>
        </w:rPr>
      </w:pPr>
    </w:p>
    <w:p w14:paraId="1D123067">
      <w:pPr>
        <w:rPr>
          <w:rFonts w:ascii="宋体" w:hAnsi="宋体" w:eastAsia="宋体" w:cs="宋体"/>
          <w:color w:val="000000" w:themeColor="text1"/>
          <w:szCs w:val="21"/>
          <w14:textFill>
            <w14:solidFill>
              <w14:schemeClr w14:val="tx1"/>
            </w14:solidFill>
          </w14:textFill>
        </w:rPr>
      </w:pPr>
    </w:p>
    <w:p w14:paraId="05DD71F7">
      <w:pPr>
        <w:rPr>
          <w:rFonts w:ascii="宋体" w:hAnsi="宋体" w:eastAsia="宋体" w:cs="宋体"/>
          <w:color w:val="000000" w:themeColor="text1"/>
          <w:szCs w:val="21"/>
          <w14:textFill>
            <w14:solidFill>
              <w14:schemeClr w14:val="tx1"/>
            </w14:solidFill>
          </w14:textFill>
        </w:rPr>
      </w:pPr>
    </w:p>
    <w:p w14:paraId="307FE6A1">
      <w:pPr>
        <w:rPr>
          <w:rFonts w:ascii="宋体" w:hAnsi="宋体" w:eastAsia="宋体" w:cs="宋体"/>
          <w:color w:val="000000" w:themeColor="text1"/>
          <w:szCs w:val="21"/>
          <w14:textFill>
            <w14:solidFill>
              <w14:schemeClr w14:val="tx1"/>
            </w14:solidFill>
          </w14:textFill>
        </w:rPr>
      </w:pPr>
    </w:p>
    <w:p w14:paraId="0DEE533F">
      <w:pPr>
        <w:rPr>
          <w:rFonts w:ascii="宋体" w:hAnsi="宋体" w:eastAsia="宋体" w:cs="宋体"/>
          <w:color w:val="000000" w:themeColor="text1"/>
          <w:szCs w:val="21"/>
          <w14:textFill>
            <w14:solidFill>
              <w14:schemeClr w14:val="tx1"/>
            </w14:solidFill>
          </w14:textFill>
        </w:rPr>
      </w:pPr>
    </w:p>
    <w:p w14:paraId="1F789331">
      <w:pPr>
        <w:rPr>
          <w:rFonts w:ascii="宋体" w:hAnsi="宋体" w:eastAsia="宋体" w:cs="宋体"/>
          <w:color w:val="000000" w:themeColor="text1"/>
          <w:szCs w:val="21"/>
          <w14:textFill>
            <w14:solidFill>
              <w14:schemeClr w14:val="tx1"/>
            </w14:solidFill>
          </w14:textFill>
        </w:rPr>
      </w:pPr>
    </w:p>
    <w:p w14:paraId="5C171D7C">
      <w:pPr>
        <w:rPr>
          <w:rFonts w:ascii="宋体" w:hAnsi="宋体" w:eastAsia="宋体" w:cs="宋体"/>
          <w:color w:val="000000" w:themeColor="text1"/>
          <w:szCs w:val="21"/>
          <w14:textFill>
            <w14:solidFill>
              <w14:schemeClr w14:val="tx1"/>
            </w14:solidFill>
          </w14:textFill>
        </w:rPr>
      </w:pPr>
    </w:p>
    <w:p w14:paraId="48294F78">
      <w:pPr>
        <w:rPr>
          <w:rFonts w:ascii="宋体" w:hAnsi="宋体" w:eastAsia="宋体" w:cs="宋体"/>
          <w:color w:val="000000" w:themeColor="text1"/>
          <w:szCs w:val="21"/>
          <w14:textFill>
            <w14:solidFill>
              <w14:schemeClr w14:val="tx1"/>
            </w14:solidFill>
          </w14:textFill>
        </w:rPr>
      </w:pPr>
    </w:p>
    <w:bookmarkEnd w:id="70"/>
    <w:bookmarkEnd w:id="71"/>
    <w:bookmarkEnd w:id="72"/>
    <w:bookmarkEnd w:id="73"/>
    <w:bookmarkEnd w:id="74"/>
    <w:p w14:paraId="38B346B9">
      <w:pPr>
        <w:rPr>
          <w:rFonts w:ascii="宋体" w:hAnsi="宋体" w:eastAsia="宋体" w:cs="宋体"/>
          <w:color w:val="000000" w:themeColor="text1"/>
          <w:szCs w:val="21"/>
          <w14:textFill>
            <w14:solidFill>
              <w14:schemeClr w14:val="tx1"/>
            </w14:solidFill>
          </w14:textFill>
        </w:rPr>
      </w:pPr>
    </w:p>
    <w:p w14:paraId="4E73F9AC">
      <w:pPr>
        <w:rPr>
          <w:color w:val="000000" w:themeColor="text1"/>
          <w14:textFill>
            <w14:solidFill>
              <w14:schemeClr w14:val="tx1"/>
            </w14:solidFill>
          </w14:textFill>
        </w:rPr>
      </w:pPr>
    </w:p>
    <w:p w14:paraId="02001B7E">
      <w:pPr>
        <w:rPr>
          <w:rFonts w:ascii="宋体" w:hAnsi="宋体" w:eastAsia="宋体" w:cs="宋体"/>
          <w:b/>
          <w:color w:val="000000" w:themeColor="text1"/>
          <w:sz w:val="44"/>
          <w:szCs w:val="28"/>
          <w14:textFill>
            <w14:solidFill>
              <w14:schemeClr w14:val="tx1"/>
            </w14:solidFill>
          </w14:textFill>
        </w:rPr>
      </w:pPr>
      <w:bookmarkStart w:id="134" w:name="_Toc104802328"/>
      <w:bookmarkStart w:id="135" w:name="_Toc155086566"/>
      <w:bookmarkStart w:id="136" w:name="_Toc118461986"/>
      <w:bookmarkStart w:id="137" w:name="_Hlt16619350"/>
      <w:bookmarkStart w:id="138" w:name="_Toc20823346"/>
      <w:bookmarkStart w:id="139" w:name="_Toc16938590"/>
      <w:bookmarkStart w:id="140" w:name="_Toc120614244"/>
      <w:bookmarkStart w:id="141" w:name="_Toc479757211"/>
      <w:bookmarkStart w:id="142" w:name="_Toc462564139"/>
      <w:r>
        <w:rPr>
          <w:rFonts w:hint="eastAsia" w:ascii="宋体" w:hAnsi="宋体" w:eastAsia="宋体" w:cs="宋体"/>
          <w:b/>
          <w:color w:val="000000" w:themeColor="text1"/>
          <w:sz w:val="44"/>
          <w:szCs w:val="28"/>
          <w14:textFill>
            <w14:solidFill>
              <w14:schemeClr w14:val="tx1"/>
            </w14:solidFill>
          </w14:textFill>
        </w:rPr>
        <w:br w:type="page" w:clear="all"/>
      </w:r>
    </w:p>
    <w:p w14:paraId="2061A41F">
      <w:pPr>
        <w:keepNext/>
        <w:spacing w:line="360" w:lineRule="auto"/>
        <w:jc w:val="center"/>
        <w:outlineLvl w:val="0"/>
        <w:rPr>
          <w:rFonts w:ascii="宋体" w:hAnsi="宋体" w:eastAsia="宋体" w:cs="宋体"/>
          <w:bCs/>
          <w:color w:val="000000" w:themeColor="text1"/>
          <w:sz w:val="44"/>
          <w:szCs w:val="28"/>
          <w14:textFill>
            <w14:solidFill>
              <w14:schemeClr w14:val="tx1"/>
            </w14:solidFill>
          </w14:textFill>
        </w:rPr>
      </w:pPr>
      <w:bookmarkStart w:id="143" w:name="_Toc27293"/>
      <w:r>
        <w:rPr>
          <w:rFonts w:hint="eastAsia" w:ascii="宋体" w:hAnsi="宋体" w:eastAsia="宋体" w:cs="宋体"/>
          <w:b/>
          <w:color w:val="000000" w:themeColor="text1"/>
          <w:sz w:val="44"/>
          <w:szCs w:val="28"/>
          <w14:textFill>
            <w14:solidFill>
              <w14:schemeClr w14:val="tx1"/>
            </w14:solidFill>
          </w14:textFill>
        </w:rPr>
        <w:t>第三章 合同文本</w:t>
      </w:r>
      <w:bookmarkEnd w:id="134"/>
      <w:bookmarkEnd w:id="135"/>
      <w:bookmarkEnd w:id="136"/>
      <w:bookmarkEnd w:id="143"/>
    </w:p>
    <w:p w14:paraId="33AD4171">
      <w:pPr>
        <w:spacing w:line="360" w:lineRule="auto"/>
        <w:rPr>
          <w:rFonts w:ascii="宋体" w:hAnsi="宋体" w:eastAsia="宋体" w:cs="宋体"/>
          <w:bCs/>
          <w:color w:val="000000" w:themeColor="text1"/>
          <w:sz w:val="24"/>
          <w:szCs w:val="21"/>
          <w14:textFill>
            <w14:solidFill>
              <w14:schemeClr w14:val="tx1"/>
            </w14:solidFill>
          </w14:textFill>
        </w:rPr>
      </w:pPr>
      <w:bookmarkStart w:id="144" w:name="_Toc20823315"/>
      <w:bookmarkStart w:id="145" w:name="_Toc513029243"/>
      <w:bookmarkStart w:id="146" w:name="_Toc16938559"/>
      <w:r>
        <w:rPr>
          <w:rFonts w:hint="eastAsia" w:ascii="宋体" w:hAnsi="宋体" w:eastAsia="宋体" w:cs="宋体"/>
          <w:bCs/>
          <w:color w:val="000000" w:themeColor="text1"/>
          <w:sz w:val="24"/>
          <w:szCs w:val="21"/>
          <w14:textFill>
            <w14:solidFill>
              <w14:schemeClr w14:val="tx1"/>
            </w14:solidFill>
          </w14:textFill>
        </w:rPr>
        <w:t>以下为中标后签订本项目合同的通用条款，投标人不得提出实质性的修改。</w:t>
      </w:r>
      <w:bookmarkEnd w:id="144"/>
      <w:bookmarkEnd w:id="145"/>
      <w:bookmarkEnd w:id="146"/>
    </w:p>
    <w:p w14:paraId="09B2AF15">
      <w:pPr>
        <w:spacing w:line="360" w:lineRule="auto"/>
        <w:jc w:val="center"/>
        <w:rPr>
          <w:rFonts w:hint="eastAsia" w:ascii="宋体" w:hAnsi="宋体" w:eastAsia="宋体" w:cs="宋体"/>
          <w:b/>
          <w:color w:val="000000" w:themeColor="text1"/>
          <w:sz w:val="30"/>
          <w:szCs w:val="21"/>
          <w14:textFill>
            <w14:solidFill>
              <w14:schemeClr w14:val="tx1"/>
            </w14:solidFill>
          </w14:textFill>
        </w:rPr>
      </w:pPr>
      <w:bookmarkStart w:id="147" w:name="_Hlt16619369"/>
      <w:bookmarkEnd w:id="147"/>
      <w:bookmarkStart w:id="148" w:name="_Toc155086567"/>
    </w:p>
    <w:p w14:paraId="2DA3FB30">
      <w:pPr>
        <w:keepNext w:val="0"/>
        <w:keepLines w:val="0"/>
        <w:pageBreakBefore w:val="0"/>
        <w:widowControl w:val="0"/>
        <w:kinsoku/>
        <w:wordWrap/>
        <w:overflowPunct/>
        <w:topLinePunct w:val="0"/>
        <w:autoSpaceDE/>
        <w:autoSpaceDN/>
        <w:bidi w:val="0"/>
        <w:adjustRightInd/>
        <w:snapToGrid/>
        <w:spacing w:before="120" w:after="120"/>
        <w:jc w:val="center"/>
        <w:textAlignment w:val="auto"/>
        <w:outlineLvl w:val="9"/>
        <w:rPr>
          <w:b/>
          <w:bCs/>
          <w:sz w:val="30"/>
          <w:szCs w:val="20"/>
        </w:rPr>
      </w:pPr>
      <w:r>
        <w:rPr>
          <w:rFonts w:hint="eastAsia"/>
          <w:b/>
          <w:sz w:val="30"/>
        </w:rPr>
        <w:t>政府采购合同（货物）（合同编号）</w:t>
      </w:r>
    </w:p>
    <w:p w14:paraId="74D997A3">
      <w:pPr>
        <w:spacing w:line="560" w:lineRule="exact"/>
        <w:rPr>
          <w:sz w:val="24"/>
          <w:szCs w:val="24"/>
        </w:rPr>
      </w:pPr>
      <w:r>
        <w:rPr>
          <w:rFonts w:cs="Courier New"/>
          <w:sz w:val="24"/>
          <w:szCs w:val="24"/>
        </w:rPr>
        <w:t>项目名称：</w:t>
      </w:r>
      <w:r>
        <w:rPr>
          <w:rFonts w:hint="eastAsia" w:cs="Courier New"/>
          <w:sz w:val="24"/>
          <w:szCs w:val="24"/>
          <w:u w:val="single"/>
        </w:rPr>
        <w:t xml:space="preserve">宿迁市计量测试所化学衡器类设备检测装置采购项目    </w:t>
      </w:r>
      <w:r>
        <w:rPr>
          <w:rFonts w:cs="Courier New"/>
          <w:sz w:val="24"/>
          <w:szCs w:val="24"/>
        </w:rPr>
        <w:t xml:space="preserve">            </w:t>
      </w:r>
    </w:p>
    <w:p w14:paraId="17394DC3">
      <w:pPr>
        <w:spacing w:line="560" w:lineRule="exact"/>
        <w:rPr>
          <w:rFonts w:cs="Courier New"/>
          <w:sz w:val="24"/>
          <w:szCs w:val="24"/>
          <w:highlight w:val="none"/>
        </w:rPr>
      </w:pPr>
      <w:r>
        <w:rPr>
          <w:rFonts w:cs="Courier New"/>
          <w:sz w:val="24"/>
          <w:szCs w:val="24"/>
          <w:highlight w:val="none"/>
        </w:rPr>
        <w:t>项目编号：</w:t>
      </w:r>
      <w:r>
        <w:rPr>
          <w:rFonts w:cs="Courier New"/>
          <w:sz w:val="24"/>
          <w:szCs w:val="24"/>
          <w:highlight w:val="none"/>
          <w:u w:val="single"/>
        </w:rPr>
        <w:t xml:space="preserve">                          </w:t>
      </w:r>
    </w:p>
    <w:p w14:paraId="298A4017">
      <w:pPr>
        <w:spacing w:line="560" w:lineRule="exact"/>
        <w:rPr>
          <w:rFonts w:cs="Courier New"/>
          <w:sz w:val="24"/>
          <w:szCs w:val="24"/>
        </w:rPr>
      </w:pPr>
      <w:r>
        <w:rPr>
          <w:rFonts w:cs="Courier New"/>
          <w:sz w:val="24"/>
          <w:szCs w:val="24"/>
        </w:rPr>
        <w:t>甲方：（买方）</w:t>
      </w:r>
      <w:r>
        <w:rPr>
          <w:rFonts w:cs="Courier New"/>
          <w:sz w:val="24"/>
          <w:szCs w:val="24"/>
          <w:u w:val="single"/>
        </w:rPr>
        <w:t xml:space="preserve">  </w:t>
      </w:r>
      <w:r>
        <w:rPr>
          <w:rFonts w:hint="eastAsia" w:cs="Courier New"/>
          <w:sz w:val="24"/>
          <w:szCs w:val="24"/>
          <w:u w:val="single"/>
        </w:rPr>
        <w:t>宿迁市</w:t>
      </w:r>
      <w:r>
        <w:rPr>
          <w:rFonts w:cs="Courier New"/>
          <w:sz w:val="24"/>
          <w:szCs w:val="24"/>
          <w:u w:val="single"/>
        </w:rPr>
        <w:t xml:space="preserve">计量测试所  </w:t>
      </w:r>
    </w:p>
    <w:p w14:paraId="70DCCE97">
      <w:pPr>
        <w:spacing w:line="560" w:lineRule="exact"/>
        <w:rPr>
          <w:rFonts w:hint="eastAsia" w:eastAsia="宋体" w:cs="Courier New"/>
          <w:sz w:val="24"/>
          <w:szCs w:val="24"/>
          <w:u w:val="single"/>
          <w:lang w:val="en-US" w:eastAsia="zh-CN"/>
        </w:rPr>
      </w:pPr>
      <w:r>
        <w:rPr>
          <w:rFonts w:cs="Courier New"/>
          <w:sz w:val="24"/>
          <w:szCs w:val="24"/>
        </w:rPr>
        <w:t>乙方：（卖方）</w:t>
      </w:r>
      <w:r>
        <w:rPr>
          <w:rFonts w:hint="eastAsia" w:eastAsia="宋体" w:cs="Courier New"/>
          <w:sz w:val="24"/>
          <w:szCs w:val="24"/>
          <w:u w:val="single"/>
          <w:lang w:val="en-US" w:eastAsia="zh-CN"/>
        </w:rPr>
        <w:t xml:space="preserve"> </w:t>
      </w:r>
      <w:r>
        <w:rPr>
          <w:rFonts w:hint="eastAsia" w:cs="Courier New"/>
          <w:sz w:val="24"/>
          <w:szCs w:val="24"/>
          <w:u w:val="single"/>
        </w:rPr>
        <w:t xml:space="preserve">      </w:t>
      </w:r>
      <w:r>
        <w:rPr>
          <w:rFonts w:hint="eastAsia" w:eastAsia="宋体" w:cs="Courier New"/>
          <w:sz w:val="24"/>
          <w:szCs w:val="24"/>
          <w:u w:val="single"/>
          <w:lang w:val="en-US" w:eastAsia="zh-CN"/>
        </w:rPr>
        <w:t xml:space="preserve"> </w:t>
      </w:r>
      <w:r>
        <w:rPr>
          <w:rFonts w:hint="eastAsia" w:cs="Courier New"/>
          <w:sz w:val="24"/>
          <w:szCs w:val="24"/>
          <w:u w:val="single"/>
        </w:rPr>
        <w:t xml:space="preserve">    </w:t>
      </w:r>
      <w:r>
        <w:rPr>
          <w:rFonts w:hint="eastAsia" w:eastAsia="宋体" w:cs="Courier New"/>
          <w:sz w:val="24"/>
          <w:szCs w:val="24"/>
          <w:u w:val="single"/>
          <w:lang w:val="en-US" w:eastAsia="zh-CN"/>
        </w:rPr>
        <w:t xml:space="preserve"> </w:t>
      </w:r>
    </w:p>
    <w:p w14:paraId="26DE01D9">
      <w:pPr>
        <w:spacing w:line="560" w:lineRule="exact"/>
        <w:rPr>
          <w:rFonts w:cs="Courier New"/>
          <w:b/>
          <w:sz w:val="24"/>
          <w:szCs w:val="24"/>
        </w:rPr>
      </w:pPr>
      <w:r>
        <w:rPr>
          <w:rFonts w:cs="Courier New"/>
          <w:b/>
          <w:sz w:val="24"/>
          <w:szCs w:val="24"/>
        </w:rPr>
        <w:t xml:space="preserve">   </w:t>
      </w:r>
      <w:r>
        <w:rPr>
          <w:rFonts w:cs="Courier New"/>
          <w:sz w:val="24"/>
          <w:szCs w:val="24"/>
        </w:rPr>
        <w:t>甲、乙双方根据</w:t>
      </w:r>
      <w:r>
        <w:rPr>
          <w:rFonts w:hint="eastAsia" w:cs="Courier New"/>
          <w:sz w:val="24"/>
          <w:szCs w:val="24"/>
          <w:u w:val="single"/>
        </w:rPr>
        <w:t xml:space="preserve">  宿迁市计量测试所化学衡器类设备检测装置采购项目</w:t>
      </w:r>
      <w:r>
        <w:rPr>
          <w:rFonts w:hint="eastAsia" w:cs="Courier New"/>
          <w:sz w:val="24"/>
          <w:szCs w:val="24"/>
          <w:highlight w:val="none"/>
        </w:rPr>
        <w:t xml:space="preserve">（项目编号： </w:t>
      </w:r>
      <w:r>
        <w:rPr>
          <w:rFonts w:cs="Courier New"/>
          <w:sz w:val="24"/>
          <w:szCs w:val="24"/>
          <w:highlight w:val="none"/>
        </w:rPr>
        <w:t xml:space="preserve">       </w:t>
      </w:r>
      <w:r>
        <w:rPr>
          <w:rFonts w:hint="eastAsia" w:cs="Courier New"/>
          <w:sz w:val="24"/>
          <w:szCs w:val="24"/>
          <w:highlight w:val="none"/>
        </w:rPr>
        <w:t>）</w:t>
      </w:r>
      <w:r>
        <w:rPr>
          <w:rFonts w:cs="Courier New"/>
          <w:sz w:val="24"/>
          <w:szCs w:val="24"/>
        </w:rPr>
        <w:t>公开招标的结果，签署本合同。</w:t>
      </w:r>
    </w:p>
    <w:p w14:paraId="750988B7">
      <w:pPr>
        <w:spacing w:line="560" w:lineRule="exact"/>
        <w:rPr>
          <w:rFonts w:cs="Courier New"/>
          <w:b/>
          <w:sz w:val="24"/>
          <w:szCs w:val="24"/>
        </w:rPr>
      </w:pPr>
      <w:r>
        <w:rPr>
          <w:rFonts w:cs="Courier New"/>
          <w:b/>
          <w:sz w:val="24"/>
          <w:szCs w:val="24"/>
        </w:rPr>
        <w:t>一、</w:t>
      </w:r>
      <w:r>
        <w:rPr>
          <w:rFonts w:hint="eastAsia" w:cs="Courier New"/>
          <w:b/>
          <w:sz w:val="24"/>
          <w:szCs w:val="24"/>
        </w:rPr>
        <w:t>合同</w:t>
      </w:r>
      <w:r>
        <w:rPr>
          <w:rFonts w:cs="Courier New"/>
          <w:b/>
          <w:sz w:val="24"/>
          <w:szCs w:val="24"/>
        </w:rPr>
        <w:t>内容</w:t>
      </w:r>
    </w:p>
    <w:p w14:paraId="74ED2037">
      <w:pPr>
        <w:spacing w:line="560" w:lineRule="exact"/>
        <w:ind w:firstLine="480" w:firstLineChars="200"/>
        <w:rPr>
          <w:rFonts w:cs="Courier New"/>
          <w:sz w:val="24"/>
          <w:szCs w:val="24"/>
        </w:rPr>
      </w:pPr>
      <w:r>
        <w:rPr>
          <w:rFonts w:cs="Courier New"/>
          <w:sz w:val="24"/>
          <w:szCs w:val="24"/>
        </w:rPr>
        <w:t xml:space="preserve">1.1 </w:t>
      </w:r>
      <w:r>
        <w:rPr>
          <w:rFonts w:hint="eastAsia" w:cs="Courier New"/>
          <w:sz w:val="24"/>
          <w:szCs w:val="24"/>
        </w:rPr>
        <w:t>标的</w:t>
      </w:r>
      <w:r>
        <w:rPr>
          <w:rFonts w:cs="Courier New"/>
          <w:sz w:val="24"/>
          <w:szCs w:val="24"/>
        </w:rPr>
        <w:t>名称：</w:t>
      </w:r>
      <w:r>
        <w:rPr>
          <w:rFonts w:hint="eastAsia" w:cs="Courier New"/>
          <w:sz w:val="24"/>
          <w:szCs w:val="24"/>
          <w:u w:val="single"/>
        </w:rPr>
        <w:t>宿迁市计量测试所化学衡器类设备检测装置采购项目</w:t>
      </w:r>
    </w:p>
    <w:p w14:paraId="0CF6A04D">
      <w:pPr>
        <w:spacing w:line="560" w:lineRule="exact"/>
        <w:ind w:firstLine="480" w:firstLineChars="200"/>
        <w:rPr>
          <w:rFonts w:hint="eastAsia" w:ascii="宋体" w:hAnsi="宋体" w:cs="仿宋"/>
          <w:color w:val="000000"/>
          <w:sz w:val="24"/>
        </w:rPr>
      </w:pPr>
      <w:r>
        <w:rPr>
          <w:rFonts w:cs="Courier New"/>
          <w:sz w:val="24"/>
          <w:szCs w:val="24"/>
        </w:rPr>
        <w:t>1.2</w:t>
      </w:r>
      <w:r>
        <w:rPr>
          <w:rFonts w:hint="eastAsia" w:cs="Courier New"/>
          <w:sz w:val="24"/>
          <w:szCs w:val="24"/>
        </w:rPr>
        <w:t xml:space="preserve"> 标的质量：</w:t>
      </w:r>
      <w:r>
        <w:rPr>
          <w:rFonts w:hint="eastAsia" w:ascii="宋体" w:hAnsi="宋体" w:cs="仿宋"/>
          <w:color w:val="000000"/>
          <w:sz w:val="24"/>
          <w:u w:val="single"/>
        </w:rPr>
        <w:t>合格；提供的产品性能及质量有国家标准的应符合国家标准。无国家标准的应符合行业标准或企业标准，并满足招标文件要求，实现投标文件承诺条款。</w:t>
      </w:r>
    </w:p>
    <w:p w14:paraId="61D176A2">
      <w:pPr>
        <w:spacing w:line="560" w:lineRule="exact"/>
        <w:ind w:firstLine="480" w:firstLineChars="200"/>
        <w:rPr>
          <w:rFonts w:hint="eastAsia" w:cs="Courier New"/>
          <w:sz w:val="24"/>
          <w:szCs w:val="24"/>
          <w:u w:val="single"/>
        </w:rPr>
      </w:pPr>
      <w:r>
        <w:rPr>
          <w:rFonts w:hint="eastAsia" w:cs="Courier New"/>
          <w:sz w:val="24"/>
          <w:szCs w:val="24"/>
        </w:rPr>
        <w:t>1.3 标的数量（规模）：</w:t>
      </w:r>
      <w:r>
        <w:rPr>
          <w:rFonts w:hint="eastAsia" w:ascii="宋体" w:hAnsi="宋体" w:cs="仿宋"/>
          <w:color w:val="000000"/>
          <w:sz w:val="24"/>
          <w:u w:val="single"/>
        </w:rPr>
        <w:t>共</w:t>
      </w:r>
      <w:r>
        <w:rPr>
          <w:rFonts w:hint="eastAsia" w:ascii="宋体" w:hAnsi="宋体" w:cs="仿宋"/>
          <w:color w:val="000000"/>
          <w:sz w:val="24"/>
          <w:u w:val="single"/>
          <w:lang w:val="en-US" w:eastAsia="zh-CN"/>
        </w:rPr>
        <w:t>10</w:t>
      </w:r>
      <w:r>
        <w:rPr>
          <w:rFonts w:hint="eastAsia" w:ascii="宋体" w:hAnsi="宋体" w:cs="仿宋"/>
          <w:color w:val="000000"/>
          <w:sz w:val="24"/>
          <w:u w:val="single"/>
        </w:rPr>
        <w:t>套设备</w:t>
      </w:r>
      <w:r>
        <w:rPr>
          <w:rFonts w:hint="eastAsia" w:cs="Courier New"/>
          <w:sz w:val="24"/>
          <w:szCs w:val="24"/>
          <w:u w:val="single"/>
        </w:rPr>
        <w:t xml:space="preserve"> </w:t>
      </w:r>
    </w:p>
    <w:p w14:paraId="07C3D523">
      <w:pPr>
        <w:spacing w:line="560" w:lineRule="exact"/>
        <w:ind w:firstLine="480" w:firstLineChars="200"/>
        <w:rPr>
          <w:rFonts w:hint="eastAsia" w:cs="Courier New"/>
          <w:sz w:val="24"/>
          <w:szCs w:val="24"/>
        </w:rPr>
      </w:pPr>
      <w:r>
        <w:rPr>
          <w:rFonts w:hint="eastAsia" w:cs="Courier New"/>
          <w:sz w:val="24"/>
          <w:szCs w:val="24"/>
        </w:rPr>
        <w:t>1.4 履行时间（期限）：</w:t>
      </w:r>
    </w:p>
    <w:p w14:paraId="0E11E7F9">
      <w:pPr>
        <w:spacing w:line="560" w:lineRule="exact"/>
        <w:ind w:firstLine="480" w:firstLineChars="200"/>
        <w:rPr>
          <w:rFonts w:hint="eastAsia" w:ascii="宋体" w:hAnsi="宋体" w:cs="仿宋"/>
          <w:color w:val="000000"/>
          <w:sz w:val="24"/>
          <w:u w:val="single"/>
        </w:rPr>
      </w:pPr>
      <w:r>
        <w:rPr>
          <w:rFonts w:hint="eastAsia" w:ascii="宋体" w:hAnsi="宋体" w:cs="仿宋"/>
          <w:color w:val="000000"/>
          <w:sz w:val="24"/>
          <w:u w:val="single"/>
        </w:rPr>
        <w:t>供货期：合同签订后</w:t>
      </w:r>
      <w:r>
        <w:rPr>
          <w:rFonts w:hint="eastAsia" w:ascii="宋体" w:hAnsi="宋体" w:cs="仿宋"/>
          <w:color w:val="000000"/>
          <w:sz w:val="24"/>
          <w:u w:val="single"/>
          <w:lang w:val="en-US" w:eastAsia="zh-CN"/>
        </w:rPr>
        <w:t>30</w:t>
      </w:r>
      <w:r>
        <w:rPr>
          <w:rFonts w:hint="eastAsia" w:ascii="宋体" w:hAnsi="宋体" w:cs="仿宋"/>
          <w:color w:val="000000"/>
          <w:sz w:val="24"/>
          <w:u w:val="single"/>
        </w:rPr>
        <w:t>日历天内送到甲方指定地点完成安装、调试、检定/校准并经验收合格后交付甲方使用；</w:t>
      </w:r>
    </w:p>
    <w:p w14:paraId="676B959C">
      <w:pPr>
        <w:spacing w:line="560" w:lineRule="exact"/>
        <w:ind w:firstLine="480" w:firstLineChars="200"/>
        <w:rPr>
          <w:rFonts w:hint="eastAsia" w:ascii="宋体" w:hAnsi="宋体" w:cs="宋体"/>
          <w:sz w:val="24"/>
          <w:highlight w:val="yellow"/>
          <w:u w:val="single"/>
        </w:rPr>
      </w:pPr>
      <w:r>
        <w:rPr>
          <w:rFonts w:hint="eastAsia" w:ascii="宋体" w:hAnsi="宋体" w:cs="仿宋"/>
          <w:color w:val="000000"/>
          <w:sz w:val="24"/>
          <w:u w:val="single"/>
        </w:rPr>
        <w:t>质保期：</w:t>
      </w:r>
      <w:r>
        <w:rPr>
          <w:rFonts w:hint="eastAsia" w:ascii="宋体" w:hAnsi="宋体" w:cs="仿宋"/>
          <w:color w:val="000000"/>
          <w:sz w:val="24"/>
          <w:u w:val="single"/>
          <w:lang w:val="en-US" w:eastAsia="zh-CN"/>
        </w:rPr>
        <w:t>24</w:t>
      </w:r>
      <w:r>
        <w:rPr>
          <w:rFonts w:hint="eastAsia" w:ascii="宋体" w:hAnsi="宋体" w:cs="仿宋"/>
          <w:color w:val="000000"/>
          <w:sz w:val="24"/>
          <w:u w:val="single"/>
        </w:rPr>
        <w:t>个月（从验收合格之日起算起）。</w:t>
      </w:r>
    </w:p>
    <w:p w14:paraId="0CF69467">
      <w:pPr>
        <w:spacing w:line="560" w:lineRule="exact"/>
        <w:ind w:firstLine="480" w:firstLineChars="200"/>
        <w:rPr>
          <w:rFonts w:cs="Courier New"/>
          <w:sz w:val="24"/>
          <w:szCs w:val="24"/>
          <w:u w:val="single"/>
        </w:rPr>
      </w:pPr>
      <w:r>
        <w:rPr>
          <w:rFonts w:hint="eastAsia" w:cs="Courier New"/>
          <w:sz w:val="24"/>
          <w:szCs w:val="24"/>
        </w:rPr>
        <w:t>1.5 履行地点：</w:t>
      </w:r>
      <w:r>
        <w:rPr>
          <w:rFonts w:hint="eastAsia" w:cs="Courier New"/>
          <w:sz w:val="24"/>
          <w:szCs w:val="24"/>
          <w:u w:val="single"/>
        </w:rPr>
        <w:t>宿迁市计量测试所，具体由采购人指定。</w:t>
      </w:r>
    </w:p>
    <w:p w14:paraId="3A8623D4">
      <w:pPr>
        <w:spacing w:line="560" w:lineRule="exact"/>
        <w:ind w:firstLine="480" w:firstLineChars="200"/>
        <w:rPr>
          <w:rFonts w:cs="Courier New"/>
          <w:sz w:val="24"/>
          <w:szCs w:val="24"/>
          <w:u w:val="single"/>
        </w:rPr>
      </w:pPr>
      <w:r>
        <w:rPr>
          <w:rFonts w:cs="Courier New"/>
          <w:sz w:val="24"/>
          <w:szCs w:val="24"/>
        </w:rPr>
        <w:t>1.</w:t>
      </w:r>
      <w:r>
        <w:rPr>
          <w:rFonts w:hint="eastAsia" w:cs="Courier New"/>
          <w:sz w:val="24"/>
          <w:szCs w:val="24"/>
        </w:rPr>
        <w:t>6 履行方式：</w:t>
      </w:r>
      <w:r>
        <w:rPr>
          <w:rFonts w:hint="eastAsia" w:cs="Courier New"/>
          <w:sz w:val="24"/>
          <w:szCs w:val="24"/>
          <w:u w:val="single"/>
        </w:rPr>
        <w:t xml:space="preserve"> 现场</w:t>
      </w:r>
      <w:r>
        <w:rPr>
          <w:rFonts w:cs="Courier New"/>
          <w:sz w:val="24"/>
          <w:szCs w:val="24"/>
          <w:u w:val="single"/>
        </w:rPr>
        <w:t xml:space="preserve">交货履行 </w:t>
      </w:r>
    </w:p>
    <w:p w14:paraId="70612DDE">
      <w:pPr>
        <w:spacing w:line="560" w:lineRule="exact"/>
        <w:ind w:firstLine="480" w:firstLineChars="200"/>
        <w:rPr>
          <w:rFonts w:cs="Courier New"/>
          <w:sz w:val="24"/>
          <w:szCs w:val="24"/>
        </w:rPr>
      </w:pPr>
      <w:r>
        <w:rPr>
          <w:rFonts w:hint="eastAsia" w:cs="Courier New"/>
          <w:sz w:val="24"/>
          <w:szCs w:val="24"/>
        </w:rPr>
        <w:t>1.7 其他要求</w:t>
      </w:r>
    </w:p>
    <w:p w14:paraId="0A0879E9">
      <w:pPr>
        <w:spacing w:line="560" w:lineRule="exact"/>
        <w:ind w:firstLine="480" w:firstLineChars="200"/>
        <w:rPr>
          <w:rFonts w:cs="Courier New"/>
          <w:sz w:val="24"/>
          <w:szCs w:val="24"/>
        </w:rPr>
      </w:pPr>
      <w:r>
        <w:rPr>
          <w:rFonts w:hint="eastAsia" w:cs="Courier New"/>
          <w:sz w:val="24"/>
          <w:szCs w:val="24"/>
        </w:rPr>
        <w:t>1.7.1供货要求</w:t>
      </w:r>
    </w:p>
    <w:p w14:paraId="7994186D">
      <w:pPr>
        <w:spacing w:line="560" w:lineRule="exact"/>
        <w:ind w:firstLine="480" w:firstLineChars="200"/>
        <w:rPr>
          <w:rFonts w:cs="Courier New"/>
          <w:sz w:val="24"/>
          <w:szCs w:val="24"/>
        </w:rPr>
      </w:pPr>
      <w:r>
        <w:rPr>
          <w:rFonts w:hint="eastAsia" w:cs="Courier New"/>
          <w:sz w:val="24"/>
          <w:szCs w:val="24"/>
        </w:rPr>
        <w:t>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07F86C0B">
      <w:pPr>
        <w:spacing w:line="560" w:lineRule="exact"/>
        <w:ind w:firstLine="480" w:firstLineChars="200"/>
        <w:rPr>
          <w:rFonts w:cs="Courier New"/>
          <w:sz w:val="24"/>
          <w:szCs w:val="24"/>
        </w:rPr>
      </w:pPr>
      <w:r>
        <w:rPr>
          <w:rFonts w:hint="eastAsia" w:cs="Courier New"/>
          <w:sz w:val="24"/>
          <w:szCs w:val="24"/>
        </w:rPr>
        <w:t>1.7.2质量保证</w:t>
      </w:r>
    </w:p>
    <w:p w14:paraId="3294D13C">
      <w:pPr>
        <w:spacing w:line="560" w:lineRule="exact"/>
        <w:ind w:firstLine="480" w:firstLineChars="200"/>
        <w:rPr>
          <w:rFonts w:cs="Courier New"/>
          <w:sz w:val="24"/>
          <w:szCs w:val="24"/>
        </w:rPr>
      </w:pPr>
      <w:r>
        <w:rPr>
          <w:rFonts w:hint="eastAsia" w:cs="Courier New"/>
          <w:sz w:val="24"/>
          <w:szCs w:val="24"/>
        </w:rPr>
        <w:t>1.7.2.1投标人应保证提供的货物与服务项目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p>
    <w:p w14:paraId="79872ADC">
      <w:pPr>
        <w:spacing w:line="560" w:lineRule="exact"/>
        <w:ind w:firstLine="480" w:firstLineChars="200"/>
        <w:rPr>
          <w:rFonts w:cs="Courier New"/>
          <w:sz w:val="24"/>
          <w:szCs w:val="24"/>
        </w:rPr>
      </w:pPr>
      <w:r>
        <w:rPr>
          <w:rFonts w:hint="eastAsia" w:cs="Courier New"/>
          <w:sz w:val="24"/>
          <w:szCs w:val="24"/>
        </w:rPr>
        <w:t>1.7.2.2根据当地法定检验机构的检验结果或者在售后服务期内，如果货物与服务项目的内在质量或规格型号与合同不符，或证明货物是有缺陷的，包括潜在的缺陷或使用不符合要求的材料等，采购人有权向投标人发出索赔通知。</w:t>
      </w:r>
    </w:p>
    <w:p w14:paraId="202DAFBF">
      <w:pPr>
        <w:spacing w:line="560" w:lineRule="exact"/>
        <w:ind w:firstLine="480" w:firstLineChars="200"/>
        <w:rPr>
          <w:rFonts w:cs="Courier New"/>
          <w:sz w:val="24"/>
          <w:szCs w:val="24"/>
        </w:rPr>
      </w:pPr>
      <w:r>
        <w:rPr>
          <w:rFonts w:hint="eastAsia" w:cs="Courier New"/>
          <w:sz w:val="24"/>
          <w:szCs w:val="24"/>
        </w:rPr>
        <w:t>1.7.2.3投标人在收到通知后，应在合同所附服务承诺约定的时间内维修、更换有缺陷的货物或部件。</w:t>
      </w:r>
    </w:p>
    <w:p w14:paraId="2B5E3910">
      <w:pPr>
        <w:spacing w:line="560" w:lineRule="exact"/>
        <w:ind w:firstLine="480" w:firstLineChars="200"/>
        <w:rPr>
          <w:rFonts w:cs="Courier New"/>
          <w:sz w:val="24"/>
          <w:szCs w:val="24"/>
        </w:rPr>
      </w:pPr>
      <w:r>
        <w:rPr>
          <w:rFonts w:hint="eastAsia" w:cs="Courier New"/>
          <w:sz w:val="24"/>
          <w:szCs w:val="24"/>
        </w:rPr>
        <w:t>1.7.2.4如果投标人在收到通知后，在合同所附服务承诺约定的时间内没有弥补缺陷，采购人可采取必要的补救措施，但风险和费用将由投标人承担。</w:t>
      </w:r>
    </w:p>
    <w:p w14:paraId="2D4D9306">
      <w:pPr>
        <w:spacing w:line="560" w:lineRule="exact"/>
        <w:ind w:firstLine="480" w:firstLineChars="200"/>
        <w:rPr>
          <w:rFonts w:cs="Courier New"/>
          <w:sz w:val="24"/>
          <w:szCs w:val="24"/>
        </w:rPr>
      </w:pPr>
      <w:r>
        <w:rPr>
          <w:rFonts w:hint="eastAsia" w:cs="Courier New"/>
          <w:sz w:val="24"/>
          <w:szCs w:val="24"/>
        </w:rPr>
        <w:t>1.7.3培训要求</w:t>
      </w:r>
    </w:p>
    <w:p w14:paraId="207BABA4">
      <w:pPr>
        <w:spacing w:line="560" w:lineRule="exact"/>
        <w:ind w:firstLine="480" w:firstLineChars="200"/>
        <w:rPr>
          <w:rFonts w:cs="Courier New"/>
          <w:sz w:val="24"/>
          <w:szCs w:val="24"/>
        </w:rPr>
      </w:pPr>
      <w:r>
        <w:rPr>
          <w:rFonts w:hint="eastAsia" w:cs="Courier New"/>
          <w:sz w:val="24"/>
          <w:szCs w:val="24"/>
        </w:rPr>
        <w:t xml:space="preserve">1.7.3.1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p>
    <w:p w14:paraId="2DF48138">
      <w:pPr>
        <w:spacing w:line="560" w:lineRule="exact"/>
        <w:ind w:firstLine="480" w:firstLineChars="200"/>
        <w:rPr>
          <w:rFonts w:cs="Courier New"/>
          <w:sz w:val="24"/>
          <w:szCs w:val="24"/>
        </w:rPr>
      </w:pPr>
      <w:r>
        <w:rPr>
          <w:rFonts w:hint="eastAsia" w:cs="Courier New"/>
          <w:sz w:val="24"/>
          <w:szCs w:val="24"/>
        </w:rPr>
        <w:t xml:space="preserve">1.7.3.2中标人必须为所有被培训人员提供培训用文字资料和讲义等相关用品。所有的资料必须是中文书写。上述资料的费用包含在投标报价内。 </w:t>
      </w:r>
    </w:p>
    <w:p w14:paraId="6835DB3E">
      <w:pPr>
        <w:spacing w:line="560" w:lineRule="exact"/>
        <w:ind w:firstLine="480" w:firstLineChars="200"/>
        <w:rPr>
          <w:rFonts w:cs="Courier New"/>
          <w:sz w:val="24"/>
          <w:szCs w:val="24"/>
        </w:rPr>
      </w:pPr>
      <w:r>
        <w:rPr>
          <w:rFonts w:hint="eastAsia" w:cs="Courier New"/>
          <w:sz w:val="24"/>
          <w:szCs w:val="24"/>
        </w:rPr>
        <w:t>1.7.3.3所有的培训费用包括差旅、食宿、教材、资料等由中标人负责，均计入投标报价中。</w:t>
      </w:r>
    </w:p>
    <w:p w14:paraId="13B680F0">
      <w:pPr>
        <w:spacing w:line="560" w:lineRule="exact"/>
        <w:ind w:firstLine="480" w:firstLineChars="200"/>
        <w:rPr>
          <w:rFonts w:cs="Courier New"/>
          <w:sz w:val="24"/>
          <w:szCs w:val="24"/>
        </w:rPr>
      </w:pPr>
      <w:r>
        <w:rPr>
          <w:rFonts w:hint="eastAsia" w:cs="Courier New"/>
          <w:sz w:val="24"/>
          <w:szCs w:val="24"/>
        </w:rPr>
        <w:t>1.7.4售后服务</w:t>
      </w:r>
    </w:p>
    <w:p w14:paraId="557CACB0">
      <w:pPr>
        <w:spacing w:line="560" w:lineRule="exact"/>
        <w:ind w:firstLine="480" w:firstLineChars="200"/>
        <w:rPr>
          <w:rFonts w:cs="Courier New"/>
          <w:sz w:val="24"/>
          <w:szCs w:val="24"/>
        </w:rPr>
      </w:pPr>
      <w:r>
        <w:rPr>
          <w:rFonts w:hint="eastAsia" w:cs="Courier New"/>
          <w:sz w:val="24"/>
          <w:szCs w:val="24"/>
        </w:rPr>
        <w:t>1.7.4.1验收通过之日起对设备保修</w:t>
      </w:r>
      <w:r>
        <w:rPr>
          <w:rFonts w:hint="eastAsia" w:eastAsia="宋体" w:cs="Courier New"/>
          <w:b/>
          <w:sz w:val="24"/>
          <w:szCs w:val="24"/>
          <w:u w:val="single"/>
          <w:lang w:val="en-US" w:eastAsia="zh-CN"/>
        </w:rPr>
        <w:t xml:space="preserve"> 2  </w:t>
      </w:r>
      <w:r>
        <w:rPr>
          <w:rFonts w:hint="eastAsia" w:cs="Courier New"/>
          <w:sz w:val="24"/>
          <w:szCs w:val="24"/>
        </w:rPr>
        <w:t>年。售后服务期内，投标人对产品质量实行三包，因设备配置或制造质量问题而引起的故障，投标人应在24小时内立即予以维修或更换，由此引起的一切费用由投标人承担。</w:t>
      </w:r>
    </w:p>
    <w:p w14:paraId="5FE57A79">
      <w:pPr>
        <w:spacing w:line="560" w:lineRule="exact"/>
        <w:ind w:firstLine="480" w:firstLineChars="200"/>
        <w:rPr>
          <w:rFonts w:cs="Courier New"/>
          <w:sz w:val="24"/>
          <w:szCs w:val="24"/>
        </w:rPr>
      </w:pPr>
      <w:r>
        <w:rPr>
          <w:rFonts w:hint="eastAsia" w:cs="Courier New"/>
          <w:sz w:val="24"/>
          <w:szCs w:val="24"/>
        </w:rPr>
        <w:t>1.7.4.2投标人需提供详细技术服务方案，包括但不限于：设备安装建设规范、设备工作原理、设备部件结构组成、设备操作手册、设备运行维护手册、设备软件使用手册等。</w:t>
      </w:r>
    </w:p>
    <w:p w14:paraId="01420184">
      <w:pPr>
        <w:spacing w:line="560" w:lineRule="exact"/>
        <w:ind w:firstLine="480" w:firstLineChars="200"/>
        <w:rPr>
          <w:rFonts w:cs="Courier New"/>
          <w:sz w:val="24"/>
          <w:szCs w:val="24"/>
        </w:rPr>
      </w:pPr>
      <w:r>
        <w:rPr>
          <w:rFonts w:hint="eastAsia" w:cs="Courier New"/>
          <w:sz w:val="24"/>
          <w:szCs w:val="24"/>
        </w:rPr>
        <w:t>1.7.4.3技术支持响应时间。在售后服务期内，投标人服务时间应为 7×24小时，当投标产品或软件遭到损坏或出现故障时，要在用户报修之时起2小时内做出响应，并在24小时内到达现场，开展维修维护工作，视情况双方协商设备恢复正常运行时限。</w:t>
      </w:r>
    </w:p>
    <w:p w14:paraId="7B03CDD8">
      <w:pPr>
        <w:spacing w:line="560" w:lineRule="exact"/>
        <w:ind w:firstLine="480" w:firstLineChars="200"/>
        <w:rPr>
          <w:rFonts w:cs="Courier New"/>
          <w:sz w:val="24"/>
          <w:szCs w:val="24"/>
        </w:rPr>
      </w:pPr>
      <w:r>
        <w:rPr>
          <w:rFonts w:hint="eastAsia" w:cs="Courier New"/>
          <w:sz w:val="24"/>
          <w:szCs w:val="24"/>
        </w:rPr>
        <w:t>1.7.4.4售后服务期过后，投标人仍有义务提供优惠的技术服务（包括提供设备维护、备件等）。</w:t>
      </w:r>
    </w:p>
    <w:p w14:paraId="265E9216">
      <w:pPr>
        <w:spacing w:line="560" w:lineRule="exact"/>
        <w:ind w:firstLine="480" w:firstLineChars="200"/>
        <w:rPr>
          <w:rFonts w:cs="Courier New"/>
          <w:sz w:val="24"/>
          <w:szCs w:val="24"/>
        </w:rPr>
      </w:pPr>
      <w:r>
        <w:rPr>
          <w:rFonts w:hint="eastAsia" w:cs="Courier New"/>
          <w:sz w:val="24"/>
          <w:szCs w:val="24"/>
        </w:rPr>
        <w:t>1.7.4.5中标人未在上述规定时间内履行售后服务义务的，采购人可选择是否委托第三方代为处理，由此产生的费用及损失均由中标人承担。每出现一次，由中标人向采购人支付合同总额 2%违约金（可在应付款项中扣除）。</w:t>
      </w:r>
    </w:p>
    <w:p w14:paraId="4BEE97E3">
      <w:pPr>
        <w:spacing w:line="560" w:lineRule="exact"/>
        <w:ind w:firstLine="480" w:firstLineChars="200"/>
        <w:rPr>
          <w:rFonts w:cs="Courier New"/>
          <w:sz w:val="24"/>
          <w:szCs w:val="24"/>
        </w:rPr>
      </w:pPr>
      <w:r>
        <w:rPr>
          <w:rFonts w:hint="eastAsia" w:cs="Courier New"/>
          <w:sz w:val="24"/>
          <w:szCs w:val="24"/>
        </w:rPr>
        <w:t>1.7.5验收要求</w:t>
      </w:r>
    </w:p>
    <w:p w14:paraId="5E8B4619">
      <w:pPr>
        <w:spacing w:line="560" w:lineRule="exact"/>
        <w:ind w:firstLine="480" w:firstLineChars="200"/>
        <w:rPr>
          <w:rFonts w:cs="Courier New"/>
          <w:sz w:val="24"/>
          <w:szCs w:val="24"/>
        </w:rPr>
      </w:pPr>
      <w:r>
        <w:rPr>
          <w:rFonts w:hint="eastAsia" w:cs="Courier New"/>
          <w:sz w:val="24"/>
          <w:szCs w:val="24"/>
        </w:rPr>
        <w:t>1.7.5.1投标人货物送达后，采购方对其数量、品种、规格、运输保存方式等进行检查验收，如不合格应无条件退货或换货。</w:t>
      </w:r>
    </w:p>
    <w:p w14:paraId="060CF286">
      <w:pPr>
        <w:spacing w:line="560" w:lineRule="exact"/>
        <w:ind w:firstLine="480" w:firstLineChars="200"/>
        <w:rPr>
          <w:rFonts w:cs="Courier New"/>
          <w:sz w:val="24"/>
          <w:szCs w:val="24"/>
        </w:rPr>
      </w:pPr>
      <w:r>
        <w:rPr>
          <w:rFonts w:hint="eastAsia" w:cs="Courier New"/>
          <w:sz w:val="24"/>
          <w:szCs w:val="24"/>
        </w:rPr>
        <w:t>1.7.5.2若因中标人原因造成无法验收通过的，采购人将拒绝付款，并追究中标人的违约责任。</w:t>
      </w:r>
    </w:p>
    <w:p w14:paraId="09E7C408">
      <w:pPr>
        <w:spacing w:line="560" w:lineRule="exact"/>
        <w:ind w:firstLine="480" w:firstLineChars="200"/>
        <w:rPr>
          <w:rFonts w:cs="Courier New"/>
          <w:sz w:val="24"/>
          <w:szCs w:val="24"/>
        </w:rPr>
      </w:pPr>
      <w:r>
        <w:rPr>
          <w:rFonts w:hint="eastAsia" w:cs="Courier New"/>
          <w:sz w:val="24"/>
          <w:szCs w:val="24"/>
        </w:rPr>
        <w:t>1.7.5.3合同履行期满，中标人向采购人提交项目验收技术资料以及终验申请单，采购人收到申请后3个工作日内组织终验且验收无问题后签署终验单。</w:t>
      </w:r>
    </w:p>
    <w:p w14:paraId="7CFC3D37">
      <w:pPr>
        <w:spacing w:line="560" w:lineRule="exact"/>
        <w:ind w:firstLine="480" w:firstLineChars="200"/>
        <w:rPr>
          <w:rFonts w:cs="Courier New"/>
          <w:sz w:val="24"/>
          <w:szCs w:val="24"/>
        </w:rPr>
      </w:pPr>
      <w:r>
        <w:rPr>
          <w:rFonts w:hint="eastAsia" w:cs="Courier New"/>
          <w:sz w:val="24"/>
          <w:szCs w:val="24"/>
        </w:rPr>
        <w:t>1.7.6节能、环保产品政策</w:t>
      </w:r>
    </w:p>
    <w:p w14:paraId="5AF74162">
      <w:pPr>
        <w:spacing w:line="560" w:lineRule="exact"/>
        <w:ind w:firstLine="480" w:firstLineChars="200"/>
        <w:rPr>
          <w:rFonts w:cs="Courier New"/>
          <w:sz w:val="24"/>
          <w:szCs w:val="24"/>
        </w:rPr>
      </w:pPr>
      <w:r>
        <w:rPr>
          <w:rFonts w:hint="eastAsia" w:cs="Courier New"/>
          <w:sz w:val="24"/>
          <w:szCs w:val="24"/>
        </w:rPr>
        <w:t>对照财库〔2019〕9号、财库〔2019〕19号文件规定，供应商所投产品属于强制采购产品的，应提供国家市场监督管理</w:t>
      </w:r>
      <w:r>
        <w:rPr>
          <w:rFonts w:hint="eastAsia" w:eastAsia="宋体" w:cs="Courier New"/>
          <w:sz w:val="24"/>
          <w:szCs w:val="24"/>
          <w:lang w:val="en-US" w:eastAsia="zh-CN"/>
        </w:rPr>
        <w:t>总</w:t>
      </w:r>
      <w:r>
        <w:rPr>
          <w:rFonts w:hint="eastAsia" w:cs="Courier New"/>
          <w:sz w:val="24"/>
          <w:szCs w:val="24"/>
        </w:rPr>
        <w:t>局确定的列入“参与实施政府采购节能产品认证机构名录”内的认证机构出具的、有效期内的该产品的节能产品认证证书电子件，不满足以上要求的按无效标处理。</w:t>
      </w:r>
    </w:p>
    <w:p w14:paraId="2C3A8634">
      <w:pPr>
        <w:spacing w:line="560" w:lineRule="exact"/>
        <w:ind w:firstLine="480" w:firstLineChars="200"/>
        <w:rPr>
          <w:rFonts w:cs="Courier New"/>
          <w:sz w:val="24"/>
          <w:szCs w:val="24"/>
        </w:rPr>
      </w:pPr>
      <w:r>
        <w:rPr>
          <w:rFonts w:hint="eastAsia" w:cs="Courier New"/>
          <w:sz w:val="24"/>
          <w:szCs w:val="24"/>
        </w:rPr>
        <w:t>1.7.7商品包装、快递包装政府采购需求标准（试行）</w:t>
      </w:r>
    </w:p>
    <w:p w14:paraId="386A57A7">
      <w:pPr>
        <w:spacing w:line="560" w:lineRule="exact"/>
        <w:ind w:firstLine="480" w:firstLineChars="200"/>
        <w:rPr>
          <w:rFonts w:cs="Courier New"/>
          <w:sz w:val="24"/>
          <w:szCs w:val="24"/>
        </w:rPr>
      </w:pPr>
      <w:r>
        <w:rPr>
          <w:rFonts w:hint="eastAsia" w:cs="Courier New"/>
          <w:sz w:val="24"/>
          <w:szCs w:val="24"/>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4F0B3647">
      <w:pPr>
        <w:spacing w:line="560" w:lineRule="exact"/>
        <w:ind w:firstLine="480" w:firstLineChars="200"/>
        <w:rPr>
          <w:rFonts w:cs="Courier New"/>
          <w:sz w:val="24"/>
          <w:szCs w:val="24"/>
        </w:rPr>
      </w:pPr>
      <w:r>
        <w:rPr>
          <w:rFonts w:hint="eastAsia" w:cs="Courier New"/>
          <w:sz w:val="24"/>
          <w:szCs w:val="24"/>
        </w:rPr>
        <w:t>1.7.8采购本国货物、工程和服务</w:t>
      </w:r>
    </w:p>
    <w:p w14:paraId="62B7BAAA">
      <w:pPr>
        <w:spacing w:line="560" w:lineRule="exact"/>
        <w:ind w:firstLine="480" w:firstLineChars="200"/>
        <w:rPr>
          <w:rFonts w:cs="Courier New"/>
          <w:sz w:val="24"/>
          <w:szCs w:val="24"/>
        </w:rPr>
      </w:pPr>
      <w:r>
        <w:rPr>
          <w:rFonts w:hint="eastAsia" w:cs="Courier New"/>
          <w:sz w:val="24"/>
          <w:szCs w:val="24"/>
        </w:rPr>
        <w:t>政府采购应当采购本国货物、工程和服务，但有《中华人民共和国政府采购法》第十条规定情形的除外。</w:t>
      </w:r>
    </w:p>
    <w:p w14:paraId="67009E6A">
      <w:pPr>
        <w:spacing w:line="560" w:lineRule="exact"/>
        <w:ind w:firstLine="480" w:firstLineChars="200"/>
        <w:rPr>
          <w:rFonts w:cs="Courier New"/>
          <w:sz w:val="24"/>
          <w:szCs w:val="24"/>
        </w:rPr>
      </w:pPr>
      <w:r>
        <w:rPr>
          <w:rFonts w:hint="eastAsia" w:cs="Courier New"/>
          <w:sz w:val="24"/>
          <w:szCs w:val="24"/>
        </w:rPr>
        <w:t>1.8人员配备</w:t>
      </w:r>
    </w:p>
    <w:p w14:paraId="5DB88409">
      <w:pPr>
        <w:spacing w:line="560" w:lineRule="exact"/>
        <w:ind w:firstLine="480" w:firstLineChars="200"/>
        <w:rPr>
          <w:rFonts w:cs="Courier New"/>
          <w:sz w:val="24"/>
          <w:szCs w:val="24"/>
        </w:rPr>
      </w:pPr>
      <w:r>
        <w:rPr>
          <w:rFonts w:hint="eastAsia" w:cs="Courier New"/>
          <w:sz w:val="24"/>
          <w:szCs w:val="24"/>
        </w:rPr>
        <w:t>投标人须组建专业的技术服务团队，人员配置满足本次采购需求，其中包含项目组负责人</w:t>
      </w:r>
      <w:r>
        <w:rPr>
          <w:rFonts w:cs="Courier New"/>
          <w:sz w:val="24"/>
          <w:szCs w:val="24"/>
          <w:u w:val="single"/>
        </w:rPr>
        <w:t xml:space="preserve">  1  </w:t>
      </w:r>
      <w:r>
        <w:rPr>
          <w:rFonts w:hint="eastAsia" w:cs="Courier New"/>
          <w:sz w:val="24"/>
          <w:szCs w:val="24"/>
        </w:rPr>
        <w:t>名，项目组其他成员不少于</w:t>
      </w:r>
      <w:r>
        <w:rPr>
          <w:rFonts w:hint="eastAsia" w:cs="Courier New"/>
          <w:sz w:val="24"/>
          <w:szCs w:val="24"/>
          <w:u w:val="single"/>
        </w:rPr>
        <w:t xml:space="preserve">  </w:t>
      </w:r>
      <w:r>
        <w:rPr>
          <w:rFonts w:cs="Courier New"/>
          <w:sz w:val="24"/>
          <w:szCs w:val="24"/>
          <w:u w:val="single"/>
        </w:rPr>
        <w:t xml:space="preserve">2  </w:t>
      </w:r>
      <w:r>
        <w:rPr>
          <w:rFonts w:hint="eastAsia" w:cs="Courier New"/>
          <w:sz w:val="24"/>
          <w:szCs w:val="24"/>
        </w:rPr>
        <w:t>名。</w:t>
      </w:r>
    </w:p>
    <w:p w14:paraId="3DEDCA29">
      <w:pPr>
        <w:spacing w:line="560" w:lineRule="exact"/>
        <w:ind w:firstLine="480" w:firstLineChars="200"/>
        <w:rPr>
          <w:rFonts w:cs="Courier New"/>
          <w:sz w:val="24"/>
          <w:szCs w:val="24"/>
        </w:rPr>
      </w:pPr>
      <w:r>
        <w:rPr>
          <w:rFonts w:hint="eastAsia" w:cs="Courier New"/>
          <w:sz w:val="24"/>
          <w:szCs w:val="24"/>
        </w:rPr>
        <w:t>1.9项目实施要求</w:t>
      </w:r>
    </w:p>
    <w:p w14:paraId="2D7EB8E0">
      <w:pPr>
        <w:spacing w:line="560" w:lineRule="exact"/>
        <w:ind w:firstLine="480" w:firstLineChars="200"/>
        <w:rPr>
          <w:rFonts w:cs="Courier New"/>
          <w:sz w:val="24"/>
          <w:szCs w:val="24"/>
        </w:rPr>
      </w:pPr>
      <w:r>
        <w:rPr>
          <w:rFonts w:hint="eastAsia" w:cs="Courier New"/>
          <w:sz w:val="24"/>
          <w:szCs w:val="24"/>
        </w:rPr>
        <w:t>1.9.1项目实施方案</w:t>
      </w:r>
    </w:p>
    <w:p w14:paraId="25CB499D">
      <w:pPr>
        <w:spacing w:line="560" w:lineRule="exact"/>
        <w:ind w:firstLine="480" w:firstLineChars="200"/>
        <w:rPr>
          <w:rFonts w:cs="Courier New"/>
          <w:sz w:val="24"/>
          <w:szCs w:val="24"/>
        </w:rPr>
      </w:pPr>
      <w:r>
        <w:rPr>
          <w:rFonts w:hint="eastAsia" w:cs="Courier New"/>
          <w:sz w:val="24"/>
          <w:szCs w:val="24"/>
        </w:rPr>
        <w:t>针对本项目提供项目实施方案，包括但不限于项目实施方案、供货期管理、完整性要求、风险预防及控制措施突发事件处置方案。</w:t>
      </w:r>
    </w:p>
    <w:p w14:paraId="1700BB0F">
      <w:pPr>
        <w:spacing w:line="560" w:lineRule="exact"/>
        <w:ind w:firstLine="480" w:firstLineChars="200"/>
        <w:rPr>
          <w:rFonts w:cs="Courier New"/>
          <w:sz w:val="24"/>
          <w:szCs w:val="24"/>
        </w:rPr>
      </w:pPr>
      <w:r>
        <w:rPr>
          <w:rFonts w:hint="eastAsia" w:cs="Courier New"/>
          <w:sz w:val="24"/>
          <w:szCs w:val="24"/>
        </w:rPr>
        <w:t>1.9.2培训方案</w:t>
      </w:r>
    </w:p>
    <w:p w14:paraId="40AFAFF9">
      <w:pPr>
        <w:spacing w:line="560" w:lineRule="exact"/>
        <w:ind w:firstLine="480" w:firstLineChars="200"/>
        <w:rPr>
          <w:rFonts w:cs="Courier New"/>
          <w:sz w:val="24"/>
          <w:szCs w:val="24"/>
        </w:rPr>
      </w:pPr>
      <w:r>
        <w:rPr>
          <w:rFonts w:hint="eastAsia" w:cs="Courier New"/>
          <w:sz w:val="24"/>
          <w:szCs w:val="24"/>
        </w:rPr>
        <w:t>投标人针对本项目提供培训方案，包括但不限于完整、可靠、操作性强的培训方案、培训内容、培训时间、培训地点、培训目标、培训人数、培训方法和培训师资等。</w:t>
      </w:r>
    </w:p>
    <w:p w14:paraId="0C5B06B9">
      <w:pPr>
        <w:spacing w:line="560" w:lineRule="exact"/>
        <w:ind w:firstLine="480" w:firstLineChars="200"/>
        <w:rPr>
          <w:rFonts w:cs="Courier New"/>
          <w:sz w:val="24"/>
          <w:szCs w:val="24"/>
        </w:rPr>
      </w:pPr>
      <w:r>
        <w:rPr>
          <w:rFonts w:hint="eastAsia" w:cs="Courier New"/>
          <w:sz w:val="24"/>
          <w:szCs w:val="24"/>
        </w:rPr>
        <w:t>1.9.3质量保障措施</w:t>
      </w:r>
    </w:p>
    <w:p w14:paraId="082A62B0">
      <w:pPr>
        <w:spacing w:line="560" w:lineRule="exact"/>
        <w:ind w:firstLine="480" w:firstLineChars="200"/>
        <w:rPr>
          <w:rFonts w:cs="Courier New"/>
          <w:sz w:val="24"/>
          <w:szCs w:val="24"/>
        </w:rPr>
      </w:pPr>
      <w:r>
        <w:rPr>
          <w:rFonts w:hint="eastAsia" w:cs="Courier New"/>
          <w:sz w:val="24"/>
          <w:szCs w:val="24"/>
        </w:rPr>
        <w:t>针对本项目提供质量保障措施，包括但不限于提供所投产品的知名度、市场占有率及质量保障措施。</w:t>
      </w:r>
    </w:p>
    <w:p w14:paraId="2333AFA1">
      <w:pPr>
        <w:spacing w:line="560" w:lineRule="exact"/>
        <w:ind w:firstLine="480" w:firstLineChars="200"/>
        <w:rPr>
          <w:rFonts w:cs="Courier New"/>
          <w:sz w:val="24"/>
          <w:szCs w:val="24"/>
        </w:rPr>
      </w:pPr>
      <w:r>
        <w:rPr>
          <w:rFonts w:hint="eastAsia" w:cs="Courier New"/>
          <w:sz w:val="24"/>
          <w:szCs w:val="24"/>
        </w:rPr>
        <w:t>1.9.4人员配备</w:t>
      </w:r>
    </w:p>
    <w:p w14:paraId="72CB1CD4">
      <w:pPr>
        <w:spacing w:line="560" w:lineRule="exact"/>
        <w:ind w:firstLine="480" w:firstLineChars="200"/>
        <w:rPr>
          <w:rFonts w:cs="Courier New"/>
          <w:sz w:val="24"/>
          <w:szCs w:val="24"/>
        </w:rPr>
      </w:pPr>
      <w:r>
        <w:rPr>
          <w:rFonts w:hint="eastAsia" w:cs="Courier New"/>
          <w:sz w:val="24"/>
          <w:szCs w:val="24"/>
        </w:rPr>
        <w:t>针对本项目提供人员配备，包括但不限于拟投入本项目人员管理及人员配备情况和使用计划（含人员安排、管理机构健全程度、服务人员素质等内容）。</w:t>
      </w:r>
    </w:p>
    <w:p w14:paraId="336F1EC3">
      <w:pPr>
        <w:spacing w:line="560" w:lineRule="exact"/>
        <w:ind w:firstLine="480" w:firstLineChars="200"/>
        <w:rPr>
          <w:rFonts w:cs="Courier New"/>
          <w:sz w:val="24"/>
          <w:szCs w:val="24"/>
        </w:rPr>
      </w:pPr>
      <w:r>
        <w:rPr>
          <w:rFonts w:hint="eastAsia" w:cs="Courier New"/>
          <w:sz w:val="24"/>
          <w:szCs w:val="24"/>
        </w:rPr>
        <w:t>1.9.5售后服务</w:t>
      </w:r>
    </w:p>
    <w:p w14:paraId="6E84219C">
      <w:pPr>
        <w:spacing w:line="560" w:lineRule="exact"/>
        <w:ind w:firstLine="480" w:firstLineChars="200"/>
        <w:rPr>
          <w:rFonts w:cs="Courier New"/>
          <w:sz w:val="24"/>
          <w:szCs w:val="24"/>
        </w:rPr>
      </w:pPr>
      <w:r>
        <w:rPr>
          <w:rFonts w:hint="eastAsia" w:cs="Courier New"/>
          <w:sz w:val="24"/>
          <w:szCs w:val="24"/>
        </w:rPr>
        <w:t>针对本项目提供售后服务，包括但不限于响应时间、上门时间、服务人员的技术水平和应急处理方案等。</w:t>
      </w:r>
    </w:p>
    <w:p w14:paraId="009F5612">
      <w:pPr>
        <w:spacing w:line="560" w:lineRule="exact"/>
        <w:rPr>
          <w:rFonts w:cs="Courier New"/>
          <w:b/>
          <w:sz w:val="24"/>
          <w:szCs w:val="24"/>
        </w:rPr>
      </w:pPr>
      <w:r>
        <w:rPr>
          <w:rFonts w:cs="Courier New"/>
          <w:b/>
          <w:sz w:val="24"/>
          <w:szCs w:val="24"/>
        </w:rPr>
        <w:t>二、合同金额</w:t>
      </w:r>
    </w:p>
    <w:p w14:paraId="6347370D">
      <w:pPr>
        <w:spacing w:line="560" w:lineRule="exact"/>
        <w:ind w:left="210" w:leftChars="100" w:firstLine="240" w:firstLineChars="100"/>
        <w:rPr>
          <w:rFonts w:cs="Courier New"/>
          <w:sz w:val="24"/>
          <w:szCs w:val="24"/>
        </w:rPr>
      </w:pPr>
      <w:r>
        <w:rPr>
          <w:rFonts w:cs="Courier New"/>
          <w:sz w:val="24"/>
          <w:szCs w:val="24"/>
        </w:rPr>
        <w:t xml:space="preserve">2.1 </w:t>
      </w:r>
      <w:r>
        <w:rPr>
          <w:rFonts w:hint="eastAsia" w:cs="Courier New"/>
          <w:sz w:val="24"/>
          <w:szCs w:val="24"/>
        </w:rPr>
        <w:t>本合同金额为：人民币</w:t>
      </w:r>
      <w:r>
        <w:rPr>
          <w:rFonts w:hint="eastAsia" w:cs="Courier New"/>
          <w:sz w:val="24"/>
          <w:szCs w:val="24"/>
          <w:u w:val="single"/>
        </w:rPr>
        <w:t xml:space="preserve">          </w:t>
      </w:r>
      <w:r>
        <w:rPr>
          <w:rFonts w:hint="eastAsia" w:cs="Courier New"/>
          <w:sz w:val="24"/>
          <w:szCs w:val="24"/>
        </w:rPr>
        <w:t>元整（</w:t>
      </w:r>
      <w:r>
        <w:rPr>
          <w:rFonts w:cs="Courier New"/>
          <w:sz w:val="24"/>
          <w:szCs w:val="24"/>
        </w:rPr>
        <w:t>¥</w:t>
      </w:r>
      <w:r>
        <w:rPr>
          <w:rFonts w:hint="eastAsia" w:cs="Courier New"/>
          <w:sz w:val="24"/>
          <w:szCs w:val="24"/>
        </w:rPr>
        <w:t>：</w:t>
      </w:r>
      <w:r>
        <w:rPr>
          <w:rFonts w:hint="eastAsia" w:cs="Courier New"/>
          <w:sz w:val="24"/>
          <w:szCs w:val="24"/>
          <w:u w:val="single"/>
        </w:rPr>
        <w:t xml:space="preserve">       </w:t>
      </w:r>
      <w:r>
        <w:rPr>
          <w:rFonts w:hint="eastAsia" w:cs="Courier New"/>
          <w:sz w:val="24"/>
          <w:szCs w:val="24"/>
        </w:rPr>
        <w:t>）人民币或其他币种。</w:t>
      </w:r>
    </w:p>
    <w:tbl>
      <w:tblPr>
        <w:tblStyle w:val="33"/>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027"/>
        <w:gridCol w:w="957"/>
        <w:gridCol w:w="1403"/>
        <w:gridCol w:w="1276"/>
        <w:gridCol w:w="1039"/>
        <w:gridCol w:w="1519"/>
        <w:gridCol w:w="1236"/>
      </w:tblGrid>
      <w:tr w14:paraId="51895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737" w:type="dxa"/>
            <w:noWrap w:val="0"/>
            <w:vAlign w:val="top"/>
          </w:tcPr>
          <w:p w14:paraId="70302AD8">
            <w:pPr>
              <w:spacing w:line="0" w:lineRule="atLeast"/>
              <w:jc w:val="center"/>
              <w:rPr>
                <w:rFonts w:ascii="宋体" w:hAnsi="宋体" w:cs="仿宋"/>
                <w:color w:val="000000"/>
                <w:sz w:val="24"/>
                <w:szCs w:val="24"/>
              </w:rPr>
            </w:pPr>
          </w:p>
          <w:p w14:paraId="16B497FC">
            <w:pPr>
              <w:spacing w:line="0" w:lineRule="atLeast"/>
              <w:jc w:val="center"/>
              <w:rPr>
                <w:rFonts w:ascii="宋体" w:hAnsi="宋体" w:cs="仿宋"/>
                <w:color w:val="000000"/>
                <w:sz w:val="24"/>
                <w:szCs w:val="24"/>
              </w:rPr>
            </w:pPr>
            <w:r>
              <w:rPr>
                <w:rFonts w:hint="eastAsia" w:ascii="宋体" w:hAnsi="宋体" w:cs="仿宋"/>
                <w:color w:val="000000"/>
                <w:sz w:val="24"/>
                <w:szCs w:val="24"/>
              </w:rPr>
              <w:t>序号</w:t>
            </w:r>
          </w:p>
        </w:tc>
        <w:tc>
          <w:tcPr>
            <w:tcW w:w="1027" w:type="dxa"/>
            <w:noWrap w:val="0"/>
            <w:vAlign w:val="center"/>
          </w:tcPr>
          <w:p w14:paraId="422C0018">
            <w:pPr>
              <w:spacing w:line="0" w:lineRule="atLeast"/>
              <w:jc w:val="center"/>
              <w:rPr>
                <w:rFonts w:ascii="宋体" w:hAnsi="宋体" w:cs="仿宋"/>
                <w:color w:val="000000"/>
                <w:sz w:val="24"/>
                <w:szCs w:val="24"/>
              </w:rPr>
            </w:pPr>
            <w:r>
              <w:rPr>
                <w:rFonts w:hint="eastAsia" w:ascii="宋体" w:hAnsi="宋体" w:cs="仿宋"/>
                <w:color w:val="000000"/>
                <w:sz w:val="24"/>
                <w:szCs w:val="24"/>
              </w:rPr>
              <w:t>产品</w:t>
            </w:r>
          </w:p>
          <w:p w14:paraId="552110ED">
            <w:pPr>
              <w:spacing w:line="0" w:lineRule="atLeast"/>
              <w:jc w:val="center"/>
              <w:rPr>
                <w:rFonts w:ascii="宋体" w:hAnsi="宋体" w:cs="仿宋"/>
                <w:color w:val="000000"/>
                <w:sz w:val="24"/>
                <w:szCs w:val="24"/>
              </w:rPr>
            </w:pPr>
            <w:r>
              <w:rPr>
                <w:rFonts w:hint="eastAsia" w:ascii="宋体" w:hAnsi="宋体" w:cs="仿宋"/>
                <w:color w:val="000000"/>
                <w:sz w:val="24"/>
                <w:szCs w:val="24"/>
              </w:rPr>
              <w:t>名称</w:t>
            </w:r>
          </w:p>
        </w:tc>
        <w:tc>
          <w:tcPr>
            <w:tcW w:w="957" w:type="dxa"/>
            <w:noWrap w:val="0"/>
            <w:vAlign w:val="center"/>
          </w:tcPr>
          <w:p w14:paraId="48154AAF">
            <w:pPr>
              <w:spacing w:line="0" w:lineRule="atLeast"/>
              <w:jc w:val="center"/>
              <w:rPr>
                <w:rFonts w:ascii="宋体" w:hAnsi="宋体" w:cs="仿宋"/>
                <w:color w:val="000000"/>
                <w:sz w:val="24"/>
                <w:szCs w:val="24"/>
              </w:rPr>
            </w:pPr>
            <w:r>
              <w:rPr>
                <w:rFonts w:hint="eastAsia" w:ascii="宋体" w:hAnsi="宋体" w:cs="仿宋"/>
                <w:color w:val="000000"/>
                <w:sz w:val="24"/>
                <w:szCs w:val="24"/>
              </w:rPr>
              <w:t>品牌</w:t>
            </w:r>
          </w:p>
        </w:tc>
        <w:tc>
          <w:tcPr>
            <w:tcW w:w="1403" w:type="dxa"/>
            <w:noWrap w:val="0"/>
            <w:vAlign w:val="center"/>
          </w:tcPr>
          <w:p w14:paraId="3E1F69FD">
            <w:pPr>
              <w:spacing w:line="0" w:lineRule="atLeast"/>
              <w:jc w:val="center"/>
              <w:rPr>
                <w:rFonts w:ascii="宋体" w:hAnsi="宋体" w:cs="仿宋"/>
                <w:color w:val="000000"/>
                <w:sz w:val="24"/>
                <w:szCs w:val="24"/>
              </w:rPr>
            </w:pPr>
            <w:r>
              <w:rPr>
                <w:rFonts w:hint="eastAsia" w:ascii="宋体" w:hAnsi="宋体" w:cs="仿宋"/>
                <w:color w:val="000000"/>
                <w:sz w:val="24"/>
                <w:szCs w:val="24"/>
              </w:rPr>
              <w:t>规格</w:t>
            </w:r>
          </w:p>
          <w:p w14:paraId="4FB735FC">
            <w:pPr>
              <w:spacing w:line="0" w:lineRule="atLeast"/>
              <w:jc w:val="center"/>
              <w:rPr>
                <w:rFonts w:ascii="宋体" w:hAnsi="宋体" w:cs="仿宋"/>
                <w:color w:val="000000"/>
                <w:sz w:val="24"/>
                <w:szCs w:val="24"/>
              </w:rPr>
            </w:pPr>
            <w:r>
              <w:rPr>
                <w:rFonts w:hint="eastAsia" w:ascii="宋体" w:hAnsi="宋体" w:cs="仿宋"/>
                <w:color w:val="000000"/>
                <w:sz w:val="24"/>
                <w:szCs w:val="24"/>
              </w:rPr>
              <w:t>型号</w:t>
            </w:r>
          </w:p>
        </w:tc>
        <w:tc>
          <w:tcPr>
            <w:tcW w:w="1276" w:type="dxa"/>
            <w:noWrap w:val="0"/>
            <w:vAlign w:val="center"/>
          </w:tcPr>
          <w:p w14:paraId="0304390E">
            <w:pPr>
              <w:spacing w:line="0" w:lineRule="atLeast"/>
              <w:jc w:val="center"/>
              <w:rPr>
                <w:rFonts w:ascii="宋体" w:hAnsi="宋体" w:cs="仿宋"/>
                <w:color w:val="000000"/>
                <w:sz w:val="24"/>
                <w:szCs w:val="24"/>
              </w:rPr>
            </w:pPr>
            <w:r>
              <w:rPr>
                <w:rFonts w:hint="eastAsia" w:ascii="宋体" w:hAnsi="宋体" w:cs="仿宋"/>
                <w:color w:val="000000"/>
                <w:sz w:val="24"/>
                <w:szCs w:val="24"/>
              </w:rPr>
              <w:t xml:space="preserve">产地 </w:t>
            </w:r>
          </w:p>
        </w:tc>
        <w:tc>
          <w:tcPr>
            <w:tcW w:w="1039" w:type="dxa"/>
            <w:noWrap w:val="0"/>
            <w:vAlign w:val="center"/>
          </w:tcPr>
          <w:p w14:paraId="23C4155F">
            <w:pPr>
              <w:spacing w:line="0" w:lineRule="atLeast"/>
              <w:jc w:val="center"/>
              <w:rPr>
                <w:rFonts w:ascii="宋体" w:hAnsi="宋体" w:cs="仿宋"/>
                <w:color w:val="000000"/>
                <w:sz w:val="24"/>
                <w:szCs w:val="24"/>
              </w:rPr>
            </w:pPr>
            <w:r>
              <w:rPr>
                <w:rFonts w:hint="eastAsia" w:ascii="宋体" w:hAnsi="宋体" w:cs="仿宋"/>
                <w:color w:val="000000"/>
                <w:sz w:val="24"/>
                <w:szCs w:val="24"/>
              </w:rPr>
              <w:t>数量</w:t>
            </w:r>
          </w:p>
        </w:tc>
        <w:tc>
          <w:tcPr>
            <w:tcW w:w="1516" w:type="dxa"/>
            <w:noWrap w:val="0"/>
            <w:vAlign w:val="center"/>
          </w:tcPr>
          <w:p w14:paraId="0F6B0775">
            <w:pPr>
              <w:spacing w:line="0" w:lineRule="atLeast"/>
              <w:jc w:val="center"/>
              <w:rPr>
                <w:rFonts w:ascii="宋体" w:hAnsi="宋体" w:cs="仿宋"/>
                <w:color w:val="000000"/>
                <w:sz w:val="24"/>
                <w:szCs w:val="24"/>
              </w:rPr>
            </w:pPr>
            <w:r>
              <w:rPr>
                <w:rFonts w:hint="eastAsia" w:ascii="宋体" w:hAnsi="宋体" w:cs="仿宋"/>
                <w:color w:val="000000"/>
                <w:sz w:val="24"/>
                <w:szCs w:val="24"/>
              </w:rPr>
              <w:t>分项单价</w:t>
            </w:r>
          </w:p>
        </w:tc>
        <w:tc>
          <w:tcPr>
            <w:tcW w:w="1236" w:type="dxa"/>
            <w:noWrap w:val="0"/>
            <w:vAlign w:val="center"/>
          </w:tcPr>
          <w:p w14:paraId="68AAF0D5">
            <w:pPr>
              <w:spacing w:line="0" w:lineRule="atLeast"/>
              <w:jc w:val="center"/>
              <w:rPr>
                <w:rFonts w:ascii="宋体" w:hAnsi="宋体" w:cs="仿宋"/>
                <w:color w:val="000000"/>
                <w:sz w:val="24"/>
                <w:szCs w:val="24"/>
              </w:rPr>
            </w:pPr>
            <w:r>
              <w:rPr>
                <w:rFonts w:hint="eastAsia" w:ascii="宋体" w:hAnsi="宋体" w:cs="仿宋"/>
                <w:color w:val="000000"/>
                <w:sz w:val="24"/>
                <w:szCs w:val="24"/>
              </w:rPr>
              <w:t>分项总价</w:t>
            </w:r>
          </w:p>
        </w:tc>
      </w:tr>
      <w:tr w14:paraId="03C9E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737" w:type="dxa"/>
            <w:noWrap w:val="0"/>
            <w:vAlign w:val="center"/>
          </w:tcPr>
          <w:p w14:paraId="4F64681A">
            <w:pPr>
              <w:spacing w:line="0" w:lineRule="atLeast"/>
              <w:jc w:val="center"/>
              <w:rPr>
                <w:rFonts w:ascii="宋体" w:hAnsi="宋体" w:cs="仿宋"/>
                <w:color w:val="000000"/>
                <w:sz w:val="24"/>
                <w:szCs w:val="24"/>
              </w:rPr>
            </w:pPr>
            <w:r>
              <w:rPr>
                <w:rFonts w:hint="eastAsia" w:ascii="宋体" w:hAnsi="宋体" w:cs="仿宋"/>
                <w:color w:val="000000"/>
                <w:sz w:val="24"/>
                <w:szCs w:val="24"/>
              </w:rPr>
              <w:t>1</w:t>
            </w:r>
          </w:p>
        </w:tc>
        <w:tc>
          <w:tcPr>
            <w:tcW w:w="1027" w:type="dxa"/>
            <w:noWrap w:val="0"/>
            <w:vAlign w:val="center"/>
          </w:tcPr>
          <w:p w14:paraId="048EBC34">
            <w:pPr>
              <w:spacing w:line="0" w:lineRule="atLeast"/>
              <w:jc w:val="center"/>
              <w:rPr>
                <w:rFonts w:ascii="宋体" w:hAnsi="宋体" w:cs="仿宋"/>
                <w:color w:val="000000"/>
                <w:sz w:val="24"/>
                <w:szCs w:val="24"/>
              </w:rPr>
            </w:pPr>
          </w:p>
        </w:tc>
        <w:tc>
          <w:tcPr>
            <w:tcW w:w="957" w:type="dxa"/>
            <w:noWrap w:val="0"/>
            <w:vAlign w:val="center"/>
          </w:tcPr>
          <w:p w14:paraId="76687F4F">
            <w:pPr>
              <w:spacing w:line="0" w:lineRule="atLeast"/>
              <w:jc w:val="center"/>
              <w:rPr>
                <w:rFonts w:ascii="宋体" w:hAnsi="宋体" w:cs="仿宋"/>
                <w:color w:val="000000"/>
                <w:sz w:val="24"/>
                <w:szCs w:val="24"/>
              </w:rPr>
            </w:pPr>
          </w:p>
        </w:tc>
        <w:tc>
          <w:tcPr>
            <w:tcW w:w="1403" w:type="dxa"/>
            <w:noWrap w:val="0"/>
            <w:vAlign w:val="center"/>
          </w:tcPr>
          <w:p w14:paraId="7EB4FB1C">
            <w:pPr>
              <w:spacing w:line="0" w:lineRule="atLeast"/>
              <w:jc w:val="center"/>
              <w:rPr>
                <w:rFonts w:ascii="宋体" w:hAnsi="宋体" w:cs="仿宋"/>
                <w:color w:val="000000"/>
                <w:sz w:val="24"/>
                <w:szCs w:val="24"/>
              </w:rPr>
            </w:pPr>
          </w:p>
        </w:tc>
        <w:tc>
          <w:tcPr>
            <w:tcW w:w="1276" w:type="dxa"/>
            <w:noWrap w:val="0"/>
            <w:vAlign w:val="center"/>
          </w:tcPr>
          <w:p w14:paraId="3C6FC5C7">
            <w:pPr>
              <w:spacing w:line="0" w:lineRule="atLeast"/>
              <w:rPr>
                <w:rFonts w:hint="eastAsia" w:ascii="宋体" w:hAnsi="宋体" w:cs="仿宋"/>
                <w:color w:val="000000"/>
                <w:sz w:val="24"/>
                <w:szCs w:val="24"/>
              </w:rPr>
            </w:pPr>
          </w:p>
        </w:tc>
        <w:tc>
          <w:tcPr>
            <w:tcW w:w="1039" w:type="dxa"/>
            <w:noWrap w:val="0"/>
            <w:vAlign w:val="center"/>
          </w:tcPr>
          <w:p w14:paraId="01B3F859">
            <w:pPr>
              <w:spacing w:line="0" w:lineRule="atLeast"/>
              <w:jc w:val="center"/>
              <w:rPr>
                <w:rFonts w:ascii="宋体" w:hAnsi="宋体" w:cs="仿宋"/>
                <w:color w:val="000000"/>
                <w:sz w:val="24"/>
                <w:szCs w:val="24"/>
              </w:rPr>
            </w:pPr>
          </w:p>
        </w:tc>
        <w:tc>
          <w:tcPr>
            <w:tcW w:w="1516" w:type="dxa"/>
            <w:noWrap w:val="0"/>
            <w:vAlign w:val="center"/>
          </w:tcPr>
          <w:p w14:paraId="65B20771">
            <w:pPr>
              <w:spacing w:line="0" w:lineRule="atLeast"/>
              <w:jc w:val="center"/>
              <w:rPr>
                <w:rFonts w:ascii="宋体" w:hAnsi="宋体" w:cs="仿宋"/>
                <w:color w:val="000000"/>
                <w:sz w:val="24"/>
                <w:szCs w:val="24"/>
              </w:rPr>
            </w:pPr>
          </w:p>
        </w:tc>
        <w:tc>
          <w:tcPr>
            <w:tcW w:w="1236" w:type="dxa"/>
            <w:noWrap w:val="0"/>
            <w:vAlign w:val="center"/>
          </w:tcPr>
          <w:p w14:paraId="0E70B879">
            <w:pPr>
              <w:spacing w:line="0" w:lineRule="atLeast"/>
              <w:jc w:val="center"/>
              <w:rPr>
                <w:rFonts w:ascii="宋体" w:hAnsi="宋体" w:cs="仿宋"/>
                <w:color w:val="000000"/>
                <w:sz w:val="24"/>
                <w:szCs w:val="24"/>
              </w:rPr>
            </w:pPr>
          </w:p>
        </w:tc>
      </w:tr>
      <w:tr w14:paraId="4F61B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737" w:type="dxa"/>
            <w:noWrap w:val="0"/>
            <w:vAlign w:val="center"/>
          </w:tcPr>
          <w:p w14:paraId="77BC9EAB">
            <w:pPr>
              <w:spacing w:line="0" w:lineRule="atLeast"/>
              <w:jc w:val="center"/>
              <w:rPr>
                <w:rFonts w:ascii="宋体" w:hAnsi="宋体" w:cs="仿宋"/>
                <w:color w:val="000000"/>
                <w:sz w:val="24"/>
                <w:szCs w:val="24"/>
              </w:rPr>
            </w:pPr>
            <w:r>
              <w:rPr>
                <w:rFonts w:hint="eastAsia" w:ascii="宋体" w:hAnsi="宋体" w:cs="仿宋"/>
                <w:color w:val="000000"/>
                <w:sz w:val="24"/>
                <w:szCs w:val="24"/>
              </w:rPr>
              <w:t>2</w:t>
            </w:r>
          </w:p>
        </w:tc>
        <w:tc>
          <w:tcPr>
            <w:tcW w:w="1027" w:type="dxa"/>
            <w:noWrap w:val="0"/>
            <w:vAlign w:val="center"/>
          </w:tcPr>
          <w:p w14:paraId="00316B4F">
            <w:pPr>
              <w:spacing w:line="0" w:lineRule="atLeast"/>
              <w:rPr>
                <w:rFonts w:ascii="宋体" w:hAnsi="宋体" w:cs="仿宋"/>
                <w:color w:val="000000"/>
                <w:sz w:val="24"/>
                <w:szCs w:val="24"/>
              </w:rPr>
            </w:pPr>
          </w:p>
        </w:tc>
        <w:tc>
          <w:tcPr>
            <w:tcW w:w="957" w:type="dxa"/>
            <w:noWrap w:val="0"/>
            <w:vAlign w:val="center"/>
          </w:tcPr>
          <w:p w14:paraId="26491971">
            <w:pPr>
              <w:spacing w:line="0" w:lineRule="atLeast"/>
              <w:rPr>
                <w:rFonts w:ascii="宋体" w:hAnsi="宋体" w:cs="仿宋"/>
                <w:color w:val="000000"/>
                <w:sz w:val="24"/>
                <w:szCs w:val="24"/>
              </w:rPr>
            </w:pPr>
          </w:p>
        </w:tc>
        <w:tc>
          <w:tcPr>
            <w:tcW w:w="1403" w:type="dxa"/>
            <w:noWrap w:val="0"/>
            <w:vAlign w:val="center"/>
          </w:tcPr>
          <w:p w14:paraId="0D9A7312">
            <w:pPr>
              <w:spacing w:line="0" w:lineRule="atLeast"/>
              <w:rPr>
                <w:rFonts w:ascii="宋体" w:hAnsi="宋体" w:cs="仿宋"/>
                <w:color w:val="000000"/>
                <w:sz w:val="24"/>
                <w:szCs w:val="24"/>
              </w:rPr>
            </w:pPr>
          </w:p>
        </w:tc>
        <w:tc>
          <w:tcPr>
            <w:tcW w:w="1276" w:type="dxa"/>
            <w:noWrap w:val="0"/>
            <w:vAlign w:val="center"/>
          </w:tcPr>
          <w:p w14:paraId="543EA65A">
            <w:pPr>
              <w:spacing w:line="0" w:lineRule="atLeast"/>
              <w:rPr>
                <w:rFonts w:ascii="宋体" w:hAnsi="宋体" w:cs="仿宋"/>
                <w:color w:val="000000"/>
                <w:sz w:val="24"/>
                <w:szCs w:val="24"/>
              </w:rPr>
            </w:pPr>
          </w:p>
        </w:tc>
        <w:tc>
          <w:tcPr>
            <w:tcW w:w="1039" w:type="dxa"/>
            <w:noWrap w:val="0"/>
            <w:vAlign w:val="center"/>
          </w:tcPr>
          <w:p w14:paraId="16C7B0CC">
            <w:pPr>
              <w:spacing w:line="0" w:lineRule="atLeast"/>
              <w:rPr>
                <w:rFonts w:ascii="宋体" w:hAnsi="宋体" w:cs="仿宋"/>
                <w:color w:val="000000"/>
                <w:sz w:val="24"/>
                <w:szCs w:val="24"/>
              </w:rPr>
            </w:pPr>
          </w:p>
        </w:tc>
        <w:tc>
          <w:tcPr>
            <w:tcW w:w="1516" w:type="dxa"/>
            <w:noWrap w:val="0"/>
            <w:vAlign w:val="center"/>
          </w:tcPr>
          <w:p w14:paraId="7F56D663">
            <w:pPr>
              <w:spacing w:line="0" w:lineRule="atLeast"/>
              <w:rPr>
                <w:rFonts w:ascii="宋体" w:hAnsi="宋体" w:cs="仿宋"/>
                <w:color w:val="000000"/>
                <w:sz w:val="24"/>
                <w:szCs w:val="24"/>
              </w:rPr>
            </w:pPr>
          </w:p>
        </w:tc>
        <w:tc>
          <w:tcPr>
            <w:tcW w:w="1236" w:type="dxa"/>
            <w:noWrap w:val="0"/>
            <w:vAlign w:val="center"/>
          </w:tcPr>
          <w:p w14:paraId="7095FC99">
            <w:pPr>
              <w:spacing w:line="0" w:lineRule="atLeast"/>
              <w:rPr>
                <w:rFonts w:ascii="宋体" w:hAnsi="宋体" w:cs="仿宋"/>
                <w:color w:val="000000"/>
                <w:sz w:val="24"/>
                <w:szCs w:val="24"/>
              </w:rPr>
            </w:pPr>
          </w:p>
        </w:tc>
      </w:tr>
      <w:tr w14:paraId="0873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2" w:hRule="atLeast"/>
          <w:jc w:val="center"/>
        </w:trPr>
        <w:tc>
          <w:tcPr>
            <w:tcW w:w="737" w:type="dxa"/>
            <w:noWrap w:val="0"/>
            <w:vAlign w:val="center"/>
          </w:tcPr>
          <w:p w14:paraId="76557D6B">
            <w:pPr>
              <w:spacing w:line="0" w:lineRule="atLeast"/>
              <w:jc w:val="center"/>
              <w:rPr>
                <w:rFonts w:ascii="宋体" w:hAnsi="宋体" w:cs="仿宋"/>
                <w:color w:val="000000"/>
                <w:sz w:val="24"/>
                <w:szCs w:val="24"/>
              </w:rPr>
            </w:pPr>
            <w:r>
              <w:rPr>
                <w:rFonts w:hint="eastAsia" w:ascii="宋体" w:hAnsi="宋体" w:cs="仿宋"/>
                <w:color w:val="000000"/>
                <w:sz w:val="24"/>
                <w:szCs w:val="24"/>
              </w:rPr>
              <w:t>3</w:t>
            </w:r>
          </w:p>
        </w:tc>
        <w:tc>
          <w:tcPr>
            <w:tcW w:w="1027" w:type="dxa"/>
            <w:noWrap w:val="0"/>
            <w:vAlign w:val="center"/>
          </w:tcPr>
          <w:p w14:paraId="3C394D8C">
            <w:pPr>
              <w:spacing w:line="0" w:lineRule="atLeast"/>
              <w:rPr>
                <w:rFonts w:ascii="宋体" w:hAnsi="宋体" w:cs="仿宋"/>
                <w:color w:val="000000"/>
                <w:sz w:val="24"/>
                <w:szCs w:val="24"/>
              </w:rPr>
            </w:pPr>
          </w:p>
        </w:tc>
        <w:tc>
          <w:tcPr>
            <w:tcW w:w="957" w:type="dxa"/>
            <w:noWrap w:val="0"/>
            <w:vAlign w:val="center"/>
          </w:tcPr>
          <w:p w14:paraId="1198E4F7">
            <w:pPr>
              <w:spacing w:line="0" w:lineRule="atLeast"/>
              <w:rPr>
                <w:rFonts w:ascii="宋体" w:hAnsi="宋体" w:cs="仿宋"/>
                <w:color w:val="000000"/>
                <w:sz w:val="24"/>
                <w:szCs w:val="24"/>
              </w:rPr>
            </w:pPr>
          </w:p>
        </w:tc>
        <w:tc>
          <w:tcPr>
            <w:tcW w:w="1403" w:type="dxa"/>
            <w:noWrap w:val="0"/>
            <w:vAlign w:val="center"/>
          </w:tcPr>
          <w:p w14:paraId="728A3F77">
            <w:pPr>
              <w:spacing w:line="0" w:lineRule="atLeast"/>
              <w:rPr>
                <w:rFonts w:ascii="宋体" w:hAnsi="宋体" w:cs="仿宋"/>
                <w:color w:val="000000"/>
                <w:sz w:val="24"/>
                <w:szCs w:val="24"/>
              </w:rPr>
            </w:pPr>
          </w:p>
        </w:tc>
        <w:tc>
          <w:tcPr>
            <w:tcW w:w="1276" w:type="dxa"/>
            <w:noWrap w:val="0"/>
            <w:vAlign w:val="center"/>
          </w:tcPr>
          <w:p w14:paraId="0BC23802">
            <w:pPr>
              <w:spacing w:line="0" w:lineRule="atLeast"/>
              <w:rPr>
                <w:rFonts w:ascii="宋体" w:hAnsi="宋体" w:cs="仿宋"/>
                <w:color w:val="000000"/>
                <w:sz w:val="24"/>
                <w:szCs w:val="24"/>
              </w:rPr>
            </w:pPr>
          </w:p>
        </w:tc>
        <w:tc>
          <w:tcPr>
            <w:tcW w:w="1039" w:type="dxa"/>
            <w:noWrap w:val="0"/>
            <w:vAlign w:val="center"/>
          </w:tcPr>
          <w:p w14:paraId="0E15E13A">
            <w:pPr>
              <w:spacing w:line="0" w:lineRule="atLeast"/>
              <w:rPr>
                <w:rFonts w:ascii="宋体" w:hAnsi="宋体" w:cs="仿宋"/>
                <w:color w:val="000000"/>
                <w:sz w:val="24"/>
                <w:szCs w:val="24"/>
              </w:rPr>
            </w:pPr>
          </w:p>
        </w:tc>
        <w:tc>
          <w:tcPr>
            <w:tcW w:w="1516" w:type="dxa"/>
            <w:noWrap w:val="0"/>
            <w:vAlign w:val="center"/>
          </w:tcPr>
          <w:p w14:paraId="5704E871">
            <w:pPr>
              <w:spacing w:line="0" w:lineRule="atLeast"/>
              <w:rPr>
                <w:rFonts w:ascii="宋体" w:hAnsi="宋体" w:cs="仿宋"/>
                <w:color w:val="000000"/>
                <w:sz w:val="24"/>
                <w:szCs w:val="24"/>
              </w:rPr>
            </w:pPr>
          </w:p>
        </w:tc>
        <w:tc>
          <w:tcPr>
            <w:tcW w:w="1236" w:type="dxa"/>
            <w:noWrap w:val="0"/>
            <w:vAlign w:val="center"/>
          </w:tcPr>
          <w:p w14:paraId="5F9B22E0">
            <w:pPr>
              <w:spacing w:line="0" w:lineRule="atLeast"/>
              <w:rPr>
                <w:rFonts w:ascii="宋体" w:hAnsi="宋体" w:cs="仿宋"/>
                <w:color w:val="000000"/>
                <w:sz w:val="24"/>
                <w:szCs w:val="24"/>
              </w:rPr>
            </w:pPr>
          </w:p>
        </w:tc>
      </w:tr>
      <w:tr w14:paraId="22563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jc w:val="center"/>
        </w:trPr>
        <w:tc>
          <w:tcPr>
            <w:tcW w:w="737" w:type="dxa"/>
            <w:noWrap w:val="0"/>
            <w:vAlign w:val="center"/>
          </w:tcPr>
          <w:p w14:paraId="3E06ADC8">
            <w:pPr>
              <w:spacing w:line="0" w:lineRule="atLeast"/>
              <w:jc w:val="center"/>
              <w:rPr>
                <w:rFonts w:ascii="宋体" w:hAnsi="宋体" w:cs="仿宋"/>
                <w:color w:val="000000"/>
                <w:sz w:val="24"/>
                <w:szCs w:val="24"/>
              </w:rPr>
            </w:pPr>
            <w:r>
              <w:rPr>
                <w:rFonts w:hint="eastAsia" w:ascii="宋体" w:hAnsi="宋体" w:cs="仿宋"/>
                <w:color w:val="000000"/>
                <w:sz w:val="24"/>
                <w:szCs w:val="24"/>
              </w:rPr>
              <w:t>4</w:t>
            </w:r>
          </w:p>
        </w:tc>
        <w:tc>
          <w:tcPr>
            <w:tcW w:w="1027" w:type="dxa"/>
            <w:noWrap w:val="0"/>
            <w:vAlign w:val="center"/>
          </w:tcPr>
          <w:p w14:paraId="68AF3BE9">
            <w:pPr>
              <w:spacing w:line="0" w:lineRule="atLeast"/>
              <w:rPr>
                <w:rFonts w:ascii="宋体" w:hAnsi="宋体" w:cs="仿宋"/>
                <w:color w:val="000000"/>
                <w:sz w:val="24"/>
                <w:szCs w:val="24"/>
              </w:rPr>
            </w:pPr>
          </w:p>
        </w:tc>
        <w:tc>
          <w:tcPr>
            <w:tcW w:w="957" w:type="dxa"/>
            <w:noWrap w:val="0"/>
            <w:vAlign w:val="center"/>
          </w:tcPr>
          <w:p w14:paraId="388E052B">
            <w:pPr>
              <w:spacing w:line="0" w:lineRule="atLeast"/>
              <w:rPr>
                <w:rFonts w:ascii="宋体" w:hAnsi="宋体" w:cs="仿宋"/>
                <w:color w:val="000000"/>
                <w:sz w:val="24"/>
                <w:szCs w:val="24"/>
              </w:rPr>
            </w:pPr>
          </w:p>
        </w:tc>
        <w:tc>
          <w:tcPr>
            <w:tcW w:w="1403" w:type="dxa"/>
            <w:noWrap w:val="0"/>
            <w:vAlign w:val="center"/>
          </w:tcPr>
          <w:p w14:paraId="1AF65B59">
            <w:pPr>
              <w:spacing w:line="0" w:lineRule="atLeast"/>
              <w:rPr>
                <w:rFonts w:ascii="宋体" w:hAnsi="宋体" w:cs="仿宋"/>
                <w:color w:val="000000"/>
                <w:sz w:val="24"/>
                <w:szCs w:val="24"/>
              </w:rPr>
            </w:pPr>
          </w:p>
        </w:tc>
        <w:tc>
          <w:tcPr>
            <w:tcW w:w="1276" w:type="dxa"/>
            <w:noWrap w:val="0"/>
            <w:vAlign w:val="center"/>
          </w:tcPr>
          <w:p w14:paraId="5D58E4A2">
            <w:pPr>
              <w:spacing w:line="0" w:lineRule="atLeast"/>
              <w:rPr>
                <w:rFonts w:ascii="宋体" w:hAnsi="宋体" w:cs="仿宋"/>
                <w:color w:val="000000"/>
                <w:sz w:val="24"/>
                <w:szCs w:val="24"/>
              </w:rPr>
            </w:pPr>
          </w:p>
        </w:tc>
        <w:tc>
          <w:tcPr>
            <w:tcW w:w="1039" w:type="dxa"/>
            <w:noWrap w:val="0"/>
            <w:vAlign w:val="center"/>
          </w:tcPr>
          <w:p w14:paraId="4DBCC179">
            <w:pPr>
              <w:spacing w:line="0" w:lineRule="atLeast"/>
              <w:rPr>
                <w:rFonts w:ascii="宋体" w:hAnsi="宋体" w:cs="仿宋"/>
                <w:color w:val="000000"/>
                <w:sz w:val="24"/>
                <w:szCs w:val="24"/>
              </w:rPr>
            </w:pPr>
          </w:p>
        </w:tc>
        <w:tc>
          <w:tcPr>
            <w:tcW w:w="1516" w:type="dxa"/>
            <w:noWrap w:val="0"/>
            <w:vAlign w:val="center"/>
          </w:tcPr>
          <w:p w14:paraId="4A1E6AF7">
            <w:pPr>
              <w:spacing w:line="0" w:lineRule="atLeast"/>
              <w:rPr>
                <w:rFonts w:ascii="宋体" w:hAnsi="宋体" w:cs="仿宋"/>
                <w:color w:val="000000"/>
                <w:sz w:val="24"/>
                <w:szCs w:val="24"/>
              </w:rPr>
            </w:pPr>
          </w:p>
        </w:tc>
        <w:tc>
          <w:tcPr>
            <w:tcW w:w="1236" w:type="dxa"/>
            <w:noWrap w:val="0"/>
            <w:vAlign w:val="center"/>
          </w:tcPr>
          <w:p w14:paraId="4D68947E">
            <w:pPr>
              <w:spacing w:line="0" w:lineRule="atLeast"/>
              <w:rPr>
                <w:rFonts w:ascii="宋体" w:hAnsi="宋体" w:cs="仿宋"/>
                <w:color w:val="000000"/>
                <w:sz w:val="24"/>
                <w:szCs w:val="24"/>
              </w:rPr>
            </w:pPr>
          </w:p>
        </w:tc>
      </w:tr>
      <w:tr w14:paraId="5156F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7958" w:type="dxa"/>
            <w:gridSpan w:val="7"/>
            <w:noWrap w:val="0"/>
            <w:vAlign w:val="center"/>
          </w:tcPr>
          <w:p w14:paraId="4B36727E">
            <w:pPr>
              <w:jc w:val="center"/>
              <w:rPr>
                <w:rFonts w:ascii="宋体" w:hAnsi="宋体" w:cs="仿宋"/>
                <w:color w:val="000000"/>
                <w:sz w:val="24"/>
                <w:szCs w:val="24"/>
              </w:rPr>
            </w:pPr>
            <w:r>
              <w:rPr>
                <w:rFonts w:hint="eastAsia" w:ascii="宋体" w:hAnsi="宋体" w:cs="仿宋"/>
                <w:color w:val="000000"/>
                <w:sz w:val="24"/>
                <w:szCs w:val="24"/>
              </w:rPr>
              <w:t>合同金额：人民币</w:t>
            </w:r>
            <w:r>
              <w:rPr>
                <w:rFonts w:hint="eastAsia" w:ascii="宋体" w:hAnsi="宋体" w:cs="仿宋"/>
                <w:color w:val="000000"/>
                <w:sz w:val="24"/>
                <w:szCs w:val="24"/>
                <w:u w:val="single"/>
              </w:rPr>
              <w:t xml:space="preserve">          </w:t>
            </w:r>
            <w:r>
              <w:rPr>
                <w:rFonts w:hint="eastAsia" w:ascii="宋体" w:hAnsi="宋体" w:cs="仿宋"/>
                <w:color w:val="000000"/>
                <w:sz w:val="24"/>
                <w:szCs w:val="24"/>
              </w:rPr>
              <w:t>元整（</w:t>
            </w:r>
            <w:r>
              <w:rPr>
                <w:rFonts w:ascii="宋体" w:hAnsi="宋体" w:cs="Calibri"/>
                <w:color w:val="000000"/>
                <w:sz w:val="24"/>
                <w:szCs w:val="24"/>
              </w:rPr>
              <w:t>¥</w:t>
            </w:r>
            <w:r>
              <w:rPr>
                <w:rFonts w:hint="eastAsia" w:ascii="宋体" w:hAnsi="宋体" w:cs="仿宋"/>
                <w:color w:val="000000"/>
                <w:sz w:val="24"/>
                <w:szCs w:val="24"/>
              </w:rPr>
              <w:t>：</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   </w:t>
            </w:r>
          </w:p>
        </w:tc>
        <w:tc>
          <w:tcPr>
            <w:tcW w:w="1236" w:type="dxa"/>
            <w:noWrap w:val="0"/>
            <w:vAlign w:val="top"/>
          </w:tcPr>
          <w:p w14:paraId="60EB2F1B">
            <w:pPr>
              <w:rPr>
                <w:rFonts w:ascii="宋体" w:hAnsi="宋体" w:cs="仿宋"/>
                <w:color w:val="000000"/>
                <w:sz w:val="24"/>
                <w:szCs w:val="24"/>
              </w:rPr>
            </w:pPr>
          </w:p>
        </w:tc>
      </w:tr>
    </w:tbl>
    <w:p w14:paraId="5440E541">
      <w:pPr>
        <w:spacing w:line="560" w:lineRule="exact"/>
        <w:rPr>
          <w:rFonts w:cs="Courier New"/>
          <w:b/>
          <w:sz w:val="24"/>
          <w:szCs w:val="24"/>
        </w:rPr>
      </w:pPr>
      <w:r>
        <w:rPr>
          <w:rFonts w:cs="Courier New"/>
          <w:sz w:val="24"/>
          <w:szCs w:val="24"/>
        </w:rPr>
        <w:t>三、</w:t>
      </w:r>
      <w:r>
        <w:rPr>
          <w:rFonts w:cs="Courier New"/>
          <w:b/>
          <w:sz w:val="24"/>
          <w:szCs w:val="24"/>
        </w:rPr>
        <w:t>技术资料</w:t>
      </w:r>
    </w:p>
    <w:p w14:paraId="7BED438D">
      <w:pPr>
        <w:spacing w:line="560" w:lineRule="exact"/>
        <w:ind w:firstLine="480" w:firstLineChars="200"/>
        <w:rPr>
          <w:rFonts w:cs="Courier New"/>
          <w:sz w:val="24"/>
          <w:szCs w:val="24"/>
        </w:rPr>
      </w:pPr>
      <w:r>
        <w:rPr>
          <w:rFonts w:cs="Courier New"/>
          <w:sz w:val="24"/>
          <w:szCs w:val="24"/>
        </w:rPr>
        <w:t>3.1乙方应按招标文件规定的时间向甲方提供使用货物</w:t>
      </w:r>
      <w:r>
        <w:rPr>
          <w:rFonts w:hint="eastAsia" w:cs="Courier New"/>
          <w:sz w:val="24"/>
          <w:szCs w:val="24"/>
        </w:rPr>
        <w:t>(包含与货物相关的服务)</w:t>
      </w:r>
      <w:r>
        <w:rPr>
          <w:rFonts w:cs="Courier New"/>
          <w:sz w:val="24"/>
          <w:szCs w:val="24"/>
        </w:rPr>
        <w:t>的有关技术资料。</w:t>
      </w:r>
    </w:p>
    <w:p w14:paraId="2E09E0BC">
      <w:pPr>
        <w:spacing w:line="560" w:lineRule="exact"/>
        <w:ind w:firstLine="480" w:firstLineChars="200"/>
        <w:rPr>
          <w:rFonts w:cs="Courier New"/>
          <w:sz w:val="24"/>
          <w:szCs w:val="24"/>
        </w:rPr>
      </w:pPr>
      <w:r>
        <w:rPr>
          <w:rFonts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3323AC">
      <w:pPr>
        <w:spacing w:line="560" w:lineRule="exact"/>
        <w:rPr>
          <w:rFonts w:cs="Courier New"/>
          <w:b/>
          <w:sz w:val="24"/>
          <w:szCs w:val="24"/>
        </w:rPr>
      </w:pPr>
      <w:r>
        <w:rPr>
          <w:rFonts w:cs="Courier New"/>
          <w:b/>
          <w:sz w:val="24"/>
          <w:szCs w:val="24"/>
        </w:rPr>
        <w:t>四、知识产权</w:t>
      </w:r>
    </w:p>
    <w:p w14:paraId="22023C89">
      <w:pPr>
        <w:spacing w:line="560" w:lineRule="exact"/>
        <w:ind w:firstLine="480" w:firstLineChars="200"/>
        <w:rPr>
          <w:sz w:val="24"/>
        </w:rPr>
      </w:pPr>
      <w:r>
        <w:rPr>
          <w:sz w:val="24"/>
          <w:szCs w:val="24"/>
        </w:rPr>
        <w:t>4.1乙</w:t>
      </w:r>
      <w:r>
        <w:rPr>
          <w:rFonts w:hint="eastAsia"/>
          <w:sz w:val="24"/>
        </w:rPr>
        <w:t>方应保证甲方在使用、接受本合同货物</w:t>
      </w:r>
      <w:r>
        <w:rPr>
          <w:rFonts w:hint="eastAsia"/>
          <w:sz w:val="24"/>
          <w:szCs w:val="24"/>
        </w:rPr>
        <w:t>（包含与货物相关的服务）</w:t>
      </w:r>
      <w:r>
        <w:rPr>
          <w:rFonts w:hint="eastAsia"/>
          <w:sz w:val="24"/>
        </w:rPr>
        <w:t>或其任何一部分时不受第三方提出侵犯其专利权、版权、商标权和工业设计权等知识产权的起诉。一旦出现侵权，由乙方负全部责任。</w:t>
      </w:r>
    </w:p>
    <w:p w14:paraId="41B17C06">
      <w:pPr>
        <w:spacing w:line="560" w:lineRule="exact"/>
        <w:rPr>
          <w:rFonts w:cs="Courier New"/>
          <w:sz w:val="24"/>
          <w:szCs w:val="24"/>
          <w:u w:val="single"/>
        </w:rPr>
      </w:pPr>
      <w:r>
        <w:rPr>
          <w:rFonts w:cs="Courier New"/>
          <w:b/>
          <w:sz w:val="24"/>
          <w:szCs w:val="24"/>
        </w:rPr>
        <w:t>五、产权担保</w:t>
      </w:r>
    </w:p>
    <w:p w14:paraId="365A5588">
      <w:pPr>
        <w:spacing w:line="560" w:lineRule="exact"/>
        <w:ind w:firstLine="480" w:firstLineChars="200"/>
        <w:rPr>
          <w:rFonts w:cs="Courier New"/>
          <w:sz w:val="24"/>
          <w:szCs w:val="24"/>
          <w:u w:val="single"/>
        </w:rPr>
      </w:pPr>
      <w:r>
        <w:rPr>
          <w:rFonts w:cs="Courier New"/>
          <w:sz w:val="24"/>
          <w:szCs w:val="24"/>
        </w:rPr>
        <w:t>5.1 乙方保证所交付的货物</w:t>
      </w:r>
      <w:r>
        <w:rPr>
          <w:rFonts w:hint="eastAsia" w:cs="Courier New"/>
          <w:sz w:val="24"/>
          <w:szCs w:val="24"/>
        </w:rPr>
        <w:t>（包含与货物相关的服务）</w:t>
      </w:r>
      <w:r>
        <w:rPr>
          <w:rFonts w:cs="Courier New"/>
          <w:sz w:val="24"/>
          <w:szCs w:val="24"/>
        </w:rPr>
        <w:t>的所有权完全属于乙方且无任何抵押、查封等产权瑕疵。</w:t>
      </w:r>
    </w:p>
    <w:p w14:paraId="3D2ABA8B">
      <w:pPr>
        <w:spacing w:line="560" w:lineRule="exact"/>
        <w:rPr>
          <w:rFonts w:cs="Courier New"/>
          <w:b/>
          <w:sz w:val="24"/>
          <w:szCs w:val="24"/>
        </w:rPr>
      </w:pPr>
      <w:r>
        <w:rPr>
          <w:rFonts w:cs="Courier New"/>
          <w:b/>
          <w:sz w:val="24"/>
          <w:szCs w:val="24"/>
        </w:rPr>
        <w:t>六、履约保证金</w:t>
      </w:r>
    </w:p>
    <w:p w14:paraId="21438EA8">
      <w:pPr>
        <w:spacing w:line="560" w:lineRule="exact"/>
        <w:ind w:left="660" w:leftChars="200" w:hanging="240" w:hangingChars="100"/>
        <w:rPr>
          <w:rFonts w:hint="eastAsia"/>
          <w:b/>
          <w:bCs/>
          <w:sz w:val="24"/>
          <w:lang w:val="zh-CN"/>
        </w:rPr>
      </w:pPr>
      <w:r>
        <w:rPr>
          <w:rFonts w:hint="eastAsia"/>
          <w:b/>
          <w:bCs/>
          <w:sz w:val="24"/>
          <w:lang w:val="zh-CN"/>
        </w:rPr>
        <w:t>本项目</w:t>
      </w:r>
      <w:r>
        <w:rPr>
          <w:b/>
          <w:bCs/>
          <w:sz w:val="24"/>
          <w:lang w:val="zh-CN"/>
        </w:rPr>
        <w:t>无须缴纳</w:t>
      </w:r>
      <w:r>
        <w:rPr>
          <w:rFonts w:hint="eastAsia"/>
          <w:b/>
          <w:bCs/>
          <w:sz w:val="24"/>
          <w:lang w:val="zh-CN"/>
        </w:rPr>
        <w:t>履约保证金。</w:t>
      </w:r>
    </w:p>
    <w:p w14:paraId="7968B83E">
      <w:pPr>
        <w:spacing w:line="560" w:lineRule="exact"/>
        <w:rPr>
          <w:rFonts w:eastAsia="仿宋_GB2312"/>
          <w:b/>
          <w:sz w:val="24"/>
          <w:szCs w:val="24"/>
        </w:rPr>
      </w:pPr>
      <w:r>
        <w:rPr>
          <w:rFonts w:hint="eastAsia"/>
          <w:b/>
          <w:sz w:val="24"/>
          <w:szCs w:val="24"/>
        </w:rPr>
        <w:t>七、合同转包或分包</w:t>
      </w:r>
    </w:p>
    <w:p w14:paraId="270862EF">
      <w:pPr>
        <w:spacing w:line="560" w:lineRule="exact"/>
        <w:ind w:firstLine="480" w:firstLineChars="200"/>
        <w:rPr>
          <w:sz w:val="24"/>
          <w:szCs w:val="24"/>
        </w:rPr>
      </w:pPr>
      <w:r>
        <w:rPr>
          <w:rFonts w:hint="eastAsia"/>
          <w:sz w:val="24"/>
          <w:szCs w:val="24"/>
        </w:rPr>
        <w:t>7.1乙方不得将合同标的转包给他人履行。</w:t>
      </w:r>
    </w:p>
    <w:p w14:paraId="73A21AA7">
      <w:pPr>
        <w:spacing w:line="560" w:lineRule="exact"/>
        <w:ind w:firstLine="480" w:firstLineChars="200"/>
        <w:rPr>
          <w:sz w:val="24"/>
          <w:szCs w:val="24"/>
        </w:rPr>
      </w:pPr>
      <w:r>
        <w:rPr>
          <w:rFonts w:hint="eastAsia"/>
          <w:sz w:val="24"/>
          <w:szCs w:val="24"/>
        </w:rPr>
        <w:t>7.2乙方不得将合同标的分包给他人履行。</w:t>
      </w:r>
    </w:p>
    <w:p w14:paraId="0329CE4A">
      <w:pPr>
        <w:spacing w:line="560" w:lineRule="exact"/>
        <w:ind w:firstLine="480" w:firstLineChars="200"/>
        <w:rPr>
          <w:rFonts w:eastAsia="仿宋_GB2312"/>
          <w:sz w:val="24"/>
          <w:szCs w:val="24"/>
        </w:rPr>
      </w:pPr>
      <w:r>
        <w:rPr>
          <w:sz w:val="24"/>
          <w:szCs w:val="24"/>
        </w:rPr>
        <w:t>7.3</w:t>
      </w:r>
      <w:r>
        <w:rPr>
          <w:rFonts w:hint="eastAsia"/>
          <w:sz w:val="24"/>
          <w:szCs w:val="24"/>
        </w:rPr>
        <w:t>乙方如有转包或未经甲方同意的分包行为，甲方有权给予终止合同。</w:t>
      </w:r>
    </w:p>
    <w:p w14:paraId="20C4A9FF">
      <w:pPr>
        <w:spacing w:line="560" w:lineRule="exact"/>
        <w:rPr>
          <w:rFonts w:cs="Courier New"/>
          <w:b/>
          <w:sz w:val="24"/>
          <w:szCs w:val="24"/>
        </w:rPr>
      </w:pPr>
      <w:r>
        <w:rPr>
          <w:rFonts w:hint="eastAsia" w:cs="Courier New"/>
          <w:b/>
          <w:sz w:val="24"/>
          <w:szCs w:val="24"/>
        </w:rPr>
        <w:t>八</w:t>
      </w:r>
      <w:r>
        <w:rPr>
          <w:rFonts w:cs="Courier New"/>
          <w:b/>
          <w:sz w:val="24"/>
          <w:szCs w:val="24"/>
        </w:rPr>
        <w:t>、</w:t>
      </w:r>
      <w:r>
        <w:rPr>
          <w:rFonts w:hint="eastAsia" w:cs="Courier New"/>
          <w:b/>
          <w:sz w:val="24"/>
          <w:szCs w:val="24"/>
        </w:rPr>
        <w:t>合同款项</w:t>
      </w:r>
      <w:r>
        <w:rPr>
          <w:rFonts w:cs="Courier New"/>
          <w:b/>
          <w:sz w:val="24"/>
          <w:szCs w:val="24"/>
        </w:rPr>
        <w:t>支付</w:t>
      </w:r>
    </w:p>
    <w:p w14:paraId="57FA9482">
      <w:pPr>
        <w:spacing w:line="560" w:lineRule="exact"/>
        <w:ind w:firstLine="480" w:firstLineChars="200"/>
        <w:rPr>
          <w:rFonts w:hint="eastAsia" w:ascii="宋体" w:hAnsi="宋体" w:cs="宋体"/>
          <w:b/>
          <w:color w:val="000000"/>
          <w:sz w:val="24"/>
          <w:highlight w:val="none"/>
          <w:u w:val="single"/>
        </w:rPr>
      </w:pPr>
      <w:r>
        <w:rPr>
          <w:rFonts w:hint="eastAsia"/>
          <w:bCs/>
          <w:sz w:val="24"/>
          <w:lang w:val="zh-CN"/>
        </w:rPr>
        <w:t>8.1合同款项的支付方式及进度安排：</w:t>
      </w:r>
      <w:r>
        <w:rPr>
          <w:rFonts w:hint="eastAsia" w:ascii="宋体" w:hAnsi="宋体" w:cs="宋体"/>
          <w:b/>
          <w:color w:val="000000"/>
          <w:sz w:val="24"/>
          <w:highlight w:val="none"/>
          <w:u w:val="single"/>
          <w:lang w:val="zh-CN"/>
        </w:rPr>
        <w:t>签订合同后按规定支付合同总价款的</w:t>
      </w:r>
      <w:r>
        <w:rPr>
          <w:rFonts w:hint="eastAsia" w:ascii="宋体" w:hAnsi="宋体" w:eastAsia="宋体" w:cs="宋体"/>
          <w:b/>
          <w:color w:val="000000"/>
          <w:sz w:val="24"/>
          <w:highlight w:val="none"/>
          <w:u w:val="single"/>
          <w:lang w:val="en-US" w:eastAsia="zh-CN"/>
        </w:rPr>
        <w:t>5</w:t>
      </w:r>
      <w:r>
        <w:rPr>
          <w:rFonts w:hint="eastAsia" w:ascii="宋体" w:hAnsi="宋体" w:cs="宋体"/>
          <w:b/>
          <w:color w:val="000000"/>
          <w:sz w:val="24"/>
          <w:highlight w:val="none"/>
          <w:u w:val="single"/>
          <w:lang w:val="zh-CN"/>
        </w:rPr>
        <w:t>0%</w:t>
      </w:r>
      <w:r>
        <w:rPr>
          <w:rFonts w:hint="eastAsia" w:ascii="宋体" w:hAnsi="宋体" w:cs="宋体"/>
          <w:b/>
          <w:color w:val="000000"/>
          <w:sz w:val="24"/>
          <w:highlight w:val="none"/>
          <w:u w:val="single"/>
        </w:rPr>
        <w:t>预付款</w:t>
      </w:r>
      <w:r>
        <w:rPr>
          <w:rFonts w:hint="eastAsia" w:ascii="宋体" w:hAnsi="宋体" w:cs="宋体"/>
          <w:b/>
          <w:color w:val="000000"/>
          <w:sz w:val="24"/>
          <w:highlight w:val="none"/>
          <w:u w:val="single"/>
          <w:lang w:val="zh-CN"/>
        </w:rPr>
        <w:t>；</w:t>
      </w:r>
      <w:r>
        <w:rPr>
          <w:rFonts w:hint="eastAsia" w:ascii="宋体" w:hAnsi="宋体" w:cs="宋体"/>
          <w:b/>
          <w:color w:val="000000"/>
          <w:sz w:val="24"/>
          <w:highlight w:val="none"/>
          <w:u w:val="single"/>
        </w:rPr>
        <w:t>全部设备货物安装调试完毕、检定/校准完成经验收合</w:t>
      </w:r>
      <w:r>
        <w:rPr>
          <w:rFonts w:hint="eastAsia" w:ascii="宋体" w:hAnsi="宋体" w:cs="宋体"/>
          <w:b/>
          <w:color w:val="000000"/>
          <w:sz w:val="24"/>
          <w:highlight w:val="none"/>
          <w:u w:val="single"/>
          <w:lang w:val="zh-CN"/>
        </w:rPr>
        <w:t>格并提供全额增值税专用发票后付至</w:t>
      </w:r>
      <w:r>
        <w:rPr>
          <w:rFonts w:hint="eastAsia" w:ascii="宋体" w:hAnsi="宋体" w:cs="宋体"/>
          <w:b/>
          <w:color w:val="000000"/>
          <w:sz w:val="24"/>
          <w:highlight w:val="none"/>
          <w:u w:val="single"/>
        </w:rPr>
        <w:t>合同金额的100%。</w:t>
      </w:r>
    </w:p>
    <w:p w14:paraId="4B577550">
      <w:pPr>
        <w:spacing w:line="560" w:lineRule="exact"/>
        <w:ind w:firstLine="480" w:firstLineChars="200"/>
        <w:rPr>
          <w:rFonts w:hint="eastAsia"/>
          <w:lang w:val="zh-CN"/>
        </w:rPr>
      </w:pPr>
      <w:r>
        <w:rPr>
          <w:rFonts w:hint="eastAsia" w:cs="Courier New"/>
          <w:bCs/>
          <w:sz w:val="24"/>
          <w:szCs w:val="24"/>
          <w:highlight w:val="none"/>
          <w:lang w:val="zh-CN"/>
        </w:rPr>
        <w:t>乙方应向甲方提供符合要求的增值税专用发票，否则，甲方有权拒绝付款，同时不免除供应商合同履行义务。甲方可从应付款中直接扣除乙方应承担的违约金或其他费用。</w:t>
      </w:r>
    </w:p>
    <w:p w14:paraId="3171EF39">
      <w:pPr>
        <w:spacing w:line="560" w:lineRule="exact"/>
        <w:ind w:firstLine="480" w:firstLineChars="200"/>
        <w:rPr>
          <w:rFonts w:cs="Courier New"/>
          <w:bCs/>
          <w:sz w:val="24"/>
          <w:szCs w:val="24"/>
          <w:highlight w:val="none"/>
        </w:rPr>
      </w:pPr>
      <w:r>
        <w:rPr>
          <w:rFonts w:hint="eastAsia" w:cs="Courier New"/>
          <w:bCs/>
          <w:sz w:val="24"/>
          <w:szCs w:val="24"/>
          <w:highlight w:val="none"/>
        </w:rPr>
        <w:t>在签订合同时，</w:t>
      </w:r>
      <w:r>
        <w:rPr>
          <w:rFonts w:hint="eastAsia" w:eastAsia="宋体" w:cs="Courier New"/>
          <w:bCs/>
          <w:sz w:val="24"/>
          <w:szCs w:val="24"/>
          <w:highlight w:val="none"/>
          <w:lang w:eastAsia="zh-CN"/>
        </w:rPr>
        <w:t>乙方</w:t>
      </w:r>
      <w:r>
        <w:rPr>
          <w:rFonts w:hint="eastAsia" w:cs="Courier New"/>
          <w:bCs/>
          <w:sz w:val="24"/>
          <w:szCs w:val="24"/>
          <w:highlight w:val="none"/>
        </w:rPr>
        <w:t>明确表示无需预付款或者主动要求降低预付款比例的，</w:t>
      </w:r>
      <w:r>
        <w:rPr>
          <w:rFonts w:hint="eastAsia" w:eastAsia="宋体" w:cs="Courier New"/>
          <w:bCs/>
          <w:sz w:val="24"/>
          <w:szCs w:val="24"/>
          <w:highlight w:val="none"/>
          <w:lang w:eastAsia="zh-CN"/>
        </w:rPr>
        <w:t>甲方</w:t>
      </w:r>
      <w:r>
        <w:rPr>
          <w:rFonts w:hint="eastAsia" w:cs="Courier New"/>
          <w:bCs/>
          <w:sz w:val="24"/>
          <w:szCs w:val="24"/>
          <w:highlight w:val="none"/>
        </w:rPr>
        <w:t>可不适用前述规定。</w:t>
      </w:r>
    </w:p>
    <w:p w14:paraId="6EE99C3D">
      <w:pPr>
        <w:spacing w:line="560" w:lineRule="exact"/>
        <w:ind w:firstLine="480" w:firstLineChars="200"/>
        <w:rPr>
          <w:rFonts w:hint="eastAsia"/>
          <w:bCs/>
          <w:sz w:val="24"/>
          <w:lang w:val="zh-CN"/>
        </w:rPr>
      </w:pPr>
      <w:r>
        <w:rPr>
          <w:rFonts w:hint="eastAsia"/>
          <w:bCs/>
          <w:sz w:val="24"/>
          <w:lang w:val="zh-CN"/>
        </w:rPr>
        <w:t>8.2当采购数量与实际使用数量不一致时，乙方应根据实际使用量供货，合同的最终结算金额按实际使用量乘以成交单价进行计算。</w:t>
      </w:r>
    </w:p>
    <w:p w14:paraId="5E8B7300">
      <w:pPr>
        <w:spacing w:line="560" w:lineRule="exact"/>
        <w:rPr>
          <w:rFonts w:eastAsia="仿宋_GB2312"/>
          <w:b/>
          <w:sz w:val="24"/>
          <w:szCs w:val="24"/>
        </w:rPr>
      </w:pPr>
      <w:r>
        <w:rPr>
          <w:rFonts w:hint="eastAsia"/>
          <w:b/>
          <w:sz w:val="24"/>
          <w:szCs w:val="24"/>
        </w:rPr>
        <w:t>九、税费</w:t>
      </w:r>
    </w:p>
    <w:p w14:paraId="696836CB">
      <w:pPr>
        <w:spacing w:line="560" w:lineRule="exact"/>
        <w:ind w:firstLine="480" w:firstLineChars="200"/>
        <w:rPr>
          <w:rFonts w:eastAsia="仿宋_GB2312"/>
          <w:sz w:val="24"/>
          <w:szCs w:val="24"/>
        </w:rPr>
      </w:pPr>
      <w:r>
        <w:rPr>
          <w:rFonts w:hint="eastAsia"/>
          <w:sz w:val="24"/>
          <w:szCs w:val="24"/>
        </w:rPr>
        <w:t>9</w:t>
      </w:r>
      <w:r>
        <w:rPr>
          <w:sz w:val="24"/>
          <w:szCs w:val="24"/>
        </w:rPr>
        <w:t>.1</w:t>
      </w:r>
      <w:r>
        <w:rPr>
          <w:rFonts w:hint="eastAsia"/>
          <w:sz w:val="24"/>
          <w:szCs w:val="24"/>
        </w:rPr>
        <w:t>本合同执行中相关的一切税费均由乙方负担。</w:t>
      </w:r>
    </w:p>
    <w:p w14:paraId="68F5CDCB">
      <w:pPr>
        <w:spacing w:line="560" w:lineRule="exact"/>
        <w:rPr>
          <w:rFonts w:eastAsia="仿宋_GB2312"/>
          <w:sz w:val="24"/>
          <w:szCs w:val="24"/>
        </w:rPr>
      </w:pPr>
      <w:r>
        <w:rPr>
          <w:rFonts w:cs="Courier New"/>
          <w:b/>
          <w:sz w:val="24"/>
          <w:szCs w:val="24"/>
        </w:rPr>
        <w:t>十、质量</w:t>
      </w:r>
      <w:r>
        <w:rPr>
          <w:rFonts w:hint="eastAsia" w:cs="Courier New"/>
          <w:b/>
          <w:sz w:val="24"/>
          <w:szCs w:val="24"/>
        </w:rPr>
        <w:t>保修范围和保修期</w:t>
      </w:r>
      <w:r>
        <w:rPr>
          <w:rFonts w:cs="Courier New"/>
          <w:b/>
          <w:sz w:val="24"/>
          <w:szCs w:val="24"/>
        </w:rPr>
        <w:t>及售后服务</w:t>
      </w:r>
    </w:p>
    <w:p w14:paraId="7E890E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0</w:t>
      </w:r>
      <w:r>
        <w:rPr>
          <w:sz w:val="24"/>
          <w:szCs w:val="24"/>
        </w:rPr>
        <w:t>.1 乙方应按招标文件规定的货物性能、技术要求、质量标准向甲方提供未经使用的全新产品。</w:t>
      </w:r>
    </w:p>
    <w:p w14:paraId="2F070F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0</w:t>
      </w:r>
      <w:r>
        <w:rPr>
          <w:sz w:val="24"/>
          <w:szCs w:val="24"/>
        </w:rPr>
        <w:t>.2 乙方提供的货物在质量期内因货物本身的质量问题发生故障，乙方应负责免费更换。对达不到技术要求者，根据实际情况，经双方协商，可按以下办法处理：</w:t>
      </w:r>
      <w:r>
        <w:rPr>
          <w:rFonts w:cs="Courier New"/>
          <w:sz w:val="24"/>
          <w:szCs w:val="24"/>
        </w:rPr>
        <w:t>⑴更换：由乙方承担所发生的全部费用。⑵贬值处理：由甲乙双方合议定价。⑶退货处理：乙方应退还甲方支付的合同款，同时应承担该货物的直接费用（运输、保险、检验、货款利息及银行手续费等）。</w:t>
      </w:r>
    </w:p>
    <w:p w14:paraId="0A1F87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0</w:t>
      </w:r>
      <w:r>
        <w:rPr>
          <w:rFonts w:cs="Courier New"/>
          <w:sz w:val="24"/>
          <w:szCs w:val="24"/>
        </w:rPr>
        <w:t>.3 如在使用过程中发生质量问题，乙方在接到甲方通知后在</w:t>
      </w:r>
      <w:r>
        <w:rPr>
          <w:rFonts w:hint="eastAsia" w:eastAsia="宋体" w:cs="Courier New"/>
          <w:sz w:val="24"/>
          <w:szCs w:val="24"/>
          <w:u w:val="single"/>
          <w:lang w:val="en-US" w:eastAsia="zh-CN"/>
        </w:rPr>
        <w:t xml:space="preserve">  4  </w:t>
      </w:r>
      <w:r>
        <w:rPr>
          <w:rFonts w:cs="Courier New"/>
          <w:sz w:val="24"/>
          <w:szCs w:val="24"/>
        </w:rPr>
        <w:t>小时内到达甲方现场。</w:t>
      </w:r>
    </w:p>
    <w:p w14:paraId="23BF75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0</w:t>
      </w:r>
      <w:r>
        <w:rPr>
          <w:rFonts w:cs="Courier New"/>
          <w:sz w:val="24"/>
          <w:szCs w:val="24"/>
        </w:rPr>
        <w:t>.4 在质保期内，乙方应对货物出现的质量及安全问题负责处理解决并承担一切费用。</w:t>
      </w:r>
    </w:p>
    <w:p w14:paraId="6EAF94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0</w:t>
      </w:r>
      <w:r>
        <w:rPr>
          <w:sz w:val="24"/>
          <w:szCs w:val="24"/>
        </w:rPr>
        <w:t>.5上述的货物免费</w:t>
      </w:r>
      <w:r>
        <w:rPr>
          <w:sz w:val="24"/>
          <w:szCs w:val="24"/>
          <w:highlight w:val="none"/>
        </w:rPr>
        <w:t>保修期为</w:t>
      </w:r>
      <w:r>
        <w:rPr>
          <w:sz w:val="24"/>
          <w:szCs w:val="24"/>
          <w:highlight w:val="none"/>
          <w:u w:val="single"/>
        </w:rPr>
        <w:t xml:space="preserve"> </w:t>
      </w:r>
      <w:r>
        <w:rPr>
          <w:rFonts w:hint="eastAsia" w:eastAsia="宋体"/>
          <w:sz w:val="24"/>
          <w:szCs w:val="24"/>
          <w:highlight w:val="none"/>
          <w:u w:val="single"/>
          <w:lang w:val="en-US" w:eastAsia="zh-CN"/>
        </w:rPr>
        <w:t>24个</w:t>
      </w:r>
      <w:r>
        <w:rPr>
          <w:sz w:val="24"/>
          <w:szCs w:val="24"/>
          <w:highlight w:val="none"/>
          <w:u w:val="single"/>
        </w:rPr>
        <w:t xml:space="preserve"> </w:t>
      </w:r>
      <w:r>
        <w:rPr>
          <w:rFonts w:hint="eastAsia"/>
          <w:sz w:val="24"/>
          <w:szCs w:val="24"/>
          <w:highlight w:val="none"/>
        </w:rPr>
        <w:t>月</w:t>
      </w:r>
      <w:r>
        <w:rPr>
          <w:sz w:val="24"/>
          <w:szCs w:val="24"/>
        </w:rPr>
        <w:t>（自交货验收合格之日起计），因人为因素出现的故障不在免费保修范围内。超过保修期的机器设备，终生维修，维修时只收部件成本费。</w:t>
      </w:r>
    </w:p>
    <w:p w14:paraId="1BFC2F98">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一</w:t>
      </w:r>
      <w:r>
        <w:rPr>
          <w:rFonts w:cs="Courier New"/>
          <w:b/>
          <w:sz w:val="24"/>
          <w:szCs w:val="24"/>
        </w:rPr>
        <w:t>、</w:t>
      </w:r>
      <w:r>
        <w:rPr>
          <w:rFonts w:hint="eastAsia" w:cs="Courier New"/>
          <w:b/>
          <w:sz w:val="24"/>
          <w:szCs w:val="24"/>
        </w:rPr>
        <w:t>项目</w:t>
      </w:r>
      <w:r>
        <w:rPr>
          <w:rFonts w:cs="Courier New"/>
          <w:b/>
          <w:sz w:val="24"/>
          <w:szCs w:val="24"/>
        </w:rPr>
        <w:t>验收</w:t>
      </w:r>
    </w:p>
    <w:p w14:paraId="708673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11.1 甲方依法组织履约验收工作。</w:t>
      </w:r>
    </w:p>
    <w:p w14:paraId="0A0CD9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3EFFF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11.3 对于实际使用人和甲方分离的项目，甲方邀请实际使用人参与验收。</w:t>
      </w:r>
    </w:p>
    <w:p w14:paraId="18E00A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11.4 如有必要，甲方邀请参加本项目的其他供应商或第三方专业机构及专家参与验收，相关意见将作为验收书的参考资料。</w:t>
      </w:r>
    </w:p>
    <w:p w14:paraId="15AD011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D22C0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w:t>
      </w:r>
      <w:r>
        <w:rPr>
          <w:rFonts w:hint="eastAsia" w:cs="Courier New"/>
          <w:sz w:val="24"/>
          <w:szCs w:val="24"/>
          <w:lang w:eastAsia="zh-CN"/>
        </w:rPr>
        <w:t>》</w:t>
      </w:r>
      <w:r>
        <w:rPr>
          <w:rFonts w:hint="eastAsia" w:cs="Courier New"/>
          <w:sz w:val="24"/>
          <w:szCs w:val="24"/>
        </w:rPr>
        <w:t>。乙方在履约过程中有政府采购法律法规规定的违法违规情形的,甲方将及时报告本级财政部门。</w:t>
      </w:r>
    </w:p>
    <w:p w14:paraId="2985CBD0">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二</w:t>
      </w:r>
      <w:r>
        <w:rPr>
          <w:rFonts w:cs="Courier New"/>
          <w:b/>
          <w:sz w:val="24"/>
          <w:szCs w:val="24"/>
        </w:rPr>
        <w:t>、货物</w:t>
      </w:r>
      <w:r>
        <w:rPr>
          <w:rFonts w:hint="eastAsia" w:cs="Courier New"/>
          <w:b/>
          <w:sz w:val="24"/>
          <w:szCs w:val="24"/>
        </w:rPr>
        <w:t>的</w:t>
      </w:r>
      <w:r>
        <w:rPr>
          <w:rFonts w:cs="Courier New"/>
          <w:b/>
          <w:sz w:val="24"/>
          <w:szCs w:val="24"/>
        </w:rPr>
        <w:t>包装、发运及运输</w:t>
      </w:r>
    </w:p>
    <w:p w14:paraId="5A830A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2</w:t>
      </w:r>
      <w:r>
        <w:rPr>
          <w:sz w:val="24"/>
          <w:szCs w:val="24"/>
        </w:rPr>
        <w:t>.1 乙方应在货物发运前对其进行满足运输距离、防潮、防震、防锈和防破损装卸等要求包装，以保证货物安全运达甲方指定地点。</w:t>
      </w:r>
      <w:r>
        <w:rPr>
          <w:rFonts w:hint="eastAsia"/>
          <w:sz w:val="24"/>
          <w:szCs w:val="24"/>
        </w:rPr>
        <w:t>乙方对货物的包装应符合《商品包装政府采购需求标准（试行）》、《快递包装政府采购需求标准（试行）》的规定。</w:t>
      </w:r>
    </w:p>
    <w:p w14:paraId="1C6A89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rFonts w:cs="Courier New"/>
          <w:sz w:val="24"/>
          <w:szCs w:val="24"/>
        </w:rPr>
        <w:t>1</w:t>
      </w:r>
      <w:r>
        <w:rPr>
          <w:rFonts w:hint="eastAsia" w:cs="Courier New"/>
          <w:sz w:val="24"/>
          <w:szCs w:val="24"/>
        </w:rPr>
        <w:t>2</w:t>
      </w:r>
      <w:r>
        <w:rPr>
          <w:rFonts w:cs="Courier New"/>
          <w:sz w:val="24"/>
          <w:szCs w:val="24"/>
        </w:rPr>
        <w:t>.2 使用说明书、质量检验证明书、随配附件和工具以及清单一并附于货物内。</w:t>
      </w:r>
    </w:p>
    <w:p w14:paraId="0EF248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2</w:t>
      </w:r>
      <w:r>
        <w:rPr>
          <w:sz w:val="24"/>
          <w:szCs w:val="24"/>
        </w:rPr>
        <w:t>.3 乙方在货物发运手续办理完毕后24小时内或货到甲方48小时前通知甲方，以准备接货。</w:t>
      </w:r>
    </w:p>
    <w:p w14:paraId="391ACF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rFonts w:cs="Courier New"/>
          <w:sz w:val="24"/>
          <w:szCs w:val="24"/>
        </w:rPr>
        <w:t>1</w:t>
      </w:r>
      <w:r>
        <w:rPr>
          <w:rFonts w:hint="eastAsia" w:cs="Courier New"/>
          <w:sz w:val="24"/>
          <w:szCs w:val="24"/>
        </w:rPr>
        <w:t>2</w:t>
      </w:r>
      <w:r>
        <w:rPr>
          <w:rFonts w:cs="Courier New"/>
          <w:sz w:val="24"/>
          <w:szCs w:val="24"/>
        </w:rPr>
        <w:t>.4 货物在交付甲方前发生的风险均由乙方负责。</w:t>
      </w:r>
    </w:p>
    <w:p w14:paraId="2D99EB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2</w:t>
      </w:r>
      <w:r>
        <w:rPr>
          <w:sz w:val="24"/>
          <w:szCs w:val="24"/>
        </w:rPr>
        <w:t>.5 货物在规定的交付期限内由乙方送达甲方指定的地点视为交付，乙方同时需通知甲方货物已送达。</w:t>
      </w:r>
    </w:p>
    <w:p w14:paraId="5C5BCE62">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三</w:t>
      </w:r>
      <w:r>
        <w:rPr>
          <w:rFonts w:cs="Courier New"/>
          <w:b/>
          <w:sz w:val="24"/>
          <w:szCs w:val="24"/>
        </w:rPr>
        <w:t>、违约责任</w:t>
      </w:r>
    </w:p>
    <w:p w14:paraId="7B1B12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3</w:t>
      </w:r>
      <w:r>
        <w:rPr>
          <w:rFonts w:cs="Courier New"/>
          <w:sz w:val="24"/>
          <w:szCs w:val="24"/>
        </w:rPr>
        <w:t>.1 甲方无正当理由拒收货物的，甲方向乙方偿付拒收货款总值</w:t>
      </w:r>
      <w:r>
        <w:rPr>
          <w:rFonts w:hint="eastAsia" w:cs="Courier New"/>
          <w:sz w:val="24"/>
          <w:szCs w:val="24"/>
          <w:u w:val="single"/>
        </w:rPr>
        <w:t xml:space="preserve"> </w:t>
      </w:r>
      <w:r>
        <w:rPr>
          <w:sz w:val="24"/>
          <w:szCs w:val="24"/>
          <w:u w:val="single"/>
        </w:rPr>
        <w:t>千分之</w:t>
      </w:r>
      <w:r>
        <w:rPr>
          <w:rFonts w:hint="eastAsia"/>
          <w:sz w:val="24"/>
          <w:szCs w:val="24"/>
          <w:u w:val="single"/>
        </w:rPr>
        <w:t>五</w:t>
      </w:r>
      <w:r>
        <w:rPr>
          <w:rFonts w:hint="eastAsia" w:cs="Courier New"/>
          <w:sz w:val="24"/>
          <w:szCs w:val="24"/>
          <w:u w:val="single"/>
        </w:rPr>
        <w:t xml:space="preserve"> </w:t>
      </w:r>
      <w:r>
        <w:rPr>
          <w:rFonts w:cs="Courier New"/>
          <w:sz w:val="24"/>
          <w:szCs w:val="24"/>
        </w:rPr>
        <w:t>的违约金。</w:t>
      </w:r>
    </w:p>
    <w:p w14:paraId="5A012A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3</w:t>
      </w:r>
      <w:r>
        <w:rPr>
          <w:sz w:val="24"/>
          <w:szCs w:val="24"/>
        </w:rPr>
        <w:t>.2 甲方无故逾期验收和办理货款支付手续的,甲方应按逾期付款总额每日</w:t>
      </w:r>
      <w:r>
        <w:rPr>
          <w:rFonts w:hint="eastAsia"/>
          <w:sz w:val="24"/>
          <w:szCs w:val="24"/>
          <w:u w:val="single"/>
        </w:rPr>
        <w:t xml:space="preserve"> 千分之壹   </w:t>
      </w:r>
      <w:r>
        <w:rPr>
          <w:sz w:val="24"/>
          <w:szCs w:val="24"/>
        </w:rPr>
        <w:t>向乙方支付违约金。</w:t>
      </w:r>
    </w:p>
    <w:p w14:paraId="044F33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3</w:t>
      </w:r>
      <w:r>
        <w:rPr>
          <w:sz w:val="24"/>
          <w:szCs w:val="24"/>
        </w:rPr>
        <w:t>.3 乙方逾期交付货物的，乙方应按逾期交货总额每日</w:t>
      </w:r>
      <w:r>
        <w:rPr>
          <w:rFonts w:hint="eastAsia"/>
          <w:sz w:val="24"/>
          <w:szCs w:val="24"/>
          <w:u w:val="single"/>
        </w:rPr>
        <w:t xml:space="preserve"> </w:t>
      </w:r>
      <w:r>
        <w:rPr>
          <w:sz w:val="24"/>
          <w:szCs w:val="24"/>
          <w:u w:val="single"/>
        </w:rPr>
        <w:t>千分之</w:t>
      </w:r>
      <w:r>
        <w:rPr>
          <w:rFonts w:hint="eastAsia"/>
          <w:sz w:val="24"/>
          <w:szCs w:val="24"/>
          <w:u w:val="single"/>
        </w:rPr>
        <w:t xml:space="preserve">五 </w:t>
      </w:r>
      <w:r>
        <w:rPr>
          <w:sz w:val="24"/>
          <w:szCs w:val="24"/>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百分之</w:t>
      </w:r>
      <w:r>
        <w:rPr>
          <w:sz w:val="24"/>
          <w:szCs w:val="24"/>
          <w:u w:val="single"/>
        </w:rPr>
        <w:t>十</w:t>
      </w:r>
      <w:r>
        <w:rPr>
          <w:rFonts w:hint="eastAsia"/>
          <w:sz w:val="24"/>
          <w:szCs w:val="24"/>
          <w:u w:val="single"/>
        </w:rPr>
        <w:t xml:space="preserve">  </w:t>
      </w:r>
      <w:r>
        <w:rPr>
          <w:sz w:val="24"/>
          <w:szCs w:val="24"/>
        </w:rPr>
        <w:t xml:space="preserve">的违约金，如造成甲方损失超过违约金的，超出部分由乙方继续承担赔偿责任。 </w:t>
      </w:r>
    </w:p>
    <w:p w14:paraId="7B5F5F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3</w:t>
      </w:r>
      <w:r>
        <w:rPr>
          <w:sz w:val="24"/>
          <w:szCs w:val="24"/>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E4E6067">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四</w:t>
      </w:r>
      <w:r>
        <w:rPr>
          <w:rFonts w:cs="Courier New"/>
          <w:b/>
          <w:sz w:val="24"/>
          <w:szCs w:val="24"/>
        </w:rPr>
        <w:t>、</w:t>
      </w:r>
      <w:r>
        <w:rPr>
          <w:rFonts w:hint="eastAsia" w:cs="Courier New"/>
          <w:b/>
          <w:sz w:val="24"/>
          <w:szCs w:val="24"/>
        </w:rPr>
        <w:t>供应商合法权益补偿机制</w:t>
      </w:r>
    </w:p>
    <w:p w14:paraId="63075D2A">
      <w:pPr>
        <w:pStyle w:val="19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Courier New"/>
          <w:sz w:val="24"/>
          <w:szCs w:val="24"/>
        </w:rPr>
      </w:pPr>
      <w:bookmarkStart w:id="149" w:name="_Toc23650"/>
      <w:r>
        <w:rPr>
          <w:rFonts w:hint="eastAsia" w:ascii="Times New Roman" w:hAnsi="Times New Roman" w:cs="Courier New"/>
          <w:sz w:val="24"/>
          <w:szCs w:val="24"/>
        </w:rPr>
        <w:t>供应商合法权益补偿救济机制。在履约过程因政策变化、规划调整而无法履行合同约定，造成企业合法权益受损的，采购人依据实际情况对供应商进行补偿救济。</w:t>
      </w:r>
      <w:bookmarkEnd w:id="149"/>
    </w:p>
    <w:p w14:paraId="38101383">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五</w:t>
      </w:r>
      <w:r>
        <w:rPr>
          <w:rFonts w:cs="Courier New"/>
          <w:b/>
          <w:sz w:val="24"/>
          <w:szCs w:val="24"/>
        </w:rPr>
        <w:t>、不可抗力事件处理</w:t>
      </w:r>
    </w:p>
    <w:p w14:paraId="5901F7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5</w:t>
      </w:r>
      <w:r>
        <w:rPr>
          <w:sz w:val="24"/>
          <w:szCs w:val="24"/>
        </w:rPr>
        <w:t>.1 在合同有效期内，任何一方因不可抗力事件导致不能履行合同，则合同履行期可延长，其延长期与不可抗力影响期相同。</w:t>
      </w:r>
    </w:p>
    <w:p w14:paraId="46A304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5</w:t>
      </w:r>
      <w:r>
        <w:rPr>
          <w:rFonts w:cs="Courier New"/>
          <w:sz w:val="24"/>
          <w:szCs w:val="24"/>
        </w:rPr>
        <w:t>.2 不可抗力事件发生后，应立即通知对方，并寄送有关权威机构出具的证明。</w:t>
      </w:r>
    </w:p>
    <w:p w14:paraId="35EAD5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5</w:t>
      </w:r>
      <w:r>
        <w:rPr>
          <w:rFonts w:cs="Courier New"/>
          <w:sz w:val="24"/>
          <w:szCs w:val="24"/>
        </w:rPr>
        <w:t>.3 不可抗力事件延续120天以上，双方应通过友好协商，确定是否继续履行合同。</w:t>
      </w:r>
    </w:p>
    <w:p w14:paraId="1F681DDD">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六</w:t>
      </w:r>
      <w:r>
        <w:rPr>
          <w:rFonts w:cs="Courier New"/>
          <w:b/>
          <w:sz w:val="24"/>
          <w:szCs w:val="24"/>
        </w:rPr>
        <w:t>、</w:t>
      </w:r>
      <w:r>
        <w:rPr>
          <w:rFonts w:hint="eastAsia" w:cs="Courier New"/>
          <w:b/>
          <w:sz w:val="24"/>
          <w:szCs w:val="24"/>
        </w:rPr>
        <w:t>解决争议的方法</w:t>
      </w:r>
    </w:p>
    <w:p w14:paraId="16C9D9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rPr>
      </w:pPr>
      <w:r>
        <w:rPr>
          <w:sz w:val="24"/>
          <w:szCs w:val="24"/>
        </w:rPr>
        <w:t>1</w:t>
      </w:r>
      <w:r>
        <w:rPr>
          <w:rFonts w:hint="eastAsia"/>
          <w:sz w:val="24"/>
          <w:szCs w:val="24"/>
        </w:rPr>
        <w:t>6</w:t>
      </w:r>
      <w:r>
        <w:rPr>
          <w:sz w:val="24"/>
          <w:szCs w:val="24"/>
        </w:rPr>
        <w:t>.1</w:t>
      </w:r>
      <w:r>
        <w:rPr>
          <w:rFonts w:hint="eastAsia"/>
          <w:sz w:val="24"/>
          <w:szCs w:val="24"/>
        </w:rPr>
        <w:t>甲乙</w:t>
      </w:r>
      <w:r>
        <w:rPr>
          <w:sz w:val="24"/>
          <w:szCs w:val="24"/>
        </w:rPr>
        <w:t>双方</w:t>
      </w:r>
      <w:r>
        <w:rPr>
          <w:rFonts w:hint="eastAsia"/>
          <w:sz w:val="24"/>
          <w:szCs w:val="24"/>
        </w:rPr>
        <w:t>因</w:t>
      </w:r>
      <w:r>
        <w:rPr>
          <w:sz w:val="24"/>
          <w:szCs w:val="24"/>
        </w:rPr>
        <w:t>合同</w:t>
      </w:r>
      <w:r>
        <w:rPr>
          <w:rFonts w:hint="eastAsia"/>
          <w:sz w:val="24"/>
          <w:szCs w:val="24"/>
        </w:rPr>
        <w:t>签订、履行而</w:t>
      </w:r>
      <w:r>
        <w:rPr>
          <w:sz w:val="24"/>
          <w:szCs w:val="24"/>
        </w:rPr>
        <w:t>发生的一切争议，应通过</w:t>
      </w:r>
      <w:r>
        <w:rPr>
          <w:rFonts w:hint="eastAsia"/>
          <w:sz w:val="24"/>
          <w:szCs w:val="24"/>
        </w:rPr>
        <w:t>友好</w:t>
      </w:r>
      <w:r>
        <w:rPr>
          <w:sz w:val="24"/>
          <w:szCs w:val="24"/>
        </w:rPr>
        <w:t>协商解决。如协商不成</w:t>
      </w:r>
      <w:r>
        <w:rPr>
          <w:rFonts w:hint="eastAsia"/>
          <w:sz w:val="24"/>
          <w:szCs w:val="24"/>
        </w:rPr>
        <w:t>由甲方住所地人民</w:t>
      </w:r>
      <w:r>
        <w:rPr>
          <w:sz w:val="24"/>
          <w:szCs w:val="24"/>
        </w:rPr>
        <w:t>法院</w:t>
      </w:r>
      <w:r>
        <w:rPr>
          <w:rFonts w:hint="eastAsia"/>
          <w:sz w:val="24"/>
          <w:szCs w:val="24"/>
        </w:rPr>
        <w:t>管辖。</w:t>
      </w:r>
    </w:p>
    <w:p w14:paraId="5DA059D0">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rPr>
      </w:pPr>
      <w:r>
        <w:rPr>
          <w:rFonts w:cs="Courier New"/>
          <w:b/>
          <w:sz w:val="24"/>
          <w:szCs w:val="24"/>
        </w:rPr>
        <w:t>十</w:t>
      </w:r>
      <w:r>
        <w:rPr>
          <w:rFonts w:hint="eastAsia" w:cs="Courier New"/>
          <w:b/>
          <w:sz w:val="24"/>
          <w:szCs w:val="24"/>
        </w:rPr>
        <w:t>七</w:t>
      </w:r>
      <w:r>
        <w:rPr>
          <w:rFonts w:cs="Courier New"/>
          <w:b/>
          <w:sz w:val="24"/>
          <w:szCs w:val="24"/>
        </w:rPr>
        <w:t>、合同生效及其它</w:t>
      </w:r>
    </w:p>
    <w:p w14:paraId="5EB35D9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7</w:t>
      </w:r>
      <w:r>
        <w:rPr>
          <w:rFonts w:cs="Courier New"/>
          <w:sz w:val="24"/>
          <w:szCs w:val="24"/>
        </w:rPr>
        <w:t>.1 合同经双方法定代表人或授权委托代</w:t>
      </w:r>
      <w:r>
        <w:rPr>
          <w:rFonts w:hint="eastAsia" w:cs="Courier New"/>
          <w:sz w:val="24"/>
          <w:szCs w:val="24"/>
        </w:rPr>
        <w:t>表</w:t>
      </w:r>
      <w:r>
        <w:rPr>
          <w:rFonts w:cs="Courier New"/>
          <w:sz w:val="24"/>
          <w:szCs w:val="24"/>
        </w:rPr>
        <w:t>人签字并加盖单位公章后生效。</w:t>
      </w:r>
    </w:p>
    <w:p w14:paraId="52F0FC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hint="eastAsia" w:cs="Courier New"/>
          <w:sz w:val="24"/>
          <w:szCs w:val="24"/>
        </w:rPr>
        <w:t>17</w:t>
      </w:r>
      <w:r>
        <w:rPr>
          <w:rFonts w:cs="Courier New"/>
          <w:sz w:val="24"/>
          <w:szCs w:val="24"/>
        </w:rPr>
        <w:t>.2 本合同未尽事宜，遵照</w:t>
      </w:r>
      <w:r>
        <w:rPr>
          <w:rFonts w:hint="eastAsia" w:cs="Courier New"/>
          <w:sz w:val="24"/>
          <w:szCs w:val="24"/>
        </w:rPr>
        <w:t>中华人民共和国现行法律法规</w:t>
      </w:r>
      <w:r>
        <w:rPr>
          <w:rFonts w:cs="Courier New"/>
          <w:sz w:val="24"/>
          <w:szCs w:val="24"/>
        </w:rPr>
        <w:t>有关条文执行。</w:t>
      </w:r>
    </w:p>
    <w:p w14:paraId="684BF1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rPr>
      </w:pPr>
      <w:r>
        <w:rPr>
          <w:rFonts w:cs="Courier New"/>
          <w:sz w:val="24"/>
          <w:szCs w:val="24"/>
        </w:rPr>
        <w:t>1</w:t>
      </w:r>
      <w:r>
        <w:rPr>
          <w:rFonts w:hint="eastAsia" w:cs="Courier New"/>
          <w:sz w:val="24"/>
          <w:szCs w:val="24"/>
        </w:rPr>
        <w:t>7</w:t>
      </w:r>
      <w:r>
        <w:rPr>
          <w:rFonts w:cs="Courier New"/>
          <w:sz w:val="24"/>
          <w:szCs w:val="24"/>
        </w:rPr>
        <w:t>.</w:t>
      </w:r>
      <w:r>
        <w:rPr>
          <w:rFonts w:hint="eastAsia" w:cs="Courier New"/>
          <w:sz w:val="24"/>
          <w:szCs w:val="24"/>
        </w:rPr>
        <w:t>3</w:t>
      </w:r>
      <w:r>
        <w:rPr>
          <w:rFonts w:cs="Courier New"/>
          <w:sz w:val="24"/>
          <w:szCs w:val="24"/>
        </w:rPr>
        <w:t xml:space="preserve"> 本合同正本一式</w:t>
      </w:r>
      <w:r>
        <w:rPr>
          <w:rFonts w:hint="eastAsia" w:cs="Courier New"/>
          <w:sz w:val="24"/>
          <w:szCs w:val="24"/>
        </w:rPr>
        <w:t>六</w:t>
      </w:r>
      <w:r>
        <w:rPr>
          <w:rFonts w:cs="Courier New"/>
          <w:sz w:val="24"/>
          <w:szCs w:val="24"/>
        </w:rPr>
        <w:t>份，具有同等法律效力，甲</w:t>
      </w:r>
      <w:r>
        <w:rPr>
          <w:rFonts w:hint="eastAsia" w:cs="Courier New"/>
          <w:sz w:val="24"/>
          <w:szCs w:val="24"/>
        </w:rPr>
        <w:t>方、</w:t>
      </w:r>
      <w:r>
        <w:rPr>
          <w:rFonts w:cs="Courier New"/>
          <w:sz w:val="24"/>
          <w:szCs w:val="24"/>
        </w:rPr>
        <w:t>乙方各执</w:t>
      </w:r>
      <w:r>
        <w:rPr>
          <w:rFonts w:hint="eastAsia" w:cs="Courier New"/>
          <w:sz w:val="24"/>
          <w:szCs w:val="24"/>
        </w:rPr>
        <w:t>三</w:t>
      </w:r>
      <w:r>
        <w:rPr>
          <w:rFonts w:cs="Courier New"/>
          <w:sz w:val="24"/>
          <w:szCs w:val="24"/>
        </w:rPr>
        <w:t>份。</w:t>
      </w:r>
    </w:p>
    <w:p w14:paraId="5388563D">
      <w:pPr>
        <w:keepNext w:val="0"/>
        <w:keepLines w:val="0"/>
        <w:pageBreakBefore w:val="0"/>
        <w:widowControl w:val="0"/>
        <w:kinsoku/>
        <w:wordWrap/>
        <w:overflowPunct/>
        <w:topLinePunct w:val="0"/>
        <w:autoSpaceDE/>
        <w:autoSpaceDN/>
        <w:bidi w:val="0"/>
        <w:adjustRightInd/>
        <w:snapToGrid/>
        <w:spacing w:line="440" w:lineRule="exact"/>
        <w:ind w:hanging="480"/>
        <w:textAlignment w:val="auto"/>
        <w:rPr>
          <w:rFonts w:cs="Courier New"/>
          <w:sz w:val="24"/>
          <w:szCs w:val="24"/>
        </w:rPr>
      </w:pPr>
      <w:r>
        <w:rPr>
          <w:rFonts w:cs="Courier New"/>
          <w:sz w:val="24"/>
          <w:szCs w:val="24"/>
        </w:rPr>
        <w:t xml:space="preserve">      甲方：                        乙方： </w:t>
      </w:r>
    </w:p>
    <w:p w14:paraId="3DC5729E">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sz w:val="24"/>
          <w:szCs w:val="24"/>
        </w:rPr>
      </w:pPr>
      <w:r>
        <w:rPr>
          <w:rFonts w:cs="Courier New"/>
          <w:sz w:val="24"/>
          <w:szCs w:val="24"/>
        </w:rPr>
        <w:t xml:space="preserve">  地址：                       </w:t>
      </w:r>
      <w:r>
        <w:rPr>
          <w:rFonts w:hint="eastAsia" w:cs="Courier New"/>
          <w:sz w:val="24"/>
          <w:szCs w:val="24"/>
        </w:rPr>
        <w:t xml:space="preserve"> </w:t>
      </w:r>
      <w:r>
        <w:rPr>
          <w:rFonts w:cs="Courier New"/>
          <w:sz w:val="24"/>
          <w:szCs w:val="24"/>
        </w:rPr>
        <w:t xml:space="preserve">地址： </w:t>
      </w:r>
    </w:p>
    <w:p w14:paraId="1B0AAE45">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sz w:val="24"/>
          <w:szCs w:val="24"/>
        </w:rPr>
      </w:pPr>
      <w:r>
        <w:rPr>
          <w:rFonts w:cs="Courier New"/>
          <w:sz w:val="24"/>
          <w:szCs w:val="24"/>
        </w:rPr>
        <w:t xml:space="preserve">  法定代表人</w:t>
      </w:r>
      <w:r>
        <w:rPr>
          <w:rFonts w:hint="eastAsia" w:cs="Courier New"/>
          <w:sz w:val="24"/>
          <w:szCs w:val="24"/>
        </w:rPr>
        <w:t>或授权代表</w:t>
      </w:r>
      <w:r>
        <w:rPr>
          <w:rFonts w:cs="Courier New"/>
          <w:sz w:val="24"/>
          <w:szCs w:val="24"/>
        </w:rPr>
        <w:t>：        法定代表人</w:t>
      </w:r>
      <w:r>
        <w:rPr>
          <w:rFonts w:hint="eastAsia" w:cs="Courier New"/>
          <w:sz w:val="24"/>
          <w:szCs w:val="24"/>
        </w:rPr>
        <w:t>或授权代表</w:t>
      </w:r>
      <w:r>
        <w:rPr>
          <w:rFonts w:cs="Courier New"/>
          <w:sz w:val="24"/>
          <w:szCs w:val="24"/>
        </w:rPr>
        <w:t>：</w:t>
      </w:r>
    </w:p>
    <w:p w14:paraId="6AA4306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cs="Courier New"/>
        </w:rPr>
      </w:pPr>
      <w:r>
        <w:rPr>
          <w:rFonts w:hint="eastAsia" w:cs="Courier New"/>
          <w:sz w:val="24"/>
          <w:szCs w:val="24"/>
        </w:rPr>
        <w:t xml:space="preserve">联系电话：                    联系电话：        </w:t>
      </w:r>
    </w:p>
    <w:p w14:paraId="026F38FC">
      <w:pPr>
        <w:keepNext w:val="0"/>
        <w:keepLines w:val="0"/>
        <w:pageBreakBefore w:val="0"/>
        <w:widowControl w:val="0"/>
        <w:kinsoku/>
        <w:wordWrap/>
        <w:overflowPunct/>
        <w:topLinePunct w:val="0"/>
        <w:autoSpaceDE/>
        <w:autoSpaceDN/>
        <w:bidi w:val="0"/>
        <w:adjustRightInd/>
        <w:snapToGrid/>
        <w:spacing w:before="120" w:after="120" w:line="440" w:lineRule="exact"/>
        <w:jc w:val="center"/>
        <w:textAlignment w:val="auto"/>
        <w:rPr>
          <w:rFonts w:cs="Courier New"/>
          <w:sz w:val="24"/>
          <w:szCs w:val="24"/>
        </w:rPr>
      </w:pPr>
      <w:r>
        <w:rPr>
          <w:rFonts w:hint="eastAsia" w:cs="Courier New"/>
        </w:rPr>
        <w:t xml:space="preserve">            </w:t>
      </w:r>
      <w:r>
        <w:rPr>
          <w:rFonts w:hint="eastAsia" w:cs="Courier New"/>
          <w:sz w:val="24"/>
          <w:szCs w:val="24"/>
        </w:rPr>
        <w:t xml:space="preserve">   </w:t>
      </w:r>
    </w:p>
    <w:p w14:paraId="19B005B7">
      <w:pPr>
        <w:keepNext w:val="0"/>
        <w:keepLines w:val="0"/>
        <w:pageBreakBefore w:val="0"/>
        <w:widowControl w:val="0"/>
        <w:kinsoku/>
        <w:wordWrap/>
        <w:overflowPunct/>
        <w:topLinePunct w:val="0"/>
        <w:autoSpaceDE/>
        <w:autoSpaceDN/>
        <w:bidi w:val="0"/>
        <w:adjustRightInd/>
        <w:snapToGrid/>
        <w:spacing w:before="120" w:after="120" w:line="440" w:lineRule="exact"/>
        <w:ind w:firstLine="240"/>
        <w:textAlignment w:val="auto"/>
        <w:rPr>
          <w:rFonts w:cs="Courier New"/>
          <w:sz w:val="24"/>
          <w:szCs w:val="24"/>
        </w:rPr>
      </w:pPr>
      <w:r>
        <w:rPr>
          <w:rFonts w:hint="eastAsia" w:cs="Courier New"/>
          <w:sz w:val="24"/>
          <w:szCs w:val="24"/>
        </w:rPr>
        <w:t xml:space="preserve">签订日期：      年    月   日      </w:t>
      </w:r>
    </w:p>
    <w:p w14:paraId="406E88AC">
      <w:pPr>
        <w:spacing w:before="120" w:after="120" w:line="0" w:lineRule="atLeast"/>
        <w:ind w:firstLine="240"/>
        <w:rPr>
          <w:rFonts w:cs="Courier New"/>
          <w:sz w:val="24"/>
          <w:szCs w:val="24"/>
        </w:rPr>
      </w:pPr>
    </w:p>
    <w:p w14:paraId="71E80368">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0ACBFEC1">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4686A29A">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49BD98F9">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0E7163D8">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17AB273E">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471DCDB6">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7E9C0D91">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685CAF7F">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p w14:paraId="21B9777B">
      <w:pPr>
        <w:spacing w:line="360" w:lineRule="auto"/>
        <w:jc w:val="center"/>
        <w:rPr>
          <w:rFonts w:hint="eastAsia" w:ascii="宋体" w:hAnsi="宋体" w:eastAsia="宋体" w:cs="宋体"/>
          <w:b/>
          <w:color w:val="000000" w:themeColor="text1"/>
          <w:sz w:val="30"/>
          <w:szCs w:val="21"/>
          <w14:textFill>
            <w14:solidFill>
              <w14:schemeClr w14:val="tx1"/>
            </w14:solidFill>
          </w14:textFill>
        </w:rPr>
      </w:pPr>
    </w:p>
    <w:bookmarkEnd w:id="148"/>
    <w:p w14:paraId="281BC996">
      <w:pPr>
        <w:keepNext/>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eastAsia="宋体" w:cs="宋体"/>
          <w:bCs/>
          <w:color w:val="000000" w:themeColor="text1"/>
          <w:sz w:val="44"/>
          <w:szCs w:val="28"/>
          <w14:textFill>
            <w14:solidFill>
              <w14:schemeClr w14:val="tx1"/>
            </w14:solidFill>
          </w14:textFill>
        </w:rPr>
      </w:pPr>
      <w:bookmarkStart w:id="150" w:name="_Toc1604"/>
      <w:r>
        <w:rPr>
          <w:rFonts w:hint="eastAsia" w:ascii="宋体" w:hAnsi="宋体" w:eastAsia="宋体" w:cs="宋体"/>
          <w:b/>
          <w:color w:val="000000" w:themeColor="text1"/>
          <w:sz w:val="44"/>
          <w:szCs w:val="28"/>
          <w14:textFill>
            <w14:solidFill>
              <w14:schemeClr w14:val="tx1"/>
            </w14:solidFill>
          </w14:textFill>
        </w:rPr>
        <w:t>第</w:t>
      </w:r>
      <w:bookmarkEnd w:id="137"/>
      <w:r>
        <w:rPr>
          <w:rFonts w:hint="eastAsia" w:ascii="宋体" w:hAnsi="宋体" w:eastAsia="宋体" w:cs="宋体"/>
          <w:b/>
          <w:color w:val="000000" w:themeColor="text1"/>
          <w:sz w:val="44"/>
          <w:szCs w:val="28"/>
          <w14:textFill>
            <w14:solidFill>
              <w14:schemeClr w14:val="tx1"/>
            </w14:solidFill>
          </w14:textFill>
        </w:rPr>
        <w:t>四章 采购需求</w:t>
      </w:r>
      <w:bookmarkEnd w:id="138"/>
      <w:bookmarkEnd w:id="139"/>
      <w:bookmarkEnd w:id="140"/>
      <w:bookmarkEnd w:id="150"/>
    </w:p>
    <w:p w14:paraId="58F68C19">
      <w:pPr>
        <w:spacing w:line="560" w:lineRule="exact"/>
        <w:ind w:firstLine="480"/>
        <w:rPr>
          <w:rFonts w:cs="Courier New"/>
          <w:sz w:val="24"/>
          <w:szCs w:val="24"/>
          <w:highlight w:val="none"/>
        </w:rPr>
      </w:pPr>
      <w:bookmarkStart w:id="151" w:name="_Toc49090575"/>
      <w:bookmarkStart w:id="152" w:name="_Toc26554093"/>
      <w:r>
        <w:rPr>
          <w:rFonts w:hint="eastAsia" w:cs="Courier New"/>
          <w:sz w:val="24"/>
          <w:szCs w:val="24"/>
          <w:highlight w:val="none"/>
        </w:rPr>
        <w:t>项目属性：货物类项目</w:t>
      </w:r>
    </w:p>
    <w:p w14:paraId="4A897C4C">
      <w:pPr>
        <w:spacing w:line="560" w:lineRule="exact"/>
        <w:ind w:firstLine="480"/>
        <w:rPr>
          <w:rFonts w:cs="Courier New"/>
          <w:sz w:val="24"/>
          <w:szCs w:val="24"/>
          <w:highlight w:val="none"/>
        </w:rPr>
      </w:pPr>
      <w:r>
        <w:rPr>
          <w:rFonts w:hint="eastAsia" w:cs="Courier New"/>
          <w:sz w:val="24"/>
          <w:szCs w:val="24"/>
          <w:highlight w:val="none"/>
        </w:rPr>
        <w:t>本项目采购标的对应的中小企业划分标准所属行业：</w:t>
      </w:r>
      <w:r>
        <w:rPr>
          <w:rFonts w:hint="eastAsia" w:cs="Courier New"/>
          <w:sz w:val="24"/>
          <w:szCs w:val="24"/>
          <w:highlight w:val="none"/>
          <w:u w:val="single"/>
        </w:rPr>
        <w:t xml:space="preserve"> 工业（制造业）</w:t>
      </w:r>
    </w:p>
    <w:p w14:paraId="7294F9DC">
      <w:pPr>
        <w:spacing w:line="560" w:lineRule="exact"/>
        <w:ind w:firstLine="480"/>
        <w:rPr>
          <w:rFonts w:cs="Courier New"/>
          <w:sz w:val="24"/>
          <w:szCs w:val="24"/>
          <w:highlight w:val="none"/>
        </w:rPr>
      </w:pPr>
      <w:r>
        <w:rPr>
          <w:rFonts w:hint="eastAsia" w:cs="Courier New"/>
          <w:sz w:val="24"/>
          <w:szCs w:val="24"/>
          <w:highlight w:val="none"/>
        </w:rPr>
        <w:t>本项目</w:t>
      </w:r>
      <w:r>
        <w:rPr>
          <w:rFonts w:hint="eastAsia" w:cs="Courier New"/>
          <w:sz w:val="24"/>
          <w:szCs w:val="24"/>
          <w:highlight w:val="none"/>
          <w:u w:val="single"/>
        </w:rPr>
        <w:t xml:space="preserve"> 不接受 </w:t>
      </w:r>
      <w:r>
        <w:rPr>
          <w:rFonts w:hint="eastAsia" w:cs="Courier New"/>
          <w:sz w:val="24"/>
          <w:szCs w:val="24"/>
          <w:highlight w:val="none"/>
        </w:rPr>
        <w:t>（接受/不接受）进口产品。</w:t>
      </w:r>
    </w:p>
    <w:p w14:paraId="29C15B38">
      <w:pPr>
        <w:pStyle w:val="195"/>
        <w:spacing w:line="360" w:lineRule="auto"/>
        <w:ind w:firstLine="482"/>
        <w:jc w:val="left"/>
        <w:rPr>
          <w:rFonts w:ascii="Times New Roman" w:hAnsi="Times New Roman"/>
          <w:b/>
          <w:bCs/>
          <w:sz w:val="24"/>
          <w:szCs w:val="21"/>
          <w:highlight w:val="none"/>
        </w:rPr>
      </w:pPr>
      <w:r>
        <w:rPr>
          <w:rFonts w:hint="eastAsia" w:ascii="Times New Roman" w:hAnsi="Times New Roman"/>
          <w:b/>
          <w:bCs/>
          <w:sz w:val="24"/>
          <w:szCs w:val="21"/>
          <w:highlight w:val="none"/>
        </w:rPr>
        <w:t>一、项目概况</w:t>
      </w:r>
    </w:p>
    <w:p w14:paraId="36BD839C">
      <w:pPr>
        <w:keepNext/>
        <w:keepLines/>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1.项目编号：JSZC-321300-JSHB-G2026-0006</w:t>
      </w:r>
      <w:r>
        <w:rPr>
          <w:rFonts w:hint="eastAsia" w:ascii="宋体" w:hAnsi="宋体" w:eastAsia="宋体" w:cs="宋体"/>
          <w:color w:val="000000" w:themeColor="text1"/>
          <w:sz w:val="24"/>
          <w:lang w:val="en-US" w:eastAsia="zh-CN"/>
          <w14:textFill>
            <w14:solidFill>
              <w14:schemeClr w14:val="tx1"/>
            </w14:solidFill>
          </w14:textFill>
        </w:rPr>
        <w:t xml:space="preserve"> </w:t>
      </w:r>
    </w:p>
    <w:p w14:paraId="085E9B54">
      <w:pPr>
        <w:spacing w:line="360" w:lineRule="auto"/>
        <w:ind w:firstLine="480"/>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2.项目名称：宿迁市计量测试所化学衡器类设备检测装置采购项目</w:t>
      </w:r>
    </w:p>
    <w:p w14:paraId="6B7FBEF2">
      <w:pPr>
        <w:spacing w:line="360" w:lineRule="auto"/>
        <w:ind w:firstLine="480"/>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3.预算金额：</w:t>
      </w:r>
      <w:r>
        <w:rPr>
          <w:rFonts w:hint="eastAsia" w:ascii="宋体" w:hAnsi="宋体" w:eastAsia="宋体" w:cs="宋体"/>
          <w:color w:val="000000" w:themeColor="text1"/>
          <w:sz w:val="24"/>
          <w:lang w:val="en-US" w:eastAsia="zh-CN"/>
          <w14:textFill>
            <w14:solidFill>
              <w14:schemeClr w14:val="tx1"/>
            </w14:solidFill>
          </w14:textFill>
        </w:rPr>
        <w:t xml:space="preserve">150.2万元 </w:t>
      </w:r>
    </w:p>
    <w:p w14:paraId="3B9EE768">
      <w:pPr>
        <w:spacing w:line="360" w:lineRule="auto"/>
        <w:ind w:firstLine="480"/>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4.本项目设定最高限价：</w:t>
      </w:r>
      <w:r>
        <w:rPr>
          <w:rFonts w:hint="eastAsia" w:ascii="宋体" w:hAnsi="宋体" w:eastAsia="宋体" w:cs="宋体"/>
          <w:color w:val="000000" w:themeColor="text1"/>
          <w:sz w:val="24"/>
          <w:lang w:val="en-US" w:eastAsia="zh-CN"/>
          <w14:textFill>
            <w14:solidFill>
              <w14:schemeClr w14:val="tx1"/>
            </w14:solidFill>
          </w14:textFill>
        </w:rPr>
        <w:t xml:space="preserve">148.7万元 </w:t>
      </w:r>
    </w:p>
    <w:p w14:paraId="03F8F527">
      <w:pPr>
        <w:spacing w:line="360" w:lineRule="auto"/>
        <w:ind w:firstLine="480" w:firstLineChars="200"/>
        <w:rPr>
          <w:rFonts w:hint="eastAsia" w:ascii="宋体" w:hAnsi="宋体" w:cs="仿宋"/>
          <w:b/>
          <w:bCs/>
          <w:sz w:val="24"/>
          <w:highlight w:val="none"/>
        </w:rPr>
      </w:pPr>
      <w:r>
        <w:rPr>
          <w:rFonts w:hint="eastAsia" w:ascii="宋体" w:hAnsi="宋体" w:cs="仿宋"/>
          <w:b/>
          <w:bCs/>
          <w:sz w:val="24"/>
          <w:highlight w:val="none"/>
        </w:rPr>
        <w:t>二、合同履行期限、地点及要求</w:t>
      </w:r>
    </w:p>
    <w:p w14:paraId="1D1AA023">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sz w:val="24"/>
          <w:szCs w:val="24"/>
          <w:highlight w:val="none"/>
        </w:rPr>
        <w:t>（一）供货期：</w:t>
      </w:r>
      <w:r>
        <w:rPr>
          <w:rFonts w:hint="eastAsia" w:ascii="宋体" w:hAnsi="宋体" w:eastAsia="宋体" w:cs="宋体"/>
          <w:color w:val="000000" w:themeColor="text1"/>
          <w:sz w:val="24"/>
          <w14:textFill>
            <w14:solidFill>
              <w14:schemeClr w14:val="tx1"/>
            </w14:solidFill>
          </w14:textFill>
        </w:rPr>
        <w:t>合同签订后</w:t>
      </w:r>
      <w:r>
        <w:rPr>
          <w:rFonts w:hint="eastAsia" w:ascii="宋体" w:hAnsi="宋体" w:eastAsia="宋体" w:cs="宋体"/>
          <w:color w:val="000000" w:themeColor="text1"/>
          <w:sz w:val="24"/>
          <w:lang w:val="en-US" w:eastAsia="zh-CN"/>
          <w14:textFill>
            <w14:solidFill>
              <w14:schemeClr w14:val="tx1"/>
            </w14:solidFill>
          </w14:textFill>
        </w:rPr>
        <w:t>30</w:t>
      </w:r>
      <w:r>
        <w:rPr>
          <w:rFonts w:hint="eastAsia" w:ascii="宋体" w:hAnsi="宋体" w:eastAsia="宋体" w:cs="宋体"/>
          <w:color w:val="000000" w:themeColor="text1"/>
          <w:sz w:val="24"/>
          <w14:textFill>
            <w14:solidFill>
              <w14:schemeClr w14:val="tx1"/>
            </w14:solidFill>
          </w14:textFill>
        </w:rPr>
        <w:t>日历天内送到甲方指定地点完成安装、调试、</w:t>
      </w:r>
      <w:r>
        <w:rPr>
          <w:rFonts w:hint="eastAsia" w:ascii="宋体" w:hAnsi="宋体" w:eastAsia="宋体" w:cs="宋体"/>
          <w:color w:val="000000" w:themeColor="text1"/>
          <w:sz w:val="24"/>
          <w:lang w:val="zh-CN"/>
          <w14:textFill>
            <w14:solidFill>
              <w14:schemeClr w14:val="tx1"/>
            </w14:solidFill>
          </w14:textFill>
        </w:rPr>
        <w:t>检定/校准</w:t>
      </w:r>
      <w:r>
        <w:rPr>
          <w:rFonts w:hint="eastAsia" w:ascii="宋体" w:hAnsi="宋体" w:eastAsia="宋体" w:cs="宋体"/>
          <w:color w:val="000000" w:themeColor="text1"/>
          <w:sz w:val="24"/>
          <w14:textFill>
            <w14:solidFill>
              <w14:schemeClr w14:val="tx1"/>
            </w14:solidFill>
          </w14:textFill>
        </w:rPr>
        <w:t>并经验收合格后交付甲方使用；</w:t>
      </w:r>
    </w:p>
    <w:p w14:paraId="435AA586">
      <w:pPr>
        <w:spacing w:line="360" w:lineRule="auto"/>
        <w:ind w:firstLine="480"/>
        <w:rPr>
          <w:sz w:val="24"/>
          <w:szCs w:val="24"/>
          <w:highlight w:val="none"/>
        </w:rPr>
      </w:pPr>
      <w:r>
        <w:rPr>
          <w:rFonts w:hint="eastAsia" w:ascii="宋体" w:hAnsi="宋体" w:cs="宋体"/>
          <w:sz w:val="24"/>
          <w:highlight w:val="none"/>
        </w:rPr>
        <w:t>（二）质保期：24个月（从验收合格之日起算起）</w:t>
      </w:r>
      <w:r>
        <w:rPr>
          <w:rFonts w:hint="eastAsia"/>
          <w:sz w:val="24"/>
          <w:szCs w:val="24"/>
          <w:highlight w:val="none"/>
        </w:rPr>
        <w:t>。</w:t>
      </w:r>
    </w:p>
    <w:p w14:paraId="262CEB36">
      <w:pPr>
        <w:spacing w:line="360" w:lineRule="auto"/>
        <w:ind w:firstLine="480"/>
        <w:rPr>
          <w:rFonts w:ascii="宋体" w:hAnsi="宋体" w:cs="仿宋"/>
          <w:sz w:val="24"/>
          <w:highlight w:val="none"/>
        </w:rPr>
      </w:pPr>
      <w:r>
        <w:rPr>
          <w:rFonts w:hint="eastAsia" w:ascii="宋体" w:hAnsi="宋体" w:cs="仿宋"/>
          <w:sz w:val="24"/>
          <w:highlight w:val="none"/>
        </w:rPr>
        <w:t>（三）供货地点：</w:t>
      </w:r>
      <w:r>
        <w:rPr>
          <w:rFonts w:hint="eastAsia"/>
          <w:sz w:val="24"/>
          <w:szCs w:val="24"/>
          <w:highlight w:val="none"/>
        </w:rPr>
        <w:t>宿迁市计量测试所</w:t>
      </w:r>
      <w:r>
        <w:rPr>
          <w:rFonts w:hint="eastAsia" w:ascii="宋体" w:hAnsi="宋体" w:cs="仿宋"/>
          <w:sz w:val="24"/>
          <w:highlight w:val="none"/>
        </w:rPr>
        <w:t>，具体由采购人指定。</w:t>
      </w:r>
    </w:p>
    <w:p w14:paraId="0FDD26E1">
      <w:pPr>
        <w:spacing w:line="360" w:lineRule="auto"/>
        <w:ind w:firstLine="480" w:firstLineChars="200"/>
        <w:rPr>
          <w:rFonts w:hint="eastAsia" w:ascii="宋体" w:hAnsi="宋体" w:cs="仿宋"/>
          <w:sz w:val="24"/>
          <w:highlight w:val="none"/>
        </w:rPr>
      </w:pPr>
      <w:r>
        <w:rPr>
          <w:rFonts w:hint="eastAsia" w:ascii="宋体" w:hAnsi="宋体" w:cs="仿宋"/>
          <w:sz w:val="24"/>
          <w:highlight w:val="none"/>
        </w:rPr>
        <w:t>（四）质量要求：合格；提供的产品性能及质量有国家标准的应符合国家标准。无国家标准的应符合行业标准或企业标准，并满足招标文件要求，实现投标文件承诺条款。</w:t>
      </w:r>
    </w:p>
    <w:p w14:paraId="62959CBD">
      <w:pPr>
        <w:spacing w:line="360" w:lineRule="auto"/>
        <w:ind w:firstLine="480" w:firstLineChars="200"/>
        <w:rPr>
          <w:rFonts w:hint="eastAsia" w:ascii="宋体" w:hAnsi="宋体" w:cs="仿宋"/>
          <w:b/>
          <w:bCs/>
          <w:sz w:val="24"/>
          <w:highlight w:val="none"/>
        </w:rPr>
      </w:pPr>
      <w:r>
        <w:rPr>
          <w:rFonts w:hint="eastAsia" w:ascii="宋体" w:hAnsi="宋体" w:cs="仿宋"/>
          <w:b/>
          <w:bCs/>
          <w:sz w:val="24"/>
          <w:highlight w:val="none"/>
        </w:rPr>
        <w:t>三、付款方式</w:t>
      </w:r>
    </w:p>
    <w:p w14:paraId="19E7CEC5">
      <w:pPr>
        <w:spacing w:line="360" w:lineRule="auto"/>
        <w:ind w:firstLine="480" w:firstLineChars="200"/>
        <w:rPr>
          <w:rFonts w:hint="eastAsia"/>
          <w:b w:val="0"/>
          <w:bCs w:val="0"/>
          <w:sz w:val="24"/>
          <w:highlight w:val="none"/>
          <w:u w:val="single"/>
        </w:rPr>
      </w:pPr>
      <w:r>
        <w:rPr>
          <w:rFonts w:hint="eastAsia"/>
          <w:b w:val="0"/>
          <w:bCs w:val="0"/>
          <w:sz w:val="24"/>
          <w:highlight w:val="none"/>
          <w:u w:val="single"/>
          <w:lang w:val="zh-CN"/>
        </w:rPr>
        <w:t>签订合同后按规定支付合同总价款的</w:t>
      </w:r>
      <w:r>
        <w:rPr>
          <w:rFonts w:hint="eastAsia" w:eastAsia="宋体"/>
          <w:b w:val="0"/>
          <w:bCs w:val="0"/>
          <w:sz w:val="24"/>
          <w:highlight w:val="none"/>
          <w:u w:val="single"/>
          <w:lang w:val="en-US" w:eastAsia="zh-CN"/>
        </w:rPr>
        <w:t>5</w:t>
      </w:r>
      <w:r>
        <w:rPr>
          <w:rFonts w:hint="eastAsia"/>
          <w:b w:val="0"/>
          <w:bCs w:val="0"/>
          <w:sz w:val="24"/>
          <w:highlight w:val="none"/>
          <w:u w:val="single"/>
          <w:lang w:val="zh-CN"/>
        </w:rPr>
        <w:t>0%</w:t>
      </w:r>
      <w:r>
        <w:rPr>
          <w:rFonts w:hint="eastAsia"/>
          <w:b w:val="0"/>
          <w:bCs w:val="0"/>
          <w:sz w:val="24"/>
          <w:highlight w:val="none"/>
          <w:u w:val="single"/>
        </w:rPr>
        <w:t>预付款</w:t>
      </w:r>
      <w:r>
        <w:rPr>
          <w:rFonts w:hint="eastAsia"/>
          <w:b w:val="0"/>
          <w:bCs w:val="0"/>
          <w:sz w:val="24"/>
          <w:highlight w:val="none"/>
          <w:u w:val="single"/>
          <w:lang w:val="zh-CN"/>
        </w:rPr>
        <w:t>；</w:t>
      </w:r>
      <w:r>
        <w:rPr>
          <w:rFonts w:hint="eastAsia"/>
          <w:b w:val="0"/>
          <w:bCs w:val="0"/>
          <w:sz w:val="24"/>
          <w:highlight w:val="none"/>
          <w:u w:val="single"/>
        </w:rPr>
        <w:t>全部设备货物安装调试完毕、检定/校准完成经验收合</w:t>
      </w:r>
      <w:r>
        <w:rPr>
          <w:rFonts w:hint="eastAsia"/>
          <w:b w:val="0"/>
          <w:bCs w:val="0"/>
          <w:sz w:val="24"/>
          <w:highlight w:val="none"/>
          <w:u w:val="single"/>
          <w:lang w:val="zh-CN"/>
        </w:rPr>
        <w:t>格并提供全额增值税专用发票后付至</w:t>
      </w:r>
      <w:r>
        <w:rPr>
          <w:rFonts w:hint="eastAsia"/>
          <w:b w:val="0"/>
          <w:bCs w:val="0"/>
          <w:sz w:val="24"/>
          <w:highlight w:val="none"/>
          <w:u w:val="single"/>
        </w:rPr>
        <w:t>合同金额的100%。</w:t>
      </w:r>
    </w:p>
    <w:p w14:paraId="4D7118DD">
      <w:pPr>
        <w:spacing w:line="360" w:lineRule="auto"/>
        <w:ind w:firstLine="480" w:firstLineChars="200"/>
        <w:rPr>
          <w:rFonts w:cs="Courier New"/>
          <w:bCs/>
          <w:sz w:val="24"/>
          <w:szCs w:val="24"/>
          <w:highlight w:val="none"/>
        </w:rPr>
      </w:pPr>
      <w:r>
        <w:rPr>
          <w:rFonts w:hint="eastAsia" w:cs="Courier New"/>
          <w:bCs/>
          <w:sz w:val="24"/>
          <w:szCs w:val="24"/>
          <w:highlight w:val="none"/>
        </w:rPr>
        <w:t>在签订合同时，供应商明确表示无需预付款或者主动要求降低预付款比例的，采购人可不适用前述规定。</w:t>
      </w:r>
    </w:p>
    <w:p w14:paraId="08DCCA8E">
      <w:pPr>
        <w:pStyle w:val="195"/>
        <w:numPr>
          <w:ilvl w:val="0"/>
          <w:numId w:val="1"/>
        </w:numPr>
        <w:spacing w:line="360" w:lineRule="auto"/>
        <w:ind w:firstLine="482"/>
        <w:rPr>
          <w:rFonts w:ascii="Times New Roman" w:hAnsi="Times New Roman"/>
          <w:b/>
          <w:bCs/>
          <w:sz w:val="24"/>
          <w:szCs w:val="21"/>
          <w:highlight w:val="none"/>
        </w:rPr>
      </w:pPr>
      <w:r>
        <w:rPr>
          <w:rFonts w:hint="eastAsia" w:ascii="Times New Roman" w:hAnsi="Times New Roman"/>
          <w:b/>
          <w:bCs/>
          <w:sz w:val="24"/>
          <w:szCs w:val="21"/>
          <w:highlight w:val="none"/>
        </w:rPr>
        <w:t>采购内容</w:t>
      </w:r>
      <w:r>
        <w:rPr>
          <w:rFonts w:hint="eastAsia" w:ascii="Times New Roman" w:hAnsi="Times New Roman"/>
          <w:b/>
          <w:bCs/>
          <w:sz w:val="24"/>
          <w:szCs w:val="21"/>
          <w:highlight w:val="none"/>
          <w:lang w:eastAsia="zh-CN"/>
        </w:rPr>
        <w:t>清单</w:t>
      </w:r>
      <w:r>
        <w:rPr>
          <w:rFonts w:hint="eastAsia" w:ascii="Times New Roman" w:hAnsi="Times New Roman"/>
          <w:b/>
          <w:bCs/>
          <w:sz w:val="24"/>
          <w:szCs w:val="21"/>
          <w:highlight w:val="none"/>
        </w:rPr>
        <w:t>及</w:t>
      </w:r>
      <w:r>
        <w:rPr>
          <w:rFonts w:hint="eastAsia" w:ascii="Times New Roman" w:hAnsi="Times New Roman"/>
          <w:b/>
          <w:bCs/>
          <w:sz w:val="24"/>
          <w:szCs w:val="21"/>
          <w:highlight w:val="none"/>
          <w:lang w:eastAsia="zh-CN"/>
        </w:rPr>
        <w:t>技术</w:t>
      </w:r>
      <w:r>
        <w:rPr>
          <w:rFonts w:hint="eastAsia" w:ascii="Times New Roman" w:hAnsi="Times New Roman"/>
          <w:b/>
          <w:bCs/>
          <w:sz w:val="24"/>
          <w:szCs w:val="21"/>
          <w:highlight w:val="none"/>
        </w:rPr>
        <w:t>要求</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3660"/>
        <w:gridCol w:w="2292"/>
        <w:gridCol w:w="2293"/>
      </w:tblGrid>
      <w:tr w14:paraId="55E9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29F51D3C">
            <w:pPr>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3660" w:type="dxa"/>
            <w:noWrap w:val="0"/>
            <w:vAlign w:val="center"/>
          </w:tcPr>
          <w:p w14:paraId="175B91B5">
            <w:pPr>
              <w:jc w:val="center"/>
              <w:rPr>
                <w:rFonts w:ascii="宋体" w:hAnsi="宋体" w:cs="宋体"/>
                <w:b/>
                <w:bCs/>
                <w:sz w:val="24"/>
                <w:szCs w:val="24"/>
                <w:highlight w:val="none"/>
              </w:rPr>
            </w:pPr>
            <w:r>
              <w:rPr>
                <w:rFonts w:hint="eastAsia" w:ascii="宋体" w:hAnsi="宋体" w:cs="宋体"/>
                <w:b/>
                <w:bCs/>
                <w:sz w:val="24"/>
                <w:szCs w:val="24"/>
                <w:highlight w:val="none"/>
              </w:rPr>
              <w:t>设备名称</w:t>
            </w:r>
          </w:p>
        </w:tc>
        <w:tc>
          <w:tcPr>
            <w:tcW w:w="2292" w:type="dxa"/>
            <w:noWrap w:val="0"/>
            <w:vAlign w:val="center"/>
          </w:tcPr>
          <w:p w14:paraId="236784A0">
            <w:pPr>
              <w:jc w:val="center"/>
              <w:rPr>
                <w:rFonts w:ascii="宋体" w:hAnsi="宋体" w:cs="宋体"/>
                <w:b/>
                <w:bCs/>
                <w:sz w:val="24"/>
                <w:szCs w:val="24"/>
                <w:highlight w:val="none"/>
              </w:rPr>
            </w:pPr>
            <w:r>
              <w:rPr>
                <w:rFonts w:hint="eastAsia" w:ascii="宋体" w:hAnsi="宋体" w:cs="宋体"/>
                <w:b/>
                <w:bCs/>
                <w:sz w:val="24"/>
                <w:szCs w:val="24"/>
                <w:highlight w:val="none"/>
              </w:rPr>
              <w:t>数量</w:t>
            </w:r>
          </w:p>
        </w:tc>
        <w:tc>
          <w:tcPr>
            <w:tcW w:w="2293" w:type="dxa"/>
            <w:noWrap w:val="0"/>
            <w:vAlign w:val="center"/>
          </w:tcPr>
          <w:p w14:paraId="54ADFA6F">
            <w:pPr>
              <w:jc w:val="center"/>
              <w:rPr>
                <w:rFonts w:ascii="宋体" w:hAnsi="宋体" w:cs="宋体"/>
                <w:b/>
                <w:bCs/>
                <w:sz w:val="24"/>
                <w:szCs w:val="24"/>
                <w:highlight w:val="none"/>
              </w:rPr>
            </w:pPr>
            <w:r>
              <w:rPr>
                <w:rFonts w:hint="eastAsia" w:ascii="宋体" w:hAnsi="宋体" w:cs="宋体"/>
                <w:b/>
                <w:bCs/>
                <w:sz w:val="24"/>
                <w:szCs w:val="24"/>
                <w:highlight w:val="none"/>
              </w:rPr>
              <w:t>备注</w:t>
            </w:r>
          </w:p>
        </w:tc>
      </w:tr>
      <w:tr w14:paraId="17F7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51F26F5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3660" w:type="dxa"/>
            <w:noWrap w:val="0"/>
            <w:vAlign w:val="center"/>
          </w:tcPr>
          <w:p w14:paraId="7B28FA2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酸度计检定仪</w:t>
            </w:r>
          </w:p>
        </w:tc>
        <w:tc>
          <w:tcPr>
            <w:tcW w:w="2292" w:type="dxa"/>
            <w:noWrap w:val="0"/>
            <w:vAlign w:val="center"/>
          </w:tcPr>
          <w:p w14:paraId="342F477A">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327FB1AC">
            <w:pPr>
              <w:jc w:val="center"/>
              <w:rPr>
                <w:rFonts w:hint="eastAsia" w:ascii="宋体" w:hAnsi="宋体" w:cs="宋体"/>
                <w:sz w:val="24"/>
                <w:szCs w:val="24"/>
                <w:highlight w:val="none"/>
              </w:rPr>
            </w:pPr>
          </w:p>
        </w:tc>
      </w:tr>
      <w:tr w14:paraId="7283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58F17C20">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w:t>
            </w:r>
          </w:p>
        </w:tc>
        <w:tc>
          <w:tcPr>
            <w:tcW w:w="3660" w:type="dxa"/>
            <w:noWrap w:val="0"/>
            <w:vAlign w:val="center"/>
          </w:tcPr>
          <w:p w14:paraId="18DF198E">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液体恒温槽</w:t>
            </w:r>
          </w:p>
        </w:tc>
        <w:tc>
          <w:tcPr>
            <w:tcW w:w="2292" w:type="dxa"/>
            <w:noWrap w:val="0"/>
            <w:vAlign w:val="center"/>
          </w:tcPr>
          <w:p w14:paraId="03DE527D">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249C2F30">
            <w:pPr>
              <w:jc w:val="center"/>
              <w:rPr>
                <w:rFonts w:hint="eastAsia" w:ascii="宋体" w:hAnsi="宋体" w:cs="宋体"/>
                <w:sz w:val="24"/>
                <w:szCs w:val="24"/>
                <w:highlight w:val="none"/>
              </w:rPr>
            </w:pPr>
          </w:p>
        </w:tc>
      </w:tr>
      <w:tr w14:paraId="4338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3FB54154">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w:t>
            </w:r>
          </w:p>
        </w:tc>
        <w:tc>
          <w:tcPr>
            <w:tcW w:w="3660" w:type="dxa"/>
            <w:noWrap w:val="0"/>
            <w:vAlign w:val="center"/>
          </w:tcPr>
          <w:p w14:paraId="7FD7201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温湿度检定箱</w:t>
            </w:r>
          </w:p>
        </w:tc>
        <w:tc>
          <w:tcPr>
            <w:tcW w:w="2292" w:type="dxa"/>
            <w:noWrap w:val="0"/>
            <w:vAlign w:val="center"/>
          </w:tcPr>
          <w:p w14:paraId="162ADFD1">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09C4A1C5">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核心产品</w:t>
            </w:r>
          </w:p>
        </w:tc>
      </w:tr>
      <w:tr w14:paraId="156D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055D333E">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3660" w:type="dxa"/>
            <w:noWrap w:val="0"/>
            <w:vAlign w:val="center"/>
          </w:tcPr>
          <w:p w14:paraId="6F61DDE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温湿度试验设备自动检定系统</w:t>
            </w:r>
          </w:p>
        </w:tc>
        <w:tc>
          <w:tcPr>
            <w:tcW w:w="2292" w:type="dxa"/>
            <w:noWrap w:val="0"/>
            <w:vAlign w:val="center"/>
          </w:tcPr>
          <w:p w14:paraId="4431BEB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26241A96">
            <w:pPr>
              <w:jc w:val="center"/>
              <w:rPr>
                <w:rFonts w:hint="eastAsia" w:ascii="宋体" w:hAnsi="宋体" w:cs="宋体"/>
                <w:sz w:val="24"/>
                <w:szCs w:val="24"/>
                <w:highlight w:val="none"/>
              </w:rPr>
            </w:pPr>
          </w:p>
        </w:tc>
      </w:tr>
      <w:tr w14:paraId="6973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7044867E">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3660" w:type="dxa"/>
            <w:noWrap w:val="0"/>
            <w:vAlign w:val="center"/>
          </w:tcPr>
          <w:p w14:paraId="1D6D4353">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质量比较仪</w:t>
            </w:r>
          </w:p>
        </w:tc>
        <w:tc>
          <w:tcPr>
            <w:tcW w:w="2292" w:type="dxa"/>
            <w:noWrap w:val="0"/>
            <w:vAlign w:val="center"/>
          </w:tcPr>
          <w:p w14:paraId="16398F54">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7C935DF0">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p>
        </w:tc>
      </w:tr>
      <w:tr w14:paraId="5753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6B8924E1">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3660" w:type="dxa"/>
            <w:noWrap w:val="0"/>
            <w:vAlign w:val="center"/>
          </w:tcPr>
          <w:p w14:paraId="48DB6306">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温度探头和湿度探头</w:t>
            </w:r>
          </w:p>
        </w:tc>
        <w:tc>
          <w:tcPr>
            <w:tcW w:w="2292" w:type="dxa"/>
            <w:noWrap w:val="0"/>
            <w:vAlign w:val="center"/>
          </w:tcPr>
          <w:p w14:paraId="4EE014C7">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4B775698">
            <w:pPr>
              <w:jc w:val="center"/>
              <w:rPr>
                <w:rFonts w:hint="eastAsia" w:ascii="宋体" w:hAnsi="宋体" w:cs="宋体"/>
                <w:sz w:val="24"/>
                <w:szCs w:val="24"/>
                <w:highlight w:val="none"/>
              </w:rPr>
            </w:pPr>
          </w:p>
        </w:tc>
      </w:tr>
      <w:tr w14:paraId="03D9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50F1B38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3660" w:type="dxa"/>
            <w:noWrap w:val="0"/>
            <w:vAlign w:val="center"/>
          </w:tcPr>
          <w:p w14:paraId="260455E0">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检定电导率仪专用交流电阻箱</w:t>
            </w:r>
          </w:p>
        </w:tc>
        <w:tc>
          <w:tcPr>
            <w:tcW w:w="2292" w:type="dxa"/>
            <w:noWrap w:val="0"/>
            <w:vAlign w:val="center"/>
          </w:tcPr>
          <w:p w14:paraId="178C5726">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43AAE7CC">
            <w:pPr>
              <w:jc w:val="center"/>
              <w:rPr>
                <w:rFonts w:hint="eastAsia" w:ascii="宋体" w:hAnsi="宋体" w:cs="宋体"/>
                <w:sz w:val="24"/>
                <w:szCs w:val="24"/>
                <w:highlight w:val="none"/>
              </w:rPr>
            </w:pPr>
          </w:p>
        </w:tc>
      </w:tr>
      <w:tr w14:paraId="40D7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0A3A0D41">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3660" w:type="dxa"/>
            <w:noWrap w:val="0"/>
            <w:vAlign w:val="center"/>
          </w:tcPr>
          <w:p w14:paraId="1DA3A099">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水分快速测定仪</w:t>
            </w:r>
          </w:p>
        </w:tc>
        <w:tc>
          <w:tcPr>
            <w:tcW w:w="2292" w:type="dxa"/>
            <w:noWrap w:val="0"/>
            <w:vAlign w:val="center"/>
          </w:tcPr>
          <w:p w14:paraId="7938D861">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3B60B191">
            <w:pPr>
              <w:jc w:val="center"/>
              <w:rPr>
                <w:rFonts w:hint="eastAsia" w:ascii="宋体" w:hAnsi="宋体" w:cs="宋体"/>
                <w:sz w:val="24"/>
                <w:szCs w:val="24"/>
                <w:highlight w:val="none"/>
              </w:rPr>
            </w:pPr>
          </w:p>
        </w:tc>
      </w:tr>
      <w:tr w14:paraId="610B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38C39660">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3660" w:type="dxa"/>
            <w:noWrap w:val="0"/>
            <w:vAlign w:val="center"/>
          </w:tcPr>
          <w:p w14:paraId="22B7A869">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干燥箱</w:t>
            </w:r>
          </w:p>
        </w:tc>
        <w:tc>
          <w:tcPr>
            <w:tcW w:w="2292" w:type="dxa"/>
            <w:noWrap w:val="0"/>
            <w:vAlign w:val="center"/>
          </w:tcPr>
          <w:p w14:paraId="63457A0F">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168A7B16">
            <w:pPr>
              <w:jc w:val="center"/>
              <w:rPr>
                <w:rFonts w:hint="eastAsia" w:ascii="宋体" w:hAnsi="宋体" w:cs="宋体"/>
                <w:sz w:val="24"/>
                <w:szCs w:val="24"/>
                <w:highlight w:val="none"/>
              </w:rPr>
            </w:pPr>
          </w:p>
        </w:tc>
      </w:tr>
      <w:tr w14:paraId="70A7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924" w:type="dxa"/>
            <w:noWrap w:val="0"/>
            <w:vAlign w:val="center"/>
          </w:tcPr>
          <w:p w14:paraId="6634C8A3">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10</w:t>
            </w:r>
          </w:p>
        </w:tc>
        <w:tc>
          <w:tcPr>
            <w:tcW w:w="3660" w:type="dxa"/>
            <w:noWrap w:val="0"/>
            <w:vAlign w:val="center"/>
          </w:tcPr>
          <w:p w14:paraId="16973111">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温湿度巡检仪</w:t>
            </w:r>
          </w:p>
        </w:tc>
        <w:tc>
          <w:tcPr>
            <w:tcW w:w="2292" w:type="dxa"/>
            <w:noWrap w:val="0"/>
            <w:vAlign w:val="center"/>
          </w:tcPr>
          <w:p w14:paraId="7261C857">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68D2B2DD">
            <w:pPr>
              <w:jc w:val="center"/>
              <w:rPr>
                <w:rFonts w:hint="eastAsia" w:ascii="宋体" w:hAnsi="宋体" w:cs="宋体"/>
                <w:sz w:val="24"/>
                <w:szCs w:val="24"/>
                <w:highlight w:val="none"/>
              </w:rPr>
            </w:pPr>
          </w:p>
        </w:tc>
      </w:tr>
    </w:tbl>
    <w:p w14:paraId="57E34E15">
      <w:pPr>
        <w:pStyle w:val="195"/>
        <w:spacing w:line="360" w:lineRule="auto"/>
        <w:ind w:firstLine="480"/>
        <w:rPr>
          <w:rFonts w:ascii="Times New Roman" w:hAnsi="Times New Roman"/>
          <w:b/>
          <w:bCs/>
          <w:sz w:val="24"/>
          <w:szCs w:val="21"/>
          <w:highlight w:val="none"/>
        </w:rPr>
      </w:pPr>
    </w:p>
    <w:p w14:paraId="5CDE0CA1">
      <w:pPr>
        <w:pStyle w:val="195"/>
        <w:numPr>
          <w:ilvl w:val="0"/>
          <w:numId w:val="2"/>
        </w:numPr>
        <w:spacing w:line="360" w:lineRule="auto"/>
        <w:ind w:firstLine="480"/>
        <w:rPr>
          <w:rFonts w:hint="eastAsia" w:ascii="Times New Roman" w:hAnsi="Times New Roman"/>
          <w:b/>
          <w:bCs/>
          <w:sz w:val="24"/>
          <w:szCs w:val="21"/>
          <w:highlight w:val="none"/>
        </w:rPr>
      </w:pPr>
      <w:r>
        <w:rPr>
          <w:rFonts w:hint="eastAsia" w:ascii="Times New Roman" w:hAnsi="Times New Roman"/>
          <w:b/>
          <w:bCs/>
          <w:sz w:val="24"/>
          <w:szCs w:val="21"/>
          <w:highlight w:val="none"/>
          <w:lang w:val="en-US" w:eastAsia="zh-CN"/>
        </w:rPr>
        <w:t>酸度计检定仪</w:t>
      </w:r>
      <w:r>
        <w:rPr>
          <w:rFonts w:hint="eastAsia" w:ascii="Times New Roman" w:hAnsi="Times New Roman"/>
          <w:b/>
          <w:bCs/>
          <w:sz w:val="24"/>
          <w:szCs w:val="21"/>
          <w:highlight w:val="none"/>
        </w:rPr>
        <w:t>参数要求</w:t>
      </w:r>
    </w:p>
    <w:p w14:paraId="4AABB6F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bookmarkStart w:id="153" w:name="OLE_LINK11"/>
      <w:bookmarkStart w:id="154" w:name="OLE_LINK12"/>
      <w:r>
        <w:rPr>
          <w:rFonts w:hint="eastAsia" w:ascii="宋体" w:hAnsi="宋体" w:eastAsia="宋体" w:cs="宋体"/>
          <w:sz w:val="24"/>
          <w:szCs w:val="21"/>
          <w:highlight w:val="none"/>
          <w:lang w:val="en-US" w:eastAsia="zh-CN" w:bidi="ar-SA"/>
        </w:rPr>
        <w:t xml:space="preserve">1.酸度计检定仪：用于开展酸度计检定工作，满足JJG 919-2023 《pH 计检定仪检定规程》要求。 </w:t>
      </w:r>
    </w:p>
    <w:p w14:paraId="6F726734">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sz w:val="24"/>
          <w:szCs w:val="21"/>
          <w:highlight w:val="none"/>
          <w:lang w:val="en-US" w:eastAsia="zh-CN" w:bidi="ar-SA"/>
        </w:rPr>
        <w:t>2.</w:t>
      </w:r>
      <w:r>
        <w:rPr>
          <w:rFonts w:hint="eastAsia" w:ascii="宋体" w:hAnsi="宋体" w:eastAsia="宋体" w:cs="宋体"/>
          <w:i w:val="0"/>
          <w:iCs w:val="0"/>
          <w:caps w:val="0"/>
          <w:color w:val="0F1115"/>
          <w:spacing w:val="0"/>
          <w:sz w:val="24"/>
          <w:szCs w:val="24"/>
          <w:shd w:val="clear" w:fill="FFFFFF"/>
        </w:rPr>
        <w:t>pH测量范围：0.00～14.00pH</w:t>
      </w:r>
      <w:r>
        <w:rPr>
          <w:rFonts w:hint="eastAsia" w:ascii="宋体" w:hAnsi="宋体" w:cs="宋体"/>
          <w:i w:val="0"/>
          <w:iCs w:val="0"/>
          <w:caps w:val="0"/>
          <w:color w:val="0F1115"/>
          <w:spacing w:val="0"/>
          <w:sz w:val="24"/>
          <w:szCs w:val="24"/>
          <w:shd w:val="clear" w:fill="FFFFFF"/>
          <w:lang w:eastAsia="zh-CN"/>
        </w:rPr>
        <w:t>。</w:t>
      </w:r>
    </w:p>
    <w:p w14:paraId="1651B71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3.</w:t>
      </w:r>
      <w:r>
        <w:rPr>
          <w:rFonts w:hint="eastAsia" w:ascii="宋体" w:hAnsi="宋体" w:eastAsia="宋体" w:cs="宋体"/>
          <w:i w:val="0"/>
          <w:iCs w:val="0"/>
          <w:caps w:val="0"/>
          <w:color w:val="0F1115"/>
          <w:spacing w:val="0"/>
          <w:sz w:val="24"/>
          <w:szCs w:val="24"/>
          <w:shd w:val="clear" w:fill="FFFFFF"/>
        </w:rPr>
        <w:t>电位测量范围：-2000mV～</w:t>
      </w:r>
      <w:r>
        <w:rPr>
          <w:rFonts w:hint="eastAsia" w:ascii="宋体" w:hAnsi="宋体" w:cs="宋体"/>
          <w:i w:val="0"/>
          <w:iCs w:val="0"/>
          <w:caps w:val="0"/>
          <w:color w:val="0F1115"/>
          <w:spacing w:val="0"/>
          <w:sz w:val="24"/>
          <w:szCs w:val="24"/>
          <w:shd w:val="clear" w:fill="FFFFFF"/>
          <w:lang w:val="en-US" w:eastAsia="zh-CN"/>
        </w:rPr>
        <w:t>+</w:t>
      </w:r>
      <w:r>
        <w:rPr>
          <w:rFonts w:hint="eastAsia" w:ascii="宋体" w:hAnsi="宋体" w:eastAsia="宋体" w:cs="宋体"/>
          <w:i w:val="0"/>
          <w:iCs w:val="0"/>
          <w:caps w:val="0"/>
          <w:color w:val="0F1115"/>
          <w:spacing w:val="0"/>
          <w:sz w:val="24"/>
          <w:szCs w:val="24"/>
          <w:shd w:val="clear" w:fill="FFFFFF"/>
        </w:rPr>
        <w:t>2000)mV</w:t>
      </w:r>
      <w:r>
        <w:rPr>
          <w:rFonts w:hint="eastAsia" w:ascii="宋体" w:hAnsi="宋体" w:cs="宋体"/>
          <w:i w:val="0"/>
          <w:iCs w:val="0"/>
          <w:caps w:val="0"/>
          <w:color w:val="0F1115"/>
          <w:spacing w:val="0"/>
          <w:sz w:val="24"/>
          <w:szCs w:val="24"/>
          <w:shd w:val="clear" w:fill="FFFFFF"/>
          <w:lang w:eastAsia="zh-CN"/>
        </w:rPr>
        <w:t>。</w:t>
      </w:r>
    </w:p>
    <w:p w14:paraId="6D7FBB4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eastAsia="宋体" w:cs="宋体"/>
          <w:i w:val="0"/>
          <w:iCs w:val="0"/>
          <w:caps w:val="0"/>
          <w:color w:val="0F1115"/>
          <w:spacing w:val="0"/>
          <w:sz w:val="24"/>
          <w:szCs w:val="24"/>
          <w:shd w:val="clear" w:fill="FFFFFF"/>
          <w:lang w:val="en-US" w:eastAsia="zh-CN"/>
        </w:rPr>
        <w:t>4.</w:t>
      </w:r>
      <w:r>
        <w:rPr>
          <w:rFonts w:hint="eastAsia" w:ascii="宋体" w:hAnsi="宋体" w:eastAsia="宋体" w:cs="宋体"/>
          <w:i w:val="0"/>
          <w:iCs w:val="0"/>
          <w:caps w:val="0"/>
          <w:color w:val="0F1115"/>
          <w:spacing w:val="0"/>
          <w:sz w:val="24"/>
          <w:szCs w:val="24"/>
          <w:shd w:val="clear" w:fill="FFFFFF"/>
        </w:rPr>
        <w:t>内置高阻器</w:t>
      </w:r>
      <w:r>
        <w:rPr>
          <w:rFonts w:hint="eastAsia" w:ascii="宋体" w:hAnsi="宋体" w:cs="宋体"/>
          <w:i w:val="0"/>
          <w:iCs w:val="0"/>
          <w:caps w:val="0"/>
          <w:color w:val="0F1115"/>
          <w:spacing w:val="0"/>
          <w:sz w:val="24"/>
          <w:szCs w:val="24"/>
          <w:shd w:val="clear" w:fill="FFFFFF"/>
          <w:lang w:val="en-US" w:eastAsia="zh-CN"/>
        </w:rPr>
        <w:t>:</w:t>
      </w:r>
      <w:r>
        <w:rPr>
          <w:rFonts w:hint="eastAsia" w:ascii="宋体" w:hAnsi="宋体" w:eastAsia="宋体" w:cs="宋体"/>
          <w:i w:val="0"/>
          <w:iCs w:val="0"/>
          <w:caps w:val="0"/>
          <w:color w:val="0F1115"/>
          <w:spacing w:val="0"/>
          <w:sz w:val="24"/>
          <w:szCs w:val="24"/>
          <w:shd w:val="clear" w:fill="FFFFFF"/>
        </w:rPr>
        <w:t>1 GΩ、3 GΩ</w:t>
      </w:r>
      <w:r>
        <w:rPr>
          <w:rFonts w:hint="eastAsia" w:ascii="宋体" w:hAnsi="宋体" w:cs="宋体"/>
          <w:i w:val="0"/>
          <w:iCs w:val="0"/>
          <w:caps w:val="0"/>
          <w:color w:val="0F1115"/>
          <w:spacing w:val="0"/>
          <w:sz w:val="24"/>
          <w:szCs w:val="24"/>
          <w:shd w:val="clear" w:fill="FFFFFF"/>
          <w:lang w:eastAsia="zh-CN"/>
        </w:rPr>
        <w:t>各一路。</w:t>
      </w:r>
    </w:p>
    <w:p w14:paraId="1A2A252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5.</w:t>
      </w:r>
      <w:r>
        <w:rPr>
          <w:rFonts w:hint="eastAsia" w:ascii="宋体" w:hAnsi="宋体" w:eastAsia="宋体" w:cs="宋体"/>
          <w:i w:val="0"/>
          <w:iCs w:val="0"/>
          <w:caps w:val="0"/>
          <w:color w:val="0F1115"/>
          <w:spacing w:val="0"/>
          <w:sz w:val="24"/>
          <w:szCs w:val="24"/>
          <w:shd w:val="clear" w:fill="FFFFFF"/>
        </w:rPr>
        <w:t>准确度等级：0.0006级</w:t>
      </w:r>
      <w:r>
        <w:rPr>
          <w:rFonts w:hint="eastAsia" w:ascii="宋体" w:hAnsi="宋体" w:cs="宋体"/>
          <w:i w:val="0"/>
          <w:iCs w:val="0"/>
          <w:caps w:val="0"/>
          <w:color w:val="0F1115"/>
          <w:spacing w:val="0"/>
          <w:sz w:val="24"/>
          <w:szCs w:val="24"/>
          <w:shd w:val="clear" w:fill="FFFFFF"/>
          <w:lang w:eastAsia="zh-CN"/>
        </w:rPr>
        <w:t>。</w:t>
      </w:r>
    </w:p>
    <w:p w14:paraId="0DDCEEDC">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i w:val="0"/>
          <w:iCs w:val="0"/>
          <w:caps w:val="0"/>
          <w:color w:val="0F1115"/>
          <w:spacing w:val="0"/>
          <w:sz w:val="24"/>
          <w:szCs w:val="24"/>
          <w:shd w:val="clear" w:fill="FFFFFF"/>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6.</w:t>
      </w:r>
      <w:r>
        <w:rPr>
          <w:rFonts w:hint="eastAsia" w:ascii="宋体" w:hAnsi="宋体" w:eastAsia="宋体" w:cs="宋体"/>
          <w:i w:val="0"/>
          <w:iCs w:val="0"/>
          <w:caps w:val="0"/>
          <w:color w:val="0F1115"/>
          <w:spacing w:val="0"/>
          <w:sz w:val="24"/>
          <w:szCs w:val="24"/>
          <w:shd w:val="clear" w:fill="FFFFFF"/>
        </w:rPr>
        <w:t>具有pH和mV两种输出模式，可检定0.001级及以下酸度计。</w:t>
      </w:r>
    </w:p>
    <w:bookmarkEnd w:id="153"/>
    <w:bookmarkEnd w:id="154"/>
    <w:p w14:paraId="31F3DEC3">
      <w:pPr>
        <w:numPr>
          <w:ilvl w:val="0"/>
          <w:numId w:val="2"/>
        </w:numPr>
        <w:spacing w:line="360" w:lineRule="auto"/>
        <w:ind w:left="0" w:leftChars="0" w:firstLine="480" w:firstLineChars="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液体恒温槽</w:t>
      </w:r>
      <w:r>
        <w:rPr>
          <w:rFonts w:hint="eastAsia" w:ascii="宋体" w:hAnsi="宋体" w:cs="宋体"/>
          <w:b/>
          <w:bCs/>
          <w:sz w:val="24"/>
          <w:szCs w:val="24"/>
          <w:highlight w:val="none"/>
        </w:rPr>
        <w:t>参数要求</w:t>
      </w:r>
    </w:p>
    <w:p w14:paraId="268A8F91">
      <w:pPr>
        <w:numPr>
          <w:ilvl w:val="0"/>
          <w:numId w:val="0"/>
        </w:num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bidi="ar-SA"/>
        </w:rPr>
        <w:t>1.</w:t>
      </w:r>
      <w:r>
        <w:rPr>
          <w:rFonts w:hint="eastAsia" w:ascii="宋体" w:hAnsi="宋体" w:cs="宋体"/>
          <w:sz w:val="24"/>
          <w:szCs w:val="24"/>
          <w:highlight w:val="none"/>
          <w:lang w:val="en-US" w:eastAsia="zh-CN"/>
        </w:rPr>
        <w:t>温度范围：-80～+300℃。</w:t>
      </w:r>
    </w:p>
    <w:p w14:paraId="64293DD6">
      <w:pPr>
        <w:numPr>
          <w:ilvl w:val="0"/>
          <w:numId w:val="0"/>
        </w:numPr>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2.温度均匀性：≤0.01℃。</w:t>
      </w:r>
    </w:p>
    <w:p w14:paraId="31376913">
      <w:pPr>
        <w:numPr>
          <w:ilvl w:val="0"/>
          <w:numId w:val="0"/>
        </w:numPr>
        <w:spacing w:line="360" w:lineRule="auto"/>
        <w:ind w:firstLine="480" w:firstLineChars="200"/>
        <w:rPr>
          <w:rFonts w:hint="eastAsia" w:ascii="宋体" w:hAnsi="宋体" w:cs="宋体"/>
          <w:b/>
          <w:bCs/>
          <w:sz w:val="24"/>
          <w:szCs w:val="24"/>
          <w:highlight w:val="none"/>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bidi="ar-SA"/>
        </w:rPr>
        <w:t>3.</w:t>
      </w:r>
      <w:r>
        <w:rPr>
          <w:rFonts w:hint="eastAsia" w:ascii="宋体" w:hAnsi="宋体" w:cs="宋体"/>
          <w:sz w:val="24"/>
          <w:szCs w:val="24"/>
          <w:highlight w:val="none"/>
          <w:lang w:val="en-US" w:eastAsia="zh-CN"/>
        </w:rPr>
        <w:t>温度波动性：≤0.01℃。</w:t>
      </w:r>
    </w:p>
    <w:p w14:paraId="7EBCC6F6">
      <w:pPr>
        <w:spacing w:line="360" w:lineRule="auto"/>
        <w:ind w:left="420" w:leftChars="200"/>
        <w:rPr>
          <w:rFonts w:hint="eastAsia" w:ascii="宋体" w:hAnsi="宋体" w:cs="宋体"/>
          <w:b/>
          <w:bCs/>
          <w:sz w:val="24"/>
          <w:szCs w:val="24"/>
          <w:highlight w:val="none"/>
        </w:rPr>
      </w:pPr>
      <w:r>
        <w:rPr>
          <w:rFonts w:hint="eastAsia" w:ascii="宋体" w:hAnsi="宋体" w:cs="宋体"/>
          <w:b/>
          <w:bCs/>
          <w:sz w:val="24"/>
          <w:szCs w:val="24"/>
          <w:highlight w:val="none"/>
        </w:rPr>
        <w:t>（三）</w:t>
      </w:r>
      <w:r>
        <w:rPr>
          <w:rFonts w:hint="eastAsia" w:ascii="宋体" w:hAnsi="宋体" w:cs="宋体"/>
          <w:b/>
          <w:bCs/>
          <w:sz w:val="24"/>
          <w:szCs w:val="24"/>
          <w:highlight w:val="none"/>
          <w:lang w:val="en-US" w:eastAsia="zh-CN"/>
        </w:rPr>
        <w:t>温湿度检定箱</w:t>
      </w:r>
      <w:r>
        <w:rPr>
          <w:rFonts w:hint="eastAsia" w:ascii="宋体" w:hAnsi="宋体" w:cs="宋体"/>
          <w:b/>
          <w:bCs/>
          <w:sz w:val="24"/>
          <w:szCs w:val="24"/>
          <w:highlight w:val="none"/>
        </w:rPr>
        <w:t>参数要求</w:t>
      </w:r>
    </w:p>
    <w:p w14:paraId="004413A1">
      <w:pPr>
        <w:pStyle w:val="195"/>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bidi="ar-SA"/>
        </w:rPr>
        <w:t xml:space="preserve">温湿度检定箱：用于开展温湿度计校准工作，满足JJF 1564-2016 《温湿度标准箱校准规范》要求。 </w:t>
      </w:r>
    </w:p>
    <w:p w14:paraId="5425BBE4">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sz w:val="24"/>
          <w:szCs w:val="24"/>
          <w:highlight w:val="none"/>
          <w:lang w:val="en-US" w:eastAsia="zh-CN"/>
        </w:rPr>
        <w:t>2.</w:t>
      </w:r>
      <w:r>
        <w:rPr>
          <w:rFonts w:hint="eastAsia" w:ascii="宋体" w:hAnsi="宋体" w:eastAsia="宋体" w:cs="宋体"/>
          <w:i w:val="0"/>
          <w:iCs w:val="0"/>
          <w:caps w:val="0"/>
          <w:color w:val="0F1115"/>
          <w:spacing w:val="0"/>
          <w:sz w:val="24"/>
          <w:szCs w:val="24"/>
          <w:shd w:val="clear" w:fill="FFFFFF"/>
        </w:rPr>
        <w:t>温度范围：-40℃～80℃</w:t>
      </w:r>
      <w:r>
        <w:rPr>
          <w:rFonts w:hint="eastAsia" w:ascii="宋体" w:hAnsi="宋体" w:eastAsia="宋体" w:cs="宋体"/>
          <w:i w:val="0"/>
          <w:iCs w:val="0"/>
          <w:caps w:val="0"/>
          <w:color w:val="0F1115"/>
          <w:spacing w:val="0"/>
          <w:sz w:val="24"/>
          <w:szCs w:val="24"/>
          <w:shd w:val="clear" w:fill="FFFFFF"/>
          <w:lang w:eastAsia="zh-CN"/>
        </w:rPr>
        <w:t>。</w:t>
      </w:r>
    </w:p>
    <w:p w14:paraId="37FF36E3">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3.</w:t>
      </w:r>
      <w:r>
        <w:rPr>
          <w:rFonts w:hint="eastAsia" w:ascii="宋体" w:hAnsi="宋体" w:eastAsia="宋体" w:cs="宋体"/>
          <w:i w:val="0"/>
          <w:iCs w:val="0"/>
          <w:caps w:val="0"/>
          <w:color w:val="0F1115"/>
          <w:spacing w:val="0"/>
          <w:sz w:val="24"/>
          <w:szCs w:val="24"/>
          <w:shd w:val="clear" w:fill="FFFFFF"/>
        </w:rPr>
        <w:t>温度波动度：≤±0.1℃</w:t>
      </w:r>
      <w:r>
        <w:rPr>
          <w:rFonts w:hint="eastAsia" w:ascii="宋体" w:hAnsi="宋体" w:eastAsia="宋体" w:cs="宋体"/>
          <w:i w:val="0"/>
          <w:iCs w:val="0"/>
          <w:caps w:val="0"/>
          <w:color w:val="0F1115"/>
          <w:spacing w:val="0"/>
          <w:sz w:val="24"/>
          <w:szCs w:val="24"/>
          <w:shd w:val="clear" w:fill="FFFFFF"/>
          <w:lang w:eastAsia="zh-CN"/>
        </w:rPr>
        <w:t>。</w:t>
      </w:r>
    </w:p>
    <w:p w14:paraId="38686F1B">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eastAsia="宋体" w:cs="宋体"/>
          <w:i w:val="0"/>
          <w:iCs w:val="0"/>
          <w:caps w:val="0"/>
          <w:color w:val="0F1115"/>
          <w:spacing w:val="0"/>
          <w:sz w:val="24"/>
          <w:szCs w:val="24"/>
          <w:shd w:val="clear" w:fill="FFFFFF"/>
          <w:lang w:val="en-US" w:eastAsia="zh-CN"/>
        </w:rPr>
        <w:t>4.</w:t>
      </w:r>
      <w:r>
        <w:rPr>
          <w:rFonts w:hint="eastAsia" w:ascii="宋体" w:hAnsi="宋体" w:eastAsia="宋体" w:cs="宋体"/>
          <w:i w:val="0"/>
          <w:iCs w:val="0"/>
          <w:caps w:val="0"/>
          <w:color w:val="0F1115"/>
          <w:spacing w:val="0"/>
          <w:sz w:val="24"/>
          <w:szCs w:val="24"/>
          <w:shd w:val="clear" w:fill="FFFFFF"/>
        </w:rPr>
        <w:t>温度均匀性：0℃～50℃范围内≤0.3℃，-40℃～0℃及50℃～80℃范围内≤0.5℃</w:t>
      </w:r>
      <w:r>
        <w:rPr>
          <w:rFonts w:hint="eastAsia" w:ascii="宋体" w:hAnsi="宋体" w:eastAsia="宋体" w:cs="宋体"/>
          <w:i w:val="0"/>
          <w:iCs w:val="0"/>
          <w:caps w:val="0"/>
          <w:color w:val="0F1115"/>
          <w:spacing w:val="0"/>
          <w:sz w:val="24"/>
          <w:szCs w:val="24"/>
          <w:shd w:val="clear" w:fill="FFFFFF"/>
          <w:lang w:eastAsia="zh-CN"/>
        </w:rPr>
        <w:t>。</w:t>
      </w:r>
    </w:p>
    <w:p w14:paraId="31D10C28">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5.</w:t>
      </w:r>
      <w:r>
        <w:rPr>
          <w:rFonts w:hint="eastAsia" w:ascii="宋体" w:hAnsi="宋体" w:eastAsia="宋体" w:cs="宋体"/>
          <w:i w:val="0"/>
          <w:iCs w:val="0"/>
          <w:caps w:val="0"/>
          <w:color w:val="0F1115"/>
          <w:spacing w:val="0"/>
          <w:sz w:val="24"/>
          <w:szCs w:val="24"/>
          <w:shd w:val="clear" w:fill="FFFFFF"/>
        </w:rPr>
        <w:t>湿度范围（20℃工况）：10%RH～95%RH</w:t>
      </w:r>
      <w:r>
        <w:rPr>
          <w:rFonts w:hint="eastAsia" w:ascii="宋体" w:hAnsi="宋体" w:eastAsia="宋体" w:cs="宋体"/>
          <w:i w:val="0"/>
          <w:iCs w:val="0"/>
          <w:caps w:val="0"/>
          <w:color w:val="0F1115"/>
          <w:spacing w:val="0"/>
          <w:sz w:val="24"/>
          <w:szCs w:val="24"/>
          <w:shd w:val="clear" w:fill="FFFFFF"/>
          <w:lang w:eastAsia="zh-CN"/>
        </w:rPr>
        <w:t>。</w:t>
      </w:r>
    </w:p>
    <w:p w14:paraId="1249F0DF">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6.</w:t>
      </w:r>
      <w:r>
        <w:rPr>
          <w:rFonts w:hint="eastAsia" w:ascii="宋体" w:hAnsi="宋体" w:eastAsia="宋体" w:cs="宋体"/>
          <w:i w:val="0"/>
          <w:iCs w:val="0"/>
          <w:caps w:val="0"/>
          <w:color w:val="0F1115"/>
          <w:spacing w:val="0"/>
          <w:sz w:val="24"/>
          <w:szCs w:val="24"/>
          <w:shd w:val="clear" w:fill="FFFFFF"/>
        </w:rPr>
        <w:t>湿度波动度：≤±0.8%RH</w:t>
      </w:r>
      <w:r>
        <w:rPr>
          <w:rFonts w:hint="eastAsia" w:ascii="宋体" w:hAnsi="宋体" w:eastAsia="宋体" w:cs="宋体"/>
          <w:i w:val="0"/>
          <w:iCs w:val="0"/>
          <w:caps w:val="0"/>
          <w:color w:val="0F1115"/>
          <w:spacing w:val="0"/>
          <w:sz w:val="24"/>
          <w:szCs w:val="24"/>
          <w:shd w:val="clear" w:fill="FFFFFF"/>
          <w:lang w:eastAsia="zh-CN"/>
        </w:rPr>
        <w:t>。</w:t>
      </w:r>
    </w:p>
    <w:p w14:paraId="628E8BCB">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i w:val="0"/>
          <w:iCs w:val="0"/>
          <w:caps w:val="0"/>
          <w:color w:val="0F1115"/>
          <w:spacing w:val="0"/>
          <w:sz w:val="24"/>
          <w:szCs w:val="24"/>
          <w:shd w:val="clear" w:fill="FFFFFF"/>
          <w:lang w:val="en-US" w:eastAsia="zh-CN"/>
        </w:rPr>
        <w:t>7.</w:t>
      </w:r>
      <w:r>
        <w:rPr>
          <w:rFonts w:hint="eastAsia" w:ascii="宋体" w:hAnsi="宋体" w:eastAsia="宋体" w:cs="宋体"/>
          <w:i w:val="0"/>
          <w:iCs w:val="0"/>
          <w:caps w:val="0"/>
          <w:color w:val="0F1115"/>
          <w:spacing w:val="0"/>
          <w:sz w:val="24"/>
          <w:szCs w:val="24"/>
          <w:shd w:val="clear" w:fill="FFFFFF"/>
        </w:rPr>
        <w:t>湿度均匀性（20℃工况）：≤1.0%RH</w:t>
      </w:r>
      <w:r>
        <w:rPr>
          <w:rFonts w:hint="eastAsia" w:ascii="宋体" w:hAnsi="宋体" w:eastAsia="宋体" w:cs="宋体"/>
          <w:i w:val="0"/>
          <w:iCs w:val="0"/>
          <w:caps w:val="0"/>
          <w:color w:val="0F1115"/>
          <w:spacing w:val="0"/>
          <w:sz w:val="24"/>
          <w:szCs w:val="24"/>
          <w:shd w:val="clear" w:fill="FFFFFF"/>
          <w:lang w:eastAsia="zh-CN"/>
        </w:rPr>
        <w:t>。</w:t>
      </w:r>
    </w:p>
    <w:p w14:paraId="2ACB9A05">
      <w:pPr>
        <w:spacing w:line="360" w:lineRule="auto"/>
        <w:ind w:firstLine="480" w:firstLineChars="200"/>
        <w:rPr>
          <w:rFonts w:hint="eastAsia" w:ascii="宋体" w:hAnsi="宋体" w:eastAsia="宋体" w:cs="宋体"/>
          <w:i w:val="0"/>
          <w:iCs w:val="0"/>
          <w:caps w:val="0"/>
          <w:color w:val="0F1115"/>
          <w:spacing w:val="0"/>
          <w:sz w:val="24"/>
          <w:szCs w:val="24"/>
          <w:shd w:val="clear" w:fill="FFFFFF"/>
          <w:lang w:eastAsia="zh-CN"/>
        </w:rPr>
      </w:pPr>
      <w:r>
        <w:rPr>
          <w:rFonts w:hint="eastAsia" w:ascii="宋体" w:hAnsi="宋体" w:eastAsia="宋体" w:cs="宋体"/>
          <w:i w:val="0"/>
          <w:iCs w:val="0"/>
          <w:caps w:val="0"/>
          <w:color w:val="0F1115"/>
          <w:spacing w:val="0"/>
          <w:sz w:val="24"/>
          <w:szCs w:val="24"/>
          <w:shd w:val="clear" w:fill="FFFFFF"/>
          <w:lang w:val="en-US" w:eastAsia="zh-CN"/>
        </w:rPr>
        <w:t>8.</w:t>
      </w:r>
      <w:r>
        <w:rPr>
          <w:rFonts w:hint="eastAsia" w:ascii="宋体" w:hAnsi="宋体" w:eastAsia="宋体" w:cs="宋体"/>
          <w:i w:val="0"/>
          <w:iCs w:val="0"/>
          <w:caps w:val="0"/>
          <w:color w:val="0F1115"/>
          <w:spacing w:val="0"/>
          <w:sz w:val="24"/>
          <w:szCs w:val="24"/>
          <w:shd w:val="clear" w:fill="FFFFFF"/>
        </w:rPr>
        <w:t>具备自动控温控湿功能，可设置多段温湿度程序</w:t>
      </w:r>
      <w:r>
        <w:rPr>
          <w:rFonts w:hint="eastAsia" w:ascii="宋体" w:hAnsi="宋体" w:eastAsia="宋体" w:cs="宋体"/>
          <w:i w:val="0"/>
          <w:iCs w:val="0"/>
          <w:caps w:val="0"/>
          <w:color w:val="0F1115"/>
          <w:spacing w:val="0"/>
          <w:sz w:val="24"/>
          <w:szCs w:val="24"/>
          <w:shd w:val="clear" w:fill="FFFFFF"/>
          <w:lang w:eastAsia="zh-CN"/>
        </w:rPr>
        <w:t>。</w:t>
      </w:r>
    </w:p>
    <w:p w14:paraId="5051FE86">
      <w:pPr>
        <w:spacing w:line="360" w:lineRule="auto"/>
        <w:ind w:firstLine="480" w:firstLineChars="200"/>
        <w:rPr>
          <w:rFonts w:hint="eastAsia" w:ascii="宋体" w:hAnsi="宋体" w:cs="宋体"/>
          <w:b/>
          <w:bCs/>
          <w:sz w:val="24"/>
          <w:szCs w:val="24"/>
          <w:highlight w:val="none"/>
        </w:rPr>
      </w:pPr>
      <w:bookmarkStart w:id="155" w:name="OLE_LINK14"/>
      <w:r>
        <w:rPr>
          <w:rFonts w:hint="eastAsia" w:ascii="宋体" w:hAnsi="宋体" w:cs="宋体"/>
          <w:b/>
          <w:bCs/>
          <w:sz w:val="24"/>
          <w:szCs w:val="24"/>
          <w:highlight w:val="none"/>
        </w:rPr>
        <w:t>（四）</w:t>
      </w:r>
      <w:bookmarkEnd w:id="155"/>
      <w:r>
        <w:rPr>
          <w:rFonts w:hint="eastAsia" w:ascii="宋体" w:hAnsi="宋体" w:cs="宋体"/>
          <w:b/>
          <w:bCs/>
          <w:sz w:val="24"/>
          <w:szCs w:val="24"/>
          <w:highlight w:val="none"/>
          <w:lang w:val="en-US" w:eastAsia="zh-CN"/>
        </w:rPr>
        <w:t>温湿度试验设备自动检定系统</w:t>
      </w:r>
      <w:r>
        <w:rPr>
          <w:rFonts w:hint="eastAsia" w:ascii="宋体" w:hAnsi="宋体" w:cs="宋体"/>
          <w:b/>
          <w:bCs/>
          <w:sz w:val="24"/>
          <w:szCs w:val="24"/>
          <w:highlight w:val="none"/>
        </w:rPr>
        <w:t>参数要求</w:t>
      </w:r>
    </w:p>
    <w:p w14:paraId="7D30BEC2">
      <w:pPr>
        <w:pStyle w:val="195"/>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温湿度试验设备</w:t>
      </w:r>
      <w:r>
        <w:rPr>
          <w:rFonts w:hint="eastAsia" w:ascii="宋体" w:hAnsi="宋体" w:cs="宋体"/>
          <w:sz w:val="24"/>
          <w:szCs w:val="24"/>
          <w:highlight w:val="none"/>
          <w:lang w:val="en-US" w:eastAsia="zh-CN"/>
        </w:rPr>
        <w:t xml:space="preserve">自动检定系统：用于开展环境温湿度设备校准工作，满足JJF 1171-2024 《温湿度巡回检测仪校准规范》要求。 </w:t>
      </w:r>
    </w:p>
    <w:p w14:paraId="44BC412E">
      <w:pPr>
        <w:pStyle w:val="195"/>
        <w:spacing w:line="360" w:lineRule="auto"/>
        <w:ind w:firstLine="480"/>
        <w:rPr>
          <w:rFonts w:hint="eastAsia" w:ascii="宋体" w:hAnsi="宋体" w:eastAsia="宋体" w:cs="宋体"/>
          <w:sz w:val="24"/>
          <w:szCs w:val="24"/>
          <w:highlight w:val="none"/>
          <w:lang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温度测量范围：(-100～300)℃</w:t>
      </w:r>
      <w:r>
        <w:rPr>
          <w:rFonts w:hint="eastAsia" w:ascii="宋体" w:hAnsi="宋体" w:cs="宋体"/>
          <w:sz w:val="24"/>
          <w:szCs w:val="24"/>
          <w:highlight w:val="none"/>
          <w:lang w:eastAsia="zh-CN"/>
        </w:rPr>
        <w:t>。</w:t>
      </w:r>
    </w:p>
    <w:p w14:paraId="3F820027">
      <w:pPr>
        <w:pStyle w:val="195"/>
        <w:spacing w:line="360" w:lineRule="auto"/>
        <w:ind w:firstLine="480"/>
        <w:rPr>
          <w:rFonts w:hint="eastAsia" w:ascii="宋体" w:hAnsi="宋体" w:eastAsia="宋体" w:cs="宋体"/>
          <w:sz w:val="24"/>
          <w:szCs w:val="24"/>
          <w:highlight w:val="none"/>
          <w:lang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相对湿度测量范围：(20～95)%RH</w:t>
      </w:r>
      <w:r>
        <w:rPr>
          <w:rFonts w:hint="eastAsia" w:ascii="宋体" w:hAnsi="宋体" w:cs="宋体"/>
          <w:sz w:val="24"/>
          <w:szCs w:val="24"/>
          <w:highlight w:val="none"/>
          <w:lang w:eastAsia="zh-CN"/>
        </w:rPr>
        <w:t>。</w:t>
      </w:r>
    </w:p>
    <w:p w14:paraId="2075122A">
      <w:pPr>
        <w:pStyle w:val="195"/>
        <w:spacing w:line="360" w:lineRule="auto"/>
        <w:ind w:firstLine="480"/>
        <w:rPr>
          <w:rFonts w:hint="eastAsia" w:ascii="宋体" w:hAnsi="宋体" w:eastAsia="宋体" w:cs="Times New Roman"/>
          <w:sz w:val="24"/>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Times New Roman"/>
          <w:sz w:val="24"/>
          <w:lang w:val="en-US" w:eastAsia="zh-CN"/>
        </w:rPr>
        <w:t>4.</w:t>
      </w:r>
      <w:r>
        <w:rPr>
          <w:rFonts w:hint="default" w:ascii="宋体" w:hAnsi="宋体" w:eastAsia="宋体" w:cs="Times New Roman"/>
          <w:sz w:val="24"/>
        </w:rPr>
        <w:t>扩展不确定度：温度 U=0.2℃（k=2），湿度 U=2.0%RH（k=2）</w:t>
      </w:r>
      <w:r>
        <w:rPr>
          <w:rFonts w:hint="eastAsia" w:ascii="宋体" w:hAnsi="宋体" w:eastAsia="宋体" w:cs="Times New Roman"/>
          <w:sz w:val="24"/>
          <w:lang w:eastAsia="zh-CN"/>
        </w:rPr>
        <w:t>。</w:t>
      </w:r>
    </w:p>
    <w:p w14:paraId="66ECC350">
      <w:pPr>
        <w:numPr>
          <w:ilvl w:val="0"/>
          <w:numId w:val="3"/>
        </w:num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质量比较仪</w:t>
      </w:r>
      <w:r>
        <w:rPr>
          <w:rFonts w:hint="eastAsia" w:ascii="宋体" w:hAnsi="宋体" w:cs="宋体"/>
          <w:b/>
          <w:bCs/>
          <w:sz w:val="24"/>
          <w:szCs w:val="24"/>
          <w:highlight w:val="none"/>
        </w:rPr>
        <w:t>参数要求</w:t>
      </w:r>
    </w:p>
    <w:p w14:paraId="7EACAD2E">
      <w:pPr>
        <w:pStyle w:val="195"/>
        <w:spacing w:line="360" w:lineRule="auto"/>
        <w:ind w:firstLine="480"/>
        <w:rPr>
          <w:rFonts w:hint="eastAsia" w:ascii="宋体" w:hAnsi="宋体" w:cs="宋体" w:eastAsiaTheme="minorEastAsia"/>
          <w:sz w:val="24"/>
          <w:szCs w:val="24"/>
          <w:highlight w:val="none"/>
          <w:lang w:val="en-US" w:eastAsia="zh-CN" w:bidi="ar-SA"/>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质量比较仪：用于开展M1等级2000kg、1000kg砝码的检定工作。满足</w:t>
      </w:r>
      <w:r>
        <w:rPr>
          <w:rFonts w:hint="eastAsia" w:ascii="宋体" w:hAnsi="宋体"/>
          <w:sz w:val="24"/>
        </w:rPr>
        <w:t>JJF 1326-2011《质量⽐较仪》校准规范和</w:t>
      </w:r>
      <w:r>
        <w:rPr>
          <w:rFonts w:hint="eastAsia" w:ascii="宋体" w:hAnsi="宋体" w:cs="宋体" w:eastAsiaTheme="minorEastAsia"/>
          <w:sz w:val="24"/>
          <w:szCs w:val="24"/>
          <w:highlight w:val="none"/>
          <w:lang w:val="en-US" w:eastAsia="zh-CN" w:bidi="ar-SA"/>
        </w:rPr>
        <w:t xml:space="preserve">JJG 99-2022《砝码》检定规程要求。 </w:t>
      </w:r>
    </w:p>
    <w:p w14:paraId="7E0A853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2.运行行程：大于200mm，运行速度：2mm-20mm/s</w:t>
      </w:r>
      <w:r>
        <w:rPr>
          <w:rFonts w:hint="eastAsia" w:ascii="宋体" w:hAnsi="宋体" w:eastAsia="宋体"/>
          <w:sz w:val="24"/>
          <w:lang w:eastAsia="zh-CN"/>
        </w:rPr>
        <w:t>。</w:t>
      </w:r>
    </w:p>
    <w:p w14:paraId="72F935AA">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3.电源电压：220V</w:t>
      </w:r>
      <w:r>
        <w:rPr>
          <w:rFonts w:hint="eastAsia" w:ascii="宋体" w:hAnsi="宋体" w:eastAsia="宋体"/>
          <w:sz w:val="24"/>
          <w:lang w:eastAsia="zh-CN"/>
        </w:rPr>
        <w:t>。</w:t>
      </w:r>
    </w:p>
    <w:p w14:paraId="19AC505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eastAsia="宋体" w:cs="Times New Roman"/>
          <w:sz w:val="24"/>
          <w:lang w:val="en-US" w:eastAsia="zh-CN"/>
        </w:rPr>
        <w:t>▲</w:t>
      </w:r>
      <w:r>
        <w:rPr>
          <w:rFonts w:hint="eastAsia" w:ascii="宋体" w:hAnsi="宋体"/>
          <w:sz w:val="24"/>
        </w:rPr>
        <w:t>4.具有自脱离防撞措施，避免损伤检测设备</w:t>
      </w:r>
      <w:r>
        <w:rPr>
          <w:rFonts w:hint="eastAsia" w:ascii="宋体" w:hAnsi="宋体" w:eastAsia="宋体"/>
          <w:sz w:val="24"/>
          <w:lang w:eastAsia="zh-CN"/>
        </w:rPr>
        <w:t>。</w:t>
      </w:r>
    </w:p>
    <w:p w14:paraId="756EFB0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rPr>
        <w:t>5.测量精度：</w:t>
      </w:r>
    </w:p>
    <w:p w14:paraId="53579F9F">
      <w:pPr>
        <w:pStyle w:val="195"/>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★5.1测量范围：≥2000kg。 </w:t>
      </w:r>
    </w:p>
    <w:p w14:paraId="18FEFEB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★5.2实际分度值：≤2g</w:t>
      </w:r>
      <w:r>
        <w:rPr>
          <w:rFonts w:hint="eastAsia" w:ascii="宋体" w:hAnsi="宋体" w:eastAsia="宋体"/>
          <w:sz w:val="24"/>
          <w:lang w:eastAsia="zh-CN"/>
        </w:rPr>
        <w:t>。</w:t>
      </w:r>
    </w:p>
    <w:p w14:paraId="5B1C381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rPr>
        <w:t>★5.3</w:t>
      </w:r>
      <w:r>
        <w:rPr>
          <w:rFonts w:hint="eastAsia" w:ascii="宋体" w:hAnsi="宋体" w:eastAsia="宋体"/>
          <w:sz w:val="24"/>
          <w:lang w:val="en-US" w:eastAsia="zh-CN"/>
        </w:rPr>
        <w:t xml:space="preserve"> Pt=2t时重复性</w:t>
      </w:r>
      <w:r>
        <w:rPr>
          <w:rFonts w:hint="eastAsia" w:ascii="宋体" w:hAnsi="宋体"/>
          <w:sz w:val="24"/>
        </w:rPr>
        <w:t>≤</w:t>
      </w:r>
      <w:r>
        <w:rPr>
          <w:rFonts w:hint="eastAsia" w:ascii="宋体" w:hAnsi="宋体" w:eastAsia="宋体"/>
          <w:sz w:val="24"/>
          <w:lang w:val="en-US" w:eastAsia="zh-CN"/>
        </w:rPr>
        <w:t>3g，扩展不确定度U（k=2）3g。</w:t>
      </w:r>
    </w:p>
    <w:p w14:paraId="29967E1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eastAsia="宋体"/>
          <w:sz w:val="24"/>
          <w:lang w:val="en-US" w:eastAsia="zh-CN"/>
        </w:rPr>
        <w:t>5.4</w:t>
      </w:r>
      <w:r>
        <w:rPr>
          <w:rFonts w:hint="eastAsia" w:ascii="宋体" w:hAnsi="宋体"/>
          <w:sz w:val="24"/>
        </w:rPr>
        <w:t>具备智能外部⻆差调节功能，⾃动完成⻆差系数调节，同时能够⾃动判断砝码放置位置，具有偏载报警功能</w:t>
      </w:r>
      <w:r>
        <w:rPr>
          <w:rFonts w:hint="eastAsia" w:ascii="宋体" w:hAnsi="宋体" w:eastAsia="宋体"/>
          <w:sz w:val="24"/>
          <w:lang w:eastAsia="zh-CN"/>
        </w:rPr>
        <w:t>。</w:t>
      </w:r>
      <w:r>
        <w:rPr>
          <w:rFonts w:hint="eastAsia" w:ascii="宋体" w:hAnsi="宋体"/>
          <w:sz w:val="24"/>
        </w:rPr>
        <w:t xml:space="preserve"> </w:t>
      </w:r>
    </w:p>
    <w:p w14:paraId="410F6D2A">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rPr>
        <w:t>5.</w:t>
      </w:r>
      <w:r>
        <w:rPr>
          <w:rFonts w:hint="eastAsia" w:ascii="宋体" w:hAnsi="宋体" w:eastAsia="宋体"/>
          <w:sz w:val="24"/>
          <w:lang w:val="en-US" w:eastAsia="zh-CN"/>
        </w:rPr>
        <w:t>5</w:t>
      </w:r>
      <w:r>
        <w:rPr>
          <w:rFonts w:hint="eastAsia" w:ascii="宋体" w:hAnsi="宋体"/>
          <w:sz w:val="24"/>
        </w:rPr>
        <w:t>具备实时温度补偿功能，使其在不同现场环境下都能保持良好的计量特性</w:t>
      </w:r>
      <w:r>
        <w:rPr>
          <w:rFonts w:hint="eastAsia" w:ascii="宋体" w:hAnsi="宋体" w:eastAsia="宋体"/>
          <w:sz w:val="24"/>
          <w:lang w:eastAsia="zh-CN"/>
        </w:rPr>
        <w:t>。</w:t>
      </w:r>
      <w:r>
        <w:rPr>
          <w:rFonts w:hint="eastAsia" w:ascii="宋体" w:hAnsi="宋体"/>
          <w:sz w:val="24"/>
        </w:rPr>
        <w:t xml:space="preserve">  </w:t>
      </w:r>
    </w:p>
    <w:p w14:paraId="41F4094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rPr>
        <w:t>5.</w:t>
      </w:r>
      <w:r>
        <w:rPr>
          <w:rFonts w:hint="eastAsia" w:ascii="宋体" w:hAnsi="宋体" w:eastAsia="宋体"/>
          <w:sz w:val="24"/>
          <w:lang w:val="en-US" w:eastAsia="zh-CN"/>
        </w:rPr>
        <w:t>6</w:t>
      </w:r>
      <w:r>
        <w:rPr>
          <w:rFonts w:hint="eastAsia" w:ascii="宋体" w:hAnsi="宋体"/>
          <w:sz w:val="24"/>
        </w:rPr>
        <w:t>秤体材料及耐磨：采⽤304 不锈钢材料，表⾯采⽤磨砂处理，具备良好的耐磨性能</w:t>
      </w:r>
      <w:r>
        <w:rPr>
          <w:rFonts w:hint="eastAsia" w:ascii="宋体" w:hAnsi="宋体" w:eastAsia="宋体"/>
          <w:sz w:val="24"/>
          <w:lang w:eastAsia="zh-CN"/>
        </w:rPr>
        <w:t>。</w:t>
      </w:r>
      <w:r>
        <w:rPr>
          <w:rFonts w:hint="eastAsia" w:ascii="宋体" w:hAnsi="宋体"/>
          <w:sz w:val="24"/>
        </w:rPr>
        <w:t xml:space="preserve"> </w:t>
      </w:r>
    </w:p>
    <w:p w14:paraId="5AB86AE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rPr>
        <w:t>5.</w:t>
      </w:r>
      <w:r>
        <w:rPr>
          <w:rFonts w:hint="eastAsia" w:ascii="宋体" w:hAnsi="宋体" w:eastAsia="宋体"/>
          <w:sz w:val="24"/>
          <w:lang w:val="en-US" w:eastAsia="zh-CN"/>
        </w:rPr>
        <w:t>7</w:t>
      </w:r>
      <w:r>
        <w:rPr>
          <w:rFonts w:hint="eastAsia" w:ascii="宋体" w:hAnsi="宋体"/>
          <w:sz w:val="24"/>
        </w:rPr>
        <w:t>运输安全：秤体结构设有专⽤锁紧机构，运输过程中可以锁紧称重传感器，避免其损坏，⽅便外带</w:t>
      </w:r>
      <w:r>
        <w:rPr>
          <w:rFonts w:hint="eastAsia" w:ascii="宋体" w:hAnsi="宋体" w:eastAsia="宋体"/>
          <w:sz w:val="24"/>
          <w:lang w:eastAsia="zh-CN"/>
        </w:rPr>
        <w:t>。</w:t>
      </w:r>
      <w:r>
        <w:rPr>
          <w:rFonts w:hint="eastAsia" w:ascii="宋体" w:hAnsi="宋体"/>
          <w:sz w:val="24"/>
        </w:rPr>
        <w:t xml:space="preserve"> </w:t>
      </w:r>
    </w:p>
    <w:p w14:paraId="2B5967A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5.</w:t>
      </w:r>
      <w:r>
        <w:rPr>
          <w:rFonts w:hint="eastAsia" w:ascii="宋体" w:hAnsi="宋体" w:eastAsia="宋体"/>
          <w:sz w:val="24"/>
          <w:lang w:val="en-US" w:eastAsia="zh-CN"/>
        </w:rPr>
        <w:t>8</w:t>
      </w:r>
      <w:r>
        <w:rPr>
          <w:rFonts w:hint="eastAsia" w:ascii="宋体" w:hAnsi="宋体"/>
          <w:sz w:val="24"/>
        </w:rPr>
        <w:t>秤体具有⽅便吊装或叉⻋装卸的结构</w:t>
      </w:r>
      <w:r>
        <w:rPr>
          <w:rFonts w:hint="eastAsia" w:ascii="宋体" w:hAnsi="宋体" w:eastAsia="宋体"/>
          <w:sz w:val="24"/>
          <w:lang w:eastAsia="zh-CN"/>
        </w:rPr>
        <w:t>。</w:t>
      </w:r>
    </w:p>
    <w:p w14:paraId="2578BFD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6.一键升降将被检平稳加载到检测设备上</w:t>
      </w:r>
      <w:r>
        <w:rPr>
          <w:rFonts w:hint="eastAsia" w:ascii="宋体" w:hAnsi="宋体" w:eastAsia="宋体"/>
          <w:sz w:val="24"/>
          <w:lang w:eastAsia="zh-CN"/>
        </w:rPr>
        <w:t>。</w:t>
      </w:r>
    </w:p>
    <w:p w14:paraId="4BDFF6E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7.具有整块大理石用于装置的减震，提供高稳定性</w:t>
      </w:r>
      <w:r>
        <w:rPr>
          <w:rFonts w:hint="eastAsia" w:ascii="宋体" w:hAnsi="宋体" w:eastAsia="宋体"/>
          <w:sz w:val="24"/>
          <w:lang w:eastAsia="zh-CN"/>
        </w:rPr>
        <w:t>。</w:t>
      </w:r>
    </w:p>
    <w:p w14:paraId="5F18F6F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8.配备自动</w:t>
      </w:r>
      <w:r>
        <w:rPr>
          <w:rFonts w:ascii="宋体" w:hAnsi="宋体" w:eastAsia="宋体" w:cs="宋体"/>
          <w:sz w:val="24"/>
        </w:rPr>
        <w:t>定心秤盘</w:t>
      </w:r>
      <w:r>
        <w:rPr>
          <w:rFonts w:hint="eastAsia" w:ascii="宋体" w:hAnsi="宋体" w:eastAsia="宋体" w:cs="宋体"/>
          <w:sz w:val="24"/>
          <w:lang w:eastAsia="zh-CN"/>
        </w:rPr>
        <w:t>。</w:t>
      </w:r>
    </w:p>
    <w:p w14:paraId="5EAAE7C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rPr>
        <w:t>9.配备F2等级1000kg砝码，数量：2只；要求整块304不锈钢加工，非焊接拼接</w:t>
      </w:r>
      <w:r>
        <w:rPr>
          <w:rFonts w:hint="eastAsia" w:ascii="宋体" w:hAnsi="宋体" w:eastAsia="宋体"/>
          <w:sz w:val="24"/>
          <w:lang w:eastAsia="zh-CN"/>
        </w:rPr>
        <w:t>。</w:t>
      </w:r>
    </w:p>
    <w:p w14:paraId="5AEE7F7F">
      <w:pPr>
        <w:spacing w:line="360" w:lineRule="auto"/>
        <w:ind w:firstLine="480" w:firstLineChars="200"/>
        <w:rPr>
          <w:rFonts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eastAsia="宋体" w:cs="宋体"/>
          <w:b/>
          <w:bCs/>
          <w:sz w:val="24"/>
          <w:szCs w:val="24"/>
          <w:highlight w:val="none"/>
          <w:lang w:eastAsia="zh-CN"/>
        </w:rPr>
        <w:t>六</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温度探头和湿度探头</w:t>
      </w:r>
      <w:r>
        <w:rPr>
          <w:rFonts w:hint="eastAsia" w:ascii="宋体" w:hAnsi="宋体" w:cs="宋体"/>
          <w:b/>
          <w:bCs/>
          <w:sz w:val="24"/>
          <w:szCs w:val="24"/>
          <w:highlight w:val="none"/>
        </w:rPr>
        <w:t>参数要求</w:t>
      </w:r>
    </w:p>
    <w:p w14:paraId="1D90B75F">
      <w:pPr>
        <w:pStyle w:val="195"/>
        <w:spacing w:line="360" w:lineRule="auto"/>
        <w:ind w:firstLine="480"/>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★1.温度探头和湿度探头：配套巡检仪使用。 </w:t>
      </w:r>
    </w:p>
    <w:p w14:paraId="23B9D332">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★2.温度探头：铂电阻传感器，A级精度，防水设计。</w:t>
      </w:r>
    </w:p>
    <w:p w14:paraId="0FA97A2D">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★3.</w:t>
      </w:r>
      <w:r>
        <w:rPr>
          <w:rFonts w:hint="default" w:ascii="宋体" w:hAnsi="宋体" w:cs="宋体" w:eastAsiaTheme="minorEastAsia"/>
          <w:sz w:val="24"/>
          <w:szCs w:val="24"/>
          <w:highlight w:val="none"/>
          <w:lang w:val="en-US" w:eastAsia="zh-CN" w:bidi="ar-SA"/>
        </w:rPr>
        <w:t>湿度探头：温度测量准确度 ±0.2℃；相对湿度测量准确度 ±1.5%RH。</w:t>
      </w:r>
    </w:p>
    <w:p w14:paraId="62FFCA21">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七</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检定电导率仪专用交流电阻箱</w:t>
      </w:r>
      <w:r>
        <w:rPr>
          <w:rFonts w:hint="eastAsia" w:ascii="宋体" w:hAnsi="宋体" w:cs="宋体"/>
          <w:b/>
          <w:bCs/>
          <w:sz w:val="24"/>
          <w:szCs w:val="24"/>
          <w:highlight w:val="none"/>
        </w:rPr>
        <w:t>参数要求</w:t>
      </w:r>
    </w:p>
    <w:p w14:paraId="49D1BDAC">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 xml:space="preserve">检定电导率仪专用交流电阻箱：满足JJF1636-2017《交流电阻箱校准规范》。 </w:t>
      </w:r>
    </w:p>
    <w:p w14:paraId="55892538">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★2.电导量限：0.05μS～2.5×10⁴μS；</w:t>
      </w:r>
    </w:p>
    <w:p w14:paraId="2BFDAF47">
      <w:pPr>
        <w:spacing w:line="360" w:lineRule="auto"/>
        <w:ind w:firstLine="480" w:firstLineChars="200"/>
        <w:rPr>
          <w:rFonts w:hint="default"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★3.</w:t>
      </w:r>
      <w:r>
        <w:rPr>
          <w:rFonts w:hint="default" w:ascii="宋体" w:hAnsi="宋体" w:cs="宋体" w:eastAsiaTheme="minorEastAsia"/>
          <w:sz w:val="24"/>
          <w:szCs w:val="24"/>
          <w:highlight w:val="none"/>
          <w:lang w:val="en-US" w:eastAsia="zh-CN" w:bidi="ar-SA"/>
        </w:rPr>
        <w:t>准确度：0.07%（1μS～2.5×10⁴μS），0.1%（0.05μS～1μS）；</w:t>
      </w:r>
    </w:p>
    <w:p w14:paraId="31A6BC2E">
      <w:pPr>
        <w:spacing w:line="360" w:lineRule="auto"/>
        <w:ind w:firstLine="480" w:firstLineChars="200"/>
        <w:rPr>
          <w:rFonts w:hint="eastAsia" w:ascii="Times New Roman" w:hAnsi="Times New Roman"/>
          <w:b/>
          <w:bCs/>
          <w:sz w:val="24"/>
          <w:szCs w:val="21"/>
          <w:highlight w:val="none"/>
        </w:rPr>
      </w:pPr>
      <w:r>
        <w:rPr>
          <w:rFonts w:hint="eastAsia" w:ascii="宋体" w:hAnsi="宋体" w:cs="宋体" w:eastAsiaTheme="minorEastAsia"/>
          <w:sz w:val="24"/>
          <w:szCs w:val="24"/>
          <w:highlight w:val="none"/>
          <w:lang w:val="en-US" w:eastAsia="zh-CN" w:bidi="ar-SA"/>
        </w:rPr>
        <w:t>★4.</w:t>
      </w:r>
      <w:r>
        <w:rPr>
          <w:rFonts w:hint="default" w:ascii="宋体" w:hAnsi="宋体" w:cs="宋体" w:eastAsiaTheme="minorEastAsia"/>
          <w:sz w:val="24"/>
          <w:szCs w:val="24"/>
          <w:highlight w:val="none"/>
          <w:lang w:val="en-US" w:eastAsia="zh-CN" w:bidi="ar-SA"/>
        </w:rPr>
        <w:t>温度范围：10～50℃；配备电导检定专用连接线（3针、8针等）。</w:t>
      </w:r>
    </w:p>
    <w:p w14:paraId="787F1193">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八</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水分快速测定仪</w:t>
      </w:r>
      <w:r>
        <w:rPr>
          <w:rFonts w:hint="eastAsia" w:ascii="宋体" w:hAnsi="宋体" w:cs="宋体"/>
          <w:b/>
          <w:bCs/>
          <w:sz w:val="24"/>
          <w:szCs w:val="24"/>
          <w:highlight w:val="none"/>
        </w:rPr>
        <w:t>参数要求</w:t>
      </w:r>
    </w:p>
    <w:p w14:paraId="4DEAF2B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水分快速测定仪：满足JJG 891-2019 《电容法和电阻法谷物水分测定仪检定规程》要求。</w:t>
      </w:r>
    </w:p>
    <w:p w14:paraId="5CA897C8">
      <w:pPr>
        <w:spacing w:line="360" w:lineRule="auto"/>
        <w:ind w:firstLine="480" w:firstLineChars="200"/>
        <w:rPr>
          <w:rFonts w:hint="eastAsia" w:ascii="Times New Roman" w:hAnsi="Times New Roman"/>
          <w:b/>
          <w:bCs/>
          <w:sz w:val="24"/>
          <w:szCs w:val="21"/>
          <w:highlight w:val="none"/>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符合0.5级准确度要求。</w:t>
      </w:r>
    </w:p>
    <w:p w14:paraId="07D91CCE">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九</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干燥箱</w:t>
      </w:r>
      <w:r>
        <w:rPr>
          <w:rFonts w:hint="eastAsia" w:ascii="宋体" w:hAnsi="宋体" w:cs="宋体"/>
          <w:b/>
          <w:bCs/>
          <w:sz w:val="24"/>
          <w:szCs w:val="24"/>
          <w:highlight w:val="none"/>
        </w:rPr>
        <w:t>参数要求</w:t>
      </w:r>
    </w:p>
    <w:p w14:paraId="6289C863">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干燥箱：满足JJF1101-2019 《环境试验设备温度、湿度参数校准规范》要求。</w:t>
      </w:r>
    </w:p>
    <w:p w14:paraId="3DB699AF">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2.温度量限：50～300℃。</w:t>
      </w:r>
    </w:p>
    <w:p w14:paraId="273CFD8A">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3.工作区域尺寸：800*600*1300。</w:t>
      </w:r>
    </w:p>
    <w:p w14:paraId="05DE927D">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4.外形尺寸：1060*850*1760。</w:t>
      </w:r>
    </w:p>
    <w:p w14:paraId="192BE044">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w:t>
      </w:r>
      <w:r>
        <w:rPr>
          <w:rFonts w:hint="default" w:ascii="宋体" w:hAnsi="宋体" w:cs="宋体"/>
          <w:sz w:val="24"/>
          <w:szCs w:val="24"/>
          <w:highlight w:val="none"/>
          <w:lang w:val="en-US" w:eastAsia="zh-CN"/>
        </w:rPr>
        <w:t>功率</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小于5900</w:t>
      </w:r>
      <w:r>
        <w:rPr>
          <w:rFonts w:hint="eastAsia" w:ascii="宋体" w:hAnsi="宋体" w:cs="宋体"/>
          <w:sz w:val="24"/>
          <w:szCs w:val="24"/>
          <w:highlight w:val="none"/>
          <w:lang w:val="en-US" w:eastAsia="zh-CN"/>
        </w:rPr>
        <w:t>W。</w:t>
      </w:r>
    </w:p>
    <w:p w14:paraId="21332272">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6.温度波动1℃温度误差±2摄氏度。</w:t>
      </w:r>
    </w:p>
    <w:p w14:paraId="046D8288">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7.均匀度2摄氏度。</w:t>
      </w:r>
    </w:p>
    <w:p w14:paraId="04B8AD87">
      <w:pPr>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8.显示精度：</w:t>
      </w:r>
      <w:r>
        <w:rPr>
          <w:rFonts w:hint="eastAsia" w:ascii="宋体" w:hAnsi="宋体" w:cs="宋体"/>
          <w:sz w:val="20"/>
          <w:szCs w:val="20"/>
          <w:highlight w:val="none"/>
          <w:lang w:val="en-US" w:eastAsia="zh-CN"/>
        </w:rPr>
        <w:t>＜</w:t>
      </w:r>
      <w:r>
        <w:rPr>
          <w:rFonts w:hint="eastAsia" w:ascii="宋体" w:hAnsi="宋体" w:cs="宋体"/>
          <w:sz w:val="24"/>
          <w:szCs w:val="24"/>
          <w:highlight w:val="none"/>
          <w:lang w:val="en-US" w:eastAsia="zh-CN"/>
        </w:rPr>
        <w:t>0.1℃。</w:t>
      </w:r>
    </w:p>
    <w:p w14:paraId="4200CF85">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9.最大允许误差：±2℃。</w:t>
      </w:r>
    </w:p>
    <w:p w14:paraId="1F3E5905">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十</w:t>
      </w:r>
      <w:r>
        <w:rPr>
          <w:rFonts w:hint="eastAsia" w:ascii="宋体" w:hAnsi="宋体" w:cs="宋体"/>
          <w:b/>
          <w:bCs/>
          <w:sz w:val="24"/>
          <w:szCs w:val="24"/>
          <w:highlight w:val="none"/>
        </w:rPr>
        <w:t>）</w:t>
      </w:r>
      <w:r>
        <w:rPr>
          <w:rFonts w:hint="eastAsia" w:ascii="宋体" w:hAnsi="宋体" w:cs="宋体" w:eastAsiaTheme="minorEastAsia"/>
          <w:sz w:val="24"/>
          <w:szCs w:val="24"/>
          <w:highlight w:val="none"/>
          <w:lang w:val="en-US" w:eastAsia="zh-CN" w:bidi="ar-SA"/>
        </w:rPr>
        <w:t>温湿度巡检仪参数要求</w:t>
      </w:r>
    </w:p>
    <w:p w14:paraId="3AA8BD70">
      <w:pPr>
        <w:pStyle w:val="195"/>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温湿度巡检</w:t>
      </w:r>
      <w:r>
        <w:rPr>
          <w:rFonts w:hint="eastAsia" w:ascii="宋体" w:hAnsi="宋体" w:cs="宋体"/>
          <w:sz w:val="24"/>
          <w:szCs w:val="24"/>
          <w:highlight w:val="none"/>
          <w:lang w:val="en-US" w:eastAsia="zh-CN"/>
        </w:rPr>
        <w:t>仪：满足JJF 2019-2022《液体恒温试验设备温度性能测试规范》要求。</w:t>
      </w:r>
    </w:p>
    <w:p w14:paraId="536787A7">
      <w:pPr>
        <w:pStyle w:val="195"/>
        <w:spacing w:line="360" w:lineRule="auto"/>
        <w:ind w:firstLine="480"/>
        <w:rPr>
          <w:rFonts w:hint="eastAsia" w:ascii="宋体" w:hAnsi="宋体" w:cs="宋体"/>
          <w:sz w:val="24"/>
          <w:szCs w:val="24"/>
          <w:highlight w:val="none"/>
          <w:lang w:eastAsia="zh-CN"/>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rPr>
        <w:t>2.</w:t>
      </w:r>
      <w:r>
        <w:rPr>
          <w:rFonts w:hint="default" w:ascii="宋体" w:hAnsi="宋体" w:cs="宋体"/>
          <w:sz w:val="24"/>
          <w:szCs w:val="24"/>
          <w:highlight w:val="none"/>
        </w:rPr>
        <w:t>配套20只热电阻、7只热电偶、5只温湿度传感器</w:t>
      </w:r>
      <w:r>
        <w:rPr>
          <w:rFonts w:hint="eastAsia" w:ascii="宋体" w:hAnsi="宋体" w:cs="宋体"/>
          <w:sz w:val="24"/>
          <w:szCs w:val="24"/>
          <w:highlight w:val="none"/>
          <w:lang w:eastAsia="zh-CN"/>
        </w:rPr>
        <w:t>；</w:t>
      </w:r>
    </w:p>
    <w:p w14:paraId="1BDD6E13">
      <w:pPr>
        <w:pStyle w:val="195"/>
        <w:spacing w:line="360" w:lineRule="auto"/>
        <w:ind w:firstLine="480"/>
        <w:rPr>
          <w:rFonts w:hint="default" w:ascii="宋体" w:hAnsi="宋体" w:cs="宋体"/>
          <w:sz w:val="24"/>
          <w:szCs w:val="24"/>
          <w:highlight w:val="none"/>
        </w:rPr>
      </w:pPr>
      <w:r>
        <w:rPr>
          <w:rFonts w:hint="eastAsia" w:ascii="宋体" w:hAnsi="宋体" w:cs="宋体"/>
          <w:sz w:val="24"/>
          <w:szCs w:val="24"/>
          <w:highlight w:val="none"/>
          <w:lang w:val="en-US" w:eastAsia="zh-CN"/>
        </w:rPr>
        <w:t>3.</w:t>
      </w:r>
      <w:r>
        <w:rPr>
          <w:rFonts w:hint="default" w:ascii="宋体" w:hAnsi="宋体" w:cs="宋体"/>
          <w:sz w:val="24"/>
          <w:szCs w:val="24"/>
          <w:highlight w:val="none"/>
        </w:rPr>
        <w:t>总通道数：32通道；分辨力：温度0.01℃，湿度0.01%RH。</w:t>
      </w:r>
    </w:p>
    <w:p w14:paraId="7C25DC95">
      <w:pPr>
        <w:pStyle w:val="195"/>
        <w:spacing w:line="360" w:lineRule="auto"/>
        <w:ind w:firstLine="480"/>
        <w:rPr>
          <w:rFonts w:hint="default" w:ascii="宋体" w:hAnsi="宋体" w:cs="宋体"/>
          <w:sz w:val="24"/>
          <w:szCs w:val="24"/>
          <w:highlight w:val="none"/>
        </w:rPr>
      </w:pPr>
      <w:r>
        <w:rPr>
          <w:rFonts w:hint="eastAsia" w:ascii="宋体" w:hAnsi="宋体" w:cs="宋体" w:eastAsiaTheme="minorEastAsia"/>
          <w:sz w:val="24"/>
          <w:szCs w:val="24"/>
          <w:highlight w:val="none"/>
          <w:lang w:val="en-US" w:eastAsia="zh-CN" w:bidi="ar-SA"/>
        </w:rPr>
        <w:t>★</w:t>
      </w:r>
      <w:r>
        <w:rPr>
          <w:rFonts w:hint="eastAsia" w:ascii="宋体" w:hAnsi="宋体" w:cs="宋体"/>
          <w:sz w:val="24"/>
          <w:szCs w:val="24"/>
          <w:highlight w:val="none"/>
          <w:lang w:val="en-US" w:eastAsia="zh-CN"/>
        </w:rPr>
        <w:t>4.</w:t>
      </w:r>
      <w:r>
        <w:rPr>
          <w:rFonts w:hint="default" w:ascii="宋体" w:hAnsi="宋体" w:cs="宋体"/>
          <w:sz w:val="24"/>
          <w:szCs w:val="24"/>
          <w:highlight w:val="none"/>
        </w:rPr>
        <w:t>铂电阻传感器（AA级）：</w:t>
      </w:r>
    </w:p>
    <w:p w14:paraId="080E28C3">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rPr>
      </w:pPr>
      <w:r>
        <w:rPr>
          <w:rFonts w:hint="default" w:ascii="宋体" w:hAnsi="宋体" w:cs="宋体"/>
          <w:sz w:val="24"/>
          <w:szCs w:val="24"/>
          <w:highlight w:val="none"/>
        </w:rPr>
        <w:t>-200～-30℃：准确度 ≤±0.20℃</w:t>
      </w:r>
      <w:r>
        <w:rPr>
          <w:rFonts w:hint="eastAsia" w:ascii="宋体" w:hAnsi="宋体" w:cs="宋体"/>
          <w:sz w:val="24"/>
          <w:szCs w:val="24"/>
          <w:highlight w:val="none"/>
          <w:lang w:eastAsia="zh-CN"/>
        </w:rPr>
        <w:t>；</w:t>
      </w:r>
    </w:p>
    <w:p w14:paraId="1E6A93EE">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lang w:eastAsia="zh-CN"/>
        </w:rPr>
      </w:pPr>
      <w:r>
        <w:rPr>
          <w:rFonts w:hint="default" w:ascii="宋体" w:hAnsi="宋体" w:cs="宋体"/>
          <w:sz w:val="24"/>
          <w:szCs w:val="24"/>
          <w:highlight w:val="none"/>
        </w:rPr>
        <w:t>-30～</w:t>
      </w:r>
      <w:r>
        <w:rPr>
          <w:rFonts w:hint="eastAsia" w:ascii="宋体" w:hAnsi="宋体" w:cs="宋体"/>
          <w:sz w:val="24"/>
          <w:szCs w:val="24"/>
          <w:highlight w:val="none"/>
          <w:lang w:val="en-US" w:eastAsia="zh-CN"/>
        </w:rPr>
        <w:t>+</w:t>
      </w:r>
      <w:r>
        <w:rPr>
          <w:rFonts w:hint="default" w:ascii="宋体" w:hAnsi="宋体" w:cs="宋体"/>
          <w:sz w:val="24"/>
          <w:szCs w:val="24"/>
          <w:highlight w:val="none"/>
        </w:rPr>
        <w:t>200℃：准确度 ≤±0.10℃</w:t>
      </w:r>
      <w:r>
        <w:rPr>
          <w:rFonts w:hint="eastAsia" w:ascii="宋体" w:hAnsi="宋体" w:cs="宋体"/>
          <w:sz w:val="24"/>
          <w:szCs w:val="24"/>
          <w:highlight w:val="none"/>
          <w:lang w:eastAsia="zh-CN"/>
        </w:rPr>
        <w:t>；</w:t>
      </w:r>
    </w:p>
    <w:p w14:paraId="3596D17A">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highlight w:val="none"/>
          <w:lang w:eastAsia="zh-CN"/>
        </w:rPr>
      </w:pPr>
      <w:r>
        <w:rPr>
          <w:rFonts w:hint="default" w:ascii="宋体" w:hAnsi="宋体" w:cs="宋体"/>
          <w:sz w:val="24"/>
          <w:szCs w:val="24"/>
          <w:highlight w:val="none"/>
        </w:rPr>
        <w:t>200～300℃：准确度 ≤±0.20℃</w:t>
      </w:r>
      <w:r>
        <w:rPr>
          <w:rFonts w:hint="eastAsia" w:ascii="宋体" w:hAnsi="宋体" w:cs="宋体"/>
          <w:sz w:val="24"/>
          <w:szCs w:val="24"/>
          <w:highlight w:val="none"/>
          <w:lang w:eastAsia="zh-CN"/>
        </w:rPr>
        <w:t>。</w:t>
      </w:r>
    </w:p>
    <w:p w14:paraId="5628985F">
      <w:pPr>
        <w:pStyle w:val="19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default" w:ascii="宋体" w:hAnsi="宋体" w:cs="宋体"/>
          <w:sz w:val="24"/>
          <w:szCs w:val="24"/>
          <w:highlight w:val="none"/>
        </w:rPr>
        <w:t>热电偶传感器（工业I级）：</w:t>
      </w:r>
    </w:p>
    <w:p w14:paraId="38B1BB5F">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highlight w:val="none"/>
          <w:lang w:eastAsia="zh-CN"/>
        </w:rPr>
      </w:pPr>
      <w:r>
        <w:rPr>
          <w:rFonts w:hint="default" w:ascii="宋体" w:hAnsi="宋体" w:cs="宋体"/>
          <w:sz w:val="24"/>
          <w:szCs w:val="24"/>
          <w:highlight w:val="none"/>
        </w:rPr>
        <w:t>300～375℃：准确度 ≤±1.5℃</w:t>
      </w:r>
      <w:r>
        <w:rPr>
          <w:rFonts w:hint="eastAsia" w:ascii="宋体" w:hAnsi="宋体" w:cs="宋体"/>
          <w:sz w:val="24"/>
          <w:szCs w:val="24"/>
          <w:highlight w:val="none"/>
          <w:lang w:eastAsia="zh-CN"/>
        </w:rPr>
        <w:t>；</w:t>
      </w:r>
    </w:p>
    <w:p w14:paraId="027EE639">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lang w:eastAsia="zh-CN"/>
        </w:rPr>
      </w:pPr>
      <w:r>
        <w:rPr>
          <w:rFonts w:hint="default" w:ascii="宋体" w:hAnsi="宋体" w:cs="宋体"/>
          <w:sz w:val="24"/>
          <w:szCs w:val="24"/>
          <w:highlight w:val="none"/>
        </w:rPr>
        <w:t>375～1100℃：准确度 ≤±0.4%·t℃（t为实测温度）</w:t>
      </w:r>
      <w:r>
        <w:rPr>
          <w:rFonts w:hint="eastAsia" w:ascii="宋体" w:hAnsi="宋体" w:cs="宋体"/>
          <w:sz w:val="24"/>
          <w:szCs w:val="24"/>
          <w:highlight w:val="none"/>
          <w:lang w:eastAsia="zh-CN"/>
        </w:rPr>
        <w:t>；</w:t>
      </w:r>
    </w:p>
    <w:p w14:paraId="343C6F3D">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宋体" w:hAnsi="宋体" w:cs="宋体"/>
          <w:sz w:val="24"/>
          <w:szCs w:val="24"/>
          <w:highlight w:val="none"/>
        </w:rPr>
      </w:pPr>
      <w:r>
        <w:rPr>
          <w:rFonts w:hint="default" w:ascii="宋体" w:hAnsi="宋体" w:cs="宋体"/>
          <w:sz w:val="24"/>
          <w:szCs w:val="24"/>
          <w:highlight w:val="none"/>
        </w:rPr>
        <w:t>湿度传感器：准确度 ≤±1.5%RH；重复性 ≤0.05%RH。</w:t>
      </w:r>
    </w:p>
    <w:p w14:paraId="41236B38">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1.上述带星号（“★”）的技术条款除特别说明外，投标供应商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p>
    <w:p w14:paraId="02D2809B">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上述▲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p>
    <w:p w14:paraId="53BB4D9B">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3.以上所有计量器具（设备）除特别说明外，其他须附带省级以上（含省级）法定计量机构出具的合格有效溯源（</w:t>
      </w:r>
      <w:r>
        <w:rPr>
          <w:rFonts w:hint="eastAsia" w:ascii="宋体" w:hAnsi="宋体" w:eastAsia="宋体" w:cs="宋体"/>
          <w:b/>
          <w:bCs/>
          <w:sz w:val="24"/>
          <w:szCs w:val="24"/>
          <w:highlight w:val="none"/>
          <w:lang w:val="zh-CN" w:eastAsia="zh-CN" w:bidi="ar-SA"/>
        </w:rPr>
        <w:t>检定/校准</w:t>
      </w:r>
      <w:r>
        <w:rPr>
          <w:rFonts w:hint="eastAsia" w:ascii="宋体" w:hAnsi="宋体" w:eastAsia="宋体" w:cs="宋体"/>
          <w:b/>
          <w:bCs/>
          <w:sz w:val="24"/>
          <w:szCs w:val="24"/>
          <w:highlight w:val="none"/>
          <w:lang w:val="en-US" w:eastAsia="zh-CN" w:bidi="ar-SA"/>
        </w:rPr>
        <w:t>）证书</w:t>
      </w:r>
      <w:r>
        <w:rPr>
          <w:rFonts w:hint="eastAsia" w:ascii="宋体" w:hAnsi="宋体" w:eastAsia="宋体" w:cs="宋体"/>
          <w:b/>
          <w:bCs/>
          <w:sz w:val="24"/>
          <w:szCs w:val="24"/>
          <w:highlight w:val="none"/>
          <w:lang w:val="zh-CN" w:eastAsia="zh-CN" w:bidi="ar-SA"/>
        </w:rPr>
        <w:t>，结果页内容应至少包含★内容</w:t>
      </w:r>
      <w:r>
        <w:rPr>
          <w:rFonts w:hint="eastAsia" w:ascii="宋体" w:hAnsi="宋体" w:eastAsia="宋体" w:cs="宋体"/>
          <w:b/>
          <w:bCs/>
          <w:sz w:val="24"/>
          <w:szCs w:val="24"/>
          <w:highlight w:val="none"/>
          <w:lang w:val="en-US" w:eastAsia="zh-CN" w:bidi="ar-SA"/>
        </w:rPr>
        <w:t>，证书单位为宿迁市计量测试所。</w:t>
      </w:r>
      <w:r>
        <w:rPr>
          <w:rFonts w:hint="default" w:ascii="宋体" w:hAnsi="宋体" w:eastAsia="宋体" w:cs="宋体"/>
          <w:b/>
          <w:bCs/>
          <w:sz w:val="24"/>
          <w:szCs w:val="24"/>
          <w:highlight w:val="none"/>
          <w:lang w:val="en-US" w:eastAsia="zh-CN" w:bidi="ar-SA"/>
        </w:rPr>
        <w:t>未提供或证书不符合要求的，不予通过验收，且检测相关费用由中标供应商承担</w:t>
      </w:r>
      <w:r>
        <w:rPr>
          <w:rFonts w:hint="eastAsia" w:ascii="宋体" w:hAnsi="宋体" w:eastAsia="宋体" w:cs="宋体"/>
          <w:b/>
          <w:bCs/>
          <w:sz w:val="24"/>
          <w:szCs w:val="24"/>
          <w:highlight w:val="none"/>
          <w:lang w:val="en-US" w:eastAsia="zh-CN" w:bidi="ar-SA"/>
        </w:rPr>
        <w:t>（如首次检定或校准不合格，因不合格所发生的全部费用，均由供应商承担）</w:t>
      </w:r>
      <w:r>
        <w:rPr>
          <w:rFonts w:hint="default" w:ascii="宋体" w:hAnsi="宋体" w:eastAsia="宋体" w:cs="宋体"/>
          <w:b/>
          <w:bCs/>
          <w:sz w:val="24"/>
          <w:szCs w:val="24"/>
          <w:highlight w:val="none"/>
          <w:lang w:val="en-US" w:eastAsia="zh-CN" w:bidi="ar-SA"/>
        </w:rPr>
        <w:t>。</w:t>
      </w:r>
    </w:p>
    <w:p w14:paraId="3BF9AF30">
      <w:pPr>
        <w:pStyle w:val="195"/>
        <w:spacing w:line="360" w:lineRule="auto"/>
        <w:ind w:firstLine="482"/>
        <w:rPr>
          <w:rFonts w:ascii="Times New Roman" w:hAnsi="Times New Roman"/>
          <w:b/>
          <w:bCs/>
          <w:sz w:val="24"/>
          <w:szCs w:val="21"/>
          <w:highlight w:val="none"/>
        </w:rPr>
      </w:pPr>
      <w:r>
        <w:rPr>
          <w:rFonts w:hint="eastAsia" w:ascii="Times New Roman" w:hAnsi="Times New Roman"/>
          <w:b/>
          <w:bCs/>
          <w:sz w:val="24"/>
          <w:szCs w:val="21"/>
          <w:highlight w:val="none"/>
        </w:rPr>
        <w:t>五、其他要求</w:t>
      </w:r>
    </w:p>
    <w:p w14:paraId="2D319CD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1.供货要求</w:t>
      </w:r>
    </w:p>
    <w:p w14:paraId="2CF26A60">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1AA4D7B6">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2.质量保证</w:t>
      </w:r>
    </w:p>
    <w:p w14:paraId="4237E1F7">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1）投标人应保证提供的货物与服务项目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p>
    <w:p w14:paraId="0EB5B804">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根据当地法定检验机构的检验结果或者在售后服务期内，如果货物与服务项目的内在质量或规格型号与合同不符，或证明货物是有缺陷的，包括潜在的缺陷或使用不符合要求的材料等，采购人有权向投标人发出索赔通知。</w:t>
      </w:r>
    </w:p>
    <w:p w14:paraId="5BFDEA24">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3.人员培训要求</w:t>
      </w:r>
    </w:p>
    <w:p w14:paraId="568773E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（1）由</w:t>
      </w:r>
      <w:r>
        <w:rPr>
          <w:rFonts w:hint="eastAsia" w:ascii="宋体" w:hAnsi="宋体" w:cs="宋体"/>
          <w:bCs/>
          <w:sz w:val="24"/>
          <w:szCs w:val="24"/>
          <w:highlight w:val="none"/>
        </w:rPr>
        <w:t>制造商或其授权代表机构或其授权技术人员</w:t>
      </w:r>
      <w:r>
        <w:rPr>
          <w:rFonts w:hint="eastAsia" w:ascii="宋体" w:hAnsi="宋体" w:cs="宋体"/>
          <w:sz w:val="24"/>
          <w:szCs w:val="24"/>
          <w:highlight w:val="none"/>
        </w:rPr>
        <w:t>对使用单位技术人员进行培训。</w:t>
      </w:r>
    </w:p>
    <w:p w14:paraId="2ED19B5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（2）培训时长：不少于3天，直至使用单位技术人员能独立操作为止。</w:t>
      </w:r>
    </w:p>
    <w:p w14:paraId="12727F8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（3）培训内容：设备原理、操作、日常维护保养等。</w:t>
      </w:r>
    </w:p>
    <w:p w14:paraId="798C40A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（4）培训人数：不少于</w:t>
      </w: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rPr>
        <w:t>人。</w:t>
      </w:r>
    </w:p>
    <w:p w14:paraId="6E222DE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宋体" w:hAnsi="宋体" w:cs="宋体"/>
          <w:sz w:val="24"/>
          <w:szCs w:val="24"/>
          <w:highlight w:val="none"/>
        </w:rPr>
      </w:pPr>
      <w:r>
        <w:rPr>
          <w:rFonts w:hint="eastAsia" w:ascii="宋体" w:hAnsi="宋体" w:cs="宋体"/>
          <w:sz w:val="24"/>
          <w:szCs w:val="24"/>
          <w:highlight w:val="none"/>
        </w:rPr>
        <w:t>（5）培训地点：采购人指定地点。</w:t>
      </w:r>
    </w:p>
    <w:p w14:paraId="2D92AEF2">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4.售后服务</w:t>
      </w:r>
    </w:p>
    <w:p w14:paraId="11A0C54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（1）制造商或其授权代表机构应具有完善的售后服务制度，具备完备的售后服务条件，拥有经培训的专业技术人员，能够为本项目所需装置提供及时、专业的售后服务。</w:t>
      </w:r>
    </w:p>
    <w:p w14:paraId="36D826A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2）竞标商应在竞标响应文件中应对售后服务做出正式承诺，并详尽描述售后服务的相关应急维修时限安排、维护保养时间安排、主要售后服务人员、售后服务条件、售后服务机构联系信息、维修服务收费标准等。</w:t>
      </w:r>
    </w:p>
    <w:p w14:paraId="441E1669">
      <w:pPr>
        <w:keepNext w:val="0"/>
        <w:keepLines w:val="0"/>
        <w:pageBreakBefore w:val="0"/>
        <w:widowControl w:val="0"/>
        <w:kinsoku/>
        <w:wordWrap/>
        <w:overflowPunct/>
        <w:topLinePunct w:val="0"/>
        <w:bidi w:val="0"/>
        <w:snapToGrid/>
        <w:spacing w:line="360" w:lineRule="auto"/>
        <w:ind w:firstLine="470" w:firstLineChars="196"/>
        <w:jc w:val="both"/>
        <w:textAlignment w:val="auto"/>
        <w:rPr>
          <w:rFonts w:hint="eastAsia" w:ascii="宋体" w:hAnsi="宋体" w:cs="宋体"/>
          <w:sz w:val="24"/>
          <w:szCs w:val="24"/>
          <w:highlight w:val="none"/>
        </w:rPr>
      </w:pPr>
      <w:r>
        <w:rPr>
          <w:rFonts w:hint="eastAsia" w:ascii="宋体" w:hAnsi="宋体" w:cs="宋体"/>
          <w:sz w:val="24"/>
          <w:szCs w:val="24"/>
          <w:highlight w:val="none"/>
        </w:rPr>
        <w:t>（3）验收通过之日起免费质保24个月（从验收合格之日起算起），清单中另有规定的从其规定。质保期内，中标供应商对产品质量实行三包，因设备配置或制造质量问题而引起的故障，乙方应在 24 小时内立即予以免费维修或更换，由此引起的一切费用由中标供应商承担。</w:t>
      </w:r>
    </w:p>
    <w:p w14:paraId="76A16B52">
      <w:pPr>
        <w:keepNext w:val="0"/>
        <w:keepLines w:val="0"/>
        <w:pageBreakBefore w:val="0"/>
        <w:widowControl w:val="0"/>
        <w:kinsoku/>
        <w:wordWrap/>
        <w:overflowPunct/>
        <w:topLinePunct w:val="0"/>
        <w:bidi w:val="0"/>
        <w:snapToGrid/>
        <w:spacing w:line="360" w:lineRule="auto"/>
        <w:ind w:firstLine="470" w:firstLineChars="196"/>
        <w:jc w:val="both"/>
        <w:textAlignment w:val="auto"/>
        <w:rPr>
          <w:rFonts w:hint="eastAsia" w:ascii="宋体" w:hAnsi="宋体" w:cs="宋体"/>
          <w:sz w:val="24"/>
          <w:szCs w:val="24"/>
          <w:highlight w:val="none"/>
        </w:rPr>
      </w:pPr>
      <w:r>
        <w:rPr>
          <w:rFonts w:hint="eastAsia" w:ascii="宋体" w:hAnsi="宋体" w:cs="宋体"/>
          <w:sz w:val="24"/>
          <w:szCs w:val="24"/>
          <w:highlight w:val="none"/>
        </w:rPr>
        <w:t>（4）技术支持响应时间。一般问题2小时内电话支持，难点、重点问题 1 天内现场解决，质保期内相关费用由中标供应商承担，质保期满后乙方收取成本费。</w:t>
      </w:r>
    </w:p>
    <w:p w14:paraId="1822B00F">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ascii="Calibri" w:hAnsi="Calibri"/>
          <w:szCs w:val="24"/>
          <w:highlight w:val="none"/>
        </w:rPr>
      </w:pPr>
      <w:r>
        <w:rPr>
          <w:rFonts w:hint="eastAsia" w:ascii="宋体" w:hAnsi="宋体" w:cs="宋体"/>
          <w:sz w:val="24"/>
          <w:szCs w:val="24"/>
          <w:highlight w:val="none"/>
        </w:rPr>
        <w:t>（5）五天内不能解决问题的要提供备用设备。</w:t>
      </w:r>
    </w:p>
    <w:p w14:paraId="5CFDF84D">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5.验收要求</w:t>
      </w:r>
    </w:p>
    <w:p w14:paraId="4B927B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(1)验收组织方：由代理公司组织，抽取政府采购专家进行验收。</w:t>
      </w:r>
    </w:p>
    <w:p w14:paraId="1F7EBA7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(2)验收参与方：由使用单位、制造商或其授权代表机构共同验收。</w:t>
      </w:r>
    </w:p>
    <w:p w14:paraId="02E02F3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(3)数量清点：在全部设备到货后一周内，对货物数量进行清点，签署《货物数量清点单据》。</w:t>
      </w:r>
    </w:p>
    <w:p w14:paraId="2B7B843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(4)资料交付：在设备开箱验收时提供使用说明书，产品介绍等相关技术资料，开箱时随设备有产品说明书，装箱清单等。</w:t>
      </w:r>
    </w:p>
    <w:p w14:paraId="220F12A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(5)安装调试：由制造商或其授权代表机构或其授权技术人员对装置进行安装、调试、操作，并由使用单位技术人员对设备实际操作，以检验设备的功能、性能指标等符合要求。</w:t>
      </w:r>
    </w:p>
    <w:p w14:paraId="30FABC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highlight w:val="none"/>
        </w:rPr>
      </w:pPr>
      <w:r>
        <w:rPr>
          <w:rFonts w:hint="eastAsia" w:ascii="宋体" w:hAnsi="宋体" w:cs="宋体"/>
          <w:bCs/>
          <w:sz w:val="24"/>
          <w:szCs w:val="24"/>
          <w:highlight w:val="none"/>
        </w:rPr>
        <w:t>(6)质量验收：</w:t>
      </w:r>
      <w:r>
        <w:rPr>
          <w:rFonts w:hint="eastAsia" w:ascii="宋体" w:hAnsi="宋体" w:cs="宋体"/>
          <w:bCs/>
          <w:sz w:val="24"/>
          <w:szCs w:val="24"/>
          <w:highlight w:val="none"/>
          <w:lang w:val="en-US" w:eastAsia="zh-CN"/>
        </w:rPr>
        <w:t>所有计量器具（设备）须附带省级以上（含省级）法定计量机构出具的合格有效溯源（</w:t>
      </w:r>
      <w:r>
        <w:rPr>
          <w:rFonts w:hint="eastAsia" w:ascii="宋体" w:hAnsi="宋体" w:cs="宋体"/>
          <w:bCs/>
          <w:sz w:val="24"/>
          <w:szCs w:val="24"/>
          <w:highlight w:val="none"/>
          <w:lang w:val="zh-CN" w:eastAsia="zh-CN"/>
        </w:rPr>
        <w:t>检定/校准</w:t>
      </w:r>
      <w:r>
        <w:rPr>
          <w:rFonts w:hint="eastAsia" w:ascii="宋体" w:hAnsi="宋体" w:cs="宋体"/>
          <w:bCs/>
          <w:sz w:val="24"/>
          <w:szCs w:val="24"/>
          <w:highlight w:val="none"/>
          <w:lang w:val="en-US" w:eastAsia="zh-CN"/>
        </w:rPr>
        <w:t>）证书</w:t>
      </w:r>
      <w:r>
        <w:rPr>
          <w:rFonts w:hint="eastAsia" w:ascii="宋体" w:hAnsi="宋体" w:cs="宋体"/>
          <w:bCs/>
          <w:sz w:val="24"/>
          <w:szCs w:val="24"/>
          <w:highlight w:val="none"/>
          <w:lang w:val="zh-CN" w:eastAsia="zh-CN"/>
        </w:rPr>
        <w:t>，结果页内容应至少包含★内容</w:t>
      </w:r>
      <w:r>
        <w:rPr>
          <w:rFonts w:hint="eastAsia" w:ascii="宋体" w:hAnsi="宋体" w:cs="宋体"/>
          <w:bCs/>
          <w:sz w:val="24"/>
          <w:szCs w:val="24"/>
          <w:highlight w:val="none"/>
          <w:lang w:val="en-US" w:eastAsia="zh-CN"/>
        </w:rPr>
        <w:t>（证书单位为宿迁市计量测试所）。</w:t>
      </w:r>
      <w:r>
        <w:rPr>
          <w:rFonts w:hint="default" w:ascii="宋体" w:hAnsi="宋体" w:cs="宋体"/>
          <w:bCs/>
          <w:sz w:val="24"/>
          <w:szCs w:val="24"/>
          <w:highlight w:val="none"/>
          <w:lang w:val="en-US" w:eastAsia="zh-CN"/>
        </w:rPr>
        <w:t>未提供或证书不符合要求的，不予通过验收，且检测相关费用由中标供应商承担</w:t>
      </w:r>
      <w:r>
        <w:rPr>
          <w:rFonts w:hint="eastAsia" w:ascii="宋体" w:hAnsi="宋体" w:cs="宋体"/>
          <w:bCs/>
          <w:sz w:val="24"/>
          <w:szCs w:val="24"/>
          <w:highlight w:val="none"/>
          <w:lang w:val="en-US" w:eastAsia="zh-CN"/>
        </w:rPr>
        <w:t>（如首次检定或校准不合格，因不合格所发生的全部费用，均由供应商承担）</w:t>
      </w:r>
      <w:r>
        <w:rPr>
          <w:rFonts w:hint="default" w:ascii="宋体" w:hAnsi="宋体" w:cs="宋体"/>
          <w:bCs/>
          <w:sz w:val="24"/>
          <w:szCs w:val="24"/>
          <w:highlight w:val="none"/>
          <w:lang w:val="en-US" w:eastAsia="zh-CN"/>
        </w:rPr>
        <w:t>。</w:t>
      </w:r>
      <w:r>
        <w:rPr>
          <w:rFonts w:hint="eastAsia" w:ascii="宋体" w:hAnsi="宋体" w:cs="宋体"/>
          <w:bCs/>
          <w:sz w:val="24"/>
          <w:szCs w:val="24"/>
          <w:highlight w:val="none"/>
          <w:lang w:val="en-US" w:eastAsia="zh-CN"/>
        </w:rPr>
        <w:t>校准结果符合装置技术指标要求，并经使用单位、制造商或其授权代表验收合格后，各方在验收报告上签章。</w:t>
      </w:r>
    </w:p>
    <w:p w14:paraId="2E4F54C8">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szCs w:val="24"/>
          <w:highlight w:val="none"/>
        </w:rPr>
        <w:t>6.商品包装、快递包装政府采购需求标准（试行）</w:t>
      </w:r>
    </w:p>
    <w:p w14:paraId="38D48E9F">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650BABA8">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7.采购本国货物、工程和服务</w:t>
      </w:r>
    </w:p>
    <w:p w14:paraId="542155EA">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政府采购应当采购本国货物、工程和服务，但有《中华人民共和国政府采购法》第十条规定情形的除外。</w:t>
      </w:r>
    </w:p>
    <w:p w14:paraId="1A6AC4A4">
      <w:pPr>
        <w:pStyle w:val="195"/>
        <w:keepNext w:val="0"/>
        <w:keepLines w:val="0"/>
        <w:pageBreakBefore w:val="0"/>
        <w:widowControl w:val="0"/>
        <w:kinsoku/>
        <w:wordWrap/>
        <w:overflowPunct/>
        <w:topLinePunct w:val="0"/>
        <w:bidi w:val="0"/>
        <w:snapToGrid/>
        <w:spacing w:line="360" w:lineRule="auto"/>
        <w:ind w:firstLine="482"/>
        <w:textAlignment w:val="auto"/>
        <w:rPr>
          <w:rFonts w:ascii="Times New Roman" w:hAnsi="Times New Roman"/>
          <w:b/>
          <w:bCs/>
          <w:sz w:val="24"/>
          <w:szCs w:val="21"/>
          <w:highlight w:val="none"/>
        </w:rPr>
      </w:pPr>
      <w:r>
        <w:rPr>
          <w:rFonts w:hint="eastAsia" w:ascii="Times New Roman" w:hAnsi="Times New Roman"/>
          <w:b/>
          <w:bCs/>
          <w:sz w:val="24"/>
          <w:szCs w:val="21"/>
          <w:highlight w:val="none"/>
        </w:rPr>
        <w:t>六、项目实施要求</w:t>
      </w:r>
    </w:p>
    <w:p w14:paraId="5C3F4F1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1.项目实施方案</w:t>
      </w:r>
    </w:p>
    <w:p w14:paraId="429BAA3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针对本项目提供项目实施方案，</w:t>
      </w:r>
      <w:r>
        <w:rPr>
          <w:rFonts w:hint="eastAsia"/>
          <w:sz w:val="24"/>
          <w:szCs w:val="22"/>
          <w:highlight w:val="none"/>
        </w:rPr>
        <w:t>包括但不限于项目技术方案、改造方案、供货计划、质量保障措施、风险控制管理措施等</w:t>
      </w:r>
      <w:r>
        <w:rPr>
          <w:rFonts w:hint="eastAsia" w:eastAsia="宋体"/>
          <w:sz w:val="24"/>
          <w:szCs w:val="22"/>
          <w:highlight w:val="none"/>
          <w:lang w:eastAsia="zh-CN"/>
        </w:rPr>
        <w:t>。</w:t>
      </w:r>
    </w:p>
    <w:p w14:paraId="038ACD1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2.针对本项目提供</w:t>
      </w:r>
      <w:r>
        <w:rPr>
          <w:rFonts w:hint="eastAsia" w:ascii="宋体" w:hAnsi="宋体" w:eastAsia="宋体" w:cs="仿宋"/>
          <w:sz w:val="24"/>
          <w:highlight w:val="none"/>
          <w:lang w:eastAsia="zh-CN"/>
        </w:rPr>
        <w:t>的</w:t>
      </w:r>
      <w:r>
        <w:rPr>
          <w:rFonts w:hint="eastAsia" w:ascii="Segoe UI" w:hAnsi="Segoe UI" w:eastAsia="Segoe UI" w:cs="Segoe UI"/>
          <w:i w:val="0"/>
          <w:iCs w:val="0"/>
          <w:caps w:val="0"/>
          <w:color w:val="0F1115"/>
          <w:spacing w:val="0"/>
          <w:sz w:val="24"/>
          <w:szCs w:val="24"/>
          <w:shd w:val="clear" w:fill="FFFFFF"/>
        </w:rPr>
        <w:t>技术支撑和实施计划</w:t>
      </w:r>
      <w:r>
        <w:rPr>
          <w:rFonts w:hint="eastAsia" w:ascii="Segoe UI" w:hAnsi="Segoe UI" w:eastAsia="宋体" w:cs="Segoe UI"/>
          <w:i w:val="0"/>
          <w:iCs w:val="0"/>
          <w:caps w:val="0"/>
          <w:color w:val="0F1115"/>
          <w:spacing w:val="0"/>
          <w:sz w:val="24"/>
          <w:szCs w:val="24"/>
          <w:shd w:val="clear" w:fill="FFFFFF"/>
          <w:lang w:eastAsia="zh-CN"/>
        </w:rPr>
        <w:t>方案，</w:t>
      </w:r>
      <w:r>
        <w:rPr>
          <w:rFonts w:hint="eastAsia" w:ascii="Segoe UI" w:hAnsi="Segoe UI" w:eastAsia="Segoe UI" w:cs="Segoe UI"/>
          <w:i w:val="0"/>
          <w:iCs w:val="0"/>
          <w:caps w:val="0"/>
          <w:color w:val="0F1115"/>
          <w:spacing w:val="0"/>
          <w:sz w:val="24"/>
          <w:szCs w:val="24"/>
          <w:shd w:val="clear" w:fill="FFFFFF"/>
        </w:rPr>
        <w:t>包括但不限于人员配置、产品质量控制、设备安装调试验收进度、安全保障措施等方面</w:t>
      </w:r>
      <w:r>
        <w:rPr>
          <w:rFonts w:hint="eastAsia" w:ascii="Segoe UI" w:hAnsi="Segoe UI" w:eastAsia="宋体" w:cs="Segoe UI"/>
          <w:i w:val="0"/>
          <w:iCs w:val="0"/>
          <w:caps w:val="0"/>
          <w:color w:val="0F1115"/>
          <w:spacing w:val="0"/>
          <w:sz w:val="24"/>
          <w:szCs w:val="24"/>
          <w:shd w:val="clear" w:fill="FFFFFF"/>
          <w:lang w:eastAsia="zh-CN"/>
        </w:rPr>
        <w:t>内容。</w:t>
      </w:r>
    </w:p>
    <w:p w14:paraId="7AEC319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eastAsia="宋体" w:cs="仿宋"/>
          <w:sz w:val="24"/>
          <w:highlight w:val="none"/>
          <w:lang w:val="en-US" w:eastAsia="zh-CN"/>
        </w:rPr>
        <w:t>3.</w:t>
      </w:r>
      <w:r>
        <w:rPr>
          <w:rFonts w:hint="eastAsia" w:ascii="宋体" w:hAnsi="宋体" w:cs="仿宋"/>
          <w:sz w:val="24"/>
          <w:highlight w:val="none"/>
        </w:rPr>
        <w:t>培训方案</w:t>
      </w:r>
    </w:p>
    <w:p w14:paraId="65724BD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投标人针对本项目提供培训方案，包括但不限于完整、可靠、操作性强的</w:t>
      </w:r>
      <w:r>
        <w:rPr>
          <w:rFonts w:ascii="Segoe UI" w:hAnsi="Segoe UI" w:eastAsia="Segoe UI" w:cs="Segoe UI"/>
          <w:i w:val="0"/>
          <w:iCs w:val="0"/>
          <w:caps w:val="0"/>
          <w:color w:val="0F1115"/>
          <w:spacing w:val="0"/>
          <w:sz w:val="24"/>
          <w:szCs w:val="24"/>
          <w:shd w:val="clear" w:fill="FFFFFF"/>
        </w:rPr>
        <w:t>培训目标、培训方法、培训内容、培训师资力量、培训时间、拟提供的培训资料等方面</w:t>
      </w:r>
      <w:r>
        <w:rPr>
          <w:rFonts w:hint="eastAsia" w:ascii="Segoe UI" w:hAnsi="Segoe UI" w:eastAsia="宋体" w:cs="Segoe UI"/>
          <w:i w:val="0"/>
          <w:iCs w:val="0"/>
          <w:caps w:val="0"/>
          <w:color w:val="0F1115"/>
          <w:spacing w:val="0"/>
          <w:sz w:val="24"/>
          <w:szCs w:val="24"/>
          <w:shd w:val="clear" w:fill="FFFFFF"/>
          <w:lang w:eastAsia="zh-CN"/>
        </w:rPr>
        <w:t>内容。</w:t>
      </w:r>
    </w:p>
    <w:p w14:paraId="104C3CB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4.售后服务</w:t>
      </w:r>
    </w:p>
    <w:p w14:paraId="6E21A65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针对本项目提供售后服务，包括但</w:t>
      </w:r>
      <w:r>
        <w:rPr>
          <w:rFonts w:hint="eastAsia"/>
          <w:sz w:val="24"/>
          <w:szCs w:val="22"/>
          <w:highlight w:val="none"/>
        </w:rPr>
        <w:t>不限于服务体系、服务内容、故障解决方案、响应时间、专业技术人员保障及服务电话、备品备件保证、质保期外维保方案等方面</w:t>
      </w:r>
      <w:r>
        <w:rPr>
          <w:rFonts w:hint="eastAsia" w:eastAsia="宋体"/>
          <w:sz w:val="24"/>
          <w:szCs w:val="22"/>
          <w:highlight w:val="none"/>
          <w:lang w:eastAsia="zh-CN"/>
        </w:rPr>
        <w:t>内容。</w:t>
      </w:r>
    </w:p>
    <w:p w14:paraId="0967568A">
      <w:pPr>
        <w:pStyle w:val="195"/>
        <w:keepNext w:val="0"/>
        <w:keepLines w:val="0"/>
        <w:pageBreakBefore w:val="0"/>
        <w:widowControl w:val="0"/>
        <w:kinsoku/>
        <w:wordWrap/>
        <w:overflowPunct/>
        <w:topLinePunct w:val="0"/>
        <w:bidi w:val="0"/>
        <w:snapToGrid/>
        <w:spacing w:line="360" w:lineRule="auto"/>
        <w:ind w:firstLine="482"/>
        <w:textAlignment w:val="auto"/>
        <w:rPr>
          <w:rFonts w:ascii="Times New Roman" w:hAnsi="Times New Roman"/>
          <w:b/>
          <w:bCs/>
          <w:sz w:val="24"/>
          <w:szCs w:val="21"/>
          <w:highlight w:val="none"/>
        </w:rPr>
      </w:pPr>
      <w:r>
        <w:rPr>
          <w:rFonts w:hint="eastAsia" w:ascii="Times New Roman" w:hAnsi="Times New Roman"/>
          <w:b/>
          <w:bCs/>
          <w:sz w:val="24"/>
          <w:szCs w:val="21"/>
          <w:highlight w:val="none"/>
        </w:rPr>
        <w:t>七、注意事项</w:t>
      </w:r>
    </w:p>
    <w:p w14:paraId="55076F0D">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p>
    <w:p w14:paraId="29901027">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2.在安装、调试、验收过程中，如发现有漏项、缺件，卖方应无条件、无偿补齐，所发生的一切费用，视为已包含在乙方投标时的投标报价之中，且并不因此而影响交付甲方使用的时间。</w:t>
      </w:r>
    </w:p>
    <w:p w14:paraId="60F01385">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3.供应商的任何错漏、优惠、竞争性报价不得作为减轻责任、减少服务、增加收费、降低质量的理由。</w:t>
      </w:r>
    </w:p>
    <w:p w14:paraId="6D410F03">
      <w:pPr>
        <w:keepNext w:val="0"/>
        <w:keepLines w:val="0"/>
        <w:pageBreakBefore w:val="0"/>
        <w:widowControl w:val="0"/>
        <w:kinsoku/>
        <w:wordWrap/>
        <w:overflowPunct/>
        <w:topLinePunct w:val="0"/>
        <w:bidi w:val="0"/>
        <w:snapToGrid/>
        <w:spacing w:line="360" w:lineRule="auto"/>
        <w:ind w:firstLine="480"/>
        <w:textAlignment w:val="auto"/>
        <w:rPr>
          <w:rFonts w:ascii="宋体" w:hAnsi="宋体" w:eastAsia="宋体" w:cs="宋体"/>
          <w:color w:val="000000" w:themeColor="text1"/>
          <w:sz w:val="24"/>
          <w:szCs w:val="22"/>
          <w14:textFill>
            <w14:solidFill>
              <w14:schemeClr w14:val="tx1"/>
            </w14:solidFill>
          </w14:textFill>
        </w:rPr>
      </w:pPr>
      <w:r>
        <w:rPr>
          <w:rFonts w:hint="eastAsia" w:ascii="宋体" w:hAnsi="宋体" w:cs="仿宋"/>
          <w:sz w:val="24"/>
          <w:highlight w:val="none"/>
        </w:rPr>
        <w:t>4.供应商报价除包含招标文件中列明的项目外还应包括保障服务正常运行应当具有的物资和服务，对服务正常运行应当具有的物资和服务理解不一致的以采购人理解为准。</w:t>
      </w:r>
    </w:p>
    <w:p w14:paraId="325BE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snapToGrid/>
        <w:spacing w:line="360" w:lineRule="auto"/>
        <w:textAlignment w:val="auto"/>
        <w:rPr>
          <w:rFonts w:ascii="宋体" w:hAnsi="宋体" w:eastAsia="宋体" w:cs="宋体"/>
          <w:b/>
          <w:bCs/>
          <w:color w:val="000000" w:themeColor="text1"/>
          <w:sz w:val="24"/>
          <w14:textFill>
            <w14:solidFill>
              <w14:schemeClr w14:val="tx1"/>
            </w14:solidFill>
          </w14:textFill>
        </w:rPr>
        <w:sectPr>
          <w:footerReference r:id="rId5" w:type="first"/>
          <w:headerReference r:id="rId3" w:type="default"/>
          <w:footerReference r:id="rId4" w:type="default"/>
          <w:pgSz w:w="11906" w:h="16838"/>
          <w:pgMar w:top="1418" w:right="1588" w:bottom="1418" w:left="1365" w:header="851" w:footer="907" w:gutter="0"/>
          <w:cols w:space="720" w:num="1"/>
          <w:titlePg/>
          <w:docGrid w:linePitch="360" w:charSpace="0"/>
        </w:sectPr>
      </w:pPr>
    </w:p>
    <w:p w14:paraId="4F1DC82B">
      <w:pPr>
        <w:spacing w:line="500" w:lineRule="exact"/>
        <w:ind w:firstLine="880"/>
        <w:rPr>
          <w:rFonts w:ascii="宋体" w:hAnsi="宋体" w:eastAsia="宋体" w:cs="宋体"/>
          <w:bCs/>
          <w:color w:val="000000" w:themeColor="text1"/>
          <w:sz w:val="44"/>
          <w:szCs w:val="22"/>
          <w14:textFill>
            <w14:solidFill>
              <w14:schemeClr w14:val="tx1"/>
            </w14:solidFill>
          </w14:textFill>
        </w:rPr>
      </w:pPr>
      <w:bookmarkStart w:id="156" w:name="_Toc120614281"/>
    </w:p>
    <w:p w14:paraId="09821B99">
      <w:pPr>
        <w:keepNext/>
        <w:jc w:val="center"/>
        <w:outlineLvl w:val="0"/>
        <w:rPr>
          <w:rFonts w:ascii="宋体" w:hAnsi="宋体" w:eastAsia="宋体" w:cs="宋体"/>
          <w:b/>
          <w:color w:val="000000" w:themeColor="text1"/>
          <w:sz w:val="44"/>
          <w:szCs w:val="28"/>
          <w14:textFill>
            <w14:solidFill>
              <w14:schemeClr w14:val="tx1"/>
            </w14:solidFill>
          </w14:textFill>
        </w:rPr>
      </w:pPr>
      <w:bookmarkStart w:id="157" w:name="_Toc22651"/>
      <w:r>
        <w:rPr>
          <w:rFonts w:hint="eastAsia" w:ascii="宋体" w:hAnsi="宋体" w:eastAsia="宋体" w:cs="宋体"/>
          <w:b/>
          <w:color w:val="000000" w:themeColor="text1"/>
          <w:sz w:val="44"/>
          <w:szCs w:val="28"/>
          <w14:textFill>
            <w14:solidFill>
              <w14:schemeClr w14:val="tx1"/>
            </w14:solidFill>
          </w14:textFill>
        </w:rPr>
        <w:t>第五章 评标方法与评标标准</w:t>
      </w:r>
      <w:bookmarkEnd w:id="157"/>
    </w:p>
    <w:p w14:paraId="7A64F92F">
      <w:pPr>
        <w:spacing w:line="500" w:lineRule="exact"/>
        <w:rPr>
          <w:rFonts w:hint="eastAsia" w:eastAsia="仿宋_GB2312"/>
          <w:sz w:val="24"/>
          <w:highlight w:val="none"/>
        </w:rPr>
      </w:pPr>
      <w:r>
        <w:rPr>
          <w:rFonts w:hint="eastAsia" w:ascii="宋体" w:hAnsi="宋体" w:eastAsia="宋体" w:cs="宋体"/>
          <w:b/>
          <w:color w:val="000000" w:themeColor="text1"/>
          <w:sz w:val="28"/>
          <w:szCs w:val="22"/>
          <w14:textFill>
            <w14:solidFill>
              <w14:schemeClr w14:val="tx1"/>
            </w14:solidFill>
          </w14:textFill>
        </w:rPr>
        <w:t>一、资格审查。</w:t>
      </w:r>
      <w:r>
        <w:rPr>
          <w:rFonts w:hint="eastAsia"/>
          <w:sz w:val="24"/>
          <w:highlight w:val="none"/>
        </w:rPr>
        <w:t>资格审查人员按照下列指标对各投标人的资格进行审查，未通过审查的为无效标，不参与评标。</w:t>
      </w:r>
    </w:p>
    <w:tbl>
      <w:tblPr>
        <w:tblStyle w:val="33"/>
        <w:tblW w:w="500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84"/>
        <w:gridCol w:w="4485"/>
      </w:tblGrid>
      <w:tr w14:paraId="076F8B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PrEx>
        <w:trPr>
          <w:trHeight w:val="567" w:hRule="atLeast"/>
        </w:trPr>
        <w:tc>
          <w:tcPr>
            <w:tcW w:w="2500" w:type="pct"/>
            <w:tcBorders>
              <w:top w:val="single" w:color="auto" w:sz="6" w:space="0"/>
              <w:left w:val="single" w:color="auto" w:sz="6" w:space="0"/>
              <w:bottom w:val="single" w:color="auto" w:sz="6" w:space="0"/>
              <w:right w:val="single" w:color="auto" w:sz="6" w:space="0"/>
            </w:tcBorders>
            <w:noWrap w:val="0"/>
            <w:vAlign w:val="center"/>
          </w:tcPr>
          <w:p w14:paraId="6AC72B45">
            <w:pPr>
              <w:jc w:val="center"/>
              <w:rPr>
                <w:szCs w:val="22"/>
                <w:highlight w:val="none"/>
              </w:rPr>
            </w:pPr>
            <w:r>
              <w:rPr>
                <w:sz w:val="24"/>
                <w:szCs w:val="24"/>
                <w:highlight w:val="none"/>
              </w:rPr>
              <w:t>资格审查因素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24A3AEDD">
            <w:pPr>
              <w:jc w:val="center"/>
              <w:rPr>
                <w:szCs w:val="22"/>
                <w:highlight w:val="none"/>
              </w:rPr>
            </w:pPr>
            <w:r>
              <w:rPr>
                <w:sz w:val="24"/>
                <w:szCs w:val="24"/>
                <w:highlight w:val="none"/>
              </w:rPr>
              <w:t>审查标准</w:t>
            </w:r>
          </w:p>
        </w:tc>
      </w:tr>
      <w:tr w14:paraId="680DB35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1E386EB3">
            <w:pPr>
              <w:jc w:val="left"/>
              <w:rPr>
                <w:sz w:val="24"/>
                <w:szCs w:val="24"/>
                <w:highlight w:val="none"/>
              </w:rPr>
            </w:pPr>
            <w:r>
              <w:rPr>
                <w:sz w:val="24"/>
                <w:szCs w:val="24"/>
                <w:highlight w:val="none"/>
              </w:rPr>
              <w:t>投标声明及承诺函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08C6DB0">
            <w:pPr>
              <w:jc w:val="left"/>
              <w:rPr>
                <w:sz w:val="24"/>
                <w:szCs w:val="24"/>
                <w:highlight w:val="none"/>
              </w:rPr>
            </w:pPr>
            <w:r>
              <w:rPr>
                <w:sz w:val="24"/>
                <w:szCs w:val="24"/>
                <w:highlight w:val="none"/>
              </w:rPr>
              <w:t>符合招标文件要求</w:t>
            </w:r>
          </w:p>
        </w:tc>
      </w:tr>
      <w:tr w14:paraId="287921A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65E3C97D">
            <w:pPr>
              <w:jc w:val="left"/>
              <w:rPr>
                <w:sz w:val="24"/>
                <w:szCs w:val="24"/>
                <w:highlight w:val="none"/>
              </w:rPr>
            </w:pPr>
            <w:r>
              <w:rPr>
                <w:sz w:val="24"/>
                <w:szCs w:val="24"/>
                <w:highlight w:val="none"/>
              </w:rPr>
              <w:t>信用信息</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DE5E4D8">
            <w:pPr>
              <w:jc w:val="left"/>
              <w:rPr>
                <w:sz w:val="24"/>
                <w:szCs w:val="24"/>
                <w:highlight w:val="none"/>
              </w:rPr>
            </w:pPr>
            <w:r>
              <w:rPr>
                <w:sz w:val="24"/>
                <w:szCs w:val="24"/>
                <w:highlight w:val="none"/>
              </w:rPr>
              <w:t>符合招标文件要求</w:t>
            </w:r>
          </w:p>
        </w:tc>
      </w:tr>
      <w:tr w14:paraId="2068B8F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4F44B74A">
            <w:pPr>
              <w:jc w:val="left"/>
              <w:rPr>
                <w:sz w:val="24"/>
                <w:szCs w:val="24"/>
                <w:highlight w:val="none"/>
              </w:rPr>
            </w:pPr>
            <w:r>
              <w:rPr>
                <w:sz w:val="24"/>
                <w:szCs w:val="24"/>
                <w:highlight w:val="none"/>
              </w:rPr>
              <w:t>联合体投标</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E84DC07">
            <w:pPr>
              <w:jc w:val="left"/>
              <w:rPr>
                <w:sz w:val="24"/>
                <w:szCs w:val="24"/>
                <w:highlight w:val="none"/>
              </w:rPr>
            </w:pPr>
            <w:r>
              <w:rPr>
                <w:sz w:val="24"/>
                <w:szCs w:val="24"/>
                <w:highlight w:val="none"/>
              </w:rPr>
              <w:t>不接受联合体投标</w:t>
            </w:r>
          </w:p>
        </w:tc>
      </w:tr>
    </w:tbl>
    <w:p w14:paraId="2BDACC2B">
      <w:pPr>
        <w:spacing w:line="500" w:lineRule="exact"/>
        <w:rPr>
          <w:rFonts w:eastAsia="仿宋_GB2312"/>
          <w:sz w:val="24"/>
          <w:highlight w:val="none"/>
        </w:rPr>
      </w:pPr>
      <w:r>
        <w:rPr>
          <w:rFonts w:hint="eastAsia" w:eastAsia="仿宋_GB2312"/>
          <w:b/>
          <w:sz w:val="28"/>
          <w:szCs w:val="22"/>
          <w:highlight w:val="none"/>
        </w:rPr>
        <w:t>二、符合性审查。</w:t>
      </w:r>
      <w:r>
        <w:rPr>
          <w:rFonts w:hint="eastAsia"/>
          <w:sz w:val="24"/>
          <w:highlight w:val="none"/>
        </w:rPr>
        <w:t>评标委员会首先按照下列指标对各投标人的投标文件进行符合性审查，未通过审查的为无效标，不再参与评审。</w:t>
      </w:r>
    </w:p>
    <w:tbl>
      <w:tblPr>
        <w:tblStyle w:val="33"/>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14:paraId="6DB8BC2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2499" w:type="pct"/>
            <w:tcBorders>
              <w:top w:val="single" w:color="auto" w:sz="6" w:space="0"/>
              <w:left w:val="single" w:color="auto" w:sz="6" w:space="0"/>
              <w:bottom w:val="single" w:color="auto" w:sz="6" w:space="0"/>
              <w:right w:val="single" w:color="auto" w:sz="6" w:space="0"/>
            </w:tcBorders>
            <w:noWrap w:val="0"/>
            <w:vAlign w:val="center"/>
          </w:tcPr>
          <w:p w14:paraId="78C7EE76">
            <w:pPr>
              <w:jc w:val="center"/>
              <w:rPr>
                <w:szCs w:val="22"/>
                <w:highlight w:val="none"/>
              </w:rPr>
            </w:pPr>
            <w:r>
              <w:rPr>
                <w:sz w:val="24"/>
                <w:szCs w:val="24"/>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B9BE16B">
            <w:pPr>
              <w:jc w:val="center"/>
              <w:rPr>
                <w:szCs w:val="22"/>
                <w:highlight w:val="none"/>
              </w:rPr>
            </w:pPr>
            <w:r>
              <w:rPr>
                <w:sz w:val="24"/>
                <w:szCs w:val="24"/>
                <w:highlight w:val="none"/>
              </w:rPr>
              <w:t>审查标准</w:t>
            </w:r>
          </w:p>
        </w:tc>
      </w:tr>
      <w:tr w14:paraId="54CAC0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1ED9283F">
            <w:pPr>
              <w:jc w:val="left"/>
              <w:rPr>
                <w:sz w:val="24"/>
                <w:szCs w:val="24"/>
                <w:highlight w:val="none"/>
              </w:rPr>
            </w:pPr>
            <w:r>
              <w:rPr>
                <w:sz w:val="24"/>
                <w:szCs w:val="24"/>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65B0229">
            <w:pPr>
              <w:jc w:val="left"/>
              <w:rPr>
                <w:sz w:val="24"/>
                <w:szCs w:val="24"/>
                <w:highlight w:val="none"/>
              </w:rPr>
            </w:pPr>
            <w:r>
              <w:rPr>
                <w:sz w:val="24"/>
                <w:szCs w:val="24"/>
                <w:highlight w:val="none"/>
              </w:rPr>
              <w:t>符合招标文件要求</w:t>
            </w:r>
          </w:p>
        </w:tc>
      </w:tr>
      <w:tr w14:paraId="631A622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7F083C4C">
            <w:pPr>
              <w:jc w:val="left"/>
              <w:rPr>
                <w:sz w:val="24"/>
                <w:szCs w:val="24"/>
                <w:highlight w:val="none"/>
              </w:rPr>
            </w:pPr>
            <w:r>
              <w:rPr>
                <w:sz w:val="24"/>
                <w:szCs w:val="24"/>
                <w:highlight w:val="none"/>
              </w:rPr>
              <w:t>开标一览表及投标报价</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89E6B60">
            <w:pPr>
              <w:jc w:val="left"/>
              <w:rPr>
                <w:sz w:val="24"/>
                <w:szCs w:val="24"/>
                <w:highlight w:val="none"/>
              </w:rPr>
            </w:pPr>
            <w:r>
              <w:rPr>
                <w:rFonts w:hint="eastAsia"/>
                <w:sz w:val="24"/>
                <w:szCs w:val="24"/>
                <w:highlight w:val="none"/>
                <w:lang w:val="en-US" w:eastAsia="zh-CN"/>
              </w:rPr>
              <w:t>填写要求符合</w:t>
            </w:r>
            <w:r>
              <w:rPr>
                <w:sz w:val="24"/>
                <w:szCs w:val="24"/>
                <w:highlight w:val="none"/>
              </w:rPr>
              <w:t>招标文件规定</w:t>
            </w:r>
          </w:p>
        </w:tc>
      </w:tr>
      <w:tr w14:paraId="2AF427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280A7F44">
            <w:pPr>
              <w:jc w:val="left"/>
              <w:rPr>
                <w:sz w:val="24"/>
                <w:szCs w:val="24"/>
                <w:highlight w:val="none"/>
              </w:rPr>
            </w:pPr>
            <w:r>
              <w:rPr>
                <w:sz w:val="24"/>
                <w:szCs w:val="24"/>
                <w:highlight w:val="none"/>
              </w:rPr>
              <w:t>技术标准和要求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6D61467">
            <w:pPr>
              <w:jc w:val="left"/>
              <w:rPr>
                <w:sz w:val="24"/>
                <w:szCs w:val="24"/>
                <w:highlight w:val="none"/>
              </w:rPr>
            </w:pPr>
            <w:r>
              <w:rPr>
                <w:sz w:val="24"/>
                <w:szCs w:val="24"/>
                <w:highlight w:val="none"/>
              </w:rPr>
              <w:t>符合招标文件要求</w:t>
            </w:r>
          </w:p>
        </w:tc>
      </w:tr>
      <w:tr w14:paraId="61DBD7E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72C26BCA">
            <w:pPr>
              <w:jc w:val="left"/>
              <w:rPr>
                <w:sz w:val="24"/>
                <w:szCs w:val="24"/>
                <w:highlight w:val="none"/>
              </w:rPr>
            </w:pPr>
            <w:r>
              <w:rPr>
                <w:sz w:val="24"/>
                <w:szCs w:val="24"/>
                <w:highlight w:val="none"/>
              </w:rPr>
              <w:t>其他</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6749256">
            <w:pPr>
              <w:jc w:val="left"/>
              <w:rPr>
                <w:sz w:val="24"/>
                <w:szCs w:val="24"/>
                <w:highlight w:val="none"/>
              </w:rPr>
            </w:pPr>
            <w:r>
              <w:rPr>
                <w:sz w:val="24"/>
                <w:szCs w:val="24"/>
                <w:highlight w:val="none"/>
              </w:rPr>
              <w:t>符合招标文件要求</w:t>
            </w:r>
          </w:p>
        </w:tc>
      </w:tr>
    </w:tbl>
    <w:p w14:paraId="3DC15CD2">
      <w:pPr>
        <w:spacing w:line="500" w:lineRule="exact"/>
        <w:rPr>
          <w:rFonts w:hint="eastAsia" w:eastAsia="仿宋_GB2312"/>
          <w:b/>
          <w:sz w:val="28"/>
          <w:szCs w:val="22"/>
          <w:highlight w:val="none"/>
        </w:rPr>
      </w:pPr>
      <w:r>
        <w:rPr>
          <w:rFonts w:hint="eastAsia" w:eastAsia="仿宋_GB2312"/>
          <w:b/>
          <w:sz w:val="28"/>
          <w:szCs w:val="22"/>
          <w:highlight w:val="none"/>
        </w:rPr>
        <w:t>三、评分办法—综合评分法</w:t>
      </w:r>
    </w:p>
    <w:p w14:paraId="325EE28E">
      <w:pPr>
        <w:spacing w:line="500" w:lineRule="exact"/>
        <w:ind w:firstLine="482" w:firstLineChars="200"/>
        <w:rPr>
          <w:rFonts w:hint="eastAsia"/>
          <w:sz w:val="24"/>
          <w:highlight w:val="none"/>
        </w:rPr>
      </w:pPr>
      <w:r>
        <w:rPr>
          <w:rFonts w:hint="eastAsia" w:eastAsia="仿宋_GB2312"/>
          <w:b/>
          <w:sz w:val="24"/>
          <w:highlight w:val="none"/>
        </w:rPr>
        <w:t>（一）评标办法：</w:t>
      </w:r>
      <w:r>
        <w:rPr>
          <w:rFonts w:hint="eastAsia"/>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4BC99D21">
      <w:pPr>
        <w:spacing w:line="500" w:lineRule="exact"/>
        <w:rPr>
          <w:rFonts w:hint="eastAsia"/>
          <w:sz w:val="24"/>
          <w:highlight w:val="none"/>
        </w:rPr>
      </w:pPr>
      <w:r>
        <w:rPr>
          <w:rFonts w:hint="eastAsia"/>
          <w:sz w:val="24"/>
          <w:highlight w:val="none"/>
        </w:rPr>
        <w:t>评标委员会根据评审后投标人排序推荐中标候选人。投标文件满足招标文件全部实质性要求，且评审后排序第一的投标人为第一中标候选人，依次类推。</w:t>
      </w:r>
    </w:p>
    <w:p w14:paraId="2137D507">
      <w:pPr>
        <w:spacing w:line="500" w:lineRule="exact"/>
        <w:ind w:firstLine="480" w:firstLineChars="200"/>
        <w:rPr>
          <w:rFonts w:hint="eastAsia"/>
          <w:sz w:val="24"/>
          <w:highlight w:val="none"/>
        </w:rPr>
      </w:pPr>
      <w:r>
        <w:rPr>
          <w:rFonts w:hint="eastAsia"/>
          <w:sz w:val="24"/>
          <w:highlight w:val="none"/>
        </w:rPr>
        <w:t xml:space="preserve">综合评分保留至小数点后两位。 </w:t>
      </w:r>
    </w:p>
    <w:p w14:paraId="7F285841">
      <w:pPr>
        <w:spacing w:line="500" w:lineRule="exact"/>
        <w:ind w:firstLine="482" w:firstLineChars="200"/>
        <w:jc w:val="left"/>
        <w:rPr>
          <w:rFonts w:hint="eastAsia" w:eastAsia="仿宋_GB2312"/>
          <w:sz w:val="24"/>
          <w:highlight w:val="none"/>
        </w:rPr>
      </w:pPr>
      <w:r>
        <w:rPr>
          <w:rFonts w:hint="eastAsia" w:eastAsia="仿宋_GB2312"/>
          <w:b/>
          <w:sz w:val="24"/>
          <w:highlight w:val="none"/>
        </w:rPr>
        <w:t>（二）详细评审。</w:t>
      </w:r>
      <w:r>
        <w:rPr>
          <w:rFonts w:hint="eastAsia"/>
          <w:sz w:val="24"/>
          <w:highlight w:val="none"/>
        </w:rPr>
        <w:t>评标委员会按照招标文件规定的评分标准，对各投标文件进行详细评审打分。评标委员会组长对各评审专家的打分情况进行复核无误后汇总，形成评审报告。</w:t>
      </w:r>
    </w:p>
    <w:tbl>
      <w:tblPr>
        <w:tblStyle w:val="33"/>
        <w:tblW w:w="916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200"/>
        <w:gridCol w:w="701"/>
        <w:gridCol w:w="1021"/>
        <w:gridCol w:w="6247"/>
      </w:tblGrid>
      <w:tr w14:paraId="1AB1E79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tblHeader/>
          <w:jc w:val="center"/>
        </w:trPr>
        <w:tc>
          <w:tcPr>
            <w:tcW w:w="0" w:type="auto"/>
            <w:gridSpan w:val="2"/>
            <w:tcBorders>
              <w:top w:val="single" w:color="auto" w:sz="6" w:space="0"/>
              <w:left w:val="single" w:color="auto" w:sz="6" w:space="0"/>
              <w:bottom w:val="single" w:color="auto" w:sz="6" w:space="0"/>
              <w:right w:val="single" w:color="auto" w:sz="6" w:space="0"/>
            </w:tcBorders>
            <w:noWrap w:val="0"/>
            <w:vAlign w:val="center"/>
          </w:tcPr>
          <w:p w14:paraId="78372797">
            <w:pPr>
              <w:snapToGrid w:val="0"/>
              <w:ind w:left="0" w:leftChars="0" w:right="0" w:rightChars="0" w:firstLine="0" w:firstLineChars="0"/>
              <w:jc w:val="center"/>
              <w:rPr>
                <w:b/>
                <w:sz w:val="24"/>
                <w:szCs w:val="22"/>
                <w:highlight w:val="none"/>
              </w:rPr>
            </w:pPr>
            <w:bookmarkStart w:id="158" w:name="EBe0cfd1035ea44f689f97db50fccddc8b"/>
            <w:r>
              <w:rPr>
                <w:b/>
                <w:sz w:val="24"/>
                <w:szCs w:val="22"/>
                <w:highlight w:val="none"/>
              </w:rPr>
              <w:t>评审因素</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7E459B38">
            <w:pPr>
              <w:snapToGrid w:val="0"/>
              <w:ind w:left="0" w:leftChars="0" w:right="0" w:rightChars="0" w:firstLine="0" w:firstLineChars="0"/>
              <w:jc w:val="center"/>
              <w:rPr>
                <w:b/>
                <w:sz w:val="24"/>
                <w:szCs w:val="22"/>
                <w:highlight w:val="none"/>
              </w:rPr>
            </w:pPr>
            <w:r>
              <w:rPr>
                <w:b/>
                <w:sz w:val="24"/>
                <w:szCs w:val="22"/>
                <w:highlight w:val="none"/>
              </w:rPr>
              <w:t>分数</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10385B17">
            <w:pPr>
              <w:snapToGrid w:val="0"/>
              <w:ind w:left="0" w:leftChars="0" w:right="0" w:rightChars="0" w:firstLine="0" w:firstLineChars="0"/>
              <w:jc w:val="center"/>
              <w:rPr>
                <w:b/>
                <w:sz w:val="24"/>
                <w:szCs w:val="22"/>
                <w:highlight w:val="none"/>
              </w:rPr>
            </w:pPr>
            <w:r>
              <w:rPr>
                <w:b/>
                <w:sz w:val="24"/>
                <w:szCs w:val="22"/>
                <w:highlight w:val="none"/>
              </w:rPr>
              <w:t>评审标准</w:t>
            </w:r>
          </w:p>
        </w:tc>
      </w:tr>
      <w:tr w14:paraId="285D87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3A20749A">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报价分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C14B6A1">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投标报价</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7B2C607">
            <w:pPr>
              <w:snapToGrid w:val="0"/>
              <w:spacing w:line="240" w:lineRule="auto"/>
              <w:ind w:left="0" w:leftChars="0" w:right="0" w:rightChars="0" w:firstLine="0" w:firstLineChars="0"/>
              <w:jc w:val="right"/>
              <w:rPr>
                <w:rFonts w:ascii="Segoe UI" w:eastAsia="Segoe UI"/>
                <w:sz w:val="24"/>
                <w:szCs w:val="22"/>
                <w:highlight w:val="none"/>
              </w:rPr>
            </w:pPr>
            <w:r>
              <w:rPr>
                <w:rFonts w:ascii="Segoe UI" w:eastAsia="Segoe UI"/>
                <w:sz w:val="24"/>
                <w:szCs w:val="22"/>
                <w:highlight w:val="none"/>
              </w:rPr>
              <w:t>30.00分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4D3CB14">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采用低价优先法计算，即满足招标文件要求且投标价格最低的投标报价为评标基准价，其价格分为满分。其他投标人投标报价得分＝（评标基准价/投标报价）*30。</w:t>
            </w:r>
          </w:p>
        </w:tc>
      </w:tr>
      <w:tr w14:paraId="330BE56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1CCD350A">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技术响应</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78557D9">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技术参数响应</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610690E3">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lang w:val="en-US" w:eastAsia="zh-CN"/>
              </w:rPr>
              <w:t>30</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7F90F2E8">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针对招标文件“第四部分、采购需求”中所列内容，所投产品技术参数完</w:t>
            </w:r>
            <w:r>
              <w:rPr>
                <w:rFonts w:hint="eastAsia" w:ascii="Segoe UI" w:eastAsia="Segoe UI"/>
                <w:sz w:val="24"/>
                <w:szCs w:val="22"/>
                <w:highlight w:val="none"/>
              </w:rPr>
              <w:t>全满足或优于招标文件技术参数要求的得</w:t>
            </w:r>
            <w:r>
              <w:rPr>
                <w:rFonts w:hint="eastAsia" w:ascii="Segoe UI" w:eastAsia="Segoe UI"/>
                <w:sz w:val="24"/>
                <w:szCs w:val="22"/>
                <w:highlight w:val="none"/>
                <w:lang w:val="en-US" w:eastAsia="zh-CN"/>
              </w:rPr>
              <w:t>30</w:t>
            </w:r>
            <w:r>
              <w:rPr>
                <w:rFonts w:hint="eastAsia" w:ascii="Segoe UI" w:eastAsia="Segoe UI"/>
                <w:sz w:val="24"/>
                <w:szCs w:val="22"/>
                <w:highlight w:val="none"/>
              </w:rPr>
              <w:t>分。标★项为实质性参数要求，不接受负偏离。“▲”为重点参数要求，每有一项不满足的扣</w:t>
            </w:r>
            <w:r>
              <w:rPr>
                <w:rFonts w:hint="eastAsia" w:ascii="Segoe UI" w:eastAsia="Segoe UI"/>
                <w:sz w:val="24"/>
                <w:szCs w:val="22"/>
                <w:highlight w:val="none"/>
                <w:lang w:val="en-US" w:eastAsia="zh-CN"/>
              </w:rPr>
              <w:t>2</w:t>
            </w:r>
            <w:r>
              <w:rPr>
                <w:rFonts w:hint="eastAsia" w:ascii="Segoe UI" w:eastAsia="Segoe UI"/>
                <w:sz w:val="24"/>
                <w:szCs w:val="22"/>
                <w:highlight w:val="none"/>
              </w:rPr>
              <w:t>分；其余为一般参数要求（▲、★除外），每有一项负偏离扣</w:t>
            </w:r>
            <w:r>
              <w:rPr>
                <w:rFonts w:hint="eastAsia" w:ascii="Segoe UI" w:eastAsia="Segoe UI"/>
                <w:sz w:val="24"/>
                <w:szCs w:val="22"/>
                <w:highlight w:val="none"/>
                <w:lang w:val="en-US" w:eastAsia="zh-CN"/>
              </w:rPr>
              <w:t>1</w:t>
            </w:r>
            <w:r>
              <w:rPr>
                <w:rFonts w:hint="eastAsia" w:ascii="Segoe UI" w:eastAsia="Segoe UI"/>
                <w:sz w:val="24"/>
                <w:szCs w:val="22"/>
                <w:highlight w:val="none"/>
              </w:rPr>
              <w:t>分，扣完为止。投标人针对本项评分内容在投标文件</w:t>
            </w:r>
            <w:r>
              <w:rPr>
                <w:rFonts w:ascii="Segoe UI" w:eastAsia="Segoe UI"/>
                <w:sz w:val="24"/>
                <w:szCs w:val="22"/>
                <w:highlight w:val="none"/>
              </w:rPr>
              <w:t>《技术要求响应及偏离表》中逐条列出响应及偏离情况。未按要求提供证明材料或未在响应偏离表中列明偏离情况的对应项按负偏离进行扣分处理。</w:t>
            </w:r>
          </w:p>
        </w:tc>
      </w:tr>
      <w:tr w14:paraId="76A0425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restart"/>
            <w:tcBorders>
              <w:top w:val="single" w:color="auto" w:sz="6" w:space="0"/>
              <w:left w:val="single" w:color="auto" w:sz="6" w:space="0"/>
              <w:right w:val="single" w:color="auto" w:sz="6" w:space="0"/>
            </w:tcBorders>
            <w:noWrap w:val="0"/>
            <w:vAlign w:val="center"/>
          </w:tcPr>
          <w:p w14:paraId="753528DD">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企业经营业绩、信誉</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AED44F6">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企业业绩</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3912EFB6">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rPr>
              <w:t>8</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1CBC561">
            <w:pPr>
              <w:snapToGrid w:val="0"/>
              <w:spacing w:line="240" w:lineRule="auto"/>
              <w:ind w:left="0" w:leftChars="0" w:right="0" w:rightChars="0" w:firstLine="0" w:firstLineChars="0"/>
              <w:jc w:val="left"/>
              <w:rPr>
                <w:rFonts w:hint="eastAsia" w:ascii="Segoe UI" w:eastAsia="Segoe UI"/>
                <w:sz w:val="24"/>
                <w:szCs w:val="22"/>
                <w:highlight w:val="none"/>
              </w:rPr>
            </w:pPr>
            <w:r>
              <w:rPr>
                <w:rFonts w:hint="eastAsia" w:ascii="Segoe UI" w:eastAsia="Segoe UI"/>
                <w:sz w:val="24"/>
                <w:szCs w:val="22"/>
                <w:highlight w:val="none"/>
                <w:lang w:eastAsia="zh-CN"/>
              </w:rPr>
              <w:t>投标人或所投产品制造商</w:t>
            </w:r>
            <w:r>
              <w:rPr>
                <w:rFonts w:hint="eastAsia" w:ascii="Segoe UI" w:eastAsia="Segoe UI"/>
                <w:sz w:val="24"/>
                <w:szCs w:val="22"/>
                <w:highlight w:val="none"/>
              </w:rPr>
              <w:t>自202</w:t>
            </w:r>
            <w:r>
              <w:rPr>
                <w:rFonts w:hint="eastAsia" w:ascii="Segoe UI" w:eastAsia="Segoe UI"/>
                <w:sz w:val="24"/>
                <w:szCs w:val="22"/>
                <w:highlight w:val="none"/>
                <w:lang w:val="en-US" w:eastAsia="zh-CN"/>
              </w:rPr>
              <w:t>3</w:t>
            </w:r>
            <w:r>
              <w:rPr>
                <w:rFonts w:hint="eastAsia" w:ascii="Segoe UI" w:eastAsia="Segoe UI"/>
                <w:sz w:val="24"/>
                <w:szCs w:val="22"/>
                <w:highlight w:val="none"/>
              </w:rPr>
              <w:t>年</w:t>
            </w:r>
            <w:r>
              <w:rPr>
                <w:rFonts w:hint="eastAsia" w:ascii="Segoe UI" w:eastAsia="Segoe UI"/>
                <w:sz w:val="24"/>
                <w:szCs w:val="22"/>
                <w:highlight w:val="none"/>
                <w:lang w:val="en-US" w:eastAsia="zh-CN"/>
              </w:rPr>
              <w:t>18</w:t>
            </w:r>
            <w:r>
              <w:rPr>
                <w:rFonts w:hint="eastAsia" w:ascii="Segoe UI" w:eastAsia="Segoe UI"/>
                <w:sz w:val="24"/>
                <w:szCs w:val="22"/>
                <w:highlight w:val="none"/>
              </w:rPr>
              <w:t>月1日以来（以合同签订时间为准），具有承担</w:t>
            </w:r>
            <w:r>
              <w:rPr>
                <w:rFonts w:hint="eastAsia" w:ascii="Segoe UI" w:eastAsia="Segoe UI"/>
                <w:sz w:val="24"/>
                <w:szCs w:val="22"/>
                <w:highlight w:val="none"/>
                <w:lang w:eastAsia="zh-CN"/>
              </w:rPr>
              <w:t>过</w:t>
            </w:r>
            <w:r>
              <w:rPr>
                <w:rFonts w:hint="eastAsia" w:ascii="Segoe UI" w:eastAsia="Segoe UI"/>
                <w:sz w:val="24"/>
                <w:szCs w:val="22"/>
                <w:highlight w:val="none"/>
              </w:rPr>
              <w:t>类似项目业绩的，每有一个得</w:t>
            </w:r>
            <w:r>
              <w:rPr>
                <w:rFonts w:hint="eastAsia" w:ascii="Segoe UI" w:eastAsia="Segoe UI"/>
                <w:sz w:val="24"/>
                <w:szCs w:val="22"/>
                <w:highlight w:val="none"/>
                <w:lang w:val="en-US" w:eastAsia="zh-CN"/>
              </w:rPr>
              <w:t>2</w:t>
            </w:r>
            <w:r>
              <w:rPr>
                <w:rFonts w:hint="eastAsia" w:ascii="Segoe UI" w:eastAsia="Segoe UI"/>
                <w:sz w:val="24"/>
                <w:szCs w:val="22"/>
                <w:highlight w:val="none"/>
              </w:rPr>
              <w:t>分，本项最高得</w:t>
            </w:r>
            <w:r>
              <w:rPr>
                <w:rFonts w:hint="eastAsia" w:ascii="Segoe UI" w:eastAsia="Segoe UI"/>
                <w:sz w:val="24"/>
                <w:szCs w:val="22"/>
                <w:highlight w:val="none"/>
                <w:lang w:val="en-US" w:eastAsia="zh-CN"/>
              </w:rPr>
              <w:t>8</w:t>
            </w:r>
            <w:r>
              <w:rPr>
                <w:rFonts w:hint="eastAsia" w:ascii="Segoe UI" w:eastAsia="Segoe UI"/>
                <w:sz w:val="24"/>
                <w:szCs w:val="22"/>
                <w:highlight w:val="none"/>
              </w:rPr>
              <w:t>分。</w:t>
            </w:r>
          </w:p>
          <w:p w14:paraId="767E743E">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注：须提供中标或成交通知书、合同、验收报告原件扫描件，且合同业绩中主要内容、标的、合同签订日期、金额清晰可见，否则不得分。</w:t>
            </w:r>
          </w:p>
        </w:tc>
      </w:tr>
      <w:tr w14:paraId="29D6E82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46ECA6D6">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4" w:space="0"/>
              <w:left w:val="single" w:color="auto" w:sz="6" w:space="0"/>
              <w:bottom w:val="single" w:color="auto" w:sz="6" w:space="0"/>
              <w:right w:val="single" w:color="auto" w:sz="6" w:space="0"/>
            </w:tcBorders>
            <w:noWrap w:val="0"/>
            <w:vAlign w:val="center"/>
          </w:tcPr>
          <w:p w14:paraId="5A84A51E">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节能环保</w:t>
            </w:r>
          </w:p>
        </w:tc>
        <w:tc>
          <w:tcPr>
            <w:tcW w:w="1021" w:type="dxa"/>
            <w:tcBorders>
              <w:top w:val="single" w:color="auto" w:sz="4" w:space="0"/>
              <w:left w:val="single" w:color="auto" w:sz="6" w:space="0"/>
              <w:bottom w:val="single" w:color="auto" w:sz="6" w:space="0"/>
              <w:right w:val="single" w:color="auto" w:sz="6" w:space="0"/>
            </w:tcBorders>
            <w:noWrap w:val="0"/>
            <w:vAlign w:val="center"/>
          </w:tcPr>
          <w:p w14:paraId="05EDC70F">
            <w:pPr>
              <w:snapToGrid w:val="0"/>
              <w:spacing w:line="240" w:lineRule="auto"/>
              <w:ind w:left="0" w:leftChars="0" w:right="0" w:rightChars="0" w:firstLine="0" w:firstLineChars="0"/>
              <w:jc w:val="right"/>
              <w:rPr>
                <w:rFonts w:ascii="Segoe UI" w:eastAsia="Segoe UI"/>
                <w:sz w:val="24"/>
                <w:szCs w:val="22"/>
                <w:highlight w:val="none"/>
              </w:rPr>
            </w:pPr>
            <w:r>
              <w:rPr>
                <w:rFonts w:ascii="Segoe UI" w:eastAsia="Segoe UI"/>
                <w:sz w:val="24"/>
                <w:szCs w:val="22"/>
                <w:highlight w:val="none"/>
              </w:rPr>
              <w:t>2.00</w:t>
            </w:r>
            <w:r>
              <w:rPr>
                <w:rFonts w:hint="eastAsia" w:ascii="Segoe UI" w:eastAsia="Segoe UI"/>
                <w:sz w:val="24"/>
                <w:szCs w:val="22"/>
                <w:highlight w:val="none"/>
              </w:rPr>
              <w:t>分</w:t>
            </w:r>
          </w:p>
        </w:tc>
        <w:tc>
          <w:tcPr>
            <w:tcW w:w="6247" w:type="dxa"/>
            <w:tcBorders>
              <w:top w:val="single" w:color="auto" w:sz="4" w:space="0"/>
              <w:left w:val="single" w:color="auto" w:sz="6" w:space="0"/>
              <w:bottom w:val="single" w:color="auto" w:sz="6" w:space="0"/>
              <w:right w:val="single" w:color="auto" w:sz="6" w:space="0"/>
            </w:tcBorders>
            <w:noWrap w:val="0"/>
            <w:vAlign w:val="center"/>
          </w:tcPr>
          <w:p w14:paraId="26B5C5D5">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1、投标产品在财政部、生态环境部公布的“环境标志产品政府采购品目清单”内，且投标文件中提供国家市场监督管理</w:t>
            </w:r>
            <w:r>
              <w:rPr>
                <w:rFonts w:hint="eastAsia" w:ascii="Segoe UI" w:eastAsia="宋体"/>
                <w:sz w:val="24"/>
                <w:szCs w:val="22"/>
                <w:highlight w:val="none"/>
                <w:lang w:val="en-US" w:eastAsia="zh-CN"/>
              </w:rPr>
              <w:t>总</w:t>
            </w:r>
            <w:r>
              <w:rPr>
                <w:rFonts w:hint="eastAsia" w:ascii="Segoe UI" w:eastAsia="Segoe UI"/>
                <w:sz w:val="24"/>
                <w:szCs w:val="22"/>
                <w:highlight w:val="none"/>
              </w:rPr>
              <w:t>局确定的列入“参与实施政府采购环境标志产品认证机构名录 ” 内的认证机构出具的、有效期内的该产品环境标志产品认证证书电子件的得1分；</w:t>
            </w:r>
          </w:p>
          <w:p w14:paraId="00E0D52C">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2、投标产品在财政部、发展改革委公布的“节能产品政府采购品目清单”内，且投标文件中提供国家市场监督管理</w:t>
            </w:r>
            <w:r>
              <w:rPr>
                <w:rFonts w:hint="eastAsia" w:ascii="Segoe UI" w:eastAsia="宋体"/>
                <w:sz w:val="24"/>
                <w:szCs w:val="22"/>
                <w:highlight w:val="none"/>
                <w:lang w:val="en-US" w:eastAsia="zh-CN"/>
              </w:rPr>
              <w:t>总</w:t>
            </w:r>
            <w:r>
              <w:rPr>
                <w:rFonts w:hint="eastAsia" w:ascii="Segoe UI" w:eastAsia="Segoe UI"/>
                <w:sz w:val="24"/>
                <w:szCs w:val="22"/>
                <w:highlight w:val="none"/>
              </w:rPr>
              <w:t>局确定的列入“参与实施政府采购节能产品认证机构名录”内的认证机构出具的、有效期内的该产品的节能产品认证证书电子件的得1分。未提供的不得分。</w:t>
            </w:r>
          </w:p>
        </w:tc>
      </w:tr>
      <w:tr w14:paraId="0368140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restart"/>
            <w:tcBorders>
              <w:top w:val="single" w:color="auto" w:sz="6" w:space="0"/>
              <w:left w:val="single" w:color="auto" w:sz="6" w:space="0"/>
              <w:right w:val="single" w:color="auto" w:sz="6" w:space="0"/>
            </w:tcBorders>
            <w:noWrap w:val="0"/>
            <w:vAlign w:val="center"/>
          </w:tcPr>
          <w:p w14:paraId="1265ED4D">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项目实施方要求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2CEE5B6">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实施方案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42F44FB1">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rPr>
              <w:t>8</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A73A935">
            <w:pPr>
              <w:snapToGrid w:val="0"/>
              <w:spacing w:line="240" w:lineRule="auto"/>
              <w:ind w:left="0" w:leftChars="0" w:right="0" w:rightChars="0" w:firstLine="0" w:firstLineChars="0"/>
              <w:jc w:val="left"/>
              <w:rPr>
                <w:rFonts w:hint="eastAsia" w:ascii="Segoe UI" w:eastAsia="Segoe UI"/>
                <w:sz w:val="24"/>
                <w:szCs w:val="22"/>
                <w:highlight w:val="none"/>
              </w:rPr>
            </w:pPr>
            <w:r>
              <w:rPr>
                <w:rFonts w:hint="eastAsia" w:ascii="Segoe UI" w:eastAsia="Segoe UI"/>
                <w:sz w:val="24"/>
                <w:szCs w:val="22"/>
                <w:highlight w:val="none"/>
              </w:rPr>
              <w:t>评委根据投标文件中实施方案的内容（包括但不限于项目技术方案、改造方案、供货计划、质量保障措施、风险控制管理措施等）进行打分：</w:t>
            </w:r>
            <w:r>
              <w:rPr>
                <w:rFonts w:hint="eastAsia" w:ascii="Segoe UI" w:hAnsi="微软雅黑" w:eastAsia="Segoe UI" w:cs="微软雅黑"/>
                <w:sz w:val="24"/>
                <w:szCs w:val="22"/>
                <w:highlight w:val="none"/>
              </w:rPr>
              <w:t>①</w:t>
            </w:r>
            <w:r>
              <w:rPr>
                <w:rFonts w:ascii="Segoe UI" w:hAnsi="Segoe UI" w:eastAsia="Segoe UI" w:cs="Segoe UI"/>
                <w:i w:val="0"/>
                <w:iCs w:val="0"/>
                <w:caps w:val="0"/>
                <w:color w:val="0F1115"/>
                <w:spacing w:val="0"/>
                <w:sz w:val="24"/>
                <w:szCs w:val="24"/>
                <w:shd w:val="clear" w:fill="FFFFFF"/>
              </w:rPr>
              <w:t>方案内容全面具体、详实充分，各项子方案（技术方案、改造方案、供货计划、质量保障措施、风险控制管理措施等）均优于采购人的实际需求，针对性极强，逻辑清晰、可操作性突出，能够有效指导项目全过程实施</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8分；</w:t>
            </w:r>
            <w:r>
              <w:rPr>
                <w:rFonts w:hint="eastAsia" w:ascii="Segoe UI" w:hAnsi="微软雅黑" w:eastAsia="Segoe UI" w:cs="微软雅黑"/>
                <w:i w:val="0"/>
                <w:iCs w:val="0"/>
                <w:caps w:val="0"/>
                <w:color w:val="0F1115"/>
                <w:spacing w:val="0"/>
                <w:sz w:val="24"/>
                <w:szCs w:val="24"/>
                <w:shd w:val="clear" w:fill="FFFFFF"/>
                <w:lang w:val="en-US" w:eastAsia="zh-CN"/>
              </w:rPr>
              <w:t>②</w:t>
            </w:r>
            <w:r>
              <w:rPr>
                <w:rFonts w:ascii="Segoe UI" w:hAnsi="Segoe UI" w:eastAsia="Segoe UI" w:cs="Segoe UI"/>
                <w:i w:val="0"/>
                <w:iCs w:val="0"/>
                <w:caps w:val="0"/>
                <w:color w:val="0F1115"/>
                <w:spacing w:val="0"/>
                <w:sz w:val="24"/>
                <w:szCs w:val="24"/>
                <w:shd w:val="clear" w:fill="FFFFFF"/>
              </w:rPr>
              <w:t>方案内容较为全面具体，各项子方案整体优于采购人的基本要求，具有较好的针对性和可操作性，能够较好地指导项目实施</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6分；</w:t>
            </w:r>
            <w:r>
              <w:rPr>
                <w:rFonts w:hint="eastAsia" w:ascii="Segoe UI" w:hAnsi="微软雅黑" w:eastAsia="Segoe UI" w:cs="微软雅黑"/>
                <w:i w:val="0"/>
                <w:iCs w:val="0"/>
                <w:caps w:val="0"/>
                <w:color w:val="0F1115"/>
                <w:spacing w:val="0"/>
                <w:sz w:val="24"/>
                <w:szCs w:val="24"/>
                <w:shd w:val="clear" w:fill="FFFFFF"/>
                <w:lang w:val="en-US" w:eastAsia="zh-CN"/>
              </w:rPr>
              <w:t>③</w:t>
            </w:r>
            <w:r>
              <w:rPr>
                <w:rFonts w:ascii="Segoe UI" w:hAnsi="Segoe UI" w:eastAsia="Segoe UI" w:cs="Segoe UI"/>
                <w:i w:val="0"/>
                <w:iCs w:val="0"/>
                <w:caps w:val="0"/>
                <w:color w:val="0F1115"/>
                <w:spacing w:val="0"/>
                <w:sz w:val="24"/>
                <w:szCs w:val="24"/>
                <w:shd w:val="clear" w:fill="FFFFFF"/>
              </w:rPr>
              <w:t>方案内容基本全面、完整，各项子方案能够满足采购人的基本要求，具有一定的合理性和可行性，可满足项目常规实施需要</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4分；</w:t>
            </w:r>
            <w:r>
              <w:rPr>
                <w:rFonts w:hint="eastAsia" w:ascii="Segoe UI" w:hAnsi="微软雅黑" w:eastAsia="Segoe UI" w:cs="微软雅黑"/>
                <w:i w:val="0"/>
                <w:iCs w:val="0"/>
                <w:caps w:val="0"/>
                <w:color w:val="0F1115"/>
                <w:spacing w:val="0"/>
                <w:sz w:val="24"/>
                <w:szCs w:val="24"/>
                <w:shd w:val="clear" w:fill="FFFFFF"/>
                <w:lang w:val="en-US" w:eastAsia="zh-CN"/>
              </w:rPr>
              <w:t>④</w:t>
            </w:r>
            <w:r>
              <w:rPr>
                <w:rFonts w:ascii="Segoe UI" w:hAnsi="Segoe UI" w:eastAsia="Segoe UI" w:cs="Segoe UI"/>
                <w:i w:val="0"/>
                <w:iCs w:val="0"/>
                <w:caps w:val="0"/>
                <w:color w:val="0F1115"/>
                <w:spacing w:val="0"/>
                <w:sz w:val="24"/>
                <w:szCs w:val="24"/>
                <w:shd w:val="clear" w:fill="FFFFFF"/>
              </w:rPr>
              <w:t>方案内容不够全面，部分子方案存在内容空泛、细节缺失或逻辑不清的情况，不能完全满足采购人的要求，针对性和可操作性不足</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2分；</w:t>
            </w:r>
            <w:r>
              <w:rPr>
                <w:rFonts w:hint="eastAsia" w:ascii="Segoe UI" w:hAnsi="微软雅黑" w:eastAsia="Segoe UI" w:cs="微软雅黑"/>
                <w:i w:val="0"/>
                <w:iCs w:val="0"/>
                <w:caps w:val="0"/>
                <w:color w:val="0F1115"/>
                <w:spacing w:val="0"/>
                <w:sz w:val="24"/>
                <w:szCs w:val="24"/>
                <w:shd w:val="clear" w:fill="FFFFFF"/>
                <w:lang w:val="en-US" w:eastAsia="zh-CN"/>
              </w:rPr>
              <w:t>⑤</w:t>
            </w:r>
            <w:r>
              <w:rPr>
                <w:rFonts w:hint="eastAsia" w:ascii="Segoe UI" w:eastAsia="Segoe UI"/>
                <w:sz w:val="24"/>
                <w:szCs w:val="22"/>
                <w:highlight w:val="none"/>
              </w:rPr>
              <w:t>方案有重大缺陷或</w:t>
            </w:r>
            <w:r>
              <w:rPr>
                <w:rFonts w:ascii="Segoe UI" w:hAnsi="Segoe UI" w:eastAsia="Segoe UI" w:cs="Segoe UI"/>
                <w:i w:val="0"/>
                <w:iCs w:val="0"/>
                <w:caps w:val="0"/>
                <w:color w:val="0F1115"/>
                <w:spacing w:val="0"/>
                <w:sz w:val="24"/>
                <w:szCs w:val="24"/>
                <w:shd w:val="clear" w:fill="FFFFFF"/>
              </w:rPr>
              <w:t>未提供</w:t>
            </w:r>
            <w:r>
              <w:rPr>
                <w:rFonts w:hint="eastAsia" w:ascii="Segoe UI" w:hAnsi="Segoe UI" w:eastAsia="Segoe UI" w:cs="Segoe UI"/>
                <w:i w:val="0"/>
                <w:iCs w:val="0"/>
                <w:caps w:val="0"/>
                <w:color w:val="0F1115"/>
                <w:spacing w:val="0"/>
                <w:sz w:val="24"/>
                <w:szCs w:val="24"/>
                <w:shd w:val="clear" w:fill="FFFFFF"/>
                <w:lang w:eastAsia="zh-CN"/>
              </w:rPr>
              <w:t>的得</w:t>
            </w:r>
            <w:r>
              <w:rPr>
                <w:rFonts w:hint="eastAsia" w:ascii="Segoe UI" w:hAnsi="Segoe UI" w:eastAsia="Segoe UI" w:cs="Segoe UI"/>
                <w:i w:val="0"/>
                <w:iCs w:val="0"/>
                <w:caps w:val="0"/>
                <w:color w:val="0F1115"/>
                <w:spacing w:val="0"/>
                <w:sz w:val="24"/>
                <w:szCs w:val="24"/>
                <w:shd w:val="clear" w:fill="FFFFFF"/>
                <w:lang w:val="en-US" w:eastAsia="zh-CN"/>
              </w:rPr>
              <w:t>0分</w:t>
            </w:r>
            <w:r>
              <w:rPr>
                <w:rFonts w:ascii="Segoe UI" w:hAnsi="Segoe UI" w:eastAsia="Segoe UI" w:cs="Segoe UI"/>
                <w:i w:val="0"/>
                <w:iCs w:val="0"/>
                <w:caps w:val="0"/>
                <w:color w:val="0F1115"/>
                <w:spacing w:val="0"/>
                <w:sz w:val="24"/>
                <w:szCs w:val="24"/>
                <w:shd w:val="clear" w:fill="FFFFFF"/>
              </w:rPr>
              <w:t>。</w:t>
            </w:r>
          </w:p>
        </w:tc>
      </w:tr>
      <w:tr w14:paraId="782F5A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607C1387">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E92D7BE">
            <w:pPr>
              <w:snapToGrid w:val="0"/>
              <w:spacing w:line="240" w:lineRule="auto"/>
              <w:ind w:left="0" w:leftChars="0" w:right="0" w:rightChars="0" w:firstLine="0" w:firstLineChars="0"/>
              <w:jc w:val="center"/>
              <w:rPr>
                <w:rFonts w:ascii="Segoe UI" w:eastAsia="Segoe UI"/>
                <w:sz w:val="24"/>
                <w:szCs w:val="22"/>
                <w:highlight w:val="none"/>
              </w:rPr>
            </w:pPr>
            <w:r>
              <w:rPr>
                <w:rFonts w:ascii="Segoe UI" w:eastAsia="Segoe UI"/>
                <w:sz w:val="24"/>
                <w:szCs w:val="22"/>
                <w:highlight w:val="none"/>
              </w:rPr>
              <w:t>技术支撑与实施计划方案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348B0736">
            <w:pPr>
              <w:snapToGrid w:val="0"/>
              <w:spacing w:line="240" w:lineRule="auto"/>
              <w:ind w:left="0" w:leftChars="0" w:right="0" w:rightChars="0" w:firstLine="0" w:firstLineChars="0"/>
              <w:jc w:val="center"/>
              <w:rPr>
                <w:rFonts w:hint="default" w:ascii="Segoe UI" w:eastAsia="Segoe UI"/>
                <w:sz w:val="24"/>
                <w:szCs w:val="22"/>
                <w:highlight w:val="none"/>
                <w:lang w:val="en-US" w:eastAsia="zh-CN"/>
              </w:rPr>
            </w:pPr>
            <w:r>
              <w:rPr>
                <w:rFonts w:hint="eastAsia" w:ascii="Segoe UI" w:eastAsia="Segoe UI"/>
                <w:sz w:val="24"/>
                <w:szCs w:val="22"/>
                <w:highlight w:val="none"/>
                <w:lang w:val="en-US" w:eastAsia="zh-CN"/>
              </w:rPr>
              <w:t>6.00</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139CE115">
            <w:pPr>
              <w:snapToGrid w:val="0"/>
              <w:spacing w:line="240" w:lineRule="auto"/>
              <w:ind w:left="0" w:leftChars="0" w:right="0" w:rightChars="0" w:firstLine="0" w:firstLineChars="0"/>
              <w:jc w:val="left"/>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rPr>
              <w:t>评委根据投标文件中项目技术支撑和实施计划（包括但不限于人员配置、产品质量控制、设备安装调试验收进度、安全保障措施等方面）进行打分</w:t>
            </w:r>
            <w:r>
              <w:rPr>
                <w:rFonts w:hint="eastAsia" w:ascii="Segoe UI" w:hAnsi="Segoe UI" w:eastAsia="Segoe UI" w:cs="Segoe UI"/>
                <w:i w:val="0"/>
                <w:iCs w:val="0"/>
                <w:caps w:val="0"/>
                <w:color w:val="0F1115"/>
                <w:spacing w:val="0"/>
                <w:sz w:val="24"/>
                <w:szCs w:val="24"/>
                <w:shd w:val="clear" w:fill="FFFFFF"/>
                <w:lang w:eastAsia="zh-CN"/>
              </w:rPr>
              <w:t>：</w:t>
            </w:r>
            <w:r>
              <w:rPr>
                <w:rFonts w:hint="eastAsia" w:ascii="Segoe UI" w:hAnsi="Segoe UI" w:eastAsia="Segoe UI" w:cs="Segoe UI"/>
                <w:i w:val="0"/>
                <w:iCs w:val="0"/>
                <w:caps w:val="0"/>
                <w:color w:val="0F1115"/>
                <w:spacing w:val="0"/>
                <w:sz w:val="24"/>
                <w:szCs w:val="24"/>
                <w:shd w:val="clear" w:fill="FFFFFF"/>
              </w:rPr>
              <w:t>①</w:t>
            </w:r>
            <w:r>
              <w:rPr>
                <w:rFonts w:ascii="Segoe UI" w:hAnsi="Segoe UI" w:eastAsia="Segoe UI" w:cs="Segoe UI"/>
                <w:i w:val="0"/>
                <w:iCs w:val="0"/>
                <w:caps w:val="0"/>
                <w:color w:val="0F1115"/>
                <w:spacing w:val="0"/>
                <w:sz w:val="24"/>
                <w:szCs w:val="24"/>
                <w:shd w:val="clear" w:fill="FFFFFF"/>
              </w:rPr>
              <w:t>实施方案技术支撑配置全面优于采购人的要求，针对本项目特点具有极强的针对性，项目进度分析具体详实、关键节点清晰明确，人员配置、质控、验收及安全保障等各环节衔接科学严密，可操作性突出</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6分；②</w:t>
            </w:r>
            <w:r>
              <w:rPr>
                <w:rFonts w:ascii="Segoe UI" w:hAnsi="Segoe UI" w:eastAsia="Segoe UI" w:cs="Segoe UI"/>
                <w:i w:val="0"/>
                <w:iCs w:val="0"/>
                <w:caps w:val="0"/>
                <w:color w:val="0F1115"/>
                <w:spacing w:val="0"/>
                <w:sz w:val="24"/>
                <w:szCs w:val="24"/>
                <w:shd w:val="clear" w:fill="FFFFFF"/>
              </w:rPr>
              <w:t>实施方案技术支撑配置较好优于采购人的要求，具有较好的针对性，项目进度分析较为具体、主要节点清晰，各项保障措施合理可行</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5分；③</w:t>
            </w:r>
            <w:r>
              <w:rPr>
                <w:rFonts w:ascii="Segoe UI" w:hAnsi="Segoe UI" w:eastAsia="Segoe UI" w:cs="Segoe UI"/>
                <w:i w:val="0"/>
                <w:iCs w:val="0"/>
                <w:caps w:val="0"/>
                <w:color w:val="0F1115"/>
                <w:spacing w:val="0"/>
                <w:sz w:val="24"/>
                <w:szCs w:val="24"/>
                <w:shd w:val="clear" w:fill="FFFFFF"/>
              </w:rPr>
              <w:t>实施方案技术支撑配置满足采购人的基本要求，具有一定针对性，项目进度分析基本清晰，各项措施能满足项目基本实施需要</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3分；④</w:t>
            </w:r>
            <w:r>
              <w:rPr>
                <w:rFonts w:ascii="Segoe UI" w:hAnsi="Segoe UI" w:eastAsia="Segoe UI" w:cs="Segoe UI"/>
                <w:i w:val="0"/>
                <w:iCs w:val="0"/>
                <w:caps w:val="0"/>
                <w:color w:val="0F1115"/>
                <w:spacing w:val="0"/>
                <w:sz w:val="24"/>
                <w:szCs w:val="24"/>
                <w:shd w:val="clear" w:fill="FFFFFF"/>
              </w:rPr>
              <w:t>实施方案技术支撑配置不能完全满足采购人的要求，针对性不足，项目进度分析不够清晰或存在模糊之处，部分措施欠妥</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1分；⑤</w:t>
            </w:r>
            <w:r>
              <w:rPr>
                <w:rFonts w:hint="eastAsia" w:ascii="Segoe UI" w:hAnsi="Segoe UI" w:eastAsia="Segoe UI" w:cs="Segoe UI"/>
                <w:i w:val="0"/>
                <w:iCs w:val="0"/>
                <w:caps w:val="0"/>
                <w:color w:val="0F1115"/>
                <w:spacing w:val="0"/>
                <w:sz w:val="24"/>
                <w:szCs w:val="24"/>
                <w:shd w:val="clear" w:fill="FFFFFF"/>
              </w:rPr>
              <w:t>方案有重大缺陷或</w:t>
            </w:r>
            <w:r>
              <w:rPr>
                <w:rFonts w:ascii="Segoe UI" w:hAnsi="Segoe UI" w:eastAsia="Segoe UI" w:cs="Segoe UI"/>
                <w:i w:val="0"/>
                <w:iCs w:val="0"/>
                <w:caps w:val="0"/>
                <w:color w:val="0F1115"/>
                <w:spacing w:val="0"/>
                <w:sz w:val="24"/>
                <w:szCs w:val="24"/>
                <w:shd w:val="clear" w:fill="FFFFFF"/>
              </w:rPr>
              <w:t>未提供</w:t>
            </w:r>
            <w:r>
              <w:rPr>
                <w:rFonts w:hint="eastAsia" w:ascii="Segoe UI" w:hAnsi="Segoe UI" w:eastAsia="Segoe UI" w:cs="Segoe UI"/>
                <w:i w:val="0"/>
                <w:iCs w:val="0"/>
                <w:caps w:val="0"/>
                <w:color w:val="0F1115"/>
                <w:spacing w:val="0"/>
                <w:sz w:val="24"/>
                <w:szCs w:val="24"/>
                <w:shd w:val="clear" w:fill="FFFFFF"/>
                <w:lang w:eastAsia="zh-CN"/>
              </w:rPr>
              <w:t>的得</w:t>
            </w:r>
            <w:r>
              <w:rPr>
                <w:rFonts w:hint="eastAsia" w:ascii="Segoe UI" w:hAnsi="Segoe UI" w:eastAsia="Segoe UI" w:cs="Segoe UI"/>
                <w:i w:val="0"/>
                <w:iCs w:val="0"/>
                <w:caps w:val="0"/>
                <w:color w:val="0F1115"/>
                <w:spacing w:val="0"/>
                <w:sz w:val="24"/>
                <w:szCs w:val="24"/>
                <w:shd w:val="clear" w:fill="FFFFFF"/>
                <w:lang w:val="en-US" w:eastAsia="zh-CN"/>
              </w:rPr>
              <w:t>0分。</w:t>
            </w:r>
          </w:p>
        </w:tc>
      </w:tr>
      <w:tr w14:paraId="54E303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5E4F6FB3">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0490A46">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rPr>
              <w:t>培训方案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B6CBF2D">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lang w:val="en-US" w:eastAsia="zh-CN"/>
              </w:rPr>
              <w:t>5</w:t>
            </w:r>
            <w:r>
              <w:rPr>
                <w:rFonts w:hint="eastAsia"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7C7A3378">
            <w:pPr>
              <w:snapToGrid w:val="0"/>
              <w:spacing w:line="240" w:lineRule="auto"/>
              <w:ind w:left="0" w:leftChars="0" w:right="0" w:rightChars="0" w:firstLine="0" w:firstLineChars="0"/>
              <w:jc w:val="left"/>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评委根据投标文件中培训方案（包括但不限于培训目标、培训方法、培训内容、培训师资力量、培训时间、拟提供的培训资料等方面）进行打分：</w:t>
            </w:r>
            <w:r>
              <w:rPr>
                <w:rFonts w:hint="eastAsia" w:ascii="Segoe UI" w:hAnsi="微软雅黑" w:eastAsia="Segoe UI" w:cs="微软雅黑"/>
                <w:i w:val="0"/>
                <w:iCs w:val="0"/>
                <w:caps w:val="0"/>
                <w:color w:val="0F1115"/>
                <w:spacing w:val="0"/>
                <w:sz w:val="24"/>
                <w:szCs w:val="24"/>
                <w:shd w:val="clear" w:fill="FFFFFF"/>
              </w:rPr>
              <w:t>①</w:t>
            </w:r>
            <w:r>
              <w:rPr>
                <w:rFonts w:ascii="Segoe UI" w:hAnsi="Segoe UI" w:eastAsia="Segoe UI" w:cs="Segoe UI"/>
                <w:i w:val="0"/>
                <w:iCs w:val="0"/>
                <w:caps w:val="0"/>
                <w:color w:val="0F1115"/>
                <w:spacing w:val="0"/>
                <w:sz w:val="24"/>
                <w:szCs w:val="24"/>
                <w:shd w:val="clear" w:fill="FFFFFF"/>
              </w:rPr>
              <w:t>培训内容详实丰富、紧密贴合项目需求，培训形式多元灵活，师资力量雄厚，培训计划安排科学合理，拟提供资料全面专业，整体方案优于采购人要求，落地性和可操作性强</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5分；</w:t>
            </w:r>
            <w:r>
              <w:rPr>
                <w:rFonts w:hint="eastAsia" w:ascii="Segoe UI" w:hAnsi="微软雅黑" w:eastAsia="Segoe UI" w:cs="微软雅黑"/>
                <w:i w:val="0"/>
                <w:iCs w:val="0"/>
                <w:caps w:val="0"/>
                <w:color w:val="0F1115"/>
                <w:spacing w:val="0"/>
                <w:sz w:val="24"/>
                <w:szCs w:val="24"/>
                <w:shd w:val="clear" w:fill="FFFFFF"/>
                <w:lang w:val="en-US" w:eastAsia="zh-CN"/>
              </w:rPr>
              <w:t>②</w:t>
            </w:r>
            <w:r>
              <w:rPr>
                <w:rFonts w:ascii="Segoe UI" w:hAnsi="Segoe UI" w:eastAsia="Segoe UI" w:cs="Segoe UI"/>
                <w:i w:val="0"/>
                <w:iCs w:val="0"/>
                <w:caps w:val="0"/>
                <w:color w:val="0F1115"/>
                <w:spacing w:val="0"/>
                <w:sz w:val="24"/>
                <w:szCs w:val="24"/>
                <w:shd w:val="clear" w:fill="FFFFFF"/>
              </w:rPr>
              <w:t>培训内容较为详实、较好贴合项目需求，培训形式多样，师资力量较好，培训计划安排较为合理，拟提供资料较为全面，整体方案优于采购人基本要求，具有较好的可操作性</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4分；</w:t>
            </w:r>
            <w:r>
              <w:rPr>
                <w:rFonts w:hint="eastAsia" w:ascii="Segoe UI" w:hAnsi="微软雅黑" w:eastAsia="Segoe UI" w:cs="微软雅黑"/>
                <w:i w:val="0"/>
                <w:iCs w:val="0"/>
                <w:caps w:val="0"/>
                <w:color w:val="0F1115"/>
                <w:spacing w:val="0"/>
                <w:sz w:val="24"/>
                <w:szCs w:val="24"/>
                <w:shd w:val="clear" w:fill="FFFFFF"/>
                <w:lang w:val="en-US" w:eastAsia="zh-CN"/>
              </w:rPr>
              <w:t>③</w:t>
            </w:r>
            <w:r>
              <w:rPr>
                <w:rFonts w:ascii="Segoe UI" w:hAnsi="Segoe UI" w:eastAsia="Segoe UI" w:cs="Segoe UI"/>
                <w:i w:val="0"/>
                <w:iCs w:val="0"/>
                <w:caps w:val="0"/>
                <w:color w:val="0F1115"/>
                <w:spacing w:val="0"/>
                <w:sz w:val="24"/>
                <w:szCs w:val="24"/>
                <w:shd w:val="clear" w:fill="FFFFFF"/>
              </w:rPr>
              <w:t>培训内容基本完整、能够满足项目基本需求，培训形式具有一定多样性，师资及时间安排基本合理，拟提供资料基本齐全，方案满足采购人基本要求</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3分；</w:t>
            </w:r>
            <w:r>
              <w:rPr>
                <w:rFonts w:hint="eastAsia" w:ascii="Segoe UI" w:hAnsi="微软雅黑" w:eastAsia="Segoe UI" w:cs="微软雅黑"/>
                <w:i w:val="0"/>
                <w:iCs w:val="0"/>
                <w:caps w:val="0"/>
                <w:color w:val="0F1115"/>
                <w:spacing w:val="0"/>
                <w:sz w:val="24"/>
                <w:szCs w:val="24"/>
                <w:shd w:val="clear" w:fill="FFFFFF"/>
                <w:lang w:val="en-US" w:eastAsia="zh-CN"/>
              </w:rPr>
              <w:t>④</w:t>
            </w:r>
            <w:r>
              <w:rPr>
                <w:rFonts w:ascii="Segoe UI" w:hAnsi="Segoe UI" w:eastAsia="Segoe UI" w:cs="Segoe UI"/>
                <w:i w:val="0"/>
                <w:iCs w:val="0"/>
                <w:caps w:val="0"/>
                <w:color w:val="0F1115"/>
                <w:spacing w:val="0"/>
                <w:sz w:val="24"/>
                <w:szCs w:val="24"/>
                <w:shd w:val="clear" w:fill="FFFFFF"/>
              </w:rPr>
              <w:t>培训内容简略单薄，培训形式单一固化，师资力量薄弱，时间安排欠妥，方案可操作性不足，不能完全满足采购人要求</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2分；⑤</w:t>
            </w:r>
            <w:r>
              <w:rPr>
                <w:rFonts w:hint="eastAsia" w:ascii="Segoe UI" w:hAnsi="Segoe UI" w:eastAsia="Segoe UI" w:cs="Segoe UI"/>
                <w:i w:val="0"/>
                <w:iCs w:val="0"/>
                <w:caps w:val="0"/>
                <w:color w:val="0F1115"/>
                <w:spacing w:val="0"/>
                <w:sz w:val="24"/>
                <w:szCs w:val="24"/>
                <w:shd w:val="clear" w:fill="FFFFFF"/>
              </w:rPr>
              <w:t>方案有重大缺陷或</w:t>
            </w:r>
            <w:r>
              <w:rPr>
                <w:rFonts w:ascii="Segoe UI" w:hAnsi="Segoe UI" w:eastAsia="Segoe UI" w:cs="Segoe UI"/>
                <w:i w:val="0"/>
                <w:iCs w:val="0"/>
                <w:caps w:val="0"/>
                <w:color w:val="0F1115"/>
                <w:spacing w:val="0"/>
                <w:sz w:val="24"/>
                <w:szCs w:val="24"/>
                <w:shd w:val="clear" w:fill="FFFFFF"/>
              </w:rPr>
              <w:t>未提供</w:t>
            </w:r>
            <w:r>
              <w:rPr>
                <w:rFonts w:hint="eastAsia" w:ascii="Segoe UI" w:hAnsi="Segoe UI" w:eastAsia="Segoe UI" w:cs="Segoe UI"/>
                <w:i w:val="0"/>
                <w:iCs w:val="0"/>
                <w:caps w:val="0"/>
                <w:color w:val="0F1115"/>
                <w:spacing w:val="0"/>
                <w:sz w:val="24"/>
                <w:szCs w:val="24"/>
                <w:shd w:val="clear" w:fill="FFFFFF"/>
                <w:lang w:eastAsia="zh-CN"/>
              </w:rPr>
              <w:t>的得</w:t>
            </w:r>
            <w:r>
              <w:rPr>
                <w:rFonts w:hint="eastAsia" w:ascii="Segoe UI" w:hAnsi="Segoe UI" w:eastAsia="Segoe UI" w:cs="Segoe UI"/>
                <w:i w:val="0"/>
                <w:iCs w:val="0"/>
                <w:caps w:val="0"/>
                <w:color w:val="0F1115"/>
                <w:spacing w:val="0"/>
                <w:sz w:val="24"/>
                <w:szCs w:val="24"/>
                <w:shd w:val="clear" w:fill="FFFFFF"/>
                <w:lang w:val="en-US" w:eastAsia="zh-CN"/>
              </w:rPr>
              <w:t>0分。</w:t>
            </w:r>
          </w:p>
        </w:tc>
      </w:tr>
      <w:tr w14:paraId="35C1BB2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left w:val="single" w:color="auto" w:sz="6" w:space="0"/>
              <w:bottom w:val="single" w:color="auto" w:sz="6" w:space="0"/>
              <w:right w:val="single" w:color="auto" w:sz="6" w:space="0"/>
            </w:tcBorders>
            <w:noWrap w:val="0"/>
            <w:vAlign w:val="center"/>
          </w:tcPr>
          <w:p w14:paraId="7CADD92D">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6341DFF">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rPr>
              <w:t>售后服务</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9CDF283">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lang w:val="en-US" w:eastAsia="zh-CN"/>
              </w:rPr>
              <w:t>5</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E5808CC">
            <w:pPr>
              <w:snapToGrid w:val="0"/>
              <w:spacing w:line="240" w:lineRule="auto"/>
              <w:ind w:left="0" w:leftChars="0" w:right="0" w:rightChars="0" w:firstLine="0" w:firstLineChars="0"/>
              <w:jc w:val="left"/>
              <w:rPr>
                <w:rFonts w:hint="eastAsia" w:ascii="Segoe UI" w:hAnsi="Segoe UI" w:eastAsia="Segoe UI" w:cs="Segoe UI"/>
                <w:i w:val="0"/>
                <w:iCs w:val="0"/>
                <w:caps w:val="0"/>
                <w:color w:val="0F1115"/>
                <w:spacing w:val="0"/>
                <w:sz w:val="24"/>
                <w:szCs w:val="24"/>
                <w:shd w:val="clear" w:fill="FFFFFF"/>
              </w:rPr>
            </w:pPr>
            <w:r>
              <w:rPr>
                <w:rFonts w:hint="eastAsia" w:ascii="Segoe UI" w:hAnsi="Segoe UI" w:eastAsia="Segoe UI" w:cs="Segoe UI"/>
                <w:i w:val="0"/>
                <w:iCs w:val="0"/>
                <w:caps w:val="0"/>
                <w:color w:val="0F1115"/>
                <w:spacing w:val="0"/>
                <w:sz w:val="24"/>
                <w:szCs w:val="24"/>
                <w:shd w:val="clear" w:fill="FFFFFF"/>
              </w:rPr>
              <w:t>评委根据投标文件中售后服务方案（包括但不限于服务体系、服务内容、故障解决方案、响应时间、专业技术人员保障及服务电话、备品备件保证、质保期外维保方案等方面）进行打分：①</w:t>
            </w:r>
            <w:r>
              <w:rPr>
                <w:rFonts w:ascii="Segoe UI" w:hAnsi="Segoe UI" w:eastAsia="Segoe UI" w:cs="Segoe UI"/>
                <w:i w:val="0"/>
                <w:iCs w:val="0"/>
                <w:caps w:val="0"/>
                <w:color w:val="0F1115"/>
                <w:spacing w:val="0"/>
                <w:sz w:val="24"/>
                <w:szCs w:val="24"/>
                <w:shd w:val="clear" w:fill="FFFFFF"/>
              </w:rPr>
              <w:t>方案完整详细、体系健全，售后服务机构及人员配置明确充足，售后服务承诺具体可行，售后服务响应及处理时间优于采购人要求，质保期内的售后服务范围清晰全面，质保期满后的售后服务范围和收费情况具体合理、透明有据，各项保障措施优于采购人实际需求，针对性和可操作性突出</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5分；②</w:t>
            </w:r>
            <w:r>
              <w:rPr>
                <w:rFonts w:ascii="Segoe UI" w:hAnsi="Segoe UI" w:eastAsia="Segoe UI" w:cs="Segoe UI"/>
                <w:i w:val="0"/>
                <w:iCs w:val="0"/>
                <w:caps w:val="0"/>
                <w:color w:val="0F1115"/>
                <w:spacing w:val="0"/>
                <w:sz w:val="24"/>
                <w:szCs w:val="24"/>
                <w:shd w:val="clear" w:fill="FFFFFF"/>
              </w:rPr>
              <w:t>方案较为完整详细、体系较为健全，售后服务机构及人员配置明确，售后服务承诺较为具体，售后服务响应及处理时间优于采购人基本要求，质保期内外的售后服务范围和收费情况较为清晰具体，整体优于采购人要求，具有较好的可操作性</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4分；③</w:t>
            </w:r>
            <w:r>
              <w:rPr>
                <w:rFonts w:ascii="Segoe UI" w:hAnsi="Segoe UI" w:eastAsia="Segoe UI" w:cs="Segoe UI"/>
                <w:i w:val="0"/>
                <w:iCs w:val="0"/>
                <w:caps w:val="0"/>
                <w:color w:val="0F1115"/>
                <w:spacing w:val="0"/>
                <w:sz w:val="24"/>
                <w:szCs w:val="24"/>
                <w:shd w:val="clear" w:fill="FFFFFF"/>
              </w:rPr>
              <w:t>方案完整，有明确的售后服务机构及人员、售后服务承诺、售后服务响应及处理时间，质保期内的售后服务范围、质保期满后的售后服务范围和收费情况能够满足采购人的基本要求，内容合理可行</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3分；④</w:t>
            </w:r>
            <w:r>
              <w:rPr>
                <w:rFonts w:ascii="Segoe UI" w:hAnsi="Segoe UI" w:eastAsia="Segoe UI" w:cs="Segoe UI"/>
                <w:i w:val="0"/>
                <w:iCs w:val="0"/>
                <w:caps w:val="0"/>
                <w:color w:val="0F1115"/>
                <w:spacing w:val="0"/>
                <w:sz w:val="24"/>
                <w:szCs w:val="24"/>
                <w:shd w:val="clear" w:fill="FFFFFF"/>
              </w:rPr>
              <w:t>售后服务体系较为薄弱，售后服务方案中关于服务体系、服务内容、故障解决方案、响应时间、人员保障、备品备件、质保期内外维保方案等方面内容介绍不明晰、不够具体，或存在部分缺失，不能完全满足采购人要求</w:t>
            </w:r>
            <w:r>
              <w:rPr>
                <w:rFonts w:hint="eastAsia" w:ascii="Segoe UI" w:hAnsi="Segoe UI" w:eastAsia="Segoe UI" w:cs="Segoe UI"/>
                <w:i w:val="0"/>
                <w:iCs w:val="0"/>
                <w:caps w:val="0"/>
                <w:color w:val="0F1115"/>
                <w:spacing w:val="0"/>
                <w:sz w:val="24"/>
                <w:szCs w:val="24"/>
                <w:shd w:val="clear" w:fill="FFFFFF"/>
                <w:lang w:eastAsia="zh-CN"/>
              </w:rPr>
              <w:t>，得</w:t>
            </w:r>
            <w:r>
              <w:rPr>
                <w:rFonts w:hint="eastAsia" w:ascii="Segoe UI" w:hAnsi="Segoe UI" w:eastAsia="Segoe UI" w:cs="Segoe UI"/>
                <w:i w:val="0"/>
                <w:iCs w:val="0"/>
                <w:caps w:val="0"/>
                <w:color w:val="0F1115"/>
                <w:spacing w:val="0"/>
                <w:sz w:val="24"/>
                <w:szCs w:val="24"/>
                <w:shd w:val="clear" w:fill="FFFFFF"/>
                <w:lang w:val="en-US" w:eastAsia="zh-CN"/>
              </w:rPr>
              <w:t>2分；⑤</w:t>
            </w:r>
            <w:r>
              <w:rPr>
                <w:rFonts w:hint="eastAsia" w:ascii="Segoe UI" w:hAnsi="Segoe UI" w:eastAsia="Segoe UI" w:cs="Segoe UI"/>
                <w:i w:val="0"/>
                <w:iCs w:val="0"/>
                <w:caps w:val="0"/>
                <w:color w:val="0F1115"/>
                <w:spacing w:val="0"/>
                <w:sz w:val="24"/>
                <w:szCs w:val="24"/>
                <w:shd w:val="clear" w:fill="FFFFFF"/>
              </w:rPr>
              <w:t>方案有重大缺陷或</w:t>
            </w:r>
            <w:r>
              <w:rPr>
                <w:rFonts w:ascii="Segoe UI" w:hAnsi="Segoe UI" w:eastAsia="Segoe UI" w:cs="Segoe UI"/>
                <w:i w:val="0"/>
                <w:iCs w:val="0"/>
                <w:caps w:val="0"/>
                <w:color w:val="0F1115"/>
                <w:spacing w:val="0"/>
                <w:sz w:val="24"/>
                <w:szCs w:val="24"/>
                <w:shd w:val="clear" w:fill="FFFFFF"/>
              </w:rPr>
              <w:t>未提供</w:t>
            </w:r>
            <w:r>
              <w:rPr>
                <w:rFonts w:hint="eastAsia" w:ascii="Segoe UI" w:hAnsi="Segoe UI" w:eastAsia="Segoe UI" w:cs="Segoe UI"/>
                <w:i w:val="0"/>
                <w:iCs w:val="0"/>
                <w:caps w:val="0"/>
                <w:color w:val="0F1115"/>
                <w:spacing w:val="0"/>
                <w:sz w:val="24"/>
                <w:szCs w:val="24"/>
                <w:shd w:val="clear" w:fill="FFFFFF"/>
                <w:lang w:eastAsia="zh-CN"/>
              </w:rPr>
              <w:t>的得</w:t>
            </w:r>
            <w:r>
              <w:rPr>
                <w:rFonts w:hint="eastAsia" w:ascii="Segoe UI" w:hAnsi="Segoe UI" w:eastAsia="Segoe UI" w:cs="Segoe UI"/>
                <w:i w:val="0"/>
                <w:iCs w:val="0"/>
                <w:caps w:val="0"/>
                <w:color w:val="0F1115"/>
                <w:spacing w:val="0"/>
                <w:sz w:val="24"/>
                <w:szCs w:val="24"/>
                <w:shd w:val="clear" w:fill="FFFFFF"/>
                <w:lang w:val="en-US" w:eastAsia="zh-CN"/>
              </w:rPr>
              <w:t>0分。</w:t>
            </w:r>
          </w:p>
        </w:tc>
      </w:tr>
      <w:tr w14:paraId="60C0B3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200" w:type="dxa"/>
            <w:tcBorders>
              <w:left w:val="single" w:color="auto" w:sz="6" w:space="0"/>
              <w:bottom w:val="single" w:color="auto" w:sz="6" w:space="0"/>
              <w:right w:val="single" w:color="auto" w:sz="6" w:space="0"/>
            </w:tcBorders>
            <w:noWrap w:val="0"/>
            <w:vAlign w:val="center"/>
          </w:tcPr>
          <w:p w14:paraId="18CECA10">
            <w:pPr>
              <w:snapToGrid w:val="0"/>
              <w:spacing w:line="240" w:lineRule="auto"/>
              <w:ind w:left="0" w:leftChars="0" w:right="0" w:rightChars="0" w:firstLine="0" w:firstLineChars="0"/>
              <w:jc w:val="left"/>
              <w:rPr>
                <w:rFonts w:ascii="Segoe UI" w:eastAsia="Segoe UI"/>
                <w:sz w:val="24"/>
                <w:szCs w:val="22"/>
                <w:highlight w:val="none"/>
              </w:rPr>
            </w:pPr>
          </w:p>
        </w:tc>
        <w:tc>
          <w:tcPr>
            <w:tcW w:w="701" w:type="dxa"/>
            <w:tcBorders>
              <w:top w:val="single" w:color="auto" w:sz="4" w:space="0"/>
              <w:left w:val="single" w:color="auto" w:sz="6" w:space="0"/>
              <w:bottom w:val="single" w:color="auto" w:sz="6" w:space="0"/>
              <w:right w:val="single" w:color="auto" w:sz="6" w:space="0"/>
            </w:tcBorders>
            <w:noWrap w:val="0"/>
            <w:vAlign w:val="center"/>
          </w:tcPr>
          <w:p w14:paraId="43062944">
            <w:pPr>
              <w:snapToGrid w:val="0"/>
              <w:spacing w:line="240" w:lineRule="auto"/>
              <w:ind w:left="0" w:leftChars="0" w:right="0" w:rightChars="0" w:firstLine="0" w:firstLineChars="0"/>
              <w:jc w:val="center"/>
              <w:rPr>
                <w:rFonts w:hint="eastAsia" w:ascii="Segoe UI" w:hAnsi="Segoe UI" w:eastAsia="Segoe UI" w:cs="Segoe UI"/>
                <w:i w:val="0"/>
                <w:iCs w:val="0"/>
                <w:caps w:val="0"/>
                <w:color w:val="0F1115"/>
                <w:spacing w:val="0"/>
                <w:sz w:val="24"/>
                <w:szCs w:val="24"/>
                <w:shd w:val="clear" w:fill="FFFFFF"/>
              </w:rPr>
            </w:pPr>
            <w:r>
              <w:rPr>
                <w:rFonts w:hint="eastAsia" w:ascii="Segoe UI" w:hAnsi="Segoe UI" w:eastAsia="宋体" w:cs="Segoe UI"/>
                <w:i w:val="0"/>
                <w:iCs w:val="0"/>
                <w:caps w:val="0"/>
                <w:color w:val="0F1115"/>
                <w:spacing w:val="0"/>
                <w:sz w:val="24"/>
                <w:szCs w:val="24"/>
                <w:shd w:val="clear" w:fill="FFFFFF"/>
                <w:lang w:eastAsia="zh-CN"/>
              </w:rPr>
              <w:t>履约</w:t>
            </w:r>
            <w:r>
              <w:rPr>
                <w:rFonts w:hint="eastAsia" w:ascii="Segoe UI" w:hAnsi="Segoe UI" w:eastAsia="Segoe UI" w:cs="Segoe UI"/>
                <w:i w:val="0"/>
                <w:iCs w:val="0"/>
                <w:caps w:val="0"/>
                <w:color w:val="0F1115"/>
                <w:spacing w:val="0"/>
                <w:sz w:val="24"/>
                <w:szCs w:val="24"/>
                <w:shd w:val="clear" w:fill="FFFFFF"/>
              </w:rPr>
              <w:t>承诺</w:t>
            </w:r>
          </w:p>
        </w:tc>
        <w:tc>
          <w:tcPr>
            <w:tcW w:w="1021" w:type="dxa"/>
            <w:tcBorders>
              <w:top w:val="single" w:color="auto" w:sz="4" w:space="0"/>
              <w:left w:val="single" w:color="auto" w:sz="6" w:space="0"/>
              <w:bottom w:val="single" w:color="auto" w:sz="6" w:space="0"/>
              <w:right w:val="single" w:color="auto" w:sz="6" w:space="0"/>
            </w:tcBorders>
            <w:noWrap w:val="0"/>
            <w:vAlign w:val="center"/>
          </w:tcPr>
          <w:p w14:paraId="703CD1B0">
            <w:pPr>
              <w:snapToGrid w:val="0"/>
              <w:spacing w:line="240" w:lineRule="auto"/>
              <w:ind w:left="0" w:leftChars="0" w:right="0" w:rightChars="0" w:firstLine="0" w:firstLineChars="0"/>
              <w:jc w:val="center"/>
              <w:rPr>
                <w:rFonts w:hint="eastAsia" w:ascii="Segoe UI" w:hAnsi="Segoe UI" w:eastAsia="Segoe UI" w:cs="Segoe UI"/>
                <w:i w:val="0"/>
                <w:iCs w:val="0"/>
                <w:caps w:val="0"/>
                <w:color w:val="0F1115"/>
                <w:spacing w:val="0"/>
                <w:sz w:val="24"/>
                <w:szCs w:val="24"/>
                <w:shd w:val="clear" w:fill="FFFFFF"/>
              </w:rPr>
            </w:pPr>
            <w:r>
              <w:rPr>
                <w:rFonts w:hint="eastAsia" w:ascii="Segoe UI" w:hAnsi="Segoe UI" w:eastAsia="Segoe UI" w:cs="Segoe UI"/>
                <w:i w:val="0"/>
                <w:iCs w:val="0"/>
                <w:caps w:val="0"/>
                <w:color w:val="0F1115"/>
                <w:spacing w:val="0"/>
                <w:sz w:val="24"/>
                <w:szCs w:val="24"/>
                <w:shd w:val="clear" w:fill="FFFFFF"/>
                <w:lang w:val="en-US" w:eastAsia="zh-CN"/>
              </w:rPr>
              <w:t>6</w:t>
            </w:r>
            <w:r>
              <w:rPr>
                <w:rFonts w:hint="eastAsia" w:ascii="Segoe UI" w:hAnsi="Segoe UI" w:eastAsia="Segoe UI" w:cs="Segoe UI"/>
                <w:i w:val="0"/>
                <w:iCs w:val="0"/>
                <w:caps w:val="0"/>
                <w:color w:val="0F1115"/>
                <w:spacing w:val="0"/>
                <w:sz w:val="24"/>
                <w:szCs w:val="24"/>
                <w:shd w:val="clear" w:fill="FFFFFF"/>
              </w:rPr>
              <w:t>.00分</w:t>
            </w:r>
          </w:p>
        </w:tc>
        <w:tc>
          <w:tcPr>
            <w:tcW w:w="6247" w:type="dxa"/>
            <w:tcBorders>
              <w:top w:val="single" w:color="auto" w:sz="4" w:space="0"/>
              <w:left w:val="single" w:color="auto" w:sz="6" w:space="0"/>
              <w:bottom w:val="single" w:color="auto" w:sz="6" w:space="0"/>
              <w:right w:val="single" w:color="auto" w:sz="6" w:space="0"/>
            </w:tcBorders>
            <w:noWrap w:val="0"/>
            <w:vAlign w:val="center"/>
          </w:tcPr>
          <w:p w14:paraId="5D623F6E">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shd w:val="clear" w:fill="FFFFFF"/>
                <w:lang w:val="en-US" w:eastAsia="zh-CN" w:bidi="ar-SA"/>
              </w:rPr>
            </w:pPr>
            <w:r>
              <w:rPr>
                <w:rFonts w:hint="default" w:ascii="Segoe UI" w:hAnsi="Segoe UI" w:eastAsia="Segoe UI" w:cs="Segoe UI"/>
                <w:i w:val="0"/>
                <w:iCs w:val="0"/>
                <w:caps w:val="0"/>
                <w:color w:val="0F1115"/>
                <w:spacing w:val="0"/>
                <w:sz w:val="24"/>
                <w:szCs w:val="24"/>
                <w:shd w:val="clear" w:fill="FFFFFF"/>
                <w:lang w:val="en-US" w:eastAsia="zh-CN" w:bidi="ar-SA"/>
              </w:rPr>
              <w:t>投标人须按以下要求出具书面承诺函（加盖公章，法定代表人或授权代表签字），未提供或内容不完整的，对应分值不得分，承诺函格式自拟。</w:t>
            </w:r>
          </w:p>
          <w:p w14:paraId="5703ABD4">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shd w:val="clear" w:fill="FFFFFF"/>
                <w:lang w:val="en-US" w:eastAsia="zh-CN" w:bidi="ar-SA"/>
              </w:rPr>
            </w:pPr>
            <w:r>
              <w:rPr>
                <w:rFonts w:hint="default" w:ascii="Segoe UI" w:hAnsi="Segoe UI" w:eastAsia="Segoe UI" w:cs="Segoe UI"/>
                <w:i w:val="0"/>
                <w:iCs w:val="0"/>
                <w:caps w:val="0"/>
                <w:color w:val="0F1115"/>
                <w:spacing w:val="0"/>
                <w:sz w:val="24"/>
                <w:szCs w:val="24"/>
                <w:shd w:val="clear" w:fill="FFFFFF"/>
                <w:lang w:val="en-US" w:eastAsia="zh-CN" w:bidi="ar-SA"/>
              </w:rPr>
              <w:t>（1）国产化适配承诺（2分）： 若所投软件暂不支持国产计算机（含国产操作系统）环境，中标后待采购人及中标供应商同时具备国产计算机运行条件之日起60个日历天内完成适配升级并确保正常运行，费用含在总价中。提供完整承诺得 2分。</w:t>
            </w:r>
          </w:p>
          <w:p w14:paraId="40DD60FC">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shd w:val="clear" w:fill="FFFFFF"/>
                <w:lang w:val="en-US" w:eastAsia="zh-CN" w:bidi="ar-SA"/>
              </w:rPr>
            </w:pPr>
            <w:r>
              <w:rPr>
                <w:rFonts w:hint="default" w:ascii="Segoe UI" w:hAnsi="Segoe UI" w:eastAsia="Segoe UI" w:cs="Segoe UI"/>
                <w:i w:val="0"/>
                <w:iCs w:val="0"/>
                <w:caps w:val="0"/>
                <w:color w:val="0F1115"/>
                <w:spacing w:val="0"/>
                <w:sz w:val="24"/>
                <w:szCs w:val="24"/>
                <w:shd w:val="clear" w:fill="FFFFFF"/>
                <w:lang w:val="en-US" w:eastAsia="zh-CN" w:bidi="ar-SA"/>
              </w:rPr>
              <w:t>（2）系统对接承诺（2分）： 承诺支持</w:t>
            </w:r>
            <w:r>
              <w:rPr>
                <w:rFonts w:hint="eastAsia" w:ascii="Segoe UI" w:hAnsi="Segoe UI" w:eastAsia="Segoe UI" w:cs="Segoe UI"/>
                <w:i w:val="0"/>
                <w:iCs w:val="0"/>
                <w:caps w:val="0"/>
                <w:color w:val="0F1115"/>
                <w:spacing w:val="0"/>
                <w:sz w:val="24"/>
                <w:szCs w:val="24"/>
                <w:shd w:val="clear" w:fill="FFFFFF"/>
                <w:lang w:val="en-US" w:eastAsia="zh-CN" w:bidi="ar-SA"/>
              </w:rPr>
              <w:t>如需</w:t>
            </w:r>
            <w:r>
              <w:rPr>
                <w:rFonts w:hint="default" w:ascii="Segoe UI" w:hAnsi="Segoe UI" w:eastAsia="Segoe UI" w:cs="Segoe UI"/>
                <w:i w:val="0"/>
                <w:iCs w:val="0"/>
                <w:caps w:val="0"/>
                <w:color w:val="0F1115"/>
                <w:spacing w:val="0"/>
                <w:sz w:val="24"/>
                <w:szCs w:val="24"/>
                <w:shd w:val="clear" w:fill="FFFFFF"/>
                <w:lang w:val="en-US" w:eastAsia="zh-CN" w:bidi="ar-SA"/>
              </w:rPr>
              <w:t>与采购人现有计量管理系统对接（如需对接），完成检定数据上传及证书出具等全流程业务，配合联调</w:t>
            </w:r>
            <w:r>
              <w:rPr>
                <w:rFonts w:hint="eastAsia" w:ascii="Segoe UI" w:hAnsi="Segoe UI" w:eastAsia="Segoe UI" w:cs="Segoe UI"/>
                <w:i w:val="0"/>
                <w:iCs w:val="0"/>
                <w:caps w:val="0"/>
                <w:color w:val="0F1115"/>
                <w:spacing w:val="0"/>
                <w:sz w:val="24"/>
                <w:szCs w:val="24"/>
                <w:shd w:val="clear" w:fill="FFFFFF"/>
                <w:lang w:val="en-US" w:eastAsia="zh-CN" w:bidi="ar-SA"/>
              </w:rPr>
              <w:t>确保</w:t>
            </w:r>
            <w:r>
              <w:rPr>
                <w:rFonts w:hint="default" w:ascii="Segoe UI" w:hAnsi="Segoe UI" w:eastAsia="Segoe UI" w:cs="Segoe UI"/>
                <w:i w:val="0"/>
                <w:iCs w:val="0"/>
                <w:caps w:val="0"/>
                <w:color w:val="0F1115"/>
                <w:spacing w:val="0"/>
                <w:sz w:val="24"/>
                <w:szCs w:val="24"/>
                <w:shd w:val="clear" w:fill="FFFFFF"/>
                <w:lang w:val="en-US" w:eastAsia="zh-CN" w:bidi="ar-SA"/>
              </w:rPr>
              <w:t>设备</w:t>
            </w:r>
            <w:r>
              <w:rPr>
                <w:rFonts w:hint="eastAsia" w:ascii="Segoe UI" w:hAnsi="Segoe UI" w:eastAsia="Segoe UI" w:cs="Segoe UI"/>
                <w:i w:val="0"/>
                <w:iCs w:val="0"/>
                <w:caps w:val="0"/>
                <w:color w:val="0F1115"/>
                <w:spacing w:val="0"/>
                <w:sz w:val="24"/>
                <w:szCs w:val="24"/>
                <w:shd w:val="clear" w:fill="FFFFFF"/>
                <w:lang w:val="en-US" w:eastAsia="zh-CN" w:bidi="ar-SA"/>
              </w:rPr>
              <w:t>可以正常</w:t>
            </w:r>
            <w:r>
              <w:rPr>
                <w:rFonts w:hint="default" w:ascii="Segoe UI" w:hAnsi="Segoe UI" w:eastAsia="Segoe UI" w:cs="Segoe UI"/>
                <w:i w:val="0"/>
                <w:iCs w:val="0"/>
                <w:caps w:val="0"/>
                <w:color w:val="0F1115"/>
                <w:spacing w:val="0"/>
                <w:sz w:val="24"/>
                <w:szCs w:val="24"/>
                <w:shd w:val="clear" w:fill="FFFFFF"/>
                <w:lang w:val="en-US" w:eastAsia="zh-CN" w:bidi="ar-SA"/>
              </w:rPr>
              <w:t>上线运行，对接费用含在总价中。提供完整承诺得 2分。</w:t>
            </w:r>
          </w:p>
          <w:p w14:paraId="3854F1BF">
            <w:pPr>
              <w:snapToGrid w:val="0"/>
              <w:spacing w:line="240" w:lineRule="auto"/>
              <w:ind w:left="0" w:leftChars="0" w:right="0" w:rightChars="0" w:firstLine="0" w:firstLineChars="0"/>
              <w:jc w:val="left"/>
              <w:rPr>
                <w:rFonts w:hint="eastAsia" w:ascii="Segoe UI" w:hAnsi="Segoe UI" w:eastAsia="Segoe UI" w:cs="Segoe UI"/>
                <w:i w:val="0"/>
                <w:iCs w:val="0"/>
                <w:caps w:val="0"/>
                <w:color w:val="0F1115"/>
                <w:spacing w:val="0"/>
                <w:sz w:val="24"/>
                <w:szCs w:val="24"/>
                <w:shd w:val="clear" w:fill="FFFFFF"/>
                <w:lang w:val="en-US" w:eastAsia="zh-CN" w:bidi="ar-SA"/>
              </w:rPr>
            </w:pPr>
            <w:r>
              <w:rPr>
                <w:rFonts w:hint="default" w:ascii="Segoe UI" w:hAnsi="Segoe UI" w:eastAsia="Segoe UI" w:cs="Segoe UI"/>
                <w:i w:val="0"/>
                <w:iCs w:val="0"/>
                <w:caps w:val="0"/>
                <w:color w:val="0F1115"/>
                <w:spacing w:val="0"/>
                <w:sz w:val="24"/>
                <w:szCs w:val="24"/>
                <w:shd w:val="clear" w:fill="FFFFFF"/>
                <w:lang w:val="en-US" w:eastAsia="zh-CN" w:bidi="ar-SA"/>
              </w:rPr>
              <w:t>（3）质保期承诺（</w:t>
            </w:r>
            <w:r>
              <w:rPr>
                <w:rFonts w:hint="eastAsia" w:ascii="Segoe UI" w:hAnsi="Segoe UI" w:eastAsia="Segoe UI" w:cs="Segoe UI"/>
                <w:i w:val="0"/>
                <w:iCs w:val="0"/>
                <w:caps w:val="0"/>
                <w:color w:val="0F1115"/>
                <w:spacing w:val="0"/>
                <w:sz w:val="24"/>
                <w:szCs w:val="24"/>
                <w:shd w:val="clear" w:fill="FFFFFF"/>
                <w:lang w:val="en-US" w:eastAsia="zh-CN" w:bidi="ar-SA"/>
              </w:rPr>
              <w:t>2</w:t>
            </w:r>
            <w:r>
              <w:rPr>
                <w:rFonts w:hint="default" w:ascii="Segoe UI" w:hAnsi="Segoe UI" w:eastAsia="Segoe UI" w:cs="Segoe UI"/>
                <w:i w:val="0"/>
                <w:iCs w:val="0"/>
                <w:caps w:val="0"/>
                <w:color w:val="0F1115"/>
                <w:spacing w:val="0"/>
                <w:sz w:val="24"/>
                <w:szCs w:val="24"/>
                <w:shd w:val="clear" w:fill="FFFFFF"/>
                <w:lang w:val="en-US" w:eastAsia="zh-CN" w:bidi="ar-SA"/>
              </w:rPr>
              <w:t>分）： 在验收通过之日起免费质保 24个月基础上，每增加12个月得 </w:t>
            </w:r>
            <w:r>
              <w:rPr>
                <w:rFonts w:hint="eastAsia" w:ascii="Segoe UI" w:hAnsi="Segoe UI" w:eastAsia="Segoe UI" w:cs="Segoe UI"/>
                <w:i w:val="0"/>
                <w:iCs w:val="0"/>
                <w:caps w:val="0"/>
                <w:color w:val="0F1115"/>
                <w:spacing w:val="0"/>
                <w:sz w:val="24"/>
                <w:szCs w:val="24"/>
                <w:shd w:val="clear" w:fill="FFFFFF"/>
                <w:lang w:val="en-US" w:eastAsia="zh-CN" w:bidi="ar-SA"/>
              </w:rPr>
              <w:t>1</w:t>
            </w:r>
            <w:r>
              <w:rPr>
                <w:rFonts w:hint="default" w:ascii="Segoe UI" w:hAnsi="Segoe UI" w:eastAsia="Segoe UI" w:cs="Segoe UI"/>
                <w:i w:val="0"/>
                <w:iCs w:val="0"/>
                <w:caps w:val="0"/>
                <w:color w:val="0F1115"/>
                <w:spacing w:val="0"/>
                <w:sz w:val="24"/>
                <w:szCs w:val="24"/>
                <w:shd w:val="clear" w:fill="FFFFFF"/>
                <w:lang w:val="en-US" w:eastAsia="zh-CN" w:bidi="ar-SA"/>
              </w:rPr>
              <w:t>分，本项最高得</w:t>
            </w:r>
            <w:r>
              <w:rPr>
                <w:rFonts w:hint="eastAsia" w:ascii="Segoe UI" w:hAnsi="Segoe UI" w:eastAsia="Segoe UI" w:cs="Segoe UI"/>
                <w:i w:val="0"/>
                <w:iCs w:val="0"/>
                <w:caps w:val="0"/>
                <w:color w:val="0F1115"/>
                <w:spacing w:val="0"/>
                <w:sz w:val="24"/>
                <w:szCs w:val="24"/>
                <w:shd w:val="clear" w:fill="FFFFFF"/>
                <w:lang w:val="en-US" w:eastAsia="zh-CN" w:bidi="ar-SA"/>
              </w:rPr>
              <w:t>2</w:t>
            </w:r>
            <w:r>
              <w:rPr>
                <w:rFonts w:hint="default" w:ascii="Segoe UI" w:hAnsi="Segoe UI" w:eastAsia="Segoe UI" w:cs="Segoe UI"/>
                <w:i w:val="0"/>
                <w:iCs w:val="0"/>
                <w:caps w:val="0"/>
                <w:color w:val="0F1115"/>
                <w:spacing w:val="0"/>
                <w:sz w:val="24"/>
                <w:szCs w:val="24"/>
                <w:shd w:val="clear" w:fill="FFFFFF"/>
                <w:lang w:val="en-US" w:eastAsia="zh-CN" w:bidi="ar-SA"/>
              </w:rPr>
              <w:t>分（提供加盖公章的承诺函原件扫描件）。</w:t>
            </w:r>
          </w:p>
        </w:tc>
      </w:tr>
    </w:tbl>
    <w:p w14:paraId="1C136DB0">
      <w:pPr>
        <w:rPr>
          <w:rFonts w:hint="eastAsia"/>
          <w:highlight w:val="none"/>
        </w:rPr>
      </w:pPr>
      <w:r>
        <w:rPr>
          <w:rFonts w:hint="eastAsia"/>
          <w:sz w:val="20"/>
          <w:highlight w:val="none"/>
        </w:rPr>
        <w:t xml:space="preserve"> </w:t>
      </w:r>
      <w:bookmarkEnd w:id="158"/>
    </w:p>
    <w:p w14:paraId="17E71015">
      <w:pPr>
        <w:spacing w:line="4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b/>
          <w:sz w:val="24"/>
          <w:highlight w:val="none"/>
        </w:rPr>
        <w:t>（三）评标结果。</w:t>
      </w:r>
      <w:r>
        <w:rPr>
          <w:rFonts w:hint="eastAsia" w:ascii="宋体" w:hAnsi="宋体" w:cs="宋体"/>
          <w:sz w:val="24"/>
          <w:highlight w:val="none"/>
        </w:rPr>
        <w:t>评标委员会按照本办法规定推荐中标候选人，并形成评标报告。</w:t>
      </w:r>
    </w:p>
    <w:p w14:paraId="42BEC72B">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（四）政府采购政策功能落实</w:t>
      </w:r>
    </w:p>
    <w:p w14:paraId="7FC47094">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本项目落实的政府采购政策对应以下序号为</w:t>
      </w:r>
      <w:r>
        <w:rPr>
          <w:rFonts w:hint="eastAsia" w:ascii="宋体" w:hAnsi="宋体" w:eastAsia="宋体" w:cs="宋体"/>
          <w:color w:val="000000" w:themeColor="text1"/>
          <w:sz w:val="24"/>
          <w:szCs w:val="21"/>
          <w:u w:val="single"/>
          <w14:textFill>
            <w14:solidFill>
              <w14:schemeClr w14:val="tx1"/>
            </w14:solidFill>
          </w14:textFill>
        </w:rPr>
        <w:t>1、2、3、4</w:t>
      </w:r>
    </w:p>
    <w:p w14:paraId="1E9936AE">
      <w:pPr>
        <w:numPr>
          <w:ilvl w:val="0"/>
          <w:numId w:val="4"/>
        </w:num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采购本国货物、工程和服务</w:t>
      </w:r>
    </w:p>
    <w:p w14:paraId="18F3C81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3E0CC05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2、中小企业政策</w:t>
      </w:r>
    </w:p>
    <w:p w14:paraId="5AA6E005">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本项目按以下第</w:t>
      </w:r>
      <w:r>
        <w:rPr>
          <w:rFonts w:hint="eastAsia" w:ascii="宋体" w:hAnsi="宋体" w:eastAsia="宋体" w:cs="宋体"/>
          <w:b/>
          <w:bCs/>
          <w:color w:val="000000" w:themeColor="text1"/>
          <w:sz w:val="24"/>
          <w:szCs w:val="21"/>
          <w:u w:val="single"/>
          <w14:textFill>
            <w14:solidFill>
              <w14:schemeClr w14:val="tx1"/>
            </w14:solidFill>
          </w14:textFill>
        </w:rPr>
        <w:t>（</w:t>
      </w:r>
      <w:r>
        <w:rPr>
          <w:rFonts w:hint="eastAsia" w:ascii="宋体" w:hAnsi="宋体" w:eastAsia="宋体" w:cs="宋体"/>
          <w:b/>
          <w:bCs/>
          <w:color w:val="000000" w:themeColor="text1"/>
          <w:sz w:val="24"/>
          <w:szCs w:val="21"/>
          <w:u w:val="single"/>
          <w:lang w:val="en-US" w:eastAsia="zh-CN"/>
          <w14:textFill>
            <w14:solidFill>
              <w14:schemeClr w14:val="tx1"/>
            </w14:solidFill>
          </w14:textFill>
        </w:rPr>
        <w:t>1</w:t>
      </w:r>
      <w:r>
        <w:rPr>
          <w:rFonts w:hint="eastAsia" w:ascii="宋体" w:hAnsi="宋体" w:eastAsia="宋体" w:cs="宋体"/>
          <w:b/>
          <w:bCs/>
          <w:color w:val="000000" w:themeColor="text1"/>
          <w:sz w:val="24"/>
          <w:szCs w:val="21"/>
          <w:u w:val="single"/>
          <w14:textFill>
            <w14:solidFill>
              <w14:schemeClr w14:val="tx1"/>
            </w14:solidFill>
          </w14:textFill>
        </w:rPr>
        <w:t>）</w:t>
      </w:r>
      <w:r>
        <w:rPr>
          <w:rFonts w:hint="eastAsia" w:ascii="宋体" w:hAnsi="宋体" w:eastAsia="宋体" w:cs="宋体"/>
          <w:color w:val="000000" w:themeColor="text1"/>
          <w:sz w:val="24"/>
          <w:szCs w:val="21"/>
          <w14:textFill>
            <w14:solidFill>
              <w14:schemeClr w14:val="tx1"/>
            </w14:solidFill>
          </w14:textFill>
        </w:rPr>
        <w:t>种政策确定本项目落实的中小企业政策：</w:t>
      </w:r>
    </w:p>
    <w:p w14:paraId="297D016B">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（1）本项目专门面向中小企业（含监狱企业、残疾人福利企业）采购。</w:t>
      </w:r>
    </w:p>
    <w:p w14:paraId="77161DAC">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（2）投标人提供的货物符合下列情形的，对小微企业报价给予</w:t>
      </w:r>
      <w:r>
        <w:rPr>
          <w:rFonts w:hint="eastAsia" w:ascii="宋体" w:hAnsi="宋体" w:eastAsia="宋体" w:cs="宋体"/>
          <w:color w:val="000000" w:themeColor="text1"/>
          <w:sz w:val="24"/>
          <w:szCs w:val="21"/>
          <w:u w:val="single"/>
          <w:lang w:val="en-US" w:eastAsia="zh-CN"/>
          <w14:textFill>
            <w14:solidFill>
              <w14:schemeClr w14:val="tx1"/>
            </w14:solidFill>
          </w14:textFill>
        </w:rPr>
        <w:t>/</w:t>
      </w:r>
      <w:r>
        <w:rPr>
          <w:rFonts w:hint="eastAsia" w:ascii="宋体" w:hAnsi="宋体" w:eastAsia="宋体" w:cs="宋体"/>
          <w:color w:val="000000" w:themeColor="text1"/>
          <w:sz w:val="24"/>
          <w:szCs w:val="21"/>
          <w:u w:val="single"/>
          <w14:textFill>
            <w14:solidFill>
              <w14:schemeClr w14:val="tx1"/>
            </w14:solidFill>
          </w14:textFill>
        </w:rPr>
        <w:t>%</w:t>
      </w:r>
      <w:r>
        <w:rPr>
          <w:rFonts w:hint="eastAsia" w:ascii="宋体" w:hAnsi="宋体" w:eastAsia="宋体" w:cs="宋体"/>
          <w:color w:val="000000" w:themeColor="text1"/>
          <w:sz w:val="24"/>
          <w:szCs w:val="21"/>
          <w14:textFill>
            <w14:solidFill>
              <w14:schemeClr w14:val="tx1"/>
            </w14:solidFill>
          </w14:textFill>
        </w:rPr>
        <w:t>的扣除，用扣除后的价格参加评审。</w:t>
      </w:r>
    </w:p>
    <w:p w14:paraId="01440054">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在货物采购项目中，货物由中小企业制造，即货物由中小企业生产且使用该中小企业商号或者注册商标。</w:t>
      </w:r>
    </w:p>
    <w:p w14:paraId="21E58E9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号）。</w:t>
      </w:r>
    </w:p>
    <w:p w14:paraId="7260BCA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33FA6717">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4588EF53">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15EDB73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3、政府采购节能产品、环境标志产品</w:t>
      </w:r>
    </w:p>
    <w:p w14:paraId="14FA3460">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A4C3562">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（2）招标人拟采购的产品属于政府强制采购的节能产品品目清单范围的，投标人须提供国家确定的认证机构出具的、处于有效期之内的节能产品认证证书的，否则无效标处理。</w:t>
      </w:r>
    </w:p>
    <w:p w14:paraId="47071D69">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4、商品包装、快递包装政府采购需求标准（试行）</w:t>
      </w:r>
    </w:p>
    <w:p w14:paraId="3C51B348">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78FC23FB">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5、绿色数据中心政府采购需求标准（试行）</w:t>
      </w:r>
    </w:p>
    <w:p w14:paraId="27683016">
      <w:pPr>
        <w:spacing w:line="440"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为加快数据中心绿色转型，根据财政部生态环境部工业和信息化部关于印发《绿色数据中心政府采购需求标准（试行）》的通知），本项目如涉及绿色数据中心，具体需求详见第四章采购需求。</w:t>
      </w:r>
    </w:p>
    <w:p w14:paraId="0F583F78">
      <w:pPr>
        <w:rPr>
          <w:rFonts w:ascii="宋体" w:hAnsi="宋体" w:eastAsia="宋体" w:cs="宋体"/>
          <w:color w:val="000000" w:themeColor="text1"/>
          <w:sz w:val="44"/>
          <w:szCs w:val="44"/>
          <w14:textFill>
            <w14:solidFill>
              <w14:schemeClr w14:val="tx1"/>
            </w14:solidFill>
          </w14:textFill>
        </w:rPr>
        <w:sectPr>
          <w:footerReference r:id="rId8" w:type="first"/>
          <w:headerReference r:id="rId6" w:type="default"/>
          <w:footerReference r:id="rId7" w:type="default"/>
          <w:pgSz w:w="11906" w:h="16838"/>
          <w:pgMar w:top="1418" w:right="1588" w:bottom="1418" w:left="1365" w:header="851" w:footer="907" w:gutter="0"/>
          <w:cols w:space="720" w:num="1"/>
          <w:titlePg/>
          <w:docGrid w:linePitch="360" w:charSpace="0"/>
        </w:sectPr>
      </w:pPr>
    </w:p>
    <w:p w14:paraId="40DBBE95">
      <w:pPr>
        <w:keepNext/>
        <w:jc w:val="center"/>
        <w:outlineLvl w:val="0"/>
        <w:rPr>
          <w:rFonts w:hint="eastAsia" w:ascii="宋体" w:hAnsi="宋体" w:eastAsia="宋体" w:cs="宋体"/>
          <w:b/>
          <w:color w:val="000000" w:themeColor="text1"/>
          <w:sz w:val="44"/>
          <w:szCs w:val="28"/>
          <w14:textFill>
            <w14:solidFill>
              <w14:schemeClr w14:val="tx1"/>
            </w14:solidFill>
          </w14:textFill>
        </w:rPr>
      </w:pPr>
      <w:bookmarkStart w:id="159" w:name="_Toc8770"/>
    </w:p>
    <w:p w14:paraId="78A47CDC">
      <w:pPr>
        <w:keepNext/>
        <w:jc w:val="center"/>
        <w:outlineLvl w:val="0"/>
        <w:rPr>
          <w:rFonts w:ascii="宋体" w:hAnsi="宋体" w:eastAsia="宋体" w:cs="宋体"/>
          <w:b/>
          <w:color w:val="000000" w:themeColor="text1"/>
          <w:sz w:val="44"/>
          <w:szCs w:val="28"/>
          <w14:textFill>
            <w14:solidFill>
              <w14:schemeClr w14:val="tx1"/>
            </w14:solidFill>
          </w14:textFill>
        </w:rPr>
      </w:pPr>
      <w:r>
        <w:rPr>
          <w:rFonts w:hint="eastAsia" w:ascii="宋体" w:hAnsi="宋体" w:eastAsia="宋体" w:cs="宋体"/>
          <w:b/>
          <w:color w:val="000000" w:themeColor="text1"/>
          <w:sz w:val="44"/>
          <w:szCs w:val="28"/>
          <w14:textFill>
            <w14:solidFill>
              <w14:schemeClr w14:val="tx1"/>
            </w14:solidFill>
          </w14:textFill>
        </w:rPr>
        <w:t>第六章 投标</w:t>
      </w:r>
      <w:bookmarkEnd w:id="151"/>
      <w:bookmarkEnd w:id="152"/>
      <w:bookmarkEnd w:id="156"/>
      <w:r>
        <w:rPr>
          <w:rFonts w:hint="eastAsia" w:ascii="宋体" w:hAnsi="宋体" w:eastAsia="宋体" w:cs="宋体"/>
          <w:b/>
          <w:color w:val="000000" w:themeColor="text1"/>
          <w:sz w:val="44"/>
          <w:szCs w:val="28"/>
          <w14:textFill>
            <w14:solidFill>
              <w14:schemeClr w14:val="tx1"/>
            </w14:solidFill>
          </w14:textFill>
        </w:rPr>
        <w:t>文件格式</w:t>
      </w:r>
      <w:bookmarkEnd w:id="159"/>
    </w:p>
    <w:p w14:paraId="730F6D71">
      <w:pPr>
        <w:jc w:val="center"/>
        <w:rPr>
          <w:rFonts w:ascii="宋体" w:hAnsi="宋体" w:eastAsia="宋体" w:cs="宋体"/>
          <w:bCs/>
          <w:color w:val="000000" w:themeColor="text1"/>
          <w:sz w:val="48"/>
          <w:szCs w:val="15"/>
          <w14:textFill>
            <w14:solidFill>
              <w14:schemeClr w14:val="tx1"/>
            </w14:solidFill>
          </w14:textFill>
        </w:rPr>
      </w:pPr>
      <w:bookmarkStart w:id="160" w:name="_Hlt26671244"/>
      <w:bookmarkEnd w:id="160"/>
      <w:bookmarkStart w:id="161" w:name="_Hlt26955039"/>
      <w:bookmarkEnd w:id="161"/>
      <w:bookmarkStart w:id="162" w:name="_Toc120614282"/>
      <w:bookmarkStart w:id="163" w:name="_Toc26554094"/>
      <w:bookmarkStart w:id="164" w:name="_Toc49090576"/>
    </w:p>
    <w:p w14:paraId="7EB0947F">
      <w:pPr>
        <w:jc w:val="center"/>
        <w:rPr>
          <w:rFonts w:ascii="宋体" w:hAnsi="宋体" w:eastAsia="宋体" w:cs="宋体"/>
          <w:b/>
          <w:color w:val="000000" w:themeColor="text1"/>
          <w:sz w:val="72"/>
          <w:szCs w:val="21"/>
          <w14:textFill>
            <w14:solidFill>
              <w14:schemeClr w14:val="tx1"/>
            </w14:solidFill>
          </w14:textFill>
        </w:rPr>
      </w:pPr>
    </w:p>
    <w:p w14:paraId="4903B430">
      <w:pPr>
        <w:jc w:val="center"/>
        <w:rPr>
          <w:rFonts w:ascii="宋体" w:hAnsi="宋体" w:eastAsia="宋体" w:cs="宋体"/>
          <w:b/>
          <w:color w:val="000000" w:themeColor="text1"/>
          <w:sz w:val="72"/>
          <w:szCs w:val="21"/>
          <w14:textFill>
            <w14:solidFill>
              <w14:schemeClr w14:val="tx1"/>
            </w14:solidFill>
          </w14:textFill>
        </w:rPr>
      </w:pPr>
    </w:p>
    <w:p w14:paraId="091D2858">
      <w:pPr>
        <w:jc w:val="center"/>
        <w:rPr>
          <w:rFonts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投标文件</w:t>
      </w:r>
    </w:p>
    <w:p w14:paraId="5441AE62">
      <w:pPr>
        <w:rPr>
          <w:rFonts w:ascii="宋体" w:hAnsi="宋体" w:eastAsia="宋体" w:cs="宋体"/>
          <w:b/>
          <w:color w:val="000000" w:themeColor="text1"/>
          <w:sz w:val="72"/>
          <w:szCs w:val="21"/>
          <w14:textFill>
            <w14:solidFill>
              <w14:schemeClr w14:val="tx1"/>
            </w14:solidFill>
          </w14:textFill>
        </w:rPr>
      </w:pPr>
    </w:p>
    <w:p w14:paraId="6EEFFD9F">
      <w:pPr>
        <w:jc w:val="center"/>
        <w:rPr>
          <w:rFonts w:ascii="宋体" w:hAnsi="宋体" w:eastAsia="宋体" w:cs="宋体"/>
          <w:b/>
          <w:color w:val="000000" w:themeColor="text1"/>
          <w:sz w:val="72"/>
          <w:szCs w:val="21"/>
          <w14:textFill>
            <w14:solidFill>
              <w14:schemeClr w14:val="tx1"/>
            </w14:solidFill>
          </w14:textFill>
        </w:rPr>
      </w:pPr>
    </w:p>
    <w:p w14:paraId="2104DB3D">
      <w:pPr>
        <w:jc w:val="center"/>
        <w:rPr>
          <w:rFonts w:ascii="宋体" w:hAnsi="宋体" w:eastAsia="宋体" w:cs="宋体"/>
          <w:b/>
          <w:color w:val="000000" w:themeColor="text1"/>
          <w:sz w:val="36"/>
          <w:szCs w:val="21"/>
          <w14:textFill>
            <w14:solidFill>
              <w14:schemeClr w14:val="tx1"/>
            </w14:solidFill>
          </w14:textFill>
        </w:rPr>
      </w:pPr>
    </w:p>
    <w:p w14:paraId="20D9A0D4">
      <w:pPr>
        <w:jc w:val="center"/>
        <w:rPr>
          <w:rFonts w:ascii="宋体" w:hAnsi="宋体" w:eastAsia="宋体" w:cs="宋体"/>
          <w:b/>
          <w:color w:val="000000" w:themeColor="text1"/>
          <w:sz w:val="36"/>
          <w:szCs w:val="21"/>
          <w14:textFill>
            <w14:solidFill>
              <w14:schemeClr w14:val="tx1"/>
            </w14:solidFill>
          </w14:textFill>
        </w:rPr>
      </w:pPr>
    </w:p>
    <w:p w14:paraId="1E37F46B">
      <w:pPr>
        <w:jc w:val="center"/>
        <w:rPr>
          <w:rFonts w:ascii="宋体" w:hAnsi="宋体" w:eastAsia="宋体" w:cs="宋体"/>
          <w:b/>
          <w:color w:val="000000" w:themeColor="text1"/>
          <w:sz w:val="36"/>
          <w:szCs w:val="21"/>
          <w14:textFill>
            <w14:solidFill>
              <w14:schemeClr w14:val="tx1"/>
            </w14:solidFill>
          </w14:textFill>
        </w:rPr>
      </w:pPr>
    </w:p>
    <w:p w14:paraId="015A42C6">
      <w:pPr>
        <w:ind w:firstLine="1084"/>
        <w:rPr>
          <w:rFonts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项目名称：</w:t>
      </w:r>
    </w:p>
    <w:p w14:paraId="192FDDBB">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项目编号：</w:t>
      </w:r>
    </w:p>
    <w:p w14:paraId="535963B2">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投标人名称：</w:t>
      </w:r>
      <w:r>
        <w:rPr>
          <w:rFonts w:hint="eastAsia" w:ascii="宋体" w:hAnsi="宋体" w:eastAsia="宋体" w:cs="宋体"/>
          <w:b/>
          <w:color w:val="000000" w:themeColor="text1"/>
          <w:sz w:val="36"/>
          <w:szCs w:val="21"/>
          <w:u w:val="single"/>
          <w14:textFill>
            <w14:solidFill>
              <w14:schemeClr w14:val="tx1"/>
            </w14:solidFill>
          </w14:textFill>
        </w:rPr>
        <w:t>（加盖CA电子公章）</w:t>
      </w:r>
    </w:p>
    <w:p w14:paraId="63FCBBF8">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日期：</w:t>
      </w:r>
      <w:r>
        <w:rPr>
          <w:rFonts w:hint="eastAsia" w:ascii="宋体" w:hAnsi="宋体" w:eastAsia="宋体" w:cs="宋体"/>
          <w:b/>
          <w:color w:val="000000" w:themeColor="text1"/>
          <w:sz w:val="36"/>
          <w:szCs w:val="21"/>
          <w:u w:val="single"/>
          <w14:textFill>
            <w14:solidFill>
              <w14:schemeClr w14:val="tx1"/>
            </w14:solidFill>
          </w14:textFill>
        </w:rPr>
        <w:t xml:space="preserve">                       </w:t>
      </w:r>
    </w:p>
    <w:p w14:paraId="759FB862">
      <w:pPr>
        <w:spacing w:line="440" w:lineRule="exact"/>
        <w:jc w:val="center"/>
        <w:rPr>
          <w:rFonts w:ascii="宋体" w:hAnsi="宋体" w:eastAsia="宋体" w:cs="宋体"/>
          <w:b/>
          <w:bCs/>
          <w:color w:val="000000" w:themeColor="text1"/>
          <w:sz w:val="32"/>
          <w:szCs w:val="32"/>
          <w14:textFill>
            <w14:solidFill>
              <w14:schemeClr w14:val="tx1"/>
            </w14:solidFill>
          </w14:textFill>
        </w:rPr>
      </w:pPr>
    </w:p>
    <w:p w14:paraId="1863D423">
      <w:pPr>
        <w:spacing w:line="440" w:lineRule="exact"/>
        <w:rPr>
          <w:rFonts w:ascii="宋体" w:hAnsi="宋体" w:eastAsia="宋体" w:cs="宋体"/>
          <w:color w:val="000000" w:themeColor="text1"/>
          <w:szCs w:val="21"/>
          <w14:textFill>
            <w14:solidFill>
              <w14:schemeClr w14:val="tx1"/>
            </w14:solidFill>
          </w14:textFill>
        </w:rPr>
      </w:pPr>
    </w:p>
    <w:p w14:paraId="7AE9C7BC">
      <w:pPr>
        <w:ind w:firstLine="1084"/>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21"/>
          <w:u w:val="single"/>
          <w14:textFill>
            <w14:solidFill>
              <w14:schemeClr w14:val="tx1"/>
            </w14:solidFill>
          </w14:textFill>
        </w:rPr>
        <w:br w:type="page" w:clear="all"/>
      </w:r>
    </w:p>
    <w:p w14:paraId="206018A4">
      <w:pPr>
        <w:spacing w:line="44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投标文件目录</w:t>
      </w:r>
    </w:p>
    <w:p w14:paraId="08F864E4">
      <w:pPr>
        <w:spacing w:line="440" w:lineRule="exact"/>
        <w:jc w:val="center"/>
        <w:rPr>
          <w:rFonts w:ascii="宋体" w:hAnsi="宋体" w:eastAsia="宋体" w:cs="宋体"/>
          <w:b/>
          <w:bCs/>
          <w:color w:val="000000" w:themeColor="text1"/>
          <w:sz w:val="32"/>
          <w:szCs w:val="32"/>
          <w14:textFill>
            <w14:solidFill>
              <w14:schemeClr w14:val="tx1"/>
            </w14:solidFill>
          </w14:textFill>
        </w:rPr>
      </w:pPr>
    </w:p>
    <w:p w14:paraId="21304D5E">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投标声明及承诺函</w:t>
      </w:r>
    </w:p>
    <w:p w14:paraId="6267EB02">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投标人基本信息</w:t>
      </w:r>
    </w:p>
    <w:p w14:paraId="51069F2B">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法人授权书</w:t>
      </w:r>
    </w:p>
    <w:p w14:paraId="5BFF3593">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开标一览表</w:t>
      </w:r>
    </w:p>
    <w:p w14:paraId="77FB6A4E">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中小（微）企业声明函</w:t>
      </w:r>
    </w:p>
    <w:p w14:paraId="4EBAD751">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技术要求响应及偏离表</w:t>
      </w:r>
    </w:p>
    <w:p w14:paraId="20FCAE5D">
      <w:pPr>
        <w:numPr>
          <w:ilvl w:val="0"/>
          <w:numId w:val="5"/>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项目组人员</w:t>
      </w:r>
    </w:p>
    <w:p w14:paraId="15A18BEC">
      <w:pPr>
        <w:numPr>
          <w:ilvl w:val="0"/>
          <w:numId w:val="5"/>
        </w:numPr>
        <w:spacing w:line="44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企业业绩</w:t>
      </w:r>
    </w:p>
    <w:p w14:paraId="2D85655D">
      <w:pPr>
        <w:numPr>
          <w:ilvl w:val="0"/>
          <w:numId w:val="5"/>
        </w:numPr>
        <w:spacing w:line="44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关于符合本国产品标准的声明函</w:t>
      </w:r>
    </w:p>
    <w:p w14:paraId="3190B83C">
      <w:pPr>
        <w:numPr>
          <w:ilvl w:val="0"/>
          <w:numId w:val="5"/>
        </w:numPr>
        <w:spacing w:line="44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投标所需其他材料</w:t>
      </w:r>
    </w:p>
    <w:p w14:paraId="77127568">
      <w:pPr>
        <w:spacing w:before="120" w:after="120" w:line="400" w:lineRule="exact"/>
        <w:jc w:val="left"/>
        <w:rPr>
          <w:rFonts w:ascii="宋体" w:hAnsi="宋体" w:eastAsia="宋体" w:cs="宋体"/>
          <w:color w:val="000000" w:themeColor="text1"/>
          <w:sz w:val="24"/>
          <w14:textFill>
            <w14:solidFill>
              <w14:schemeClr w14:val="tx1"/>
            </w14:solidFill>
          </w14:textFill>
        </w:rPr>
      </w:pPr>
    </w:p>
    <w:p w14:paraId="272A3E42">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5B6E30EC">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2D567A92">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1E4D3036">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325801D3">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54AA36EF">
      <w:pPr>
        <w:rPr>
          <w:rFonts w:ascii="宋体" w:hAnsi="宋体" w:eastAsia="宋体" w:cs="宋体"/>
          <w:color w:val="000000" w:themeColor="text1"/>
          <w:sz w:val="24"/>
          <w14:textFill>
            <w14:solidFill>
              <w14:schemeClr w14:val="tx1"/>
            </w14:solidFill>
          </w14:textFill>
        </w:rPr>
      </w:pPr>
      <w:bookmarkStart w:id="165" w:name="_Toc23838"/>
    </w:p>
    <w:p w14:paraId="2FE5B5D5">
      <w:pPr>
        <w:rPr>
          <w:rFonts w:ascii="宋体" w:hAnsi="宋体" w:eastAsia="宋体" w:cs="宋体"/>
          <w:color w:val="000000" w:themeColor="text1"/>
          <w:sz w:val="24"/>
          <w14:textFill>
            <w14:solidFill>
              <w14:schemeClr w14:val="tx1"/>
            </w14:solidFill>
          </w14:textFill>
        </w:rPr>
      </w:pPr>
    </w:p>
    <w:bookmarkEnd w:id="162"/>
    <w:bookmarkEnd w:id="163"/>
    <w:bookmarkEnd w:id="164"/>
    <w:bookmarkEnd w:id="165"/>
    <w:p w14:paraId="12783722">
      <w:pPr>
        <w:rPr>
          <w:rFonts w:ascii="宋体" w:hAnsi="宋体" w:eastAsia="宋体" w:cs="宋体"/>
          <w:color w:val="000000" w:themeColor="text1"/>
          <w:sz w:val="24"/>
          <w14:textFill>
            <w14:solidFill>
              <w14:schemeClr w14:val="tx1"/>
            </w14:solidFill>
          </w14:textFill>
        </w:rPr>
      </w:pPr>
    </w:p>
    <w:p w14:paraId="74BC1707">
      <w:pPr>
        <w:rPr>
          <w:rFonts w:ascii="宋体" w:hAnsi="宋体" w:eastAsia="宋体" w:cs="宋体"/>
          <w:color w:val="000000" w:themeColor="text1"/>
          <w:sz w:val="24"/>
          <w14:textFill>
            <w14:solidFill>
              <w14:schemeClr w14:val="tx1"/>
            </w14:solidFill>
          </w14:textFill>
        </w:rPr>
      </w:pPr>
    </w:p>
    <w:p w14:paraId="04E1DD35">
      <w:pPr>
        <w:rPr>
          <w:rFonts w:ascii="宋体" w:hAnsi="宋体" w:eastAsia="宋体" w:cs="宋体"/>
          <w:b/>
          <w:color w:val="000000" w:themeColor="text1"/>
          <w:sz w:val="32"/>
          <w:szCs w:val="32"/>
          <w14:textFill>
            <w14:solidFill>
              <w14:schemeClr w14:val="tx1"/>
            </w14:solidFill>
          </w14:textFill>
        </w:rPr>
      </w:pPr>
      <w:bookmarkStart w:id="166" w:name="_Toc120614284"/>
    </w:p>
    <w:p w14:paraId="4E3A6BCD">
      <w:pPr>
        <w:rPr>
          <w:rFonts w:ascii="宋体" w:hAnsi="宋体" w:eastAsia="宋体" w:cs="宋体"/>
          <w:b/>
          <w:color w:val="000000" w:themeColor="text1"/>
          <w:sz w:val="32"/>
          <w:szCs w:val="32"/>
          <w14:textFill>
            <w14:solidFill>
              <w14:schemeClr w14:val="tx1"/>
            </w14:solidFill>
          </w14:textFill>
        </w:rPr>
      </w:pPr>
    </w:p>
    <w:p w14:paraId="597621AC">
      <w:pPr>
        <w:rPr>
          <w:rFonts w:ascii="宋体" w:hAnsi="宋体" w:eastAsia="宋体" w:cs="宋体"/>
          <w:b/>
          <w:bCs/>
          <w:color w:val="000000" w:themeColor="text1"/>
          <w:sz w:val="32"/>
          <w:szCs w:val="32"/>
          <w14:textFill>
            <w14:solidFill>
              <w14:schemeClr w14:val="tx1"/>
            </w14:solidFill>
          </w14:textFill>
        </w:rPr>
      </w:pPr>
    </w:p>
    <w:p w14:paraId="0611B2C7">
      <w:pPr>
        <w:rPr>
          <w:rFonts w:ascii="宋体" w:hAnsi="宋体" w:eastAsia="宋体" w:cs="宋体"/>
          <w:b/>
          <w:bCs/>
          <w:color w:val="000000" w:themeColor="text1"/>
          <w:sz w:val="32"/>
          <w:szCs w:val="32"/>
          <w14:textFill>
            <w14:solidFill>
              <w14:schemeClr w14:val="tx1"/>
            </w14:solidFill>
          </w14:textFill>
        </w:rPr>
      </w:pPr>
    </w:p>
    <w:p w14:paraId="51002068">
      <w:pPr>
        <w:rPr>
          <w:rFonts w:ascii="宋体" w:hAnsi="宋体" w:eastAsia="宋体" w:cs="宋体"/>
          <w:b/>
          <w:bCs/>
          <w:color w:val="000000" w:themeColor="text1"/>
          <w:sz w:val="32"/>
          <w:szCs w:val="32"/>
          <w14:textFill>
            <w14:solidFill>
              <w14:schemeClr w14:val="tx1"/>
            </w14:solidFill>
          </w14:textFill>
        </w:rPr>
      </w:pPr>
    </w:p>
    <w:p w14:paraId="65FFEC57">
      <w:pPr>
        <w:rPr>
          <w:rFonts w:ascii="宋体" w:hAnsi="宋体" w:eastAsia="宋体" w:cs="宋体"/>
          <w:b/>
          <w:bCs/>
          <w:color w:val="000000" w:themeColor="text1"/>
          <w:sz w:val="32"/>
          <w:szCs w:val="32"/>
          <w14:textFill>
            <w14:solidFill>
              <w14:schemeClr w14:val="tx1"/>
            </w14:solidFill>
          </w14:textFill>
        </w:rPr>
      </w:pPr>
    </w:p>
    <w:p w14:paraId="1296FFD6">
      <w:pPr>
        <w:rPr>
          <w:rFonts w:ascii="宋体" w:hAnsi="宋体" w:eastAsia="宋体" w:cs="宋体"/>
          <w:b/>
          <w:bCs/>
          <w:color w:val="000000" w:themeColor="text1"/>
          <w:sz w:val="32"/>
          <w:szCs w:val="32"/>
          <w14:textFill>
            <w14:solidFill>
              <w14:schemeClr w14:val="tx1"/>
            </w14:solidFill>
          </w14:textFill>
        </w:rPr>
      </w:pPr>
    </w:p>
    <w:p w14:paraId="4A703383">
      <w:pPr>
        <w:rPr>
          <w:rFonts w:ascii="宋体" w:hAnsi="宋体" w:eastAsia="宋体" w:cs="宋体"/>
          <w:b/>
          <w:bCs/>
          <w:color w:val="000000" w:themeColor="text1"/>
          <w:sz w:val="32"/>
          <w:szCs w:val="32"/>
          <w14:textFill>
            <w14:solidFill>
              <w14:schemeClr w14:val="tx1"/>
            </w14:solidFill>
          </w14:textFill>
        </w:rPr>
      </w:pPr>
    </w:p>
    <w:p w14:paraId="710B98EB">
      <w:pPr>
        <w:rPr>
          <w:rFonts w:ascii="宋体" w:hAnsi="宋体" w:eastAsia="宋体" w:cs="宋体"/>
          <w:b/>
          <w:color w:val="000000" w:themeColor="text1"/>
          <w:sz w:val="32"/>
          <w:szCs w:val="32"/>
          <w14:textFill>
            <w14:solidFill>
              <w14:schemeClr w14:val="tx1"/>
            </w14:solidFill>
          </w14:textFill>
        </w:rPr>
      </w:pPr>
    </w:p>
    <w:p w14:paraId="64C4E2D2">
      <w:pPr>
        <w:rPr>
          <w:rFonts w:ascii="宋体" w:hAnsi="宋体" w:eastAsia="宋体" w:cs="宋体"/>
          <w:b/>
          <w:color w:val="000000" w:themeColor="text1"/>
          <w:sz w:val="32"/>
          <w:szCs w:val="32"/>
          <w14:textFill>
            <w14:solidFill>
              <w14:schemeClr w14:val="tx1"/>
            </w14:solidFill>
          </w14:textFill>
        </w:rPr>
      </w:pPr>
    </w:p>
    <w:p w14:paraId="5F5DCAA3">
      <w:pPr>
        <w:rPr>
          <w:rFonts w:ascii="宋体" w:hAnsi="宋体" w:eastAsia="宋体" w:cs="宋体"/>
          <w:b/>
          <w:color w:val="000000" w:themeColor="text1"/>
          <w:sz w:val="32"/>
          <w:szCs w:val="32"/>
          <w14:textFill>
            <w14:solidFill>
              <w14:schemeClr w14:val="tx1"/>
            </w14:solidFill>
          </w14:textFill>
        </w:rPr>
      </w:pPr>
    </w:p>
    <w:p w14:paraId="7E0CB198">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一、投标声明及承诺函</w:t>
      </w:r>
    </w:p>
    <w:p w14:paraId="36C57023">
      <w:pPr>
        <w:spacing w:line="500" w:lineRule="exact"/>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（采购单位名称）：</w:t>
      </w:r>
    </w:p>
    <w:p w14:paraId="2084728E">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根据已收到的项目编号为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项目招标文件，我方在参加本项目招投标活动中，特作出如下承诺：</w:t>
      </w:r>
    </w:p>
    <w:p w14:paraId="412AF505">
      <w:pPr>
        <w:spacing w:line="500" w:lineRule="exact"/>
        <w:ind w:firstLine="480"/>
        <w:jc w:val="lef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一、我方</w:t>
      </w:r>
      <w:r>
        <w:rPr>
          <w:rFonts w:hint="eastAsia" w:ascii="宋体" w:hAnsi="宋体" w:eastAsia="宋体" w:cs="宋体"/>
          <w:color w:val="000000" w:themeColor="text1"/>
          <w:sz w:val="24"/>
          <w:szCs w:val="22"/>
          <w14:textFill>
            <w14:solidFill>
              <w14:schemeClr w14:val="tx1"/>
            </w14:solidFill>
          </w14:textFill>
        </w:rPr>
        <w:t>具备《中华人民共和国政府采购法》第二十二条第一款规定的6项条件；</w:t>
      </w:r>
    </w:p>
    <w:p w14:paraId="530A74A8">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二、我方在参加政府采购活动前三年内（自本项目开标时间之日起计算），在经营活动中没有重大违法记录（指因违法经营受到刑事处罚或者责令停产停业、吊销许可证或者执照、较大数额罚款等行政处罚）。</w:t>
      </w:r>
    </w:p>
    <w:p w14:paraId="424D7C3D">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三、我方按招标文件要求提交投标文件，响应招标文件规定的投标有效期；</w:t>
      </w:r>
    </w:p>
    <w:p w14:paraId="5ECF0F9B">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四、如果我方的投标文件被接受，我方将按照《中华人民共和国民法典（第三编合同）》及其他有关法律、法规的规定，按期、按质、按量交付采购单位，全面做到履约守信；</w:t>
      </w:r>
    </w:p>
    <w:p w14:paraId="5D7B7907">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五、我方若违背本声明及承诺约定，经查实，自愿接受招标人及相关主管部门相应的规定处理，并依法承担相应的法律责任。</w:t>
      </w:r>
    </w:p>
    <w:p w14:paraId="00952550">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六、我方同意招标人、采购代理机构将本声明及承诺函上网公开。</w:t>
      </w:r>
    </w:p>
    <w:p w14:paraId="240A321C">
      <w:pPr>
        <w:spacing w:line="500" w:lineRule="exact"/>
        <w:ind w:firstLine="480"/>
        <w:jc w:val="left"/>
        <w:rPr>
          <w:rFonts w:ascii="宋体" w:hAnsi="宋体" w:eastAsia="宋体" w:cs="宋体"/>
          <w:color w:val="000000" w:themeColor="text1"/>
          <w:sz w:val="24"/>
          <w14:textFill>
            <w14:solidFill>
              <w14:schemeClr w14:val="tx1"/>
            </w14:solidFill>
          </w14:textFill>
        </w:rPr>
      </w:pPr>
    </w:p>
    <w:p w14:paraId="6E7781CC">
      <w:pPr>
        <w:spacing w:line="500" w:lineRule="exact"/>
        <w:jc w:val="left"/>
        <w:rPr>
          <w:rFonts w:ascii="宋体" w:hAnsi="宋体" w:eastAsia="宋体" w:cs="宋体"/>
          <w:color w:val="000000" w:themeColor="text1"/>
          <w:sz w:val="24"/>
          <w14:textFill>
            <w14:solidFill>
              <w14:schemeClr w14:val="tx1"/>
            </w14:solidFill>
          </w14:textFill>
        </w:rPr>
      </w:pPr>
    </w:p>
    <w:p w14:paraId="59D3F289">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投标人名称：（加盖CA电子公章）</w:t>
      </w:r>
    </w:p>
    <w:p w14:paraId="71CE4593">
      <w:pPr>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75E22F1D">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二、投标人基本情况</w:t>
      </w:r>
    </w:p>
    <w:p w14:paraId="1E6D2A6D">
      <w:pPr>
        <w:jc w:val="center"/>
        <w:rPr>
          <w:rFonts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投标人基本情况表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358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7273172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投标人名称</w:t>
            </w:r>
          </w:p>
        </w:tc>
        <w:tc>
          <w:tcPr>
            <w:tcW w:w="6998" w:type="dxa"/>
            <w:gridSpan w:val="3"/>
            <w:noWrap w:val="0"/>
            <w:vAlign w:val="center"/>
          </w:tcPr>
          <w:p w14:paraId="70E6EC34">
            <w:pPr>
              <w:spacing w:line="600" w:lineRule="exact"/>
              <w:jc w:val="center"/>
              <w:rPr>
                <w:rFonts w:ascii="宋体" w:hAnsi="宋体" w:eastAsia="宋体" w:cs="宋体"/>
                <w:color w:val="000000" w:themeColor="text1"/>
                <w:sz w:val="24"/>
                <w14:textFill>
                  <w14:solidFill>
                    <w14:schemeClr w14:val="tx1"/>
                  </w14:solidFill>
                </w14:textFill>
              </w:rPr>
            </w:pPr>
          </w:p>
        </w:tc>
      </w:tr>
      <w:tr w14:paraId="7D32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1F25F68">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w:t>
            </w:r>
          </w:p>
        </w:tc>
        <w:tc>
          <w:tcPr>
            <w:tcW w:w="3118" w:type="dxa"/>
            <w:noWrap w:val="0"/>
            <w:vAlign w:val="center"/>
          </w:tcPr>
          <w:p w14:paraId="5A58ECC5">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7800FA2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注册地区</w:t>
            </w:r>
          </w:p>
        </w:tc>
        <w:tc>
          <w:tcPr>
            <w:tcW w:w="2604" w:type="dxa"/>
            <w:noWrap w:val="0"/>
            <w:vAlign w:val="center"/>
          </w:tcPr>
          <w:p w14:paraId="11E1C568">
            <w:pPr>
              <w:spacing w:line="600" w:lineRule="exact"/>
              <w:jc w:val="center"/>
              <w:rPr>
                <w:rFonts w:ascii="宋体" w:hAnsi="宋体" w:eastAsia="宋体" w:cs="宋体"/>
                <w:color w:val="000000" w:themeColor="text1"/>
                <w:sz w:val="24"/>
                <w14:textFill>
                  <w14:solidFill>
                    <w14:schemeClr w14:val="tx1"/>
                  </w14:solidFill>
                </w14:textFill>
              </w:rPr>
            </w:pPr>
          </w:p>
        </w:tc>
      </w:tr>
      <w:tr w14:paraId="23E9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23C6F1B">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p>
        </w:tc>
        <w:tc>
          <w:tcPr>
            <w:tcW w:w="3118" w:type="dxa"/>
            <w:noWrap w:val="0"/>
            <w:vAlign w:val="center"/>
          </w:tcPr>
          <w:p w14:paraId="2FE7DD2E">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5B64338E">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2604" w:type="dxa"/>
            <w:noWrap w:val="0"/>
            <w:vAlign w:val="center"/>
          </w:tcPr>
          <w:p w14:paraId="36A66296">
            <w:pPr>
              <w:spacing w:line="600" w:lineRule="exact"/>
              <w:jc w:val="center"/>
              <w:rPr>
                <w:rFonts w:ascii="宋体" w:hAnsi="宋体" w:eastAsia="宋体" w:cs="宋体"/>
                <w:color w:val="000000" w:themeColor="text1"/>
                <w:sz w:val="24"/>
                <w14:textFill>
                  <w14:solidFill>
                    <w14:schemeClr w14:val="tx1"/>
                  </w14:solidFill>
                </w14:textFill>
              </w:rPr>
            </w:pPr>
          </w:p>
        </w:tc>
      </w:tr>
      <w:tr w14:paraId="5C47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AC1182B">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成立时间</w:t>
            </w:r>
          </w:p>
        </w:tc>
        <w:tc>
          <w:tcPr>
            <w:tcW w:w="3118" w:type="dxa"/>
            <w:noWrap w:val="0"/>
            <w:vAlign w:val="center"/>
          </w:tcPr>
          <w:p w14:paraId="04A3D880">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66B52A97">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单位性质</w:t>
            </w:r>
          </w:p>
        </w:tc>
        <w:tc>
          <w:tcPr>
            <w:tcW w:w="2604" w:type="dxa"/>
            <w:noWrap w:val="0"/>
            <w:vAlign w:val="center"/>
          </w:tcPr>
          <w:p w14:paraId="3F865C92">
            <w:pPr>
              <w:spacing w:line="600" w:lineRule="exact"/>
              <w:jc w:val="center"/>
              <w:rPr>
                <w:rFonts w:ascii="宋体" w:hAnsi="宋体" w:eastAsia="宋体" w:cs="宋体"/>
                <w:color w:val="000000" w:themeColor="text1"/>
                <w:sz w:val="24"/>
                <w14:textFill>
                  <w14:solidFill>
                    <w14:schemeClr w14:val="tx1"/>
                  </w14:solidFill>
                </w14:textFill>
              </w:rPr>
            </w:pPr>
          </w:p>
        </w:tc>
      </w:tr>
      <w:tr w14:paraId="78F7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FEAC2E3">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注册号或社会信用代码</w:t>
            </w:r>
          </w:p>
        </w:tc>
        <w:tc>
          <w:tcPr>
            <w:tcW w:w="3118" w:type="dxa"/>
            <w:noWrap w:val="0"/>
            <w:vAlign w:val="center"/>
          </w:tcPr>
          <w:p w14:paraId="41CE566D">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12349870">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注册资本（万元）</w:t>
            </w:r>
          </w:p>
        </w:tc>
        <w:tc>
          <w:tcPr>
            <w:tcW w:w="2604" w:type="dxa"/>
            <w:noWrap w:val="0"/>
            <w:vAlign w:val="center"/>
          </w:tcPr>
          <w:p w14:paraId="7EC9A8C2">
            <w:pPr>
              <w:spacing w:line="600" w:lineRule="exact"/>
              <w:jc w:val="center"/>
              <w:rPr>
                <w:rFonts w:ascii="宋体" w:hAnsi="宋体" w:eastAsia="宋体" w:cs="宋体"/>
                <w:color w:val="000000" w:themeColor="text1"/>
                <w:sz w:val="24"/>
                <w14:textFill>
                  <w14:solidFill>
                    <w14:schemeClr w14:val="tx1"/>
                  </w14:solidFill>
                </w14:textFill>
              </w:rPr>
            </w:pPr>
          </w:p>
        </w:tc>
      </w:tr>
      <w:tr w14:paraId="12E1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8A8C8B6">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投标人类别</w:t>
            </w:r>
          </w:p>
        </w:tc>
        <w:tc>
          <w:tcPr>
            <w:tcW w:w="6998" w:type="dxa"/>
            <w:gridSpan w:val="3"/>
            <w:noWrap w:val="0"/>
            <w:vAlign w:val="center"/>
          </w:tcPr>
          <w:p w14:paraId="4B19B842">
            <w:pPr>
              <w:spacing w:line="600" w:lineRule="exact"/>
              <w:jc w:val="center"/>
              <w:rPr>
                <w:rFonts w:ascii="宋体" w:hAnsi="宋体" w:eastAsia="宋体" w:cs="宋体"/>
                <w:color w:val="000000" w:themeColor="text1"/>
                <w:sz w:val="24"/>
                <w14:textFill>
                  <w14:solidFill>
                    <w14:schemeClr w14:val="tx1"/>
                  </w14:solidFill>
                </w14:textFill>
              </w:rPr>
            </w:pPr>
          </w:p>
        </w:tc>
      </w:tr>
      <w:tr w14:paraId="2A47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1A35C8F">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开户银行</w:t>
            </w:r>
          </w:p>
        </w:tc>
        <w:tc>
          <w:tcPr>
            <w:tcW w:w="3118" w:type="dxa"/>
            <w:noWrap w:val="0"/>
            <w:vAlign w:val="center"/>
          </w:tcPr>
          <w:p w14:paraId="4F0E198A">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0A0853F6">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账号</w:t>
            </w:r>
          </w:p>
        </w:tc>
        <w:tc>
          <w:tcPr>
            <w:tcW w:w="2604" w:type="dxa"/>
            <w:noWrap w:val="0"/>
            <w:vAlign w:val="center"/>
          </w:tcPr>
          <w:p w14:paraId="66AE7592">
            <w:pPr>
              <w:spacing w:line="600" w:lineRule="exact"/>
              <w:jc w:val="center"/>
              <w:rPr>
                <w:rFonts w:ascii="宋体" w:hAnsi="宋体" w:eastAsia="宋体" w:cs="宋体"/>
                <w:color w:val="000000" w:themeColor="text1"/>
                <w:sz w:val="24"/>
                <w14:textFill>
                  <w14:solidFill>
                    <w14:schemeClr w14:val="tx1"/>
                  </w14:solidFill>
                </w14:textFill>
              </w:rPr>
            </w:pPr>
          </w:p>
        </w:tc>
      </w:tr>
      <w:tr w14:paraId="1EBF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6745D3F">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w:t>
            </w:r>
          </w:p>
        </w:tc>
        <w:tc>
          <w:tcPr>
            <w:tcW w:w="3118" w:type="dxa"/>
            <w:noWrap w:val="0"/>
            <w:vAlign w:val="center"/>
          </w:tcPr>
          <w:p w14:paraId="61F7F9C4">
            <w:pPr>
              <w:spacing w:line="600" w:lineRule="exact"/>
              <w:jc w:val="center"/>
              <w:rPr>
                <w:rFonts w:ascii="宋体" w:hAnsi="宋体" w:eastAsia="宋体" w:cs="宋体"/>
                <w:color w:val="000000" w:themeColor="text1"/>
                <w:sz w:val="24"/>
                <w14:textFill>
                  <w14:solidFill>
                    <w14:schemeClr w14:val="tx1"/>
                  </w14:solidFill>
                </w14:textFill>
              </w:rPr>
            </w:pPr>
          </w:p>
        </w:tc>
        <w:tc>
          <w:tcPr>
            <w:tcW w:w="1276" w:type="dxa"/>
            <w:noWrap w:val="0"/>
            <w:vAlign w:val="center"/>
          </w:tcPr>
          <w:p w14:paraId="0D94A6A0">
            <w:pPr>
              <w:spacing w:line="6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p>
        </w:tc>
        <w:tc>
          <w:tcPr>
            <w:tcW w:w="2604" w:type="dxa"/>
            <w:noWrap w:val="0"/>
            <w:vAlign w:val="center"/>
          </w:tcPr>
          <w:p w14:paraId="30B5D848">
            <w:pPr>
              <w:spacing w:line="600" w:lineRule="exact"/>
              <w:jc w:val="center"/>
              <w:rPr>
                <w:rFonts w:ascii="宋体" w:hAnsi="宋体" w:eastAsia="宋体" w:cs="宋体"/>
                <w:color w:val="000000" w:themeColor="text1"/>
                <w:sz w:val="24"/>
                <w14:textFill>
                  <w14:solidFill>
                    <w14:schemeClr w14:val="tx1"/>
                  </w14:solidFill>
                </w14:textFill>
              </w:rPr>
            </w:pPr>
          </w:p>
        </w:tc>
      </w:tr>
      <w:tr w14:paraId="010C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7652CF8E">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经营范围</w:t>
            </w:r>
          </w:p>
        </w:tc>
        <w:tc>
          <w:tcPr>
            <w:tcW w:w="6998" w:type="dxa"/>
            <w:gridSpan w:val="3"/>
            <w:noWrap w:val="0"/>
          </w:tcPr>
          <w:p w14:paraId="7CC683CA">
            <w:pPr>
              <w:spacing w:line="560" w:lineRule="exact"/>
              <w:ind w:firstLine="1432"/>
              <w:rPr>
                <w:rFonts w:ascii="宋体" w:hAnsi="宋体" w:eastAsia="宋体" w:cs="宋体"/>
                <w:color w:val="000000" w:themeColor="text1"/>
                <w:sz w:val="24"/>
                <w14:textFill>
                  <w14:solidFill>
                    <w14:schemeClr w14:val="tx1"/>
                  </w14:solidFill>
                </w14:textFill>
              </w:rPr>
            </w:pPr>
          </w:p>
        </w:tc>
      </w:tr>
      <w:tr w14:paraId="4F39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71A80020">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备注</w:t>
            </w:r>
          </w:p>
        </w:tc>
        <w:tc>
          <w:tcPr>
            <w:tcW w:w="6998" w:type="dxa"/>
            <w:gridSpan w:val="3"/>
            <w:noWrap w:val="0"/>
            <w:vAlign w:val="center"/>
          </w:tcPr>
          <w:p w14:paraId="333C3FD1">
            <w:pPr>
              <w:spacing w:line="500" w:lineRule="exact"/>
              <w:jc w:val="center"/>
              <w:rPr>
                <w:rFonts w:ascii="宋体" w:hAnsi="宋体" w:eastAsia="宋体" w:cs="宋体"/>
                <w:color w:val="000000" w:themeColor="text1"/>
                <w:sz w:val="24"/>
                <w14:textFill>
                  <w14:solidFill>
                    <w14:schemeClr w14:val="tx1"/>
                  </w14:solidFill>
                </w14:textFill>
              </w:rPr>
            </w:pPr>
          </w:p>
          <w:p w14:paraId="0A5B1E7A">
            <w:pPr>
              <w:spacing w:line="50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需提供营业执照等证明材料</w:t>
            </w:r>
          </w:p>
        </w:tc>
      </w:tr>
    </w:tbl>
    <w:p w14:paraId="797369D0">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000075D3">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44F316B4">
      <w:pPr>
        <w:spacing w:line="440" w:lineRule="exact"/>
        <w:ind w:firstLine="480"/>
        <w:rPr>
          <w:rFonts w:ascii="宋体" w:hAnsi="宋体" w:eastAsia="宋体" w:cs="宋体"/>
          <w:color w:val="000000" w:themeColor="text1"/>
          <w:sz w:val="24"/>
          <w:szCs w:val="21"/>
          <w14:textFill>
            <w14:solidFill>
              <w14:schemeClr w14:val="tx1"/>
            </w14:solidFill>
          </w14:textFill>
        </w:rPr>
      </w:pPr>
    </w:p>
    <w:p w14:paraId="3FA608ED">
      <w:pPr>
        <w:rPr>
          <w:rFonts w:ascii="宋体" w:hAnsi="宋体" w:eastAsia="宋体" w:cs="宋体"/>
          <w:i/>
          <w:color w:val="000000" w:themeColor="text1"/>
          <w:sz w:val="32"/>
          <w:szCs w:val="32"/>
          <w:u w:val="single"/>
          <w14:textFill>
            <w14:solidFill>
              <w14:schemeClr w14:val="tx1"/>
            </w14:solidFill>
          </w14:textFill>
        </w:rPr>
      </w:pPr>
    </w:p>
    <w:p w14:paraId="13897403">
      <w:pPr>
        <w:jc w:val="center"/>
        <w:rPr>
          <w:rFonts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p>
    <w:p w14:paraId="1F3D7BF1">
      <w:pPr>
        <w:spacing w:line="360" w:lineRule="auto"/>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三、法人授权书</w:t>
      </w:r>
    </w:p>
    <w:p w14:paraId="19F02747">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本授权书声明：____________（投标人名称）授权________________（被授权人的姓名）为我方就</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号</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项目</w:t>
      </w:r>
      <w:r>
        <w:rPr>
          <w:rFonts w:hint="eastAsia" w:ascii="宋体" w:hAnsi="宋体" w:eastAsia="宋体" w:cs="宋体"/>
          <w:color w:val="000000" w:themeColor="text1"/>
          <w:sz w:val="24"/>
          <w14:textFill>
            <w14:solidFill>
              <w14:schemeClr w14:val="tx1"/>
            </w14:solidFill>
          </w14:textFill>
        </w:rPr>
        <w:t>采购活动的合法代理人，以本单位名义全权处理一切与该</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项目</w:t>
      </w:r>
      <w:r>
        <w:rPr>
          <w:rFonts w:hint="eastAsia" w:ascii="宋体" w:hAnsi="宋体" w:eastAsia="宋体" w:cs="宋体"/>
          <w:color w:val="000000" w:themeColor="text1"/>
          <w:sz w:val="24"/>
          <w14:textFill>
            <w14:solidFill>
              <w14:schemeClr w14:val="tx1"/>
            </w14:solidFill>
          </w14:textFill>
        </w:rPr>
        <w:t>_采购有关的事务。</w:t>
      </w:r>
    </w:p>
    <w:p w14:paraId="0339FBA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本授权书于______年____月____日起生效，特此声明。</w:t>
      </w:r>
    </w:p>
    <w:p w14:paraId="09FEF46B">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被授权人身份证号码：</w:t>
      </w:r>
    </w:p>
    <w:p w14:paraId="78FB8696">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被授权人联系电话：（手机）</w:t>
      </w:r>
    </w:p>
    <w:p w14:paraId="73825F4C">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授权单位名称：</w:t>
      </w:r>
      <w:r>
        <w:rPr>
          <w:rFonts w:hint="eastAsia" w:ascii="宋体" w:hAnsi="宋体" w:eastAsia="宋体" w:cs="宋体"/>
          <w:color w:val="000000" w:themeColor="text1"/>
          <w:sz w:val="24"/>
          <w:u w:val="single"/>
          <w14:textFill>
            <w14:solidFill>
              <w14:schemeClr w14:val="tx1"/>
            </w14:solidFill>
          </w14:textFill>
        </w:rPr>
        <w:t>（加盖CA电子公章）</w:t>
      </w:r>
    </w:p>
    <w:p w14:paraId="4367FD21">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u w:val="single"/>
          <w14:textFill>
            <w14:solidFill>
              <w14:schemeClr w14:val="tx1"/>
            </w14:solidFill>
          </w14:textFill>
        </w:rPr>
        <w:t xml:space="preserve">           </w:t>
      </w:r>
    </w:p>
    <w:p w14:paraId="29D9E4CB">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被授权代理人（签字或盖章）：</w:t>
      </w:r>
      <w:r>
        <w:rPr>
          <w:rFonts w:hint="eastAsia" w:ascii="宋体" w:hAnsi="宋体" w:eastAsia="宋体" w:cs="宋体"/>
          <w:color w:val="000000" w:themeColor="text1"/>
          <w:sz w:val="24"/>
          <w:u w:val="single"/>
          <w14:textFill>
            <w14:solidFill>
              <w14:schemeClr w14:val="tx1"/>
            </w14:solidFill>
          </w14:textFill>
        </w:rPr>
        <w:t xml:space="preserve">           </w:t>
      </w:r>
    </w:p>
    <w:p w14:paraId="6C25D24D">
      <w:pPr>
        <w:spacing w:line="360" w:lineRule="auto"/>
        <w:ind w:firstLine="480"/>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单位地址：</w:t>
      </w:r>
    </w:p>
    <w:p w14:paraId="3DEE4A3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bookmarkStart w:id="167" w:name="_Hlt26955070"/>
      <w:bookmarkEnd w:id="167"/>
      <w:bookmarkStart w:id="168" w:name="_Hlt26671380"/>
      <w:bookmarkEnd w:id="168"/>
      <w:bookmarkStart w:id="169" w:name="_格式3__银行出具的资信证明"/>
      <w:bookmarkEnd w:id="169"/>
    </w:p>
    <w:p w14:paraId="4568FD82">
      <w:pPr>
        <w:spacing w:line="360" w:lineRule="auto"/>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四、开标一览表</w:t>
      </w:r>
    </w:p>
    <w:p w14:paraId="2D82C009">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投标人全称（加盖CA电子签章）：</w:t>
      </w:r>
    </w:p>
    <w:p w14:paraId="648ABAC3">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lang w:eastAsia="zh-CN"/>
          <w14:textFill>
            <w14:solidFill>
              <w14:schemeClr w14:val="tx1"/>
            </w14:solidFill>
          </w14:textFill>
        </w:rPr>
        <w:t>项目</w:t>
      </w:r>
    </w:p>
    <w:p w14:paraId="588049A2">
      <w:pPr>
        <w:spacing w:line="360" w:lineRule="auto"/>
        <w:ind w:firstLine="48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招标编号：</w:t>
      </w:r>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14:paraId="525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trPr>
        <w:tc>
          <w:tcPr>
            <w:tcW w:w="8860" w:type="dxa"/>
            <w:noWrap w:val="0"/>
            <w:vAlign w:val="center"/>
          </w:tcPr>
          <w:p w14:paraId="67D5947D">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投标总报价</w:t>
            </w:r>
          </w:p>
        </w:tc>
      </w:tr>
      <w:tr w14:paraId="5991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7B5A317D">
            <w:pPr>
              <w:spacing w:line="500" w:lineRule="exact"/>
              <w:jc w:val="lef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小写：</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（人民币：元）</w:t>
            </w:r>
          </w:p>
        </w:tc>
      </w:tr>
      <w:tr w14:paraId="5FC8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6D2B0A81">
            <w:pPr>
              <w:spacing w:line="500" w:lineRule="exact"/>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合同履行期限：</w:t>
            </w:r>
          </w:p>
        </w:tc>
      </w:tr>
      <w:tr w14:paraId="4D6A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51DE537F">
            <w:pPr>
              <w:spacing w:line="500" w:lineRule="exact"/>
              <w:jc w:val="lef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质保期：</w:t>
            </w:r>
          </w:p>
        </w:tc>
      </w:tr>
    </w:tbl>
    <w:p w14:paraId="56C5356E">
      <w:pPr>
        <w:rPr>
          <w:rFonts w:ascii="宋体" w:hAnsi="宋体" w:eastAsia="宋体" w:cs="宋体"/>
          <w:color w:val="000000" w:themeColor="text1"/>
          <w:sz w:val="24"/>
          <w14:textFill>
            <w14:solidFill>
              <w14:schemeClr w14:val="tx1"/>
            </w14:solidFill>
          </w14:textFill>
        </w:rPr>
      </w:pPr>
    </w:p>
    <w:p w14:paraId="3227C3AA">
      <w:pPr>
        <w:ind w:firstLine="480"/>
        <w:jc w:val="righ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66B43CCD">
      <w:pPr>
        <w:ind w:firstLine="480"/>
        <w:rPr>
          <w:rFonts w:ascii="宋体" w:hAnsi="宋体" w:eastAsia="宋体" w:cs="宋体"/>
          <w:color w:val="000000" w:themeColor="text1"/>
          <w:sz w:val="24"/>
          <w14:textFill>
            <w14:solidFill>
              <w14:schemeClr w14:val="tx1"/>
            </w14:solidFill>
          </w14:textFill>
        </w:rPr>
      </w:pPr>
    </w:p>
    <w:p w14:paraId="7ACCF194">
      <w:pPr>
        <w:jc w:val="center"/>
        <w:rPr>
          <w:rFonts w:ascii="宋体" w:hAnsi="宋体" w:eastAsia="宋体" w:cs="宋体"/>
          <w:b/>
          <w:bCs/>
          <w:color w:val="000000" w:themeColor="text1"/>
          <w:sz w:val="32"/>
          <w:szCs w:val="32"/>
          <w14:textFill>
            <w14:solidFill>
              <w14:schemeClr w14:val="tx1"/>
            </w14:solidFill>
          </w14:textFill>
        </w:rPr>
      </w:pPr>
    </w:p>
    <w:p w14:paraId="3C47045A">
      <w:pPr>
        <w:spacing w:line="420" w:lineRule="exact"/>
        <w:ind w:left="420" w:firstLine="480"/>
        <w:jc w:val="left"/>
        <w:rPr>
          <w:rFonts w:ascii="宋体" w:hAnsi="宋体" w:eastAsia="宋体" w:cs="宋体"/>
          <w:color w:val="000000" w:themeColor="text1"/>
          <w:sz w:val="24"/>
          <w:szCs w:val="21"/>
          <w14:textFill>
            <w14:solidFill>
              <w14:schemeClr w14:val="tx1"/>
            </w14:solidFill>
          </w14:textFill>
        </w:rPr>
      </w:pPr>
    </w:p>
    <w:p w14:paraId="7DCC2964">
      <w:pPr>
        <w:jc w:val="center"/>
        <w:rPr>
          <w:rFonts w:ascii="宋体" w:hAnsi="宋体" w:eastAsia="宋体" w:cs="宋体"/>
          <w:bCs/>
          <w:color w:val="000000" w:themeColor="text1"/>
          <w:sz w:val="24"/>
          <w:szCs w:val="21"/>
          <w14:textFill>
            <w14:solidFill>
              <w14:schemeClr w14:val="tx1"/>
            </w14:solidFill>
          </w14:textFill>
        </w:rPr>
      </w:pPr>
    </w:p>
    <w:p w14:paraId="3587188B">
      <w:pPr>
        <w:jc w:val="center"/>
        <w:rPr>
          <w:rFonts w:ascii="宋体" w:hAnsi="宋体" w:eastAsia="宋体" w:cs="宋体"/>
          <w:bCs/>
          <w:color w:val="000000" w:themeColor="text1"/>
          <w:sz w:val="24"/>
          <w:szCs w:val="21"/>
          <w14:textFill>
            <w14:solidFill>
              <w14:schemeClr w14:val="tx1"/>
            </w14:solidFill>
          </w14:textFill>
        </w:rPr>
      </w:pPr>
    </w:p>
    <w:p w14:paraId="0BAD7C4F">
      <w:pPr>
        <w:jc w:val="center"/>
        <w:rPr>
          <w:rFonts w:ascii="宋体" w:hAnsi="宋体" w:eastAsia="宋体" w:cs="宋体"/>
          <w:bCs/>
          <w:color w:val="000000" w:themeColor="text1"/>
          <w:sz w:val="24"/>
          <w:szCs w:val="21"/>
          <w14:textFill>
            <w14:solidFill>
              <w14:schemeClr w14:val="tx1"/>
            </w14:solidFill>
          </w14:textFill>
        </w:rPr>
      </w:pPr>
    </w:p>
    <w:p w14:paraId="3A81C253">
      <w:pPr>
        <w:jc w:val="center"/>
        <w:rPr>
          <w:rFonts w:ascii="宋体" w:hAnsi="宋体" w:eastAsia="宋体" w:cs="宋体"/>
          <w:bCs/>
          <w:color w:val="000000" w:themeColor="text1"/>
          <w:sz w:val="24"/>
          <w:szCs w:val="21"/>
          <w14:textFill>
            <w14:solidFill>
              <w14:schemeClr w14:val="tx1"/>
            </w14:solidFill>
          </w14:textFill>
        </w:rPr>
      </w:pPr>
    </w:p>
    <w:p w14:paraId="3A632DDD">
      <w:pPr>
        <w:jc w:val="center"/>
        <w:rPr>
          <w:rFonts w:ascii="宋体" w:hAnsi="宋体" w:eastAsia="宋体" w:cs="宋体"/>
          <w:bCs/>
          <w:color w:val="000000" w:themeColor="text1"/>
          <w:sz w:val="24"/>
          <w:szCs w:val="21"/>
          <w14:textFill>
            <w14:solidFill>
              <w14:schemeClr w14:val="tx1"/>
            </w14:solidFill>
          </w14:textFill>
        </w:rPr>
      </w:pPr>
    </w:p>
    <w:p w14:paraId="031D0333">
      <w:pPr>
        <w:jc w:val="center"/>
        <w:rPr>
          <w:rFonts w:ascii="宋体" w:hAnsi="宋体" w:eastAsia="宋体" w:cs="宋体"/>
          <w:bCs/>
          <w:color w:val="000000" w:themeColor="text1"/>
          <w:sz w:val="24"/>
          <w:szCs w:val="21"/>
          <w14:textFill>
            <w14:solidFill>
              <w14:schemeClr w14:val="tx1"/>
            </w14:solidFill>
          </w14:textFill>
        </w:rPr>
      </w:pPr>
    </w:p>
    <w:p w14:paraId="251DA763">
      <w:pPr>
        <w:rPr>
          <w:rFonts w:ascii="宋体" w:hAnsi="宋体" w:eastAsia="宋体" w:cs="宋体"/>
          <w:b/>
          <w:color w:val="000000" w:themeColor="text1"/>
          <w:sz w:val="32"/>
          <w:szCs w:val="32"/>
          <w14:textFill>
            <w14:solidFill>
              <w14:schemeClr w14:val="tx1"/>
            </w14:solidFill>
          </w14:textFill>
        </w:rPr>
      </w:pPr>
    </w:p>
    <w:p w14:paraId="5FA8B158">
      <w:pPr>
        <w:rPr>
          <w:rFonts w:ascii="宋体" w:hAnsi="宋体" w:eastAsia="宋体" w:cs="宋体"/>
          <w:b/>
          <w:color w:val="000000" w:themeColor="text1"/>
          <w:sz w:val="32"/>
          <w:szCs w:val="32"/>
          <w14:textFill>
            <w14:solidFill>
              <w14:schemeClr w14:val="tx1"/>
            </w14:solidFill>
          </w14:textFill>
        </w:rPr>
      </w:pPr>
    </w:p>
    <w:p w14:paraId="3BF2B355">
      <w:pPr>
        <w:rPr>
          <w:rFonts w:ascii="宋体" w:hAnsi="宋体" w:eastAsia="宋体" w:cs="宋体"/>
          <w:b/>
          <w:color w:val="000000" w:themeColor="text1"/>
          <w:sz w:val="32"/>
          <w:szCs w:val="32"/>
          <w14:textFill>
            <w14:solidFill>
              <w14:schemeClr w14:val="tx1"/>
            </w14:solidFill>
          </w14:textFill>
        </w:rPr>
      </w:pPr>
    </w:p>
    <w:p w14:paraId="0A52C011">
      <w:pPr>
        <w:rPr>
          <w:rFonts w:ascii="宋体" w:hAnsi="宋体" w:eastAsia="宋体" w:cs="宋体"/>
          <w:b/>
          <w:color w:val="000000" w:themeColor="text1"/>
          <w:sz w:val="32"/>
          <w:szCs w:val="32"/>
          <w14:textFill>
            <w14:solidFill>
              <w14:schemeClr w14:val="tx1"/>
            </w14:solidFill>
          </w14:textFill>
        </w:rPr>
      </w:pPr>
    </w:p>
    <w:p w14:paraId="5DFF9BC6">
      <w:pPr>
        <w:rPr>
          <w:rFonts w:ascii="宋体" w:hAnsi="宋体" w:eastAsia="宋体" w:cs="宋体"/>
          <w:b/>
          <w:color w:val="000000" w:themeColor="text1"/>
          <w:sz w:val="32"/>
          <w:szCs w:val="32"/>
          <w14:textFill>
            <w14:solidFill>
              <w14:schemeClr w14:val="tx1"/>
            </w14:solidFill>
          </w14:textFill>
        </w:rPr>
      </w:pPr>
    </w:p>
    <w:p w14:paraId="0F261C07">
      <w:pP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p>
    <w:p w14:paraId="59A7C660">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t>五</w:t>
      </w:r>
      <w:r>
        <w:rPr>
          <w:rFonts w:hint="eastAsia" w:ascii="宋体" w:hAnsi="宋体" w:eastAsia="宋体" w:cs="宋体"/>
          <w:b/>
          <w:color w:val="000000" w:themeColor="text1"/>
          <w:sz w:val="32"/>
          <w:szCs w:val="32"/>
          <w14:textFill>
            <w14:solidFill>
              <w14:schemeClr w14:val="tx1"/>
            </w14:solidFill>
          </w14:textFill>
        </w:rPr>
        <w:t>、中小（微）企业声明函（货物）</w:t>
      </w:r>
    </w:p>
    <w:p w14:paraId="034308DB">
      <w:pPr>
        <w:jc w:val="center"/>
        <w:rPr>
          <w:rFonts w:ascii="宋体" w:hAnsi="宋体" w:eastAsia="宋体" w:cs="宋体"/>
          <w:b/>
          <w:color w:val="000000" w:themeColor="text1"/>
          <w:sz w:val="36"/>
          <w:szCs w:val="36"/>
          <w14:textFill>
            <w14:solidFill>
              <w14:schemeClr w14:val="tx1"/>
            </w14:solidFill>
          </w14:textFill>
        </w:rPr>
      </w:pPr>
    </w:p>
    <w:p w14:paraId="544CD735">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中小（微）企业声明函（货物）</w:t>
      </w:r>
    </w:p>
    <w:p w14:paraId="74A81EC3">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w:t>
      </w:r>
      <w:r>
        <w:rPr>
          <w:rFonts w:hint="eastAsia" w:ascii="宋体" w:hAnsi="宋体" w:eastAsia="宋体" w:cs="宋体"/>
          <w:color w:val="000000" w:themeColor="text1"/>
          <w:sz w:val="24"/>
          <w:u w:val="single"/>
          <w:lang w:val="en-US" w:eastAsia="zh-CN"/>
          <w14:textFill>
            <w14:solidFill>
              <w14:schemeClr w14:val="tx1"/>
            </w14:solidFill>
          </w14:textFill>
        </w:rPr>
        <w:t xml:space="preserve">          项目</w:t>
      </w:r>
      <w:r>
        <w:rPr>
          <w:rFonts w:hint="eastAsia" w:ascii="宋体" w:hAnsi="宋体" w:eastAsia="宋体" w:cs="宋体"/>
          <w:color w:val="000000" w:themeColor="text1"/>
          <w:sz w:val="24"/>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5AAE6A0">
      <w:pPr>
        <w:spacing w:line="500" w:lineRule="exact"/>
        <w:ind w:firstLine="480"/>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eastAsia="宋体" w:cs="宋体"/>
          <w:color w:val="000000" w:themeColor="text1"/>
          <w:sz w:val="24"/>
          <w:u w:val="single"/>
          <w14:textFill>
            <w14:solidFill>
              <w14:schemeClr w14:val="tx1"/>
            </w14:solidFill>
          </w14:textFill>
        </w:rPr>
        <w:t>标的名称</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宋体"/>
          <w:i/>
          <w:color w:val="000000" w:themeColor="text1"/>
          <w:sz w:val="24"/>
          <w:u w:val="single"/>
          <w14:textFill>
            <w14:solidFill>
              <w14:schemeClr w14:val="tx1"/>
            </w14:solidFill>
          </w14:textFill>
        </w:rPr>
        <w:t>采购文件中明确的所属行业）</w:t>
      </w:r>
      <w:r>
        <w:rPr>
          <w:rFonts w:hint="eastAsia" w:ascii="宋体" w:hAnsi="宋体" w:eastAsia="宋体" w:cs="宋体"/>
          <w:color w:val="000000" w:themeColor="text1"/>
          <w:sz w:val="24"/>
          <w:u w:val="single"/>
          <w14:textFill>
            <w14:solidFill>
              <w14:schemeClr w14:val="tx1"/>
            </w14:solidFill>
          </w14:textFill>
        </w:rPr>
        <w:t>行业</w:t>
      </w:r>
      <w:r>
        <w:rPr>
          <w:rFonts w:hint="eastAsia" w:ascii="宋体" w:hAnsi="宋体" w:eastAsia="宋体" w:cs="宋体"/>
          <w:color w:val="000000" w:themeColor="text1"/>
          <w:sz w:val="24"/>
          <w14:textFill>
            <w14:solidFill>
              <w14:schemeClr w14:val="tx1"/>
            </w14:solidFill>
          </w14:textFill>
        </w:rPr>
        <w:t>；制造商为</w:t>
      </w:r>
      <w:r>
        <w:rPr>
          <w:rFonts w:hint="eastAsia" w:ascii="宋体" w:hAnsi="宋体" w:eastAsia="宋体" w:cs="宋体"/>
          <w:color w:val="000000" w:themeColor="text1"/>
          <w:sz w:val="24"/>
          <w:u w:val="single"/>
          <w14:textFill>
            <w14:solidFill>
              <w14:schemeClr w14:val="tx1"/>
            </w14:solidFill>
          </w14:textFill>
        </w:rPr>
        <w:t>（企业名称）</w:t>
      </w:r>
      <w:r>
        <w:rPr>
          <w:rFonts w:hint="eastAsia" w:ascii="宋体" w:hAnsi="宋体" w:eastAsia="宋体" w:cs="宋体"/>
          <w:color w:val="000000" w:themeColor="text1"/>
          <w:sz w:val="24"/>
          <w14:textFill>
            <w14:solidFill>
              <w14:schemeClr w14:val="tx1"/>
            </w14:solidFill>
          </w14:textFill>
        </w:rPr>
        <w:t>，从业人员人，营业收入为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w:t>
      </w:r>
      <w:r>
        <w:rPr>
          <w:rFonts w:hint="eastAsia" w:ascii="宋体" w:hAnsi="宋体" w:eastAsia="宋体" w:cs="宋体"/>
          <w:color w:val="000000" w:themeColor="text1"/>
          <w:sz w:val="24"/>
          <w:vertAlign w:val="superscript"/>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u w:val="single"/>
          <w14:textFill>
            <w14:solidFill>
              <w14:schemeClr w14:val="tx1"/>
            </w14:solidFill>
          </w14:textFill>
        </w:rPr>
        <w:t>；</w:t>
      </w:r>
    </w:p>
    <w:p w14:paraId="280DB49B">
      <w:pPr>
        <w:spacing w:line="500" w:lineRule="exact"/>
        <w:ind w:firstLine="480"/>
        <w:jc w:val="lef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eastAsia="宋体" w:cs="宋体"/>
          <w:color w:val="000000" w:themeColor="text1"/>
          <w:sz w:val="24"/>
          <w:u w:val="single"/>
          <w14:textFill>
            <w14:solidFill>
              <w14:schemeClr w14:val="tx1"/>
            </w14:solidFill>
          </w14:textFill>
        </w:rPr>
        <w:t>标的名称</w:t>
      </w:r>
      <w:r>
        <w:rPr>
          <w:rFonts w:hint="eastAsia" w:ascii="宋体" w:hAnsi="宋体" w:eastAsia="宋体" w:cs="宋体"/>
          <w:color w:val="000000" w:themeColor="text1"/>
          <w:sz w:val="24"/>
          <w14:textFill>
            <w14:solidFill>
              <w14:schemeClr w14:val="tx1"/>
            </w14:solidFill>
          </w14:textFill>
        </w:rPr>
        <w:t>，属于（</w:t>
      </w:r>
      <w:r>
        <w:rPr>
          <w:rFonts w:hint="eastAsia" w:ascii="宋体" w:hAnsi="宋体" w:eastAsia="宋体" w:cs="宋体"/>
          <w:i/>
          <w:color w:val="000000" w:themeColor="text1"/>
          <w:sz w:val="24"/>
          <w:u w:val="single"/>
          <w14:textFill>
            <w14:solidFill>
              <w14:schemeClr w14:val="tx1"/>
            </w14:solidFill>
          </w14:textFill>
        </w:rPr>
        <w:t>采购文件中明确的所属行业）</w:t>
      </w:r>
      <w:r>
        <w:rPr>
          <w:rFonts w:hint="eastAsia" w:ascii="宋体" w:hAnsi="宋体" w:eastAsia="宋体" w:cs="宋体"/>
          <w:color w:val="000000" w:themeColor="text1"/>
          <w:sz w:val="24"/>
          <w:u w:val="single"/>
          <w14:textFill>
            <w14:solidFill>
              <w14:schemeClr w14:val="tx1"/>
            </w14:solidFill>
          </w14:textFill>
        </w:rPr>
        <w:t>行业</w:t>
      </w:r>
      <w:r>
        <w:rPr>
          <w:rFonts w:hint="eastAsia" w:ascii="宋体" w:hAnsi="宋体" w:eastAsia="宋体" w:cs="宋体"/>
          <w:color w:val="000000" w:themeColor="text1"/>
          <w:sz w:val="24"/>
          <w14:textFill>
            <w14:solidFill>
              <w14:schemeClr w14:val="tx1"/>
            </w14:solidFill>
          </w14:textFill>
        </w:rPr>
        <w:t>；制造商为</w:t>
      </w:r>
      <w:r>
        <w:rPr>
          <w:rFonts w:hint="eastAsia" w:ascii="宋体" w:hAnsi="宋体" w:eastAsia="宋体" w:cs="宋体"/>
          <w:color w:val="000000" w:themeColor="text1"/>
          <w:sz w:val="24"/>
          <w:u w:val="single"/>
          <w14:textFill>
            <w14:solidFill>
              <w14:schemeClr w14:val="tx1"/>
            </w14:solidFill>
          </w14:textFill>
        </w:rPr>
        <w:t>（企业名称）</w:t>
      </w:r>
      <w:r>
        <w:rPr>
          <w:rFonts w:hint="eastAsia" w:ascii="宋体" w:hAnsi="宋体" w:eastAsia="宋体" w:cs="宋体"/>
          <w:color w:val="000000" w:themeColor="text1"/>
          <w:sz w:val="24"/>
          <w14:textFill>
            <w14:solidFill>
              <w14:schemeClr w14:val="tx1"/>
            </w14:solidFill>
          </w14:textFill>
        </w:rPr>
        <w:t>，从业人员人，营业收入为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万元，属于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u w:val="single"/>
          <w14:textFill>
            <w14:solidFill>
              <w14:schemeClr w14:val="tx1"/>
            </w14:solidFill>
          </w14:textFill>
        </w:rPr>
        <w:t>；</w:t>
      </w:r>
    </w:p>
    <w:p w14:paraId="26DD2C1E">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453A827C">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以上企业，不属于大企业的分支机构，不存在控股股东为大企业的情形，也不存在与大企业的负责人为同一人的情形。</w:t>
      </w:r>
    </w:p>
    <w:p w14:paraId="3C7C5A10">
      <w:pPr>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本企业对上述声明内容的真实性负责。如有虚假，将依法承担相应责任。</w:t>
      </w:r>
    </w:p>
    <w:p w14:paraId="68F71FE7">
      <w:pPr>
        <w:spacing w:line="360" w:lineRule="auto"/>
        <w:ind w:right="720"/>
        <w:rPr>
          <w:rFonts w:ascii="宋体" w:hAnsi="宋体" w:eastAsia="宋体" w:cs="宋体"/>
          <w:color w:val="000000" w:themeColor="text1"/>
          <w:sz w:val="24"/>
          <w14:textFill>
            <w14:solidFill>
              <w14:schemeClr w14:val="tx1"/>
            </w14:solidFill>
          </w14:textFill>
        </w:rPr>
      </w:pPr>
    </w:p>
    <w:p w14:paraId="2AB5C62B">
      <w:pPr>
        <w:spacing w:line="360" w:lineRule="auto"/>
        <w:ind w:right="180" w:firstLine="360"/>
        <w:jc w:val="righ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企业名称：（加盖CA电子公章）</w:t>
      </w:r>
    </w:p>
    <w:p w14:paraId="7882907D">
      <w:pPr>
        <w:spacing w:line="360" w:lineRule="auto"/>
        <w:ind w:firstLine="576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日期：___年___月___日</w:t>
      </w:r>
    </w:p>
    <w:p w14:paraId="19A7C7CA">
      <w:pPr>
        <w:spacing w:line="560" w:lineRule="exact"/>
        <w:ind w:firstLine="360"/>
        <w:rPr>
          <w:rFonts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vertAlign w:val="superscript"/>
          <w14:textFill>
            <w14:solidFill>
              <w14:schemeClr w14:val="tx1"/>
            </w14:solidFill>
          </w14:textFill>
        </w:rPr>
        <w:t>1</w:t>
      </w:r>
      <w:r>
        <w:rPr>
          <w:rFonts w:hint="eastAsia" w:ascii="宋体" w:hAnsi="宋体" w:eastAsia="宋体" w:cs="宋体"/>
          <w:color w:val="000000" w:themeColor="text1"/>
          <w:sz w:val="18"/>
          <w:szCs w:val="18"/>
          <w14:textFill>
            <w14:solidFill>
              <w14:schemeClr w14:val="tx1"/>
            </w14:solidFill>
          </w14:textFill>
        </w:rPr>
        <w:t>从业人员、营业收入、资产总额填报上一年数据，无上一年数据的新成立企业可不填报。</w:t>
      </w:r>
    </w:p>
    <w:p w14:paraId="0F061737">
      <w:pPr>
        <w:spacing w:line="460" w:lineRule="exact"/>
        <w:rPr>
          <w:rFonts w:ascii="宋体" w:hAnsi="宋体" w:eastAsia="宋体" w:cs="宋体"/>
          <w:i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p>
    <w:p w14:paraId="2A3650A3">
      <w:pPr>
        <w:spacing w:before="151" w:after="151" w:line="60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残疾人福利性单位声明函</w:t>
      </w:r>
    </w:p>
    <w:p w14:paraId="56192014">
      <w:pPr>
        <w:spacing w:line="588" w:lineRule="exact"/>
        <w:rPr>
          <w:rFonts w:ascii="宋体" w:hAnsi="宋体" w:eastAsia="宋体" w:cs="宋体"/>
          <w:b/>
          <w:color w:val="000000" w:themeColor="text1"/>
          <w:spacing w:val="6"/>
          <w:sz w:val="30"/>
          <w:szCs w:val="30"/>
          <w14:textFill>
            <w14:solidFill>
              <w14:schemeClr w14:val="tx1"/>
            </w14:solidFill>
          </w14:textFill>
        </w:rPr>
      </w:pPr>
    </w:p>
    <w:p w14:paraId="30EAF6B7">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项目采购活动由本单位提供货物。</w:t>
      </w:r>
    </w:p>
    <w:p w14:paraId="4CD42588">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本单位对上述声明的真实性负责。如有虚假，将依法承担相应责任。</w:t>
      </w:r>
    </w:p>
    <w:p w14:paraId="24FF51C4">
      <w:pPr>
        <w:spacing w:line="588" w:lineRule="exact"/>
        <w:ind w:firstLine="480"/>
        <w:rPr>
          <w:rFonts w:ascii="宋体" w:hAnsi="宋体" w:eastAsia="宋体" w:cs="宋体"/>
          <w:color w:val="000000" w:themeColor="text1"/>
          <w:sz w:val="24"/>
          <w:szCs w:val="21"/>
          <w14:textFill>
            <w14:solidFill>
              <w14:schemeClr w14:val="tx1"/>
            </w14:solidFill>
          </w14:textFill>
        </w:rPr>
      </w:pPr>
    </w:p>
    <w:p w14:paraId="09A8D746">
      <w:pPr>
        <w:spacing w:line="588" w:lineRule="exact"/>
        <w:ind w:firstLine="480"/>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（备注：1、投标人如不提供此声明函，价格将不做相应扣除。2、成交投标人为残疾人福利单位的，此声明函将随成交结果同时公告，接受社会监督）</w:t>
      </w:r>
    </w:p>
    <w:p w14:paraId="05280E03">
      <w:pPr>
        <w:spacing w:line="588" w:lineRule="exact"/>
        <w:ind w:firstLine="624"/>
        <w:rPr>
          <w:rFonts w:ascii="宋体" w:hAnsi="宋体" w:eastAsia="宋体" w:cs="宋体"/>
          <w:color w:val="000000" w:themeColor="text1"/>
          <w:spacing w:val="6"/>
          <w:sz w:val="30"/>
          <w:szCs w:val="30"/>
          <w14:textFill>
            <w14:solidFill>
              <w14:schemeClr w14:val="tx1"/>
            </w14:solidFill>
          </w14:textFill>
        </w:rPr>
      </w:pPr>
    </w:p>
    <w:p w14:paraId="52DB8875">
      <w:pPr>
        <w:tabs>
          <w:tab w:val="left" w:pos="4860"/>
        </w:tabs>
        <w:spacing w:line="588" w:lineRule="exact"/>
        <w:ind w:right="1560" w:firstLine="624"/>
        <w:jc w:val="center"/>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pacing w:val="6"/>
          <w:sz w:val="30"/>
          <w:szCs w:val="30"/>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投标人全称（加盖CA电子公章）：</w:t>
      </w:r>
    </w:p>
    <w:p w14:paraId="4AAD2478">
      <w:pPr>
        <w:tabs>
          <w:tab w:val="left" w:pos="4860"/>
        </w:tabs>
        <w:spacing w:line="588" w:lineRule="exact"/>
        <w:ind w:right="1560" w:firstLine="480"/>
        <w:jc w:val="center"/>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  期：</w:t>
      </w:r>
    </w:p>
    <w:p w14:paraId="4799AD29">
      <w:pPr>
        <w:spacing w:line="360" w:lineRule="auto"/>
        <w:ind w:firstLine="624"/>
        <w:rPr>
          <w:rFonts w:ascii="宋体" w:hAnsi="宋体" w:eastAsia="宋体" w:cs="宋体"/>
          <w:color w:val="000000" w:themeColor="text1"/>
          <w:spacing w:val="6"/>
          <w:sz w:val="30"/>
          <w:szCs w:val="30"/>
          <w14:textFill>
            <w14:solidFill>
              <w14:schemeClr w14:val="tx1"/>
            </w14:solidFill>
          </w14:textFill>
        </w:rPr>
      </w:pPr>
    </w:p>
    <w:p w14:paraId="6D16E7A6">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lang w:eastAsia="zh-CN"/>
          <w14:textFill>
            <w14:solidFill>
              <w14:schemeClr w14:val="tx1"/>
            </w14:solidFill>
          </w14:textFill>
        </w:rPr>
        <w:t>六</w:t>
      </w:r>
      <w:r>
        <w:rPr>
          <w:rFonts w:hint="eastAsia" w:ascii="宋体" w:hAnsi="宋体" w:eastAsia="宋体" w:cs="宋体"/>
          <w:b/>
          <w:color w:val="000000" w:themeColor="text1"/>
          <w:sz w:val="32"/>
          <w:szCs w:val="32"/>
          <w14:textFill>
            <w14:solidFill>
              <w14:schemeClr w14:val="tx1"/>
            </w14:solidFill>
          </w14:textFill>
        </w:rPr>
        <w:t>、技术要求响应及偏离表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862"/>
        <w:gridCol w:w="2305"/>
        <w:gridCol w:w="2250"/>
        <w:gridCol w:w="963"/>
      </w:tblGrid>
      <w:tr w14:paraId="532B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trPr>
        <w:tc>
          <w:tcPr>
            <w:tcW w:w="737" w:type="dxa"/>
            <w:noWrap w:val="0"/>
            <w:vAlign w:val="center"/>
          </w:tcPr>
          <w:p w14:paraId="2E15A2BC">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2862" w:type="dxa"/>
            <w:noWrap w:val="0"/>
            <w:vAlign w:val="center"/>
          </w:tcPr>
          <w:p w14:paraId="5F8487FD">
            <w:pPr>
              <w:widowControl/>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招标文件内容</w:t>
            </w:r>
          </w:p>
        </w:tc>
        <w:tc>
          <w:tcPr>
            <w:tcW w:w="2305" w:type="dxa"/>
            <w:noWrap w:val="0"/>
            <w:vAlign w:val="center"/>
          </w:tcPr>
          <w:p w14:paraId="7048CECB">
            <w:pPr>
              <w:widowControl/>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投标文件内容</w:t>
            </w:r>
          </w:p>
        </w:tc>
        <w:tc>
          <w:tcPr>
            <w:tcW w:w="2250" w:type="dxa"/>
            <w:noWrap w:val="0"/>
            <w:vAlign w:val="center"/>
          </w:tcPr>
          <w:p w14:paraId="54C9B64F">
            <w:pPr>
              <w:widowControl/>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偏离（填报“正偏离、符合或负偏离”）</w:t>
            </w:r>
          </w:p>
        </w:tc>
        <w:tc>
          <w:tcPr>
            <w:tcW w:w="963" w:type="dxa"/>
            <w:noWrap w:val="0"/>
            <w:vAlign w:val="center"/>
          </w:tcPr>
          <w:p w14:paraId="0E8E9293">
            <w:pPr>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备注</w:t>
            </w:r>
          </w:p>
        </w:tc>
      </w:tr>
      <w:tr w14:paraId="0275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C14046C">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CDFE186">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70AB6A7E">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789D236">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56484B34">
            <w:pPr>
              <w:jc w:val="center"/>
              <w:rPr>
                <w:rFonts w:ascii="宋体" w:hAnsi="宋体" w:eastAsia="宋体" w:cs="宋体"/>
                <w:color w:val="000000" w:themeColor="text1"/>
                <w:sz w:val="24"/>
                <w14:textFill>
                  <w14:solidFill>
                    <w14:schemeClr w14:val="tx1"/>
                  </w14:solidFill>
                </w14:textFill>
              </w:rPr>
            </w:pPr>
          </w:p>
        </w:tc>
      </w:tr>
      <w:tr w14:paraId="4882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4F4D4955">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56D0DBF3">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18B60D23">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3B1DF952">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04B7A9C2">
            <w:pPr>
              <w:jc w:val="center"/>
              <w:rPr>
                <w:rFonts w:ascii="宋体" w:hAnsi="宋体" w:eastAsia="宋体" w:cs="宋体"/>
                <w:color w:val="000000" w:themeColor="text1"/>
                <w:sz w:val="24"/>
                <w14:textFill>
                  <w14:solidFill>
                    <w14:schemeClr w14:val="tx1"/>
                  </w14:solidFill>
                </w14:textFill>
              </w:rPr>
            </w:pPr>
          </w:p>
        </w:tc>
      </w:tr>
      <w:tr w14:paraId="0982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D0A0C51">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1762F8E7">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5F923932">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6E598409">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69D2EA48">
            <w:pPr>
              <w:jc w:val="center"/>
              <w:rPr>
                <w:rFonts w:ascii="宋体" w:hAnsi="宋体" w:eastAsia="宋体" w:cs="宋体"/>
                <w:color w:val="000000" w:themeColor="text1"/>
                <w:sz w:val="24"/>
                <w14:textFill>
                  <w14:solidFill>
                    <w14:schemeClr w14:val="tx1"/>
                  </w14:solidFill>
                </w14:textFill>
              </w:rPr>
            </w:pPr>
          </w:p>
        </w:tc>
      </w:tr>
      <w:tr w14:paraId="66F9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10E45DED">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1A6ED6D8">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2A8A51DC">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3D62DC6C">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781E870D">
            <w:pPr>
              <w:jc w:val="center"/>
              <w:rPr>
                <w:rFonts w:ascii="宋体" w:hAnsi="宋体" w:eastAsia="宋体" w:cs="宋体"/>
                <w:color w:val="000000" w:themeColor="text1"/>
                <w:sz w:val="24"/>
                <w14:textFill>
                  <w14:solidFill>
                    <w14:schemeClr w14:val="tx1"/>
                  </w14:solidFill>
                </w14:textFill>
              </w:rPr>
            </w:pPr>
          </w:p>
        </w:tc>
      </w:tr>
      <w:tr w14:paraId="3A3F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EBFDBE4">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1460091">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33743BAF">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0E6FA18">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23842123">
            <w:pPr>
              <w:jc w:val="center"/>
              <w:rPr>
                <w:rFonts w:ascii="宋体" w:hAnsi="宋体" w:eastAsia="宋体" w:cs="宋体"/>
                <w:color w:val="000000" w:themeColor="text1"/>
                <w:sz w:val="24"/>
                <w14:textFill>
                  <w14:solidFill>
                    <w14:schemeClr w14:val="tx1"/>
                  </w14:solidFill>
                </w14:textFill>
              </w:rPr>
            </w:pPr>
          </w:p>
        </w:tc>
      </w:tr>
      <w:tr w14:paraId="4190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033D9702">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690D88FC">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00C1D158">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49D0F64B">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1401FB45">
            <w:pPr>
              <w:jc w:val="center"/>
              <w:rPr>
                <w:rFonts w:ascii="宋体" w:hAnsi="宋体" w:eastAsia="宋体" w:cs="宋体"/>
                <w:color w:val="000000" w:themeColor="text1"/>
                <w:sz w:val="24"/>
                <w14:textFill>
                  <w14:solidFill>
                    <w14:schemeClr w14:val="tx1"/>
                  </w14:solidFill>
                </w14:textFill>
              </w:rPr>
            </w:pPr>
          </w:p>
        </w:tc>
      </w:tr>
      <w:tr w14:paraId="6852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57DCEA0">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77B0B67B">
            <w:pPr>
              <w:jc w:val="center"/>
              <w:rPr>
                <w:rFonts w:ascii="宋体" w:hAnsi="宋体" w:eastAsia="宋体" w:cs="宋体"/>
                <w:color w:val="000000" w:themeColor="text1"/>
                <w:sz w:val="24"/>
                <w14:textFill>
                  <w14:solidFill>
                    <w14:schemeClr w14:val="tx1"/>
                  </w14:solidFill>
                </w14:textFill>
              </w:rPr>
            </w:pPr>
          </w:p>
        </w:tc>
        <w:tc>
          <w:tcPr>
            <w:tcW w:w="2305" w:type="dxa"/>
            <w:noWrap w:val="0"/>
          </w:tcPr>
          <w:p w14:paraId="2CB9BC6C">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45BEE87E">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3A0B96EF">
            <w:pPr>
              <w:jc w:val="center"/>
              <w:rPr>
                <w:rFonts w:ascii="宋体" w:hAnsi="宋体" w:eastAsia="宋体" w:cs="宋体"/>
                <w:color w:val="000000" w:themeColor="text1"/>
                <w:sz w:val="24"/>
                <w14:textFill>
                  <w14:solidFill>
                    <w14:schemeClr w14:val="tx1"/>
                  </w14:solidFill>
                </w14:textFill>
              </w:rPr>
            </w:pPr>
          </w:p>
        </w:tc>
      </w:tr>
      <w:tr w14:paraId="21A2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trPr>
        <w:tc>
          <w:tcPr>
            <w:tcW w:w="737" w:type="dxa"/>
            <w:noWrap w:val="0"/>
          </w:tcPr>
          <w:p w14:paraId="6D7AF3D6">
            <w:pPr>
              <w:jc w:val="center"/>
              <w:rPr>
                <w:rFonts w:ascii="宋体" w:hAnsi="宋体" w:eastAsia="宋体" w:cs="宋体"/>
                <w:color w:val="000000" w:themeColor="text1"/>
                <w:sz w:val="24"/>
                <w14:textFill>
                  <w14:solidFill>
                    <w14:schemeClr w14:val="tx1"/>
                  </w14:solidFill>
                </w14:textFill>
              </w:rPr>
            </w:pPr>
          </w:p>
        </w:tc>
        <w:tc>
          <w:tcPr>
            <w:tcW w:w="2862" w:type="dxa"/>
            <w:noWrap w:val="0"/>
          </w:tcPr>
          <w:p w14:paraId="4D84C041">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tc>
        <w:tc>
          <w:tcPr>
            <w:tcW w:w="2305" w:type="dxa"/>
            <w:noWrap w:val="0"/>
          </w:tcPr>
          <w:p w14:paraId="7C25883E">
            <w:pPr>
              <w:jc w:val="center"/>
              <w:rPr>
                <w:rFonts w:ascii="宋体" w:hAnsi="宋体" w:eastAsia="宋体" w:cs="宋体"/>
                <w:color w:val="000000" w:themeColor="text1"/>
                <w:sz w:val="24"/>
                <w14:textFill>
                  <w14:solidFill>
                    <w14:schemeClr w14:val="tx1"/>
                  </w14:solidFill>
                </w14:textFill>
              </w:rPr>
            </w:pPr>
          </w:p>
        </w:tc>
        <w:tc>
          <w:tcPr>
            <w:tcW w:w="2250" w:type="dxa"/>
            <w:noWrap w:val="0"/>
          </w:tcPr>
          <w:p w14:paraId="512B5E76">
            <w:pPr>
              <w:jc w:val="center"/>
              <w:rPr>
                <w:rFonts w:ascii="宋体" w:hAnsi="宋体" w:eastAsia="宋体" w:cs="宋体"/>
                <w:color w:val="000000" w:themeColor="text1"/>
                <w:sz w:val="24"/>
                <w14:textFill>
                  <w14:solidFill>
                    <w14:schemeClr w14:val="tx1"/>
                  </w14:solidFill>
                </w14:textFill>
              </w:rPr>
            </w:pPr>
          </w:p>
        </w:tc>
        <w:tc>
          <w:tcPr>
            <w:tcW w:w="963" w:type="dxa"/>
            <w:noWrap w:val="0"/>
          </w:tcPr>
          <w:p w14:paraId="06236744">
            <w:pPr>
              <w:jc w:val="center"/>
              <w:rPr>
                <w:rFonts w:ascii="宋体" w:hAnsi="宋体" w:eastAsia="宋体" w:cs="宋体"/>
                <w:color w:val="000000" w:themeColor="text1"/>
                <w:sz w:val="24"/>
                <w14:textFill>
                  <w14:solidFill>
                    <w14:schemeClr w14:val="tx1"/>
                  </w14:solidFill>
                </w14:textFill>
              </w:rPr>
            </w:pPr>
          </w:p>
        </w:tc>
      </w:tr>
    </w:tbl>
    <w:p w14:paraId="0914B523">
      <w:pPr>
        <w:spacing w:line="360" w:lineRule="auto"/>
        <w:ind w:firstLine="480"/>
        <w:jc w:val="left"/>
        <w:rPr>
          <w:rFonts w:ascii="宋体" w:hAnsi="宋体" w:eastAsia="宋体" w:cs="宋体"/>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p>
    <w:p w14:paraId="6822A705">
      <w:pPr>
        <w:numPr>
          <w:ilvl w:val="0"/>
          <w:numId w:val="6"/>
        </w:numPr>
        <w:spacing w:line="360" w:lineRule="auto"/>
        <w:ind w:firstLine="480"/>
        <w:jc w:val="left"/>
        <w:rPr>
          <w:rFonts w:hint="eastAsia" w:ascii="宋体" w:hAnsi="宋体" w:eastAsia="宋体" w:cs="宋体"/>
          <w:b w:val="0"/>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对采购需求的其它非实质性要求，投标人按所投产品情况在此表中详细列出偏离情况（包括正偏离、负偏离、无偏离）并说明理由；</w:t>
      </w:r>
      <w:r>
        <w:rPr>
          <w:rFonts w:hint="eastAsia" w:ascii="宋体" w:hAnsi="宋体" w:eastAsia="宋体" w:cs="宋体"/>
          <w:b w:val="0"/>
          <w:bCs/>
          <w:color w:val="000000" w:themeColor="text1"/>
          <w:sz w:val="24"/>
          <w:szCs w:val="16"/>
          <w14:textFill>
            <w14:solidFill>
              <w14:schemeClr w14:val="tx1"/>
            </w14:solidFill>
          </w14:textFill>
        </w:rPr>
        <w:t>未列明的均视为未响应招标文件要求。</w:t>
      </w:r>
    </w:p>
    <w:p w14:paraId="7445ACF2">
      <w:pPr>
        <w:spacing w:line="360" w:lineRule="auto"/>
        <w:ind w:firstLine="480"/>
        <w:jc w:val="left"/>
        <w:rPr>
          <w:rFonts w:ascii="宋体" w:hAnsi="宋体" w:eastAsia="宋体" w:cs="宋体"/>
          <w:b/>
          <w:color w:val="000000" w:themeColor="text1"/>
          <w:sz w:val="32"/>
          <w14:textFill>
            <w14:solidFill>
              <w14:schemeClr w14:val="tx1"/>
            </w14:solidFill>
          </w14:textFill>
        </w:rPr>
      </w:pPr>
      <w:r>
        <w:rPr>
          <w:rFonts w:hint="eastAsia" w:ascii="宋体" w:hAnsi="宋体" w:eastAsia="宋体" w:cs="宋体"/>
          <w:bCs/>
          <w:color w:val="000000" w:themeColor="text1"/>
          <w:sz w:val="24"/>
          <w:szCs w:val="16"/>
          <w:lang w:val="en-US" w:eastAsia="zh-CN"/>
          <w14:textFill>
            <w14:solidFill>
              <w14:schemeClr w14:val="tx1"/>
            </w14:solidFill>
          </w14:textFill>
        </w:rPr>
        <w:t>3.</w:t>
      </w:r>
      <w:r>
        <w:rPr>
          <w:rFonts w:hint="eastAsia" w:ascii="宋体" w:hAnsi="宋体" w:eastAsia="宋体" w:cs="宋体"/>
          <w:bCs/>
          <w:color w:val="000000" w:themeColor="text1"/>
          <w:sz w:val="24"/>
          <w:szCs w:val="16"/>
          <w14:textFill>
            <w14:solidFill>
              <w14:schemeClr w14:val="tx1"/>
            </w14:solidFill>
          </w14:textFill>
        </w:rPr>
        <w:t>为便于评审，投标人须针对本项目</w:t>
      </w:r>
      <w:r>
        <w:rPr>
          <w:rFonts w:hint="eastAsia" w:ascii="宋体" w:hAnsi="宋体" w:eastAsia="宋体" w:cs="宋体"/>
          <w:bCs/>
          <w:color w:val="000000" w:themeColor="text1"/>
          <w:sz w:val="24"/>
          <w:szCs w:val="16"/>
          <w:lang w:eastAsia="zh-CN"/>
          <w14:textFill>
            <w14:solidFill>
              <w14:schemeClr w14:val="tx1"/>
            </w14:solidFill>
          </w14:textFill>
        </w:rPr>
        <w:t>采购需求</w:t>
      </w:r>
      <w:r>
        <w:rPr>
          <w:rFonts w:hint="eastAsia" w:ascii="宋体" w:hAnsi="宋体" w:eastAsia="宋体" w:cs="宋体"/>
          <w:bCs/>
          <w:color w:val="000000" w:themeColor="text1"/>
          <w:sz w:val="24"/>
          <w:szCs w:val="16"/>
          <w14:textFill>
            <w14:solidFill>
              <w14:schemeClr w14:val="tx1"/>
            </w14:solidFill>
          </w14:textFill>
        </w:rPr>
        <w:t>中的</w:t>
      </w:r>
      <w:r>
        <w:rPr>
          <w:rFonts w:hint="eastAsia" w:ascii="宋体" w:hAnsi="宋体" w:eastAsia="宋体" w:cs="宋体"/>
          <w:bCs/>
          <w:color w:val="000000" w:themeColor="text1"/>
          <w:sz w:val="24"/>
          <w:szCs w:val="16"/>
          <w:lang w:eastAsia="zh-CN"/>
          <w14:textFill>
            <w14:solidFill>
              <w14:schemeClr w14:val="tx1"/>
            </w14:solidFill>
          </w14:textFill>
        </w:rPr>
        <w:t>技术</w:t>
      </w:r>
      <w:r>
        <w:rPr>
          <w:rFonts w:hint="eastAsia" w:ascii="宋体" w:hAnsi="宋体" w:eastAsia="宋体" w:cs="宋体"/>
          <w:bCs/>
          <w:color w:val="000000" w:themeColor="text1"/>
          <w:sz w:val="24"/>
          <w:szCs w:val="16"/>
          <w14:textFill>
            <w14:solidFill>
              <w14:schemeClr w14:val="tx1"/>
            </w14:solidFill>
          </w14:textFill>
        </w:rPr>
        <w:t>条款，编制</w:t>
      </w:r>
      <w:bookmarkStart w:id="177" w:name="_GoBack"/>
      <w:bookmarkEnd w:id="177"/>
      <w:r>
        <w:rPr>
          <w:rFonts w:hint="eastAsia" w:ascii="宋体" w:hAnsi="宋体" w:eastAsia="宋体" w:cs="宋体"/>
          <w:bCs/>
          <w:color w:val="000000" w:themeColor="text1"/>
          <w:sz w:val="24"/>
          <w:szCs w:val="16"/>
          <w14:textFill>
            <w14:solidFill>
              <w14:schemeClr w14:val="tx1"/>
            </w14:solidFill>
          </w14:textFill>
        </w:rPr>
        <w:t>《技术响应偏离表》。索引中需明确标注每项技术指标的响应页码，并对非实质性偏离项进行逐条说明。未提供索引或内容无法查证者，可能导致该项评审不得分。</w:t>
      </w:r>
    </w:p>
    <w:p w14:paraId="78D14393">
      <w:pPr>
        <w:rPr>
          <w:rFonts w:ascii="宋体" w:hAnsi="宋体" w:eastAsia="宋体" w:cs="宋体"/>
          <w:b/>
          <w:color w:val="000000" w:themeColor="text1"/>
          <w:sz w:val="32"/>
          <w14:textFill>
            <w14:solidFill>
              <w14:schemeClr w14:val="tx1"/>
            </w14:solidFill>
          </w14:textFill>
        </w:rPr>
      </w:pPr>
    </w:p>
    <w:p w14:paraId="591A2693">
      <w:pPr>
        <w:rPr>
          <w:rFonts w:ascii="宋体" w:hAnsi="宋体" w:eastAsia="宋体" w:cs="宋体"/>
          <w:b/>
          <w:color w:val="000000" w:themeColor="text1"/>
          <w:sz w:val="32"/>
          <w14:textFill>
            <w14:solidFill>
              <w14:schemeClr w14:val="tx1"/>
            </w14:solidFill>
          </w14:textFill>
        </w:rPr>
      </w:pPr>
    </w:p>
    <w:p w14:paraId="253012B7">
      <w:pPr>
        <w:rPr>
          <w:rFonts w:ascii="宋体" w:hAnsi="宋体" w:eastAsia="宋体" w:cs="宋体"/>
          <w:b/>
          <w:color w:val="000000" w:themeColor="text1"/>
          <w:sz w:val="32"/>
          <w14:textFill>
            <w14:solidFill>
              <w14:schemeClr w14:val="tx1"/>
            </w14:solidFill>
          </w14:textFill>
        </w:rPr>
      </w:pPr>
    </w:p>
    <w:p w14:paraId="776432EC">
      <w:pPr>
        <w:rPr>
          <w:rFonts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br w:type="page" w:clear="all"/>
      </w:r>
    </w:p>
    <w:p w14:paraId="592C25A9">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t>七</w:t>
      </w:r>
      <w:r>
        <w:rPr>
          <w:rFonts w:hint="eastAsia" w:ascii="宋体" w:hAnsi="宋体" w:eastAsia="宋体" w:cs="宋体"/>
          <w:b/>
          <w:color w:val="000000" w:themeColor="text1"/>
          <w:sz w:val="32"/>
          <w:szCs w:val="32"/>
          <w14:textFill>
            <w14:solidFill>
              <w14:schemeClr w14:val="tx1"/>
            </w14:solidFill>
          </w14:textFill>
        </w:rPr>
        <w:t>、项目组人员</w:t>
      </w:r>
    </w:p>
    <w:p w14:paraId="30864809">
      <w:pPr>
        <w:widowControl/>
        <w:spacing w:before="100" w:beforeAutospacing="1" w:after="100" w:afterAutospacing="1" w:line="600" w:lineRule="exact"/>
        <w:jc w:val="cente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bidi="ar"/>
          <w14:textFill>
            <w14:solidFill>
              <w14:schemeClr w14:val="tx1"/>
            </w14:solidFill>
          </w14:textFill>
        </w:rPr>
        <w:t>项目组成员</w:t>
      </w:r>
    </w:p>
    <w:tbl>
      <w:tblPr>
        <w:tblStyle w:val="33"/>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7AB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50A818C">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145A743">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387B647">
            <w:pPr>
              <w:widowControl/>
              <w:spacing w:beforeAutospacing="1"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A5DADAF">
            <w:pPr>
              <w:widowControl/>
              <w:spacing w:beforeAutospacing="1" w:line="560" w:lineRule="exact"/>
              <w:ind w:firstLine="28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72DF2C2">
            <w:pPr>
              <w:widowControl/>
              <w:spacing w:beforeAutospacing="1" w:line="560" w:lineRule="exact"/>
              <w:jc w:val="cente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10E153">
            <w:pPr>
              <w:widowControl/>
              <w:spacing w:beforeAutospacing="1" w:line="56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备注</w:t>
            </w:r>
          </w:p>
        </w:tc>
      </w:tr>
      <w:tr w14:paraId="7226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700E374">
            <w:pPr>
              <w:widowControl/>
              <w:spacing w:line="560" w:lineRule="exact"/>
              <w:ind w:firstLine="560"/>
              <w:jc w:val="center"/>
              <w:rPr>
                <w:rFonts w:ascii="宋体" w:hAnsi="宋体" w:eastAsia="宋体" w:cs="宋体"/>
                <w:color w:val="000000" w:themeColor="text1"/>
                <w:sz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28027FF">
            <w:pPr>
              <w:widowControl/>
              <w:spacing w:before="100" w:beforeAutospacing="1" w:after="100" w:afterAutospacing="1"/>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E81D5E">
            <w:pPr>
              <w:widowControl/>
              <w:spacing w:line="560" w:lineRule="exact"/>
              <w:ind w:firstLine="560"/>
              <w:jc w:val="center"/>
              <w:rPr>
                <w:rFonts w:ascii="宋体" w:hAnsi="宋体" w:eastAsia="宋体" w:cs="宋体"/>
                <w:color w:val="000000" w:themeColor="text1"/>
                <w:sz w:val="24"/>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D9BF3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394A3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51E0BD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1C8C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630C84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ADF4180">
            <w:pPr>
              <w:widowControl/>
              <w:spacing w:before="100" w:beforeAutospacing="1" w:after="100" w:afterAutospacing="1"/>
              <w:jc w:val="center"/>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5A6BB0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056EA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89C522A">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5FBAF5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28E1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C7FB6B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2A5619">
            <w:pPr>
              <w:widowControl/>
              <w:spacing w:before="100" w:beforeAutospacing="1" w:after="100" w:afterAutospacing="1"/>
              <w:ind w:firstLine="280"/>
              <w:jc w:val="lef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A46D2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805AB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62F87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4FD792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646D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75A96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9BD827">
            <w:pPr>
              <w:widowControl/>
              <w:spacing w:before="100" w:beforeAutospacing="1" w:after="100" w:afterAutospacing="1"/>
              <w:jc w:val="left"/>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528D0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69C10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02D0FA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7C04C8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1482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84CFCA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E1A561">
            <w:pPr>
              <w:widowControl/>
              <w:spacing w:before="100" w:beforeAutospacing="1" w:after="100" w:afterAutospacing="1"/>
              <w:jc w:val="left"/>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58E0D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BBC52E">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D9FDA44">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301150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325B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CA2BF2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78610A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EAD25E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853687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ACB548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BCE3F4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0EDB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069D84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FF4F5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FA9D60">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D1636C6">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58C781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F64B84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4253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AB0AA9">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C8680A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EC1C0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EC5EAF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AE0999B">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357D390">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288B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34B2205">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ED6DCAF">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504F3D">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B16EB87">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8349B3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229F91C">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r w14:paraId="6C70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7F21703">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EF4435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D51D51">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888212">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071C559">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C23A118">
            <w:pPr>
              <w:widowControl/>
              <w:spacing w:line="560" w:lineRule="exact"/>
              <w:ind w:firstLine="560"/>
              <w:jc w:val="center"/>
              <w:rPr>
                <w:rFonts w:ascii="宋体" w:hAnsi="宋体" w:eastAsia="宋体" w:cs="宋体"/>
                <w:color w:val="000000" w:themeColor="text1"/>
                <w:sz w:val="28"/>
                <w:szCs w:val="28"/>
                <w14:textFill>
                  <w14:solidFill>
                    <w14:schemeClr w14:val="tx1"/>
                  </w14:solidFill>
                </w14:textFill>
              </w:rPr>
            </w:pPr>
          </w:p>
        </w:tc>
      </w:tr>
    </w:tbl>
    <w:p w14:paraId="08986746">
      <w:pPr>
        <w:widowControl/>
        <w:spacing w:before="100" w:beforeAutospacing="1" w:after="100" w:afterAutospacing="1" w:line="460" w:lineRule="exact"/>
        <w:ind w:firstLine="398"/>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lang w:bidi="ar"/>
          <w14:textFill>
            <w14:solidFill>
              <w14:schemeClr w14:val="tx1"/>
            </w14:solidFill>
          </w14:textFill>
        </w:rPr>
        <w:t>注：如投标人中标，项目组成员必须按本表承诺人员操作，不得随意更换。按招标文件要求附相关人员证书。</w:t>
      </w:r>
    </w:p>
    <w:p w14:paraId="23AAB0B8">
      <w:pPr>
        <w:widowControl/>
        <w:spacing w:before="100" w:beforeAutospacing="1" w:after="100" w:afterAutospacing="1" w:line="500" w:lineRule="exact"/>
        <w:ind w:firstLine="280"/>
        <w:jc w:val="left"/>
        <w:rPr>
          <w:rFonts w:ascii="宋体" w:hAnsi="宋体" w:eastAsia="宋体" w:cs="宋体"/>
          <w:color w:val="000000" w:themeColor="text1"/>
          <w:sz w:val="24"/>
          <w14:textFill>
            <w14:solidFill>
              <w14:schemeClr w14:val="tx1"/>
            </w14:solidFill>
          </w14:textFill>
        </w:rPr>
      </w:pPr>
    </w:p>
    <w:p w14:paraId="121ABED6">
      <w:pPr>
        <w:outlineLvl w:val="1"/>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Start w:id="170" w:name="_Toc11176"/>
      <w:r>
        <w:rPr>
          <w:rFonts w:hint="eastAsia" w:ascii="宋体" w:hAnsi="宋体" w:eastAsia="宋体" w:cs="宋体"/>
          <w:b/>
          <w:color w:val="000000" w:themeColor="text1"/>
          <w:sz w:val="32"/>
          <w:szCs w:val="32"/>
          <w:lang w:eastAsia="zh-CN"/>
          <w14:textFill>
            <w14:solidFill>
              <w14:schemeClr w14:val="tx1"/>
            </w14:solidFill>
          </w14:textFill>
        </w:rPr>
        <w:t>八</w:t>
      </w:r>
      <w:r>
        <w:rPr>
          <w:rFonts w:hint="eastAsia" w:ascii="宋体" w:hAnsi="宋体" w:eastAsia="宋体" w:cs="宋体"/>
          <w:b/>
          <w:color w:val="000000" w:themeColor="text1"/>
          <w:sz w:val="32"/>
          <w:szCs w:val="32"/>
          <w14:textFill>
            <w14:solidFill>
              <w14:schemeClr w14:val="tx1"/>
            </w14:solidFill>
          </w14:textFill>
        </w:rPr>
        <w:t>、</w:t>
      </w:r>
      <w:bookmarkEnd w:id="170"/>
      <w:r>
        <w:rPr>
          <w:rFonts w:hint="eastAsia" w:ascii="宋体" w:hAnsi="宋体" w:eastAsia="宋体" w:cs="宋体"/>
          <w:b/>
          <w:color w:val="000000" w:themeColor="text1"/>
          <w:sz w:val="32"/>
          <w:szCs w:val="32"/>
          <w14:textFill>
            <w14:solidFill>
              <w14:schemeClr w14:val="tx1"/>
            </w14:solidFill>
          </w14:textFill>
        </w:rPr>
        <w:t>企业业绩</w:t>
      </w:r>
    </w:p>
    <w:p w14:paraId="0C08D60E">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投标人承担类似项目业绩一览表</w:t>
      </w:r>
    </w:p>
    <w:tbl>
      <w:tblPr>
        <w:tblStyle w:val="3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511D4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tcPr>
          <w:p w14:paraId="3485DB59">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3827" w:type="dxa"/>
            <w:noWrap w:val="0"/>
            <w:vAlign w:val="center"/>
          </w:tcPr>
          <w:p w14:paraId="35DD4246">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2433" w:type="dxa"/>
            <w:noWrap w:val="0"/>
            <w:vAlign w:val="center"/>
          </w:tcPr>
          <w:p w14:paraId="67D88401">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采购单位</w:t>
            </w:r>
          </w:p>
        </w:tc>
        <w:tc>
          <w:tcPr>
            <w:tcW w:w="1395" w:type="dxa"/>
            <w:noWrap w:val="0"/>
            <w:vAlign w:val="center"/>
          </w:tcPr>
          <w:p w14:paraId="29E1C80A">
            <w:pPr>
              <w:spacing w:line="56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合同金额</w:t>
            </w:r>
          </w:p>
        </w:tc>
      </w:tr>
      <w:tr w14:paraId="3E4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7428CC">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25E7B9CC">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08EF11A0">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0561E250">
            <w:pPr>
              <w:spacing w:line="560" w:lineRule="exact"/>
              <w:jc w:val="center"/>
              <w:rPr>
                <w:rFonts w:ascii="宋体" w:hAnsi="宋体" w:eastAsia="宋体" w:cs="宋体"/>
                <w:color w:val="000000" w:themeColor="text1"/>
                <w:sz w:val="24"/>
                <w14:textFill>
                  <w14:solidFill>
                    <w14:schemeClr w14:val="tx1"/>
                  </w14:solidFill>
                </w14:textFill>
              </w:rPr>
            </w:pPr>
          </w:p>
        </w:tc>
      </w:tr>
      <w:tr w14:paraId="5EB1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BEBB03">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7BAF6F2F">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5CE23B81">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600BFFDD">
            <w:pPr>
              <w:spacing w:line="560" w:lineRule="exact"/>
              <w:jc w:val="center"/>
              <w:rPr>
                <w:rFonts w:ascii="宋体" w:hAnsi="宋体" w:eastAsia="宋体" w:cs="宋体"/>
                <w:color w:val="000000" w:themeColor="text1"/>
                <w:sz w:val="24"/>
                <w14:textFill>
                  <w14:solidFill>
                    <w14:schemeClr w14:val="tx1"/>
                  </w14:solidFill>
                </w14:textFill>
              </w:rPr>
            </w:pPr>
          </w:p>
        </w:tc>
      </w:tr>
      <w:tr w14:paraId="0425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3930B836">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2615561B">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11274EEE">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3CE44EC2">
            <w:pPr>
              <w:spacing w:line="560" w:lineRule="exact"/>
              <w:jc w:val="center"/>
              <w:rPr>
                <w:rFonts w:ascii="宋体" w:hAnsi="宋体" w:eastAsia="宋体" w:cs="宋体"/>
                <w:color w:val="000000" w:themeColor="text1"/>
                <w:sz w:val="24"/>
                <w14:textFill>
                  <w14:solidFill>
                    <w14:schemeClr w14:val="tx1"/>
                  </w14:solidFill>
                </w14:textFill>
              </w:rPr>
            </w:pPr>
          </w:p>
        </w:tc>
      </w:tr>
      <w:tr w14:paraId="31FC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tcPr>
          <w:p w14:paraId="70AD7D2D">
            <w:pPr>
              <w:spacing w:line="560" w:lineRule="exact"/>
              <w:jc w:val="center"/>
              <w:rPr>
                <w:rFonts w:ascii="宋体" w:hAnsi="宋体" w:eastAsia="宋体" w:cs="宋体"/>
                <w:color w:val="000000" w:themeColor="text1"/>
                <w:sz w:val="24"/>
                <w14:textFill>
                  <w14:solidFill>
                    <w14:schemeClr w14:val="tx1"/>
                  </w14:solidFill>
                </w14:textFill>
              </w:rPr>
            </w:pPr>
          </w:p>
        </w:tc>
        <w:tc>
          <w:tcPr>
            <w:tcW w:w="3827" w:type="dxa"/>
            <w:noWrap w:val="0"/>
            <w:vAlign w:val="center"/>
          </w:tcPr>
          <w:p w14:paraId="045829D3">
            <w:pPr>
              <w:spacing w:line="560" w:lineRule="exact"/>
              <w:jc w:val="center"/>
              <w:rPr>
                <w:rFonts w:ascii="宋体" w:hAnsi="宋体" w:eastAsia="宋体" w:cs="宋体"/>
                <w:color w:val="000000" w:themeColor="text1"/>
                <w:sz w:val="24"/>
                <w14:textFill>
                  <w14:solidFill>
                    <w14:schemeClr w14:val="tx1"/>
                  </w14:solidFill>
                </w14:textFill>
              </w:rPr>
            </w:pPr>
          </w:p>
        </w:tc>
        <w:tc>
          <w:tcPr>
            <w:tcW w:w="2433" w:type="dxa"/>
            <w:noWrap w:val="0"/>
            <w:vAlign w:val="center"/>
          </w:tcPr>
          <w:p w14:paraId="1640781E">
            <w:pPr>
              <w:spacing w:line="560" w:lineRule="exact"/>
              <w:jc w:val="center"/>
              <w:rPr>
                <w:rFonts w:ascii="宋体" w:hAnsi="宋体" w:eastAsia="宋体" w:cs="宋体"/>
                <w:color w:val="000000" w:themeColor="text1"/>
                <w:sz w:val="24"/>
                <w14:textFill>
                  <w14:solidFill>
                    <w14:schemeClr w14:val="tx1"/>
                  </w14:solidFill>
                </w14:textFill>
              </w:rPr>
            </w:pPr>
          </w:p>
        </w:tc>
        <w:tc>
          <w:tcPr>
            <w:tcW w:w="1395" w:type="dxa"/>
            <w:noWrap w:val="0"/>
            <w:vAlign w:val="center"/>
          </w:tcPr>
          <w:p w14:paraId="059D6922">
            <w:pPr>
              <w:spacing w:line="560" w:lineRule="exact"/>
              <w:jc w:val="center"/>
              <w:rPr>
                <w:rFonts w:ascii="宋体" w:hAnsi="宋体" w:eastAsia="宋体" w:cs="宋体"/>
                <w:color w:val="000000" w:themeColor="text1"/>
                <w:sz w:val="24"/>
                <w14:textFill>
                  <w14:solidFill>
                    <w14:schemeClr w14:val="tx1"/>
                  </w14:solidFill>
                </w14:textFill>
              </w:rPr>
            </w:pPr>
          </w:p>
        </w:tc>
      </w:tr>
    </w:tbl>
    <w:p w14:paraId="4940A042">
      <w:pPr>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注：请填写此表，并按要求上传业绩资料电子件。</w:t>
      </w:r>
    </w:p>
    <w:p w14:paraId="086F37BF">
      <w:pPr>
        <w:widowControl/>
        <w:spacing w:line="500" w:lineRule="exact"/>
        <w:ind w:firstLine="482"/>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bookmarkStart w:id="171" w:name="_Toc28140"/>
    </w:p>
    <w:p w14:paraId="2BAFB0F3">
      <w:pPr>
        <w:pStyle w:val="200"/>
        <w:numPr>
          <w:ilvl w:val="0"/>
          <w:numId w:val="0"/>
        </w:numPr>
        <w:shd w:val="clear" w:color="auto"/>
        <w:outlineLvl w:val="1"/>
        <w:rPr>
          <w:rFonts w:hint="eastAsia" w:ascii="宋体" w:hAnsi="宋体" w:eastAsia="宋体" w:cs="宋体"/>
          <w:b/>
          <w:color w:val="auto"/>
          <w:sz w:val="32"/>
          <w:szCs w:val="32"/>
          <w:highlight w:val="none"/>
        </w:rPr>
      </w:pPr>
      <w:r>
        <w:rPr>
          <w:rFonts w:hint="eastAsia" w:ascii="仿宋" w:hAnsi="仿宋" w:eastAsia="仿宋" w:cs="仿宋"/>
          <w:b/>
          <w:color w:val="000000" w:themeColor="text1"/>
          <w:sz w:val="32"/>
          <w:szCs w:val="32"/>
          <w:lang w:eastAsia="zh-CN"/>
          <w14:textFill>
            <w14:solidFill>
              <w14:schemeClr w14:val="tx1"/>
            </w14:solidFill>
          </w14:textFill>
        </w:rPr>
        <w:t>九</w:t>
      </w:r>
      <w:r>
        <w:rPr>
          <w:rFonts w:hint="eastAsia" w:ascii="仿宋" w:hAnsi="仿宋" w:eastAsia="仿宋" w:cs="仿宋"/>
          <w:b/>
          <w:color w:val="000000" w:themeColor="text1"/>
          <w:sz w:val="32"/>
          <w:szCs w:val="32"/>
          <w14:textFill>
            <w14:solidFill>
              <w14:schemeClr w14:val="tx1"/>
            </w14:solidFill>
          </w14:textFill>
        </w:rPr>
        <w:t>、</w:t>
      </w:r>
      <w:r>
        <w:rPr>
          <w:rFonts w:hint="eastAsia" w:ascii="宋体" w:hAnsi="宋体" w:eastAsia="宋体" w:cs="宋体"/>
          <w:b/>
          <w:color w:val="auto"/>
          <w:sz w:val="32"/>
          <w:szCs w:val="32"/>
          <w:highlight w:val="none"/>
        </w:rPr>
        <w:t>关于符合本国产品标准的声明函</w:t>
      </w:r>
    </w:p>
    <w:p w14:paraId="128E32C1">
      <w:pPr>
        <w:pStyle w:val="200"/>
        <w:numPr>
          <w:ilvl w:val="0"/>
          <w:numId w:val="0"/>
        </w:numPr>
        <w:shd w:val="clear" w:color="auto"/>
        <w:outlineLvl w:val="1"/>
        <w:rPr>
          <w:rFonts w:hint="eastAsia" w:ascii="宋体" w:hAnsi="宋体" w:eastAsia="宋体" w:cs="宋体"/>
          <w:b/>
          <w:color w:val="auto"/>
          <w:sz w:val="32"/>
          <w:szCs w:val="32"/>
          <w:highlight w:val="none"/>
        </w:rPr>
      </w:pPr>
    </w:p>
    <w:p w14:paraId="6DAF837D">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提供的以下产品属于本国产品。具体情况如下：</w:t>
      </w:r>
    </w:p>
    <w:p w14:paraId="1AFAB5D7">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63C6B57B">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1030A605">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7C02A524">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本公司（单位）对上述声明内容的真实性负责。如有虚假，愿承担相应法律责任。</w:t>
      </w:r>
    </w:p>
    <w:p w14:paraId="7AF4E614">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p>
    <w:p w14:paraId="5EA1CC70">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公司（单位）名称（盖章）：</w:t>
      </w:r>
    </w:p>
    <w:p w14:paraId="63BB7CE3">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p>
    <w:p w14:paraId="378A2CF3">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42926A3C">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p>
    <w:p w14:paraId="64C596A9">
      <w:pPr>
        <w:pStyle w:val="32"/>
        <w:rPr>
          <w:rFonts w:hint="eastAsia"/>
        </w:rPr>
      </w:pPr>
    </w:p>
    <w:p w14:paraId="305B5369">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注：1.产品如有型号，请在“产品名称”栏一并填写。</w:t>
      </w:r>
    </w:p>
    <w:p w14:paraId="2760BBED">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2.生产厂名与厂址应与生产厂营业执照载明的相关信息保持一致。</w:t>
      </w:r>
    </w:p>
    <w:p w14:paraId="04244344">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3.该产品的中国境内生产的组件成本占比相关要求实施前，“规定比例”栏可不填，下同。</w:t>
      </w:r>
    </w:p>
    <w:p w14:paraId="604FBF5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4.该产品的关键组件要求实施前，“关键组件”栏可不填，下同。</w:t>
      </w:r>
    </w:p>
    <w:p w14:paraId="2ADE4ED0">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5.该产品的关键工序要求实施前，“关键工序”栏可不填，下同。</w:t>
      </w:r>
    </w:p>
    <w:p w14:paraId="073B2501">
      <w:pPr>
        <w:widowControl/>
        <w:shd w:val="clear" w:color="auto"/>
        <w:spacing w:line="500" w:lineRule="exact"/>
        <w:ind w:firstLine="562"/>
        <w:jc w:val="both"/>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6.用斜线划除的地方无需填写。</w:t>
      </w:r>
    </w:p>
    <w:p w14:paraId="49AB4DE6">
      <w:pPr>
        <w:outlineLvl w:val="1"/>
        <w:rPr>
          <w:rFonts w:hint="eastAsia" w:ascii="仿宋" w:hAnsi="仿宋" w:eastAsia="仿宋" w:cs="仿宋"/>
          <w:b/>
          <w:color w:val="000000" w:themeColor="text1"/>
          <w:sz w:val="32"/>
          <w:szCs w:val="32"/>
          <w14:textFill>
            <w14:solidFill>
              <w14:schemeClr w14:val="tx1"/>
            </w14:solidFill>
          </w14:textFill>
        </w:rPr>
      </w:pPr>
    </w:p>
    <w:p w14:paraId="10AE9E8A">
      <w:pPr>
        <w:outlineLvl w:val="1"/>
        <w:rPr>
          <w:rFonts w:hint="eastAsia" w:ascii="仿宋" w:hAnsi="仿宋" w:eastAsia="仿宋" w:cs="仿宋"/>
          <w:b/>
          <w:color w:val="000000" w:themeColor="text1"/>
          <w:sz w:val="32"/>
          <w:szCs w:val="32"/>
          <w14:textFill>
            <w14:solidFill>
              <w14:schemeClr w14:val="tx1"/>
            </w14:solidFill>
          </w14:textFill>
        </w:rPr>
      </w:pPr>
    </w:p>
    <w:p w14:paraId="5E3B165B">
      <w:pPr>
        <w:outlineLvl w:val="1"/>
        <w:rPr>
          <w:rFonts w:hint="eastAsia" w:ascii="仿宋" w:hAnsi="仿宋" w:eastAsia="仿宋" w:cs="仿宋"/>
          <w:b/>
          <w:color w:val="000000" w:themeColor="text1"/>
          <w:sz w:val="32"/>
          <w:szCs w:val="32"/>
          <w14:textFill>
            <w14:solidFill>
              <w14:schemeClr w14:val="tx1"/>
            </w14:solidFill>
          </w14:textFill>
        </w:rPr>
      </w:pPr>
    </w:p>
    <w:p w14:paraId="48F24BA8">
      <w:pPr>
        <w:outlineLvl w:val="1"/>
        <w:rPr>
          <w:rFonts w:hint="eastAsia" w:ascii="仿宋" w:hAnsi="仿宋" w:eastAsia="仿宋" w:cs="仿宋"/>
          <w:b/>
          <w:color w:val="000000" w:themeColor="text1"/>
          <w:sz w:val="32"/>
          <w:szCs w:val="32"/>
          <w14:textFill>
            <w14:solidFill>
              <w14:schemeClr w14:val="tx1"/>
            </w14:solidFill>
          </w14:textFill>
        </w:rPr>
      </w:pPr>
    </w:p>
    <w:p w14:paraId="1354E0BE">
      <w:pPr>
        <w:outlineLvl w:val="1"/>
        <w:rPr>
          <w:rFonts w:hint="eastAsia" w:ascii="仿宋" w:hAnsi="仿宋" w:eastAsia="仿宋" w:cs="仿宋"/>
          <w:b/>
          <w:color w:val="000000" w:themeColor="text1"/>
          <w:sz w:val="32"/>
          <w:szCs w:val="32"/>
          <w14:textFill>
            <w14:solidFill>
              <w14:schemeClr w14:val="tx1"/>
            </w14:solidFill>
          </w14:textFill>
        </w:rPr>
      </w:pPr>
    </w:p>
    <w:p w14:paraId="33CD728B">
      <w:pPr>
        <w:outlineLvl w:val="1"/>
        <w:rPr>
          <w:rFonts w:hint="eastAsia" w:ascii="仿宋" w:hAnsi="仿宋" w:eastAsia="仿宋" w:cs="仿宋"/>
          <w:b/>
          <w:color w:val="000000" w:themeColor="text1"/>
          <w:sz w:val="32"/>
          <w:szCs w:val="32"/>
          <w14:textFill>
            <w14:solidFill>
              <w14:schemeClr w14:val="tx1"/>
            </w14:solidFill>
          </w14:textFill>
        </w:rPr>
      </w:pPr>
    </w:p>
    <w:p w14:paraId="4F72654F">
      <w:pPr>
        <w:outlineLvl w:val="1"/>
        <w:rPr>
          <w:rFonts w:ascii="宋体" w:hAnsi="宋体" w:eastAsia="宋体" w:cs="宋体"/>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lang w:val="en-US" w:eastAsia="zh-CN"/>
          <w14:textFill>
            <w14:solidFill>
              <w14:schemeClr w14:val="tx1"/>
            </w14:solidFill>
          </w14:textFill>
        </w:rPr>
        <w:t>十、</w:t>
      </w:r>
      <w:r>
        <w:rPr>
          <w:rFonts w:hint="eastAsia" w:ascii="宋体" w:hAnsi="宋体" w:eastAsia="宋体" w:cs="宋体"/>
          <w:b/>
          <w:color w:val="000000" w:themeColor="text1"/>
          <w:sz w:val="32"/>
          <w:szCs w:val="32"/>
          <w14:textFill>
            <w14:solidFill>
              <w14:schemeClr w14:val="tx1"/>
            </w14:solidFill>
          </w14:textFill>
        </w:rPr>
        <w:t>投标所需其他材料</w:t>
      </w:r>
      <w:bookmarkEnd w:id="171"/>
    </w:p>
    <w:p w14:paraId="3E523A15">
      <w:pPr>
        <w:spacing w:line="360" w:lineRule="auto"/>
        <w:ind w:firstLine="560"/>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请在此文档中增加投标所需其他相关内容（包括资格要求、评分办法、采购需求中涉及的证件证明及其它投标人认为有必要提供的资料），如没有请将此空文档上传。</w:t>
      </w:r>
    </w:p>
    <w:p w14:paraId="1FE308F5">
      <w:pPr>
        <w:rPr>
          <w:rFonts w:ascii="宋体" w:hAnsi="宋体" w:eastAsia="宋体" w:cs="宋体"/>
          <w:color w:val="000000" w:themeColor="text1"/>
          <w:sz w:val="20"/>
          <w:szCs w:val="21"/>
          <w14:textFill>
            <w14:solidFill>
              <w14:schemeClr w14:val="tx1"/>
            </w14:solidFill>
          </w14:textFill>
        </w:rPr>
      </w:pPr>
    </w:p>
    <w:p w14:paraId="5B69BDE4">
      <w:pPr>
        <w:rPr>
          <w:rFonts w:ascii="宋体" w:hAnsi="宋体" w:eastAsia="宋体" w:cs="宋体"/>
          <w:color w:val="000000" w:themeColor="text1"/>
          <w:szCs w:val="21"/>
          <w14:textFill>
            <w14:solidFill>
              <w14:schemeClr w14:val="tx1"/>
            </w14:solidFill>
          </w14:textFill>
        </w:rPr>
      </w:pPr>
    </w:p>
    <w:p w14:paraId="04F2B4C9">
      <w:pPr>
        <w:rPr>
          <w:rFonts w:ascii="宋体" w:hAnsi="宋体" w:eastAsia="宋体" w:cs="宋体"/>
          <w:color w:val="000000" w:themeColor="text1"/>
          <w:sz w:val="32"/>
          <w:szCs w:val="21"/>
          <w14:textFill>
            <w14:solidFill>
              <w14:schemeClr w14:val="tx1"/>
            </w14:solidFill>
          </w14:textFill>
        </w:rPr>
      </w:pPr>
    </w:p>
    <w:p w14:paraId="041C8269">
      <w:pPr>
        <w:rPr>
          <w:rFonts w:ascii="宋体" w:hAnsi="宋体" w:eastAsia="宋体" w:cs="宋体"/>
          <w:color w:val="000000" w:themeColor="text1"/>
          <w:sz w:val="32"/>
          <w:szCs w:val="21"/>
          <w14:textFill>
            <w14:solidFill>
              <w14:schemeClr w14:val="tx1"/>
            </w14:solidFill>
          </w14:textFill>
        </w:rPr>
      </w:pPr>
    </w:p>
    <w:bookmarkEnd w:id="166"/>
    <w:p w14:paraId="19F9542A">
      <w:pPr>
        <w:rPr>
          <w:rFonts w:ascii="宋体" w:hAnsi="宋体" w:eastAsia="宋体" w:cs="宋体"/>
          <w:color w:val="000000" w:themeColor="text1"/>
          <w:sz w:val="32"/>
          <w:szCs w:val="21"/>
          <w14:textFill>
            <w14:solidFill>
              <w14:schemeClr w14:val="tx1"/>
            </w14:solidFill>
          </w14:textFill>
        </w:rPr>
      </w:pPr>
    </w:p>
    <w:p w14:paraId="39D5B9E0">
      <w:pPr>
        <w:rPr>
          <w:rFonts w:ascii="宋体" w:hAnsi="宋体" w:eastAsia="宋体" w:cs="宋体"/>
          <w:color w:val="000000" w:themeColor="text1"/>
          <w:sz w:val="32"/>
          <w:szCs w:val="21"/>
          <w14:textFill>
            <w14:solidFill>
              <w14:schemeClr w14:val="tx1"/>
            </w14:solidFill>
          </w14:textFill>
        </w:rPr>
      </w:pPr>
    </w:p>
    <w:p w14:paraId="5BA04558">
      <w:pPr>
        <w:spacing w:line="480" w:lineRule="auto"/>
        <w:rPr>
          <w:rFonts w:ascii="宋体" w:hAnsi="宋体" w:eastAsia="宋体" w:cs="宋体"/>
          <w:color w:val="000000" w:themeColor="text1"/>
          <w:sz w:val="24"/>
          <w:szCs w:val="21"/>
          <w14:textFill>
            <w14:solidFill>
              <w14:schemeClr w14:val="tx1"/>
            </w14:solidFill>
          </w14:textFill>
        </w:rPr>
      </w:pPr>
    </w:p>
    <w:p w14:paraId="038E9B7C">
      <w:pPr>
        <w:spacing w:line="480" w:lineRule="auto"/>
        <w:rPr>
          <w:rFonts w:ascii="宋体" w:hAnsi="宋体" w:eastAsia="宋体" w:cs="宋体"/>
          <w:color w:val="000000" w:themeColor="text1"/>
          <w:sz w:val="30"/>
          <w:szCs w:val="21"/>
          <w14:textFill>
            <w14:solidFill>
              <w14:schemeClr w14:val="tx1"/>
            </w14:solidFill>
          </w14:textFill>
        </w:rPr>
      </w:pPr>
    </w:p>
    <w:p w14:paraId="3157F441">
      <w:pPr>
        <w:rPr>
          <w:rFonts w:ascii="宋体" w:hAnsi="宋体" w:eastAsia="宋体" w:cs="宋体"/>
          <w:color w:val="000000" w:themeColor="text1"/>
          <w:sz w:val="24"/>
          <w:szCs w:val="21"/>
          <w14:textFill>
            <w14:solidFill>
              <w14:schemeClr w14:val="tx1"/>
            </w14:solidFill>
          </w14:textFill>
        </w:rPr>
      </w:pPr>
      <w:bookmarkStart w:id="172" w:name="_Hlt26671374"/>
      <w:bookmarkEnd w:id="172"/>
      <w:bookmarkStart w:id="173" w:name="_Hlt26609389"/>
      <w:bookmarkEnd w:id="173"/>
      <w:bookmarkStart w:id="174" w:name="_Hlt26955066"/>
      <w:bookmarkEnd w:id="174"/>
      <w:bookmarkStart w:id="175" w:name="_Toc462564146"/>
    </w:p>
    <w:p w14:paraId="556E1C49">
      <w:pPr>
        <w:rPr>
          <w:rFonts w:ascii="宋体" w:hAnsi="宋体" w:eastAsia="宋体" w:cs="宋体"/>
          <w:color w:val="000000" w:themeColor="text1"/>
          <w:sz w:val="24"/>
          <w:szCs w:val="21"/>
          <w14:textFill>
            <w14:solidFill>
              <w14:schemeClr w14:val="tx1"/>
            </w14:solidFill>
          </w14:textFill>
        </w:rPr>
      </w:pPr>
    </w:p>
    <w:p w14:paraId="2FAACAB3">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792A701">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047E7B84">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3441CC0A">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bookmarkEnd w:id="141"/>
    <w:bookmarkEnd w:id="142"/>
    <w:bookmarkEnd w:id="175"/>
    <w:p w14:paraId="383A4FD5">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232F59F">
      <w:pPr>
        <w:spacing w:line="560" w:lineRule="exact"/>
        <w:ind w:firstLine="480"/>
        <w:rPr>
          <w:rFonts w:ascii="宋体" w:hAnsi="宋体" w:eastAsia="宋体" w:cs="宋体"/>
          <w:color w:val="000000" w:themeColor="text1"/>
          <w:sz w:val="24"/>
          <w:szCs w:val="32"/>
          <w:lang w:val="zh-TW"/>
          <w14:textFill>
            <w14:solidFill>
              <w14:schemeClr w14:val="tx1"/>
            </w14:solidFill>
          </w14:textFill>
        </w:rPr>
      </w:pPr>
    </w:p>
    <w:p w14:paraId="7CB5C8CF">
      <w:pPr>
        <w:jc w:val="center"/>
        <w:rPr>
          <w:rFonts w:ascii="宋体" w:hAnsi="宋体" w:eastAsia="宋体" w:cs="宋体"/>
          <w:b/>
          <w:bCs/>
          <w:color w:val="000000" w:themeColor="text1"/>
          <w:sz w:val="32"/>
          <w:szCs w:val="32"/>
          <w14:textFill>
            <w14:solidFill>
              <w14:schemeClr w14:val="tx1"/>
            </w14:solidFill>
          </w14:textFill>
        </w:rPr>
      </w:pPr>
      <w:bookmarkStart w:id="176" w:name="_格式2__法定代表人授权书"/>
      <w:bookmarkEnd w:id="176"/>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质疑函范本</w:t>
      </w:r>
    </w:p>
    <w:p w14:paraId="44E4942A">
      <w:pPr>
        <w:spacing w:before="290"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一、质疑投标人基本信息</w:t>
      </w:r>
    </w:p>
    <w:p w14:paraId="7AE2718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质疑投标人：</w:t>
      </w:r>
      <w:r>
        <w:rPr>
          <w:rFonts w:hint="eastAsia" w:ascii="宋体" w:hAnsi="宋体" w:eastAsia="宋体" w:cs="宋体"/>
          <w:color w:val="000000" w:themeColor="text1"/>
          <w:sz w:val="24"/>
          <w:u w:val="single"/>
          <w14:textFill>
            <w14:solidFill>
              <w14:schemeClr w14:val="tx1"/>
            </w14:solidFill>
          </w14:textFill>
        </w:rPr>
        <w:t xml:space="preserve">                                                              </w:t>
      </w:r>
    </w:p>
    <w:p w14:paraId="32CAE880">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邮编：</w:t>
      </w:r>
      <w:r>
        <w:rPr>
          <w:rFonts w:hint="eastAsia" w:ascii="宋体" w:hAnsi="宋体" w:eastAsia="宋体" w:cs="宋体"/>
          <w:color w:val="000000" w:themeColor="text1"/>
          <w:sz w:val="24"/>
          <w:u w:val="single"/>
          <w14:textFill>
            <w14:solidFill>
              <w14:schemeClr w14:val="tx1"/>
            </w14:solidFill>
          </w14:textFill>
        </w:rPr>
        <w:t xml:space="preserve">                                    </w:t>
      </w:r>
    </w:p>
    <w:p w14:paraId="4DEB1DB8">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联系电话：</w:t>
      </w:r>
      <w:r>
        <w:rPr>
          <w:rFonts w:hint="eastAsia" w:ascii="宋体" w:hAnsi="宋体" w:eastAsia="宋体" w:cs="宋体"/>
          <w:color w:val="000000" w:themeColor="text1"/>
          <w:sz w:val="24"/>
          <w:u w:val="single"/>
          <w14:textFill>
            <w14:solidFill>
              <w14:schemeClr w14:val="tx1"/>
            </w14:solidFill>
          </w14:textFill>
        </w:rPr>
        <w:t xml:space="preserve">                                       </w:t>
      </w:r>
    </w:p>
    <w:p w14:paraId="725BFB6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授权代表：</w:t>
      </w:r>
      <w:r>
        <w:rPr>
          <w:rFonts w:hint="eastAsia" w:ascii="宋体" w:hAnsi="宋体" w:eastAsia="宋体" w:cs="宋体"/>
          <w:color w:val="000000" w:themeColor="text1"/>
          <w:sz w:val="24"/>
          <w:u w:val="single"/>
          <w14:textFill>
            <w14:solidFill>
              <w14:schemeClr w14:val="tx1"/>
            </w14:solidFill>
          </w14:textFill>
        </w:rPr>
        <w:t xml:space="preserve">                                                                 </w:t>
      </w:r>
    </w:p>
    <w:p w14:paraId="61536738">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联系电话：</w:t>
      </w:r>
      <w:r>
        <w:rPr>
          <w:rFonts w:hint="eastAsia" w:ascii="宋体" w:hAnsi="宋体" w:eastAsia="宋体" w:cs="宋体"/>
          <w:color w:val="000000" w:themeColor="text1"/>
          <w:sz w:val="24"/>
          <w:u w:val="single"/>
          <w14:textFill>
            <w14:solidFill>
              <w14:schemeClr w14:val="tx1"/>
            </w14:solidFill>
          </w14:textFill>
        </w:rPr>
        <w:t xml:space="preserve">                                                                </w:t>
      </w:r>
    </w:p>
    <w:p w14:paraId="0CF677FD">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邮编：</w:t>
      </w:r>
      <w:r>
        <w:rPr>
          <w:rFonts w:hint="eastAsia" w:ascii="宋体" w:hAnsi="宋体" w:eastAsia="宋体" w:cs="宋体"/>
          <w:color w:val="000000" w:themeColor="text1"/>
          <w:sz w:val="24"/>
          <w:u w:val="single"/>
          <w14:textFill>
            <w14:solidFill>
              <w14:schemeClr w14:val="tx1"/>
            </w14:solidFill>
          </w14:textFill>
        </w:rPr>
        <w:t xml:space="preserve">                                     </w:t>
      </w:r>
    </w:p>
    <w:p w14:paraId="457E6C46">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二、质疑项目基本情况</w:t>
      </w:r>
    </w:p>
    <w:p w14:paraId="50169B27">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质疑项目的名称：</w:t>
      </w:r>
      <w:r>
        <w:rPr>
          <w:rFonts w:hint="eastAsia" w:ascii="宋体" w:hAnsi="宋体" w:eastAsia="宋体" w:cs="宋体"/>
          <w:color w:val="000000" w:themeColor="text1"/>
          <w:sz w:val="24"/>
          <w:u w:val="single"/>
          <w14:textFill>
            <w14:solidFill>
              <w14:schemeClr w14:val="tx1"/>
            </w14:solidFill>
          </w14:textFill>
        </w:rPr>
        <w:t xml:space="preserve">                                                          </w:t>
      </w:r>
    </w:p>
    <w:p w14:paraId="4CCCEFFB">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质疑项目的编号：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包号：</w:t>
      </w:r>
      <w:r>
        <w:rPr>
          <w:rFonts w:hint="eastAsia" w:ascii="宋体" w:hAnsi="宋体" w:eastAsia="宋体" w:cs="宋体"/>
          <w:color w:val="000000" w:themeColor="text1"/>
          <w:sz w:val="24"/>
          <w:u w:val="single"/>
          <w14:textFill>
            <w14:solidFill>
              <w14:schemeClr w14:val="tx1"/>
            </w14:solidFill>
          </w14:textFill>
        </w:rPr>
        <w:t xml:space="preserve">                           </w:t>
      </w:r>
    </w:p>
    <w:p w14:paraId="0A9DFDE6">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招标人名称：</w:t>
      </w:r>
      <w:r>
        <w:rPr>
          <w:rFonts w:hint="eastAsia" w:ascii="宋体" w:hAnsi="宋体" w:eastAsia="宋体" w:cs="宋体"/>
          <w:color w:val="000000" w:themeColor="text1"/>
          <w:sz w:val="24"/>
          <w:u w:val="single"/>
          <w14:textFill>
            <w14:solidFill>
              <w14:schemeClr w14:val="tx1"/>
            </w14:solidFill>
          </w14:textFill>
        </w:rPr>
        <w:t xml:space="preserve">                                                              </w:t>
      </w:r>
    </w:p>
    <w:p w14:paraId="262A24FD">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采购文件获取日期：</w:t>
      </w:r>
      <w:r>
        <w:rPr>
          <w:rFonts w:hint="eastAsia" w:ascii="宋体" w:hAnsi="宋体" w:eastAsia="宋体" w:cs="宋体"/>
          <w:color w:val="000000" w:themeColor="text1"/>
          <w:sz w:val="24"/>
          <w:u w:val="single"/>
          <w14:textFill>
            <w14:solidFill>
              <w14:schemeClr w14:val="tx1"/>
            </w14:solidFill>
          </w14:textFill>
        </w:rPr>
        <w:t xml:space="preserve">                                                        </w:t>
      </w:r>
    </w:p>
    <w:p w14:paraId="52B1A56C">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三、质疑事项具体内容</w:t>
      </w:r>
    </w:p>
    <w:p w14:paraId="32028C64">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质疑事项1：</w:t>
      </w:r>
      <w:r>
        <w:rPr>
          <w:rFonts w:hint="eastAsia" w:ascii="宋体" w:hAnsi="宋体" w:eastAsia="宋体" w:cs="宋体"/>
          <w:color w:val="000000" w:themeColor="text1"/>
          <w:sz w:val="24"/>
          <w:u w:val="single"/>
          <w14:textFill>
            <w14:solidFill>
              <w14:schemeClr w14:val="tx1"/>
            </w14:solidFill>
          </w14:textFill>
        </w:rPr>
        <w:t xml:space="preserve">                                                              </w:t>
      </w:r>
    </w:p>
    <w:p w14:paraId="2125B63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事实依据：</w:t>
      </w:r>
      <w:r>
        <w:rPr>
          <w:rFonts w:hint="eastAsia" w:ascii="宋体" w:hAnsi="宋体" w:eastAsia="宋体" w:cs="宋体"/>
          <w:color w:val="000000" w:themeColor="text1"/>
          <w:sz w:val="24"/>
          <w:u w:val="single"/>
          <w14:textFill>
            <w14:solidFill>
              <w14:schemeClr w14:val="tx1"/>
            </w14:solidFill>
          </w14:textFill>
        </w:rPr>
        <w:t xml:space="preserve">                                                                </w:t>
      </w:r>
    </w:p>
    <w:p w14:paraId="5E000DC4">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p>
    <w:p w14:paraId="0C8E542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法律依据：</w:t>
      </w:r>
      <w:r>
        <w:rPr>
          <w:rFonts w:hint="eastAsia" w:ascii="宋体" w:hAnsi="宋体" w:eastAsia="宋体" w:cs="宋体"/>
          <w:color w:val="000000" w:themeColor="text1"/>
          <w:sz w:val="24"/>
          <w:u w:val="single"/>
          <w14:textFill>
            <w14:solidFill>
              <w14:schemeClr w14:val="tx1"/>
            </w14:solidFill>
          </w14:textFill>
        </w:rPr>
        <w:t xml:space="preserve">                                                                 </w:t>
      </w:r>
    </w:p>
    <w:p w14:paraId="5E616325">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p>
    <w:p w14:paraId="7372D487">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质疑事项2</w:t>
      </w:r>
    </w:p>
    <w:p w14:paraId="0522EC1B">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p>
    <w:p w14:paraId="03C71B4E">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四、与质疑事项相关的质疑请求</w:t>
      </w:r>
    </w:p>
    <w:p w14:paraId="21145909">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请求：</w:t>
      </w:r>
      <w:r>
        <w:rPr>
          <w:rFonts w:hint="eastAsia" w:ascii="宋体" w:hAnsi="宋体" w:eastAsia="宋体" w:cs="宋体"/>
          <w:color w:val="000000" w:themeColor="text1"/>
          <w:sz w:val="24"/>
          <w:u w:val="single"/>
          <w14:textFill>
            <w14:solidFill>
              <w14:schemeClr w14:val="tx1"/>
            </w14:solidFill>
          </w14:textFill>
        </w:rPr>
        <w:t xml:space="preserve">                                                                     </w:t>
      </w:r>
    </w:p>
    <w:p w14:paraId="7A1137E7">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签字（签章）：                   公章：                      </w:t>
      </w:r>
    </w:p>
    <w:p w14:paraId="4F3547EC">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w:t>
      </w:r>
    </w:p>
    <w:p w14:paraId="37AA2BBD">
      <w:pPr>
        <w:spacing w:line="5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质疑函制作说明：</w:t>
      </w:r>
    </w:p>
    <w:p w14:paraId="4D0F98E3">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1.投标人提出质疑时，应提交质疑函和必要的证明材料。</w:t>
      </w:r>
    </w:p>
    <w:p w14:paraId="648C87EC">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29754A49">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3.质疑投标人若对项目的某一</w:t>
      </w:r>
      <w:r>
        <w:rPr>
          <w:rFonts w:hint="eastAsia" w:ascii="宋体" w:hAnsi="宋体" w:eastAsia="宋体" w:cs="宋体"/>
          <w:color w:val="000000" w:themeColor="text1"/>
          <w:sz w:val="24"/>
          <w:lang w:val="en-US" w:eastAsia="zh-CN"/>
          <w14:textFill>
            <w14:solidFill>
              <w14:schemeClr w14:val="tx1"/>
            </w14:solidFill>
          </w14:textFill>
        </w:rPr>
        <w:t>采购包</w:t>
      </w:r>
      <w:r>
        <w:rPr>
          <w:rFonts w:hint="eastAsia" w:ascii="宋体" w:hAnsi="宋体" w:eastAsia="宋体" w:cs="宋体"/>
          <w:color w:val="000000" w:themeColor="text1"/>
          <w:sz w:val="24"/>
          <w14:textFill>
            <w14:solidFill>
              <w14:schemeClr w14:val="tx1"/>
            </w14:solidFill>
          </w14:textFill>
        </w:rPr>
        <w:t>进行质疑，质疑函中应列明具体</w:t>
      </w:r>
      <w:r>
        <w:rPr>
          <w:rFonts w:hint="eastAsia" w:ascii="宋体" w:hAnsi="宋体" w:eastAsia="宋体" w:cs="宋体"/>
          <w:color w:val="000000" w:themeColor="text1"/>
          <w:sz w:val="24"/>
          <w:lang w:val="en-US" w:eastAsia="zh-CN"/>
          <w14:textFill>
            <w14:solidFill>
              <w14:schemeClr w14:val="tx1"/>
            </w14:solidFill>
          </w14:textFill>
        </w:rPr>
        <w:t>采购包</w:t>
      </w:r>
      <w:r>
        <w:rPr>
          <w:rFonts w:hint="eastAsia" w:ascii="宋体" w:hAnsi="宋体" w:eastAsia="宋体" w:cs="宋体"/>
          <w:color w:val="000000" w:themeColor="text1"/>
          <w:sz w:val="24"/>
          <w14:textFill>
            <w14:solidFill>
              <w14:schemeClr w14:val="tx1"/>
            </w14:solidFill>
          </w14:textFill>
        </w:rPr>
        <w:t>号。</w:t>
      </w:r>
    </w:p>
    <w:p w14:paraId="5FAD3D5F">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4.质疑函的质疑事项应具体、明确，并有必要的事实依据和法律依据。</w:t>
      </w:r>
    </w:p>
    <w:p w14:paraId="7AB1AFBB">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5.质疑函的质疑请求应与质疑事项相关。</w:t>
      </w:r>
    </w:p>
    <w:p w14:paraId="48ECC16C">
      <w:pPr>
        <w:widowControl/>
        <w:spacing w:line="500" w:lineRule="exact"/>
        <w:ind w:firstLine="480"/>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0EEBE847">
      <w:pPr>
        <w:widowControl/>
        <w:spacing w:line="400" w:lineRule="exact"/>
        <w:ind w:firstLine="480"/>
        <w:jc w:val="left"/>
        <w:rPr>
          <w:rFonts w:ascii="宋体" w:hAnsi="宋体" w:eastAsia="宋体" w:cs="宋体"/>
          <w:color w:val="000000" w:themeColor="text1"/>
          <w:sz w:val="24"/>
          <w14:textFill>
            <w14:solidFill>
              <w14:schemeClr w14:val="tx1"/>
            </w14:solidFill>
          </w14:textFill>
        </w:rPr>
      </w:pPr>
    </w:p>
    <w:p w14:paraId="21DCC105">
      <w:pPr>
        <w:ind w:firstLine="420"/>
        <w:rPr>
          <w:rFonts w:ascii="宋体" w:hAnsi="宋体" w:eastAsia="宋体" w:cs="宋体"/>
          <w:color w:val="000000" w:themeColor="text1"/>
          <w:sz w:val="24"/>
          <w14:textFill>
            <w14:solidFill>
              <w14:schemeClr w14:val="tx1"/>
            </w14:solidFill>
          </w14:textFill>
        </w:rPr>
      </w:pPr>
    </w:p>
    <w:p w14:paraId="3548BC92">
      <w:pPr>
        <w:ind w:firstLine="420"/>
        <w:rPr>
          <w:rFonts w:ascii="宋体" w:hAnsi="宋体" w:eastAsia="宋体" w:cs="宋体"/>
          <w:color w:val="000000" w:themeColor="text1"/>
          <w:sz w:val="24"/>
          <w14:textFill>
            <w14:solidFill>
              <w14:schemeClr w14:val="tx1"/>
            </w14:solidFill>
          </w14:textFill>
        </w:rPr>
      </w:pPr>
    </w:p>
    <w:p w14:paraId="7FEA647D">
      <w:pPr>
        <w:rPr>
          <w:rFonts w:ascii="宋体" w:hAnsi="宋体" w:eastAsia="宋体" w:cs="宋体"/>
          <w:color w:val="000000" w:themeColor="text1"/>
          <w:szCs w:val="21"/>
          <w14:textFill>
            <w14:solidFill>
              <w14:schemeClr w14:val="tx1"/>
            </w14:solidFill>
          </w14:textFill>
        </w:rPr>
      </w:pPr>
    </w:p>
    <w:p w14:paraId="0E54DEFE">
      <w:pPr>
        <w:rPr>
          <w:rFonts w:ascii="宋体" w:hAnsi="宋体" w:eastAsia="宋体" w:cs="宋体"/>
          <w:color w:val="000000" w:themeColor="text1"/>
          <w:szCs w:val="21"/>
          <w14:textFill>
            <w14:solidFill>
              <w14:schemeClr w14:val="tx1"/>
            </w14:solidFill>
          </w14:textFill>
        </w:rPr>
      </w:pPr>
    </w:p>
    <w:p w14:paraId="1B61E41F">
      <w:pPr>
        <w:rPr>
          <w:rFonts w:ascii="宋体" w:hAnsi="宋体" w:eastAsia="宋体" w:cs="宋体"/>
          <w:color w:val="000000" w:themeColor="text1"/>
          <w14:textFill>
            <w14:solidFill>
              <w14:schemeClr w14:val="tx1"/>
            </w14:solidFill>
          </w14:textFill>
        </w:rPr>
      </w:pPr>
    </w:p>
    <w:p w14:paraId="6F7C13D7">
      <w:pPr>
        <w:rPr>
          <w:rFonts w:ascii="宋体" w:hAnsi="宋体" w:eastAsia="宋体" w:cs="宋体"/>
          <w:color w:val="000000" w:themeColor="text1"/>
          <w14:textFill>
            <w14:solidFill>
              <w14:schemeClr w14:val="tx1"/>
            </w14:solidFill>
          </w14:textFill>
        </w:rPr>
      </w:pPr>
    </w:p>
    <w:p w14:paraId="3CBBD8BC">
      <w:pPr>
        <w:rPr>
          <w:color w:val="000000" w:themeColor="text1"/>
          <w14:textFill>
            <w14:solidFill>
              <w14:schemeClr w14:val="tx1"/>
            </w14:solidFill>
          </w14:textFill>
        </w:rPr>
      </w:pPr>
    </w:p>
    <w:sectPr>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C69D6">
    <w:pP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5184B">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3725184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E567">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8A14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4498A14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C0E5F">
    <w:pPr>
      <w:tabs>
        <w:tab w:val="center" w:pos="4153"/>
        <w:tab w:val="right" w:pos="8306"/>
      </w:tabs>
      <w:jc w:val="cente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E58DD">
                          <w:pPr>
                            <w:pStyle w:val="2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019E58DD">
                    <w:pPr>
                      <w:pStyle w:val="2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64855">
    <w:pPr>
      <w:tabs>
        <w:tab w:val="center" w:pos="4153"/>
        <w:tab w:val="right" w:pos="8306"/>
      </w:tabs>
      <w:rPr>
        <w:rFonts w:ascii="Times New Roman" w:hAnsi="Times New Roman" w:eastAsia="宋体"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85120">
                          <w:pPr>
                            <w:pStyle w:val="2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57285120">
                    <w:pPr>
                      <w:pStyle w:val="2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E977F">
    <w:pPr>
      <w:jc w:val="center"/>
      <w:rPr>
        <w:rFonts w:ascii="Times New Roman" w:hAnsi="Times New Roman" w:eastAsia="宋体"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8699">
    <w:pPr>
      <w:tabs>
        <w:tab w:val="center" w:pos="4153"/>
        <w:tab w:val="right" w:pos="8306"/>
      </w:tabs>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EF7210E"/>
    <w:multiLevelType w:val="singleLevel"/>
    <w:tmpl w:val="2EF7210E"/>
    <w:lvl w:ilvl="0" w:tentative="0">
      <w:start w:val="5"/>
      <w:numFmt w:val="chineseCounting"/>
      <w:suff w:val="nothing"/>
      <w:lvlText w:val="（%1）"/>
      <w:lvlJc w:val="left"/>
      <w:rPr>
        <w:rFonts w:hint="eastAsia"/>
      </w:rPr>
    </w:lvl>
  </w:abstractNum>
  <w:abstractNum w:abstractNumId="2">
    <w:nsid w:val="51811E3C"/>
    <w:multiLevelType w:val="singleLevel"/>
    <w:tmpl w:val="51811E3C"/>
    <w:lvl w:ilvl="0" w:tentative="0">
      <w:start w:val="2"/>
      <w:numFmt w:val="decimal"/>
      <w:lvlText w:val="%1."/>
      <w:lvlJc w:val="left"/>
      <w:pPr>
        <w:tabs>
          <w:tab w:val="left" w:pos="312"/>
        </w:tabs>
      </w:pPr>
    </w:lvl>
  </w:abstractNum>
  <w:abstractNum w:abstractNumId="3">
    <w:nsid w:val="59ADCABA"/>
    <w:multiLevelType w:val="multilevel"/>
    <w:tmpl w:val="59ADCABA"/>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2DCA39A"/>
    <w:multiLevelType w:val="singleLevel"/>
    <w:tmpl w:val="72DCA39A"/>
    <w:lvl w:ilvl="0" w:tentative="0">
      <w:start w:val="4"/>
      <w:numFmt w:val="chineseCounting"/>
      <w:suff w:val="nothing"/>
      <w:lvlText w:val="%1、"/>
      <w:lvlJc w:val="left"/>
      <w:rPr>
        <w:rFonts w:hint="eastAsia"/>
      </w:rPr>
    </w:lvl>
  </w:abstractNum>
  <w:abstractNum w:abstractNumId="5">
    <w:nsid w:val="7CDE6266"/>
    <w:multiLevelType w:val="singleLevel"/>
    <w:tmpl w:val="7CDE6266"/>
    <w:lvl w:ilvl="0" w:tentative="0">
      <w:start w:val="1"/>
      <w:numFmt w:val="chineseCounting"/>
      <w:suff w:val="nothing"/>
      <w:lvlText w:val="（%1）"/>
      <w:lvlJc w:val="left"/>
      <w:rPr>
        <w:rFonts w:hint="eastAsia"/>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60F0D"/>
    <w:rsid w:val="02251150"/>
    <w:rsid w:val="02322D20"/>
    <w:rsid w:val="04243DB5"/>
    <w:rsid w:val="04497102"/>
    <w:rsid w:val="04F94333"/>
    <w:rsid w:val="06783F44"/>
    <w:rsid w:val="097430E9"/>
    <w:rsid w:val="0AC23BD1"/>
    <w:rsid w:val="0BEC0234"/>
    <w:rsid w:val="0C721436"/>
    <w:rsid w:val="0C85560D"/>
    <w:rsid w:val="0DBC0BBA"/>
    <w:rsid w:val="0E7D2A40"/>
    <w:rsid w:val="0ED40186"/>
    <w:rsid w:val="0EE52393"/>
    <w:rsid w:val="101F4799"/>
    <w:rsid w:val="12062D4C"/>
    <w:rsid w:val="12231403"/>
    <w:rsid w:val="124243B3"/>
    <w:rsid w:val="12D06EB6"/>
    <w:rsid w:val="14101C60"/>
    <w:rsid w:val="14926B19"/>
    <w:rsid w:val="1582093B"/>
    <w:rsid w:val="15920D1C"/>
    <w:rsid w:val="15A05265"/>
    <w:rsid w:val="15C9656A"/>
    <w:rsid w:val="16EA58C1"/>
    <w:rsid w:val="17BD3EAD"/>
    <w:rsid w:val="18117D55"/>
    <w:rsid w:val="1860294B"/>
    <w:rsid w:val="18ED6A14"/>
    <w:rsid w:val="193208CA"/>
    <w:rsid w:val="19BA177B"/>
    <w:rsid w:val="1A736AA5"/>
    <w:rsid w:val="1A805DDF"/>
    <w:rsid w:val="1AEC6857"/>
    <w:rsid w:val="1B4E57FD"/>
    <w:rsid w:val="1B743FAF"/>
    <w:rsid w:val="1B7F1479"/>
    <w:rsid w:val="1C314E69"/>
    <w:rsid w:val="1C7A05BE"/>
    <w:rsid w:val="1D100F23"/>
    <w:rsid w:val="1D7F39B2"/>
    <w:rsid w:val="1DE71C83"/>
    <w:rsid w:val="1E636E30"/>
    <w:rsid w:val="1EAA2F55"/>
    <w:rsid w:val="1F861028"/>
    <w:rsid w:val="1FC81641"/>
    <w:rsid w:val="20D9162C"/>
    <w:rsid w:val="21294361"/>
    <w:rsid w:val="2205092A"/>
    <w:rsid w:val="22564482"/>
    <w:rsid w:val="226A714E"/>
    <w:rsid w:val="235651B5"/>
    <w:rsid w:val="237B69CA"/>
    <w:rsid w:val="237F64BA"/>
    <w:rsid w:val="242E1C8E"/>
    <w:rsid w:val="251315B0"/>
    <w:rsid w:val="2527505B"/>
    <w:rsid w:val="253B0B07"/>
    <w:rsid w:val="26505FC4"/>
    <w:rsid w:val="268F2EB8"/>
    <w:rsid w:val="27030D76"/>
    <w:rsid w:val="277A5916"/>
    <w:rsid w:val="27D843EB"/>
    <w:rsid w:val="28B7310E"/>
    <w:rsid w:val="28CF1C92"/>
    <w:rsid w:val="292D3962"/>
    <w:rsid w:val="29433779"/>
    <w:rsid w:val="295D1AE5"/>
    <w:rsid w:val="29FA0F90"/>
    <w:rsid w:val="2A5749FC"/>
    <w:rsid w:val="2AD27817"/>
    <w:rsid w:val="2B404781"/>
    <w:rsid w:val="2D1E4F96"/>
    <w:rsid w:val="2D2C1E4D"/>
    <w:rsid w:val="2D542766"/>
    <w:rsid w:val="2DEF248E"/>
    <w:rsid w:val="2E5B7B24"/>
    <w:rsid w:val="2EA86D20"/>
    <w:rsid w:val="2F634EE2"/>
    <w:rsid w:val="2F7D7BFE"/>
    <w:rsid w:val="2F8337D6"/>
    <w:rsid w:val="300D4E4E"/>
    <w:rsid w:val="304F2F3D"/>
    <w:rsid w:val="308B0B94"/>
    <w:rsid w:val="309C4B4F"/>
    <w:rsid w:val="3138414C"/>
    <w:rsid w:val="315A40C3"/>
    <w:rsid w:val="31EB11BF"/>
    <w:rsid w:val="31F664E1"/>
    <w:rsid w:val="326C2300"/>
    <w:rsid w:val="32AC6713"/>
    <w:rsid w:val="338B4A07"/>
    <w:rsid w:val="34E645EB"/>
    <w:rsid w:val="36266C69"/>
    <w:rsid w:val="371B6F9D"/>
    <w:rsid w:val="37A83DDA"/>
    <w:rsid w:val="38AF73EA"/>
    <w:rsid w:val="3B0A0908"/>
    <w:rsid w:val="3B3616FD"/>
    <w:rsid w:val="3BD02487"/>
    <w:rsid w:val="3C2974B3"/>
    <w:rsid w:val="3CE33B06"/>
    <w:rsid w:val="3D08531B"/>
    <w:rsid w:val="3DC65327"/>
    <w:rsid w:val="3DDF6293"/>
    <w:rsid w:val="3E4110D7"/>
    <w:rsid w:val="3E5E4F1E"/>
    <w:rsid w:val="3E884D3E"/>
    <w:rsid w:val="3F827606"/>
    <w:rsid w:val="3F984734"/>
    <w:rsid w:val="3FAF7CCF"/>
    <w:rsid w:val="3FE94F8F"/>
    <w:rsid w:val="41E64A44"/>
    <w:rsid w:val="422A188F"/>
    <w:rsid w:val="42D51A60"/>
    <w:rsid w:val="43FA3C0F"/>
    <w:rsid w:val="45765517"/>
    <w:rsid w:val="46971BE9"/>
    <w:rsid w:val="46DD15C6"/>
    <w:rsid w:val="4710374A"/>
    <w:rsid w:val="47583313"/>
    <w:rsid w:val="47AC615E"/>
    <w:rsid w:val="47C3221B"/>
    <w:rsid w:val="47CF0F0F"/>
    <w:rsid w:val="48052B82"/>
    <w:rsid w:val="48DB38E3"/>
    <w:rsid w:val="4A8A779D"/>
    <w:rsid w:val="4AE03433"/>
    <w:rsid w:val="4AEA6060"/>
    <w:rsid w:val="4B320132"/>
    <w:rsid w:val="4BAF1783"/>
    <w:rsid w:val="4E6A0907"/>
    <w:rsid w:val="4EBE143F"/>
    <w:rsid w:val="4F642884"/>
    <w:rsid w:val="4F8D1DDB"/>
    <w:rsid w:val="4FB9443F"/>
    <w:rsid w:val="4FBE7C5D"/>
    <w:rsid w:val="4FE34B53"/>
    <w:rsid w:val="51237B2B"/>
    <w:rsid w:val="51DF05C2"/>
    <w:rsid w:val="54F65B02"/>
    <w:rsid w:val="550A17D8"/>
    <w:rsid w:val="55E02539"/>
    <w:rsid w:val="55FF6AA8"/>
    <w:rsid w:val="56130B60"/>
    <w:rsid w:val="59C008B0"/>
    <w:rsid w:val="5B5714EF"/>
    <w:rsid w:val="5BBB7CD0"/>
    <w:rsid w:val="5C480E38"/>
    <w:rsid w:val="5D0C7246"/>
    <w:rsid w:val="5D935EDD"/>
    <w:rsid w:val="5E177E70"/>
    <w:rsid w:val="5E304448"/>
    <w:rsid w:val="5E6A32E8"/>
    <w:rsid w:val="5E7B3747"/>
    <w:rsid w:val="5F3758C0"/>
    <w:rsid w:val="5FD446C6"/>
    <w:rsid w:val="5FDC1FC3"/>
    <w:rsid w:val="607D1C07"/>
    <w:rsid w:val="614302DD"/>
    <w:rsid w:val="615E268C"/>
    <w:rsid w:val="63CB65D6"/>
    <w:rsid w:val="641A755E"/>
    <w:rsid w:val="6434612D"/>
    <w:rsid w:val="64B957DA"/>
    <w:rsid w:val="64C80D68"/>
    <w:rsid w:val="65442AE4"/>
    <w:rsid w:val="66B12029"/>
    <w:rsid w:val="66E005EB"/>
    <w:rsid w:val="67044F7F"/>
    <w:rsid w:val="68B03FED"/>
    <w:rsid w:val="69780FAF"/>
    <w:rsid w:val="69CB429F"/>
    <w:rsid w:val="6A0E683A"/>
    <w:rsid w:val="6AE461D0"/>
    <w:rsid w:val="6B2F1B41"/>
    <w:rsid w:val="6B5C220A"/>
    <w:rsid w:val="6B715CB5"/>
    <w:rsid w:val="6C335661"/>
    <w:rsid w:val="6D857C81"/>
    <w:rsid w:val="6DF36E56"/>
    <w:rsid w:val="6ED21161"/>
    <w:rsid w:val="6F8D7496"/>
    <w:rsid w:val="710F0455"/>
    <w:rsid w:val="72227D09"/>
    <w:rsid w:val="735C724B"/>
    <w:rsid w:val="7399049F"/>
    <w:rsid w:val="7450329B"/>
    <w:rsid w:val="74AA048A"/>
    <w:rsid w:val="755723C0"/>
    <w:rsid w:val="75C701D8"/>
    <w:rsid w:val="76453A15"/>
    <w:rsid w:val="76DB0DCF"/>
    <w:rsid w:val="76EE3728"/>
    <w:rsid w:val="76EF1DF0"/>
    <w:rsid w:val="77291B3A"/>
    <w:rsid w:val="774467F3"/>
    <w:rsid w:val="77C74EAF"/>
    <w:rsid w:val="790F6B0E"/>
    <w:rsid w:val="797057FE"/>
    <w:rsid w:val="79A25BD4"/>
    <w:rsid w:val="79B841EB"/>
    <w:rsid w:val="7A3449A8"/>
    <w:rsid w:val="7AB1259D"/>
    <w:rsid w:val="7AF1471D"/>
    <w:rsid w:val="7C3A6597"/>
    <w:rsid w:val="7C7E0232"/>
    <w:rsid w:val="7CCC3693"/>
    <w:rsid w:val="7E266F7F"/>
    <w:rsid w:val="7EAF0B77"/>
    <w:rsid w:val="7EDF2CD5"/>
    <w:rsid w:val="7F6C4DEE"/>
    <w:rsid w:val="7F73429A"/>
    <w:rsid w:val="7F916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next w:val="4"/>
    <w:qFormat/>
    <w:uiPriority w:val="0"/>
    <w:pPr>
      <w:keepNext/>
      <w:keepLines/>
      <w:widowControl w:val="0"/>
      <w:spacing w:before="260" w:after="260" w:line="413" w:lineRule="auto"/>
      <w:jc w:val="both"/>
      <w:outlineLvl w:val="1"/>
    </w:pPr>
    <w:rPr>
      <w:rFonts w:hint="default" w:ascii="Arial" w:hAnsi="Arial" w:eastAsia="黑体" w:cs="Times New Roman"/>
      <w:b/>
      <w:sz w:val="32"/>
      <w:lang w:val="en-US" w:eastAsia="zh-CN" w:bidi="ar-SA"/>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qFormat/>
    <w:uiPriority w:val="0"/>
    <w:pPr>
      <w:widowControl w:val="0"/>
      <w:ind w:firstLine="420"/>
      <w:jc w:val="both"/>
    </w:pPr>
    <w:rPr>
      <w:rFonts w:hint="default" w:ascii="宋体" w:hAnsi="Calibri" w:eastAsia="宋体" w:cs="Times New Roman"/>
      <w:color w:val="000000"/>
      <w:sz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0"/>
    <w:rPr>
      <w:rFonts w:ascii="宋体" w:hAnsi="宋体" w:eastAsia="宋体" w:cs="宋体"/>
      <w:sz w:val="30"/>
      <w:szCs w:val="30"/>
      <w:lang w:val="en-US" w:eastAsia="en-US" w:bidi="ar-SA"/>
    </w:rPr>
  </w:style>
  <w:style w:type="paragraph" w:customStyle="1" w:styleId="1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8"/>
    <w:semiHidden/>
    <w:unhideWhenUsed/>
    <w:qFormat/>
    <w:uiPriority w:val="99"/>
    <w:pPr>
      <w:spacing w:after="0" w:line="240" w:lineRule="auto"/>
    </w:pPr>
    <w:rPr>
      <w:sz w:val="20"/>
    </w:rPr>
  </w:style>
  <w:style w:type="paragraph" w:styleId="20">
    <w:name w:val="footer"/>
    <w:qFormat/>
    <w:uiPriority w:val="0"/>
    <w:pPr>
      <w:widowControl w:val="0"/>
      <w:tabs>
        <w:tab w:val="center" w:pos="4153"/>
        <w:tab w:val="right" w:pos="8306"/>
      </w:tabs>
    </w:pPr>
    <w:rPr>
      <w:rFonts w:hint="default" w:asciiTheme="minorHAnsi" w:hAnsiTheme="minorHAnsi" w:eastAsiaTheme="minorEastAsia" w:cstheme="minorBidi"/>
      <w:sz w:val="18"/>
      <w:szCs w:val="24"/>
      <w:lang w:val="en-US" w:eastAsia="zh-CN" w:bidi="ar-SA"/>
    </w:rPr>
  </w:style>
  <w:style w:type="paragraph" w:styleId="21">
    <w:name w:val="header"/>
    <w:basedOn w:val="1"/>
    <w:link w:val="59"/>
    <w:unhideWhenUsed/>
    <w:qFormat/>
    <w:uiPriority w:val="99"/>
    <w:pPr>
      <w:tabs>
        <w:tab w:val="center" w:pos="7143"/>
        <w:tab w:val="right" w:pos="14287"/>
      </w:tabs>
      <w:spacing w:after="0" w:line="240" w:lineRule="auto"/>
    </w:pPr>
  </w:style>
  <w:style w:type="paragraph" w:styleId="22">
    <w:name w:val="toc 1"/>
    <w:next w:val="1"/>
    <w:qFormat/>
    <w:uiPriority w:val="39"/>
    <w:pPr>
      <w:widowControl w:val="0"/>
      <w:jc w:val="both"/>
    </w:pPr>
    <w:rPr>
      <w:rFonts w:hint="default" w:asciiTheme="minorHAnsi" w:hAnsiTheme="minorHAnsi" w:eastAsiaTheme="minorEastAsia" w:cstheme="minorBidi"/>
      <w:sz w:val="21"/>
      <w:szCs w:val="24"/>
      <w:lang w:val="en-US" w:eastAsia="zh-CN" w:bidi="ar-SA"/>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4"/>
    <w:qFormat/>
    <w:uiPriority w:val="11"/>
    <w:pPr>
      <w:spacing w:before="200" w:after="200"/>
    </w:pPr>
    <w:rPr>
      <w:sz w:val="24"/>
      <w:szCs w:val="24"/>
    </w:rPr>
  </w:style>
  <w:style w:type="paragraph" w:styleId="25">
    <w:name w:val="footnote text"/>
    <w:basedOn w:val="1"/>
    <w:link w:val="187"/>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rPr>
      <w:sz w:val="24"/>
    </w:rPr>
  </w:style>
  <w:style w:type="paragraph" w:styleId="31">
    <w:name w:val="Title"/>
    <w:basedOn w:val="1"/>
    <w:next w:val="1"/>
    <w:link w:val="53"/>
    <w:qFormat/>
    <w:uiPriority w:val="10"/>
    <w:pPr>
      <w:spacing w:before="300" w:after="200"/>
      <w:contextualSpacing/>
    </w:pPr>
    <w:rPr>
      <w:sz w:val="48"/>
      <w:szCs w:val="48"/>
    </w:rPr>
  </w:style>
  <w:style w:type="paragraph" w:styleId="32">
    <w:name w:val="Body Text First Indent"/>
    <w:basedOn w:val="14"/>
    <w:unhideWhenUsed/>
    <w:qFormat/>
    <w:uiPriority w:val="99"/>
    <w:pPr>
      <w:ind w:firstLine="420" w:firstLineChars="10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FollowedHyperlink"/>
    <w:basedOn w:val="35"/>
    <w:semiHidden/>
    <w:unhideWhenUsed/>
    <w:qFormat/>
    <w:uiPriority w:val="99"/>
    <w:rPr>
      <w:color w:val="333333"/>
      <w:u w:val="none"/>
    </w:rPr>
  </w:style>
  <w:style w:type="character" w:styleId="38">
    <w:name w:val="Hyperlink"/>
    <w:basedOn w:val="35"/>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BodyText1I1"/>
    <w:basedOn w:val="41"/>
    <w:next w:val="1"/>
    <w:qFormat/>
    <w:uiPriority w:val="0"/>
    <w:pPr>
      <w:spacing w:after="120"/>
      <w:ind w:firstLine="420"/>
    </w:pPr>
    <w:rPr>
      <w:sz w:val="24"/>
    </w:rPr>
  </w:style>
  <w:style w:type="paragraph" w:customStyle="1" w:styleId="41">
    <w:name w:val="BodyText1"/>
    <w:basedOn w:val="1"/>
    <w:qFormat/>
    <w:uiPriority w:val="0"/>
    <w:rPr>
      <w:sz w:val="32"/>
    </w:rPr>
  </w:style>
  <w:style w:type="character" w:customStyle="1" w:styleId="42">
    <w:name w:val="Heading 1 Char"/>
    <w:basedOn w:val="35"/>
    <w:link w:val="2"/>
    <w:qFormat/>
    <w:uiPriority w:val="9"/>
    <w:rPr>
      <w:rFonts w:ascii="Arial" w:hAnsi="Arial" w:eastAsia="Arial" w:cs="Arial"/>
      <w:sz w:val="40"/>
      <w:szCs w:val="40"/>
    </w:rPr>
  </w:style>
  <w:style w:type="character" w:customStyle="1" w:styleId="43">
    <w:name w:val="Heading 2 Char"/>
    <w:basedOn w:val="35"/>
    <w:qFormat/>
    <w:uiPriority w:val="9"/>
    <w:rPr>
      <w:rFonts w:ascii="Arial" w:hAnsi="Arial" w:eastAsia="Arial" w:cs="Arial"/>
      <w:sz w:val="34"/>
    </w:rPr>
  </w:style>
  <w:style w:type="character" w:customStyle="1" w:styleId="44">
    <w:name w:val="Heading 3 Char"/>
    <w:basedOn w:val="35"/>
    <w:link w:val="5"/>
    <w:qFormat/>
    <w:uiPriority w:val="9"/>
    <w:rPr>
      <w:rFonts w:ascii="Arial" w:hAnsi="Arial" w:eastAsia="Arial" w:cs="Arial"/>
      <w:sz w:val="30"/>
      <w:szCs w:val="30"/>
    </w:rPr>
  </w:style>
  <w:style w:type="character" w:customStyle="1" w:styleId="45">
    <w:name w:val="Heading 4 Char"/>
    <w:basedOn w:val="35"/>
    <w:link w:val="6"/>
    <w:qFormat/>
    <w:uiPriority w:val="9"/>
    <w:rPr>
      <w:rFonts w:ascii="Arial" w:hAnsi="Arial" w:eastAsia="Arial" w:cs="Arial"/>
      <w:b/>
      <w:bCs/>
      <w:sz w:val="26"/>
      <w:szCs w:val="26"/>
    </w:rPr>
  </w:style>
  <w:style w:type="character" w:customStyle="1" w:styleId="46">
    <w:name w:val="Heading 5 Char"/>
    <w:basedOn w:val="35"/>
    <w:link w:val="7"/>
    <w:qFormat/>
    <w:uiPriority w:val="9"/>
    <w:rPr>
      <w:rFonts w:ascii="Arial" w:hAnsi="Arial" w:eastAsia="Arial" w:cs="Arial"/>
      <w:b/>
      <w:bCs/>
      <w:sz w:val="24"/>
      <w:szCs w:val="24"/>
    </w:rPr>
  </w:style>
  <w:style w:type="character" w:customStyle="1" w:styleId="47">
    <w:name w:val="Heading 6 Char"/>
    <w:basedOn w:val="35"/>
    <w:link w:val="8"/>
    <w:qFormat/>
    <w:uiPriority w:val="9"/>
    <w:rPr>
      <w:rFonts w:ascii="Arial" w:hAnsi="Arial" w:eastAsia="Arial" w:cs="Arial"/>
      <w:b/>
      <w:bCs/>
      <w:sz w:val="22"/>
      <w:szCs w:val="22"/>
    </w:rPr>
  </w:style>
  <w:style w:type="character" w:customStyle="1" w:styleId="48">
    <w:name w:val="Heading 7 Char"/>
    <w:basedOn w:val="35"/>
    <w:link w:val="9"/>
    <w:qFormat/>
    <w:uiPriority w:val="9"/>
    <w:rPr>
      <w:rFonts w:ascii="Arial" w:hAnsi="Arial" w:eastAsia="Arial" w:cs="Arial"/>
      <w:b/>
      <w:bCs/>
      <w:i/>
      <w:iCs/>
      <w:sz w:val="22"/>
      <w:szCs w:val="22"/>
    </w:rPr>
  </w:style>
  <w:style w:type="character" w:customStyle="1" w:styleId="49">
    <w:name w:val="Heading 8 Char"/>
    <w:basedOn w:val="35"/>
    <w:link w:val="10"/>
    <w:qFormat/>
    <w:uiPriority w:val="9"/>
    <w:rPr>
      <w:rFonts w:ascii="Arial" w:hAnsi="Arial" w:eastAsia="Arial" w:cs="Arial"/>
      <w:i/>
      <w:iCs/>
      <w:sz w:val="22"/>
      <w:szCs w:val="22"/>
    </w:rPr>
  </w:style>
  <w:style w:type="character" w:customStyle="1" w:styleId="50">
    <w:name w:val="Heading 9 Char"/>
    <w:basedOn w:val="35"/>
    <w:link w:val="11"/>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5"/>
    <w:link w:val="31"/>
    <w:qFormat/>
    <w:uiPriority w:val="10"/>
    <w:rPr>
      <w:sz w:val="48"/>
      <w:szCs w:val="48"/>
    </w:rPr>
  </w:style>
  <w:style w:type="character" w:customStyle="1" w:styleId="54">
    <w:name w:val="Subtitle Char"/>
    <w:basedOn w:val="35"/>
    <w:link w:val="24"/>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5"/>
    <w:link w:val="21"/>
    <w:qFormat/>
    <w:uiPriority w:val="99"/>
  </w:style>
  <w:style w:type="character" w:customStyle="1" w:styleId="60">
    <w:name w:val="Footer Char"/>
    <w:basedOn w:val="35"/>
    <w:qFormat/>
    <w:uiPriority w:val="99"/>
  </w:style>
  <w:style w:type="character" w:customStyle="1" w:styleId="61">
    <w:name w:val="Caption Char"/>
    <w:qFormat/>
    <w:uiPriority w:val="99"/>
  </w:style>
  <w:style w:type="table" w:customStyle="1" w:styleId="62">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5"/>
    <w:qFormat/>
    <w:uiPriority w:val="99"/>
    <w:rPr>
      <w:sz w:val="18"/>
    </w:rPr>
  </w:style>
  <w:style w:type="character" w:customStyle="1" w:styleId="188">
    <w:name w:val="Endnote Text Char"/>
    <w:link w:val="19"/>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table" w:customStyle="1" w:styleId="190">
    <w:name w:val="网格型_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191">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92">
    <w:name w:val="正文_16_0_0"/>
    <w:next w:val="19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3">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194">
    <w:name w:val="纯文本1"/>
    <w:basedOn w:val="1"/>
    <w:qFormat/>
    <w:uiPriority w:val="0"/>
    <w:rPr>
      <w:rFonts w:ascii="宋体" w:hAnsi="Courier New" w:cs="Courier New"/>
    </w:rPr>
  </w:style>
  <w:style w:type="paragraph" w:customStyle="1" w:styleId="195">
    <w:name w:val="正文_3"/>
    <w:qFormat/>
    <w:uiPriority w:val="0"/>
    <w:pPr>
      <w:widowControl w:val="0"/>
      <w:jc w:val="both"/>
    </w:pPr>
    <w:rPr>
      <w:rFonts w:ascii="Calibri" w:hAnsi="Calibri" w:eastAsia="宋体" w:cs="Times New Roman"/>
      <w:sz w:val="21"/>
      <w:szCs w:val="22"/>
      <w:lang w:val="en-US" w:eastAsia="zh-CN" w:bidi="ar-SA"/>
    </w:rPr>
  </w:style>
  <w:style w:type="character" w:customStyle="1" w:styleId="196">
    <w:name w:val="current2"/>
    <w:basedOn w:val="35"/>
    <w:qFormat/>
    <w:uiPriority w:val="0"/>
    <w:rPr>
      <w:b/>
      <w:bCs/>
      <w:color w:val="FFFFFF"/>
      <w:bdr w:val="single" w:color="0075CC" w:sz="6" w:space="0"/>
      <w:shd w:val="clear" w:fill="0075CC"/>
    </w:rPr>
  </w:style>
  <w:style w:type="character" w:customStyle="1" w:styleId="197">
    <w:name w:val="current3"/>
    <w:basedOn w:val="35"/>
    <w:qFormat/>
    <w:uiPriority w:val="0"/>
    <w:rPr>
      <w:b/>
      <w:bCs/>
      <w:color w:val="FFFFFF"/>
      <w:bdr w:val="single" w:color="0075CC" w:sz="6" w:space="0"/>
      <w:shd w:val="clear" w:fill="0075CC"/>
    </w:rPr>
  </w:style>
  <w:style w:type="character" w:customStyle="1" w:styleId="198">
    <w:name w:val="disabled"/>
    <w:basedOn w:val="35"/>
    <w:qFormat/>
    <w:uiPriority w:val="0"/>
    <w:rPr>
      <w:color w:val="DDDDDD"/>
      <w:bdr w:val="single" w:color="EEEEEE" w:sz="6" w:space="0"/>
    </w:rPr>
  </w:style>
  <w:style w:type="character" w:customStyle="1" w:styleId="199">
    <w:name w:val="disabled1"/>
    <w:basedOn w:val="35"/>
    <w:qFormat/>
    <w:uiPriority w:val="0"/>
    <w:rPr>
      <w:color w:val="DDDDDD"/>
      <w:bdr w:val="single" w:color="EEEEEE" w:sz="6" w:space="0"/>
    </w:rPr>
  </w:style>
  <w:style w:type="paragraph" w:customStyle="1" w:styleId="200">
    <w:name w:val="Normal_20"/>
    <w:qFormat/>
    <w:uiPriority w:val="0"/>
    <w:rPr>
      <w:rFonts w:hint="default" w:ascii="黑体" w:hAnsi="黑体" w:eastAsia="黑体" w:cs="黑体"/>
      <w:b/>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90A582-2B62-4075-9071-BBDF9D60C073}">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13218</Words>
  <Characters>14196</Characters>
  <TotalTime>0</TotalTime>
  <ScaleCrop>false</ScaleCrop>
  <LinksUpToDate>false</LinksUpToDate>
  <CharactersWithSpaces>14366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2026-06-01T03:49:00Z</dcterms:created>
  <dc:creator>Administrator</dc:creator>
  <cp:lastModifiedBy>瓜瓜乐</cp:lastModifiedBy>
  <dcterms:modified xsi:type="dcterms:W3CDTF">2026-09-28T09:40:51Z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246DBEC8EA8443B7B095AF3FFE0CC845_13</vt:lpwstr>
  </property>
  <property fmtid="{D5CDD505-2E9C-101B-9397-08002B2CF9AE}" pid="4" name="KSOTemplateDocerSaveRecord">
    <vt:lpwstr>eyJoZGlkIjoiNmNhMjY1MjUzN2ZiNGVjMTFiNzdhZTkyYjcwZTQ2M2EiLCJ1c2VySWQiOiI0NzI1NDY1NjgifQ==</vt:lpwstr>
  </property>
</Properties>
</file>