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单一来源采购文件</w:t>
      </w:r>
      <w:r/>
    </w:p>
    <w:p>
      <w:pPr>
        <w:ind w:left="0" w:right="0" w:firstLine="224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24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24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24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24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24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24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right="0" w:firstLine="321"/>
        <w:jc w:val="center"/>
        <w:spacing w:before="120" w:after="12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项目名称：扬州市财政局非税收缴系统智能监管升级改造</w:t>
      </w:r>
      <w:r/>
    </w:p>
    <w:p>
      <w:pPr>
        <w:ind w:right="0" w:firstLine="643"/>
        <w:jc w:val="both"/>
        <w:spacing w:before="120" w:after="12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项目编号：JSZC-321000-JZCG-D2026-0105</w:t>
      </w:r>
      <w:r/>
    </w:p>
    <w:p>
      <w:pPr>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1"/>
        </w:rPr>
        <w:t xml:space="preserve">       </w:t>
      </w:r>
      <w:r>
        <w:rPr>
          <w:rFonts w:ascii="宋体" w:hAnsi="宋体" w:eastAsia="宋体" w:cs="宋体"/>
          <w:b/>
          <w:color w:val="ff0000"/>
          <w:sz w:val="30"/>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hint="eastAsia" w:ascii="Arial" w:hAnsi="Arial" w:cs="Arial"/>
          <w:b/>
          <w:color w:val="000000"/>
          <w:sz w:val="32"/>
          <w:lang w:val="en-US" w:eastAsia="zh-CN"/>
        </w:rPr>
        <w:t xml:space="preserve">2026</w:t>
      </w:r>
      <w:r>
        <w:rPr>
          <w:rFonts w:ascii="宋体" w:hAnsi="宋体" w:eastAsia="宋体" w:cs="宋体"/>
          <w:b/>
          <w:color w:val="000000"/>
          <w:sz w:val="32"/>
        </w:rPr>
        <w:t xml:space="preserve">年</w:t>
      </w:r>
      <w:r>
        <w:rPr>
          <w:rFonts w:hint="eastAsia" w:ascii="Arial" w:hAnsi="Arial" w:cs="Arial"/>
          <w:b/>
          <w:color w:val="000000"/>
          <w:sz w:val="32"/>
          <w:lang w:val="en-US" w:eastAsia="zh-CN"/>
        </w:rPr>
        <w:t xml:space="preserve">09</w:t>
      </w:r>
      <w:r>
        <w:rPr>
          <w:rFonts w:ascii="宋体" w:hAnsi="宋体" w:eastAsia="宋体" w:cs="宋体"/>
          <w:b/>
          <w:color w:val="000000"/>
          <w:sz w:val="32"/>
        </w:rPr>
        <w:t xml:space="preserve">月</w:t>
      </w:r>
      <w:r/>
    </w:p>
    <w:p>
      <w:pPr>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113"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单一来源采购邀请…………………………</w:t>
      </w:r>
      <w:r>
        <w:rPr>
          <w:rFonts w:hint="eastAsia" w:ascii="黑体" w:hAnsi="黑体" w:eastAsia="黑体" w:cs="黑体"/>
          <w:color w:val="000000"/>
          <w:sz w:val="36"/>
          <w:lang w:val="en-US" w:eastAsia="zh-CN"/>
        </w:rPr>
        <w:t xml:space="preserve">2</w:t>
      </w:r>
      <w:r/>
    </w:p>
    <w:p>
      <w:pPr>
        <w:numPr>
          <w:ilvl w:val="0"/>
          <w:numId w:val="4"/>
        </w:numPr>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供应商须知…………………………………</w:t>
      </w:r>
      <w:r>
        <w:rPr>
          <w:rFonts w:hint="eastAsia" w:ascii="黑体" w:hAnsi="黑体" w:eastAsia="黑体" w:cs="黑体"/>
          <w:color w:val="000000"/>
          <w:sz w:val="36"/>
          <w:lang w:val="en-US" w:eastAsia="zh-CN"/>
        </w:rPr>
        <w:t xml:space="preserve">5</w:t>
      </w:r>
      <w:r>
        <w:rPr>
          <w:rFonts w:ascii="黑体" w:hAnsi="黑体" w:eastAsia="黑体" w:cs="黑体"/>
          <w:color w:val="000000"/>
          <w:sz w:val="36"/>
        </w:rPr>
        <w:t xml:space="preserve">  </w:t>
      </w:r>
      <w:r/>
    </w:p>
    <w:p>
      <w:pPr>
        <w:numPr>
          <w:ilvl w:val="0"/>
          <w:numId w:val="4"/>
        </w:numPr>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w:t>
      </w:r>
      <w:r>
        <w:rPr>
          <w:rFonts w:hint="eastAsia" w:ascii="黑体" w:hAnsi="黑体" w:eastAsia="黑体" w:cs="黑体"/>
          <w:color w:val="000000"/>
          <w:sz w:val="36"/>
          <w:lang w:val="en-US" w:eastAsia="zh-CN"/>
        </w:rPr>
        <w:t xml:space="preserve">14</w:t>
      </w:r>
      <w:r/>
    </w:p>
    <w:p>
      <w:pPr>
        <w:numPr>
          <w:ilvl w:val="0"/>
          <w:numId w:val="4"/>
        </w:numPr>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rPr>
          <w:rFonts w:hint="eastAsia" w:ascii="黑体" w:hAnsi="黑体" w:eastAsia="黑体" w:cs="黑体"/>
          <w:color w:val="000000"/>
          <w:sz w:val="36"/>
          <w:lang w:val="en-US" w:eastAsia="zh-CN"/>
        </w:rPr>
        <w:t xml:space="preserve">17</w:t>
      </w:r>
      <w:r/>
    </w:p>
    <w:p>
      <w:pPr>
        <w:numPr>
          <w:ilvl w:val="0"/>
          <w:numId w:val="4"/>
        </w:numPr>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响应文件格式………………………………</w:t>
      </w:r>
      <w:r>
        <w:rPr>
          <w:rFonts w:hint="eastAsia" w:ascii="黑体" w:hAnsi="黑体" w:eastAsia="黑体" w:cs="黑体"/>
          <w:color w:val="000000"/>
          <w:sz w:val="36"/>
          <w:lang w:val="en-US" w:eastAsia="zh-CN"/>
        </w:rPr>
        <w:t xml:space="preserve">37</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第一章单一来源采购邀请</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受[扬州市财政局]的委托，扬州市公共资源交易中心就[扬州市财政局非税收缴系统智能监管升级改造](JSZC-321000-JZCG-D2026-0105)项目进行单一来源采购，欢迎符合相关条件的合格供应商参加采购活动。</w:t>
      </w:r>
      <w:r/>
    </w:p>
    <w:p>
      <w:pPr>
        <w:ind w:left="0" w:right="0" w:firstLine="498"/>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1.项目编号：JSZC-321000-JZCG-D2026-0105</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2.项目名称：扬州市财政局非税收缴系统智能监管升级改造</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23"/>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5"/>
        <w:gridCol w:w="30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0"/>
              <w:jc w:val="center"/>
              <w:spacing w:before="0" w:after="0" w:line="240" w:lineRule="auto"/>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41</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4.采购需求（简介）：</w:t>
      </w:r>
      <w:r>
        <w:rPr>
          <w:rFonts w:hint="eastAsia" w:ascii="宋体" w:hAnsi="宋体" w:eastAsia="宋体" w:cs="宋体"/>
          <w:color w:val="000000"/>
          <w:sz w:val="24"/>
          <w:lang w:val="en-US" w:eastAsia="zh-CN"/>
        </w:rPr>
        <w:t xml:space="preserve">为深入贯彻国务院《关于深入实施“人工智能+”行动的意见》（国发〔2025〕11号），落实省政府《江苏省“人工智能＋”行动方案》（苏政发〔2025〕108 号）关于全面推动人工智能创新发展的工作部署，对标财政部财政数字化、智能化转型要求，严格落实财政数字化改革及收入全流程智能监管任务，扬州市财政局将以数字化为基础、智能化为核心、精细化为目标，推动人工智能与财政管理深度融合，全面提升收入治理水平与财政管理效能。</w:t>
      </w:r>
      <w:r>
        <w:rPr>
          <w:rFonts w:ascii="宋体" w:hAnsi="宋体" w:eastAsia="宋体" w:cs="宋体"/>
          <w:color w:val="000000"/>
          <w:sz w:val="24"/>
        </w:rPr>
        <w:t xml:space="preserve">（详细内容见本采购文件第四章）</w:t>
      </w:r>
      <w:r/>
    </w:p>
    <w:p>
      <w:pPr>
        <w:ind w:left="0" w:right="0" w:firstLine="480"/>
        <w:jc w:val="both"/>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5.合同履行期限：</w:t>
      </w:r>
      <w:r>
        <w:rPr>
          <w:rFonts w:hint="eastAsia" w:ascii="宋体" w:hAnsi="宋体" w:cs="宋体"/>
          <w:color w:val="000000"/>
          <w:sz w:val="24"/>
          <w:lang w:val="en-US" w:eastAsia="zh-CN"/>
        </w:rPr>
        <w:t xml:space="preserve">自合同签订之日起贰个月内。</w:t>
      </w:r>
      <w:r/>
    </w:p>
    <w:p>
      <w:pPr>
        <w:ind w:left="0" w:right="0" w:firstLine="498"/>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二、合格单一来源供应商资格要求</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1.2上一年度的财务状况报告（成立不满一年无需提供）；</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1.6供应商信用承诺函。</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 联合体参与单一来源采购活动</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3"/>
        <w:gridCol w:w="2111"/>
        <w:gridCol w:w="390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是否接受联合体参与单一来源采购活动（是/否）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4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4"/>
        <w:gridCol w:w="534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4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8" w:type="dxa"/>
            <w:vAlign w:val="center"/>
            <w:textDirection w:val="lrTb"/>
            <w:noWrap w:val="false"/>
          </w:tcPr>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无</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498"/>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三、提交响应文件截止时间</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宋体"/>
          <w:b/>
          <w:bCs/>
          <w:color w:val="ff0000"/>
          <w:sz w:val="24"/>
          <w:u w:val="single"/>
          <w:lang w:val="en-US" w:eastAsia="zh-CN"/>
        </w:rPr>
        <w:t xml:space="preserve">2026</w:t>
      </w:r>
      <w:r>
        <w:rPr>
          <w:rFonts w:ascii="宋体" w:hAnsi="宋体" w:eastAsia="宋体" w:cs="宋体"/>
          <w:b/>
          <w:bCs/>
          <w:color w:val="ff0000"/>
          <w:sz w:val="24"/>
          <w:u w:val="single"/>
        </w:rPr>
        <w:t xml:space="preserve">年</w:t>
      </w:r>
      <w:r>
        <w:rPr>
          <w:rFonts w:hint="eastAsia" w:ascii="宋体" w:hAnsi="宋体" w:cs="宋体"/>
          <w:b/>
          <w:bCs/>
          <w:color w:val="ff0000"/>
          <w:sz w:val="24"/>
          <w:u w:val="single"/>
          <w:lang w:val="en-US" w:eastAsia="zh-CN"/>
        </w:rPr>
        <w:t xml:space="preserve">09</w:t>
      </w:r>
      <w:r>
        <w:rPr>
          <w:rFonts w:ascii="宋体" w:hAnsi="宋体" w:eastAsia="宋体" w:cs="宋体"/>
          <w:b/>
          <w:bCs/>
          <w:color w:val="ff0000"/>
          <w:sz w:val="24"/>
          <w:u w:val="single"/>
        </w:rPr>
        <w:t xml:space="preserve">月</w:t>
      </w:r>
      <w:r>
        <w:rPr>
          <w:rFonts w:hint="eastAsia" w:ascii="宋体" w:hAnsi="宋体" w:cs="宋体"/>
          <w:b/>
          <w:bCs/>
          <w:color w:val="ff0000"/>
          <w:sz w:val="24"/>
          <w:u w:val="single"/>
          <w:lang w:val="en-US" w:eastAsia="zh-CN"/>
        </w:rPr>
        <w:t xml:space="preserve">23</w:t>
      </w:r>
      <w:r>
        <w:rPr>
          <w:rFonts w:ascii="宋体" w:hAnsi="宋体" w:eastAsia="宋体" w:cs="宋体"/>
          <w:b/>
          <w:bCs/>
          <w:color w:val="ff0000"/>
          <w:sz w:val="24"/>
          <w:u w:val="single"/>
        </w:rPr>
        <w:t xml:space="preserve">日09点30分</w:t>
      </w:r>
      <w:r>
        <w:rPr>
          <w:rFonts w:ascii="宋体" w:hAnsi="宋体" w:eastAsia="宋体" w:cs="宋体"/>
          <w:color w:val="000000"/>
          <w:sz w:val="24"/>
        </w:rPr>
        <w:t xml:space="preserve">（北京时间）。</w:t>
      </w:r>
      <w:r/>
    </w:p>
    <w:p>
      <w:pPr>
        <w:ind w:left="0" w:right="0" w:firstLine="498"/>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四、本次单一来源采购联系方式</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1.采购人信息</w:t>
      </w:r>
      <w:r/>
    </w:p>
    <w:p>
      <w:pPr>
        <w:ind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w:t>
      </w:r>
      <w:r>
        <w:rPr>
          <w:rFonts w:hint="eastAsia" w:ascii="宋体" w:hAnsi="宋体" w:eastAsia="宋体" w:cs="宋体"/>
          <w:color w:val="000000"/>
          <w:sz w:val="24"/>
        </w:rPr>
        <w:t xml:space="preserve">扬州市财政局</w:t>
      </w:r>
      <w:r/>
    </w:p>
    <w:p>
      <w:pPr>
        <w:ind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rPr>
        <w:t xml:space="preserve">扬州市邗江区扬子江北路471号</w:t>
      </w:r>
      <w:r/>
    </w:p>
    <w:p>
      <w:pPr>
        <w:ind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eastAsia="宋体" w:cs="宋体"/>
          <w:color w:val="000000"/>
          <w:sz w:val="24"/>
        </w:rPr>
        <w:t xml:space="preserve">陈劲羽</w:t>
      </w:r>
      <w:r/>
    </w:p>
    <w:p>
      <w:pPr>
        <w:ind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eastAsia="宋体" w:cs="宋体"/>
          <w:color w:val="000000"/>
          <w:sz w:val="24"/>
        </w:rPr>
        <w:t xml:space="preserve">0514-80597166</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2.扬州市公共资源交易中心信息</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hint="eastAsia" w:ascii="宋体" w:hAnsi="宋体" w:eastAsia="宋体" w:cs="宋体"/>
          <w:color w:val="000000"/>
          <w:sz w:val="24"/>
          <w:u w:val="single"/>
          <w:lang w:val="en-US" w:eastAsia="zh-CN"/>
        </w:rPr>
        <w:t xml:space="preserve">扬州市文昌东路9号广陵新城市民中心1号楼5楼1529室</w:t>
      </w:r>
      <w:r/>
    </w:p>
    <w:p>
      <w:pPr>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cs="宋体"/>
          <w:color w:val="000000"/>
          <w:sz w:val="24"/>
          <w:u w:val="single"/>
          <w:lang w:val="en-US" w:eastAsia="zh-CN"/>
        </w:rPr>
        <w:t xml:space="preserve">姜涛</w:t>
      </w:r>
      <w:r/>
    </w:p>
    <w:p>
      <w:pPr>
        <w:ind w:left="0" w:right="0" w:firstLine="498"/>
        <w:jc w:val="both"/>
        <w:spacing w:before="156" w:after="156" w:line="85" w:lineRule="atLeast"/>
        <w:rPr>
          <w:rFonts w:hint="eastAsia"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cs="宋体"/>
          <w:color w:val="000000"/>
          <w:sz w:val="24"/>
          <w:u w:val="single"/>
          <w:lang w:val="en-US" w:eastAsia="zh-CN"/>
        </w:rPr>
        <w:t xml:space="preserve">0514-82087195</w:t>
      </w:r>
      <w:r/>
    </w:p>
    <w:p>
      <w:pPr>
        <w:ind w:left="0" w:right="0" w:firstLine="498"/>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五、其他</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本次单一来源采购不收取投标保证金。</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rPr>
          <w:rFonts w:ascii="黑体" w:hAnsi="黑体" w:eastAsia="黑体" w:cs="黑体"/>
          <w:b/>
          <w:color w:val="000000"/>
          <w:sz w:val="44"/>
        </w:rPr>
      </w:pPr>
      <w:r>
        <w:rPr>
          <w:rFonts w:ascii="黑体" w:hAnsi="黑体" w:eastAsia="黑体" w:cs="黑体"/>
          <w:b/>
          <w:color w:val="000000"/>
          <w:sz w:val="44"/>
        </w:rPr>
        <w:br w:type="page" w:clear="all"/>
      </w:r>
      <w:r/>
    </w:p>
    <w:p>
      <w:pPr>
        <w:ind w:left="0" w:right="0" w:firstLine="0"/>
        <w:jc w:val="center"/>
        <w:spacing w:before="260" w:after="260" w:line="98"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第二章供应商须知</w:t>
      </w:r>
      <w:r/>
    </w:p>
    <w:p>
      <w:pPr>
        <w:ind w:left="0" w:right="0" w:firstLine="498"/>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1、采购方式</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本次政府采购活动采取单一来源采购方式。</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1 满足采购文件中合格单一来源供应商资格要求的规定。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2 满足本采购文件实质性要求的规定。</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本次采购及由此产生的合同受中华人民共和国有关的法律法规制约和保护。</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4、相关费用</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4.1供应商应自行承担所有与参加本次采购有关的费用，无论采购过程中的做法和结果如何，扬州市公共资源交易中心（以下简称“交易中心”）在任何情况下均无义务和责任承担这些费用。</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4.2本次采购交易中心和采购人不收取标书工本费与成交服务费。</w:t>
      </w:r>
      <w:r/>
    </w:p>
    <w:p>
      <w:pPr>
        <w:ind w:left="0" w:right="0" w:firstLine="301"/>
        <w:jc w:val="both"/>
        <w:spacing w:before="0" w:after="0" w:line="47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采购文件的约束力</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ind w:left="0" w:right="0" w:firstLine="321"/>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二、采购文件</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6、采购文件构成</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6.1采购文件由以下部分组成：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（1）单一来源采购邀请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（5）响应文件格式</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请仔细检查采购文件是否齐全，如有缺漏请立即与交易中心联系解决。</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供应商应认真阅读采购文件中所有的事项、格式、条款和规范等要求。按采购文件要求和规定编制单一来源响应文件（以下简称“响应文件”），并保证所提供的全部资料的真实性，以使其响应文件对采购文件作出实质性响应，否则其风险由供应商自行承担。</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、采购文件的修改</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在截止时间前，交易中心可以以补充文件的方式对采购文件进行修改。</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7.2交易中心有权按照政府采购的有关要求推迟截止时间。</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7.3采购文件的补充文件将作为采购文件的组成部分，并对供应商具有约束力。</w:t>
      </w:r>
      <w:r/>
    </w:p>
    <w:p>
      <w:pPr>
        <w:ind w:left="0" w:right="0" w:firstLine="482"/>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三、响应文件的编制</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、响应文件的语言及度量衡单位</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8.1供应商提交的响应文件以及供应商与交易中心就有关采购活动的所有来往通知、函件和文件均应使用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除技术性能另有规定外，响应文件所使用的度量衡单位，均须采用国家法定计量单位。</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、响应文件构成</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供应商编写的响应文件应包括基本目录、资格审查内容、符合性审查内容等部分。</w:t>
      </w:r>
      <w:r/>
    </w:p>
    <w:p>
      <w:pPr>
        <w:ind w:left="0" w:right="0" w:firstLine="42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、证明供应商及响应标的符合采购文件规定的文件</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供应商应按照法律、法规、规章和规范性文件以及采购文件要求提交证明文件，证明其响应标的符合采购文件规定。</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10.2采购文件对证明文件无明确形式要求的，证明文件可以以文字资料、图纸和数据等形式提交。</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、分项报价表</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供应商应按照采购文件规定格式填报分项报价表。</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11.2报价货币。响应文件中的单价和总价无特殊规定的采用人民币报价，以元为单位标注。采购文件中另有规定的按规定执行。</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12.1供应商需对采购文件中的技术要求与商务要求逐项作出响应或偏离，并说明原因。</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12.2供应商需按照采购文件要求，在响应文件中提供与技术要求和商务要求相关的证明材料。</w:t>
      </w:r>
      <w:r/>
    </w:p>
    <w:p>
      <w:pPr>
        <w:ind w:left="0" w:right="0" w:firstLine="42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、服务承诺、培训计划、人员安排及其他</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供应商需根据采购文件要求提供有关售后服务的管理制度，售后服务机构的分布情况，售后服务人员的数量、素质、技术水平及售后服务的反应能力等。</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供应商需根据采购文件要求提供培训计划。</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 供应商需根据采购文件要求提供所投标的的主要组成部分、功能设计、实现思路及关键技术等。</w:t>
      </w:r>
      <w:r/>
    </w:p>
    <w:p>
      <w:pPr>
        <w:ind w:left="0" w:right="0" w:firstLine="42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、单一来源响应函</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供应商应按照采购文件中提供的格式完整、正确填写单一来源响应函。</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、单一来源采购有效期</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单一来源采购有效期（以下简称“有效期”）为交易中心规定的响应文件接收截止之日后</w:t>
      </w:r>
      <w:r>
        <w:rPr>
          <w:rFonts w:ascii="宋体" w:hAnsi="宋体" w:eastAsia="宋体" w:cs="宋体"/>
          <w:b/>
          <w:color w:val="000000"/>
          <w:sz w:val="24"/>
          <w:u w:val="single"/>
        </w:rPr>
        <w:t xml:space="preserve">三十（30）天</w:t>
      </w:r>
      <w:r>
        <w:rPr>
          <w:rFonts w:ascii="宋体" w:hAnsi="宋体" w:eastAsia="宋体" w:cs="宋体"/>
          <w:color w:val="000000"/>
          <w:sz w:val="24"/>
        </w:rPr>
        <w:t xml:space="preserve">。有效期比规定期限短的将被视为未响应采购文件要求而予以拒绝。</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、有效期的延长</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在特殊情况下，交易中心于原有效期满之前，可向供应商提出延长有效期的要求。这种要求与答复均应采用书面形式。供应商可以拒绝交易中心的这一要求而放弃单一来源采购活动，同意延长有效期的供应商既不能要求也不允许修改其响应文件。受有效期约束的所有权利与义务均延长至新的有效期。</w:t>
      </w:r>
      <w:r/>
    </w:p>
    <w:p>
      <w:pPr>
        <w:ind w:left="0" w:right="0" w:firstLine="482"/>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四、响应文件的递交</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、电子响应文件的递交</w:t>
      </w:r>
      <w:r/>
    </w:p>
    <w:p>
      <w:pPr>
        <w:ind w:left="0" w:right="0" w:firstLine="6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17.1供应商应当按照《操作手册》规定，在截止时间前制作并上传电子响应文件。</w:t>
      </w:r>
      <w:r/>
    </w:p>
    <w:p>
      <w:pPr>
        <w:ind w:left="0" w:right="0" w:firstLine="560"/>
        <w:jc w:val="both"/>
        <w:spacing w:before="280" w:after="290" w:line="8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18</w:t>
      </w:r>
      <w:r>
        <w:rPr>
          <w:rFonts w:ascii="黑体" w:hAnsi="黑体" w:eastAsia="黑体" w:cs="黑体"/>
          <w:color w:val="000000"/>
          <w:sz w:val="28"/>
        </w:rPr>
        <w:t xml:space="preserve">、提交响应文件截止时间</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18.1供应商上传电子响应文件的时间不得迟于单一来源采购邀请中规定的截止时间。</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供应商应充分考虑到网络环境、网络带宽等风险因素，如因供应商自身原因造成的电子响应文件上传不成功由供应商自行承担全部责任。</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 交易中心可以按照规定，通过修改采购文件酌情延长截止时间，在此情况下，供应商的所有权利和义务以及供应商受制的截止时间以延长后新的截止时间为准。</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、响应文件的拒收</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交易中心拒绝接收在其规定的截止时间后上传的任何电子响应文件。</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、响应文件的撤回和修改</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20.1响应文件的撤回</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20.1.1 电子响应文件的撤回</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供应商可在截止时间前，撤回其电子响应文件，具体操作方法见《操作手册》。</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20.1.2供应商撤回电子响应文件，则认为其不再参与本项目采购活动。</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20.2响应文件的修改</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供应商可在截止时间前，对其电子响应文件进行修改，具体操作方法见《操作手册》。</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 在截止时间之后，供应商不得对其电子响应文件作任何修改。</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 在截止时间至有效期满之间的这段时间内，供应商不得撤回其响应文件。</w:t>
      </w:r>
      <w:r/>
    </w:p>
    <w:p>
      <w:pPr>
        <w:ind w:left="0" w:right="0" w:firstLine="482"/>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五、响应文件的解密与评审</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、响应文件解密</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21.1供应商应当按照《操作手册》规定，在苏采云系统规定的时间内对响应文件进行解密。</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2</w:t>
      </w:r>
      <w:r>
        <w:rPr>
          <w:rFonts w:ascii="黑体" w:hAnsi="黑体" w:eastAsia="黑体" w:cs="黑体"/>
          <w:color w:val="000000"/>
          <w:sz w:val="28"/>
        </w:rPr>
        <w:t xml:space="preserve">、单一来源采购小组</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22.1单一来源采购小组（以下简称“采购小组”）由政府采购评审专家、采购人代表组成，且人员构成符合政府采购有关规定。</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22.2采购小组应当按照客观、公正、审慎的原则评审供应商的响应文件，并与供应商协商采购标的的价格。</w:t>
      </w:r>
      <w:r/>
    </w:p>
    <w:p>
      <w:pPr>
        <w:ind w:left="0" w:right="0" w:firstLine="280"/>
        <w:jc w:val="both"/>
        <w:spacing w:before="0" w:after="0" w:line="47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23、单一来源采购过程的保密与公正</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采购小组、采购人和交易中心工作人员、相关监督人员等与评审工作有关的人员，对评审、单一来源采购情况以及在评审、单一来源采购过程（以下简称“采购过程”）中获悉的国家秘密、商业秘密负有保密责任。</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23.2在采购过程中，供应商不得以任何行为影响评审及采购过程，否则将会导致其响应文件被拒绝。</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、评审及采购过程中的澄清</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24.1项目评审及采购过程中，采购小组有权要求供应商对响应文件中含义不明确、同类问题表述不一致或者有明显文字和计算错误的内容等作出必要的澄清、说明或者更正。</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24.2需要供应商进行澄清、说明和更正的，采购小组将通过苏采云系统向供应商发出“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24.3 接到采购小组澄清、说明和更正要求的供应商如未按规定做出澄清、说明和更正，其风险由供应商自行承担。</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、对响应文件的审查</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25.1响应文件审查分为资格审查和符合性审查。</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资格审查：由采购小组依据法律法规和单一来源文件的规定，对响应文件中的资格证明文件进行审查，以确定供应商是否具备参加单一来源的资格。</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小组在进行资格审查的同时，将在“信用中国”网站（www.creditchina.gov.cn）和“中国政府采购网"(www.ccgp.gov.cn)查询供应商的信用记录，以确定供应商是否具备参加单一来源采购活动的资格,查询结果留存并归档。</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符合性审查：依据采购文件的规定，由采购小组从响应文件的有效性、完整性和对采购文件的响应程度进行审查，以确定是否对单一来源文件的实质性要求作出响应。</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未通过资格审查或符合性审查的供应商，采购小组将在苏采云系统中告知未通过资格审查或符合性审查的原因，评审结束后，采购小组将不再告知未通过资格审查或符合性审查的原因。</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25.2在正式进行评审之前，采购小组将首先审查每份响应文件是否实质性响应了采购文件的要求。实质性响应的响应文件应该是与采购文件要求的条款、条件和规格相符，没有重大偏离或保留。</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采购文件规定的实质性要求存在负偏离，或者在实质上与采购文件不一致，而且限制了合同中买方和交易中心的权利或供应商的义务。重大偏离由采购小组按照少数服从多数的原则认定。采购小组决定响应文件的响应性只根据响应文件本身的内容，而不寻求外部的证据。</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25.3未实质性响应采购文件的情形</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25.3.1供应商在苏采云系统规定的时间内未成功解密电子响应文件的。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25.3.2供应商未按照采购文件要求上传电子响应文件的。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25.3.3供应商同一采购包提交两个（含两个）以上不同的响应文件或者最后报价的。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25.3.4供应商不具备采购文件中规定资格要求的。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25.3.5供应商的最后报价超过了采购预算。</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25.3.6不符合采购文件中规定的实质性要求的</w:t>
      </w:r>
      <w:r>
        <w:rPr>
          <w:rFonts w:ascii="宋体" w:hAnsi="宋体" w:eastAsia="宋体" w:cs="宋体"/>
          <w:b/>
          <w:color w:val="ff0000"/>
          <w:sz w:val="24"/>
        </w:rPr>
        <w:t xml:space="preserve">（本单一来源文件中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25.3.7供应商被“信用中国”网站（www.creditchina.gov.cn）列入失信被执行人或重大税收违法案件当事人名单或政府采购严重失信行为记录名单。被“中国政府采购网"(www.ccgp.gov.cn)列入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25.3.8 响应文件含有采购人不能接受的附加条件的。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25.3.9 如本项目采购产品被财政部、国家发改委、生态环境部等列入“节能产品品目清单”、“环境标志产品品目清单”强制采购范围，而单一来源供应商所响应产品不在强制采购范围内的。（采购的产品如属于政府强制采购节能产品品目清单范围内，响应文件中必须提供国家确定的认证机构出具的、处于有效期之内的该节能产品认证证书原件扫描件）</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25.3.10响应文件未按照单一来源文件要求加盖CA电子公章的。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25.4未实质性响应采购文件的响应文件按无效响应处理。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25.5如果响应文件实质上没有响应采购文件的要求，采购小组将予以拒绝。</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25.6供应商在项目评审及单一来源采购活动全过程中应保持通讯畅通，并安排专人与交易中心及采购小组联系。</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6</w:t>
      </w:r>
      <w:r>
        <w:rPr>
          <w:rFonts w:ascii="黑体" w:hAnsi="黑体" w:eastAsia="黑体" w:cs="黑体"/>
          <w:color w:val="000000"/>
          <w:sz w:val="28"/>
        </w:rPr>
        <w:t xml:space="preserve">、单一来源谈判及成交原则</w:t>
      </w:r>
      <w:r/>
    </w:p>
    <w:p>
      <w:pPr>
        <w:ind w:left="479"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26.1单一来源谈判</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 对于通过资格审查和符合性审查的供应商，采购小组将通过苏采云系统与其就采购标的的价格、服务等内容进行单一来源谈判。</w:t>
      </w:r>
      <w:r/>
    </w:p>
    <w:p>
      <w:pPr>
        <w:ind w:left="0" w:right="0" w:firstLine="478"/>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26.1.2供应商应当在苏采云系统中以书面形式对采购过程中做出的承诺与澄清进行确认，并在采购小组规定的时间内完成最后报价。</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 供应商的最后报价在响应产品数量没有增加，配置、服务没有重大提高的情况下，一般不允许高于第一次报价（即单一来源谈判分项报价表中的报价）。否则，采购小组有权拒绝该最后报价并不再给予报价补救机会。</w:t>
      </w:r>
      <w:r/>
    </w:p>
    <w:p>
      <w:pPr>
        <w:ind w:left="0" w:right="0" w:firstLine="3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26.2成交原则</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采购小组根据政府采购相关法律、规章的规定，在供应商的响应情况能保证采购项目质量且最后报价合理的基础上确定其为成交供应商。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26.3单一来源谈判终止情形处理</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出现下列情形之一的，交易中心将终止采购活动，发布项目终止公告并说明原因，重新开展采购活动：</w:t>
      </w:r>
      <w:r>
        <w:rPr>
          <w:rFonts w:ascii="宋体" w:hAnsi="宋体" w:eastAsia="宋体" w:cs="宋体"/>
          <w:color w:val="000000"/>
          <w:sz w:val="24"/>
        </w:rPr>
        <w:br/>
      </w:r>
      <w:r>
        <w:rPr>
          <w:rFonts w:ascii="宋体" w:hAnsi="宋体" w:eastAsia="宋体" w:cs="宋体"/>
          <w:color w:val="000000"/>
          <w:sz w:val="24"/>
        </w:rPr>
        <w:t xml:space="preserve">26.3.1 因情况变化，不再符合规定的单一来源采购方式适用情形的；</w:t>
      </w:r>
      <w:r>
        <w:rPr>
          <w:rFonts w:ascii="宋体" w:hAnsi="宋体" w:eastAsia="宋体" w:cs="宋体"/>
          <w:color w:val="000000"/>
          <w:sz w:val="24"/>
        </w:rPr>
        <w:br/>
      </w:r>
      <w:r>
        <w:rPr>
          <w:rFonts w:ascii="宋体" w:hAnsi="宋体" w:eastAsia="宋体" w:cs="宋体"/>
          <w:color w:val="000000"/>
          <w:sz w:val="24"/>
        </w:rPr>
        <w:t xml:space="preserve">26.3.2 出现影响采购公正的违法、违规行为的；</w:t>
      </w:r>
      <w:r>
        <w:rPr>
          <w:rFonts w:ascii="宋体" w:hAnsi="宋体" w:eastAsia="宋体" w:cs="宋体"/>
          <w:color w:val="000000"/>
          <w:sz w:val="24"/>
        </w:rPr>
        <w:br/>
      </w:r>
      <w:r>
        <w:rPr>
          <w:rFonts w:ascii="宋体" w:hAnsi="宋体" w:eastAsia="宋体" w:cs="宋体"/>
          <w:color w:val="000000"/>
          <w:sz w:val="24"/>
        </w:rPr>
        <w:t xml:space="preserve">26.3.3供应商最后报价超过采购预算的；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26.3.4供应商的技术方案、服务承诺、商务条款等不能满足采购人或采购小组的要求；</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26.3.5 法律、法规、规章规定的其他应当终止的情形。</w:t>
      </w:r>
      <w:r/>
    </w:p>
    <w:p>
      <w:pPr>
        <w:ind w:left="0" w:right="0" w:firstLine="482"/>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六、成交</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27、确定成交供应商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27.1采购小组根据单一来源谈判情况编写单一来源评审报告，推荐成交候选供应商。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 采购人根据采购小组推荐的成交候选供应商确定成交供应商。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 若有充分证据证明，成交供应商出现下列情况之一的，一经查实，将被取消成交资格：</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27.3.1提供虚假材料谋取成交的。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27.3.2与评审专家、采购人、其他供应商或者交易中心工作人员恶意串通的。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27.3.3向评审专家、采购人或交易中心工作人员行贿或者提供其他不正当利益的。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27.3.4恶意竞争，最后报价明显低于其自身合理成本且又无法提供证明的。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27.3.5不满足本采购文件规定的实质性要求，但在评审过程中又未被采购小组发现的。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27.3.6成交后无正当理由拒不与采购人签订政府采购合同或者未按照采购文件确定的事项签订政府采购合同的。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27.3.7将政府采购合同转包的。</w:t>
      </w:r>
      <w:r/>
    </w:p>
    <w:p>
      <w:pPr>
        <w:ind w:left="0" w:right="0" w:firstLine="60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28、质疑处理</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28.1供应商认为采购过程和采购结果使自己的权益受到损害的，可以从采购结果公布之日起七个工作日内，以书面形式向交易中心提出质疑。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 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质疑函必须按照本采购文件中《质疑函范本》要求的格式和内容进行填写。供应商如组成联合体参加单一来源谈判，则《质疑函范本》中要求签字、盖章、加盖公章之处，联合体各方均须按要求签字、盖章、加盖公章。</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 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质疑接收人及联系方式详见招标文件第一章。</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 以下情形的质疑不予受理</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 内容不符合《政府采购质疑和投诉办法》第十二条规定的质疑。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 超出政府采购法定期限的质疑。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 以传真、电子邮件等方式递交的非原件形式的质疑。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28.5.4未参加单一来源采购活动的供应商所提出的质疑。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28.5.5供应商组成联合体参加单一来源谈判，联合体中任何一方或多方未按要求签字、盖章、加盖公章的质疑。</w:t>
      </w:r>
      <w:r/>
    </w:p>
    <w:p>
      <w:pPr>
        <w:ind w:left="0" w:right="0" w:firstLine="468"/>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29、成交通知书</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成交结果确定后，交易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 签订合同</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30.l成交供应商应当在成交通知书发出之日起三十日内，按照采购文件确定的事项与采购人签订政府采购合同。</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30.2采购文件、成交供应商的响应文件及采购过程中有关澄清、承诺文件均应作为合同附件。</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60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31、政府采购履约资金扶持政策</w:t>
      </w:r>
      <w:r/>
    </w:p>
    <w:p>
      <w:pPr>
        <w:ind w:left="0" w:right="0" w:firstLine="55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成交供应商可凭政府采购合同办理融资贷款，详情请见江苏政府采购网“政采贷”专栏。</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第三章合同文本</w:t>
      </w:r>
      <w:r/>
    </w:p>
    <w:p>
      <w:pPr>
        <w:ind w:left="0" w:right="0" w:firstLine="0"/>
        <w:jc w:val="center"/>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56" w:after="156"/>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江苏省政府采购合同（合同编号）</w:t>
      </w:r>
      <w:r/>
    </w:p>
    <w:p>
      <w:pPr>
        <w:ind w:left="0" w:right="0" w:firstLine="0"/>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w:t>
      </w:r>
      <w:r>
        <w:rPr>
          <w:rFonts w:hint="eastAsia" w:ascii="宋体" w:hAnsi="宋体" w:eastAsia="宋体" w:cs="宋体"/>
          <w:color w:val="000000"/>
          <w:sz w:val="24"/>
          <w:lang w:val="en-US" w:eastAsia="zh-CN"/>
        </w:rPr>
        <w:t xml:space="preserve">名称：</w:t>
      </w:r>
      <w:r>
        <w:rPr>
          <w:rFonts w:ascii="宋体" w:hAnsi="宋体" w:eastAsia="宋体" w:cs="宋体"/>
          <w:color w:val="000000"/>
          <w:sz w:val="24"/>
        </w:rPr>
        <w:t xml:space="preserve">：</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ascii="宋体" w:hAnsi="宋体" w:eastAsia="宋体" w:cs="宋体"/>
          <w:color w:val="000000"/>
          <w:sz w:val="24"/>
        </w:rPr>
        <w:t xml:space="preserve">                 </w:t>
      </w:r>
      <w:r/>
    </w:p>
    <w:p>
      <w:pPr>
        <w:ind w:left="0" w:right="0" w:firstLine="0"/>
        <w:jc w:val="lef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ascii="宋体" w:hAnsi="宋体" w:eastAsia="宋体" w:cs="宋体"/>
          <w:color w:val="000000"/>
          <w:sz w:val="24"/>
          <w:u w:val="single"/>
        </w:rPr>
        <w:t xml:space="preserve">        </w:t>
      </w:r>
      <w:r/>
    </w:p>
    <w:p>
      <w:pPr>
        <w:ind w:left="0" w:right="0" w:firstLine="0"/>
        <w:jc w:val="lef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rPr>
          <w:rFonts w:ascii="宋体" w:hAnsi="宋体" w:eastAsia="宋体" w:cs="宋体"/>
          <w:color w:val="000000"/>
          <w:sz w:val="24"/>
          <w:u w:val="single"/>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乙方：（卖方/成交供应商）_________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项目单一来源采购的结果，签署本合同。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本合同金额为（大写）：_________圆（_________元）人民币或其他币种。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3.1乙方应按采购文件规定的时间向甲方提供与合同标的有关的技术资料。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4.1乙方应保证甲方在使用、接受本合同标的或其任何一部分时不受第三方提出侵犯其专利权、版权、商标权和工业设计权等知识产权的起诉。一旦出现侵权，由乙方负全部责任。</w:t>
      </w:r>
      <w:r/>
    </w:p>
    <w:p>
      <w:pPr>
        <w:ind w:left="408" w:right="0" w:hanging="408"/>
        <w:jc w:val="both"/>
        <w:spacing w:before="120" w:after="120"/>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本项目开发前乙方已经拥有的知识产权归乙方拥有，与甲方无关。根据本项目需求所定制开发的软件的知识产权和著作权归双方共同所有，乙方必须向甲方提供完整的程序源代码。</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乙方保证所交付的合同标的的所有权完全属于乙方且无任何抵押、查封等产权瑕疵。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乙方交纳人民币___</w:t>
      </w:r>
      <w:r>
        <w:rPr>
          <w:rFonts w:ascii="宋体" w:hAnsi="宋体" w:eastAsia="宋体" w:cs="宋体"/>
          <w:color w:val="0000ff"/>
          <w:sz w:val="24"/>
          <w:u w:val="single"/>
        </w:rPr>
        <w:t xml:space="preserve">零</w:t>
      </w:r>
      <w:r>
        <w:rPr>
          <w:rFonts w:ascii="宋体" w:hAnsi="宋体" w:eastAsia="宋体" w:cs="宋体"/>
          <w:color w:val="000000"/>
          <w:sz w:val="24"/>
        </w:rPr>
        <w:t xml:space="preserve">______元作为本合同的履约保证金。（不得超过合同金额的10%）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无</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rPr>
          <w:rFonts w:ascii="宋体" w:hAnsi="宋体" w:eastAsia="宋体" w:cs="宋体"/>
          <w:color w:val="0000ff"/>
          <w:sz w:val="24"/>
        </w:rPr>
        <w:t xml:space="preserve">无</w:t>
      </w:r>
      <w:r/>
    </w:p>
    <w:p>
      <w:pPr>
        <w:ind w:left="0" w:right="0" w:firstLine="0"/>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56" w:after="156"/>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left="0" w:right="0" w:firstLine="482"/>
        <w:jc w:val="both"/>
        <w:spacing w:before="156" w:after="156"/>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合同签订，甲方自收到发票后10个工作日内支付合同金额30%的预付款；项目验收合格,甲方收到发票后10个工作日内支付合同金额70%的尾款</w:t>
      </w:r>
      <w:r>
        <w:rPr>
          <w:rFonts w:hint="eastAsia" w:ascii="宋体" w:hAnsi="宋体" w:cs="宋体"/>
          <w:b/>
          <w:bCs/>
          <w:color w:val="000000"/>
          <w:sz w:val="24"/>
          <w:lang w:eastAsia="zh-CN"/>
        </w:rPr>
        <w:t xml:space="preserve">。</w:t>
      </w:r>
      <w:r/>
    </w:p>
    <w:p>
      <w:pPr>
        <w:ind w:left="0" w:right="0" w:firstLine="0"/>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 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 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甲方无正当理由拒绝接受乙方提供合同标的的，甲方向乙方偿付拒绝接受合同价款总值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 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乙方交付合同标的的标准不符合合同规定及谈判文件规定标准的，甲方有权拒绝接受合同标的，并可单方面解除合同。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在合同有效期内，任何一方因不可抗力事件导致不能履行合同，则合同履行期可延长，其延长期与不可抗力影响 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 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 本合同正本一式两份，具有同等法律效力，甲方、乙方各执一份。</w:t>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75"/>
        <w:gridCol w:w="4468"/>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
    </w:p>
    <w:p>
      <w:pPr>
        <w:ind w:left="0" w:right="0" w:firstLine="420"/>
        <w:jc w:val="right"/>
        <w:spacing w:before="0" w:after="0" w:line="49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4"/>
        </w:rPr>
        <w:t xml:space="preserve">签订日期：年  月 日</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第四章 采购需求</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000000"/>
          <w:sz w:val="24"/>
          <w:lang w:val="en-US" w:eastAsia="zh-CN"/>
        </w:rPr>
        <w:t xml:space="preserve">无</w:t>
      </w:r>
      <w:r>
        <w:rPr>
          <w:rFonts w:ascii="宋体" w:hAnsi="宋体" w:eastAsia="宋体" w:cs="宋体"/>
          <w:color w:val="000000"/>
          <w:sz w:val="24"/>
        </w:rPr>
        <w:t xml:space="preserve">。</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供应商对于投标产品的包装应按照“财办库〔2020〕123号《关于印发《商品包装政府采购需求标准（试行）》、《快递包装政府采购需求标准（试行）》的通知》”执行。</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10" w:right="0" w:hanging="410"/>
        <w:jc w:val="left"/>
        <w:spacing w:before="120" w:after="12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技术要求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技术要求是指对采购标的功能和质量要求，包括性能、材料、结构、外观、安全，或者服务内容和标准等。其中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pStyle w:val="696"/>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一、项目概述</w:t>
      </w:r>
      <w:r/>
    </w:p>
    <w:p>
      <w:pPr>
        <w:pStyle w:val="697"/>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项目建设背景</w:t>
      </w:r>
      <w:r/>
    </w:p>
    <w:p>
      <w:pPr>
        <w:ind w:firstLine="480"/>
        <w:jc w:val="left"/>
        <w:keepLines w:val="0"/>
        <w:keepNext w:val="0"/>
        <w:pageBreakBefore w:val="0"/>
        <w:spacing w:line="360" w:lineRule="auto"/>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为深入贯彻国务院《关于深入实施“人工智能+”行动的意见》（国发〔2025〕11 号），落实省政府《江苏省“人工智能＋”行动方案》（苏政发〔2025〕108 号）关于全面推动人工智能创新发展的工作部署，对标财政部财政数字化、智能化转型要求，严格落实财政数字化改革及收入全流程智能监管任务，扬州市财政局将以数字化为基础、智能化为核心、精细化为目标，推动人工智能与财政管理深度融合，全面提升收入治理水平与财政管理效能。</w:t>
      </w:r>
      <w:r/>
    </w:p>
    <w:p>
      <w:pPr>
        <w:ind w:firstLine="480"/>
        <w:jc w:val="left"/>
        <w:keepLines w:val="0"/>
        <w:keepNext w:val="0"/>
        <w:pageBreakBefore w:val="0"/>
        <w:spacing w:line="360" w:lineRule="auto"/>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紧扣AI 赋能财政科学管理、数据驱动精准治理、智能强化监管效能、流程闭环自动运转核心目标，聚焦当前财政收入数据碎片化分散、查询分析效率偏低、风险预警研判能力薄弱、跨部门跨银行数据协同壁垒突出等痛点难点。依托大数据、人工智能、大模型、向量数据库等前沿数字技术，搭建统一规范、高效协同、安全可靠的非税收缴系统智能监管平台，统筹推进收入数据一体化治理，为财政动态监管、科学决策分析、精准风险防控筑牢数据底座与技术支撑。</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
        </w:rPr>
      </w:pPr>
      <w:r>
        <w:rPr>
          <w:rFonts w:hint="eastAsia" w:ascii="宋体" w:hAnsi="宋体" w:eastAsia="宋体" w:cs="宋体"/>
          <w:spacing w:val="0"/>
          <w:sz w:val="24"/>
          <w:szCs w:val="24"/>
          <w:lang w:val="en-US" w:eastAsia="zh-CN"/>
        </w:rPr>
        <w:t xml:space="preserve">加速推动财政收入管理模式由人工经验驱动向数据赋能、智能智治转型升级，全力打造扬州财政 “人工智能 + 财政科学管理”省级标杆示范应用场景。</w:t>
      </w:r>
      <w:r/>
    </w:p>
    <w:p>
      <w:pPr>
        <w:pStyle w:val="697"/>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项目建设目标</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数据统一治理：</w:t>
      </w:r>
      <w:r>
        <w:rPr>
          <w:rFonts w:hint="eastAsia" w:ascii="宋体" w:hAnsi="宋体" w:eastAsia="宋体" w:cs="宋体"/>
          <w:b w:val="0"/>
          <w:bCs w:val="0"/>
          <w:color w:val="000000"/>
          <w:sz w:val="24"/>
          <w:szCs w:val="24"/>
          <w:lang w:val="en-US" w:eastAsia="zh-CN" w:bidi="ar"/>
        </w:rPr>
        <w:t xml:space="preserve">完成非税业务全量数据模型构建与近3年历史数据治理；完成市区县一体化回流数据近3年历史数据治理。实现贴源层、标准层、汇总层、应用层数据统一标准、统一口径、统一管理。</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AI能力底座建成：</w:t>
      </w:r>
      <w:r>
        <w:rPr>
          <w:rFonts w:hint="eastAsia" w:ascii="宋体" w:hAnsi="宋体" w:eastAsia="宋体" w:cs="宋体"/>
          <w:b w:val="0"/>
          <w:bCs w:val="0"/>
          <w:color w:val="000000"/>
          <w:sz w:val="24"/>
          <w:szCs w:val="24"/>
          <w:lang w:val="en-US" w:eastAsia="zh-CN" w:bidi="ar"/>
        </w:rPr>
        <w:t xml:space="preserve">搭建大数据应用开发平台、人工智能应用开发平台，形成可复用、可扩展的AI基础支撑能力。</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智能应用落地：</w:t>
      </w:r>
      <w:r>
        <w:rPr>
          <w:rFonts w:hint="eastAsia" w:ascii="宋体" w:hAnsi="宋体" w:eastAsia="宋体" w:cs="宋体"/>
          <w:b w:val="0"/>
          <w:bCs w:val="0"/>
          <w:color w:val="000000"/>
          <w:sz w:val="24"/>
          <w:szCs w:val="24"/>
          <w:lang w:val="en-US" w:eastAsia="zh-CN" w:bidi="ar"/>
        </w:rPr>
        <w:t xml:space="preserve">构建收入分析、风险预警、智能报告、流程自动化等核心智能应用场景，实现财政管理从"人工经验驱动"向"数据智能驱动"转变。</w:t>
      </w:r>
      <w:r/>
    </w:p>
    <w:p>
      <w:pPr>
        <w:pStyle w:val="697"/>
        <w:rPr>
          <w:rFonts w:hint="eastAsia" w:ascii="宋体" w:hAnsi="宋体" w:eastAsia="宋体" w:cs="宋体"/>
          <w:sz w:val="24"/>
          <w:szCs w:val="24"/>
        </w:rPr>
      </w:pPr>
      <w:r>
        <w:rPr>
          <w:rFonts w:hint="eastAsia" w:ascii="宋体" w:hAnsi="宋体" w:eastAsia="宋体" w:cs="宋体"/>
          <w:sz w:val="24"/>
          <w:szCs w:val="24"/>
          <w:lang w:val="en-US" w:eastAsia="zh-CN"/>
        </w:rPr>
        <w:t xml:space="preserve">1.3.项目建设原则</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统一规划、统一建设：</w:t>
      </w:r>
      <w:r>
        <w:rPr>
          <w:rFonts w:hint="eastAsia" w:ascii="宋体" w:hAnsi="宋体" w:eastAsia="宋体" w:cs="宋体"/>
          <w:b w:val="0"/>
          <w:bCs w:val="0"/>
          <w:color w:val="000000"/>
          <w:sz w:val="24"/>
          <w:szCs w:val="24"/>
          <w:lang w:val="en-US" w:eastAsia="zh-CN" w:bidi="ar"/>
        </w:rPr>
        <w:t xml:space="preserve">按照"统一规划、统一建设、集中部署、分步实施"的指导思想组织实施，避免重复建设和信息孤岛。</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标准先行、规范引领：</w:t>
      </w:r>
      <w:r>
        <w:rPr>
          <w:rFonts w:hint="eastAsia" w:ascii="宋体" w:hAnsi="宋体" w:eastAsia="宋体" w:cs="宋体"/>
          <w:b w:val="0"/>
          <w:bCs w:val="0"/>
          <w:color w:val="000000"/>
          <w:sz w:val="24"/>
          <w:szCs w:val="24"/>
          <w:lang w:val="en-US" w:eastAsia="zh-CN" w:bidi="ar"/>
        </w:rPr>
        <w:t xml:space="preserve">遵循国家和江苏省电子政务标准体系，统一数据标准、接口标准、安全标准，确保系统互联互通。</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安全可靠、自主可控：</w:t>
      </w:r>
      <w:r>
        <w:rPr>
          <w:rFonts w:hint="eastAsia" w:ascii="宋体" w:hAnsi="宋体" w:eastAsia="宋体" w:cs="宋体"/>
          <w:b w:val="0"/>
          <w:bCs w:val="0"/>
          <w:color w:val="000000"/>
          <w:sz w:val="24"/>
          <w:szCs w:val="24"/>
          <w:lang w:val="en-US" w:eastAsia="zh-CN" w:bidi="ar"/>
        </w:rPr>
        <w:t xml:space="preserve">严格遵照信息安全等级保护二级标准进行设计、开发、上线、运维，优先采用安全可靠的技术路线和产品。</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复用扩展、持续迭代：</w:t>
      </w:r>
      <w:r>
        <w:rPr>
          <w:rFonts w:hint="eastAsia" w:ascii="宋体" w:hAnsi="宋体" w:eastAsia="宋体" w:cs="宋体"/>
          <w:b w:val="0"/>
          <w:bCs w:val="0"/>
          <w:color w:val="000000"/>
          <w:sz w:val="24"/>
          <w:szCs w:val="24"/>
          <w:lang w:val="en-US" w:eastAsia="zh-CN" w:bidi="ar"/>
        </w:rPr>
        <w:t xml:space="preserve">采用模块化、组件化、服务化架构设计，支持功能扩展和能力复用，满足未来业务发展需求。</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数据驱动、智能赋能：</w:t>
      </w:r>
      <w:r>
        <w:rPr>
          <w:rFonts w:hint="eastAsia" w:ascii="宋体" w:hAnsi="宋体" w:eastAsia="宋体" w:cs="宋体"/>
          <w:b w:val="0"/>
          <w:bCs w:val="0"/>
          <w:color w:val="000000"/>
          <w:sz w:val="24"/>
          <w:szCs w:val="24"/>
          <w:lang w:val="en-US" w:eastAsia="zh-CN" w:bidi="ar"/>
        </w:rPr>
        <w:t xml:space="preserve">以数据治理为基础，以AI能力为核心，充分释放数据价值，提升财政管理智能化水平。</w:t>
      </w:r>
      <w:r/>
    </w:p>
    <w:p>
      <w:pPr>
        <w:pStyle w:val="696"/>
        <w:numPr>
          <w:ilvl w:val="0"/>
          <w:numId w:val="5"/>
        </w:numPr>
        <w:rPr>
          <w:rFonts w:hint="eastAsia" w:ascii="宋体" w:hAnsi="宋体" w:eastAsia="宋体" w:cs="宋体"/>
          <w:sz w:val="24"/>
          <w:szCs w:val="24"/>
        </w:rPr>
      </w:pPr>
      <w:r>
        <w:rPr>
          <w:rFonts w:hint="eastAsia" w:ascii="宋体" w:hAnsi="宋体" w:eastAsia="宋体" w:cs="宋体"/>
          <w:sz w:val="24"/>
          <w:szCs w:val="24"/>
        </w:rPr>
        <w:t xml:space="preserve">建设内容</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本项目非税收缴系统智能监管平台以大数据治理为根基、AI 智能应用为核心，围绕扬州市财政局收入管理全流程痛点，构建“数据统一、智能高效、安全可靠、复用扩展”的技术底座，整体建设内容分为大数据应用开发平台（含历史数据全量治理）与人工智能应用开发平台两大核心板块，全面支撑收入数字化、智能化、精细化管理，具体建设内容如下：</w:t>
      </w:r>
      <w:r/>
    </w:p>
    <w:p>
      <w:pPr>
        <w:pStyle w:val="69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2.1.大数据应用开发平台（含历史数据治理）</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大数据应用开发平台是本项目的数据底座，承担非税收入数据及市区县一体化回流数据的统一接入、治理、建模与服务职能。平台采用云原生、分布式架构设计，支持弹性扩容与多租户资源隔离，为上层 AI 应用提供高质量、高时效、高可信的数据供给能力。</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98"/>
        <w:rPr>
          <w:rFonts w:hint="eastAsia" w:ascii="宋体" w:hAnsi="宋体" w:eastAsia="宋体" w:cs="宋体"/>
          <w:sz w:val="24"/>
          <w:szCs w:val="24"/>
        </w:rPr>
      </w:pPr>
      <w:r>
        <w:rPr>
          <w:rFonts w:hint="eastAsia" w:ascii="宋体" w:hAnsi="宋体" w:eastAsia="宋体" w:cs="宋体"/>
          <w:sz w:val="24"/>
          <w:szCs w:val="24"/>
          <w:lang w:val="en-US" w:eastAsia="zh-CN"/>
        </w:rPr>
        <w:t xml:space="preserve">2.1.1</w:t>
      </w:r>
      <w:r>
        <w:rPr>
          <w:rFonts w:hint="eastAsia" w:ascii="宋体" w:hAnsi="宋体" w:eastAsia="宋体" w:cs="宋体"/>
          <w:sz w:val="24"/>
          <w:szCs w:val="24"/>
        </w:rPr>
        <w:t xml:space="preserve">全层级非税数据模型开发</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按财政业务规范与数据资产管理要求，开发财政专属数据模型体系，构建贴源层（ODS）—标准层（STD）—汇总层（DWS）—应用层（ADS）四层数据架构，实现数据统一标准、全域贯通、分层解耦。覆盖扬州财政非税收入、票据管理、账户管理、项目管理、预算执行等多业务场景，保障数据口径统一、可复用、可溯源。</w:t>
      </w:r>
      <w:r/>
    </w:p>
    <w:p>
      <w:pPr>
        <w:numPr>
          <w:ilvl w:val="0"/>
          <w:numId w:val="6"/>
        </w:numPr>
        <w:ind w:left="0" w:right="0" w:firstLine="420"/>
        <w:jc w:val="left"/>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贴源层（ODS）</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对接非税收入管理系统、财政一体化平台、国库集中支付系统、电子票据系统、代理银行系统、政务数据共享交换平台等数据源，实现原始数据的全量接入和保留，保持数据原貌。具体要求包括：</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全量接入机制：支持结构化数据（关系型数据库）、半结构化数据（XML/JSON/API）、非结构化数据（PDF/图片/扫描件）的多源异构接入；</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增量捕获能力：基于 CDC（Change Data Capture）日志解析、时间戳轮询、触发器等多种方式实现准实时增量抽取，延迟≤5分钟；</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数据原貌保留：ODS 层不做任何业务规则转换，仅做格式标准化与编码统一，确保数据可追溯、可回滚；</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接入监控：对每条接入链路配置独立监控，记录接入时间、数据量、校验状态，异常自动告警。</w:t>
      </w:r>
      <w:r/>
    </w:p>
    <w:p>
      <w:pPr>
        <w:numPr>
          <w:ilvl w:val="0"/>
          <w:numId w:val="6"/>
        </w:numPr>
        <w:ind w:left="0" w:right="0" w:firstLine="420"/>
        <w:jc w:val="left"/>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标准层（STD）</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基于财政数据标准规范及《财政业务基础数据规范》《政府非税收入管理办法》等政策文件，对贴源数据进行清洗、转换、标准化处理，建立统一的数据字典和编码体系。核心工作包括：</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数据清洗规则库：配置空值填充、格式校验、异常值识别、重复数据剔除等清洗规则≥200条，支持规则可视化配置与版本管理；</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编码标准化：统一单位编码、项目编码、科目编码、票据编码、银行账户编码等核心主数据，建立与国家标准、省级标准的映射关系；</w:t>
      </w:r>
      <w:r/>
    </w:p>
    <w:p>
      <w:pPr>
        <w:numPr>
          <w:ilvl w:val="0"/>
          <w:numId w:val="6"/>
        </w:numPr>
        <w:ind w:left="0" w:right="0" w:firstLine="420"/>
        <w:jc w:val="left"/>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汇总层（DWS）</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按照业务主题域（收入主题、票据主题、账户主题、项目主题、预算主题、单位主题）进行数据汇总和轻度聚合，构建面向分析的数据宽表。具体要求：</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主题域建模：每个主题域构建≥3张核心宽表，涵盖事实表与维度表；</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预聚合指标：预计算年收入、月累计、同比、环比、预算执行率、时序进度等常用指标，查询响应提升≥10倍；</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数据粒度：支持按日、按月、按季度、按年度多粒度汇总，支持按单位、按项目、按区域、按收入类别多维下钻；</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血缘关系登记：汇总逻辑须记录血缘图谱，清晰标识上游来源、计算逻辑、下游应用，支持影响分析与溯源。</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（4）应用层（ADS）</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面向具体业务场景（收入分析、风险预警、智能报告、智能对账、流程自动化等）构建应用数据模型，支撑上层智能应用。核心要求：</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场景化模型：针对 2.2 节中各智能应用场景，分别构建 ADS 模型，包括收入分析模型、风险预警特征模型、对账比对模型、报告素材模型等；</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接口服务化：ADS 层数据通过 API 网关对外提供服务，支持 RESTful、GraphQL 等协议，接口响应≤200ms；</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数据权限控制：按用户角色、单位归属、数据密级进行行级/列级权限控制，确保最小可用原则。</w:t>
      </w:r>
      <w:r/>
    </w:p>
    <w:p>
      <w:pPr>
        <w:pStyle w:val="698"/>
        <w:rPr>
          <w:rFonts w:hint="eastAsia" w:ascii="宋体" w:hAnsi="宋体" w:eastAsia="宋体" w:cs="宋体"/>
          <w:sz w:val="24"/>
          <w:szCs w:val="24"/>
        </w:rPr>
      </w:pPr>
      <w:r>
        <w:rPr>
          <w:rFonts w:hint="eastAsia" w:ascii="宋体" w:hAnsi="宋体" w:eastAsia="宋体" w:cs="宋体"/>
          <w:sz w:val="24"/>
          <w:szCs w:val="24"/>
          <w:lang w:val="en-US" w:eastAsia="zh-CN"/>
        </w:rPr>
        <w:t xml:space="preserve">2.1.2.</w:t>
      </w:r>
      <w:r>
        <w:rPr>
          <w:rFonts w:hint="eastAsia" w:ascii="宋体" w:hAnsi="宋体" w:eastAsia="宋体" w:cs="宋体"/>
          <w:sz w:val="24"/>
          <w:szCs w:val="24"/>
        </w:rPr>
        <w:t xml:space="preserve">全量历史数据治理</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针对扬州市财政局近3年非税历史数据及市区县一体化回流数据，提供性能测试方案，开展清洗、标准化、去重、补全、质量校验、血缘追溯全流程治理，实现历史数据可用、可信、可复用。</w:t>
      </w:r>
      <w:r/>
    </w:p>
    <w:p>
      <w:pPr>
        <w:ind w:firstLine="482"/>
        <w:jc w:val="both"/>
        <w:keepLines w:val="0"/>
        <w:keepNext w:val="0"/>
        <w:pageBreakBefore w:val="0"/>
        <w:spacing w:line="360" w:lineRule="auto"/>
        <w:widowControl w:val="off"/>
        <w:rPr>
          <w:rStyle w:val="988"/>
          <w:rFonts w:hint="eastAsia" w:ascii="宋体" w:hAnsi="宋体" w:eastAsia="宋体" w:cs="宋体"/>
          <w:b/>
          <w:bCs/>
          <w:sz w:val="24"/>
          <w:szCs w:val="24"/>
          <w:lang w:val="en-US" w:eastAsia="zh-CN"/>
        </w:rPr>
      </w:pPr>
      <w:r>
        <w:rPr>
          <w:rStyle w:val="988"/>
          <w:rFonts w:hint="eastAsia" w:ascii="宋体" w:hAnsi="宋体" w:eastAsia="宋体" w:cs="宋体"/>
          <w:b/>
          <w:bCs/>
          <w:sz w:val="24"/>
          <w:szCs w:val="24"/>
          <w:lang w:val="en-US" w:eastAsia="zh-CN"/>
        </w:rPr>
        <w:t xml:space="preserve">（1）治理范围与目标</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数据范围：非税收入明细数据、票据数据、银行账户流水、预算执行数据、单位基础信息、政策参数表等全量历史数据；</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治理目标：</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数据完整性≥99%</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数据一致性≥99%</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核心字段准确率≥99%</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日处理能力≥5000 万条</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单批次治理耗时≤4 小时</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数据去重率≥95%（针对重复入库、重复回流数据）</w:t>
      </w:r>
      <w:r/>
    </w:p>
    <w:p>
      <w:pPr>
        <w:ind w:firstLine="482"/>
        <w:jc w:val="both"/>
        <w:keepLines w:val="0"/>
        <w:keepNext w:val="0"/>
        <w:pageBreakBefore w:val="0"/>
        <w:spacing w:line="360" w:lineRule="auto"/>
        <w:widowControl w:val="off"/>
        <w:rPr>
          <w:rStyle w:val="988"/>
          <w:rFonts w:hint="eastAsia" w:ascii="宋体" w:hAnsi="宋体" w:eastAsia="宋体" w:cs="宋体"/>
          <w:b/>
          <w:bCs/>
          <w:sz w:val="24"/>
          <w:szCs w:val="24"/>
          <w:lang w:val="en-US" w:eastAsia="zh-CN"/>
        </w:rPr>
      </w:pPr>
      <w:r>
        <w:rPr>
          <w:rStyle w:val="988"/>
          <w:rFonts w:hint="eastAsia" w:ascii="宋体" w:hAnsi="宋体" w:eastAsia="宋体" w:cs="宋体"/>
          <w:b/>
          <w:bCs/>
          <w:sz w:val="24"/>
          <w:szCs w:val="24"/>
          <w:lang w:val="en-US" w:eastAsia="zh-CN"/>
        </w:rPr>
        <w:t xml:space="preserve">（2）治理流程与技术要求</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数据探查：利用数据剖析（Data Profiling）工具对全量历史数据进行自动化探查，生成字段空值率、值域分布、格式异常、逻辑冲突等探查报告；</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清洗转换：基于规则引擎与机器学习辅助识别异常数据，对缺失值采用插值、均值填充、业务规则推导等方式补全；对格式异常数据执行标准化转换；</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数据去重：构建实体识别模型（基于单位名称、统一社会信用代码、银行账户、项目编码等多字段模糊匹配），识别并合并重复记录；</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数据补全：对接工商、民政、税务等外部政务数据，对缺失的单位信息、项目属性进行补全；</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质量校验：建立≥100 条质量校验规则，覆盖完整性、一致性、准确性、时效性、唯一性五大维度，校验结果量化评分；</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血缘追溯：记录每条数据从源系统到目标表的全链路血缘关系，支持字段级血缘追踪，血缘图谱可视化展示，支持问题回溯与影响分析。</w:t>
      </w:r>
      <w:r/>
    </w:p>
    <w:p>
      <w:pPr>
        <w:ind w:firstLine="482"/>
        <w:jc w:val="both"/>
        <w:keepLines w:val="0"/>
        <w:keepNext w:val="0"/>
        <w:pageBreakBefore w:val="0"/>
        <w:spacing w:line="360" w:lineRule="auto"/>
        <w:widowControl w:val="off"/>
        <w:rPr>
          <w:rStyle w:val="988"/>
          <w:rFonts w:hint="eastAsia" w:ascii="宋体" w:hAnsi="宋体" w:eastAsia="宋体" w:cs="宋体"/>
          <w:b/>
          <w:bCs/>
          <w:sz w:val="24"/>
          <w:szCs w:val="24"/>
          <w:lang w:val="en-US" w:eastAsia="zh-CN"/>
        </w:rPr>
      </w:pPr>
      <w:r>
        <w:rPr>
          <w:rStyle w:val="988"/>
          <w:rFonts w:hint="eastAsia" w:ascii="宋体" w:hAnsi="宋体" w:eastAsia="宋体" w:cs="宋体"/>
          <w:b/>
          <w:bCs/>
          <w:sz w:val="24"/>
          <w:szCs w:val="24"/>
          <w:lang w:val="en-US" w:eastAsia="zh-CN"/>
        </w:rPr>
        <w:t xml:space="preserve">（3）性能与可靠性要求</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高性能处理：采用分布式计算框架（如 Spark/Flink），日处理能力≥5000 万条，峰值处理能力≥1 亿条/日；</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高可靠性：对质量指标不达标、处理超时、节点故障等情况，具备实时监控与自动告警能力，支持断点续传与任务重试；</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平滑扩容：架构设计支持未来数据量增长至 1 亿条/日以上的水平扩展，扩容过程不影响在线业务；</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治理报告：每批次治理完成后自动生成《数据治理报告》，包含治理前后数据质量对比、问题清单、处理策略、遗留风险及改进建议。</w:t>
      </w:r>
      <w:r/>
    </w:p>
    <w:p>
      <w:pPr>
        <w:pStyle w:val="698"/>
        <w:rPr>
          <w:rFonts w:hint="eastAsia" w:ascii="宋体" w:hAnsi="宋体" w:eastAsia="宋体" w:cs="宋体"/>
          <w:sz w:val="24"/>
          <w:szCs w:val="24"/>
        </w:rPr>
      </w:pPr>
      <w:r>
        <w:rPr>
          <w:rFonts w:hint="eastAsia" w:ascii="宋体" w:hAnsi="宋体" w:eastAsia="宋体" w:cs="宋体"/>
          <w:sz w:val="24"/>
          <w:szCs w:val="24"/>
          <w:lang w:val="en-US" w:eastAsia="zh-CN"/>
        </w:rPr>
        <w:t xml:space="preserve">2.1.3.</w:t>
      </w:r>
      <w:r>
        <w:rPr>
          <w:rFonts w:hint="eastAsia" w:ascii="宋体" w:hAnsi="宋体" w:eastAsia="宋体" w:cs="宋体"/>
          <w:sz w:val="24"/>
          <w:szCs w:val="24"/>
        </w:rPr>
        <w:t xml:space="preserve">平台基础能力建设</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搭建一体化大数据应用开发工作台，提供统一身份认证、可视化开发、任务调度、数据服务、监控运维等基础能力，实现多系统无缝集成与高效协同。</w:t>
      </w:r>
      <w:r/>
    </w:p>
    <w:p>
      <w:pPr>
        <w:ind w:firstLine="482"/>
        <w:jc w:val="both"/>
        <w:keepLines w:val="0"/>
        <w:keepNext w:val="0"/>
        <w:pageBreakBefore w:val="0"/>
        <w:spacing w:line="360" w:lineRule="auto"/>
        <w:widowControl w:val="off"/>
        <w:rPr>
          <w:rStyle w:val="988"/>
          <w:rFonts w:hint="eastAsia" w:ascii="宋体" w:hAnsi="宋体" w:eastAsia="宋体" w:cs="宋体"/>
          <w:b/>
          <w:bCs/>
          <w:sz w:val="24"/>
          <w:szCs w:val="24"/>
          <w:lang w:val="en-US" w:eastAsia="zh-CN"/>
        </w:rPr>
      </w:pPr>
      <w:r>
        <w:rPr>
          <w:rStyle w:val="988"/>
          <w:rFonts w:hint="eastAsia" w:ascii="宋体" w:hAnsi="宋体" w:eastAsia="宋体" w:cs="宋体"/>
          <w:b/>
          <w:bCs/>
          <w:sz w:val="24"/>
          <w:szCs w:val="24"/>
          <w:lang w:val="en-US" w:eastAsia="zh-CN"/>
        </w:rPr>
        <w:t xml:space="preserve">（1）统一单点登录（SSO）</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对接扬州市财政局现有身份认证体系（如 CA 证书、政务云统一身份平台），实现单点登录、统一身份、集中授权；</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登录响应时间≤1.5 秒，支持≥300 并发登录，峰值并发≥1000；</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支持多因子认证（密码+短信），满足等保二级要求；</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会话管理：支持会话超时自动退出、异地登录提醒、登录日志审计。</w:t>
      </w:r>
      <w:r/>
    </w:p>
    <w:p>
      <w:pPr>
        <w:ind w:firstLine="482"/>
        <w:jc w:val="both"/>
        <w:keepLines w:val="0"/>
        <w:keepNext w:val="0"/>
        <w:pageBreakBefore w:val="0"/>
        <w:spacing w:line="360" w:lineRule="auto"/>
        <w:widowControl w:val="off"/>
        <w:rPr>
          <w:rStyle w:val="988"/>
          <w:rFonts w:hint="eastAsia" w:ascii="宋体" w:hAnsi="宋体" w:eastAsia="宋体" w:cs="宋体"/>
          <w:b/>
          <w:bCs/>
          <w:sz w:val="24"/>
          <w:szCs w:val="24"/>
          <w:lang w:val="en-US" w:eastAsia="zh-CN"/>
        </w:rPr>
      </w:pPr>
      <w:r>
        <w:rPr>
          <w:rStyle w:val="988"/>
          <w:rFonts w:hint="eastAsia" w:ascii="宋体" w:hAnsi="宋体" w:eastAsia="宋体" w:cs="宋体"/>
          <w:b/>
          <w:bCs/>
          <w:sz w:val="24"/>
          <w:szCs w:val="24"/>
          <w:lang w:val="en-US" w:eastAsia="zh-CN"/>
        </w:rPr>
        <w:t xml:space="preserve">（2）一体化工作台</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集成待办事项、风险预警推送、数据统计看板、流程进度追踪、通知公告等模块，实现"一屏式"监管；</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页面首次加载时间≤2 秒，交互操作响应≤1 秒；</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支持个性化门户配置，用户可按角色自定义首页布局与常用功能快捷入口；</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待办与预警信息支持 Web 端多渠道推送。</w:t>
      </w:r>
      <w:r/>
    </w:p>
    <w:p>
      <w:pPr>
        <w:ind w:firstLine="482"/>
        <w:jc w:val="both"/>
        <w:keepLines w:val="0"/>
        <w:keepNext w:val="0"/>
        <w:pageBreakBefore w:val="0"/>
        <w:spacing w:line="360" w:lineRule="auto"/>
        <w:widowControl w:val="off"/>
        <w:rPr>
          <w:rStyle w:val="988"/>
          <w:rFonts w:hint="eastAsia" w:ascii="宋体" w:hAnsi="宋体" w:eastAsia="宋体" w:cs="宋体"/>
          <w:b/>
          <w:bCs/>
          <w:sz w:val="24"/>
          <w:szCs w:val="24"/>
          <w:lang w:val="en-US" w:eastAsia="zh-CN"/>
        </w:rPr>
      </w:pPr>
      <w:r>
        <w:rPr>
          <w:rStyle w:val="988"/>
          <w:rFonts w:hint="eastAsia" w:ascii="宋体" w:hAnsi="宋体" w:eastAsia="宋体" w:cs="宋体"/>
          <w:b/>
          <w:bCs/>
          <w:sz w:val="24"/>
          <w:szCs w:val="24"/>
          <w:lang w:val="en-US" w:eastAsia="zh-CN"/>
        </w:rPr>
        <w:t xml:space="preserve">（3）系统集成适配</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提供标准化 RESTful API 接口与数据交换接口，对接财政现有系统（非税系统、一体化系统）、政务系统（市大数据局、税务局、市场监管局等）；</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接口平均响应时间≤200ms，成功率≥99%，支持峰值≥1000 TPS；</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接口安全：采用 OAuth 2.0 + JWT 认证，传输层 SSL/TLS 加密，关键接口增加签名验签机制；</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提供接口文档（Swagger/OpenAPI）、SDK 示例、联调测试环境，降低对接成本。</w:t>
      </w:r>
      <w:r/>
    </w:p>
    <w:p>
      <w:pPr>
        <w:pStyle w:val="697"/>
        <w:numPr>
          <w:ilvl w:val="0"/>
          <w:numId w:val="0"/>
        </w:numPr>
        <w:rPr>
          <w:rFonts w:hint="eastAsia" w:ascii="宋体" w:hAnsi="宋体" w:eastAsia="宋体" w:cs="宋体"/>
          <w:sz w:val="24"/>
          <w:szCs w:val="24"/>
          <w:lang w:val="en-US" w:eastAsia="zh-CN"/>
        </w:rPr>
        <w:outlineLvl w:val="2"/>
      </w:pPr>
      <w:r>
        <w:rPr>
          <w:rFonts w:hint="eastAsia" w:ascii="宋体" w:hAnsi="宋体" w:eastAsia="宋体" w:cs="宋体"/>
          <w:sz w:val="24"/>
          <w:szCs w:val="24"/>
          <w:lang w:val="en-US" w:eastAsia="zh-CN"/>
        </w:rPr>
        <w:t xml:space="preserve">2.2.人工智能应用开发平台</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
        </w:rPr>
      </w:pPr>
      <w:r>
        <w:rPr>
          <w:rStyle w:val="988"/>
          <w:rFonts w:hint="eastAsia" w:ascii="宋体" w:hAnsi="宋体" w:eastAsia="宋体" w:cs="宋体"/>
          <w:b w:val="0"/>
          <w:bCs w:val="0"/>
          <w:sz w:val="24"/>
          <w:szCs w:val="24"/>
          <w:lang w:val="en-US" w:eastAsia="zh-CN"/>
        </w:rPr>
        <w:t xml:space="preserve">以大模型（LLM）、向量数据库（Vector DB）、流程自动化（RPA）为核心技术，打造收入全流程智能应用能力。平台须支持私有化部署在采购人指定的政务云环境中，满足财政数据不出域、模型自主可控的安全要求。通过自然语言交互、智能体（Agent）编排、知识增强检索（RAG）等技术，实现数据查询、分析报告、流程处理的智能化、自动化，大幅降低人工操作成本，提升业务处理效率与精准度。</w:t>
      </w:r>
      <w:r/>
    </w:p>
    <w:p>
      <w:pPr>
        <w:pStyle w:val="69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2.2.1.通用智能工具组件开发</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提供轻量化、可复用的智能工具组件（Tool/Plugin），以 API 或微服务形式供上层应用调用，满足日常数据使用、分析、导出、分享等高频需求。</w:t>
      </w:r>
      <w:r/>
    </w:p>
    <w:p>
      <w:pPr>
        <w:ind w:firstLine="482"/>
        <w:jc w:val="both"/>
        <w:keepLines w:val="0"/>
        <w:keepNext w:val="0"/>
        <w:pageBreakBefore w:val="0"/>
        <w:spacing w:line="360" w:lineRule="auto"/>
        <w:widowControl w:val="off"/>
        <w:rPr>
          <w:rStyle w:val="988"/>
          <w:rFonts w:hint="eastAsia" w:ascii="宋体" w:hAnsi="宋体" w:eastAsia="宋体" w:cs="宋体"/>
          <w:b/>
          <w:bCs/>
          <w:sz w:val="24"/>
          <w:szCs w:val="24"/>
          <w:lang w:val="en-US" w:eastAsia="zh-CN"/>
        </w:rPr>
      </w:pPr>
      <w:r>
        <w:rPr>
          <w:rStyle w:val="988"/>
          <w:rFonts w:hint="eastAsia" w:ascii="宋体" w:hAnsi="宋体" w:eastAsia="宋体" w:cs="宋体"/>
          <w:b/>
          <w:bCs/>
          <w:sz w:val="24"/>
          <w:szCs w:val="24"/>
          <w:lang w:val="en-US" w:eastAsia="zh-CN"/>
        </w:rPr>
        <w:t xml:space="preserve">（1）可视化分析工具</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支持多维钻取、联动分析、下钻溯源、图表切换、图表导出等功能；</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图表渲染时间≤2 秒，支持≥100 个维度自由组合分析；</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内置≥20 种可视化图表类型（柱状图、折线图、饼图、热力图、桑基图、地图等），支持自定义配色与主题；</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支持大屏适配与报表订阅，可按周期自动生成并推送分析报表至指定邮箱或消息通道。</w:t>
      </w:r>
      <w:r/>
    </w:p>
    <w:p>
      <w:pPr>
        <w:ind w:firstLine="482"/>
        <w:jc w:val="both"/>
        <w:keepLines w:val="0"/>
        <w:keepNext w:val="0"/>
        <w:pageBreakBefore w:val="0"/>
        <w:spacing w:line="360" w:lineRule="auto"/>
        <w:widowControl w:val="off"/>
        <w:rPr>
          <w:rStyle w:val="988"/>
          <w:rFonts w:hint="eastAsia" w:ascii="宋体" w:hAnsi="宋体" w:eastAsia="宋体" w:cs="宋体"/>
          <w:b/>
          <w:bCs/>
          <w:sz w:val="24"/>
          <w:szCs w:val="24"/>
          <w:lang w:val="en-US" w:eastAsia="zh-CN"/>
        </w:rPr>
      </w:pPr>
      <w:r>
        <w:rPr>
          <w:rStyle w:val="988"/>
          <w:rFonts w:hint="eastAsia" w:ascii="宋体" w:hAnsi="宋体" w:eastAsia="宋体" w:cs="宋体"/>
          <w:b/>
          <w:bCs/>
          <w:sz w:val="24"/>
          <w:szCs w:val="24"/>
          <w:lang w:val="en-US" w:eastAsia="zh-CN"/>
        </w:rPr>
        <w:t xml:space="preserve">（2）报告自动生成工具</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基于大模型与自然语言生成（NLG）技术，根据数据自动撰写财政分析报告；</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性能指标：千字级报告≤10 秒生成，万字级报告≤60 秒生成；</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数据一致性：报告内引用的财政数据与源系统数据一致率 100%，自动标注数据来源与统计口径；</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准确性：报告文本描述无事实性错误，关键结论须经规则引擎校验后方可输出；</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支持模板管理：预置收入分析、预算执行、风险预警等≥10 种报告模板，支持用户自定义模板。</w:t>
      </w:r>
      <w:r/>
    </w:p>
    <w:p>
      <w:pPr>
        <w:ind w:firstLine="482"/>
        <w:jc w:val="both"/>
        <w:keepLines w:val="0"/>
        <w:keepNext w:val="0"/>
        <w:pageBreakBefore w:val="0"/>
        <w:spacing w:line="360" w:lineRule="auto"/>
        <w:widowControl w:val="off"/>
        <w:rPr>
          <w:rStyle w:val="988"/>
          <w:rFonts w:hint="eastAsia" w:ascii="宋体" w:hAnsi="宋体" w:eastAsia="宋体" w:cs="宋体"/>
          <w:b/>
          <w:bCs/>
          <w:sz w:val="24"/>
          <w:szCs w:val="24"/>
          <w:lang w:val="en-US" w:eastAsia="zh-CN"/>
        </w:rPr>
      </w:pPr>
      <w:r>
        <w:rPr>
          <w:rStyle w:val="988"/>
          <w:rFonts w:hint="eastAsia" w:ascii="宋体" w:hAnsi="宋体" w:eastAsia="宋体" w:cs="宋体"/>
          <w:b/>
          <w:bCs/>
          <w:sz w:val="24"/>
          <w:szCs w:val="24"/>
          <w:lang w:val="en-US" w:eastAsia="zh-CN"/>
        </w:rPr>
        <w:t xml:space="preserve">（3）多格式导出工具</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支持 Excel（.xlsx）、PDF、Word（.docx）、PNG/JPG 图片等多种格式导出；</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性能指标：万条数据导出≤30 秒，导出成功率≥99.5%；</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导出内容支持水印（含用户 ID、时间戳、密级标识），防止数据泄露；</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大文件导出支持异步任务模式，生成完成后消息通知用户下载。</w:t>
      </w:r>
      <w:r/>
    </w:p>
    <w:p>
      <w:pPr>
        <w:ind w:firstLine="482"/>
        <w:jc w:val="both"/>
        <w:keepLines w:val="0"/>
        <w:keepNext w:val="0"/>
        <w:pageBreakBefore w:val="0"/>
        <w:spacing w:line="360" w:lineRule="auto"/>
        <w:widowControl w:val="off"/>
        <w:rPr>
          <w:rStyle w:val="988"/>
          <w:rFonts w:hint="eastAsia" w:ascii="宋体" w:hAnsi="宋体" w:eastAsia="宋体" w:cs="宋体"/>
          <w:b/>
          <w:bCs/>
          <w:sz w:val="24"/>
          <w:szCs w:val="24"/>
          <w:lang w:val="en-US" w:eastAsia="zh-CN"/>
        </w:rPr>
      </w:pPr>
      <w:r>
        <w:rPr>
          <w:rStyle w:val="988"/>
          <w:rFonts w:hint="eastAsia" w:ascii="宋体" w:hAnsi="宋体" w:eastAsia="宋体" w:cs="宋体"/>
          <w:b/>
          <w:bCs/>
          <w:sz w:val="24"/>
          <w:szCs w:val="24"/>
          <w:lang w:val="en-US" w:eastAsia="zh-CN"/>
        </w:rPr>
        <w:t xml:space="preserve">（4）智能预警组件</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支持规则预警与模型预警双引擎：规则引擎支持阈值、同比、环比、时序进度等多维度规则配置；模型引擎支持时序异常检测、聚类异常识别等算法；</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预警延迟≤1 分钟（从数据异常发生到预警触达）；</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预警准确率（Precision）≥90%，预警覆盖率（Recall）≥85%；</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预警分级：支持红、橙、黄、蓝四级预警，不同级别对应不同通知渠道（站内信、短信、钉钉、邮件）与响应流程；</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预警闭环：支持预警确认、处置、反馈、销号全流程跟踪，形成管理闭环。</w:t>
      </w:r>
      <w:r/>
    </w:p>
    <w:p>
      <w:pPr>
        <w:ind w:firstLine="482"/>
        <w:jc w:val="both"/>
        <w:keepLines w:val="0"/>
        <w:keepNext w:val="0"/>
        <w:pageBreakBefore w:val="0"/>
        <w:spacing w:line="360" w:lineRule="auto"/>
        <w:widowControl w:val="off"/>
        <w:rPr>
          <w:rStyle w:val="988"/>
          <w:rFonts w:hint="eastAsia" w:ascii="宋体" w:hAnsi="宋体" w:eastAsia="宋体" w:cs="宋体"/>
          <w:b/>
          <w:bCs/>
          <w:sz w:val="24"/>
          <w:szCs w:val="24"/>
          <w:lang w:val="en-US" w:eastAsia="zh-CN"/>
        </w:rPr>
      </w:pPr>
      <w:r>
        <w:rPr>
          <w:rStyle w:val="988"/>
          <w:rFonts w:hint="eastAsia" w:ascii="宋体" w:hAnsi="宋体" w:eastAsia="宋体" w:cs="宋体"/>
          <w:b/>
          <w:bCs/>
          <w:sz w:val="24"/>
          <w:szCs w:val="24"/>
          <w:lang w:val="en-US" w:eastAsia="zh-CN"/>
        </w:rPr>
        <w:t xml:space="preserve">（</w:t>
      </w:r>
      <w:r>
        <w:rPr>
          <w:rStyle w:val="988"/>
          <w:rFonts w:hint="eastAsia" w:ascii="宋体" w:hAnsi="宋体" w:cs="宋体"/>
          <w:b/>
          <w:bCs/>
          <w:sz w:val="24"/>
          <w:szCs w:val="24"/>
          <w:lang w:val="en-US" w:eastAsia="zh-CN"/>
        </w:rPr>
        <w:t xml:space="preserve">5</w:t>
      </w:r>
      <w:r>
        <w:rPr>
          <w:rStyle w:val="988"/>
          <w:rFonts w:hint="eastAsia" w:ascii="宋体" w:hAnsi="宋体" w:eastAsia="宋体" w:cs="宋体"/>
          <w:b/>
          <w:bCs/>
          <w:sz w:val="24"/>
          <w:szCs w:val="24"/>
          <w:lang w:val="en-US" w:eastAsia="zh-CN"/>
        </w:rPr>
        <w:t xml:space="preserve">）流程自动化组件（RPA）</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支持可视化流程编排，通过拖拽方式构建自动化流程，实现重复性业务的自动化处理；</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流程执行成功率≥99%，支持异常分支处理、人工审批节点嵌入、日志全程记录；</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支持定时触发、事件触发、API 触发等多种启动方式；</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提供机器人监控中心，实时展示机器人运行状态、执行日志、异常告警。</w:t>
      </w:r>
      <w:r/>
    </w:p>
    <w:p>
      <w:pPr>
        <w:pStyle w:val="69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2.2.2.非税智能对账</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依托智能体（Agent）构建端到端自动化作业流，实现从"单据识别"到"过账处理"的全流程无人化干预。</w:t>
      </w:r>
      <w:r/>
    </w:p>
    <w:p>
      <w:pPr>
        <w:ind w:firstLine="482"/>
        <w:jc w:val="both"/>
        <w:keepLines w:val="0"/>
        <w:keepNext w:val="0"/>
        <w:pageBreakBefore w:val="0"/>
        <w:spacing w:line="360" w:lineRule="auto"/>
        <w:widowControl w:val="off"/>
        <w:rPr>
          <w:rStyle w:val="988"/>
          <w:rFonts w:hint="eastAsia" w:ascii="宋体" w:hAnsi="宋体" w:eastAsia="宋体" w:cs="宋体"/>
          <w:b/>
          <w:bCs/>
          <w:sz w:val="24"/>
          <w:szCs w:val="24"/>
          <w:lang w:val="en-US" w:eastAsia="zh-CN"/>
        </w:rPr>
      </w:pPr>
      <w:r>
        <w:rPr>
          <w:rStyle w:val="988"/>
          <w:rFonts w:hint="eastAsia" w:ascii="宋体" w:hAnsi="宋体" w:eastAsia="宋体" w:cs="宋体"/>
          <w:b/>
          <w:bCs/>
          <w:sz w:val="24"/>
          <w:szCs w:val="24"/>
          <w:lang w:val="en-US" w:eastAsia="zh-CN"/>
        </w:rPr>
        <w:t xml:space="preserve">（1）多模态单据识别</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代理银行上传对账单扫描件（PDF/图片）后，系统调用多模态大模型（支持 OCR+版面分析+语义理解）自动提取关键要素：缴款人、缴款金额、缴款时间、票据号、项目编码、银行流水号等；</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识别准确率：印刷体≥99%，手写体≥95%，表格结构还原准确率≥98%；</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支持多银行、多版式对账单自适应识别，新增版式仅需≤5 张样本即可快速适配。</w:t>
      </w:r>
      <w:r/>
    </w:p>
    <w:p>
      <w:pPr>
        <w:ind w:firstLine="482"/>
        <w:jc w:val="both"/>
        <w:keepLines w:val="0"/>
        <w:keepNext w:val="0"/>
        <w:pageBreakBefore w:val="0"/>
        <w:spacing w:line="360" w:lineRule="auto"/>
        <w:widowControl w:val="off"/>
        <w:rPr>
          <w:rStyle w:val="988"/>
          <w:rFonts w:hint="eastAsia" w:ascii="宋体" w:hAnsi="宋体" w:eastAsia="宋体" w:cs="宋体"/>
          <w:b/>
          <w:bCs/>
          <w:sz w:val="24"/>
          <w:szCs w:val="24"/>
          <w:lang w:val="en-US" w:eastAsia="zh-CN"/>
        </w:rPr>
      </w:pPr>
      <w:r>
        <w:rPr>
          <w:rStyle w:val="988"/>
          <w:rFonts w:hint="eastAsia" w:ascii="宋体" w:hAnsi="宋体" w:eastAsia="宋体" w:cs="宋体"/>
          <w:b/>
          <w:bCs/>
          <w:sz w:val="24"/>
          <w:szCs w:val="24"/>
          <w:lang w:val="en-US" w:eastAsia="zh-CN"/>
        </w:rPr>
        <w:t xml:space="preserve">（2）智能比对校验</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自动将银行对账单数据与财政非税系统应收数据、实收数据进行三方比对；</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比对规则包括：金额一致、时间匹配、票据号关联、项目编码对应等；</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自动标记差异记录：长款、短款、重复入账、未匹配到账等，差异率实时计算。</w:t>
      </w:r>
      <w:r/>
    </w:p>
    <w:p>
      <w:pPr>
        <w:ind w:firstLine="482"/>
        <w:jc w:val="both"/>
        <w:keepLines w:val="0"/>
        <w:keepNext w:val="0"/>
        <w:pageBreakBefore w:val="0"/>
        <w:spacing w:line="360" w:lineRule="auto"/>
        <w:widowControl w:val="off"/>
        <w:rPr>
          <w:rStyle w:val="988"/>
          <w:rFonts w:hint="eastAsia" w:ascii="宋体" w:hAnsi="宋体" w:eastAsia="宋体" w:cs="宋体"/>
          <w:b/>
          <w:bCs/>
          <w:sz w:val="24"/>
          <w:szCs w:val="24"/>
          <w:lang w:val="en-US" w:eastAsia="zh-CN"/>
        </w:rPr>
      </w:pPr>
      <w:r>
        <w:rPr>
          <w:rStyle w:val="988"/>
          <w:rFonts w:hint="eastAsia" w:ascii="宋体" w:hAnsi="宋体" w:eastAsia="宋体" w:cs="宋体"/>
          <w:b/>
          <w:bCs/>
          <w:sz w:val="24"/>
          <w:szCs w:val="24"/>
          <w:lang w:val="en-US" w:eastAsia="zh-CN"/>
        </w:rPr>
        <w:t xml:space="preserve">（3）自动过账与异常处理</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对核对无误的记录，自动触发过账机制，生成会计凭证并推送至国库集中支付系统；</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对异常记录，自动分类并推送至对应业务人员待办，附带差异说明与建议处理方案；</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全程留痕：识别、比对、过账、异常处理各环节均记录操作日志，支持审计追溯。</w:t>
      </w:r>
      <w:r/>
    </w:p>
    <w:p>
      <w:pPr>
        <w:pStyle w:val="69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2.2.3.非税智能监管</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非税智能监管模块围绕非税收入全口径归集、多维结构分析、重点项目动态预警、单位收支刚性管控四大核心业务场景搭建，依托多维度报表引擎、同比分析模型、预算进度测算模型、收支平衡预警规则引擎，实现非税收入从明细台账、结构研判、进度预警到单位收支风险闭环管控的全流程智能化监管。</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模块整体由以下四大功能板块构成：</w:t>
      </w:r>
      <w:r/>
    </w:p>
    <w:p>
      <w:pPr>
        <w:numPr>
          <w:ilvl w:val="0"/>
          <w:numId w:val="0"/>
        </w:numPr>
        <w:jc w:val="both"/>
        <w:keepLines w:val="0"/>
        <w:keepNext w:val="0"/>
        <w:pageBreakBefore w:val="0"/>
        <w:spacing w:line="360" w:lineRule="auto"/>
        <w:widowControl w:val="off"/>
        <w:rPr>
          <w:rFonts w:hint="eastAsia" w:ascii="宋体" w:hAnsi="宋体" w:eastAsia="宋体" w:cs="宋体"/>
          <w:sz w:val="24"/>
          <w:szCs w:val="24"/>
        </w:rPr>
      </w:pPr>
      <w:r>
        <w:rPr>
          <w:rStyle w:val="988"/>
          <w:rFonts w:hint="eastAsia" w:ascii="宋体" w:hAnsi="宋体" w:eastAsia="宋体" w:cs="宋体"/>
          <w:b/>
          <w:bCs/>
          <w:sz w:val="24"/>
          <w:szCs w:val="24"/>
          <w:lang w:val="en-US" w:eastAsia="zh-CN"/>
        </w:rPr>
        <w:t xml:space="preserve">（1）收入项目按单位结构分析</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资金账户分层展示：按照财政资金入库路径拆分两大核心国库资金账户（纳入预算管理资金、纳入财政专户资金），单独增设往来暂存资金台账列示，清晰区分已上缴国库统筹资金、财政专户留存资金、单位挂账往来存量资金，适配财政国库集中收付管理要求；</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核心指标自动计算：针对两类财政入库资金，自动计算本年实际收入、同比增减幅度、同比增减绝对额三项指标，以正负数值与红绿箭头直观标识增收、断崖式减收项目；</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大额下滑点位定位：快速定位土地出让金、专项建设资金、不动产登记费、罚没收入等大额非税下滑点位；</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成因分析辅助：对异常波动项目，自动关联政策变动、季节性因素、一次性因素等标签，辅助分析收入缺口成因。</w:t>
      </w:r>
      <w:r/>
    </w:p>
    <w:p>
      <w:pPr>
        <w:numPr>
          <w:ilvl w:val="0"/>
          <w:numId w:val="0"/>
        </w:numPr>
        <w:jc w:val="both"/>
        <w:keepLines w:val="0"/>
        <w:keepNext w:val="0"/>
        <w:pageBreakBefore w:val="0"/>
        <w:spacing w:line="360" w:lineRule="auto"/>
        <w:widowControl w:val="off"/>
        <w:rPr>
          <w:rFonts w:hint="eastAsia" w:ascii="宋体" w:hAnsi="宋体" w:eastAsia="宋体" w:cs="宋体"/>
          <w:sz w:val="24"/>
          <w:szCs w:val="24"/>
        </w:rPr>
      </w:pPr>
      <w:r>
        <w:rPr>
          <w:rStyle w:val="988"/>
          <w:rFonts w:hint="eastAsia" w:ascii="宋体" w:hAnsi="宋体" w:eastAsia="宋体" w:cs="宋体"/>
          <w:b/>
          <w:bCs/>
          <w:sz w:val="24"/>
          <w:szCs w:val="24"/>
          <w:lang w:val="en-US" w:eastAsia="zh-CN"/>
        </w:rPr>
        <w:t xml:space="preserve">（2）收入项目按收入类别维度分析</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监管视角一键切换：支持由"单位为主、项目为辅"切换为"项目为主、单位为辅"，以收费项目作为主维度，反向归集该收费在各执收单位的入账金额；</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跨单位横向对比：适配财政按非税项目统筹征管、横向对比同项目多单位执收成效的业务场景（如教育费附加、残疾人保障金、森林植被恢复费等跨部门执收对比）；</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执收效能评估：对同一非税项目下税务部门、行政事业单位、行业主管部门等不同执收主体收入数据聚合，横向对比同类收费不同单位入库规模、同比降幅、预算完成进度，自动挖掘同项目执收不均衡、部分单位执收停滞、征管力度差异等监管问题。</w:t>
      </w:r>
      <w:r/>
    </w:p>
    <w:p>
      <w:pPr>
        <w:numPr>
          <w:ilvl w:val="0"/>
          <w:numId w:val="0"/>
        </w:numPr>
        <w:jc w:val="both"/>
        <w:keepLines w:val="0"/>
        <w:keepNext w:val="0"/>
        <w:pageBreakBefore w:val="0"/>
        <w:spacing w:line="360" w:lineRule="auto"/>
        <w:widowControl w:val="off"/>
        <w:rPr>
          <w:rFonts w:hint="eastAsia" w:ascii="宋体" w:hAnsi="宋体" w:eastAsia="宋体" w:cs="宋体"/>
          <w:sz w:val="24"/>
          <w:szCs w:val="24"/>
        </w:rPr>
      </w:pPr>
      <w:r>
        <w:rPr>
          <w:rStyle w:val="988"/>
          <w:rFonts w:hint="eastAsia" w:ascii="宋体" w:hAnsi="宋体" w:eastAsia="宋体" w:cs="宋体"/>
          <w:b/>
          <w:bCs/>
          <w:sz w:val="24"/>
          <w:szCs w:val="24"/>
          <w:lang w:val="en-US" w:eastAsia="zh-CN"/>
        </w:rPr>
        <w:t xml:space="preserve">（3）重点非税项目动态监测预警</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重点监管项目池：梳理学费、医疗收入、科研事业收入、场地出让收入、服务性收费、景区门票等重点大额非税项目清单，固化项目代码、项目名称、年度收入计划基数，形成常态化重点监管项目池，支持动态增减；</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核心测算指标：</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收入完成数：本期实际入账金额；</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时序完成进度 = 实际完成数 / 年度计划数；</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进度偏离值 = 实际进度 − 时序理论进度，精准判断项目收入快于/慢于时间序进度；</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走势分类识别：自动计算项目本年收入较上年同期变动比例，区分同比大幅下滑、同比持平、同比增收三类走势，识别季节性收费、一次性收费、经常性固定收费的周期特征，自动标注收费类型标签；</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规则化预警：配置预警阈值，当项目时序进度显著滞后（如低于理论进度≥10%）、同比大幅负增长（如降幅≥20%）、阶段性零入账（连续≥30 天无收入）时，自动标记红色预警等级；</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智能预警说明：同步生成标准化预警说明文字，写明滞后幅度、风险原因、涉及单位、建议措施，实现重点非税项目"系统自动识别风险、直接输出预警结论"，替代人工逐项核对排查。</w:t>
      </w:r>
      <w:r/>
    </w:p>
    <w:p>
      <w:pPr>
        <w:numPr>
          <w:ilvl w:val="0"/>
          <w:numId w:val="0"/>
        </w:numPr>
        <w:jc w:val="both"/>
        <w:keepLines w:val="0"/>
        <w:keepNext w:val="0"/>
        <w:pageBreakBefore w:val="0"/>
        <w:spacing w:line="360" w:lineRule="auto"/>
        <w:widowControl w:val="off"/>
        <w:rPr>
          <w:rFonts w:hint="eastAsia" w:ascii="宋体" w:hAnsi="宋体" w:eastAsia="宋体" w:cs="宋体"/>
          <w:sz w:val="24"/>
          <w:szCs w:val="24"/>
        </w:rPr>
      </w:pPr>
      <w:r>
        <w:rPr>
          <w:rStyle w:val="988"/>
          <w:rFonts w:hint="eastAsia" w:ascii="宋体" w:hAnsi="宋体" w:eastAsia="宋体" w:cs="宋体"/>
          <w:b/>
          <w:bCs/>
          <w:sz w:val="24"/>
          <w:szCs w:val="24"/>
          <w:lang w:val="en-US" w:eastAsia="zh-CN"/>
        </w:rPr>
        <w:t xml:space="preserve">（4）预算单位收支平衡风险预警</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收支台账构建：对接单位非税收入、财政拨款收入、实际业务支出两类核心数据，建立预算单位收支台账，单列单位代码、单位名称、核心预警触发指标、收入发生额、支出发生额；</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收入时序不达标预警：规则为季度非税收入未达到时序进度要求（如 Q1 完成率&lt;25%、Q2&lt;50% 等），标记单位收入创收不足风险，推送至业务处室；</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收支倒挂红色预警：核心规则为当期支出总额＞当期收入总额，对收支缺口单位高亮红色预警，精准抓取经费超支单位、缺口金额、超支科目；</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全覆盖监管：覆盖公益二类事业单位、科研院所、文旅场馆、医疗机构、公积金中心、疗养机构等全部财政控支单位，统一输出风险清单；</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刚性管控支撑：支撑财政"以收定支、过紧日子"刚性管控，提前防范单位运行经费缺口、挤占专项资金等风险，对连续预警单位自动升级预警级别并推送分管领导。</w:t>
      </w:r>
      <w:r/>
    </w:p>
    <w:p>
      <w:pPr>
        <w:pStyle w:val="69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2.2.4.智能问数</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通过自然语言进行财政数据查询，实现"所问即所得"的数据服务体验。</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意图解析：基于大模型 NLU 能力，自动解析用户查询意图，识别查询主体（单位/项目/科目）、时间范围、统计维度、计算指标（同比/环比/占比/排名）；</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NL2SQL/NL2DSL：将自然语言自动转换为结构化查询语言（SQL）或数据查询 DSL，实时关联贴源层至应用层数据，自动完成数据聚合与计算；</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结果生成：直接生成数据结果表格、可视化图表及简要文字解读，支持一键导出；</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多轮对话交互：支持上下文关联的多轮对话，用户可基于上一轮结果继续追问，系统保持对话状态与意图连贯；</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权限管控：查询结果严格受用户数据权限约束，无权访问的数据以脱敏或拒绝方式处理。</w:t>
      </w:r>
      <w:r/>
    </w:p>
    <w:p>
      <w:pPr>
        <w:pStyle w:val="69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2.2.5.智能报告</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根据业务人员对数据汇总、报告编制、提交审核等场景的需求，帮助财务人员自动生成报告成果，并支持便捷编辑与一键提交审核。</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智能素材采集：自动从大数据平台抽取相关数据、图表、预警信息，作为报告素材；</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报告智能生成：基于大模型与预置模板，自动撰写报告正文（包括背景、现状、分析、问题、建议等章节），生成时间较人工编写缩短≥80%；</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人机协同编辑：提供在线富文本编辑器，支持用户对生成内容进行修改、补充、批注，系统实时保存版本；</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数据联动更新：报告中的数据图表与数据源实时联动，数据源更新后报告内容可一键刷新；</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审核流程集成：支持一键提交审核，自动流转至指定审核人，审核意见在线批注，支持退回修改与重新提交；</w:t>
      </w:r>
      <w:r/>
    </w:p>
    <w:p>
      <w:pPr>
        <w:ind w:firstLine="480"/>
        <w:jc w:val="both"/>
        <w:keepLines w:val="0"/>
        <w:keepNext w:val="0"/>
        <w:pageBreakBefore w:val="0"/>
        <w:spacing w:line="360" w:lineRule="auto"/>
        <w:widowControl w:val="off"/>
        <w:rPr>
          <w:rStyle w:val="988"/>
          <w:rFonts w:hint="eastAsia" w:ascii="宋体" w:hAnsi="宋体" w:eastAsia="宋体" w:cs="宋体"/>
          <w:b w:val="0"/>
          <w:bCs w:val="0"/>
          <w:sz w:val="24"/>
          <w:szCs w:val="24"/>
          <w:lang w:val="en-US" w:eastAsia="zh-CN"/>
        </w:rPr>
      </w:pPr>
      <w:r>
        <w:rPr>
          <w:rStyle w:val="988"/>
          <w:rFonts w:hint="eastAsia" w:ascii="宋体" w:hAnsi="宋体" w:eastAsia="宋体" w:cs="宋体"/>
          <w:b w:val="0"/>
          <w:bCs w:val="0"/>
          <w:sz w:val="24"/>
          <w:szCs w:val="24"/>
          <w:lang w:val="en-US" w:eastAsia="zh-CN"/>
        </w:rPr>
        <w:t xml:space="preserve">报告资产管理：自动生成报告目录与编号，支持按时间、类型、作者、状态检索，形成机构知识资产积累。</w:t>
      </w:r>
      <w:r/>
    </w:p>
    <w:p>
      <w:pPr>
        <w:pStyle w:val="696"/>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三、项目实施</w:t>
      </w:r>
      <w:r/>
    </w:p>
    <w:p>
      <w:pPr>
        <w:pStyle w:val="697"/>
        <w:rPr>
          <w:rFonts w:hint="eastAsia" w:ascii="宋体" w:hAnsi="宋体" w:eastAsia="宋体" w:cs="宋体"/>
          <w:sz w:val="24"/>
          <w:szCs w:val="24"/>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项目组织机构 </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本项目由采购人</w:t>
      </w:r>
      <w:r>
        <w:rPr>
          <w:rFonts w:hint="eastAsia" w:ascii="宋体" w:hAnsi="宋体" w:cs="宋体"/>
          <w:b w:val="0"/>
          <w:bCs w:val="0"/>
          <w:color w:val="000000"/>
          <w:sz w:val="24"/>
          <w:szCs w:val="24"/>
          <w:lang w:val="en-US" w:eastAsia="zh-CN" w:bidi="ar"/>
        </w:rPr>
        <w:t xml:space="preserve">组建</w:t>
      </w:r>
      <w:r>
        <w:rPr>
          <w:rFonts w:hint="eastAsia" w:ascii="宋体" w:hAnsi="宋体" w:eastAsia="宋体" w:cs="宋体"/>
          <w:b w:val="0"/>
          <w:bCs w:val="0"/>
          <w:color w:val="000000"/>
          <w:sz w:val="24"/>
          <w:szCs w:val="24"/>
          <w:lang w:val="en-US" w:eastAsia="zh-CN" w:bidi="ar"/>
        </w:rPr>
        <w:t xml:space="preserve">项目管理机构，负责整个项目的</w:t>
      </w:r>
      <w:r>
        <w:rPr>
          <w:rFonts w:hint="eastAsia" w:ascii="宋体" w:hAnsi="宋体" w:cs="宋体"/>
          <w:b w:val="0"/>
          <w:bCs w:val="0"/>
          <w:color w:val="000000"/>
          <w:sz w:val="24"/>
          <w:szCs w:val="24"/>
          <w:lang w:val="en-US" w:eastAsia="zh-CN" w:bidi="ar"/>
        </w:rPr>
        <w:t xml:space="preserve">管理</w:t>
      </w:r>
      <w:r>
        <w:rPr>
          <w:rFonts w:hint="eastAsia" w:ascii="宋体" w:hAnsi="宋体" w:eastAsia="宋体" w:cs="宋体"/>
          <w:b w:val="0"/>
          <w:bCs w:val="0"/>
          <w:color w:val="000000"/>
          <w:sz w:val="24"/>
          <w:szCs w:val="24"/>
          <w:lang w:val="en-US" w:eastAsia="zh-CN" w:bidi="ar"/>
        </w:rPr>
        <w:t xml:space="preserve">工作。供应商的专职项目团队必须严格遵守国家的政策法规，执行项目管理机构的各项规章制度，服从管理和调度，认真履行工作职责，圆满完成工作任务。</w:t>
      </w:r>
      <w:r/>
    </w:p>
    <w:p>
      <w:pPr>
        <w:pStyle w:val="69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3.2.项目团队要求</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由于本项目涉及范围广，需按照“统一规划、统一建设、集中部署、分步实施”的指导思想组织实施，本项目具体团队人员要求如下：</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供应商需提供至少</w:t>
      </w:r>
      <w:r>
        <w:rPr>
          <w:rFonts w:hint="eastAsia" w:ascii="宋体" w:hAnsi="宋体" w:eastAsia="宋体" w:cs="宋体"/>
          <w:b w:val="0"/>
          <w:bCs w:val="0"/>
          <w:color w:val="auto"/>
          <w:sz w:val="24"/>
          <w:szCs w:val="24"/>
          <w:lang w:val="en-US" w:eastAsia="zh-CN" w:bidi="ar"/>
        </w:rPr>
        <w:t xml:space="preserve">10</w:t>
      </w:r>
      <w:r>
        <w:rPr>
          <w:rFonts w:hint="eastAsia" w:ascii="宋体" w:hAnsi="宋体" w:eastAsia="宋体" w:cs="宋体"/>
          <w:b w:val="0"/>
          <w:bCs w:val="0"/>
          <w:color w:val="000000"/>
          <w:sz w:val="24"/>
          <w:szCs w:val="24"/>
          <w:lang w:val="en-US" w:eastAsia="zh-CN" w:bidi="ar"/>
        </w:rPr>
        <w:t xml:space="preserve">人的项目团队，并列出参加本项目的所有人员信息（姓名、身份证、岗位、供应商为项目组成员前</w:t>
      </w:r>
      <w:r>
        <w:rPr>
          <w:rFonts w:hint="eastAsia" w:ascii="宋体" w:hAnsi="宋体" w:eastAsia="宋体" w:cs="宋体"/>
          <w:b w:val="0"/>
          <w:bCs w:val="0"/>
          <w:color w:val="auto"/>
          <w:sz w:val="24"/>
          <w:szCs w:val="24"/>
          <w:lang w:val="en-US" w:eastAsia="zh-CN" w:bidi="ar"/>
        </w:rPr>
        <w:t xml:space="preserve">3</w:t>
      </w:r>
      <w:r>
        <w:rPr>
          <w:rFonts w:hint="eastAsia" w:ascii="宋体" w:hAnsi="宋体" w:eastAsia="宋体" w:cs="宋体"/>
          <w:b w:val="0"/>
          <w:bCs w:val="0"/>
          <w:color w:val="000000"/>
          <w:sz w:val="24"/>
          <w:szCs w:val="24"/>
          <w:lang w:val="en-US" w:eastAsia="zh-CN" w:bidi="ar"/>
        </w:rPr>
        <w:t xml:space="preserve">月缴纳的社保证明），人员应相对稳定，未经采购人同意，不得更换项目经理和技术核心专家，项目人员不能满足项目要求时，采购人有权提出人员更换要求。供应商因特殊原因确需变更人员时，需提前1周以书面形式向采购人申请。项目经理和主要技术服务人员必须提供7×24小时联系方式，并保证联系渠道畅通。</w:t>
      </w:r>
      <w:r/>
    </w:p>
    <w:p>
      <w:pPr>
        <w:pStyle w:val="69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3.3.项目实施内容</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1. 需求分析：供应商按照招标技术需求及业务需求调研后，组织人员进行需求确认、分析，按照政策、管理要求，及时进行需求分析，编制需求分析成果物。成果物包含但不限于：《需求规格说明书》《需求规格说明书评审报告》《架构设计说明书》。</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2. 概要设计：供应商依据需求分析成果物，组织概要设计人员对需求分析成果物进行分析，根据需求的内容和范围，确认此需求，编制概要设计说明书及相关产出物。成果物包含但不限于：《概要设计说明书》。</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3. 详细设计：供应商依据需求分析成果物、概要设计说明书，组织详细设计人员对需求分析成果物、概要设计说明书进行分析，编制详细设计说明书及相关产出物。成果物包含但不限于：《详细设计说明书》。</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4. 编码实现：应用系统开发依据详细设计说明书及相关产出物，完成系统功能的编码实现，形成符合需求并可供测试的系统运行版本。成果物包含但不限于：《开发计划》、源代码。</w:t>
      </w:r>
      <w:r/>
    </w:p>
    <w:p>
      <w:pPr>
        <w:pStyle w:val="697"/>
        <w:rPr>
          <w:rFonts w:hint="eastAsia" w:ascii="宋体" w:hAnsi="宋体" w:eastAsia="宋体" w:cs="宋体"/>
          <w:b w:val="0"/>
          <w:bCs w:val="0"/>
          <w:color w:val="000000"/>
          <w:sz w:val="24"/>
          <w:szCs w:val="24"/>
          <w:lang w:val="en-US" w:eastAsia="zh-CN" w:bidi="ar"/>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项目进度管理</w:t>
      </w:r>
      <w:r/>
    </w:p>
    <w:p>
      <w:pPr>
        <w:ind w:firstLine="480"/>
        <w:jc w:val="left"/>
        <w:keepLines w:val="0"/>
        <w:keepNext w:val="0"/>
        <w:pageBreakBefore w:val="0"/>
        <w:spacing w:line="360" w:lineRule="auto"/>
        <w:widowControl w:val="off"/>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本项目分需求调研确认、系统设计、开发测试、部署试运行及终验交付五个阶段实施，整体周期自合同签订起至系统试运行上线</w:t>
      </w:r>
      <w:r>
        <w:rPr>
          <w:rFonts w:hint="eastAsia" w:ascii="宋体" w:hAnsi="宋体" w:cs="宋体"/>
          <w:spacing w:val="0"/>
          <w:sz w:val="24"/>
          <w:szCs w:val="24"/>
          <w:lang w:val="en-US" w:eastAsia="zh-CN"/>
        </w:rPr>
        <w:t xml:space="preserve">2</w:t>
      </w:r>
      <w:r>
        <w:rPr>
          <w:rFonts w:hint="eastAsia" w:ascii="宋体" w:hAnsi="宋体" w:eastAsia="宋体" w:cs="宋体"/>
          <w:spacing w:val="0"/>
          <w:sz w:val="24"/>
          <w:szCs w:val="24"/>
          <w:lang w:val="en-US" w:eastAsia="zh-CN"/>
        </w:rPr>
        <w:t xml:space="preserve">个月内完成，试运行期不少于1个月，不含不可抗力造成的工期延误。</w:t>
      </w:r>
      <w:r/>
    </w:p>
    <w:p>
      <w:pPr>
        <w:pStyle w:val="696"/>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四、系统应急需求</w:t>
      </w:r>
      <w:r/>
    </w:p>
    <w:p>
      <w:pPr>
        <w:pStyle w:val="697"/>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 应急事件管理原则</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预防为主、防治结合：加强补丁测试工作，加强数据备份工作，加强日常检查和监控，达到及时发现、及时解决，防患于未然的目标。</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控制影响、及时处置：启动保障关键业务连续性的应急措施、技术应急保障措施，向项目实施单位及时报告，处置可能发生的危害。</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有效恢复、不断改进：分析问题原因调整资源配置，完善管理制度加强技术措施，加强系统健壮性建设，调整系统业务、技术应急保障措施，杜绝问题的再次发生。</w:t>
      </w:r>
      <w:r/>
    </w:p>
    <w:p>
      <w:pPr>
        <w:pStyle w:val="697"/>
        <w:rPr>
          <w:rFonts w:hint="eastAsia" w:ascii="宋体" w:hAnsi="宋体" w:eastAsia="宋体" w:cs="宋体"/>
          <w:sz w:val="24"/>
          <w:szCs w:val="24"/>
        </w:rPr>
      </w:pP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应急事件处理方案</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为降低系统运行风险，在系统上线或更新前需提交应急事件处理方案，用于应对系统上线或更新后的问题处理。应急事件处理方案内容必须包括：</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应急处置范围：明确预案适用的系统范围、业务场景、事件类型</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应急处置方案风险分析：识别应急处置过程中可能引入的二次风险，制定规避措施</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应急处置验证通过准则：明确应急处置成功的判定标准（功能恢复、数据完整、性能达标、安全无隐患）</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应急处置验证失败准则：明确何种情况下判定应急处置失败，需启动更高级别响应或回滚</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应急处置方法：详细描述各类事件的处置步骤、操作命令、注意事项</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应急处置问题跟踪策略：建立问题跟踪台账，记录问题发现、处置、验证、关闭全过程</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应急联系人清单：包含应急领导小组、执行小组、支持小组全部成员联系方式</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应急资源清单：列明可用的应急设备、工具、备份资源</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pacing w:val="0"/>
          <w:sz w:val="24"/>
          <w:szCs w:val="24"/>
          <w:shd w:val="clear" w:color="auto" w:fill="ffffff"/>
        </w:rPr>
        <w:t xml:space="preserve">根据采购人在节假日工作的应急要求，妥善安排驻场人员，提供现场、远程等多种技术支持服务。</w:t>
      </w:r>
      <w:r/>
    </w:p>
    <w:p>
      <w:pPr>
        <w:pStyle w:val="696"/>
        <w:numPr>
          <w:ilvl w:val="0"/>
          <w:numId w:val="0"/>
        </w:numPr>
        <w:rPr>
          <w:rFonts w:hint="eastAsia" w:ascii="宋体" w:hAnsi="宋体" w:eastAsia="宋体" w:cs="宋体"/>
          <w:sz w:val="24"/>
          <w:szCs w:val="24"/>
          <w:lang w:val="en-US" w:eastAsia="zh-CN"/>
        </w:rPr>
        <w:outlineLvl w:val="1"/>
      </w:pPr>
      <w:r>
        <w:rPr>
          <w:rFonts w:hint="eastAsia" w:ascii="宋体" w:hAnsi="宋体" w:eastAsia="宋体" w:cs="宋体"/>
          <w:sz w:val="24"/>
          <w:szCs w:val="24"/>
          <w:lang w:val="en-US" w:eastAsia="zh-CN"/>
        </w:rPr>
        <w:t xml:space="preserve">五、系统运维服务要求</w:t>
      </w:r>
      <w:r/>
    </w:p>
    <w:p>
      <w:pPr>
        <w:pStyle w:val="697"/>
        <w:rPr>
          <w:rFonts w:hint="eastAsia" w:ascii="宋体" w:hAnsi="宋体" w:eastAsia="宋体" w:cs="宋体"/>
          <w:sz w:val="24"/>
          <w:szCs w:val="24"/>
        </w:rPr>
      </w:pPr>
      <w:r>
        <w:rPr>
          <w:rFonts w:hint="eastAsia" w:ascii="宋体" w:hAnsi="宋体" w:eastAsia="宋体" w:cs="宋体"/>
          <w:sz w:val="24"/>
          <w:szCs w:val="24"/>
          <w:lang w:val="en-US" w:eastAsia="zh-CN"/>
        </w:rPr>
        <w:t xml:space="preserve">5.1.</w:t>
      </w:r>
      <w:r>
        <w:rPr>
          <w:rFonts w:hint="eastAsia" w:ascii="宋体" w:hAnsi="宋体" w:eastAsia="宋体" w:cs="宋体"/>
          <w:sz w:val="24"/>
          <w:szCs w:val="24"/>
        </w:rPr>
        <w:t xml:space="preserve">总体要求</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供应商应具备完善的技术支持服务体系，能够提供统一、快捷的一站式系统运维服务，即受理后，必须负责全程跟踪服务。</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供应商应指定专人承担项目系统运维任务，并保持系统运维人员的相对稳定。</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系统验收后，供应商承诺提供一年免费运维服务，服务时间从项目验收合格之日起计算。</w:t>
      </w:r>
      <w:r/>
    </w:p>
    <w:p>
      <w:pPr>
        <w:pStyle w:val="697"/>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服务内容要求</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服务内容包括但不限于：</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软件故障诊断和处理：供应商应配合采购人解决平台在运行过程中出现的故障及问题，根据采购人要求及时协调进行分析、处理。</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健康检查：供应商应定期对平台运行情况进行健康检查，提供预防性维护服务。现场健康检查应形成健康检查报告，并经最终用户单位签字或盖章确认。</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数据维护：系统运行过程中因某种原因可能会产生须通过后台进行维护操作的数据，须严格按照数据处理流程，经过审批确认后在相关人员监督下进行后台数据维护。</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性能调优：供应商应根据系统监控或健康检查情况，对系统软件进行性能优化。</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软件优化升级：服务期内，供应商应针对实际使用过程中出现的软件BUG问题，组织开发人员进行优化升级。针对软件系统运行过程中发现的漏洞和安全隐患问题，供应商应及时提供对应的升级补丁包。</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系统对接技术支持：服务期内，如果平台有和其他系统对接需求，供应商要提供接口，并协助采购人完成系统对接工作。</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备份与恢复：供应商应根据采购人要求，为备份和恢复工作提供技术支持和合理化建议，并定期进行备份数据恢复测试。</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知识库整理：供应商应定期对故障处理报告进行分类、统计、汇总、分析，逐步完善日常运维知识库，并提交采购人归档留存。</w:t>
      </w:r>
      <w:r/>
    </w:p>
    <w:p>
      <w:pPr>
        <w:pStyle w:val="697"/>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服务方式要求</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供应商应提供多元化的服务方式，包括远程协助、电话、现场支持、会议等：</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远程协助：通过采购人提供的VPN和堡垒机远程排查、处理用户提出的问题。提供7×24小时远程协助服务。</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电话：通过电话方式接收用户提出的各类问题，监控、诊断和解决各问题。提供7×24小时电话响应服务。</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现场支持：根据采购人要求配备专门的高级技术支持人员，用于响应事出紧急或无法通过常规方法解决的服务请求。</w:t>
      </w:r>
      <w:r/>
    </w:p>
    <w:p>
      <w:pPr>
        <w:pStyle w:val="697"/>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服务响应要求</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出现系统故障或业务功能点出现问题时，1小时内给出实质性的答复；如不能明确故障所在的，供应商应在接到通知后，派出所需的相关人员，并在4小时内到现场。</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故障解决后24小时内，应向用户单位提交故障处理报告，说明故障种类、故障原因、故障解决中使用的方法及故障损失等情况。</w:t>
      </w:r>
      <w:r/>
    </w:p>
    <w:p>
      <w:pPr>
        <w:pStyle w:val="696"/>
        <w:numPr>
          <w:ilvl w:val="0"/>
          <w:numId w:val="0"/>
        </w:numPr>
        <w:rPr>
          <w:rFonts w:hint="eastAsia" w:ascii="宋体" w:hAnsi="宋体" w:eastAsia="宋体" w:cs="宋体"/>
          <w:sz w:val="24"/>
          <w:szCs w:val="24"/>
          <w:lang w:val="en-US" w:eastAsia="zh-CN"/>
        </w:rPr>
        <w:outlineLvl w:val="1"/>
      </w:pPr>
      <w:r/>
      <w:bookmarkStart w:id="0" w:name="_Toc42541243"/>
      <w:r/>
      <w:bookmarkStart w:id="1" w:name="_Toc48556400"/>
      <w:r>
        <w:rPr>
          <w:rFonts w:hint="eastAsia" w:ascii="宋体" w:hAnsi="宋体" w:eastAsia="宋体" w:cs="宋体"/>
          <w:sz w:val="24"/>
          <w:szCs w:val="24"/>
          <w:lang w:val="en-US" w:eastAsia="zh-CN"/>
        </w:rPr>
        <w:t xml:space="preserve">六、系统数据安全及保密要求</w:t>
      </w:r>
      <w:r/>
    </w:p>
    <w:p>
      <w:pPr>
        <w:pStyle w:val="697"/>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 总体安全策略</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本项目对系统数据的保密性、安全性、可靠性有较高要求。供应商需确保整个系统的设计、开发、上线、运维必须遵照信息安全等级保护二级的标准进行。建立"事前预防、事中控制、事后审计"的全生命周期数据安全管理体系，确保财政数据在采集、传输、存储、处理、交换、销毁各环节的安全可控。</w:t>
      </w:r>
      <w:r/>
    </w:p>
    <w:p>
      <w:pPr>
        <w:pStyle w:val="697"/>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 数据安全技术措施</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1. 数据采集安全</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建立数据采集白名单，仅允许授权系统和接口采集数据；</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采集过程进行完整性校验，防止数据被篡改；</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敏感数据采集需经审批，记录采集时间、来源、用途；</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采集设备接入需进行安全认证，防止非法设备接入。</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2. 数据传输安全</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系统内外网数据传输必须通过安全网关，采用SSL/TLS加密通道；</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跨网段数据传输使用国密SM2/SM3/SM4算法加密；</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传输通道定期更换密钥，密钥长度不低于2048位；</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禁止通过公共网络、即时通讯工具、个人邮箱传输敏感数据。</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3. 数据处理安全</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建立数据处理审批流程，敏感数据处理需经业务部门审批；</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数据查询实行最小权限原则，仅返回用户权限范围内的数据；</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导出申请：用户提交导出申请，说明用途和范围；</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数据修改实行双人复核，关键字段修改需留痕；</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数据删除实行逻辑删除+物理删除双重机制，逻辑删除保留90天。</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4. 数据交换安全</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与外部系统数据交换必须通过数据交换平台，禁止直连数据库；</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交换数据需进行格式校验、内容审计、病毒扫描；</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交换接口采用API网关统一管理，实现身份认证、流量控制、访问审计；</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与银行系统对接采用专线+VPN双通道，数据加密传输；</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交换日志保存不少于3年，支持追溯和审计。</w:t>
      </w:r>
      <w:r/>
    </w:p>
    <w:p>
      <w:pPr>
        <w:pStyle w:val="697"/>
        <w:rPr>
          <w:rFonts w:hint="eastAsia" w:ascii="宋体" w:hAnsi="宋体" w:eastAsia="宋体" w:cs="宋体"/>
          <w:sz w:val="24"/>
          <w:szCs w:val="24"/>
        </w:rPr>
      </w:pPr>
      <w:r>
        <w:rPr>
          <w:rFonts w:hint="eastAsia" w:ascii="宋体" w:hAnsi="宋体" w:eastAsia="宋体" w:cs="宋体"/>
          <w:sz w:val="24"/>
          <w:szCs w:val="24"/>
          <w:lang w:val="en-US" w:eastAsia="zh-CN"/>
        </w:rPr>
        <w:t xml:space="preserve">6.3 </w:t>
      </w:r>
      <w:r>
        <w:rPr>
          <w:rFonts w:hint="eastAsia" w:ascii="宋体" w:hAnsi="宋体" w:eastAsia="宋体" w:cs="宋体"/>
          <w:sz w:val="24"/>
          <w:szCs w:val="24"/>
        </w:rPr>
        <w:t xml:space="preserve">保密义务与法律责任</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1. 保密义务</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供应商对本项目中涉及的财政信息有保密义务，未经采购人书面认可，不得向任何第三方透露，也不得用于本项目之外的任何其他用途。保密信息包括但不限于：</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财政业务数据（收入、支出、预算、决算等）</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缴款人信息（个人身份信息、银行账户信息）</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系统架构、技术方案、源代码</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审计报告、风险评估报告</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采购人内部管理信息</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其他标注为保密的信息</w:t>
      </w:r>
      <w:r/>
    </w:p>
    <w:p>
      <w:pPr>
        <w:numPr>
          <w:ilvl w:val="0"/>
          <w:numId w:val="0"/>
        </w:numPr>
        <w:ind w:left="420" w:right="0"/>
        <w:jc w:val="left"/>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2.人员管理 </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i w:val="0"/>
          <w:iCs w:val="0"/>
          <w:caps w:val="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运维技术人员需签署保密协议后方可上岗工作，供应商须提供《数据安全与信息保密方案》，明确特权账户管理、远程运维审批、数据导出审计等机制。并必须遵守保密义务，不得泄露、篡改或删除相关信息。</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3.责任追究</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因供应商（或其员工）原因引起信息泄露，其必须承担相应的法律责任，包括但不限于：</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民事赔偿责任：赔偿采购人因此遭受的全部经济损失</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行政责任：接受财政、网信、公安等部门的行政处罚</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刑事责任：构成犯罪的，依法追究刑事责任</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合同责任：采购人有权解除合同，要求退还已付款项，追究违约责任</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供应商公司必须签署保密承诺书，承诺严格遵守上述保密要求，接受采购人及相关部门的监督检查。</w:t>
      </w:r>
      <w:r/>
    </w:p>
    <w:p>
      <w:pPr>
        <w:pStyle w:val="696"/>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七、系统培训要求</w:t>
      </w:r>
      <w:bookmarkEnd w:id="0"/>
      <w:r/>
      <w:bookmarkEnd w:id="1"/>
      <w:r/>
      <w:r/>
    </w:p>
    <w:p>
      <w:pPr>
        <w:pStyle w:val="697"/>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 培训对象</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扬州市财政局局领导、相关职能</w:t>
      </w:r>
      <w:r>
        <w:rPr>
          <w:rFonts w:hint="eastAsia" w:ascii="宋体" w:hAnsi="宋体" w:cs="宋体"/>
          <w:b w:val="0"/>
          <w:bCs w:val="0"/>
          <w:color w:val="000000"/>
          <w:sz w:val="24"/>
          <w:szCs w:val="24"/>
          <w:lang w:val="en-US" w:eastAsia="zh-CN" w:bidi="ar"/>
        </w:rPr>
        <w:t xml:space="preserve">科</w:t>
      </w:r>
      <w:r>
        <w:rPr>
          <w:rFonts w:hint="eastAsia" w:ascii="宋体" w:hAnsi="宋体" w:eastAsia="宋体" w:cs="宋体"/>
          <w:b w:val="0"/>
          <w:bCs w:val="0"/>
          <w:color w:val="000000"/>
          <w:sz w:val="24"/>
          <w:szCs w:val="24"/>
          <w:lang w:val="en-US" w:eastAsia="zh-CN" w:bidi="ar"/>
        </w:rPr>
        <w:t xml:space="preserve">室负责人、相关职能</w:t>
      </w:r>
      <w:r>
        <w:rPr>
          <w:rFonts w:hint="eastAsia" w:ascii="宋体" w:hAnsi="宋体" w:cs="宋体"/>
          <w:b w:val="0"/>
          <w:bCs w:val="0"/>
          <w:color w:val="000000"/>
          <w:sz w:val="24"/>
          <w:szCs w:val="24"/>
          <w:lang w:val="en-US" w:eastAsia="zh-CN" w:bidi="ar"/>
        </w:rPr>
        <w:t xml:space="preserve">科</w:t>
      </w:r>
      <w:r>
        <w:rPr>
          <w:rFonts w:hint="eastAsia" w:ascii="宋体" w:hAnsi="宋体" w:eastAsia="宋体" w:cs="宋体"/>
          <w:b w:val="0"/>
          <w:bCs w:val="0"/>
          <w:color w:val="000000"/>
          <w:sz w:val="24"/>
          <w:szCs w:val="24"/>
          <w:lang w:val="en-US" w:eastAsia="zh-CN" w:bidi="ar"/>
        </w:rPr>
        <w:t xml:space="preserve">室专管员、代理银行操作人员等。</w:t>
      </w:r>
      <w:r/>
    </w:p>
    <w:p>
      <w:pPr>
        <w:pStyle w:val="697"/>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 培训要求</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培训由供应商负责师资及教材，由采购人提供场地和培训设备并负责受训人员召集，组织实施。供应商必须派出财政认可的具有相关专业资格和实际工作经验的教师及辅导人员进行培训，主要培训教员至少应具有三年的培训经验。</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供应商应详细制定人员培训方案，包括培训目的、培训时间安排、人数、次数、教材编写、培训课程、培训师资情况、培训组织方式等。</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供应商应负责完成培训所必需的培训环境的搭建，确保培训工作的顺利开展。</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供应商应编制电子培训课件和培训教材，并根据应用程序变更对课件及时更新维护，确保电子培训教材与应用版本同步更新。采购人有权在系统内部使用这些培训资料。</w:t>
      </w:r>
      <w:r/>
    </w:p>
    <w:p>
      <w:pPr>
        <w:pStyle w:val="69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.3 交付</w:t>
      </w:r>
      <w:r>
        <w:rPr>
          <w:rFonts w:hint="eastAsia" w:ascii="宋体" w:hAnsi="宋体" w:eastAsia="宋体" w:cs="宋体"/>
          <w:sz w:val="24"/>
          <w:szCs w:val="24"/>
          <w:lang w:val="en-US" w:eastAsia="zh-CN"/>
        </w:rPr>
        <w:t xml:space="preserve">成果</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平台实施培训方案。</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电子培训教材及课件。</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供应商须将本项目规划开发、部署实施、项目涉及的技术、技能、知识、经验通过培训和文档等形式转移给采购人。</w:t>
      </w:r>
      <w:r/>
    </w:p>
    <w:p>
      <w:pPr>
        <w:pStyle w:val="696"/>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八、系统验收要求</w:t>
      </w:r>
      <w:r/>
    </w:p>
    <w:p>
      <w:pPr>
        <w:pStyle w:val="697"/>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 总体要求</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验收工作由采购人组织实施，供应商应配合完成各阶段的验收工作，提交项目各阶段验收相关文档。</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供应商应在项目验收时提供相关的验收场景和资料，提交项目验收相关产出物包括但不限于：场景模拟、软件性能、功能演示、相关说明等。</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供应商提供的各类文档应内容完整、描述清晰、版本最新，各类方案要求实现目标明确、工作措施得力、可操作性强、具有前瞻性。产出物应提供电子和纸质两种介质，并保持版本一致。</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对验收中发现的问题，供应商应提出有效解决办法和措施，经采购人确认后实施。</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项目验收由项目实施单位、供应商组成验收小组，对项目进行整体验收，根据验收情况编写验收报告。</w:t>
      </w:r>
      <w:r/>
    </w:p>
    <w:p>
      <w:pPr>
        <w:pStyle w:val="697"/>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.2 验收标准</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实施单位以本需求书相关内容为依据，作为项目验收标准，包括本需求书中列出的：业务需求、技术需求、项目实施要求、技术支持服务要求等。</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对于技术支持服务工作，实施单位是否按照本采购需求书中定义的各项服务内容和服务管理开展各项工作，是否在规定时间内提交相关工作文档。</w:t>
      </w:r>
      <w:r/>
    </w:p>
    <w:p>
      <w:pPr>
        <w:pStyle w:val="697"/>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.3 试运行准入条件</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项目全部建设内容已按合同及采购需求完成，无缺项、漏项；</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系统部署、安装调试完毕，功能、性能满足设计及合同要求，可正常上线运行；</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实施单位已完成内部自检、联调测试，出具自检合格报告；</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提供了必要的技术培训，完成培训记录并经采购人确认；</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项目实施过程文档、需求规格说明书、设计方案、测试报告等基础文档齐全；</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已按要求提交试运行申请及相关资料。</w:t>
      </w:r>
      <w:r/>
    </w:p>
    <w:p>
      <w:pPr>
        <w:pStyle w:val="697"/>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.4 验收准入条件</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系统功能、性能及安全指标满足采购人要求；</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提供了售后服务相关证明文件（含质保承诺、服务方案等）；</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供应商按采购人要求提交移交物清单及清单所列内容的最终版本（包括纸制和电子版），项目实施过程文档、配置清单、关键系统文件等文档，并经采购人签字确认；</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试运行期间系统运行稳定，无重大故障，试运行记录、问题处理记录完整有效；</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已按要求提交验收申请及相关资料。</w:t>
      </w:r>
      <w:r/>
    </w:p>
    <w:p>
      <w:pPr>
        <w:pStyle w:val="697"/>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.5 验收要求</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供应商应在验收前提交验收申请材料；</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全面、准确验证系统的各项功能模块是否达到标准；</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全面、准确验证系统的各项性能是否能达到要求；</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供应商应对验收中发现问题制定详细明确的处理方案并及时修改；</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供应商必须按采购人要求提交移交物清单及清单所列内容的最终版本（包括纸制和电子版），并经采购人签字确认；</w:t>
      </w:r>
      <w:r/>
    </w:p>
    <w:p>
      <w:pPr>
        <w:ind w:left="0" w:right="0" w:firstLine="420"/>
        <w:jc w:val="left"/>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w:t xml:space="preserve">供应商所移交的系统版本必须与上线运行的最终版本相一致</w:t>
      </w:r>
      <w:r>
        <w:rPr>
          <w:rFonts w:hint="eastAsia" w:ascii="宋体" w:hAnsi="宋体" w:cs="宋体"/>
          <w:b w:val="0"/>
          <w:bCs w:val="0"/>
          <w:color w:val="000000"/>
          <w:sz w:val="24"/>
          <w:szCs w:val="24"/>
          <w:lang w:val="en-US" w:eastAsia="zh-CN" w:bidi="ar"/>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rPr>
          <w:rFonts w:ascii="黑体" w:hAnsi="黑体" w:eastAsia="黑体" w:cs="黑体"/>
          <w:color w:val="000000"/>
          <w:sz w:val="44"/>
        </w:rPr>
      </w:pPr>
      <w:r>
        <w:rPr>
          <w:rFonts w:ascii="黑体" w:hAnsi="黑体" w:eastAsia="黑体" w:cs="黑体"/>
          <w:color w:val="000000"/>
          <w:sz w:val="44"/>
        </w:rP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第五章响应文件格式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响应文件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采 购 编 号：</w:t>
      </w:r>
      <w:r>
        <w:rPr>
          <w:rFonts w:ascii="宋体" w:hAnsi="宋体" w:eastAsia="宋体" w:cs="宋体"/>
          <w:b/>
          <w:color w:val="000000"/>
          <w:sz w:val="36"/>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供应商名称 ：</w:t>
      </w:r>
      <w:r>
        <w:rPr>
          <w:rFonts w:ascii="宋体" w:hAnsi="宋体" w:eastAsia="宋体" w:cs="宋体"/>
          <w:b/>
          <w:color w:val="000000"/>
          <w:sz w:val="36"/>
          <w:u w:val="single"/>
        </w:rPr>
        <w:t xml:space="preserve">（加盖CA电子公章）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日期 ：</w:t>
      </w:r>
      <w:r>
        <w:rPr>
          <w:rFonts w:ascii="宋体" w:hAnsi="宋体" w:eastAsia="宋体" w:cs="宋体"/>
          <w:b/>
          <w:color w:val="000000"/>
          <w:sz w:val="36"/>
          <w:u w:val="single"/>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39"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响应文件的组成</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1.单一来源报价表（格式见标书制作模板）</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2.分项报价表（格式见附件1）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3.技术要求响应及偏离表（格式见附件2）</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6.单一来源响应函（格式见附件5）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2.上一年度的财务状况报告（供应商成立不满一年无需提供）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3.依法缴纳税收和社会保障资金的相关材料（提供提交响应文件截止时间</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前一年内任意一个月依法缴纳税收及缴纳社会保障资金的证明材料。供应商依法享受缓缴、免缴税收、社会保障资金的提供证明材料。）</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6.供应商信用承诺函（格式见附件9）</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7.中小企业声明函（格式见附件10）</w:t>
      </w:r>
      <w:r>
        <w:rPr>
          <w:rFonts w:ascii="宋体" w:hAnsi="宋体" w:eastAsia="宋体" w:cs="宋体"/>
          <w:color w:val="ff0000"/>
          <w:sz w:val="24"/>
        </w:rPr>
        <w:t xml:space="preserve">如果本项目专门面向中小企业采购，则必须提供。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残疾人福利性单位声明函（格式见附件11）。</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8.联合体协议（格式见附件12）。</w:t>
      </w:r>
      <w:r>
        <w:rPr>
          <w:rFonts w:ascii="宋体" w:hAnsi="宋体" w:eastAsia="宋体" w:cs="宋体"/>
          <w:color w:val="ff0000"/>
          <w:sz w:val="24"/>
        </w:rPr>
        <w:t xml:space="preserve">如果本项目接受联合体参与谈判，供应商是联合体的，则必须提供。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供应商必须对技术要求和商务要求中加斜体下划线的实质性要求逐条做出响应，并按照采购文件要求提供证明材料，否则视为未实质性响应采购文件。</w:t>
      </w:r>
      <w:r>
        <w:rPr>
          <w:rFonts w:ascii="宋体" w:hAnsi="宋体" w:eastAsia="宋体" w:cs="宋体"/>
          <w:b/>
          <w:color w:val="000000"/>
          <w:sz w:val="24"/>
        </w:rPr>
        <w:t xml:space="preserve">（格式见附件13）</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260" w:after="26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分项报价表（服务类项目）</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065"/>
        <w:gridCol w:w="1311"/>
        <w:gridCol w:w="1429"/>
        <w:gridCol w:w="1200"/>
        <w:gridCol w:w="1134"/>
        <w:gridCol w:w="1843"/>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vMerge w:val="restart"/>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采购文件中另有规定的除外。</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2.项目经办人可以根据项目实际需要对表格结构进行调整。</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left"/>
        <w:spacing w:before="260" w:after="26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技术要求响应及偏离表（采购包号：**）</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7"/>
        <w:gridCol w:w="2739"/>
        <w:gridCol w:w="2078"/>
        <w:gridCol w:w="26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8"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附件2-1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1.供应商需对技术要求（未加斜体下划线的非实质性内容）逐条做出明确响应。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2.如果采购文件要求提供证明材料，供应商需将证明材料列于该表之下。</w:t>
      </w:r>
      <w:r/>
    </w:p>
    <w:p>
      <w:pPr>
        <w:ind w:left="0" w:right="0" w:firstLine="0"/>
        <w:jc w:val="left"/>
        <w:spacing w:before="260" w:after="26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商务要求响应及偏离表（采购包号：**）</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7"/>
        <w:gridCol w:w="2739"/>
        <w:gridCol w:w="2325"/>
        <w:gridCol w:w="24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8"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1.供应商需对商务要求（未加斜体下划线的非实质性内容）逐条做出明确响应。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2.如果采购文件要求提供证明材料，供应商需将证明材料列于该表之下。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本授权书声明：____________（供应商名称）授权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被授权人身份证号码：</w:t>
      </w:r>
      <w:r>
        <w:rPr>
          <w:rFonts w:ascii="宋体" w:hAnsi="宋体" w:eastAsia="宋体" w:cs="宋体"/>
          <w:color w:val="000000"/>
          <w:sz w:val="24"/>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被授权人电子邮箱：</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单位地址：</w:t>
      </w:r>
      <w:r>
        <w:rPr>
          <w:rFonts w:ascii="宋体" w:hAnsi="宋体" w:eastAsia="宋体" w:cs="宋体"/>
          <w:color w:val="000000"/>
          <w:sz w:val="24"/>
          <w:u w:val="single"/>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p>
    <w:p>
      <w:pPr>
        <w:ind w:right="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260" w:after="260" w:line="40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单一来源响应函</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号采购文件，正式授权下述签字人_____(姓名)代表我方_______（供应商的名称），全权处理本次项目单一来源的有关事宜。</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1.按采购文件规定的各项要求，向买方提供所需货物（包含与货物相关的服务）。</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2.我们已详细审核全部采购文件及其有效补充文件，我们知道必须放弃提出含糊不清或误解问题的权利。</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3.我们同意从规定的单一来源谈判时间起遵循本响应文件，并在规定的单一来源谈判有效期期满之前均具有约束力。</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4.同意向贵方提供贵方可能另外要求的与单一来源采购有关的任何证据或资料，并保证我方已提供和将要提供的文件是真实的、准确的。</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5.一旦我方成交,我方将根据采购文件的规定，严格履行合同的责任和义务,并保证在采购文件规定的时间完成项目，交付买方验收、使用。</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6.我方与本次单一来源采购有关的正式通讯地址为：</w:t>
      </w:r>
      <w:r/>
    </w:p>
    <w:p>
      <w:pPr>
        <w:ind w:left="42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供应商开户行：</w:t>
      </w:r>
      <w:r/>
    </w:p>
    <w:p>
      <w:pPr>
        <w:ind w:left="42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rPr>
          <w:rFonts w:ascii="宋体" w:hAnsi="宋体" w:eastAsia="宋体" w:cs="宋体"/>
          <w:b/>
          <w:color w:val="000000"/>
          <w:sz w:val="24"/>
        </w:rPr>
      </w:pPr>
      <w:r>
        <w:rPr>
          <w:rFonts w:ascii="宋体" w:hAnsi="宋体" w:eastAsia="宋体" w:cs="宋体"/>
          <w:b/>
          <w:color w:val="000000"/>
          <w:sz w:val="24"/>
        </w:rPr>
        <w:br w:type="page" w:clear="all"/>
      </w:r>
      <w:r/>
    </w:p>
    <w:p>
      <w:pPr>
        <w:ind w:left="0" w:right="0" w:firstLine="0"/>
        <w:jc w:val="both"/>
        <w:spacing w:before="260" w:after="26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主要标的信息（成交后将公示）</w:t>
      </w:r>
      <w:r/>
    </w:p>
    <w:p>
      <w:pPr>
        <w:ind w:left="0" w:right="0" w:firstLine="0"/>
        <w:jc w:val="both"/>
        <w:spacing w:before="0" w:after="312"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供应商全称：</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38"/>
      </w:tblGrid>
      <w:tr>
        <w:trPr/>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3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8"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260" w:after="26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260" w:after="260" w:line="400" w:lineRule="atLeast"/>
        <w:pBdr>
          <w:top w:val="none" w:color="000000" w:sz="0" w:space="0"/>
          <w:left w:val="none" w:color="000000" w:sz="0" w:space="0"/>
          <w:bottom w:val="none" w:color="000000" w:sz="0" w:space="0"/>
          <w:right w:val="none" w:color="000000" w:sz="0" w:space="0"/>
        </w:pBdr>
      </w:pPr>
      <w:r/>
      <w:bookmarkStart w:id="2" w:name="_GoBack"/>
      <w:r/>
      <w:bookmarkEnd w:id="2"/>
      <w:r>
        <w:rPr>
          <w:rFonts w:ascii="宋体" w:hAnsi="宋体" w:eastAsia="宋体" w:cs="宋体"/>
          <w:b/>
          <w:color w:val="000000"/>
          <w:sz w:val="24"/>
        </w:rPr>
        <w:t xml:space="preserve">附件7 具备履行合同所必需的设备和专业技术能力的书面声明</w:t>
      </w:r>
      <w:r/>
    </w:p>
    <w:p>
      <w:pPr>
        <w:ind w:left="0" w:right="0" w:firstLine="49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60" w:after="26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 参加政府采购活动前 3 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260" w:after="26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              供应商信用承诺函</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承诺单位（加盖CA电子公章）：    </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9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i/>
          <w:color w:val="000000"/>
          <w:sz w:val="24"/>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rPr>
          <w:rFonts w:ascii="宋体" w:hAnsi="宋体" w:eastAsia="宋体" w:cs="宋体"/>
          <w:color w:val="ff0000"/>
          <w:sz w:val="24"/>
        </w:rPr>
        <w:t xml:space="preserve">  </w:t>
      </w:r>
      <w:r/>
    </w:p>
    <w:p>
      <w:pPr>
        <w:pStyle w:val="700"/>
        <w:ind w:left="0" w:right="0" w:firstLine="0"/>
        <w:jc w:val="both"/>
        <w:spacing w:before="320" w:after="200" w:line="400"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rPr>
        <w:t xml:space="preserve"> </w:t>
      </w:r>
      <w:r/>
    </w:p>
    <w:p>
      <w:pPr>
        <w:ind w:left="0" w:right="0" w:firstLine="0"/>
        <w:jc w:val="both"/>
        <w:spacing w:before="260" w:after="26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中小企业声明函（服务类项目）（采购包号：**）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w:t>
      </w:r>
      <w:r>
        <w:rPr>
          <w:rFonts w:ascii="宋体" w:hAnsi="宋体" w:eastAsia="宋体" w:cs="宋体"/>
          <w:b/>
          <w:bCs/>
          <w:color w:val="ff0000"/>
          <w:sz w:val="24"/>
          <w:u w:val="single"/>
        </w:rPr>
        <w:t xml:space="preserve">（软件和信息技术服务业）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（供应商填写谈判文件中明确的所属行业）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80" w:firstLine="360"/>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备注：1.从业人员、营业收入、资产总额填报上一年度数据，无上一年度数据的新成立企业可不填报。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财政部关于印发中小企业划型标准规定的通知》(工信部联企业[2011]300号)《国家统计局关于印发〈统计上大中小微型企业划分办法（2017）〉的通知》（国统字〔2017〕213号）的规定，自行勾选承接企业的企业规模类型。</w:t>
      </w:r>
      <w:r/>
    </w:p>
    <w:p>
      <w:pPr>
        <w:ind w:left="0" w:right="0" w:firstLine="0"/>
        <w:spacing w:before="300" w:after="452"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6"/>
        <w:gridCol w:w="1464"/>
        <w:gridCol w:w="622"/>
        <w:gridCol w:w="1642"/>
        <w:gridCol w:w="1506"/>
        <w:gridCol w:w="134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42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2" w:type="dxa"/>
            <w:vAlign w:val="center"/>
            <w:textDirection w:val="lrTb"/>
            <w:noWrap w:val="false"/>
          </w:tcPr>
          <w:p>
            <w:pPr>
              <w:ind w:left="0" w:right="0" w:firstLine="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06" w:type="dxa"/>
            <w:vAlign w:val="center"/>
            <w:textDirection w:val="lrTb"/>
            <w:noWrap w:val="false"/>
          </w:tcPr>
          <w:p>
            <w:pPr>
              <w:ind w:left="0" w:right="0" w:firstLine="0"/>
              <w:jc w:val="center"/>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47" w:type="dxa"/>
            <w:vAlign w:val="center"/>
            <w:textDirection w:val="lrTb"/>
            <w:noWrap w:val="false"/>
          </w:tcPr>
          <w:p>
            <w:pPr>
              <w:ind w:left="0" w:right="0" w:firstLine="420"/>
              <w:spacing w:before="0" w:after="150"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spacing w:before="300" w:after="452"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260" w:after="260" w:line="40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残疾人福利性单位声明函（货物类项目）（采购包号：**）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eastAsia="宋体" w:cs="宋体"/>
          <w:color w:val="000000"/>
          <w:sz w:val="24"/>
          <w:u w:val="single"/>
        </w:rPr>
        <w:t xml:space="preserve">****</w:t>
      </w:r>
      <w:r>
        <w:rPr>
          <w:rFonts w:ascii="宋体" w:hAnsi="宋体" w:eastAsia="宋体" w:cs="宋体"/>
          <w:color w:val="000000"/>
          <w:sz w:val="24"/>
        </w:rPr>
        <w:t xml:space="preserve">的</w:t>
      </w:r>
      <w:r>
        <w:rPr>
          <w:rFonts w:ascii="宋体" w:hAnsi="宋体" w:eastAsia="宋体" w:cs="宋体"/>
          <w:color w:val="000000"/>
          <w:sz w:val="24"/>
          <w:u w:val="single"/>
        </w:rPr>
        <w:t xml:space="preserve">       </w:t>
      </w:r>
      <w:r>
        <w:rPr>
          <w:rFonts w:ascii="宋体" w:hAnsi="宋体" w:eastAsia="宋体" w:cs="宋体"/>
          <w:color w:val="000000"/>
          <w:sz w:val="24"/>
        </w:rPr>
        <w:t xml:space="preserve">_____项目（采购包号：**）采购活动提供本单位制造的货物，或者提供其他残疾人福利性单位制造的货物（不包括使用非残疾人福利性单位注册商标的货物）。</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624"/>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left="0" w:right="1559" w:firstLine="624"/>
        <w:jc w:val="center"/>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eastAsia="宋体" w:cs="宋体"/>
          <w:color w:val="000000"/>
          <w:sz w:val="24"/>
        </w:rPr>
        <w:t xml:space="preserve">   供应商全称（加盖CA电子公章）：</w:t>
      </w:r>
      <w:r/>
    </w:p>
    <w:p>
      <w:pPr>
        <w:ind w:left="0" w:right="1559"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260" w:after="26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eastAsia="宋体" w:cs="宋体"/>
          <w:color w:val="000000"/>
          <w:sz w:val="24"/>
          <w:u w:val="single"/>
        </w:rPr>
        <w:t xml:space="preserve">****</w:t>
      </w:r>
      <w:r>
        <w:rPr>
          <w:rFonts w:ascii="宋体" w:hAnsi="宋体" w:eastAsia="宋体" w:cs="宋体"/>
          <w:color w:val="000000"/>
          <w:sz w:val="24"/>
        </w:rPr>
        <w:t xml:space="preserve">的</w:t>
      </w:r>
      <w:r>
        <w:rPr>
          <w:rFonts w:ascii="宋体" w:hAnsi="宋体" w:eastAsia="宋体" w:cs="宋体"/>
          <w:color w:val="000000"/>
          <w:sz w:val="24"/>
          <w:u w:val="single"/>
        </w:rPr>
        <w:t xml:space="preserve">       </w:t>
      </w:r>
      <w:r>
        <w:rPr>
          <w:rFonts w:ascii="宋体" w:hAnsi="宋体" w:eastAsia="宋体" w:cs="宋体"/>
          <w:color w:val="000000"/>
          <w:sz w:val="24"/>
        </w:rPr>
        <w:t xml:space="preserve">_____项目（采购包号：**）采购活动由本单位提供服务。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1559" w:firstLine="624"/>
        <w:jc w:val="center"/>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eastAsia="宋体" w:cs="宋体"/>
          <w:color w:val="000000"/>
          <w:sz w:val="24"/>
        </w:rPr>
        <w:t xml:space="preserve">     </w:t>
      </w:r>
      <w:r/>
    </w:p>
    <w:p>
      <w:pPr>
        <w:ind w:left="0" w:right="1559"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1559"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备注：本采购文件中要求加盖CA电子公章的地方，仅需加盖牵头单位的CA电子公章。</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60" w:after="26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附件13实质性要求响应及偏离表（采购包号：**）</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7"/>
        <w:gridCol w:w="3223"/>
        <w:gridCol w:w="2097"/>
        <w:gridCol w:w="223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2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逐条做出明确响应，否则做无效响应处理。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2.如果采购文件要求提供证明材料，供应商必须将证明材料列于该表之下。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3.供应商未对实质性要求逐条作出明确响应的，或未按采购文件要求提供证明材料的，该采购包作无效响应处理。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Tahoma">
    <w:panose1 w:val="020B0604030504040204"/>
  </w:font>
  <w:font w:name="方正黑体_GBK">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tabs>
                              <w:tab w:val="clear" w:pos="4153" w:leader="none"/>
                              <w:tab w:val="clear" w:pos="8306" w:leader="none"/>
                            </w:tabs>
                            <w:rPr>
                              <w:rStyle w:val="892"/>
                              <w:rFonts w:ascii="宋体" w:hAnsi="宋体"/>
                            </w:rPr>
                          </w:pPr>
                          <w:r>
                            <w:rPr>
                              <w:rFonts w:ascii="宋体" w:hAnsi="宋体"/>
                            </w:rPr>
                            <w:fldChar w:fldCharType="begin"/>
                          </w:r>
                          <w:r>
                            <w:rPr>
                              <w:rStyle w:val="892"/>
                              <w:rFonts w:ascii="宋体" w:hAnsi="宋体"/>
                            </w:rPr>
                            <w:instrText xml:space="preserve">PAGE  </w:instrText>
                          </w:r>
                          <w:r>
                            <w:rPr>
                              <w:rFonts w:ascii="宋体" w:hAnsi="宋体"/>
                            </w:rPr>
                            <w:fldChar w:fldCharType="separate"/>
                          </w:r>
                          <w:r>
                            <w:rPr>
                              <w:rStyle w:val="892"/>
                              <w:rFonts w:ascii="宋体" w:hAnsi="宋体"/>
                            </w:rPr>
                            <w:t xml:space="preserve">１６</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tabs>
                        <w:tab w:val="clear" w:pos="4153" w:leader="none"/>
                        <w:tab w:val="clear" w:pos="8306" w:leader="none"/>
                      </w:tabs>
                      <w:rPr>
                        <w:rStyle w:val="892"/>
                        <w:rFonts w:ascii="宋体" w:hAnsi="宋体"/>
                      </w:rPr>
                    </w:pPr>
                    <w:r>
                      <w:rPr>
                        <w:rFonts w:ascii="宋体" w:hAnsi="宋体"/>
                      </w:rPr>
                      <w:fldChar w:fldCharType="begin"/>
                    </w:r>
                    <w:r>
                      <w:rPr>
                        <w:rStyle w:val="892"/>
                        <w:rFonts w:ascii="宋体" w:hAnsi="宋体"/>
                      </w:rPr>
                      <w:instrText xml:space="preserve">PAGE  </w:instrText>
                    </w:r>
                    <w:r>
                      <w:rPr>
                        <w:rFonts w:ascii="宋体" w:hAnsi="宋体"/>
                      </w:rPr>
                      <w:fldChar w:fldCharType="separate"/>
                    </w:r>
                    <w:r>
                      <w:rPr>
                        <w:rStyle w:val="892"/>
                        <w:rFonts w:ascii="宋体" w:hAnsi="宋体"/>
                      </w:rPr>
                      <w:t xml:space="preserve">１６</w:t>
                    </w:r>
                    <w:r>
                      <w:rPr>
                        <w:rFonts w:ascii="宋体" w:hAnsi="宋体"/>
                      </w:rPr>
                      <w:fldChar w:fldCharType="end"/>
                    </w:r>
                    <w:r/>
                  </w:p>
                  <w:p>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4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1"/>
      <w:isLgl w:val="false"/>
      <w:suff w:val="nothing"/>
      <w:lvlText w:val=""/>
      <w:lvlJc w:val="left"/>
      <w:pPr>
        <w:ind w:left="0" w:firstLine="0"/>
      </w:pPr>
      <w:rPr>
        <w:rFonts w:hint="eastAsia"/>
      </w:rPr>
    </w:lvl>
    <w:lvl w:ilvl="6">
      <w:start w:val="1"/>
      <w:numFmt w:val="decimal"/>
      <w:pStyle w:val="882"/>
      <w:isLgl w:val="false"/>
      <w:suff w:val="nothing"/>
      <w:lvlText w:val=""/>
      <w:lvlJc w:val="left"/>
      <w:pPr>
        <w:ind w:left="0" w:firstLine="0"/>
      </w:pPr>
      <w:rPr>
        <w:rFonts w:hint="eastAsia"/>
      </w:rPr>
    </w:lvl>
    <w:lvl w:ilvl="7">
      <w:start w:val="1"/>
      <w:numFmt w:val="decimal"/>
      <w:pStyle w:val="883"/>
      <w:isLgl w:val="false"/>
      <w:suff w:val="nothing"/>
      <w:lvlText w:val=""/>
      <w:lvlJc w:val="left"/>
      <w:pPr>
        <w:ind w:left="0" w:firstLine="0"/>
      </w:pPr>
      <w:rPr>
        <w:rFonts w:hint="eastAsia"/>
      </w:rPr>
    </w:lvl>
    <w:lvl w:ilvl="8">
      <w:start w:val="1"/>
      <w:numFmt w:val="decimal"/>
      <w:pStyle w:val="884"/>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6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link w:val="92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5">
    <w:name w:val="Heading 1"/>
    <w:basedOn w:val="694"/>
    <w:next w:val="694"/>
    <w:link w:val="727"/>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28"/>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29"/>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30"/>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31"/>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2"/>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33"/>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34"/>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35"/>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right="0" w:firstLine="0"/>
      <w:spacing w:after="57"/>
    </w:pPr>
  </w:style>
  <w:style w:type="paragraph" w:styleId="707">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toc 5"/>
    <w:basedOn w:val="694"/>
    <w:next w:val="694"/>
    <w:uiPriority w:val="39"/>
    <w:unhideWhenUsed/>
    <w:qFormat/>
    <w:pPr>
      <w:ind w:left="1134" w:right="0" w:firstLine="0"/>
      <w:spacing w:after="57"/>
    </w:pPr>
  </w:style>
  <w:style w:type="paragraph" w:styleId="709">
    <w:name w:val="toc 3"/>
    <w:basedOn w:val="694"/>
    <w:next w:val="694"/>
    <w:uiPriority w:val="39"/>
    <w:unhideWhenUsed/>
    <w:qFormat/>
    <w:pPr>
      <w:ind w:left="567" w:right="0" w:firstLine="0"/>
      <w:spacing w:after="57"/>
    </w:pPr>
  </w:style>
  <w:style w:type="paragraph" w:styleId="710">
    <w:name w:val="toc 8"/>
    <w:basedOn w:val="694"/>
    <w:next w:val="694"/>
    <w:uiPriority w:val="39"/>
    <w:unhideWhenUsed/>
    <w:qFormat/>
    <w:pPr>
      <w:ind w:left="1984" w:right="0" w:firstLine="0"/>
      <w:spacing w:after="57"/>
    </w:pPr>
  </w:style>
  <w:style w:type="paragraph" w:styleId="711">
    <w:name w:val="endnote text"/>
    <w:basedOn w:val="694"/>
    <w:link w:val="873"/>
    <w:uiPriority w:val="99"/>
    <w:semiHidden/>
    <w:unhideWhenUsed/>
    <w:qFormat/>
    <w:pPr>
      <w:spacing w:after="0" w:line="240" w:lineRule="auto"/>
    </w:pPr>
    <w:rPr>
      <w:sz w:val="20"/>
    </w:rPr>
  </w:style>
  <w:style w:type="paragraph" w:styleId="712">
    <w:name w:val="Footer"/>
    <w:basedOn w:val="694"/>
    <w:link w:val="746"/>
    <w:uiPriority w:val="99"/>
    <w:unhideWhenUsed/>
    <w:qFormat/>
    <w:pPr>
      <w:spacing w:after="0" w:line="240" w:lineRule="auto"/>
      <w:tabs>
        <w:tab w:val="center" w:pos="7143" w:leader="none"/>
        <w:tab w:val="right" w:pos="14287" w:leader="none"/>
      </w:tabs>
    </w:pPr>
  </w:style>
  <w:style w:type="paragraph" w:styleId="713">
    <w:name w:val="Header"/>
    <w:basedOn w:val="694"/>
    <w:link w:val="744"/>
    <w:uiPriority w:val="99"/>
    <w:unhideWhenUsed/>
    <w:qFormat/>
    <w:pPr>
      <w:spacing w:after="0" w:line="240" w:lineRule="auto"/>
      <w:tabs>
        <w:tab w:val="center" w:pos="7143" w:leader="none"/>
        <w:tab w:val="right" w:pos="14287" w:leader="none"/>
      </w:tabs>
    </w:pPr>
  </w:style>
  <w:style w:type="paragraph" w:styleId="714">
    <w:name w:val="toc 1"/>
    <w:basedOn w:val="694"/>
    <w:next w:val="694"/>
    <w:uiPriority w:val="39"/>
    <w:unhideWhenUsed/>
    <w:qFormat/>
    <w:pPr>
      <w:ind w:left="0" w:right="0" w:firstLine="0"/>
      <w:spacing w:after="57"/>
    </w:pPr>
  </w:style>
  <w:style w:type="paragraph" w:styleId="715">
    <w:name w:val="toc 4"/>
    <w:basedOn w:val="694"/>
    <w:next w:val="694"/>
    <w:uiPriority w:val="39"/>
    <w:unhideWhenUsed/>
    <w:qFormat/>
    <w:pPr>
      <w:ind w:left="850" w:right="0" w:firstLine="0"/>
      <w:spacing w:after="57"/>
    </w:pPr>
  </w:style>
  <w:style w:type="paragraph" w:styleId="716">
    <w:name w:val="Subtitle"/>
    <w:basedOn w:val="694"/>
    <w:next w:val="694"/>
    <w:link w:val="739"/>
    <w:uiPriority w:val="11"/>
    <w:qFormat/>
    <w:pPr>
      <w:spacing w:before="200" w:after="200"/>
    </w:pPr>
    <w:rPr>
      <w:sz w:val="24"/>
      <w:szCs w:val="24"/>
    </w:rPr>
  </w:style>
  <w:style w:type="paragraph" w:styleId="717">
    <w:name w:val="footnote text"/>
    <w:basedOn w:val="694"/>
    <w:link w:val="872"/>
    <w:uiPriority w:val="99"/>
    <w:semiHidden/>
    <w:unhideWhenUsed/>
    <w:qFormat/>
    <w:pPr>
      <w:spacing w:after="40" w:line="240" w:lineRule="auto"/>
    </w:pPr>
    <w:rPr>
      <w:sz w:val="18"/>
    </w:rPr>
  </w:style>
  <w:style w:type="paragraph" w:styleId="718">
    <w:name w:val="toc 6"/>
    <w:basedOn w:val="694"/>
    <w:next w:val="694"/>
    <w:uiPriority w:val="39"/>
    <w:unhideWhenUsed/>
    <w:qFormat/>
    <w:pPr>
      <w:ind w:left="1417" w:right="0" w:firstLine="0"/>
      <w:spacing w:after="57"/>
    </w:pPr>
  </w:style>
  <w:style w:type="paragraph" w:styleId="719">
    <w:name w:val="table of figures"/>
    <w:basedOn w:val="694"/>
    <w:next w:val="694"/>
    <w:uiPriority w:val="99"/>
    <w:unhideWhenUsed/>
    <w:qFormat/>
    <w:pPr>
      <w:spacing w:after="0" w:afterAutospacing="0"/>
    </w:pPr>
  </w:style>
  <w:style w:type="paragraph" w:styleId="720">
    <w:name w:val="toc 2"/>
    <w:basedOn w:val="694"/>
    <w:next w:val="694"/>
    <w:uiPriority w:val="39"/>
    <w:unhideWhenUsed/>
    <w:qFormat/>
    <w:pPr>
      <w:ind w:left="283" w:right="0" w:firstLine="0"/>
      <w:spacing w:after="57"/>
    </w:pPr>
  </w:style>
  <w:style w:type="paragraph" w:styleId="721">
    <w:name w:val="toc 9"/>
    <w:basedOn w:val="694"/>
    <w:next w:val="694"/>
    <w:uiPriority w:val="39"/>
    <w:unhideWhenUsed/>
    <w:qFormat/>
    <w:pPr>
      <w:ind w:left="2268" w:right="0" w:firstLine="0"/>
      <w:spacing w:after="57"/>
    </w:pPr>
  </w:style>
  <w:style w:type="paragraph" w:styleId="722">
    <w:name w:val="Title"/>
    <w:basedOn w:val="694"/>
    <w:next w:val="694"/>
    <w:link w:val="738"/>
    <w:uiPriority w:val="10"/>
    <w:qFormat/>
    <w:pPr>
      <w:contextualSpacing/>
      <w:spacing w:before="300" w:after="200"/>
    </w:pPr>
    <w:rPr>
      <w:sz w:val="48"/>
      <w:szCs w:val="48"/>
    </w:rPr>
  </w:style>
  <w:style w:type="table" w:styleId="7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uiPriority w:val="99"/>
    <w:semiHidden/>
    <w:unhideWhenUsed/>
    <w:qFormat/>
    <w:rPr>
      <w:vertAlign w:val="superscript"/>
    </w:rPr>
  </w:style>
  <w:style w:type="character" w:styleId="725">
    <w:name w:val="Hyperlink"/>
    <w:uiPriority w:val="99"/>
    <w:unhideWhenUsed/>
    <w:qFormat/>
    <w:rPr>
      <w:color w:val="0000ff" w:themeColor="hyperlink"/>
      <w:u w:val="single"/>
      <w14:textFill>
        <w14:solidFill>
          <w14:schemeClr w14:val="hlink"/>
        </w14:solidFill>
      </w14:textFill>
    </w:rPr>
  </w:style>
  <w:style w:type="character" w:styleId="726">
    <w:name w:val="footnote reference"/>
    <w:uiPriority w:val="99"/>
    <w:unhideWhenUsed/>
    <w:qFormat/>
    <w:rPr>
      <w:vertAlign w:val="superscript"/>
    </w:rPr>
  </w:style>
  <w:style w:type="character" w:styleId="727" w:customStyle="1">
    <w:name w:val="Heading 1 Char"/>
    <w:link w:val="695"/>
    <w:uiPriority w:val="9"/>
    <w:qFormat/>
    <w:rPr>
      <w:rFonts w:ascii="Arial" w:hAnsi="Arial" w:eastAsia="Arial" w:cs="Arial"/>
      <w:sz w:val="40"/>
      <w:szCs w:val="40"/>
    </w:rPr>
  </w:style>
  <w:style w:type="character" w:styleId="728" w:customStyle="1">
    <w:name w:val="Heading 2 Char"/>
    <w:link w:val="696"/>
    <w:uiPriority w:val="9"/>
    <w:qFormat/>
    <w:rPr>
      <w:rFonts w:ascii="Arial" w:hAnsi="Arial" w:eastAsia="Arial" w:cs="Arial"/>
      <w:sz w:val="34"/>
    </w:rPr>
  </w:style>
  <w:style w:type="character" w:styleId="729" w:customStyle="1">
    <w:name w:val="Heading 3 Char"/>
    <w:link w:val="697"/>
    <w:uiPriority w:val="9"/>
    <w:qFormat/>
    <w:rPr>
      <w:rFonts w:ascii="Arial" w:hAnsi="Arial" w:eastAsia="Arial" w:cs="Arial"/>
      <w:sz w:val="30"/>
      <w:szCs w:val="30"/>
    </w:rPr>
  </w:style>
  <w:style w:type="character" w:styleId="730" w:customStyle="1">
    <w:name w:val="Heading 4 Char"/>
    <w:link w:val="698"/>
    <w:uiPriority w:val="9"/>
    <w:qFormat/>
    <w:rPr>
      <w:rFonts w:ascii="Arial" w:hAnsi="Arial" w:eastAsia="Arial" w:cs="Arial"/>
      <w:b/>
      <w:bCs/>
      <w:sz w:val="26"/>
      <w:szCs w:val="26"/>
    </w:rPr>
  </w:style>
  <w:style w:type="character" w:styleId="731" w:customStyle="1">
    <w:name w:val="Heading 5 Char"/>
    <w:link w:val="699"/>
    <w:uiPriority w:val="9"/>
    <w:qFormat/>
    <w:rPr>
      <w:rFonts w:ascii="Arial" w:hAnsi="Arial" w:eastAsia="Arial" w:cs="Arial"/>
      <w:b/>
      <w:bCs/>
      <w:sz w:val="24"/>
      <w:szCs w:val="24"/>
    </w:rPr>
  </w:style>
  <w:style w:type="character" w:styleId="732" w:customStyle="1">
    <w:name w:val="Heading 6 Char"/>
    <w:link w:val="700"/>
    <w:uiPriority w:val="9"/>
    <w:qFormat/>
    <w:rPr>
      <w:rFonts w:ascii="Arial" w:hAnsi="Arial" w:eastAsia="Arial" w:cs="Arial"/>
      <w:b/>
      <w:bCs/>
      <w:sz w:val="22"/>
      <w:szCs w:val="22"/>
    </w:rPr>
  </w:style>
  <w:style w:type="character" w:styleId="733" w:customStyle="1">
    <w:name w:val="Heading 7 Char"/>
    <w:link w:val="701"/>
    <w:uiPriority w:val="9"/>
    <w:qFormat/>
    <w:rPr>
      <w:rFonts w:ascii="Arial" w:hAnsi="Arial" w:eastAsia="Arial" w:cs="Arial"/>
      <w:b/>
      <w:bCs/>
      <w:i/>
      <w:iCs/>
      <w:sz w:val="22"/>
      <w:szCs w:val="22"/>
    </w:rPr>
  </w:style>
  <w:style w:type="character" w:styleId="734" w:customStyle="1">
    <w:name w:val="Heading 8 Char"/>
    <w:link w:val="702"/>
    <w:uiPriority w:val="9"/>
    <w:qFormat/>
    <w:rPr>
      <w:rFonts w:ascii="Arial" w:hAnsi="Arial" w:eastAsia="Arial" w:cs="Arial"/>
      <w:i/>
      <w:iCs/>
      <w:sz w:val="22"/>
      <w:szCs w:val="22"/>
    </w:rPr>
  </w:style>
  <w:style w:type="character" w:styleId="735" w:customStyle="1">
    <w:name w:val="Heading 9 Char"/>
    <w:link w:val="703"/>
    <w:uiPriority w:val="9"/>
    <w:qFormat/>
    <w:rPr>
      <w:rFonts w:ascii="Arial" w:hAnsi="Arial" w:eastAsia="Arial" w:cs="Arial"/>
      <w:i/>
      <w:iCs/>
      <w:sz w:val="21"/>
      <w:szCs w:val="21"/>
    </w:rPr>
  </w:style>
  <w:style w:type="paragraph" w:styleId="736">
    <w:name w:val="List Paragraph"/>
    <w:basedOn w:val="694"/>
    <w:uiPriority w:val="34"/>
    <w:qFormat/>
    <w:pPr>
      <w:contextualSpacing/>
      <w:ind w:left="720"/>
    </w:pPr>
  </w:style>
  <w:style w:type="paragraph" w:styleId="737">
    <w:name w:val="No Spacing"/>
    <w:uiPriority w:val="1"/>
    <w:qFormat/>
    <w:pPr>
      <w:spacing w:before="0" w:after="0" w:line="240" w:lineRule="auto"/>
    </w:pPr>
    <w:rPr>
      <w:rFonts w:hint="default" w:ascii="Times New Roman" w:hAnsi="Times New Roman" w:eastAsia="宋体" w:cs="Times New Roman"/>
    </w:rPr>
  </w:style>
  <w:style w:type="character" w:styleId="738" w:customStyle="1">
    <w:name w:val="Title Char"/>
    <w:link w:val="722"/>
    <w:uiPriority w:val="10"/>
    <w:qFormat/>
    <w:rPr>
      <w:sz w:val="48"/>
      <w:szCs w:val="48"/>
    </w:rPr>
  </w:style>
  <w:style w:type="character" w:styleId="739" w:customStyle="1">
    <w:name w:val="Subtitle Char"/>
    <w:link w:val="716"/>
    <w:uiPriority w:val="11"/>
    <w:qFormat/>
    <w:rPr>
      <w:sz w:val="24"/>
      <w:szCs w:val="24"/>
    </w:rPr>
  </w:style>
  <w:style w:type="paragraph" w:styleId="740">
    <w:name w:val="Quote"/>
    <w:basedOn w:val="694"/>
    <w:next w:val="694"/>
    <w:link w:val="741"/>
    <w:uiPriority w:val="29"/>
    <w:qFormat/>
    <w:pPr>
      <w:ind w:left="720" w:right="720"/>
    </w:pPr>
    <w:rPr>
      <w:i/>
    </w:rPr>
  </w:style>
  <w:style w:type="character" w:styleId="741" w:customStyle="1">
    <w:name w:val="Quote Char"/>
    <w:link w:val="740"/>
    <w:uiPriority w:val="29"/>
    <w:qFormat/>
    <w:rPr>
      <w:i/>
    </w:rPr>
  </w:style>
  <w:style w:type="paragraph" w:styleId="742">
    <w:name w:val="Intense Quote"/>
    <w:basedOn w:val="694"/>
    <w:next w:val="694"/>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Intense Quote Char"/>
    <w:link w:val="742"/>
    <w:uiPriority w:val="30"/>
    <w:qFormat/>
    <w:rPr>
      <w:i/>
    </w:rPr>
  </w:style>
  <w:style w:type="character" w:styleId="744" w:customStyle="1">
    <w:name w:val="Header Char"/>
    <w:link w:val="713"/>
    <w:uiPriority w:val="99"/>
    <w:qFormat/>
  </w:style>
  <w:style w:type="character" w:styleId="745" w:customStyle="1">
    <w:name w:val="Footer Char"/>
    <w:link w:val="712"/>
    <w:uiPriority w:val="99"/>
    <w:qFormat/>
  </w:style>
  <w:style w:type="character" w:styleId="746" w:customStyle="1">
    <w:name w:val="Caption Char"/>
    <w:link w:val="712"/>
    <w:uiPriority w:val="99"/>
    <w:qFormat/>
  </w:style>
  <w:style w:type="table" w:styleId="74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7"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7"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0"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1"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5"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1"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4"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5"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3"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6"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7"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8"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9"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0"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9"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4"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9"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1"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2" w:customStyle="1">
    <w:name w:val="Footnote Text Char"/>
    <w:link w:val="717"/>
    <w:uiPriority w:val="99"/>
    <w:qFormat/>
    <w:rPr>
      <w:sz w:val="18"/>
    </w:rPr>
  </w:style>
  <w:style w:type="character" w:styleId="873" w:customStyle="1">
    <w:name w:val="Endnote Text Char"/>
    <w:link w:val="711"/>
    <w:uiPriority w:val="99"/>
    <w:rPr>
      <w:sz w:val="20"/>
    </w:rPr>
  </w:style>
  <w:style w:type="paragraph" w:styleId="874" w:customStyle="1">
    <w:name w:val="TOC Heading"/>
    <w:uiPriority w:val="39"/>
    <w:unhideWhenUsed/>
    <w:rPr>
      <w:rFonts w:hint="default" w:ascii="Times New Roman" w:hAnsi="Times New Roman" w:eastAsia="宋体" w:cs="Times New Roman"/>
    </w:rPr>
  </w:style>
  <w:style w:type="paragraph" w:styleId="875" w:customStyle="1">
    <w:name w:val="标题 11"/>
    <w:basedOn w:val="694"/>
    <w:next w:val="694"/>
    <w:link w:val="887"/>
    <w:uiPriority w:val="0"/>
    <w:qFormat/>
    <w:pPr>
      <w:jc w:val="center"/>
      <w:keepNext/>
      <w:outlineLvl w:val="0"/>
    </w:pPr>
    <w:rPr>
      <w:rFonts w:ascii="楷体_GB2312" w:hAnsi="Times New Roman" w:eastAsia="楷体_GB2312" w:cs="Times New Roman"/>
      <w:sz w:val="28"/>
      <w:szCs w:val="28"/>
    </w:rPr>
  </w:style>
  <w:style w:type="paragraph" w:styleId="876" w:customStyle="1">
    <w:name w:val="标题 211"/>
    <w:basedOn w:val="694"/>
    <w:next w:val="877"/>
    <w:link w:val="91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7" w:customStyle="1">
    <w:name w:val="正文缩进1"/>
    <w:basedOn w:val="694"/>
    <w:link w:val="912"/>
    <w:uiPriority w:val="0"/>
    <w:qFormat/>
    <w:pPr>
      <w:ind w:firstLine="420"/>
    </w:pPr>
    <w:rPr>
      <w:szCs w:val="21"/>
    </w:rPr>
  </w:style>
  <w:style w:type="paragraph" w:styleId="878" w:customStyle="1">
    <w:name w:val="标题 31"/>
    <w:basedOn w:val="694"/>
    <w:next w:val="877"/>
    <w:link w:val="90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9" w:customStyle="1">
    <w:name w:val="标题 41"/>
    <w:basedOn w:val="694"/>
    <w:next w:val="694"/>
    <w:link w:val="899"/>
    <w:uiPriority w:val="0"/>
    <w:qFormat/>
    <w:pPr>
      <w:keepLines/>
      <w:keepNext/>
      <w:spacing w:before="280" w:after="290" w:line="376" w:lineRule="auto"/>
      <w:outlineLvl w:val="3"/>
    </w:pPr>
    <w:rPr>
      <w:rFonts w:ascii="Arial" w:hAnsi="Arial" w:eastAsia="黑体" w:cs="Arial"/>
      <w:b/>
      <w:bCs/>
      <w:sz w:val="28"/>
      <w:szCs w:val="28"/>
    </w:rPr>
  </w:style>
  <w:style w:type="paragraph" w:styleId="880" w:customStyle="1">
    <w:name w:val="标题 51"/>
    <w:basedOn w:val="694"/>
    <w:next w:val="877"/>
    <w:link w:val="926"/>
    <w:uiPriority w:val="0"/>
    <w:qFormat/>
    <w:pPr>
      <w:keepNext/>
      <w:outlineLvl w:val="4"/>
    </w:pPr>
    <w:rPr>
      <w:rFonts w:ascii="宋体" w:hAnsi="Times New Roman" w:eastAsia="宋体" w:cs="Times New Roman"/>
      <w:color w:val="000000"/>
      <w:sz w:val="28"/>
      <w:szCs w:val="28"/>
    </w:rPr>
  </w:style>
  <w:style w:type="paragraph" w:styleId="881" w:customStyle="1">
    <w:name w:val="标题 61"/>
    <w:basedOn w:val="694"/>
    <w:next w:val="694"/>
    <w:link w:val="89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2" w:customStyle="1">
    <w:name w:val="标题 71"/>
    <w:basedOn w:val="694"/>
    <w:next w:val="694"/>
    <w:link w:val="91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3" w:customStyle="1">
    <w:name w:val="标题 81"/>
    <w:basedOn w:val="694"/>
    <w:next w:val="694"/>
    <w:link w:val="91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4" w:customStyle="1">
    <w:name w:val="标题 91"/>
    <w:basedOn w:val="694"/>
    <w:next w:val="694"/>
    <w:link w:val="92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5" w:customStyle="1">
    <w:name w:val="默认段落字体1"/>
    <w:link w:val="694"/>
    <w:uiPriority w:val="1"/>
    <w:unhideWhenUsed/>
    <w:qFormat/>
  </w:style>
  <w:style w:type="table" w:styleId="886" w:customStyle="1">
    <w:name w:val="普通表格1"/>
    <w:uiPriority w:val="99"/>
    <w:unhideWhenUsed/>
    <w:tblPr/>
  </w:style>
  <w:style w:type="character" w:styleId="887" w:customStyle="1">
    <w:name w:val="标题 1 字符"/>
    <w:link w:val="875"/>
    <w:uiPriority w:val="0"/>
    <w:qFormat/>
    <w:rPr>
      <w:rFonts w:ascii="楷体_GB2312" w:hAnsi="Times New Roman" w:eastAsia="楷体_GB2312" w:cs="Times New Roman"/>
      <w:sz w:val="28"/>
      <w:szCs w:val="28"/>
    </w:rPr>
  </w:style>
  <w:style w:type="character" w:styleId="888" w:customStyle="1">
    <w:name w:val="日期 字符"/>
    <w:link w:val="889"/>
    <w:uiPriority w:val="0"/>
    <w:qFormat/>
    <w:rPr>
      <w:rFonts w:ascii="Times New Roman" w:hAnsi="Times New Roman" w:eastAsia="宋体" w:cs="Times New Roman"/>
      <w:sz w:val="24"/>
      <w:szCs w:val="24"/>
    </w:rPr>
  </w:style>
  <w:style w:type="paragraph" w:styleId="889" w:customStyle="1">
    <w:name w:val="日期1"/>
    <w:basedOn w:val="694"/>
    <w:next w:val="694"/>
    <w:link w:val="888"/>
    <w:uiPriority w:val="0"/>
    <w:rPr>
      <w:rFonts w:ascii="Times New Roman" w:hAnsi="Times New Roman" w:eastAsia="宋体" w:cs="Times New Roman"/>
      <w:sz w:val="24"/>
      <w:szCs w:val="24"/>
    </w:rPr>
  </w:style>
  <w:style w:type="character" w:styleId="890" w:customStyle="1">
    <w:name w:val="超链接1"/>
    <w:link w:val="694"/>
    <w:uiPriority w:val="0"/>
    <w:qFormat/>
    <w:rPr>
      <w:color w:val="0000ff"/>
      <w:u w:val="single"/>
    </w:rPr>
  </w:style>
  <w:style w:type="character" w:styleId="891" w:customStyle="1">
    <w:name w:val="标题 6 字符"/>
    <w:link w:val="881"/>
    <w:uiPriority w:val="0"/>
    <w:qFormat/>
    <w:rPr>
      <w:rFonts w:ascii="Arial" w:hAnsi="Arial" w:eastAsia="黑体" w:cs="Times New Roman"/>
      <w:b/>
      <w:bCs/>
      <w:sz w:val="24"/>
      <w:szCs w:val="24"/>
    </w:rPr>
  </w:style>
  <w:style w:type="character" w:styleId="892" w:customStyle="1">
    <w:name w:val="页码1"/>
    <w:link w:val="694"/>
    <w:uiPriority w:val="0"/>
  </w:style>
  <w:style w:type="character" w:styleId="893" w:customStyle="1">
    <w:name w:val="正文首行缩进 2 字符"/>
    <w:link w:val="894"/>
    <w:uiPriority w:val="0"/>
    <w:rPr>
      <w:rFonts w:ascii="宋体" w:hAnsi="宋体" w:eastAsia="宋体" w:cs="Times New Roman"/>
      <w:szCs w:val="20"/>
    </w:rPr>
  </w:style>
  <w:style w:type="paragraph" w:styleId="894" w:customStyle="1">
    <w:name w:val="正文首行缩进 21"/>
    <w:basedOn w:val="895"/>
    <w:link w:val="893"/>
    <w:uiPriority w:val="0"/>
    <w:qFormat/>
    <w:pPr>
      <w:ind w:left="0" w:firstLine="420"/>
      <w:spacing w:after="0" w:line="360" w:lineRule="auto"/>
    </w:pPr>
    <w:rPr>
      <w:rFonts w:ascii="宋体" w:hAnsi="宋体" w:eastAsia="宋体" w:cs="Times New Roman"/>
      <w:szCs w:val="20"/>
    </w:rPr>
  </w:style>
  <w:style w:type="paragraph" w:styleId="895" w:customStyle="1">
    <w:name w:val="正文文本缩进1"/>
    <w:basedOn w:val="694"/>
    <w:link w:val="930"/>
    <w:uiPriority w:val="0"/>
    <w:unhideWhenUsed/>
    <w:qFormat/>
    <w:pPr>
      <w:ind w:left="420"/>
      <w:spacing w:after="120"/>
    </w:pPr>
  </w:style>
  <w:style w:type="character" w:styleId="896" w:customStyle="1">
    <w:name w:val="正文文本 2 字符"/>
    <w:link w:val="897"/>
    <w:uiPriority w:val="0"/>
    <w:rPr>
      <w:rFonts w:ascii="楷体_GB2312" w:hAnsi="Times New Roman" w:eastAsia="楷体_GB2312" w:cs="Times New Roman"/>
      <w:sz w:val="28"/>
      <w:szCs w:val="28"/>
    </w:rPr>
  </w:style>
  <w:style w:type="paragraph" w:styleId="897" w:customStyle="1">
    <w:name w:val="正文文本 21"/>
    <w:basedOn w:val="694"/>
    <w:link w:val="896"/>
    <w:uiPriority w:val="0"/>
    <w:qFormat/>
    <w:pPr>
      <w:jc w:val="center"/>
      <w:widowControl/>
    </w:pPr>
    <w:rPr>
      <w:rFonts w:ascii="楷体_GB2312" w:hAnsi="Times New Roman" w:eastAsia="楷体_GB2312" w:cs="Times New Roman"/>
      <w:sz w:val="28"/>
      <w:szCs w:val="28"/>
    </w:rPr>
  </w:style>
  <w:style w:type="character" w:styleId="898" w:customStyle="1">
    <w:name w:val="已访问的超链接1"/>
    <w:link w:val="694"/>
    <w:uiPriority w:val="0"/>
    <w:rPr>
      <w:color w:val="800080"/>
      <w:u w:val="single"/>
    </w:rPr>
  </w:style>
  <w:style w:type="character" w:styleId="899" w:customStyle="1">
    <w:name w:val="标题 4 字符"/>
    <w:link w:val="879"/>
    <w:uiPriority w:val="0"/>
    <w:qFormat/>
    <w:rPr>
      <w:rFonts w:ascii="Arial" w:hAnsi="Arial" w:eastAsia="黑体" w:cs="Arial"/>
      <w:b/>
      <w:bCs/>
      <w:sz w:val="28"/>
      <w:szCs w:val="28"/>
    </w:rPr>
  </w:style>
  <w:style w:type="character" w:styleId="900" w:customStyle="1">
    <w:name w:val="页眉 字符"/>
    <w:link w:val="901"/>
    <w:uiPriority w:val="0"/>
    <w:rPr>
      <w:rFonts w:ascii="Times New Roman" w:hAnsi="Times New Roman" w:eastAsia="宋体" w:cs="Times New Roman"/>
      <w:sz w:val="18"/>
      <w:szCs w:val="18"/>
    </w:rPr>
  </w:style>
  <w:style w:type="paragraph" w:styleId="901" w:customStyle="1">
    <w:name w:val="页眉1"/>
    <w:basedOn w:val="694"/>
    <w:link w:val="90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02" w:customStyle="1">
    <w:name w:val="页脚 字符"/>
    <w:link w:val="903"/>
    <w:uiPriority w:val="0"/>
    <w:rPr>
      <w:rFonts w:ascii="Times New Roman" w:hAnsi="Times New Roman" w:eastAsia="宋体" w:cs="Times New Roman"/>
      <w:sz w:val="18"/>
      <w:szCs w:val="18"/>
    </w:rPr>
  </w:style>
  <w:style w:type="paragraph" w:styleId="903" w:customStyle="1">
    <w:name w:val="页脚1"/>
    <w:basedOn w:val="694"/>
    <w:link w:val="902"/>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04" w:customStyle="1">
    <w:name w:val="正文文本缩进 3 字符"/>
    <w:link w:val="905"/>
    <w:uiPriority w:val="0"/>
    <w:rPr>
      <w:rFonts w:ascii="Arial" w:hAnsi="Arial" w:eastAsia="仿宋_GB2312" w:cs="Arial"/>
      <w:color w:val="ffff00"/>
      <w:sz w:val="32"/>
      <w:szCs w:val="32"/>
    </w:rPr>
  </w:style>
  <w:style w:type="paragraph" w:styleId="905" w:customStyle="1">
    <w:name w:val="正文文本缩进 31"/>
    <w:basedOn w:val="694"/>
    <w:link w:val="904"/>
    <w:uiPriority w:val="0"/>
    <w:qFormat/>
    <w:pPr>
      <w:ind w:left="645" w:firstLine="645"/>
    </w:pPr>
    <w:rPr>
      <w:rFonts w:ascii="Arial" w:hAnsi="Arial" w:eastAsia="仿宋_GB2312" w:cs="Arial"/>
      <w:color w:val="ffff00"/>
      <w:sz w:val="32"/>
      <w:szCs w:val="32"/>
    </w:rPr>
  </w:style>
  <w:style w:type="character" w:styleId="906" w:customStyle="1">
    <w:name w:val="纯文本 字符"/>
    <w:link w:val="907"/>
    <w:uiPriority w:val="0"/>
    <w:qFormat/>
    <w:rPr>
      <w:rFonts w:ascii="宋体" w:hAnsi="Courier New" w:eastAsia="宋体" w:cs="Courier New"/>
      <w:szCs w:val="21"/>
    </w:rPr>
  </w:style>
  <w:style w:type="paragraph" w:styleId="907" w:customStyle="1">
    <w:name w:val="纯文本1"/>
    <w:basedOn w:val="694"/>
    <w:next w:val="879"/>
    <w:link w:val="906"/>
    <w:uiPriority w:val="0"/>
    <w:rPr>
      <w:rFonts w:ascii="宋体" w:hAnsi="Courier New" w:eastAsia="宋体" w:cs="Courier New"/>
      <w:szCs w:val="21"/>
    </w:rPr>
  </w:style>
  <w:style w:type="character" w:styleId="908" w:customStyle="1">
    <w:name w:val="标题 3 字符"/>
    <w:link w:val="878"/>
    <w:uiPriority w:val="0"/>
    <w:rPr>
      <w:rFonts w:ascii="Times New Roman" w:hAnsi="Times New Roman" w:eastAsia="宋体" w:cs="Times New Roman"/>
      <w:b/>
      <w:bCs/>
      <w:sz w:val="32"/>
      <w:szCs w:val="32"/>
    </w:rPr>
  </w:style>
  <w:style w:type="character" w:styleId="909" w:customStyle="1">
    <w:name w:val="正文文本 3 字符"/>
    <w:link w:val="910"/>
    <w:uiPriority w:val="0"/>
    <w:rPr>
      <w:rFonts w:ascii="仿宋_GB2312" w:hAnsi="Arial" w:eastAsia="仿宋_GB2312" w:cs="Times New Roman"/>
      <w:sz w:val="32"/>
      <w:szCs w:val="32"/>
    </w:rPr>
  </w:style>
  <w:style w:type="paragraph" w:styleId="910" w:customStyle="1">
    <w:name w:val="正文文本 31"/>
    <w:basedOn w:val="694"/>
    <w:link w:val="909"/>
    <w:uiPriority w:val="0"/>
    <w:rPr>
      <w:rFonts w:ascii="仿宋_GB2312" w:hAnsi="Arial" w:eastAsia="仿宋_GB2312" w:cs="Times New Roman"/>
      <w:sz w:val="32"/>
      <w:szCs w:val="32"/>
    </w:rPr>
  </w:style>
  <w:style w:type="character" w:styleId="911" w:customStyle="1">
    <w:name w:val="批注引用1"/>
    <w:link w:val="694"/>
    <w:uiPriority w:val="0"/>
    <w:semiHidden/>
    <w:rPr>
      <w:sz w:val="21"/>
      <w:szCs w:val="21"/>
    </w:rPr>
  </w:style>
  <w:style w:type="character" w:styleId="912" w:customStyle="1">
    <w:name w:val="正文缩进 字符"/>
    <w:link w:val="877"/>
    <w:uiPriority w:val="0"/>
    <w:rPr>
      <w:szCs w:val="21"/>
    </w:rPr>
  </w:style>
  <w:style w:type="character" w:styleId="913" w:customStyle="1">
    <w:name w:val="标题 8 字符"/>
    <w:link w:val="883"/>
    <w:uiPriority w:val="0"/>
    <w:rPr>
      <w:rFonts w:ascii="Arial" w:hAnsi="Arial" w:eastAsia="黑体" w:cs="Times New Roman"/>
      <w:sz w:val="24"/>
      <w:szCs w:val="24"/>
    </w:rPr>
  </w:style>
  <w:style w:type="character" w:styleId="914" w:customStyle="1">
    <w:name w:val="标题 2 字符"/>
    <w:link w:val="876"/>
    <w:uiPriority w:val="0"/>
    <w:qFormat/>
    <w:rPr>
      <w:rFonts w:ascii="Arial" w:hAnsi="Arial" w:eastAsia="幼圆" w:cs="Arial"/>
      <w:b/>
      <w:bCs/>
      <w:sz w:val="44"/>
      <w:szCs w:val="44"/>
    </w:rPr>
  </w:style>
  <w:style w:type="character" w:styleId="915" w:customStyle="1">
    <w:name w:val="二级目录 Char"/>
    <w:link w:val="916"/>
    <w:uiPriority w:val="0"/>
    <w:rPr>
      <w:b/>
      <w:sz w:val="30"/>
      <w:szCs w:val="28"/>
    </w:rPr>
  </w:style>
  <w:style w:type="paragraph" w:styleId="916" w:customStyle="1">
    <w:name w:val="二级目录"/>
    <w:next w:val="694"/>
    <w:link w:val="915"/>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17" w:customStyle="1">
    <w:name w:val="标题 7 字符"/>
    <w:link w:val="882"/>
    <w:uiPriority w:val="0"/>
    <w:rPr>
      <w:rFonts w:ascii="Times New Roman" w:hAnsi="Times New Roman" w:eastAsia="宋体" w:cs="Times New Roman"/>
      <w:b/>
      <w:bCs/>
      <w:sz w:val="24"/>
      <w:szCs w:val="24"/>
    </w:rPr>
  </w:style>
  <w:style w:type="character" w:styleId="918" w:customStyle="1">
    <w:name w:val="文档结构图 字符"/>
    <w:link w:val="919"/>
    <w:uiPriority w:val="0"/>
    <w:semiHidden/>
    <w:rPr>
      <w:rFonts w:ascii="Times New Roman" w:hAnsi="Times New Roman" w:eastAsia="宋体" w:cs="Times New Roman"/>
      <w:szCs w:val="21"/>
      <w:shd w:val="clear" w:color="auto" w:fill="000080"/>
    </w:rPr>
  </w:style>
  <w:style w:type="paragraph" w:styleId="919" w:customStyle="1">
    <w:name w:val="文档结构图1"/>
    <w:basedOn w:val="694"/>
    <w:link w:val="918"/>
    <w:uiPriority w:val="0"/>
    <w:semiHidden/>
    <w:pPr>
      <w:shd w:val="clear" w:color="auto" w:fill="000080"/>
    </w:pPr>
    <w:rPr>
      <w:rFonts w:ascii="Times New Roman" w:hAnsi="Times New Roman" w:eastAsia="宋体" w:cs="Times New Roman"/>
      <w:szCs w:val="21"/>
    </w:rPr>
  </w:style>
  <w:style w:type="character" w:styleId="920" w:customStyle="1">
    <w:name w:val="font5 Char"/>
    <w:link w:val="694"/>
    <w:uiPriority w:val="0"/>
    <w:rPr>
      <w:rFonts w:ascii="宋体" w:hAnsi="宋体" w:eastAsia="宋体"/>
      <w:sz w:val="28"/>
      <w:szCs w:val="28"/>
      <w:lang w:val="en-US" w:eastAsia="zh-CN" w:bidi="ar-SA"/>
    </w:rPr>
  </w:style>
  <w:style w:type="character" w:styleId="921" w:customStyle="1">
    <w:name w:val="正文文本 字符"/>
    <w:link w:val="922"/>
    <w:uiPriority w:val="0"/>
    <w:rPr>
      <w:rFonts w:ascii="楷体_GB2312" w:hAnsi="Arial" w:eastAsia="楷体_GB2312" w:cs="Times New Roman"/>
      <w:sz w:val="28"/>
      <w:szCs w:val="28"/>
    </w:rPr>
  </w:style>
  <w:style w:type="paragraph" w:styleId="922" w:customStyle="1">
    <w:name w:val="正文文本1"/>
    <w:basedOn w:val="694"/>
    <w:link w:val="921"/>
    <w:uiPriority w:val="0"/>
    <w:rPr>
      <w:rFonts w:ascii="楷体_GB2312" w:hAnsi="Arial" w:eastAsia="楷体_GB2312" w:cs="Times New Roman"/>
      <w:sz w:val="28"/>
      <w:szCs w:val="28"/>
    </w:rPr>
  </w:style>
  <w:style w:type="character" w:styleId="923" w:customStyle="1">
    <w:name w:val="要点1"/>
    <w:link w:val="694"/>
    <w:uiPriority w:val="0"/>
    <w:qFormat/>
    <w:rPr>
      <w:b/>
      <w:bCs/>
    </w:rPr>
  </w:style>
  <w:style w:type="character" w:styleId="924" w:customStyle="1">
    <w:name w:val="正文文本缩进 2 字符"/>
    <w:link w:val="925"/>
    <w:uiPriority w:val="0"/>
    <w:rPr>
      <w:rFonts w:ascii="Arial" w:hAnsi="Arial" w:eastAsia="仿宋_GB2312" w:cs="Arial"/>
      <w:sz w:val="32"/>
      <w:szCs w:val="32"/>
    </w:rPr>
  </w:style>
  <w:style w:type="paragraph" w:styleId="925" w:customStyle="1">
    <w:name w:val="正文文本缩进 21"/>
    <w:basedOn w:val="694"/>
    <w:link w:val="924"/>
    <w:uiPriority w:val="0"/>
    <w:pPr>
      <w:ind w:left="630" w:firstLine="645"/>
    </w:pPr>
    <w:rPr>
      <w:rFonts w:ascii="Arial" w:hAnsi="Arial" w:eastAsia="仿宋_GB2312" w:cs="Arial"/>
      <w:sz w:val="32"/>
      <w:szCs w:val="32"/>
    </w:rPr>
  </w:style>
  <w:style w:type="character" w:styleId="926" w:customStyle="1">
    <w:name w:val="标题 5 字符"/>
    <w:link w:val="880"/>
    <w:uiPriority w:val="0"/>
    <w:rPr>
      <w:rFonts w:ascii="宋体" w:hAnsi="Times New Roman" w:eastAsia="宋体" w:cs="Times New Roman"/>
      <w:color w:val="000000"/>
      <w:sz w:val="28"/>
      <w:szCs w:val="28"/>
    </w:rPr>
  </w:style>
  <w:style w:type="character" w:styleId="927" w:customStyle="1">
    <w:name w:val="标题 9 字符"/>
    <w:link w:val="884"/>
    <w:uiPriority w:val="0"/>
    <w:rPr>
      <w:rFonts w:ascii="Arial" w:hAnsi="Arial" w:eastAsia="黑体" w:cs="Times New Roman"/>
      <w:szCs w:val="21"/>
    </w:rPr>
  </w:style>
  <w:style w:type="character" w:styleId="928" w:customStyle="1">
    <w:name w:val="批注文字 字符"/>
    <w:link w:val="929"/>
    <w:uiPriority w:val="99"/>
    <w:semiHidden/>
  </w:style>
  <w:style w:type="paragraph" w:styleId="929" w:customStyle="1">
    <w:name w:val="批注文字1"/>
    <w:basedOn w:val="694"/>
    <w:link w:val="928"/>
    <w:uiPriority w:val="0"/>
    <w:unhideWhenUsed/>
    <w:pPr>
      <w:jc w:val="left"/>
    </w:pPr>
  </w:style>
  <w:style w:type="character" w:styleId="930" w:customStyle="1">
    <w:name w:val="正文文本缩进 字符"/>
    <w:link w:val="895"/>
    <w:uiPriority w:val="99"/>
    <w:semiHidden/>
  </w:style>
  <w:style w:type="character" w:styleId="931" w:customStyle="1">
    <w:name w:val="批注框文本 字符"/>
    <w:link w:val="932"/>
    <w:uiPriority w:val="0"/>
    <w:semiHidden/>
    <w:rPr>
      <w:rFonts w:ascii="Times New Roman" w:hAnsi="Times New Roman" w:eastAsia="宋体" w:cs="Times New Roman"/>
      <w:sz w:val="18"/>
      <w:szCs w:val="18"/>
    </w:rPr>
  </w:style>
  <w:style w:type="paragraph" w:styleId="932" w:customStyle="1">
    <w:name w:val="批注框文本1"/>
    <w:basedOn w:val="694"/>
    <w:link w:val="931"/>
    <w:uiPriority w:val="0"/>
    <w:semiHidden/>
    <w:rPr>
      <w:rFonts w:ascii="Times New Roman" w:hAnsi="Times New Roman" w:eastAsia="宋体" w:cs="Times New Roman"/>
      <w:sz w:val="18"/>
      <w:szCs w:val="18"/>
    </w:rPr>
  </w:style>
  <w:style w:type="character" w:styleId="933" w:customStyle="1">
    <w:name w:val="批注主题 字符"/>
    <w:link w:val="934"/>
    <w:uiPriority w:val="0"/>
    <w:semiHidden/>
    <w:rPr>
      <w:rFonts w:ascii="Times New Roman" w:hAnsi="Times New Roman" w:eastAsia="宋体" w:cs="Times New Roman"/>
      <w:b/>
      <w:bCs/>
      <w:szCs w:val="21"/>
    </w:rPr>
  </w:style>
  <w:style w:type="paragraph" w:styleId="934" w:customStyle="1">
    <w:name w:val="批注主题1"/>
    <w:basedOn w:val="929"/>
    <w:next w:val="929"/>
    <w:link w:val="933"/>
    <w:uiPriority w:val="0"/>
    <w:semiHidden/>
    <w:rPr>
      <w:rFonts w:ascii="Times New Roman" w:hAnsi="Times New Roman" w:eastAsia="宋体" w:cs="Times New Roman"/>
      <w:b/>
      <w:bCs/>
      <w:szCs w:val="21"/>
    </w:rPr>
  </w:style>
  <w:style w:type="character" w:styleId="935" w:customStyle="1">
    <w:name w:val="正文首行缩进 字符"/>
    <w:link w:val="936"/>
    <w:uiPriority w:val="0"/>
    <w:rPr>
      <w:rFonts w:ascii="仿宋_GB2312" w:hAnsi="Times New Roman" w:eastAsia="仿宋_GB2312" w:cs="Times New Roman"/>
      <w:sz w:val="30"/>
      <w:szCs w:val="30"/>
    </w:rPr>
  </w:style>
  <w:style w:type="paragraph" w:styleId="936" w:customStyle="1">
    <w:name w:val="正文首行缩进1"/>
    <w:basedOn w:val="694"/>
    <w:link w:val="935"/>
    <w:uiPriority w:val="0"/>
    <w:pPr>
      <w:ind w:firstLine="200"/>
      <w:spacing w:line="360" w:lineRule="auto"/>
    </w:pPr>
    <w:rPr>
      <w:rFonts w:ascii="仿宋_GB2312" w:hAnsi="Times New Roman" w:eastAsia="仿宋_GB2312" w:cs="Times New Roman"/>
      <w:sz w:val="30"/>
      <w:szCs w:val="30"/>
    </w:rPr>
  </w:style>
  <w:style w:type="character" w:styleId="937" w:customStyle="1">
    <w:name w:val="列出段落 Char"/>
    <w:link w:val="938"/>
    <w:uiPriority w:val="0"/>
    <w:rPr>
      <w:rFonts w:ascii="Calibri" w:hAnsi="Calibri"/>
      <w:sz w:val="24"/>
      <w:szCs w:val="24"/>
      <w:lang w:eastAsia="en-US" w:bidi="en-US"/>
    </w:rPr>
  </w:style>
  <w:style w:type="paragraph" w:styleId="938" w:customStyle="1">
    <w:name w:val="列出段落1"/>
    <w:basedOn w:val="694"/>
    <w:link w:val="937"/>
    <w:uiPriority w:val="0"/>
    <w:qFormat/>
    <w:pPr>
      <w:contextualSpacing/>
      <w:ind w:left="720"/>
      <w:jc w:val="left"/>
      <w:widowControl/>
    </w:pPr>
    <w:rPr>
      <w:rFonts w:ascii="Calibri" w:hAnsi="Calibri"/>
      <w:sz w:val="24"/>
      <w:szCs w:val="24"/>
      <w:lang w:eastAsia="en-US" w:bidi="en-US"/>
    </w:rPr>
  </w:style>
  <w:style w:type="paragraph" w:styleId="939" w:customStyle="1">
    <w:name w:val="标题1"/>
    <w:basedOn w:val="694"/>
    <w:next w:val="694"/>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40" w:customStyle="1">
    <w:name w:val="列出段落"/>
    <w:basedOn w:val="694"/>
    <w:uiPriority w:val="0"/>
    <w:qFormat/>
    <w:pPr>
      <w:contextualSpacing/>
      <w:ind w:left="720"/>
      <w:jc w:val="left"/>
      <w:widowControl/>
    </w:pPr>
    <w:rPr>
      <w:rFonts w:ascii="Calibri" w:hAnsi="Calibri" w:eastAsia="宋体" w:cs="Times New Roman"/>
      <w:sz w:val="24"/>
      <w:szCs w:val="24"/>
      <w:lang w:eastAsia="en-US" w:bidi="en-US"/>
    </w:rPr>
  </w:style>
  <w:style w:type="paragraph" w:styleId="941" w:customStyle="1">
    <w:name w:val="列表 21"/>
    <w:basedOn w:val="694"/>
    <w:uiPriority w:val="0"/>
    <w:pPr>
      <w:ind w:left="100" w:hanging="200"/>
    </w:pPr>
    <w:rPr>
      <w:rFonts w:ascii="Times New Roman" w:hAnsi="Times New Roman" w:eastAsia="宋体" w:cs="Times New Roman"/>
      <w:szCs w:val="21"/>
    </w:rPr>
  </w:style>
  <w:style w:type="paragraph" w:styleId="942" w:customStyle="1">
    <w:name w:val="xl27"/>
    <w:basedOn w:val="69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3" w:customStyle="1">
    <w:name w:val="标题3"/>
    <w:basedOn w:val="694"/>
    <w:next w:val="694"/>
    <w:uiPriority w:val="0"/>
    <w:qFormat/>
    <w:pPr>
      <w:ind w:firstLine="624"/>
      <w:spacing w:line="590" w:lineRule="atLeast"/>
    </w:pPr>
    <w:rPr>
      <w:rFonts w:ascii="方正黑体_GBK" w:hAnsi="Times New Roman" w:eastAsia="方正黑体_GBK" w:cs="Times New Roman"/>
      <w:sz w:val="32"/>
      <w:szCs w:val="32"/>
    </w:rPr>
  </w:style>
  <w:style w:type="paragraph" w:styleId="944"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5" w:customStyle="1">
    <w:name w:val="Char Char Char Char"/>
    <w:basedOn w:val="919"/>
    <w:uiPriority w:val="0"/>
    <w:qFormat/>
    <w:pPr>
      <w:spacing w:line="360" w:lineRule="auto"/>
    </w:pPr>
    <w:rPr>
      <w:rFonts w:ascii="Tahoma" w:hAnsi="Tahoma"/>
      <w:sz w:val="24"/>
      <w:szCs w:val="24"/>
    </w:rPr>
  </w:style>
  <w:style w:type="paragraph" w:styleId="946" w:customStyle="1">
    <w:name w:val="目录 31"/>
    <w:basedOn w:val="694"/>
    <w:next w:val="694"/>
    <w:uiPriority w:val="0"/>
    <w:semiHidden/>
    <w:pPr>
      <w:ind w:left="420"/>
      <w:jc w:val="left"/>
    </w:pPr>
    <w:rPr>
      <w:rFonts w:ascii="Times New Roman" w:hAnsi="Times New Roman" w:eastAsia="宋体" w:cs="Times New Roman"/>
      <w:i/>
      <w:iCs/>
      <w:szCs w:val="24"/>
    </w:rPr>
  </w:style>
  <w:style w:type="paragraph" w:styleId="947" w:customStyle="1">
    <w:name w:val="Char"/>
    <w:basedOn w:val="694"/>
    <w:uiPriority w:val="0"/>
    <w:pPr>
      <w:ind w:firstLine="200"/>
      <w:tabs>
        <w:tab w:val="left" w:pos="360" w:leader="none"/>
      </w:tabs>
    </w:pPr>
    <w:rPr>
      <w:rFonts w:ascii="Times New Roman" w:hAnsi="Times New Roman" w:eastAsia="宋体" w:cs="Times New Roman"/>
      <w:sz w:val="28"/>
      <w:szCs w:val="30"/>
    </w:rPr>
  </w:style>
  <w:style w:type="paragraph" w:styleId="948" w:customStyle="1">
    <w:name w:val="目录 41"/>
    <w:basedOn w:val="694"/>
    <w:next w:val="694"/>
    <w:uiPriority w:val="0"/>
    <w:semiHidden/>
    <w:pPr>
      <w:ind w:left="630"/>
      <w:jc w:val="left"/>
    </w:pPr>
    <w:rPr>
      <w:rFonts w:ascii="Times New Roman" w:hAnsi="Times New Roman" w:eastAsia="宋体" w:cs="Times New Roman"/>
      <w:szCs w:val="21"/>
    </w:rPr>
  </w:style>
  <w:style w:type="paragraph" w:styleId="949" w:customStyle="1">
    <w:name w:val="xl29"/>
    <w:basedOn w:val="694"/>
    <w:uiPriority w:val="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50" w:customStyle="1">
    <w:name w:val="xl25"/>
    <w:basedOn w:val="694"/>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1" w:customStyle="1">
    <w:name w:val="xl24"/>
    <w:basedOn w:val="69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2" w:customStyle="1">
    <w:name w:val="Body Text(ch)"/>
    <w:basedOn w:val="694"/>
    <w:next w:val="922"/>
    <w:uiPriority w:val="0"/>
    <w:pPr>
      <w:spacing w:after="120"/>
    </w:pPr>
    <w:rPr>
      <w:rFonts w:ascii="宋体" w:hAnsi="Arial" w:eastAsia="宋体" w:cs="Times New Roman"/>
      <w:bCs/>
      <w:iCs/>
      <w:szCs w:val="24"/>
    </w:rPr>
  </w:style>
  <w:style w:type="paragraph" w:styleId="953" w:customStyle="1">
    <w:name w:val="目录 51"/>
    <w:basedOn w:val="694"/>
    <w:next w:val="694"/>
    <w:uiPriority w:val="0"/>
    <w:semiHidden/>
    <w:pPr>
      <w:ind w:left="840"/>
      <w:jc w:val="left"/>
    </w:pPr>
    <w:rPr>
      <w:rFonts w:ascii="Times New Roman" w:hAnsi="Times New Roman" w:eastAsia="宋体" w:cs="Times New Roman"/>
      <w:szCs w:val="21"/>
    </w:rPr>
  </w:style>
  <w:style w:type="paragraph" w:styleId="954" w:customStyle="1">
    <w:name w:val="标题 21"/>
    <w:basedOn w:val="694"/>
    <w:next w:val="694"/>
    <w:uiPriority w:val="0"/>
    <w:qFormat/>
    <w:pPr>
      <w:ind w:left="-15" w:right="-143" w:hanging="31"/>
      <w:jc w:val="center"/>
      <w:keepLines/>
      <w:keepNext/>
      <w:spacing w:before="260" w:after="260" w:line="416" w:lineRule="auto"/>
      <w:outlineLvl w:val="1"/>
    </w:pPr>
    <w:rPr>
      <w:rFonts w:ascii="Arial" w:hAnsi="Arial" w:eastAsia="幼圆" w:cs="Arial"/>
      <w:b/>
      <w:bCs/>
      <w:sz w:val="44"/>
      <w:szCs w:val="44"/>
    </w:rPr>
  </w:style>
  <w:style w:type="paragraph" w:styleId="955" w:customStyle="1">
    <w:name w:val="目录 71"/>
    <w:basedOn w:val="694"/>
    <w:next w:val="694"/>
    <w:uiPriority w:val="0"/>
    <w:semiHidden/>
    <w:pPr>
      <w:ind w:left="1260"/>
      <w:jc w:val="left"/>
    </w:pPr>
    <w:rPr>
      <w:rFonts w:ascii="Times New Roman" w:hAnsi="Times New Roman" w:eastAsia="宋体" w:cs="Times New Roman"/>
      <w:szCs w:val="21"/>
    </w:rPr>
  </w:style>
  <w:style w:type="paragraph" w:styleId="956" w:customStyle="1">
    <w:name w:val="Char Char Char Char Char Char Char Char"/>
    <w:basedOn w:val="694"/>
    <w:uiPriority w:val="0"/>
    <w:pPr>
      <w:jc w:val="left"/>
      <w:spacing w:after="160" w:line="240" w:lineRule="exact"/>
      <w:widowControl/>
    </w:pPr>
    <w:rPr>
      <w:rFonts w:ascii="Verdana" w:hAnsi="Verdana" w:eastAsia="宋体" w:cs="Times New Roman"/>
      <w:sz w:val="20"/>
      <w:szCs w:val="20"/>
      <w:lang w:eastAsia="en-US"/>
    </w:rPr>
  </w:style>
  <w:style w:type="paragraph" w:styleId="957" w:customStyle="1">
    <w:name w:val="目录 91"/>
    <w:basedOn w:val="694"/>
    <w:next w:val="694"/>
    <w:uiPriority w:val="0"/>
    <w:semiHidden/>
    <w:pPr>
      <w:ind w:left="1680"/>
      <w:jc w:val="left"/>
    </w:pPr>
    <w:rPr>
      <w:rFonts w:ascii="Times New Roman" w:hAnsi="Times New Roman" w:eastAsia="宋体" w:cs="Times New Roman"/>
      <w:szCs w:val="21"/>
    </w:rPr>
  </w:style>
  <w:style w:type="paragraph" w:styleId="958" w:customStyle="1">
    <w:name w:val="普通正文"/>
    <w:basedOn w:val="694"/>
    <w:uiPriority w:val="0"/>
    <w:qFormat/>
    <w:pPr>
      <w:ind w:firstLine="480"/>
      <w:jc w:val="left"/>
      <w:spacing w:before="120" w:after="120" w:line="360" w:lineRule="auto"/>
    </w:pPr>
    <w:rPr>
      <w:rFonts w:ascii="Arial" w:hAnsi="Arial" w:eastAsia="宋体" w:cs="Times New Roman"/>
      <w:sz w:val="24"/>
      <w:szCs w:val="24"/>
    </w:rPr>
  </w:style>
  <w:style w:type="paragraph" w:styleId="959" w:customStyle="1">
    <w:name w:val="目录 11"/>
    <w:basedOn w:val="694"/>
    <w:next w:val="694"/>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0" w:customStyle="1">
    <w:name w:val="样式1"/>
    <w:basedOn w:val="694"/>
    <w:uiPriority w:val="0"/>
    <w:pPr>
      <w:numPr>
        <w:ilvl w:val="0"/>
        <w:numId w:val="3"/>
      </w:numPr>
    </w:pPr>
    <w:rPr>
      <w:rFonts w:ascii="宋体" w:hAnsi="宋体" w:eastAsia="宋体" w:cs="Times New Roman"/>
      <w:szCs w:val="21"/>
    </w:rPr>
  </w:style>
  <w:style w:type="paragraph" w:styleId="961" w:customStyle="1">
    <w:name w:val="font6"/>
    <w:basedOn w:val="694"/>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962" w:customStyle="1">
    <w:name w:val="列表 31"/>
    <w:basedOn w:val="694"/>
    <w:uiPriority w:val="0"/>
    <w:pPr>
      <w:ind w:left="100" w:hanging="200"/>
    </w:pPr>
    <w:rPr>
      <w:rFonts w:ascii="Times New Roman" w:hAnsi="Times New Roman" w:eastAsia="宋体" w:cs="Times New Roman"/>
      <w:szCs w:val="21"/>
    </w:rPr>
  </w:style>
  <w:style w:type="paragraph" w:styleId="963" w:customStyle="1">
    <w:name w:val="普通 (Web)"/>
    <w:basedOn w:val="694"/>
    <w:uiPriority w:val="0"/>
    <w:qFormat/>
    <w:pPr>
      <w:jc w:val="left"/>
      <w:spacing w:before="100" w:beforeAutospacing="1" w:after="100" w:afterAutospacing="1"/>
      <w:widowControl/>
    </w:pPr>
    <w:rPr>
      <w:rFonts w:ascii="宋体" w:hAnsi="宋体" w:eastAsia="宋体" w:cs="Times New Roman"/>
      <w:sz w:val="24"/>
      <w:szCs w:val="24"/>
    </w:rPr>
  </w:style>
  <w:style w:type="paragraph" w:styleId="964" w:customStyle="1">
    <w:name w:val=" Char"/>
    <w:basedOn w:val="919"/>
    <w:uiPriority w:val="0"/>
    <w:rPr>
      <w:rFonts w:ascii="Tahoma" w:hAnsi="Tahoma"/>
      <w:sz w:val="24"/>
      <w:szCs w:val="24"/>
    </w:rPr>
  </w:style>
  <w:style w:type="paragraph" w:styleId="965" w:customStyle="1">
    <w:name w:val="4"/>
    <w:basedOn w:val="694"/>
    <w:next w:val="905"/>
    <w:uiPriority w:val="0"/>
    <w:pPr>
      <w:ind w:firstLine="420"/>
      <w:spacing w:line="360" w:lineRule="auto"/>
    </w:pPr>
    <w:rPr>
      <w:rFonts w:ascii="Times New Roman" w:hAnsi="Times New Roman" w:eastAsia="宋体" w:cs="Times New Roman"/>
      <w:color w:val="ff0000"/>
      <w:sz w:val="24"/>
      <w:szCs w:val="24"/>
    </w:rPr>
  </w:style>
  <w:style w:type="paragraph" w:styleId="966" w:customStyle="1">
    <w:name w:val="xl26"/>
    <w:basedOn w:val="69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customStyle="1">
    <w:name w:val="xl28"/>
    <w:basedOn w:val="694"/>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8" w:customStyle="1">
    <w:name w:val="普通(网站)1"/>
    <w:basedOn w:val="694"/>
    <w:uiPriority w:val="99"/>
    <w:pPr>
      <w:jc w:val="left"/>
      <w:spacing w:before="100" w:beforeAutospacing="1" w:after="100" w:afterAutospacing="1"/>
      <w:widowControl/>
    </w:pPr>
    <w:rPr>
      <w:rFonts w:ascii="宋体" w:hAnsi="宋体" w:eastAsia="宋体" w:cs="宋体"/>
      <w:sz w:val="24"/>
      <w:szCs w:val="24"/>
    </w:rPr>
  </w:style>
  <w:style w:type="paragraph" w:styleId="969" w:customStyle="1">
    <w:name w:val="目录 21"/>
    <w:basedOn w:val="694"/>
    <w:next w:val="694"/>
    <w:uiPriority w:val="0"/>
    <w:semiHidden/>
    <w:pPr>
      <w:ind w:left="210"/>
      <w:jc w:val="left"/>
    </w:pPr>
    <w:rPr>
      <w:rFonts w:ascii="Times New Roman" w:hAnsi="Times New Roman" w:eastAsia="宋体" w:cs="Times New Roman"/>
      <w:smallCaps/>
      <w:szCs w:val="24"/>
    </w:rPr>
  </w:style>
  <w:style w:type="paragraph" w:styleId="970" w:customStyle="1">
    <w:name w:val=" Char Char Char Char Char Char Char Char"/>
    <w:basedOn w:val="694"/>
    <w:uiPriority w:val="0"/>
    <w:pPr>
      <w:jc w:val="left"/>
      <w:spacing w:after="160" w:line="240" w:lineRule="exact"/>
      <w:widowControl/>
    </w:pPr>
    <w:rPr>
      <w:rFonts w:ascii="Verdana" w:hAnsi="Verdana" w:eastAsia="宋体" w:cs="Times New Roman"/>
      <w:sz w:val="20"/>
      <w:szCs w:val="20"/>
      <w:lang w:eastAsia="en-US"/>
    </w:rPr>
  </w:style>
  <w:style w:type="paragraph" w:styleId="971" w:customStyle="1">
    <w:name w:val="目录 81"/>
    <w:basedOn w:val="694"/>
    <w:next w:val="694"/>
    <w:uiPriority w:val="0"/>
    <w:semiHidden/>
    <w:pPr>
      <w:ind w:left="1470"/>
      <w:jc w:val="left"/>
    </w:pPr>
    <w:rPr>
      <w:rFonts w:ascii="Times New Roman" w:hAnsi="Times New Roman" w:eastAsia="宋体" w:cs="Times New Roman"/>
      <w:szCs w:val="21"/>
    </w:rPr>
  </w:style>
  <w:style w:type="paragraph" w:styleId="972" w:customStyle="1">
    <w:name w:val="图表目录1"/>
    <w:basedOn w:val="694"/>
    <w:next w:val="694"/>
    <w:uiPriority w:val="0"/>
    <w:semiHidden/>
    <w:pPr>
      <w:ind w:left="840" w:hanging="420"/>
    </w:pPr>
    <w:rPr>
      <w:rFonts w:ascii="Times New Roman" w:hAnsi="Times New Roman" w:eastAsia="宋体" w:cs="Times New Roman"/>
      <w:szCs w:val="21"/>
    </w:rPr>
  </w:style>
  <w:style w:type="paragraph" w:styleId="973" w:customStyle="1">
    <w:name w:val="目录 61"/>
    <w:basedOn w:val="694"/>
    <w:next w:val="694"/>
    <w:uiPriority w:val="0"/>
    <w:semiHidden/>
    <w:pPr>
      <w:ind w:left="1050"/>
      <w:jc w:val="left"/>
    </w:pPr>
    <w:rPr>
      <w:rFonts w:ascii="Times New Roman" w:hAnsi="Times New Roman" w:eastAsia="宋体" w:cs="Times New Roman"/>
      <w:szCs w:val="21"/>
    </w:rPr>
  </w:style>
  <w:style w:type="paragraph" w:styleId="974" w:customStyle="1">
    <w:name w:val=" Char Char Char Char"/>
    <w:basedOn w:val="919"/>
    <w:uiPriority w:val="0"/>
    <w:pPr>
      <w:spacing w:line="360" w:lineRule="auto"/>
    </w:pPr>
    <w:rPr>
      <w:rFonts w:ascii="Tahoma" w:hAnsi="Tahoma"/>
      <w:sz w:val="24"/>
      <w:szCs w:val="24"/>
    </w:rPr>
  </w:style>
  <w:style w:type="paragraph" w:styleId="975" w:customStyle="1">
    <w:name w:val="索引 11"/>
    <w:basedOn w:val="694"/>
    <w:next w:val="694"/>
    <w:uiPriority w:val="0"/>
    <w:semiHidden/>
    <w:pPr>
      <w:spacing w:line="240" w:lineRule="atLeast"/>
    </w:pPr>
    <w:rPr>
      <w:rFonts w:ascii="Times New Roman" w:hAnsi="Times New Roman" w:eastAsia="宋体" w:cs="Times New Roman"/>
      <w:b/>
      <w:bCs/>
      <w:szCs w:val="21"/>
    </w:rPr>
  </w:style>
  <w:style w:type="paragraph" w:styleId="976" w:customStyle="1">
    <w:name w:val="font5"/>
    <w:basedOn w:val="694"/>
    <w:uiPriority w:val="0"/>
    <w:pPr>
      <w:jc w:val="left"/>
      <w:spacing w:before="100" w:beforeAutospacing="1" w:after="100" w:afterAutospacing="1"/>
      <w:widowControl/>
    </w:pPr>
    <w:rPr>
      <w:rFonts w:hint="eastAsia" w:ascii="宋体" w:hAnsi="宋体" w:eastAsia="宋体" w:cs="Times New Roman"/>
      <w:sz w:val="28"/>
      <w:szCs w:val="28"/>
    </w:rPr>
  </w:style>
  <w:style w:type="paragraph" w:styleId="977" w:customStyle="1">
    <w:name w:val="修订"/>
    <w:uiPriority w:val="99"/>
    <w:semiHidden/>
    <w:rPr>
      <w:rFonts w:hint="default" w:ascii="Times New Roman" w:hAnsi="Times New Roman" w:eastAsia="宋体" w:cs="Times New Roman"/>
      <w:sz w:val="21"/>
      <w:szCs w:val="21"/>
      <w:lang w:val="en-US" w:eastAsia="zh-CN" w:bidi="ar-SA"/>
    </w:rPr>
  </w:style>
  <w:style w:type="paragraph" w:styleId="978" w:customStyle="1">
    <w:name w:val="font7"/>
    <w:basedOn w:val="694"/>
    <w:uiPriority w:val="0"/>
    <w:pPr>
      <w:jc w:val="left"/>
      <w:spacing w:before="100" w:beforeAutospacing="1" w:after="100" w:afterAutospacing="1"/>
      <w:widowControl/>
    </w:pPr>
    <w:rPr>
      <w:rFonts w:hint="eastAsia" w:ascii="宋体" w:hAnsi="宋体" w:eastAsia="宋体" w:cs="Times New Roman"/>
      <w:sz w:val="18"/>
      <w:szCs w:val="18"/>
    </w:rPr>
  </w:style>
  <w:style w:type="paragraph" w:styleId="979" w:customStyle="1">
    <w:name w:val="table_lines"/>
    <w:basedOn w:val="694"/>
    <w:uiPriority w:val="0"/>
    <w:pPr>
      <w:jc w:val="left"/>
      <w:widowControl/>
    </w:pPr>
    <w:rPr>
      <w:rFonts w:ascii="Times New Roman" w:hAnsi="Times New Roman" w:eastAsia="宋体" w:cs="Times New Roman"/>
      <w:sz w:val="20"/>
      <w:szCs w:val="20"/>
      <w:lang w:val="de-DE" w:eastAsia="de-DE"/>
    </w:rPr>
  </w:style>
  <w:style w:type="paragraph" w:styleId="980" w:customStyle="1">
    <w:name w:val=" Char Char Char Char Char Char Char Char Char Char"/>
    <w:basedOn w:val="694"/>
    <w:uiPriority w:val="0"/>
    <w:pPr>
      <w:spacing w:line="360" w:lineRule="auto"/>
    </w:pPr>
    <w:rPr>
      <w:rFonts w:ascii="Times New Roman" w:hAnsi="Times New Roman" w:eastAsia="宋体" w:cs="Times New Roman"/>
      <w:sz w:val="24"/>
      <w:szCs w:val="20"/>
    </w:rPr>
  </w:style>
  <w:style w:type="paragraph" w:styleId="981" w:customStyle="1">
    <w:name w:val="图标"/>
    <w:basedOn w:val="694"/>
    <w:next w:val="694"/>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2" w:customStyle="1">
    <w:name w:val="列表1"/>
    <w:basedOn w:val="694"/>
    <w:uiPriority w:val="0"/>
    <w:qFormat/>
    <w:pPr>
      <w:ind w:left="200" w:hanging="200"/>
    </w:pPr>
    <w:rPr>
      <w:rFonts w:ascii="Times New Roman" w:hAnsi="Times New Roman" w:eastAsia="宋体" w:cs="Times New Roman"/>
      <w:szCs w:val="21"/>
    </w:rPr>
  </w:style>
  <w:style w:type="paragraph" w:styleId="98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4" w:customStyle="1">
    <w:name w:val="xl30"/>
    <w:basedOn w:val="69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5" w:customStyle="1">
    <w:name w:val="table_1stline"/>
    <w:basedOn w:val="694"/>
    <w:uiPriority w:val="0"/>
    <w:qFormat/>
    <w:pPr>
      <w:jc w:val="left"/>
      <w:spacing w:before="120"/>
      <w:widowControl/>
    </w:pPr>
    <w:rPr>
      <w:rFonts w:ascii="Times New Roman" w:hAnsi="Times New Roman" w:eastAsia="宋体" w:cs="Times New Roman"/>
      <w:bCs/>
      <w:sz w:val="20"/>
      <w:szCs w:val="20"/>
      <w:lang w:val="de-DE" w:eastAsia="de-DE"/>
    </w:rPr>
  </w:style>
  <w:style w:type="table" w:styleId="986" w:customStyle="1">
    <w:name w:val="网格型1"/>
    <w:basedOn w:val="886"/>
    <w:uiPriority w:val="59"/>
    <w:qFormat/>
    <w:pPr>
      <w:jc w:val="both"/>
      <w:widowControl w:val="off"/>
    </w:pPr>
    <w:rPr>
      <w:rFonts w:ascii="Times New Roman" w:hAnsi="Times New Roman" w:eastAsia="宋体" w:cs="Times New Roman"/>
      <w:sz w:val="20"/>
      <w:szCs w:val="20"/>
    </w:rPr>
    <w:tblPr/>
  </w:style>
  <w:style w:type="paragraph" w:styleId="987" w:customStyle="1">
    <w:name w:val="索引 41"/>
    <w:basedOn w:val="694"/>
    <w:next w:val="694"/>
    <w:uiPriority w:val="0"/>
    <w:qFormat/>
    <w:pPr>
      <w:ind w:left="600"/>
      <w:jc w:val="both"/>
    </w:pPr>
    <w:rPr>
      <w:rFonts w:ascii="Calibri" w:hAnsi="Calibri" w:cs="Times New Roman"/>
      <w:sz w:val="21"/>
    </w:rPr>
  </w:style>
  <w:style w:type="character" w:styleId="988" w:customStyle="1">
    <w:name w:val="default-defaultmode1"/>
    <w:basedOn w:val="704"/>
    <w:uiPriority w:val="0"/>
    <w:qFormat/>
  </w:style>
  <w:style w:type="numbering" w:styleId="84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姜涛</cp:lastModifiedBy>
  <cp:revision>15</cp:revision>
  <dcterms:created xsi:type="dcterms:W3CDTF">2023-03-27T07:28:00Z</dcterms:created>
  <dcterms:modified xsi:type="dcterms:W3CDTF">2026-09-16T06:39:52Z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eyJoZGlkIjoiZDZjN2Q0N2ViOWQ0ZGIwMTY3YjdmODQ1ZWIyZThmYjMiLCJ1c2VySWQiOiIxMzU0NDA5MjkzIn0=</vt:lpwstr>
  </property>
  <property fmtid="{D5CDD505-2E9C-101B-9397-08002B2CF9AE}" pid="3" name="KSOProductBuildVer">
    <vt:lpwstr>2052-12.1.0.28505</vt:lpwstr>
  </property>
  <property fmtid="{D5CDD505-2E9C-101B-9397-08002B2CF9AE}" pid="4" name="ICV">
    <vt:lpwstr>60468D5BA7A944C98EA6489E8E530A1A_12</vt:lpwstr>
  </property>
</Properties>
</file>