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ascii="Times New Roman" w:hAnsi="Times New Roman"/>
          <w:b/>
          <w:color w:val="auto"/>
          <w:sz w:val="48"/>
          <w:szCs w:val="48"/>
          <w:highlight w:val="none"/>
        </w:rPr>
      </w:pPr>
      <w:r>
        <w:rPr>
          <w:rFonts w:ascii="Times New Roman" w:hAnsi="Times New Roman"/>
          <w:b/>
          <w:color w:val="auto"/>
          <w:sz w:val="48"/>
          <w:szCs w:val="48"/>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 xml:space="preserve">竞争性磋商文件</w:t>
      </w:r>
      <w:r/>
    </w:p>
    <w:p>
      <w:pPr>
        <w:jc w:val="center"/>
        <w:spacing w:line="400" w:lineRule="exact"/>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       </w:t>
      </w:r>
      <w:r>
        <w:rPr>
          <w:rFonts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rPr>
        <w:t xml:space="preserve">如东黄金海岸山水林田湖草沙一体化保护和修复示范工程全过程监测监管与成效评估项目</w:t>
      </w:r>
      <w:r/>
    </w:p>
    <w:p>
      <w:pPr>
        <w:ind w:firstLine="1285"/>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t xml:space="preserve">项目编号：</w:t>
      </w:r>
      <w:r>
        <w:rPr>
          <w:rFonts w:hint="eastAsia" w:ascii="Times New Roman" w:hAnsi="Times New Roman"/>
          <w:b/>
          <w:bCs/>
          <w:color w:val="auto"/>
          <w:sz w:val="32"/>
          <w:szCs w:val="24"/>
          <w:highlight w:val="none"/>
        </w:rPr>
        <w:t xml:space="preserve">JSZC-320623-HSGL-C2026-0044 </w:t>
      </w:r>
      <w:r/>
    </w:p>
    <w:p>
      <w:pPr>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723"/>
        <w:jc w:val="center"/>
        <w:spacing w:before="120" w:after="120" w:line="400" w:lineRule="exact"/>
        <w:rPr>
          <w:rFonts w:ascii="宋体" w:hAnsi="宋体"/>
          <w:b/>
          <w:bCs/>
          <w:color w:val="auto"/>
          <w:sz w:val="36"/>
          <w:szCs w:val="36"/>
          <w:highlight w:val="none"/>
          <w:u w:val="single"/>
        </w:rPr>
      </w:pPr>
      <w:r>
        <w:rPr>
          <w:rFonts w:hint="eastAsia" w:ascii="宋体" w:hAnsi="宋体"/>
          <w:b/>
          <w:bCs/>
          <w:color w:val="auto"/>
          <w:sz w:val="36"/>
          <w:szCs w:val="36"/>
          <w:highlight w:val="none"/>
          <w:u w:val="single"/>
        </w:rPr>
        <w:t xml:space="preserve">如东县自然资源和规划局</w:t>
      </w:r>
      <w:r/>
    </w:p>
    <w:p>
      <w:pPr>
        <w:ind w:firstLine="643"/>
        <w:jc w:val="center"/>
        <w:spacing w:before="120" w:after="120" w:line="400" w:lineRule="exact"/>
        <w:rPr>
          <w:rFonts w:ascii="Times New Roman" w:hAnsi="Times New Roman"/>
          <w:b/>
          <w:bCs/>
          <w:color w:val="auto"/>
          <w:sz w:val="32"/>
          <w:szCs w:val="24"/>
          <w:highlight w:val="none"/>
        </w:rPr>
      </w:pPr>
      <w:r>
        <w:rPr>
          <w:rFonts w:ascii="Times New Roman" w:hAnsi="Times New Roman"/>
          <w:b/>
          <w:bCs/>
          <w:color w:val="auto"/>
          <w:sz w:val="32"/>
          <w:szCs w:val="24"/>
          <w:highlight w:val="none"/>
          <w:u w:val="single"/>
        </w:rPr>
        <w:t xml:space="preserve">202</w:t>
      </w:r>
      <w:r>
        <w:rPr>
          <w:rFonts w:hint="eastAsia" w:ascii="Times New Roman" w:hAnsi="Times New Roman"/>
          <w:b/>
          <w:bCs/>
          <w:color w:val="auto"/>
          <w:sz w:val="32"/>
          <w:szCs w:val="24"/>
          <w:highlight w:val="none"/>
          <w:u w:val="single"/>
        </w:rPr>
        <w:t xml:space="preserve">6</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u w:val="single"/>
        </w:rPr>
        <w:t xml:space="preserve">8</w:t>
      </w:r>
      <w:r>
        <w:rPr>
          <w:rFonts w:ascii="Times New Roman" w:hAnsi="Times New Roman"/>
          <w:b/>
          <w:bCs/>
          <w:color w:val="auto"/>
          <w:sz w:val="32"/>
          <w:szCs w:val="24"/>
          <w:highlight w:val="none"/>
        </w:rPr>
        <w:t xml:space="preserve">月</w:t>
      </w:r>
      <w:r/>
    </w:p>
    <w:p>
      <w:pPr>
        <w:ind w:firstLine="883"/>
        <w:jc w:val="center"/>
        <w:spacing w:line="400" w:lineRule="exact"/>
        <w:rPr>
          <w:rFonts w:ascii="Times New Roman" w:hAnsi="Times New Roman" w:eastAsia="黑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20823272"/>
      <w:r/>
      <w:bookmarkStart w:id="2" w:name="_Toc513029200"/>
      <w:r/>
      <w:bookmarkStart w:id="3" w:name="_Toc479757206"/>
      <w:r/>
      <w:bookmarkStart w:id="4" w:name="_Toc523127445"/>
      <w:r/>
      <w:bookmarkStart w:id="5" w:name="_Toc16938516"/>
      <w:r/>
      <w:r/>
    </w:p>
    <w:p>
      <w:pPr>
        <w:ind w:firstLine="723"/>
        <w:jc w:val="center"/>
        <w:spacing w:line="400" w:lineRule="exact"/>
        <w:rPr>
          <w:rFonts w:ascii="Times New Roman" w:hAnsi="Times New Roman" w:eastAsia="黑体"/>
          <w:b/>
          <w:color w:val="auto"/>
          <w:sz w:val="36"/>
          <w:szCs w:val="36"/>
          <w:highlight w:val="none"/>
        </w:rPr>
        <w:outlineLvl w:val="0"/>
      </w:pPr>
      <w:r>
        <w:rPr>
          <w:rFonts w:ascii="Times New Roman" w:hAnsi="Times New Roman" w:eastAsia="黑体"/>
          <w:b/>
          <w:color w:val="auto"/>
          <w:sz w:val="36"/>
          <w:szCs w:val="36"/>
          <w:highlight w:val="none"/>
        </w:rPr>
        <w:t xml:space="preserve">总目录</w:t>
      </w:r>
      <w:r/>
    </w:p>
    <w:p>
      <w:pPr>
        <w:ind w:firstLine="562"/>
        <w:spacing w:line="400" w:lineRule="exact"/>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ind w:left="0" w:firstLine="0"/>
        <w:rPr>
          <w:rFonts w:ascii="Times New Roman" w:hAnsi="Times New Roman" w:eastAsia="黑体"/>
          <w:color w:val="auto"/>
          <w:sz w:val="32"/>
          <w:szCs w:val="21"/>
          <w:highlight w:val="none"/>
        </w:rPr>
        <w:outlineLvl w:val="0"/>
      </w:pPr>
      <w:r>
        <w:rPr>
          <w:rFonts w:ascii="Times New Roman" w:hAnsi="Times New Roman" w:eastAsia="黑体"/>
          <w:color w:val="auto"/>
          <w:sz w:val="36"/>
          <w:szCs w:val="21"/>
          <w:highlight w:val="none"/>
        </w:rPr>
        <w:t xml:space="preserve">磋商邀请……………………………………1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供应商须知</w:t>
      </w:r>
      <w:r>
        <w:rPr>
          <w:rFonts w:ascii="Times New Roman" w:hAnsi="Times New Roman" w:eastAsia="黑体"/>
          <w:color w:val="auto"/>
          <w:sz w:val="36"/>
          <w:szCs w:val="36"/>
          <w:highlight w:val="none"/>
        </w:rPr>
        <w:t xml:space="preserve">…</w:t>
      </w:r>
      <w:r>
        <w:rPr>
          <w:rFonts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合同文本……………………………………1</w:t>
      </w:r>
      <w:r>
        <w:rPr>
          <w:rFonts w:hint="eastAsia" w:ascii="Times New Roman" w:hAnsi="Times New Roman" w:eastAsia="黑体"/>
          <w:color w:val="auto"/>
          <w:sz w:val="36"/>
          <w:szCs w:val="21"/>
          <w:highlight w:val="none"/>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rPr>
        <w:t xml:space="preserve">21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评审方法与评审标准</w:t>
      </w:r>
      <w:r>
        <w:rPr>
          <w:rFonts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rPr>
        <w:t xml:space="preserve">29</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spacing w:line="400" w:lineRule="exact"/>
        <w:rPr>
          <w:rFonts w:ascii="Times New Roman" w:hAnsi="Times New Roman"/>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auto"/>
          <w:szCs w:val="21"/>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第一章</w:t>
      </w:r>
      <w:bookmarkEnd w:id="0"/>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受</w:t>
      </w:r>
      <w:r>
        <w:rPr>
          <w:rFonts w:hint="eastAsia" w:ascii="Times New Roman" w:hAnsi="Times New Roman"/>
          <w:color w:val="auto"/>
          <w:sz w:val="24"/>
          <w:szCs w:val="24"/>
          <w:highlight w:val="none"/>
        </w:rPr>
        <w:t xml:space="preserve">如东县自然资源和规划局</w:t>
      </w:r>
      <w:r>
        <w:rPr>
          <w:rFonts w:ascii="Times New Roman" w:hAnsi="Times New Roman"/>
          <w:color w:val="auto"/>
          <w:sz w:val="24"/>
          <w:szCs w:val="24"/>
          <w:highlight w:val="none"/>
        </w:rPr>
        <w:t xml:space="preserve">的委托，</w:t>
      </w:r>
      <w:r>
        <w:rPr>
          <w:rFonts w:hint="eastAsia" w:ascii="Times New Roman" w:hAnsi="Times New Roman"/>
          <w:color w:val="auto"/>
          <w:sz w:val="24"/>
          <w:szCs w:val="24"/>
          <w:highlight w:val="none"/>
        </w:rPr>
        <w:t xml:space="preserve">江苏衡晟项目管理咨询有限公司</w:t>
      </w:r>
      <w:r>
        <w:rPr>
          <w:rFonts w:ascii="Times New Roman" w:hAnsi="Times New Roman"/>
          <w:color w:val="auto"/>
          <w:sz w:val="24"/>
          <w:szCs w:val="24"/>
          <w:highlight w:val="none"/>
        </w:rPr>
        <w:t xml:space="preserve">就</w:t>
      </w:r>
      <w:r>
        <w:rPr>
          <w:rFonts w:hint="eastAsia" w:ascii="Times New Roman" w:hAnsi="Times New Roman"/>
          <w:color w:val="auto"/>
          <w:sz w:val="24"/>
          <w:szCs w:val="24"/>
          <w:highlight w:val="none"/>
        </w:rPr>
        <w:t xml:space="preserve">如东黄金海岸山水林田湖草沙一体化保护和修复示范工程全过程监测监管与成效评估项目</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rPr>
        <w:t xml:space="preserve">：JSZC-320623-HSGL-C2026-0044 】</w:t>
      </w:r>
      <w:r>
        <w:rPr>
          <w:rFonts w:ascii="Times New Roman" w:hAnsi="Times New Roman"/>
          <w:color w:val="auto"/>
          <w:sz w:val="24"/>
          <w:szCs w:val="24"/>
          <w:highlight w:val="none"/>
        </w:rPr>
        <w:t xml:space="preserve">项目进行竞争性磋商采购，欢迎符合条件的供应商参加磋商。</w:t>
      </w:r>
      <w:r/>
    </w:p>
    <w:p>
      <w:pPr>
        <w:spacing w:line="400" w:lineRule="exact"/>
        <w:rPr>
          <w:rFonts w:ascii="Times New Roman" w:hAnsi="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ascii="Times New Roman" w:hAnsi="Times New Roman"/>
          <w:color w:val="auto"/>
          <w:sz w:val="24"/>
          <w:szCs w:val="24"/>
          <w:highlight w:val="none"/>
        </w:rPr>
        <w:t xml:space="preserve">项目概况</w:t>
      </w:r>
      <w:r/>
    </w:p>
    <w:p>
      <w:pPr>
        <w:ind w:firstLine="480"/>
        <w:spacing w:line="400" w:lineRule="exact"/>
        <w:rPr>
          <w:rFonts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sz w:val="24"/>
          <w:szCs w:val="24"/>
          <w:highlight w:val="none"/>
        </w:rPr>
        <w:t xml:space="preserve">如东黄金海岸山水林田湖草沙一体化保护和修复示范工程全过程监测监管与成效评估项目</w:t>
      </w:r>
      <w:r>
        <w:rPr>
          <w:rFonts w:ascii="Times New Roman" w:hAnsi="Times New Roman"/>
          <w:color w:val="auto"/>
          <w:sz w:val="24"/>
          <w:szCs w:val="24"/>
          <w:highlight w:val="none"/>
        </w:rPr>
        <w:t xml:space="preserve">的潜在供应商可在</w:t>
      </w:r>
      <w:r>
        <w:rPr>
          <w:rFonts w:ascii="Times New Roman" w:hAnsi="Times New Roman"/>
          <w:color w:val="auto"/>
          <w:sz w:val="24"/>
          <w:szCs w:val="24"/>
          <w:highlight w:val="none"/>
          <w:u w:val="single"/>
        </w:rPr>
        <w:t xml:space="preserve">“江苏政府采购网”自行免费下载</w:t>
      </w:r>
      <w:r>
        <w:rPr>
          <w:rFonts w:ascii="Times New Roman" w:hAnsi="Times New Roman"/>
          <w:color w:val="auto"/>
          <w:sz w:val="24"/>
          <w:szCs w:val="24"/>
          <w:highlight w:val="none"/>
        </w:rPr>
        <w:t xml:space="preserve">磋商文件，</w:t>
      </w:r>
      <w:r>
        <w:rPr>
          <w:rFonts w:ascii="Times New Roman" w:hAnsi="Times New Roman"/>
          <w:b/>
          <w:bCs/>
          <w:color w:val="auto"/>
          <w:sz w:val="24"/>
          <w:szCs w:val="24"/>
          <w:highlight w:val="none"/>
        </w:rPr>
        <w:t xml:space="preserve">并于</w:t>
      </w:r>
      <w:r>
        <w:rPr>
          <w:rFonts w:hint="eastAsia" w:ascii="Times New Roman" w:hAnsi="Times New Roman"/>
          <w:b/>
          <w:bCs/>
          <w:color w:val="auto"/>
          <w:sz w:val="24"/>
          <w:szCs w:val="24"/>
          <w:highlight w:val="none"/>
          <w:u w:val="single"/>
        </w:rPr>
        <w:t xml:space="preserve">2026年</w:t>
      </w:r>
      <w:r>
        <w:rPr>
          <w:rFonts w:hint="eastAsia" w:ascii="Times New Roman" w:hAnsi="Times New Roman"/>
          <w:b/>
          <w:bCs/>
          <w:color w:val="auto"/>
          <w:sz w:val="24"/>
          <w:szCs w:val="24"/>
          <w:highlight w:val="none"/>
          <w:u w:val="single"/>
          <w:lang w:val="en-US" w:eastAsia="zh-CN"/>
        </w:rPr>
        <w:t xml:space="preserve">9</w:t>
      </w:r>
      <w:r>
        <w:rPr>
          <w:rFonts w:hint="eastAsia" w:ascii="Times New Roman" w:hAnsi="Times New Roman"/>
          <w:b/>
          <w:bCs/>
          <w:color w:val="auto"/>
          <w:sz w:val="24"/>
          <w:szCs w:val="24"/>
          <w:highlight w:val="none"/>
          <w:u w:val="single"/>
        </w:rPr>
        <w:t xml:space="preserve">月</w:t>
      </w:r>
      <w:r>
        <w:rPr>
          <w:rFonts w:hint="eastAsia" w:ascii="Times New Roman" w:hAnsi="Times New Roman"/>
          <w:b/>
          <w:bCs/>
          <w:color w:val="auto"/>
          <w:sz w:val="24"/>
          <w:szCs w:val="24"/>
          <w:highlight w:val="none"/>
          <w:u w:val="single"/>
          <w:lang w:val="en-US" w:eastAsia="zh-CN"/>
        </w:rPr>
        <w:t xml:space="preserve">1</w:t>
      </w:r>
      <w:r>
        <w:rPr>
          <w:rFonts w:hint="eastAsia" w:ascii="Times New Roman" w:hAnsi="Times New Roman"/>
          <w:b/>
          <w:bCs/>
          <w:color w:val="auto"/>
          <w:sz w:val="24"/>
          <w:szCs w:val="24"/>
          <w:highlight w:val="none"/>
          <w:u w:val="single"/>
        </w:rPr>
        <w:t xml:space="preserve">日上午9时00分</w:t>
      </w:r>
      <w:r>
        <w:rPr>
          <w:rFonts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北京时间）前递交响应文件。</w:t>
      </w:r>
      <w:r>
        <w:rPr>
          <w:rFonts w:hint="eastAsia" w:ascii="Times New Roman" w:hAnsi="Times New Roman"/>
          <w:b/>
          <w:bCs/>
          <w:color w:val="auto"/>
          <w:sz w:val="24"/>
          <w:szCs w:val="24"/>
          <w:highlight w:val="none"/>
        </w:rPr>
        <w:t xml:space="preserve"> </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 w:name="_Toc38985263"/>
      <w:r/>
      <w:bookmarkStart w:id="7" w:name="_Toc35393790"/>
      <w:r/>
      <w:bookmarkStart w:id="8" w:name="_Toc28359079"/>
      <w:r/>
      <w:bookmarkStart w:id="9" w:name="_Toc28359002"/>
      <w:r/>
      <w:bookmarkStart w:id="10" w:name="_Toc35393621"/>
      <w:r/>
      <w:bookmarkStart w:id="11" w:name="_Hlk24379207"/>
      <w:r>
        <w:rPr>
          <w:rFonts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contextualSpacing/>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zh-CN"/>
        </w:rPr>
        <w:t xml:space="preserve">1.项目编号：JSZC-320623-HSGL-C2026-0044 </w:t>
      </w:r>
      <w:r>
        <w:rPr>
          <w:rFonts w:hint="eastAsia" w:ascii="Times New Roman" w:hAnsi="Times New Roman"/>
          <w:color w:val="auto"/>
          <w:sz w:val="24"/>
          <w:szCs w:val="24"/>
          <w:highlight w:val="none"/>
        </w:rPr>
        <w:t xml:space="preserve"> </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2.项目名称：</w:t>
      </w:r>
      <w:bookmarkEnd w:id="11"/>
      <w:r>
        <w:rPr>
          <w:rFonts w:hint="eastAsia" w:ascii="Times New Roman" w:hAnsi="Times New Roman"/>
          <w:color w:val="auto"/>
          <w:sz w:val="24"/>
          <w:szCs w:val="24"/>
          <w:highlight w:val="none"/>
        </w:rPr>
        <w:t xml:space="preserve">如东黄金海岸山水林田湖草沙一体化保护和修复示范工程全过程监测监管与成效评估项目</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3.项目类型：服务</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4.项目行业：</w:t>
      </w:r>
      <w:r>
        <w:rPr>
          <w:rFonts w:hint="eastAsia" w:ascii="Times New Roman" w:hAnsi="Times New Roman"/>
          <w:color w:val="auto"/>
          <w:sz w:val="24"/>
          <w:szCs w:val="24"/>
          <w:highlight w:val="none"/>
          <w:lang w:val="zh-CN"/>
        </w:rPr>
        <w:t xml:space="preserve">其他未列明行业</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Times New Roman"/>
          <w:color w:val="auto"/>
          <w:sz w:val="24"/>
          <w:szCs w:val="24"/>
          <w:highlight w:val="none"/>
          <w:lang w:val="zh-CN"/>
        </w:rPr>
        <w:t xml:space="preserve">.预算金额：</w:t>
      </w:r>
      <w:r>
        <w:rPr>
          <w:rFonts w:hint="eastAsia" w:ascii="Times New Roman" w:hAnsi="Times New Roman"/>
          <w:color w:val="auto"/>
          <w:sz w:val="24"/>
          <w:szCs w:val="24"/>
          <w:highlight w:val="none"/>
        </w:rPr>
        <w:t xml:space="preserve">195</w:t>
      </w:r>
      <w:r>
        <w:rPr>
          <w:rFonts w:hint="eastAsia" w:ascii="Times New Roman" w:hAnsi="Times New Roman"/>
          <w:color w:val="auto"/>
          <w:sz w:val="24"/>
          <w:szCs w:val="24"/>
          <w:highlight w:val="none"/>
          <w:lang w:val="zh-CN"/>
        </w:rPr>
        <w:t xml:space="preserve">万元</w:t>
      </w:r>
      <w:r/>
    </w:p>
    <w:p>
      <w:pPr>
        <w:contextualSpacing/>
        <w:ind w:firstLine="480"/>
        <w:spacing w:line="400" w:lineRule="exact"/>
        <w:rPr>
          <w:rFonts w:ascii="Times New Roman" w:hAnsi="Times New Roman"/>
          <w:b/>
          <w:bCs/>
          <w:color w:val="auto"/>
          <w:sz w:val="28"/>
          <w:szCs w:val="28"/>
          <w:highlight w:val="none"/>
        </w:rPr>
      </w:pPr>
      <w:r>
        <w:rPr>
          <w:rFonts w:ascii="Times New Roman" w:hAnsi="Times New Roman"/>
          <w:color w:val="auto"/>
          <w:sz w:val="24"/>
          <w:szCs w:val="24"/>
          <w:highlight w:val="none"/>
        </w:rPr>
        <w:t xml:space="preserve">6.最高限价：</w:t>
      </w:r>
      <w:r>
        <w:rPr>
          <w:rFonts w:hint="eastAsia" w:ascii="Times New Roman" w:hAnsi="Times New Roman"/>
          <w:color w:val="auto"/>
          <w:sz w:val="24"/>
          <w:szCs w:val="24"/>
          <w:highlight w:val="none"/>
        </w:rPr>
        <w:t xml:space="preserve">195</w:t>
      </w:r>
      <w:r>
        <w:rPr>
          <w:rFonts w:hint="eastAsia" w:ascii="Times New Roman" w:hAnsi="Times New Roman"/>
          <w:color w:val="auto"/>
          <w:sz w:val="24"/>
          <w:szCs w:val="24"/>
          <w:highlight w:val="none"/>
          <w:lang w:val="zh-CN"/>
        </w:rPr>
        <w:t xml:space="preserve">万元</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最终报价超过</w:t>
      </w:r>
      <w:r>
        <w:rPr>
          <w:rFonts w:ascii="Times New Roman" w:hAnsi="Times New Roman"/>
          <w:color w:val="auto"/>
          <w:sz w:val="24"/>
          <w:szCs w:val="24"/>
          <w:highlight w:val="none"/>
        </w:rPr>
        <w:t xml:space="preserve">最高限价</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为无效投标。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7.采购需求（简介）：详见磋商文件第四章,请仔细研究。</w:t>
      </w:r>
      <w:r/>
    </w:p>
    <w:p>
      <w:pPr>
        <w:contextualSpacing/>
        <w:ind w:firstLine="480"/>
        <w:spacing w:line="400" w:lineRule="exact"/>
        <w:rPr>
          <w:rFonts w:ascii="宋体" w:hAnsi="宋体" w:cs="宋体"/>
          <w:color w:val="auto"/>
          <w:spacing w:val="-2"/>
          <w:sz w:val="24"/>
          <w:szCs w:val="24"/>
          <w:highlight w:val="none"/>
        </w:rPr>
      </w:pP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履行时间（</w:t>
      </w:r>
      <w:r>
        <w:rPr>
          <w:rFonts w:ascii="Times New Roman" w:hAnsi="Times New Roman"/>
          <w:color w:val="auto"/>
          <w:sz w:val="24"/>
          <w:szCs w:val="24"/>
          <w:highlight w:val="none"/>
        </w:rPr>
        <w:t xml:space="preserve">期限</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自合同签订之日起至上级终验和整改止</w:t>
      </w:r>
      <w:r>
        <w:rPr>
          <w:rFonts w:hint="eastAsia" w:ascii="宋体" w:hAnsi="宋体" w:cs="宋体"/>
          <w:color w:val="auto"/>
          <w:spacing w:val="-2"/>
          <w:sz w:val="24"/>
          <w:szCs w:val="24"/>
          <w:highlight w:val="none"/>
        </w:rPr>
        <w:t xml:space="preserve">。</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9.本项目是否接受联合体投标：</w:t>
      </w:r>
      <w:r>
        <w:rPr>
          <w:rFonts w:hint="eastAsia" w:ascii="Times New Roman" w:hAnsi="Times New Roman"/>
          <w:color w:val="auto"/>
          <w:sz w:val="24"/>
          <w:szCs w:val="24"/>
          <w:highlight w:val="none"/>
        </w:rPr>
        <w:t xml:space="preserve">否</w:t>
      </w:r>
      <w:r>
        <w:rPr>
          <w:rFonts w:ascii="Times New Roman" w:hAnsi="Times New Roman"/>
          <w:color w:val="auto"/>
          <w:sz w:val="24"/>
          <w:szCs w:val="24"/>
          <w:highlight w:val="none"/>
        </w:rPr>
        <w:t xml:space="preserve">。</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10.本项目是否专门面向中小企业采购: </w:t>
      </w:r>
      <w:r>
        <w:rPr>
          <w:rFonts w:hint="eastAsia" w:ascii="Times New Roman" w:hAnsi="Times New Roman"/>
          <w:color w:val="auto"/>
          <w:sz w:val="24"/>
          <w:szCs w:val="24"/>
          <w:highlight w:val="none"/>
        </w:rPr>
        <w:t xml:space="preserve">否</w:t>
      </w:r>
      <w:r>
        <w:rPr>
          <w:rFonts w:ascii="Times New Roman" w:hAnsi="Times New Roman"/>
          <w:color w:val="auto"/>
          <w:sz w:val="24"/>
          <w:szCs w:val="24"/>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 w:name="_Toc28359003"/>
      <w:r/>
      <w:bookmarkStart w:id="13" w:name="_Toc28359080"/>
      <w:r/>
      <w:bookmarkStart w:id="14" w:name="_Toc35393622"/>
      <w:r/>
      <w:bookmarkStart w:id="15" w:name="_Toc38985264"/>
      <w:r/>
      <w:bookmarkStart w:id="16" w:name="_Toc35393791"/>
      <w:r>
        <w:rPr>
          <w:rFonts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color w:val="auto"/>
          <w:sz w:val="24"/>
          <w:szCs w:val="24"/>
          <w:highlight w:val="none"/>
        </w:rPr>
      </w:pPr>
      <w:r/>
      <w:bookmarkStart w:id="17" w:name="_Toc28359004"/>
      <w:r/>
      <w:bookmarkStart w:id="18" w:name="_Toc35393792"/>
      <w:r/>
      <w:bookmarkStart w:id="19" w:name="_Toc35393623"/>
      <w:r/>
      <w:bookmarkStart w:id="20" w:name="_Toc28359081"/>
      <w:r/>
      <w:bookmarkStart w:id="21" w:name="_Toc38985265"/>
      <w:r>
        <w:rPr>
          <w:rFonts w:ascii="Times New Roman" w:hAnsi="Times New Roman"/>
          <w:color w:val="auto"/>
          <w:sz w:val="24"/>
          <w:szCs w:val="24"/>
          <w:highlight w:val="none"/>
        </w:rPr>
        <w:t xml:space="preserve">（一）通用资格要求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1.满足《中华人民共和国政府采购法》第二十二条规定。</w:t>
      </w:r>
      <w:r/>
    </w:p>
    <w:p>
      <w:pPr>
        <w:ind w:firstLine="480"/>
        <w:spacing w:line="400" w:lineRule="exact"/>
        <w:rPr>
          <w:rFonts w:ascii="Times New Roman" w:hAnsi="Times New Roman" w:eastAsia="华文新魏"/>
          <w:color w:val="auto"/>
          <w:sz w:val="36"/>
          <w:szCs w:val="36"/>
          <w:highlight w:val="none"/>
        </w:rPr>
      </w:pPr>
      <w:r>
        <w:rPr>
          <w:rFonts w:ascii="Times New Roman" w:hAnsi="Times New Roman"/>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bCs/>
          <w:color w:val="auto"/>
          <w:sz w:val="24"/>
          <w:szCs w:val="24"/>
          <w:highlight w:val="none"/>
        </w:rPr>
        <w:t xml:space="preserve">（响应文件中无需提供证明材料）</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3.落实政府采购政策需满足的资格要求：</w:t>
      </w:r>
      <w:r>
        <w:rPr>
          <w:rFonts w:hint="eastAsia" w:ascii="Times New Roman" w:hAnsi="Times New Roman"/>
          <w:b/>
          <w:bCs/>
          <w:color w:val="auto"/>
          <w:sz w:val="24"/>
          <w:szCs w:val="24"/>
          <w:highlight w:val="none"/>
        </w:rPr>
        <w:t xml:space="preserve">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（二）本项目的特定资格要求</w:t>
      </w:r>
      <w:r/>
    </w:p>
    <w:p>
      <w:pPr>
        <w:ind w:firstLine="723"/>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 1.供应商需具备有效期内自然资源部门颁发的测绘乙级（含乙级）以上资质。</w:t>
      </w:r>
      <w:r/>
    </w:p>
    <w:p>
      <w:pPr>
        <w:ind w:firstLine="723"/>
        <w:spacing w:line="4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 2.供应商具有有效的检验检测机构资质认定证书（CMA）（检测项目包含水和土壤类别）</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三、获取</w:t>
      </w:r>
      <w:bookmarkEnd w:id="17"/>
      <w:r/>
      <w:bookmarkEnd w:id="18"/>
      <w:r/>
      <w:bookmarkEnd w:id="19"/>
      <w:r/>
      <w:bookmarkEnd w:id="20"/>
      <w:r/>
      <w:bookmarkEnd w:id="21"/>
      <w:r>
        <w:rPr>
          <w:rFonts w:ascii="Times New Roman" w:hAnsi="Times New Roman"/>
          <w:b/>
          <w:bCs/>
          <w:color w:val="auto"/>
          <w:sz w:val="32"/>
          <w:szCs w:val="32"/>
          <w:highlight w:val="none"/>
        </w:rPr>
        <w:t xml:space="preserve">采购文件</w:t>
      </w:r>
      <w:r/>
    </w:p>
    <w:p>
      <w:pPr>
        <w:ind w:firstLine="480"/>
        <w:jc w:val="left"/>
        <w:spacing w:line="400" w:lineRule="exact"/>
        <w:rPr>
          <w:rFonts w:ascii="Times New Roman" w:hAnsi="Times New Roman"/>
          <w:color w:val="auto"/>
          <w:sz w:val="24"/>
          <w:szCs w:val="24"/>
          <w:highlight w:val="none"/>
        </w:rPr>
      </w:pPr>
      <w:r/>
      <w:bookmarkStart w:id="22" w:name="_Toc38985266"/>
      <w:r/>
      <w:bookmarkStart w:id="23" w:name="_Toc35393624"/>
      <w:r/>
      <w:bookmarkStart w:id="24" w:name="_Toc28359005"/>
      <w:r/>
      <w:bookmarkStart w:id="25" w:name="_Toc35393793"/>
      <w:r/>
      <w:bookmarkStart w:id="26" w:name="_Toc28359082"/>
      <w:r/>
      <w:bookmarkStart w:id="27" w:name="_Toc28359084"/>
      <w:r/>
      <w:bookmarkStart w:id="28" w:name="_Toc28359007"/>
      <w:r/>
      <w:bookmarkStart w:id="29" w:name="_Toc38985267"/>
      <w:r/>
      <w:bookmarkStart w:id="30" w:name="_Toc35393794"/>
      <w:r/>
      <w:bookmarkStart w:id="31" w:name="_Toc35393625"/>
      <w:r>
        <w:rPr>
          <w:rFonts w:ascii="Times New Roman" w:hAnsi="Times New Roman"/>
          <w:color w:val="auto"/>
          <w:sz w:val="24"/>
          <w:szCs w:val="24"/>
          <w:highlight w:val="none"/>
        </w:rPr>
        <w:t xml:space="preserve">1.时间</w:t>
      </w:r>
      <w:r>
        <w:rPr>
          <w:rFonts w:ascii="Times New Roman" w:hAnsi="Times New Roman"/>
          <w:b/>
          <w:bCs/>
          <w:color w:val="auto"/>
          <w:sz w:val="24"/>
          <w:szCs w:val="24"/>
          <w:highlight w:val="none"/>
        </w:rPr>
        <w:t xml:space="preserve">：</w:t>
      </w:r>
      <w:r>
        <w:rPr>
          <w:rFonts w:hint="eastAsia" w:ascii="Times New Roman" w:hAnsi="Times New Roman"/>
          <w:color w:val="auto"/>
          <w:sz w:val="24"/>
          <w:szCs w:val="24"/>
          <w:highlight w:val="none"/>
        </w:rPr>
        <w:t xml:space="preserve">自本公告发布之日起5个工作日</w:t>
      </w:r>
      <w:r>
        <w:rPr>
          <w:rFonts w:ascii="Times New Roman" w:hAnsi="Times New Roman"/>
          <w:color w:val="auto"/>
          <w:sz w:val="24"/>
          <w:szCs w:val="24"/>
          <w:highlight w:val="none"/>
        </w:rPr>
        <w:t xml:space="preserve">。</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2.地点：“江苏政府采购网”</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3.方式：凡有意参与投标的供应商须登录江苏政府采购网首页点击“苏采云”→ 通过CA锁进行响应确认，并自行在磋商文件有效获取期内及时下载获取。</w:t>
      </w:r>
      <w:r/>
    </w:p>
    <w:p>
      <w:pPr>
        <w:ind w:firstLine="480"/>
        <w:jc w:val="left"/>
        <w:spacing w:line="400" w:lineRule="exact"/>
        <w:rPr>
          <w:rFonts w:ascii="Times New Roman" w:hAnsi="Times New Roman"/>
          <w:b/>
          <w:bCs/>
          <w:color w:val="auto"/>
          <w:sz w:val="32"/>
          <w:szCs w:val="32"/>
          <w:highlight w:val="none"/>
        </w:rPr>
      </w:pPr>
      <w:r>
        <w:rPr>
          <w:rFonts w:hint="eastAsia" w:ascii="宋体" w:hAnsi="宋体" w:cs="宋体"/>
          <w:color w:val="auto"/>
          <w:sz w:val="24"/>
          <w:szCs w:val="24"/>
          <w:highlight w:val="none"/>
        </w:rPr>
        <w:t xml:space="preserve">4.售价：免费</w:t>
      </w:r>
      <w:bookmarkEnd w:id="22"/>
      <w:bookmarkEnd w:id="23"/>
      <w:bookmarkEnd w:id="24"/>
      <w:bookmarkEnd w:id="25"/>
      <w:bookmarkEnd w:id="26"/>
      <w:r/>
    </w:p>
    <w:p>
      <w:pPr>
        <w:ind w:firstLine="643"/>
        <w:spacing w:line="5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四、响应文件提交</w:t>
      </w:r>
      <w:r/>
    </w:p>
    <w:p>
      <w:pPr>
        <w:ind w:firstLine="480"/>
        <w:jc w:val="left"/>
        <w:spacing w:line="40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.截止时间2026年</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日上午9时00分（北京时间）。逾时，系统将拒绝接受上传响应文件电子文档。</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color w:val="auto"/>
          <w:sz w:val="24"/>
          <w:szCs w:val="24"/>
          <w:highlight w:val="none"/>
        </w:rPr>
      </w:pPr>
      <w:r/>
      <w:bookmarkStart w:id="32" w:name="_Toc38985268"/>
      <w:r/>
      <w:bookmarkStart w:id="33" w:name="_Toc35393626"/>
      <w:r/>
      <w:bookmarkStart w:id="34" w:name="_Toc35393795"/>
      <w:r>
        <w:rPr>
          <w:rFonts w:ascii="Times New Roman" w:hAnsi="Times New Roman"/>
          <w:color w:val="auto"/>
          <w:sz w:val="24"/>
          <w:szCs w:val="24"/>
          <w:highlight w:val="none"/>
        </w:rPr>
        <w:t xml:space="preserve">自本公告发布之日起3个工作日。</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六、其他补充事宜</w:t>
      </w:r>
      <w:bookmarkEnd w:id="32"/>
      <w:r/>
      <w:bookmarkEnd w:id="33"/>
      <w:r/>
      <w:bookmarkEnd w:id="34"/>
      <w:r/>
      <w:r/>
    </w:p>
    <w:p>
      <w:pPr>
        <w:ind w:firstLine="480"/>
        <w:jc w:val="left"/>
        <w:spacing w:line="400" w:lineRule="exact"/>
        <w:rPr>
          <w:rFonts w:ascii="Times New Roman" w:hAnsi="Times New Roman"/>
          <w:color w:val="auto"/>
          <w:sz w:val="24"/>
          <w:szCs w:val="24"/>
          <w:highlight w:val="none"/>
        </w:rPr>
      </w:pPr>
      <w:r/>
      <w:bookmarkStart w:id="35" w:name="_Toc35393627"/>
      <w:r/>
      <w:bookmarkStart w:id="36" w:name="_Toc28359008"/>
      <w:r/>
      <w:bookmarkStart w:id="37" w:name="_Toc35393796"/>
      <w:r/>
      <w:bookmarkStart w:id="38" w:name="_Toc38985269"/>
      <w:r/>
      <w:bookmarkStart w:id="39" w:name="_Toc28359085"/>
      <w:r>
        <w:rPr>
          <w:rFonts w:ascii="Times New Roman" w:hAnsi="Times New Roman"/>
          <w:color w:val="auto"/>
          <w:sz w:val="24"/>
          <w:szCs w:val="24"/>
          <w:highlight w:val="none"/>
        </w:rPr>
        <w:t xml:space="preserve">1.项目磋商活动模式：不见面远程磋商模式。</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   </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4.开标当天供应商应及时登录“苏采云”政府采购一体化平台，并</w:t>
      </w:r>
      <w:r>
        <w:rPr>
          <w:rFonts w:ascii="Times New Roman" w:hAnsi="Times New Roman"/>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480"/>
        <w:jc w:val="left"/>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节能环保产品：依据财政部、发展改革委发布的《节能产品政府采购品目清单》，本项目如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321"/>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七、本次磋商联系方式</w:t>
      </w:r>
      <w:bookmarkEnd w:id="35"/>
      <w:r/>
      <w:bookmarkEnd w:id="36"/>
      <w:r/>
      <w:bookmarkEnd w:id="37"/>
      <w:r/>
      <w:bookmarkEnd w:id="38"/>
      <w:r/>
      <w:bookmarkEnd w:id="39"/>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1.采购人信息</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称：如东县自然资源和规划局</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地址：如东县城中街道长江路25号 </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联系人：徐抒涵</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联系方式：18994160618</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2.代理机构信息</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称：江苏衡晟项目管理咨询有限公司</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地址：如东县城中街道长江路</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联系人：王海军</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联系方式：18662855686/15906291850      </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项目联系人: 徐抒涵     </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仿宋" w:hAnsi="仿宋" w:eastAsia="仿宋"/>
          <w:color w:val="auto"/>
          <w:sz w:val="24"/>
          <w:highlight w:val="none"/>
        </w:rPr>
        <w:t xml:space="preserve">18994160618</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4.软件维护人员</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联系方式：0519-86722801、0519-86722806  </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5.CA联系方式</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联系人：朱工 </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联系方式：18951314963  </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八、其他</w:t>
      </w:r>
      <w:r/>
    </w:p>
    <w:p>
      <w:pPr>
        <w:ind w:firstLine="480"/>
        <w:jc w:val="left"/>
        <w:spacing w:line="560" w:lineRule="exact"/>
        <w:tabs>
          <w:tab w:val="left" w:pos="900" w:leader="none"/>
        </w:tabs>
        <w:rPr>
          <w:rFonts w:ascii="Times New Roman" w:hAnsi="Times New Roman"/>
          <w:bCs/>
          <w:color w:val="auto"/>
          <w:sz w:val="24"/>
          <w:szCs w:val="24"/>
          <w:highlight w:val="none"/>
        </w:rPr>
      </w:pPr>
      <w:r/>
      <w:bookmarkStart w:id="40" w:name="_Toc120614211"/>
      <w:r>
        <w:rPr>
          <w:rFonts w:ascii="Times New Roman" w:hAnsi="Times New Roman"/>
          <w:color w:val="auto"/>
          <w:sz w:val="24"/>
          <w:szCs w:val="21"/>
          <w:highlight w:val="none"/>
        </w:rPr>
        <w:t xml:space="preserve">1.</w:t>
      </w:r>
      <w:r>
        <w:rPr>
          <w:rFonts w:ascii="Times New Roman" w:hAnsi="Times New Roman"/>
          <w:bCs/>
          <w:color w:val="auto"/>
          <w:sz w:val="24"/>
          <w:szCs w:val="24"/>
          <w:highlight w:val="none"/>
        </w:rPr>
        <w:t xml:space="preserve">根据省财政厅《关于更换全省政府采购交易系统C A数字证书和电子签章的通知》（苏财购〔2023〕101号），</w:t>
      </w:r>
      <w:r>
        <w:rPr>
          <w:rFonts w:ascii="Times New Roman" w:hAnsi="Times New Roman"/>
          <w:color w:val="auto"/>
          <w:sz w:val="24"/>
          <w:szCs w:val="24"/>
          <w:highlight w:val="none"/>
        </w:rPr>
        <w:t xml:space="preserve">“苏采云”政府采购交易系统（以下简称苏采云系统）</w:t>
      </w:r>
      <w:r>
        <w:rPr>
          <w:rFonts w:ascii="Times New Roman" w:hAnsi="Times New Roman"/>
          <w:bCs/>
          <w:color w:val="auto"/>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 xml:space="preserve">苏采云系统</w:t>
      </w:r>
      <w:r>
        <w:rPr>
          <w:rFonts w:ascii="Times New Roman" w:hAnsi="Times New Roman"/>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ascii="Times New Roman" w:hAnsi="Times New Roman"/>
          <w:color w:val="auto"/>
          <w:sz w:val="24"/>
          <w:szCs w:val="24"/>
          <w:highlight w:val="none"/>
        </w:rPr>
      </w:pPr>
      <w:r>
        <w:rPr>
          <w:rFonts w:ascii="Times New Roman" w:hAnsi="Times New Roman"/>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 有关本次磋商的事项若存在变动或修改，敬请及时关注在“江苏政府采购网”发布的更正公告。</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 本次磋商不收取磋商保证金。</w:t>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bookmarkEnd w:id="1"/>
      <w:bookmarkEnd w:id="2"/>
      <w:bookmarkEnd w:id="3"/>
      <w:bookmarkEnd w:id="4"/>
      <w:bookmarkEnd w:id="5"/>
      <w:bookmarkEnd w:id="40"/>
      <w:r/>
    </w:p>
    <w:p>
      <w:pPr>
        <w:ind w:firstLine="723"/>
        <w:jc w:val="center"/>
        <w:keepNext/>
        <w:spacing w:line="400" w:lineRule="exact"/>
        <w:rPr>
          <w:rFonts w:ascii="Times New Roman" w:hAnsi="Times New Roman"/>
          <w:b/>
          <w:bCs/>
          <w:color w:val="auto"/>
          <w:sz w:val="36"/>
          <w:szCs w:val="36"/>
          <w:highlight w:val="none"/>
        </w:rPr>
        <w:outlineLvl w:val="0"/>
      </w:pPr>
      <w:r/>
      <w:bookmarkStart w:id="41" w:name="_Toc120614214"/>
      <w:r/>
      <w:bookmarkStart w:id="42" w:name="_Toc20823275"/>
      <w:r/>
      <w:bookmarkStart w:id="43" w:name="_Toc16938519"/>
      <w:r/>
      <w:bookmarkStart w:id="44" w:name="_Toc513029203"/>
      <w:r/>
      <w:r/>
    </w:p>
    <w:p>
      <w:pPr>
        <w:ind w:firstLine="3253"/>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bookmarkEnd w:id="41"/>
      <w:bookmarkEnd w:id="42"/>
      <w:bookmarkEnd w:id="43"/>
      <w:bookmarkEnd w:id="44"/>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3253"/>
        <w:keepNext/>
        <w:spacing w:line="400" w:lineRule="exact"/>
        <w:rPr>
          <w:rFonts w:ascii="Times New Roman" w:hAnsi="Times New Roman"/>
          <w:b/>
          <w:bCs/>
          <w:color w:val="auto"/>
          <w:sz w:val="32"/>
          <w:szCs w:val="32"/>
          <w:highlight w:val="none"/>
        </w:rPr>
        <w:outlineLvl w:val="0"/>
      </w:pPr>
      <w:r>
        <w:rPr>
          <w:rFonts w:ascii="Times New Roman" w:hAnsi="Times New Roman"/>
          <w:b/>
          <w:bCs/>
          <w:color w:val="auto"/>
          <w:sz w:val="36"/>
          <w:szCs w:val="36"/>
          <w:highlight w:val="none"/>
        </w:rPr>
        <w:t xml:space="preserve">第二章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供应商须知</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一、总则</w:t>
      </w:r>
      <w:r/>
    </w:p>
    <w:p>
      <w:pPr>
        <w:ind w:firstLine="560"/>
        <w:keepLines/>
        <w:keepNext/>
        <w:spacing w:line="400" w:lineRule="exact"/>
        <w:rPr>
          <w:rFonts w:ascii="Times New Roman" w:hAnsi="Times New Roman"/>
          <w:color w:val="auto"/>
          <w:sz w:val="24"/>
          <w:szCs w:val="21"/>
          <w:highlight w:val="none"/>
        </w:rPr>
        <w:outlineLvl w:val="3"/>
      </w:pPr>
      <w:r/>
      <w:bookmarkStart w:id="45" w:name="_Hlt16619475"/>
      <w:r/>
      <w:bookmarkEnd w:id="45"/>
      <w:r/>
      <w:bookmarkStart w:id="46" w:name="_Toc458694821"/>
      <w:r/>
      <w:bookmarkStart w:id="47" w:name="_Toc16938520"/>
      <w:r/>
      <w:bookmarkStart w:id="48" w:name="_Toc20823276"/>
      <w:r/>
      <w:bookmarkStart w:id="49" w:name="_Toc513029204"/>
      <w:r>
        <w:rPr>
          <w:rFonts w:ascii="Times New Roman" w:hAnsi="Times New Roman" w:eastAsia="黑体"/>
          <w:color w:val="auto"/>
          <w:sz w:val="28"/>
          <w:szCs w:val="28"/>
          <w:highlight w:val="none"/>
        </w:rPr>
        <w:t xml:space="preserve">1</w:t>
      </w:r>
      <w:bookmarkEnd w:id="46"/>
      <w:r>
        <w:rPr>
          <w:rFonts w:ascii="Times New Roman" w:hAnsi="Times New Roman" w:eastAsia="黑体"/>
          <w:color w:val="auto"/>
          <w:sz w:val="28"/>
          <w:szCs w:val="28"/>
          <w:highlight w:val="none"/>
        </w:rPr>
        <w:t xml:space="preserve">、采购方式</w:t>
      </w:r>
      <w:bookmarkEnd w:id="47"/>
      <w:r/>
      <w:bookmarkEnd w:id="48"/>
      <w:r/>
      <w:bookmarkEnd w:id="49"/>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color w:val="auto"/>
          <w:sz w:val="28"/>
          <w:szCs w:val="28"/>
          <w:highlight w:val="none"/>
        </w:rPr>
        <w:outlineLvl w:val="3"/>
      </w:pPr>
      <w:r/>
      <w:bookmarkStart w:id="50" w:name="_Toc16938521"/>
      <w:r/>
      <w:bookmarkStart w:id="51" w:name="_Toc20823277"/>
      <w:r/>
      <w:bookmarkStart w:id="52" w:name="_Toc513029205"/>
      <w:r>
        <w:rPr>
          <w:rFonts w:ascii="Times New Roman" w:hAnsi="Times New Roman" w:eastAsia="黑体"/>
          <w:color w:val="auto"/>
          <w:sz w:val="28"/>
          <w:szCs w:val="28"/>
          <w:highlight w:val="none"/>
        </w:rPr>
        <w:t xml:space="preserve">2、合格的</w:t>
      </w:r>
      <w:bookmarkEnd w:id="50"/>
      <w:r/>
      <w:bookmarkEnd w:id="51"/>
      <w:r/>
      <w:bookmarkEnd w:id="52"/>
      <w:r>
        <w:rPr>
          <w:rFonts w:ascii="Times New Roman" w:hAnsi="Times New Roman" w:eastAsia="黑体"/>
          <w:color w:val="auto"/>
          <w:sz w:val="28"/>
          <w:szCs w:val="28"/>
          <w:highlight w:val="none"/>
        </w:rPr>
        <w:t xml:space="preserve">供应商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2.1满足磋商公告中供应商资格要求的规定。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 满足本磋商文件实质性要求和条件的规定。</w:t>
      </w:r>
      <w:r/>
    </w:p>
    <w:p>
      <w:pPr>
        <w:ind w:firstLine="560"/>
        <w:keepLines/>
        <w:keepNext/>
        <w:spacing w:line="400" w:lineRule="exact"/>
        <w:rPr>
          <w:rFonts w:ascii="Times New Roman" w:hAnsi="Times New Roman" w:eastAsia="黑体"/>
          <w:color w:val="auto"/>
          <w:sz w:val="28"/>
          <w:szCs w:val="28"/>
          <w:highlight w:val="none"/>
        </w:rPr>
        <w:outlineLvl w:val="3"/>
      </w:pPr>
      <w:r/>
      <w:bookmarkStart w:id="53" w:name="_Toc16938522"/>
      <w:r/>
      <w:bookmarkStart w:id="54" w:name="_Toc20823278"/>
      <w:r/>
      <w:bookmarkStart w:id="55" w:name="_Toc513029206"/>
      <w:r>
        <w:rPr>
          <w:rFonts w:ascii="Times New Roman" w:hAnsi="Times New Roman" w:eastAsia="黑体"/>
          <w:color w:val="auto"/>
          <w:sz w:val="28"/>
          <w:szCs w:val="28"/>
          <w:highlight w:val="none"/>
        </w:rPr>
        <w:t xml:space="preserve">3、适用法律</w:t>
      </w:r>
      <w:bookmarkEnd w:id="53"/>
      <w:r/>
      <w:bookmarkEnd w:id="54"/>
      <w:r/>
      <w:bookmarkEnd w:id="55"/>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color w:val="auto"/>
          <w:sz w:val="28"/>
          <w:szCs w:val="28"/>
          <w:highlight w:val="none"/>
        </w:rPr>
        <w:outlineLvl w:val="3"/>
      </w:pPr>
      <w:r/>
      <w:bookmarkStart w:id="56" w:name="_Toc20823279"/>
      <w:r/>
      <w:bookmarkStart w:id="57" w:name="_Toc513029207"/>
      <w:r/>
      <w:bookmarkStart w:id="58" w:name="_Toc462564067"/>
      <w:r/>
      <w:bookmarkStart w:id="59" w:name="_Toc16938523"/>
      <w:r>
        <w:rPr>
          <w:rFonts w:ascii="Times New Roman" w:hAnsi="Times New Roman" w:eastAsia="黑体"/>
          <w:color w:val="auto"/>
          <w:sz w:val="28"/>
          <w:szCs w:val="28"/>
          <w:highlight w:val="none"/>
        </w:rPr>
        <w:t xml:space="preserve">4、磋商费用</w:t>
      </w:r>
      <w:bookmarkEnd w:id="56"/>
      <w:r/>
      <w:bookmarkEnd w:id="57"/>
      <w:r/>
      <w:bookmarkEnd w:id="58"/>
      <w:r/>
      <w:bookmarkEnd w:id="59"/>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4.1</w:t>
      </w:r>
      <w:r>
        <w:rPr>
          <w:rFonts w:ascii="Times New Roman" w:hAnsi="Times New Roman"/>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4.2本次磋商代理机构人员和采购人不收取标书工本费</w:t>
      </w:r>
      <w:r>
        <w:rPr>
          <w:rFonts w:hint="eastAsia"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4.3</w:t>
      </w:r>
      <w:r>
        <w:rPr>
          <w:rFonts w:ascii="Times New Roman" w:hAnsi="Times New Roman"/>
          <w:b/>
          <w:bCs/>
          <w:color w:val="auto"/>
          <w:sz w:val="24"/>
          <w:szCs w:val="24"/>
          <w:highlight w:val="none"/>
        </w:rPr>
        <w:t xml:space="preserve">根据财政部关于《政府采购代理机构管理暂行办法》的通知，本项目招标代理费由中标单位支付，</w:t>
      </w:r>
      <w:r>
        <w:rPr>
          <w:rFonts w:hint="eastAsia" w:ascii="Times New Roman" w:hAnsi="Times New Roman"/>
          <w:b/>
          <w:bCs/>
          <w:color w:val="auto"/>
          <w:sz w:val="24"/>
          <w:szCs w:val="24"/>
          <w:highlight w:val="none"/>
          <w:u w:val="single"/>
        </w:rPr>
        <w:t xml:space="preserve">代理费按中标价*0.70%收取。</w:t>
      </w:r>
      <w:r>
        <w:rPr>
          <w:rFonts w:ascii="Times New Roman" w:hAnsi="Times New Roman"/>
          <w:b/>
          <w:bCs/>
          <w:color w:val="auto"/>
          <w:sz w:val="24"/>
          <w:szCs w:val="24"/>
          <w:highlight w:val="none"/>
        </w:rPr>
        <w:t xml:space="preserve">请各供应商将此费用一并考虑在投标</w:t>
      </w:r>
      <w:r>
        <w:rPr>
          <w:rFonts w:hint="eastAsia" w:ascii="Times New Roman" w:hAnsi="Times New Roman"/>
          <w:b/>
          <w:bCs/>
          <w:color w:val="auto"/>
          <w:sz w:val="24"/>
          <w:szCs w:val="24"/>
          <w:highlight w:val="none"/>
        </w:rPr>
        <w:t xml:space="preserve">（响应）</w:t>
      </w:r>
      <w:r>
        <w:rPr>
          <w:rFonts w:ascii="Times New Roman" w:hAnsi="Times New Roman"/>
          <w:b/>
          <w:bCs/>
          <w:color w:val="auto"/>
          <w:sz w:val="24"/>
          <w:szCs w:val="24"/>
          <w:highlight w:val="none"/>
        </w:rPr>
        <w:t xml:space="preserve">报价中</w:t>
      </w:r>
      <w:r>
        <w:rPr>
          <w:rFonts w:hint="eastAsia" w:ascii="Times New Roman" w:hAnsi="Times New Roman"/>
          <w:b/>
          <w:bCs/>
          <w:color w:val="auto"/>
          <w:sz w:val="24"/>
          <w:szCs w:val="24"/>
          <w:highlight w:val="none"/>
        </w:rPr>
        <w:t xml:space="preserve">，在领取中标通知书前缴纳至招标代理处。</w:t>
      </w:r>
      <w:r/>
    </w:p>
    <w:p>
      <w:pPr>
        <w:ind w:firstLine="602"/>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b/>
          <w:bCs/>
          <w:color w:val="auto"/>
          <w:sz w:val="30"/>
          <w:szCs w:val="28"/>
          <w:highlight w:val="none"/>
        </w:rPr>
        <w:t xml:space="preserve">5、</w:t>
      </w:r>
      <w:r>
        <w:rPr>
          <w:rFonts w:ascii="Times New Roman" w:hAnsi="Times New Roman" w:eastAsia="黑体"/>
          <w:color w:val="auto"/>
          <w:sz w:val="28"/>
          <w:szCs w:val="28"/>
          <w:highlight w:val="none"/>
        </w:rPr>
        <w:t xml:space="preserve">磋商文件的约束力</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供应商一旦参加本项目采购活动，即被认为接受了本磋商文件的规定和约束。</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0" w:name="_Toc513029209"/>
      <w:r/>
      <w:bookmarkStart w:id="61" w:name="_Toc120614215"/>
      <w:r/>
      <w:bookmarkStart w:id="62" w:name="_Toc16938525"/>
      <w:r/>
      <w:bookmarkStart w:id="63" w:name="_Toc20823281"/>
      <w:r>
        <w:rPr>
          <w:rFonts w:ascii="Times New Roman" w:hAnsi="Times New Roman"/>
          <w:b/>
          <w:bCs/>
          <w:color w:val="auto"/>
          <w:sz w:val="32"/>
          <w:szCs w:val="32"/>
          <w:highlight w:val="none"/>
        </w:rPr>
        <w:t xml:space="preserve">二、</w:t>
      </w:r>
      <w:bookmarkEnd w:id="60"/>
      <w:r/>
      <w:bookmarkEnd w:id="61"/>
      <w:r/>
      <w:bookmarkEnd w:id="62"/>
      <w:r/>
      <w:bookmarkEnd w:id="63"/>
      <w:r>
        <w:rPr>
          <w:rFonts w:ascii="Times New Roman" w:hAnsi="Times New Roman"/>
          <w:b/>
          <w:bCs/>
          <w:color w:val="auto"/>
          <w:sz w:val="32"/>
          <w:szCs w:val="32"/>
          <w:highlight w:val="none"/>
        </w:rPr>
        <w:t xml:space="preserve">磋商文件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64" w:name="_Toc16938526"/>
      <w:r/>
      <w:bookmarkStart w:id="65" w:name="_Toc513029210"/>
      <w:r/>
      <w:bookmarkStart w:id="66" w:name="_Toc20823282"/>
      <w:r>
        <w:rPr>
          <w:rFonts w:ascii="Times New Roman" w:hAnsi="Times New Roman" w:eastAsia="黑体"/>
          <w:color w:val="auto"/>
          <w:sz w:val="28"/>
          <w:szCs w:val="28"/>
          <w:highlight w:val="none"/>
        </w:rPr>
        <w:t xml:space="preserve">6、磋商文件构成</w:t>
      </w:r>
      <w:bookmarkEnd w:id="64"/>
      <w:r/>
      <w:bookmarkEnd w:id="65"/>
      <w:r/>
      <w:bookmarkEnd w:id="66"/>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磋商文件由以下部分组成：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（2）供应商须知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（5）评审方法与评审标准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（6）响应文件格式</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请仔细检查磋商文件是否齐全，如有缺漏请立即与代理机构人员联系解决。</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67" w:name="_Toc513029211"/>
      <w:r/>
      <w:bookmarkStart w:id="68" w:name="_Toc462564070"/>
      <w:r/>
      <w:bookmarkStart w:id="69" w:name="_Toc20823283"/>
      <w:r/>
      <w:bookmarkStart w:id="70" w:name="_Toc16938527"/>
      <w:r>
        <w:rPr>
          <w:rFonts w:ascii="Times New Roman" w:hAnsi="Times New Roman" w:eastAsia="黑体"/>
          <w:color w:val="auto"/>
          <w:sz w:val="28"/>
          <w:szCs w:val="28"/>
          <w:highlight w:val="none"/>
        </w:rPr>
        <w:t xml:space="preserve">7、磋商文件的澄清</w:t>
      </w:r>
      <w:bookmarkEnd w:id="67"/>
      <w:r/>
      <w:bookmarkEnd w:id="68"/>
      <w:r/>
      <w:bookmarkEnd w:id="69"/>
      <w:r/>
      <w:bookmarkEnd w:id="70"/>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1"/>
          <w:highlight w:val="none"/>
        </w:rPr>
        <w:t xml:space="preserve">7.1</w:t>
      </w:r>
      <w:r>
        <w:rPr>
          <w:rFonts w:ascii="Times New Roman" w:hAnsi="Times New Roman"/>
          <w:color w:val="auto"/>
          <w:sz w:val="24"/>
          <w:szCs w:val="21"/>
          <w:highlight w:val="none"/>
        </w:rPr>
        <w:t xml:space="preserve">任何要求对磋商文件进行澄清的供应商，应在磋商截止期5日</w:t>
      </w:r>
      <w:r>
        <w:rPr>
          <w:rFonts w:ascii="Times New Roman" w:hAnsi="Times New Roman"/>
          <w:color w:val="auto"/>
          <w:sz w:val="24"/>
          <w:szCs w:val="24"/>
          <w:highlight w:val="none"/>
        </w:rPr>
        <w:t xml:space="preserve">前</w:t>
      </w:r>
      <w:r>
        <w:rPr>
          <w:rFonts w:ascii="Times New Roman" w:hAnsi="Times New Roman"/>
          <w:color w:val="auto"/>
          <w:sz w:val="24"/>
          <w:szCs w:val="21"/>
          <w:highlight w:val="none"/>
        </w:rPr>
        <w:t xml:space="preserve">按磋商公告中的通讯地址，以书面形式通知代理机构人员。</w:t>
      </w:r>
      <w:r/>
    </w:p>
    <w:p>
      <w:pPr>
        <w:ind w:firstLine="560"/>
        <w:keepLines/>
        <w:keepNext/>
        <w:spacing w:line="400" w:lineRule="exact"/>
        <w:rPr>
          <w:rFonts w:ascii="Times New Roman" w:hAnsi="Times New Roman" w:eastAsia="黑体"/>
          <w:color w:val="auto"/>
          <w:sz w:val="28"/>
          <w:szCs w:val="28"/>
          <w:highlight w:val="none"/>
        </w:rPr>
        <w:outlineLvl w:val="3"/>
      </w:pPr>
      <w:r/>
      <w:bookmarkStart w:id="71" w:name="_Toc20823284"/>
      <w:r/>
      <w:bookmarkStart w:id="72" w:name="_Toc513029212"/>
      <w:r/>
      <w:bookmarkStart w:id="73" w:name="_Toc16938528"/>
      <w:r/>
      <w:bookmarkStart w:id="74" w:name="_Toc462564071"/>
      <w:r>
        <w:rPr>
          <w:rFonts w:ascii="Times New Roman" w:hAnsi="Times New Roman" w:eastAsia="黑体"/>
          <w:color w:val="auto"/>
          <w:sz w:val="28"/>
          <w:szCs w:val="28"/>
          <w:highlight w:val="none"/>
        </w:rPr>
        <w:t xml:space="preserve">8、磋商文件的澄清和修改</w:t>
      </w:r>
      <w:bookmarkEnd w:id="71"/>
      <w:r/>
      <w:bookmarkEnd w:id="72"/>
      <w:r/>
      <w:bookmarkEnd w:id="73"/>
      <w:r/>
      <w:bookmarkEnd w:id="74"/>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8.1</w:t>
      </w:r>
      <w:r>
        <w:rPr>
          <w:rFonts w:ascii="Times New Roman" w:hAnsi="Times New Roman"/>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75" w:name="_Toc16938529"/>
      <w:r/>
      <w:bookmarkStart w:id="76" w:name="_Toc513029213"/>
      <w:r/>
      <w:bookmarkStart w:id="77" w:name="_Toc462564072"/>
      <w:r/>
      <w:bookmarkStart w:id="78" w:name="_Toc20823285"/>
      <w:r/>
      <w:bookmarkStart w:id="79" w:name="_Toc120614216"/>
      <w:r>
        <w:rPr>
          <w:rFonts w:ascii="Times New Roman" w:hAnsi="Times New Roman"/>
          <w:b/>
          <w:bCs/>
          <w:color w:val="auto"/>
          <w:sz w:val="32"/>
          <w:szCs w:val="32"/>
          <w:highlight w:val="none"/>
        </w:rPr>
        <w:t xml:space="preserve">三、响应文件的编制</w:t>
      </w:r>
      <w:bookmarkEnd w:id="75"/>
      <w:r/>
      <w:bookmarkEnd w:id="76"/>
      <w:r/>
      <w:bookmarkEnd w:id="77"/>
      <w:r/>
      <w:bookmarkEnd w:id="78"/>
      <w:r/>
      <w:bookmarkEnd w:id="79"/>
      <w:r/>
      <w:r/>
    </w:p>
    <w:p>
      <w:pPr>
        <w:ind w:firstLine="560"/>
        <w:keepLines/>
        <w:keepNext/>
        <w:spacing w:line="400" w:lineRule="exact"/>
        <w:rPr>
          <w:rFonts w:ascii="Times New Roman" w:hAnsi="Times New Roman" w:eastAsia="黑体"/>
          <w:b/>
          <w:color w:val="auto"/>
          <w:sz w:val="28"/>
          <w:szCs w:val="28"/>
          <w:highlight w:val="none"/>
        </w:rPr>
        <w:outlineLvl w:val="3"/>
      </w:pPr>
      <w:r/>
      <w:bookmarkStart w:id="80" w:name="_Toc513029214"/>
      <w:r/>
      <w:bookmarkStart w:id="81" w:name="_Toc20823286"/>
      <w:r/>
      <w:bookmarkStart w:id="82" w:name="_Toc16938530"/>
      <w:r/>
      <w:bookmarkStart w:id="83" w:name="_Toc462564073"/>
      <w:r>
        <w:rPr>
          <w:rFonts w:ascii="Times New Roman" w:hAnsi="Times New Roman" w:eastAsia="黑体"/>
          <w:color w:val="auto"/>
          <w:sz w:val="28"/>
          <w:szCs w:val="28"/>
          <w:highlight w:val="none"/>
        </w:rPr>
        <w:t xml:space="preserve">9、响应文件的语言及度量衡单位</w:t>
      </w:r>
      <w:bookmarkEnd w:id="80"/>
      <w:r/>
      <w:bookmarkEnd w:id="81"/>
      <w:r/>
      <w:bookmarkEnd w:id="82"/>
      <w:r/>
      <w:bookmarkEnd w:id="83"/>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9.1</w:t>
      </w:r>
      <w:r>
        <w:rPr>
          <w:rFonts w:ascii="Times New Roman" w:hAnsi="Times New Roman"/>
          <w:color w:val="auto"/>
          <w:sz w:val="24"/>
          <w:szCs w:val="21"/>
          <w:highlight w:val="none"/>
        </w:rPr>
        <w:t xml:space="preserve">供应商提交的响应文件以及供应商与代理机构人员就有关磋商的所有来往通知、函件和文件均应使用</w:t>
      </w:r>
      <w:r>
        <w:rPr>
          <w:rFonts w:ascii="Times New Roman" w:hAnsi="Times New Roman"/>
          <w:b/>
          <w:bCs/>
          <w:color w:val="auto"/>
          <w:sz w:val="24"/>
          <w:szCs w:val="21"/>
          <w:highlight w:val="none"/>
        </w:rPr>
        <w:t xml:space="preserve">简体中文</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9.2</w:t>
      </w:r>
      <w:r>
        <w:rPr>
          <w:rFonts w:ascii="Times New Roman" w:hAnsi="Times New Roman"/>
          <w:color w:val="auto"/>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color w:val="auto"/>
          <w:sz w:val="28"/>
          <w:szCs w:val="28"/>
          <w:highlight w:val="none"/>
        </w:rPr>
        <w:outlineLvl w:val="3"/>
      </w:pPr>
      <w:r/>
      <w:bookmarkStart w:id="84" w:name="_Toc513029215"/>
      <w:r/>
      <w:bookmarkStart w:id="85" w:name="_Toc462564074"/>
      <w:r/>
      <w:bookmarkStart w:id="86" w:name="_Toc16938531"/>
      <w:r/>
      <w:bookmarkStart w:id="87" w:name="_Toc20823287"/>
      <w:r>
        <w:rPr>
          <w:rFonts w:ascii="Times New Roman" w:hAnsi="Times New Roman" w:eastAsia="黑体"/>
          <w:color w:val="auto"/>
          <w:sz w:val="28"/>
          <w:szCs w:val="28"/>
          <w:highlight w:val="none"/>
        </w:rPr>
        <w:t xml:space="preserve">10、响应文件构成</w:t>
      </w:r>
      <w:bookmarkEnd w:id="84"/>
      <w:r/>
      <w:bookmarkEnd w:id="85"/>
      <w:r/>
      <w:bookmarkEnd w:id="86"/>
      <w:r/>
      <w:bookmarkEnd w:id="87"/>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10.1</w:t>
      </w:r>
      <w:r>
        <w:rPr>
          <w:rFonts w:ascii="Times New Roman" w:hAnsi="Times New Roman"/>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88" w:name="_Hlt26670360"/>
      <w:r/>
      <w:bookmarkEnd w:id="88"/>
      <w:r/>
      <w:bookmarkStart w:id="89" w:name="_Hlt26668975"/>
      <w:r/>
      <w:bookmarkEnd w:id="89"/>
      <w:r/>
      <w:bookmarkStart w:id="90" w:name="_Hlt26954838"/>
      <w:r/>
      <w:bookmarkEnd w:id="90"/>
      <w:r/>
      <w:bookmarkStart w:id="91" w:name="_Toc513029219"/>
      <w:r/>
      <w:bookmarkStart w:id="92" w:name="_Toc49090509"/>
      <w:r/>
      <w:bookmarkStart w:id="93" w:name="_Toc14577357"/>
      <w:r/>
      <w:bookmarkStart w:id="94" w:name="_Toc513029216"/>
      <w:r/>
      <w:bookmarkStart w:id="95" w:name="_Toc49090507"/>
      <w:r/>
      <w:bookmarkStart w:id="96" w:name="_Toc14577354"/>
      <w:r/>
      <w:bookmarkStart w:id="97" w:name="_Toc49090508"/>
      <w:r/>
      <w:bookmarkStart w:id="98" w:name="_Toc14577355"/>
      <w:r>
        <w:rPr>
          <w:rFonts w:ascii="Times New Roman" w:hAnsi="Times New Roman" w:eastAsia="黑体"/>
          <w:color w:val="auto"/>
          <w:sz w:val="28"/>
          <w:szCs w:val="28"/>
          <w:highlight w:val="none"/>
        </w:rPr>
        <w:t xml:space="preserve">11、证明磋商响应标的符合磋商文件规定的文件</w:t>
      </w:r>
      <w:bookmarkEnd w:id="91"/>
      <w:r/>
      <w:bookmarkEnd w:id="92"/>
      <w:r/>
      <w:bookmarkEnd w:id="93"/>
      <w:r/>
      <w:bookmarkEnd w:id="94"/>
      <w:bookmarkEnd w:id="95"/>
      <w:bookmarkEnd w:id="96"/>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11.2磋商文件对证明文件无明确形式要求的，证明文件可以以文字资料、图纸和数据等形式提交。</w:t>
      </w:r>
      <w:bookmarkEnd w:id="97"/>
      <w:bookmarkEnd w:id="98"/>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12、分项报价表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12.1</w:t>
      </w:r>
      <w:r>
        <w:rPr>
          <w:rFonts w:ascii="Times New Roman" w:hAnsi="Times New Roman"/>
          <w:color w:val="auto"/>
          <w:sz w:val="24"/>
          <w:szCs w:val="21"/>
          <w:highlight w:val="none"/>
        </w:rPr>
        <w:t xml:space="preserve">供应商应按照磋商文件规定格式填报分项报价表。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12.2</w:t>
      </w:r>
      <w:r>
        <w:rPr>
          <w:rFonts w:ascii="Times New Roman" w:hAnsi="Times New Roman"/>
          <w:bCs/>
          <w:color w:val="auto"/>
          <w:sz w:val="24"/>
          <w:szCs w:val="21"/>
          <w:highlight w:val="none"/>
        </w:rPr>
        <w:t xml:space="preserve">磋商货币。响应文件中的单价和总价无特殊规定的采用人民币报价，以元为单位标注。</w:t>
      </w:r>
      <w:r>
        <w:rPr>
          <w:rFonts w:ascii="Times New Roman" w:hAnsi="Times New Roman"/>
          <w:color w:val="auto"/>
          <w:sz w:val="24"/>
          <w:szCs w:val="21"/>
          <w:highlight w:val="none"/>
        </w:rPr>
        <w:t xml:space="preserve">磋商文件中另有规定的按规定执行。</w:t>
      </w:r>
      <w:r/>
    </w:p>
    <w:p>
      <w:pPr>
        <w:ind w:firstLine="560"/>
        <w:keepLines/>
        <w:keepNext/>
        <w:spacing w:line="400" w:lineRule="exact"/>
        <w:rPr>
          <w:rFonts w:ascii="Times New Roman" w:hAnsi="Times New Roman" w:eastAsia="黑体"/>
          <w:color w:val="auto"/>
          <w:sz w:val="28"/>
          <w:szCs w:val="28"/>
          <w:highlight w:val="none"/>
        </w:rPr>
        <w:outlineLvl w:val="3"/>
      </w:pPr>
      <w:r/>
      <w:bookmarkStart w:id="99" w:name="_Hlt26954731"/>
      <w:r/>
      <w:bookmarkEnd w:id="99"/>
      <w:r/>
      <w:bookmarkStart w:id="100" w:name="_Hlt26670482"/>
      <w:r/>
      <w:bookmarkEnd w:id="100"/>
      <w:r/>
      <w:bookmarkStart w:id="101" w:name="_Hlt26954848"/>
      <w:r/>
      <w:bookmarkEnd w:id="101"/>
      <w:r/>
      <w:bookmarkStart w:id="102" w:name="_Hlt26954846"/>
      <w:r/>
      <w:bookmarkEnd w:id="102"/>
      <w:r/>
      <w:bookmarkStart w:id="103" w:name="_Hlt26670486"/>
      <w:r/>
      <w:bookmarkEnd w:id="103"/>
      <w:r>
        <w:rPr>
          <w:rFonts w:ascii="Times New Roman" w:hAnsi="Times New Roman" w:eastAsia="黑体"/>
          <w:color w:val="auto"/>
          <w:sz w:val="28"/>
          <w:szCs w:val="28"/>
          <w:highlight w:val="none"/>
        </w:rPr>
        <w:t xml:space="preserve">13、技术要求响应及偏离表、商务要求响应及偏离表</w:t>
      </w:r>
      <w:r/>
    </w:p>
    <w:p>
      <w:pPr>
        <w:ind w:firstLine="480"/>
        <w:spacing w:line="400" w:lineRule="exact"/>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 xml:space="preserve">13.1</w:t>
      </w:r>
      <w:r>
        <w:rPr>
          <w:rFonts w:ascii="Times New Roman" w:hAnsi="Times New Roman"/>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14、服务承诺、培训计划、人员安排及其他</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w:t>
      </w:r>
      <w:r>
        <w:rPr>
          <w:rFonts w:ascii="Times New Roman" w:hAnsi="Times New Roman"/>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14.2供应商需根据磋商文件要求提供培训计划。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14.3供应商需根据磋商文件要求提供</w:t>
      </w:r>
      <w:r>
        <w:rPr>
          <w:rFonts w:ascii="Times New Roman" w:hAnsi="Times New Roman"/>
          <w:color w:val="auto"/>
          <w:sz w:val="24"/>
          <w:szCs w:val="21"/>
          <w:highlight w:val="none"/>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color w:val="auto"/>
          <w:sz w:val="28"/>
          <w:szCs w:val="28"/>
          <w:highlight w:val="none"/>
        </w:rPr>
        <w:outlineLvl w:val="3"/>
      </w:pPr>
      <w:r/>
      <w:bookmarkStart w:id="104" w:name="_Toc14577359"/>
      <w:r/>
      <w:bookmarkStart w:id="105" w:name="_Toc49090510"/>
      <w:r>
        <w:rPr>
          <w:rFonts w:ascii="Times New Roman" w:hAnsi="Times New Roman" w:eastAsia="黑体"/>
          <w:color w:val="auto"/>
          <w:sz w:val="28"/>
          <w:szCs w:val="28"/>
          <w:highlight w:val="none"/>
        </w:rPr>
        <w:t xml:space="preserve">15、磋商响应函</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15.1</w:t>
      </w:r>
      <w:r>
        <w:rPr>
          <w:rFonts w:ascii="Times New Roman" w:hAnsi="Times New Roman"/>
          <w:color w:val="auto"/>
          <w:sz w:val="24"/>
          <w:szCs w:val="21"/>
          <w:highlight w:val="none"/>
        </w:rPr>
        <w:t xml:space="preserve">供应商应按照磋商文件中提供的格式完整、正确填写磋商响应函。</w:t>
      </w:r>
      <w:bookmarkEnd w:id="104"/>
      <w:bookmarkEnd w:id="105"/>
      <w:r/>
    </w:p>
    <w:p>
      <w:pPr>
        <w:ind w:firstLine="560"/>
        <w:keepLines/>
        <w:keepNext/>
        <w:spacing w:line="400" w:lineRule="exact"/>
        <w:rPr>
          <w:rFonts w:ascii="Times New Roman" w:hAnsi="Times New Roman" w:eastAsia="黑体"/>
          <w:color w:val="auto"/>
          <w:sz w:val="28"/>
          <w:szCs w:val="28"/>
          <w:highlight w:val="none"/>
        </w:rPr>
        <w:outlineLvl w:val="3"/>
      </w:pPr>
      <w:r/>
      <w:bookmarkStart w:id="106" w:name="_Toc49090511"/>
      <w:r/>
      <w:bookmarkStart w:id="107" w:name="_Toc14577360"/>
      <w:r>
        <w:rPr>
          <w:rFonts w:ascii="Times New Roman" w:hAnsi="Times New Roman" w:eastAsia="黑体"/>
          <w:color w:val="auto"/>
          <w:sz w:val="28"/>
          <w:szCs w:val="28"/>
          <w:highlight w:val="none"/>
        </w:rPr>
        <w:t xml:space="preserve">16、磋商有效期</w:t>
      </w:r>
      <w:bookmarkEnd w:id="106"/>
      <w:r/>
      <w:bookmarkEnd w:id="107"/>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16.1磋商有效期为代理机构人员规定的提交响应文件截止之日后</w:t>
      </w:r>
      <w:r>
        <w:rPr>
          <w:rFonts w:ascii="Times New Roman" w:hAnsi="Times New Roman"/>
          <w:b/>
          <w:color w:val="auto"/>
          <w:sz w:val="24"/>
          <w:szCs w:val="21"/>
          <w:highlight w:val="none"/>
          <w:u w:val="single"/>
        </w:rPr>
        <w:t xml:space="preserve">六十（60）天</w:t>
      </w:r>
      <w:r>
        <w:rPr>
          <w:rFonts w:ascii="Times New Roman" w:hAnsi="Times New Roman"/>
          <w:bCs/>
          <w:color w:val="auto"/>
          <w:sz w:val="24"/>
          <w:szCs w:val="21"/>
          <w:highlight w:val="none"/>
        </w:rPr>
        <w:t xml:space="preserve">。磋商有效期比规定短的将被视为非实质性响应磋商文件而予以拒绝。</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17、磋商有效期的延长</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 xml:space="preserve">受磋商有效期约束的所有权利与义务均延长至新的有效期</w:t>
      </w:r>
      <w:r>
        <w:rPr>
          <w:rFonts w:ascii="Times New Roman" w:hAnsi="Times New Roman"/>
          <w:bCs/>
          <w:color w:val="auto"/>
          <w:sz w:val="24"/>
          <w:szCs w:val="21"/>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08" w:name="_Hlt26954739"/>
      <w:r/>
      <w:bookmarkEnd w:id="108"/>
      <w:r/>
      <w:bookmarkStart w:id="109" w:name="_Hlt26954852"/>
      <w:r/>
      <w:bookmarkEnd w:id="109"/>
      <w:r/>
      <w:bookmarkStart w:id="110" w:name="_Toc120614217"/>
      <w:r/>
      <w:bookmarkStart w:id="111" w:name="_Toc20823296"/>
      <w:r/>
      <w:bookmarkStart w:id="112" w:name="_Toc16938540"/>
      <w:r/>
      <w:bookmarkStart w:id="113" w:name="_Toc513029224"/>
      <w:r>
        <w:rPr>
          <w:rFonts w:ascii="Times New Roman" w:hAnsi="Times New Roman"/>
          <w:b/>
          <w:bCs/>
          <w:color w:val="auto"/>
          <w:sz w:val="32"/>
          <w:szCs w:val="32"/>
          <w:highlight w:val="none"/>
        </w:rPr>
        <w:t xml:space="preserve">四、响应文件的递交</w:t>
      </w:r>
      <w:bookmarkEnd w:id="110"/>
      <w:r/>
      <w:bookmarkEnd w:id="111"/>
      <w:r/>
      <w:bookmarkEnd w:id="112"/>
      <w:r/>
      <w:bookmarkEnd w:id="113"/>
      <w:r/>
      <w:r/>
    </w:p>
    <w:p>
      <w:pPr>
        <w:ind w:firstLine="560"/>
        <w:keepLines/>
        <w:keepNext/>
        <w:spacing w:line="400" w:lineRule="exact"/>
        <w:rPr>
          <w:rFonts w:ascii="Times New Roman" w:hAnsi="Times New Roman" w:eastAsia="黑体"/>
          <w:color w:val="auto"/>
          <w:sz w:val="28"/>
          <w:szCs w:val="28"/>
          <w:highlight w:val="none"/>
        </w:rPr>
        <w:outlineLvl w:val="3"/>
      </w:pPr>
      <w:r/>
      <w:bookmarkStart w:id="114" w:name="_Toc16938541"/>
      <w:r/>
      <w:bookmarkStart w:id="115" w:name="_Toc20823297"/>
      <w:r/>
      <w:bookmarkStart w:id="116" w:name="_Toc462564084"/>
      <w:r/>
      <w:bookmarkStart w:id="117" w:name="_Toc513029225"/>
      <w:r>
        <w:rPr>
          <w:rFonts w:ascii="Times New Roman" w:hAnsi="Times New Roman" w:eastAsia="黑体"/>
          <w:color w:val="auto"/>
          <w:sz w:val="28"/>
          <w:szCs w:val="28"/>
          <w:highlight w:val="none"/>
        </w:rPr>
        <w:t xml:space="preserve">18、电子磋商</w:t>
      </w:r>
      <w:bookmarkEnd w:id="114"/>
      <w:r/>
      <w:bookmarkEnd w:id="115"/>
      <w:r/>
      <w:bookmarkEnd w:id="116"/>
      <w:r/>
      <w:bookmarkEnd w:id="117"/>
      <w:r>
        <w:rPr>
          <w:rFonts w:ascii="Times New Roman" w:hAnsi="Times New Roman" w:eastAsia="黑体"/>
          <w:color w:val="auto"/>
          <w:sz w:val="28"/>
          <w:szCs w:val="28"/>
          <w:highlight w:val="none"/>
        </w:rPr>
        <w:t xml:space="preserve">响应文件的递交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18.1供应商应当按照《操作手册》规定，在提交响应文件截止时间前制作并上传电子响应文件。</w:t>
      </w:r>
      <w:bookmarkStart w:id="118" w:name="_Toc513029226"/>
      <w:r/>
      <w:bookmarkStart w:id="119" w:name="_Toc16938542"/>
      <w:r/>
      <w:bookmarkStart w:id="120" w:name="_Toc20823298"/>
      <w:r/>
      <w:r/>
    </w:p>
    <w:p>
      <w:pPr>
        <w:ind w:firstLine="560"/>
        <w:keepLines/>
        <w:keepNext/>
        <w:spacing w:before="280" w:after="290" w:line="400" w:lineRule="exact"/>
        <w:rPr>
          <w:rFonts w:ascii="Times New Roman" w:hAnsi="Times New Roman" w:eastAsia="黑体"/>
          <w:bCs/>
          <w:color w:val="auto"/>
          <w:sz w:val="24"/>
          <w:szCs w:val="28"/>
          <w:highlight w:val="none"/>
        </w:rPr>
        <w:outlineLvl w:val="3"/>
      </w:pPr>
      <w:r>
        <w:rPr>
          <w:rFonts w:ascii="Times New Roman" w:hAnsi="Times New Roman" w:eastAsia="黑体"/>
          <w:bCs/>
          <w:color w:val="auto"/>
          <w:sz w:val="28"/>
          <w:szCs w:val="28"/>
          <w:highlight w:val="none"/>
        </w:rPr>
        <w:t xml:space="preserve">19、提交响应文件截止时间</w:t>
      </w:r>
      <w:bookmarkEnd w:id="118"/>
      <w:r/>
      <w:bookmarkEnd w:id="119"/>
      <w:r/>
      <w:bookmarkEnd w:id="120"/>
      <w:r/>
      <w:r/>
    </w:p>
    <w:p>
      <w:pPr>
        <w:ind w:firstLine="480"/>
        <w:spacing w:line="520" w:lineRule="exact"/>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19.2</w:t>
      </w:r>
      <w:r>
        <w:rPr>
          <w:rFonts w:ascii="Times New Roman" w:hAnsi="Times New Roman"/>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21" w:name="_Toc20823299"/>
      <w:r/>
      <w:bookmarkStart w:id="122" w:name="_Toc16938543"/>
      <w:r/>
      <w:bookmarkStart w:id="123" w:name="_Toc513029227"/>
      <w:r>
        <w:rPr>
          <w:rFonts w:ascii="Times New Roman" w:hAnsi="Times New Roman" w:eastAsia="黑体"/>
          <w:color w:val="auto"/>
          <w:sz w:val="28"/>
          <w:szCs w:val="28"/>
          <w:highlight w:val="none"/>
        </w:rPr>
        <w:t xml:space="preserve">20、响应文件</w:t>
      </w:r>
      <w:bookmarkEnd w:id="121"/>
      <w:r/>
      <w:bookmarkEnd w:id="122"/>
      <w:r/>
      <w:bookmarkEnd w:id="123"/>
      <w:r>
        <w:rPr>
          <w:rFonts w:ascii="Times New Roman" w:hAnsi="Times New Roman" w:eastAsia="黑体"/>
          <w:color w:val="auto"/>
          <w:sz w:val="28"/>
          <w:szCs w:val="28"/>
          <w:highlight w:val="none"/>
        </w:rPr>
        <w:t xml:space="preserve">的拒收</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124" w:name="_Toc513029228"/>
      <w:r/>
      <w:bookmarkStart w:id="125" w:name="_Toc20823300"/>
      <w:r/>
      <w:bookmarkStart w:id="126" w:name="_Toc16938544"/>
      <w:r>
        <w:rPr>
          <w:rFonts w:ascii="Times New Roman" w:hAnsi="Times New Roman" w:eastAsia="黑体"/>
          <w:color w:val="auto"/>
          <w:sz w:val="28"/>
          <w:szCs w:val="28"/>
          <w:highlight w:val="none"/>
        </w:rPr>
        <w:t xml:space="preserve">21、响应文件的撤回和修改</w:t>
      </w:r>
      <w:bookmarkEnd w:id="124"/>
      <w:r/>
      <w:bookmarkEnd w:id="125"/>
      <w:r/>
      <w:bookmarkEnd w:id="126"/>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21.1.1 电子响应文件的撤回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截止时间前，撤回其电子响应文件，具体操作方法见《操作手册》。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21.1.2供应商撤回电子响应文件，则认为其不再参与本项目磋商活动。</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21.2响应文件的修改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截止时间前，对其电子响应文件进行修改，具体操作方法见《操作手册》。</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21.3</w:t>
      </w:r>
      <w:r>
        <w:rPr>
          <w:rFonts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21.4</w:t>
      </w:r>
      <w:r>
        <w:rPr>
          <w:rFonts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7" w:name="_Toc20823301"/>
      <w:r/>
      <w:bookmarkStart w:id="128" w:name="_Toc513029229"/>
      <w:r/>
      <w:bookmarkStart w:id="129" w:name="_Toc120614218"/>
      <w:r/>
      <w:bookmarkStart w:id="130" w:name="_Toc16938545"/>
      <w:r>
        <w:rPr>
          <w:rFonts w:ascii="Times New Roman" w:hAnsi="Times New Roman"/>
          <w:b/>
          <w:bCs/>
          <w:color w:val="auto"/>
          <w:sz w:val="32"/>
          <w:szCs w:val="32"/>
          <w:highlight w:val="none"/>
        </w:rPr>
        <w:t xml:space="preserve">五、响应文件的解密与评审</w:t>
      </w:r>
      <w:bookmarkEnd w:id="127"/>
      <w:r/>
      <w:bookmarkEnd w:id="128"/>
      <w:r/>
      <w:bookmarkEnd w:id="129"/>
      <w:r/>
      <w:bookmarkEnd w:id="130"/>
      <w:r/>
      <w:r/>
    </w:p>
    <w:p>
      <w:pPr>
        <w:ind w:firstLine="560"/>
        <w:keepLines/>
        <w:keepNext/>
        <w:spacing w:line="400" w:lineRule="exact"/>
        <w:rPr>
          <w:rFonts w:ascii="Times New Roman" w:hAnsi="Times New Roman" w:eastAsia="黑体"/>
          <w:color w:val="auto"/>
          <w:sz w:val="28"/>
          <w:szCs w:val="28"/>
          <w:highlight w:val="none"/>
        </w:rPr>
        <w:outlineLvl w:val="3"/>
      </w:pPr>
      <w:r/>
      <w:bookmarkStart w:id="131" w:name="_Toc20823302"/>
      <w:r/>
      <w:bookmarkStart w:id="132" w:name="_Toc513029230"/>
      <w:r/>
      <w:bookmarkStart w:id="133" w:name="_Toc16938546"/>
      <w:r>
        <w:rPr>
          <w:rFonts w:ascii="Times New Roman" w:hAnsi="Times New Roman" w:eastAsia="黑体"/>
          <w:color w:val="auto"/>
          <w:sz w:val="28"/>
          <w:szCs w:val="28"/>
          <w:highlight w:val="none"/>
        </w:rPr>
        <w:t xml:space="preserve">22、</w:t>
      </w:r>
      <w:bookmarkEnd w:id="131"/>
      <w:r/>
      <w:bookmarkEnd w:id="132"/>
      <w:r/>
      <w:bookmarkEnd w:id="133"/>
      <w:r>
        <w:rPr>
          <w:rFonts w:ascii="Times New Roman" w:hAnsi="Times New Roman" w:eastAsia="黑体"/>
          <w:color w:val="auto"/>
          <w:sz w:val="28"/>
          <w:szCs w:val="28"/>
          <w:highlight w:val="none"/>
        </w:rPr>
        <w:t xml:space="preserve">响应文件解密</w:t>
      </w:r>
      <w:r/>
    </w:p>
    <w:p>
      <w:pPr>
        <w:ind w:firstLine="480"/>
        <w:spacing w:line="400" w:lineRule="exact"/>
        <w:rPr>
          <w:rFonts w:ascii="Times New Roman" w:hAnsi="Times New Roman"/>
          <w:color w:val="auto"/>
          <w:szCs w:val="21"/>
          <w:highlight w:val="none"/>
        </w:rPr>
      </w:pPr>
      <w:r>
        <w:rPr>
          <w:rFonts w:ascii="Times New Roman" w:hAnsi="Times New Roman"/>
          <w:color w:val="auto"/>
          <w:sz w:val="24"/>
          <w:szCs w:val="21"/>
          <w:highlight w:val="none"/>
        </w:rPr>
        <w:t xml:space="preserve">22.1</w:t>
      </w:r>
      <w:r>
        <w:rPr>
          <w:rFonts w:ascii="Times New Roman" w:hAnsi="Times New Roman"/>
          <w:color w:val="auto"/>
          <w:sz w:val="24"/>
          <w:szCs w:val="24"/>
          <w:highlight w:val="none"/>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color w:val="auto"/>
          <w:sz w:val="28"/>
          <w:szCs w:val="28"/>
          <w:highlight w:val="none"/>
        </w:rPr>
        <w:outlineLvl w:val="3"/>
      </w:pPr>
      <w:r/>
      <w:bookmarkStart w:id="134" w:name="_Toc513029231"/>
      <w:r/>
      <w:bookmarkStart w:id="135" w:name="_Toc16938547"/>
      <w:r/>
      <w:bookmarkStart w:id="136" w:name="_Toc20823303"/>
      <w:r>
        <w:rPr>
          <w:rFonts w:ascii="Times New Roman" w:hAnsi="Times New Roman" w:eastAsia="黑体"/>
          <w:color w:val="auto"/>
          <w:sz w:val="28"/>
          <w:szCs w:val="28"/>
          <w:highlight w:val="none"/>
        </w:rPr>
        <w:t xml:space="preserve">23、磋商小组</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24、评审过程的保密与公正</w:t>
      </w:r>
      <w:bookmarkEnd w:id="134"/>
      <w:bookmarkEnd w:id="135"/>
      <w:bookmarkEnd w:id="136"/>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24.1</w:t>
      </w:r>
      <w:r>
        <w:rPr>
          <w:rFonts w:ascii="Times New Roman" w:hAnsi="Times New Roman"/>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24.2</w:t>
      </w:r>
      <w:r>
        <w:rPr>
          <w:rFonts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24.3</w:t>
      </w:r>
      <w:r>
        <w:rPr>
          <w:rFonts w:ascii="Times New Roman" w:hAnsi="Times New Roman"/>
          <w:color w:val="auto"/>
          <w:sz w:val="24"/>
          <w:szCs w:val="24"/>
          <w:highlight w:val="none"/>
        </w:rPr>
        <w:t xml:space="preserve">在项目评审期间，</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将设专门人员与供应商联系。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color w:val="auto"/>
          <w:sz w:val="28"/>
          <w:szCs w:val="28"/>
          <w:highlight w:val="none"/>
        </w:rPr>
        <w:outlineLvl w:val="3"/>
      </w:pPr>
      <w:r/>
      <w:bookmarkStart w:id="137" w:name="_Toc20823304"/>
      <w:r/>
      <w:bookmarkStart w:id="138" w:name="_Toc16938548"/>
      <w:r/>
      <w:bookmarkStart w:id="139" w:name="_Toc513029232"/>
      <w:r>
        <w:rPr>
          <w:rFonts w:ascii="Times New Roman" w:hAnsi="Times New Roman" w:eastAsia="黑体"/>
          <w:color w:val="auto"/>
          <w:sz w:val="28"/>
          <w:szCs w:val="28"/>
          <w:highlight w:val="none"/>
        </w:rPr>
        <w:t xml:space="preserve">25、评审过程中的的澄清</w:t>
      </w:r>
      <w:bookmarkEnd w:id="137"/>
      <w:r/>
      <w:bookmarkEnd w:id="138"/>
      <w:r/>
      <w:bookmarkEnd w:id="139"/>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磋商小组并非对每个供应商都作澄清要求。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140" w:name="_Toc20823305"/>
      <w:r/>
      <w:bookmarkStart w:id="141" w:name="_Toc16938549"/>
      <w:r/>
      <w:bookmarkStart w:id="142" w:name="_Toc513029233"/>
      <w:r>
        <w:rPr>
          <w:rFonts w:ascii="Times New Roman" w:hAnsi="Times New Roman" w:eastAsia="黑体"/>
          <w:color w:val="auto"/>
          <w:sz w:val="28"/>
          <w:szCs w:val="28"/>
          <w:highlight w:val="none"/>
        </w:rPr>
        <w:t xml:space="preserve">26、对响应文件的审</w:t>
      </w:r>
      <w:bookmarkEnd w:id="140"/>
      <w:r/>
      <w:bookmarkEnd w:id="141"/>
      <w:r/>
      <w:bookmarkEnd w:id="142"/>
      <w:r>
        <w:rPr>
          <w:rFonts w:ascii="Times New Roman" w:hAnsi="Times New Roman" w:eastAsia="黑体"/>
          <w:color w:val="auto"/>
          <w:sz w:val="28"/>
          <w:szCs w:val="28"/>
          <w:highlight w:val="none"/>
        </w:rPr>
        <w:t xml:space="preserve">查</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26.1</w:t>
      </w:r>
      <w:r>
        <w:rPr>
          <w:rFonts w:ascii="Times New Roman" w:hAnsi="Times New Roman"/>
          <w:bCs/>
          <w:color w:val="auto"/>
          <w:sz w:val="24"/>
          <w:szCs w:val="21"/>
          <w:highlight w:val="none"/>
        </w:rPr>
        <w:t xml:space="preserve">响应文件审查分为资格审查和符合性审查。</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26.1.3 未通过资格审查或符合性审查的供应商，磋商小组将在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26.2</w:t>
      </w:r>
      <w:r>
        <w:rPr>
          <w:rFonts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26.3未实质性响应磋商文件的情形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26.3.1供应商在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规定的时间内未成功解密电子响应文件的。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26.3.2供应商未按照磋商文件要求上传电子响应文件的。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26.3.3同一供应商提交两个（含两个）以上不同的响应文件或者最后报价的。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26.3.4供应商不具备磋商文件中规定资格要求的。</w:t>
      </w:r>
      <w:r/>
    </w:p>
    <w:p>
      <w:pPr>
        <w:ind w:firstLine="480"/>
        <w:spacing w:line="400" w:lineRule="exact"/>
        <w:rPr>
          <w:rFonts w:ascii="Times New Roman" w:hAnsi="Times New Roman"/>
          <w:b/>
          <w:color w:val="auto"/>
          <w:sz w:val="24"/>
          <w:szCs w:val="21"/>
          <w:highlight w:val="none"/>
        </w:rPr>
      </w:pPr>
      <w:r>
        <w:rPr>
          <w:rFonts w:ascii="Times New Roman" w:hAnsi="Times New Roman"/>
          <w:bCs/>
          <w:color w:val="auto"/>
          <w:sz w:val="24"/>
          <w:szCs w:val="21"/>
          <w:highlight w:val="none"/>
        </w:rPr>
        <w:t xml:space="preserve">26.3.5</w:t>
      </w:r>
      <w:r>
        <w:rPr>
          <w:rFonts w:ascii="Times New Roman" w:hAnsi="Times New Roman"/>
          <w:b/>
          <w:color w:val="auto"/>
          <w:sz w:val="24"/>
          <w:szCs w:val="21"/>
          <w:highlight w:val="none"/>
        </w:rPr>
        <w:t xml:space="preserve">供应商的最后报价超过了最高限价的。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26.3.6不符合磋商文件中规定的实质性要求和条件的</w:t>
      </w:r>
      <w:r>
        <w:rPr>
          <w:rFonts w:ascii="Times New Roman" w:hAnsi="Times New Roman"/>
          <w:bCs/>
          <w:i/>
          <w:color w:val="auto"/>
          <w:sz w:val="24"/>
          <w:szCs w:val="21"/>
          <w:highlight w:val="none"/>
        </w:rPr>
        <w:t xml:space="preserve">。</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26.3.8  响应文件含有采购人不能接受的附加条件的。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26.3.10响应文件未按照磋商文件要求加盖CA电子公章的。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w:t>
      </w:r>
      <w:r>
        <w:rPr>
          <w:rFonts w:hint="eastAsia" w:ascii="Times New Roman" w:hAnsi="Times New Roman"/>
          <w:bCs/>
          <w:color w:val="auto"/>
          <w:sz w:val="24"/>
          <w:szCs w:val="21"/>
          <w:highlight w:val="none"/>
        </w:rPr>
        <w:t xml:space="preserve">1异常低价审查</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（3）投标（响应）报价低于采购项目最高限价45%的，即投标（响应）报价&lt;采购项目最高限价×45%；</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基于专业判断，认为供应商报价过低，有可能影响产品质量或者不能诚信履约的其他情形。</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（5）</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应当将其作为无效投标（响应）处理。</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采购人、采购代理机构应当为</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借助互联网等渠道查询相关信息的，应当严格遵守评审工作纪律，不得实施影响评审公正的行为。</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异常低价投标（响应）审查的启动原因、审查意见和审查结果应当在评审报告中记录，并随供应商提供的相关书面说明及证明材料，以及</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有关互联网浏览、查询历史一并归档。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26.4未实质性响应磋商文件的响应文件按无效响应处理。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26.5</w:t>
      </w:r>
      <w:r>
        <w:rPr>
          <w:rFonts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color w:val="auto"/>
          <w:sz w:val="24"/>
          <w:szCs w:val="21"/>
          <w:highlight w:val="none"/>
        </w:rPr>
      </w:pPr>
      <w:r/>
      <w:bookmarkStart w:id="143" w:name="_Toc513029234"/>
      <w:r/>
      <w:bookmarkStart w:id="144" w:name="_Toc16938550"/>
      <w:r/>
      <w:bookmarkStart w:id="145" w:name="_Toc20823306"/>
      <w:r>
        <w:rPr>
          <w:rFonts w:ascii="Times New Roman" w:hAnsi="Times New Roman"/>
          <w:color w:val="auto"/>
          <w:sz w:val="24"/>
          <w:szCs w:val="21"/>
          <w:highlight w:val="none"/>
        </w:rPr>
        <w:t xml:space="preserve">26.6供应商在项目评审全过程中应保持通讯畅通，并安排专人与</w:t>
      </w:r>
      <w:r>
        <w:rPr>
          <w:rFonts w:ascii="Times New Roman" w:hAnsi="Times New Roman"/>
          <w:bCs/>
          <w:color w:val="auto"/>
          <w:sz w:val="24"/>
          <w:szCs w:val="21"/>
          <w:highlight w:val="none"/>
        </w:rPr>
        <w:t xml:space="preserve">代理机构人员</w:t>
      </w:r>
      <w:r>
        <w:rPr>
          <w:rFonts w:ascii="Times New Roman" w:hAnsi="Times New Roman"/>
          <w:color w:val="auto"/>
          <w:sz w:val="24"/>
          <w:szCs w:val="21"/>
          <w:highlight w:val="none"/>
        </w:rPr>
        <w:t xml:space="preserve">及磋商小组联系。</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27、</w:t>
      </w:r>
      <w:bookmarkEnd w:id="143"/>
      <w:r/>
      <w:bookmarkEnd w:id="144"/>
      <w:r/>
      <w:bookmarkEnd w:id="145"/>
      <w:r>
        <w:rPr>
          <w:rFonts w:ascii="Times New Roman" w:hAnsi="Times New Roman" w:eastAsia="黑体"/>
          <w:color w:val="auto"/>
          <w:sz w:val="28"/>
          <w:szCs w:val="28"/>
          <w:highlight w:val="none"/>
        </w:rPr>
        <w:t xml:space="preserve">磋商程序及评审方法和评审标准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27.1磋商程序</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rPr>
        <w:t xml:space="preserve">10</w:t>
      </w:r>
      <w:r>
        <w:rPr>
          <w:rFonts w:ascii="Times New Roman" w:hAnsi="Times New Roman"/>
          <w:b/>
          <w:bCs/>
          <w:color w:val="auto"/>
          <w:sz w:val="24"/>
          <w:szCs w:val="24"/>
          <w:highlight w:val="none"/>
        </w:rPr>
        <w:t xml:space="preserve">分钟）提交最后报价。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 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27.2.2评审标准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见本磋商文件第五章规定。</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27.3采购活动终止的情况</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出现下列情形之一的，本次竞争性磋商采购活动将被终止：</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27.3.1因情况变化，不再符合规定的竞争性磋商采购方式适用情形的。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27.3.2出现影响采购公正的违法、违规行为的。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27.3.4在苏采云系统规定时间内成功解密电子响应文件的供应商不足3家的。</w:t>
      </w:r>
      <w:r/>
    </w:p>
    <w:p>
      <w:pPr>
        <w:ind w:firstLine="420"/>
        <w:spacing w:after="120" w:line="460" w:lineRule="exact"/>
        <w:tabs>
          <w:tab w:val="left" w:pos="900" w:leader="none"/>
        </w:tabs>
        <w:rPr>
          <w:rFonts w:ascii="Times New Roman" w:hAnsi="Times New Roman"/>
          <w:color w:val="auto"/>
          <w:sz w:val="24"/>
          <w:szCs w:val="24"/>
          <w:highlight w:val="none"/>
        </w:rPr>
      </w:pPr>
      <w:r/>
      <w:bookmarkStart w:id="146" w:name="_Toc20823307"/>
      <w:r/>
      <w:bookmarkStart w:id="147" w:name="_Toc16938551"/>
      <w:r/>
      <w:bookmarkStart w:id="148" w:name="_Toc513029235"/>
      <w:r/>
      <w:bookmarkStart w:id="149" w:name="_Toc120614219"/>
      <w:r>
        <w:rPr>
          <w:rFonts w:ascii="Times New Roman" w:hAnsi="Times New Roman"/>
          <w:color w:val="auto"/>
          <w:sz w:val="24"/>
          <w:szCs w:val="24"/>
          <w:highlight w:val="none"/>
        </w:rPr>
        <w:t xml:space="preserve">27.3.5因重大变故，采购任务取消的。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27.3.6磋商小组认定磋商文件存在歧义、重大缺陷导致评审工作无法进行。</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27.3.7因系统故障原因造成磋商无法继续进行的。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27.4响应文件提交截止时间结束后参加磋商的供应商不足三家的处理：</w:t>
      </w:r>
      <w:r/>
    </w:p>
    <w:p>
      <w:pPr>
        <w:ind w:firstLine="420"/>
        <w:spacing w:after="120" w:line="460" w:lineRule="exact"/>
        <w:tabs>
          <w:tab w:val="left" w:pos="900" w:leader="none"/>
        </w:tabs>
        <w:rPr>
          <w:rFonts w:ascii="Times New Roman" w:hAnsi="Times New Roman"/>
          <w:b/>
          <w:bCs/>
          <w:color w:val="auto"/>
          <w:sz w:val="32"/>
          <w:szCs w:val="32"/>
          <w:highlight w:val="none"/>
        </w:rPr>
      </w:pPr>
      <w:r>
        <w:rPr>
          <w:rFonts w:ascii="Times New Roman" w:hAnsi="Times New Roman"/>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w:t>
      </w:r>
      <w:bookmarkEnd w:id="146"/>
      <w:r/>
      <w:bookmarkEnd w:id="147"/>
      <w:r/>
      <w:bookmarkEnd w:id="148"/>
      <w:r/>
      <w:bookmarkEnd w:id="149"/>
      <w:r>
        <w:rPr>
          <w:rFonts w:ascii="Times New Roman" w:hAnsi="Times New Roman"/>
          <w:b/>
          <w:bCs/>
          <w:color w:val="auto"/>
          <w:sz w:val="32"/>
          <w:szCs w:val="32"/>
          <w:highlight w:val="none"/>
        </w:rPr>
        <w:t xml:space="preserve">成交</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50" w:name="_Toc513029238"/>
      <w:r/>
      <w:bookmarkStart w:id="151" w:name="_Toc20823310"/>
      <w:r/>
      <w:bookmarkStart w:id="152" w:name="_Toc16938554"/>
      <w:r>
        <w:rPr>
          <w:rFonts w:ascii="Times New Roman" w:hAnsi="Times New Roman" w:eastAsia="黑体"/>
          <w:bCs/>
          <w:color w:val="auto"/>
          <w:sz w:val="30"/>
          <w:szCs w:val="30"/>
          <w:highlight w:val="none"/>
        </w:rPr>
        <w:t xml:space="preserve">28、</w:t>
      </w:r>
      <w:bookmarkEnd w:id="150"/>
      <w:r>
        <w:rPr>
          <w:rFonts w:ascii="Times New Roman" w:hAnsi="Times New Roman" w:eastAsia="黑体"/>
          <w:bCs/>
          <w:color w:val="auto"/>
          <w:sz w:val="30"/>
          <w:szCs w:val="30"/>
          <w:highlight w:val="none"/>
        </w:rPr>
        <w:t xml:space="preserve">确定</w:t>
      </w:r>
      <w:bookmarkEnd w:id="151"/>
      <w:r/>
      <w:bookmarkEnd w:id="152"/>
      <w:r>
        <w:rPr>
          <w:rFonts w:ascii="Times New Roman" w:hAnsi="Times New Roman" w:eastAsia="黑体"/>
          <w:bCs/>
          <w:color w:val="auto"/>
          <w:sz w:val="30"/>
          <w:szCs w:val="30"/>
          <w:highlight w:val="none"/>
        </w:rPr>
        <w:t xml:space="preserve">成交单位</w:t>
      </w:r>
      <w:r/>
    </w:p>
    <w:p>
      <w:pPr>
        <w:ind w:firstLine="480"/>
        <w:spacing w:after="120" w:line="400" w:lineRule="exact"/>
        <w:tabs>
          <w:tab w:val="left" w:pos="900" w:leader="none"/>
        </w:tabs>
        <w:rPr>
          <w:rFonts w:ascii="Times New Roman" w:hAnsi="Times New Roman"/>
          <w:color w:val="auto"/>
          <w:sz w:val="24"/>
          <w:szCs w:val="21"/>
          <w:highlight w:val="none"/>
        </w:rPr>
      </w:pPr>
      <w:r>
        <w:rPr>
          <w:rFonts w:ascii="Times New Roman" w:hAnsi="Times New Roman"/>
          <w:bCs/>
          <w:color w:val="auto"/>
          <w:sz w:val="24"/>
          <w:szCs w:val="21"/>
          <w:highlight w:val="none"/>
        </w:rPr>
        <w:t xml:space="preserve">28.1</w:t>
      </w:r>
      <w:r>
        <w:rPr>
          <w:rFonts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28.2采购人授权磋商小组直接确定排名第一的成交候选供应商为成交供应商。确定成交供应商之日起2个工作日内，采购人或代理机构将在“江苏政府采购网”发布成交结果公告，公告期限为1个工作日。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28.3.1提供虚假材料谋取成交的。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28.3.2与评审专家、采购人、其他供应商或者代理机构工作人员恶意串通的。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28.3.3向评审专家、采购人或代理机构工作人员行贿或者提供其他不正当利益的。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28.3.4恶意竞争，最后报价明显低于其自身合理成本且又无法提供证明的。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28.3.5不满足本磋商文件规定的实质性要求，但在评审过程中又未被磋商小组发现的。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28.3.7将政府采购合同转包的。</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53" w:name="_Toc200451960"/>
      <w:r>
        <w:rPr>
          <w:rFonts w:ascii="Times New Roman" w:hAnsi="Times New Roman" w:eastAsia="黑体"/>
          <w:bCs/>
          <w:color w:val="auto"/>
          <w:sz w:val="30"/>
          <w:szCs w:val="30"/>
          <w:highlight w:val="none"/>
        </w:rPr>
        <w:t xml:space="preserve">29、质疑处理</w:t>
      </w:r>
      <w:bookmarkEnd w:id="153"/>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29.2.2</w:t>
      </w:r>
      <w:r>
        <w:rPr>
          <w:rFonts w:ascii="Times New Roman" w:hAnsi="Times New Roman"/>
          <w:color w:val="auto"/>
          <w:sz w:val="24"/>
          <w:szCs w:val="24"/>
          <w:highlight w:val="none"/>
        </w:rPr>
        <w:t xml:space="preserve">对采购过程提出质疑的，为各采购程序环节结束之日。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29.2.3</w:t>
      </w:r>
      <w:r>
        <w:rPr>
          <w:rFonts w:ascii="Times New Roman" w:hAnsi="Times New Roman"/>
          <w:color w:val="auto"/>
          <w:sz w:val="24"/>
          <w:szCs w:val="24"/>
          <w:highlight w:val="none"/>
        </w:rPr>
        <w:t xml:space="preserve">对成交结果提出质疑的，为成交结果公告期限届满之日。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、采购人将只对供应商第一次质疑作出答复。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采购人及代理机构人员只接收以纸质原件形式送达的质疑,建议供应商尽量通过邮寄方式提交质疑</w:t>
      </w:r>
      <w:r>
        <w:rPr>
          <w:rFonts w:ascii="Times New Roman" w:hAnsi="Times New Roman"/>
          <w:b/>
          <w:bCs/>
          <w:color w:val="auto"/>
          <w:sz w:val="24"/>
          <w:szCs w:val="24"/>
          <w:highlight w:val="none"/>
        </w:rPr>
        <w:t xml:space="preserve">（采购人和代理机构不接受无快递运单号的快递）。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采购人或代理机构质疑接收人及联系方式见本磋商文件第一章。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 以下情形的质疑不予受理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29.5.1 内容不符合《政府采购质疑和投诉办法》第十二条规定的质疑。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29.5.2 超出政府采购法定期限的质疑。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29.5.3 以传真、电子邮件等方式递交的非原件形式的质疑。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29.5.4 未参加磋商活动的供应商或在磋商活动中自身权益未受到损害的供应商所提出的质疑。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29.5.5供应商组成联合体参加磋商，联合体中任何一方或多方未按要求签字、盖章、加盖公章的质疑。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38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30、成交通知书</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380" w:lineRule="exact"/>
        <w:rPr>
          <w:rFonts w:ascii="Times New Roman" w:hAnsi="Times New Roman"/>
          <w:b/>
          <w:bCs/>
          <w:color w:val="auto"/>
          <w:sz w:val="32"/>
          <w:szCs w:val="32"/>
          <w:highlight w:val="none"/>
        </w:rPr>
        <w:outlineLvl w:val="2"/>
      </w:pPr>
      <w:r/>
      <w:bookmarkStart w:id="154" w:name="_Toc120614220"/>
      <w:r/>
      <w:bookmarkStart w:id="155" w:name="_Toc20823308"/>
      <w:r/>
      <w:bookmarkStart w:id="156" w:name="_Toc16938552"/>
      <w:r/>
      <w:bookmarkStart w:id="157" w:name="_Toc513029236"/>
      <w:r>
        <w:rPr>
          <w:rFonts w:ascii="Times New Roman" w:hAnsi="Times New Roman"/>
          <w:b/>
          <w:bCs/>
          <w:color w:val="auto"/>
          <w:sz w:val="32"/>
          <w:szCs w:val="32"/>
          <w:highlight w:val="none"/>
        </w:rPr>
        <w:t xml:space="preserve">七、授予合同</w:t>
      </w:r>
      <w:bookmarkEnd w:id="154"/>
      <w:r/>
      <w:bookmarkEnd w:id="155"/>
      <w:bookmarkEnd w:id="156"/>
      <w:bookmarkEnd w:id="157"/>
      <w:r/>
    </w:p>
    <w:p>
      <w:pPr>
        <w:ind w:firstLine="600"/>
        <w:keepLines/>
        <w:keepNext/>
        <w:spacing w:line="380" w:lineRule="exact"/>
        <w:rPr>
          <w:rFonts w:ascii="Times New Roman" w:hAnsi="Times New Roman" w:eastAsia="黑体"/>
          <w:bCs/>
          <w:color w:val="auto"/>
          <w:sz w:val="30"/>
          <w:szCs w:val="30"/>
          <w:highlight w:val="none"/>
        </w:rPr>
        <w:outlineLvl w:val="3"/>
      </w:pPr>
      <w:r/>
      <w:bookmarkStart w:id="158" w:name="_Toc16938553"/>
      <w:r/>
      <w:bookmarkStart w:id="159" w:name="_Toc20823309"/>
      <w:r/>
      <w:bookmarkStart w:id="160" w:name="_Toc513029237"/>
      <w:r>
        <w:rPr>
          <w:rFonts w:ascii="Times New Roman" w:hAnsi="Times New Roman" w:eastAsia="黑体"/>
          <w:bCs/>
          <w:color w:val="auto"/>
          <w:sz w:val="30"/>
          <w:szCs w:val="30"/>
          <w:highlight w:val="none"/>
        </w:rPr>
        <w:t xml:space="preserve">31. 签订合同</w:t>
      </w:r>
      <w:r/>
    </w:p>
    <w:p>
      <w:pPr>
        <w:ind w:firstLine="480"/>
        <w:spacing w:line="38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31</w:t>
      </w:r>
      <w:r>
        <w:rPr>
          <w:rFonts w:ascii="Times New Roman" w:hAnsi="Times New Roman"/>
          <w:color w:val="auto"/>
          <w:sz w:val="24"/>
          <w:szCs w:val="24"/>
          <w:highlight w:val="none"/>
        </w:rPr>
        <w:t xml:space="preserve">.l成交供应商应当在成交通知书发出之日起三十日内，按照磋商文件确定的事项与采购人签订政府采购合同。</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31.2磋商文件、成交供应商的响应文件及磋商过程中有关澄清、承诺文件均应作为合同附件。</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38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32、标的物的追加</w:t>
      </w:r>
      <w:bookmarkEnd w:id="158"/>
      <w:bookmarkEnd w:id="159"/>
      <w:bookmarkEnd w:id="160"/>
      <w:r/>
    </w:p>
    <w:p>
      <w:pPr>
        <w:ind w:firstLine="600"/>
        <w:spacing w:line="380" w:lineRule="exact"/>
        <w:rPr>
          <w:rFonts w:ascii="Times New Roman" w:hAnsi="Times New Roman"/>
          <w:color w:val="auto"/>
          <w:sz w:val="24"/>
          <w:szCs w:val="24"/>
          <w:highlight w:val="none"/>
        </w:rPr>
      </w:pPr>
      <w:r/>
      <w:bookmarkStart w:id="161" w:name="_Toc16938558"/>
      <w:r/>
      <w:bookmarkStart w:id="162" w:name="_Toc20823314"/>
      <w:r/>
      <w:bookmarkStart w:id="163" w:name="_Toc479757207"/>
      <w:r/>
      <w:bookmarkStart w:id="164" w:name="_Toc120614221"/>
      <w:r/>
      <w:bookmarkStart w:id="165" w:name="_Toc513029242"/>
      <w:r>
        <w:rPr>
          <w:rFonts w:ascii="Times New Roman" w:hAnsi="Times New Roman"/>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33、政府采购履约资金扶持政策</w:t>
      </w:r>
      <w:r/>
    </w:p>
    <w:p>
      <w:pPr>
        <w:ind w:firstLine="480"/>
        <w:keepNext/>
        <w:spacing w:line="380" w:lineRule="exact"/>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rPr>
          <w:color w:val="auto"/>
          <w:highlight w:val="none"/>
        </w:rPr>
      </w:pPr>
      <w:r>
        <w:rPr>
          <w:color w:val="auto"/>
          <w:highlight w:val="none"/>
        </w:rPr>
      </w:r>
      <w:bookmarkEnd w:id="161"/>
      <w:bookmarkEnd w:id="162"/>
      <w:bookmarkEnd w:id="163"/>
      <w:bookmarkEnd w:id="164"/>
      <w:bookmarkEnd w:id="165"/>
      <w:r/>
    </w:p>
    <w:p>
      <w:pPr>
        <w:spacing w:line="400" w:lineRule="exact"/>
        <w:rPr>
          <w:rFonts w:ascii="Times New Roman" w:hAnsi="Times New Roman"/>
          <w:bCs/>
          <w:color w:val="auto"/>
          <w:sz w:val="24"/>
          <w:szCs w:val="21"/>
          <w:highlight w:val="none"/>
        </w:rPr>
      </w:pPr>
      <w:r/>
      <w:bookmarkStart w:id="166" w:name="_Toc513029243"/>
      <w:r/>
      <w:bookmarkStart w:id="167" w:name="_Toc16938559"/>
      <w:r/>
      <w:bookmarkStart w:id="168" w:name="_Toc20823315"/>
      <w:r/>
      <w:r/>
    </w:p>
    <w:p>
      <w:pPr>
        <w:ind w:firstLine="723"/>
        <w:jc w:val="center"/>
        <w:keepNext/>
        <w:spacing w:line="400" w:lineRule="exact"/>
        <w:rPr>
          <w:rFonts w:ascii="Times New Roman" w:hAnsi="Times New Roman"/>
          <w:bCs/>
          <w:color w:val="auto"/>
          <w:sz w:val="24"/>
          <w:szCs w:val="21"/>
          <w:highlight w:val="none"/>
        </w:rPr>
        <w:outlineLvl w:val="0"/>
      </w:pPr>
      <w:r>
        <w:rPr>
          <w:rFonts w:ascii="Times New Roman" w:hAnsi="Times New Roman"/>
          <w:b/>
          <w:bCs/>
          <w:color w:val="auto"/>
          <w:sz w:val="36"/>
          <w:szCs w:val="36"/>
          <w:highlight w:val="none"/>
        </w:rPr>
        <w:t xml:space="preserve">第三章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合同文本</w:t>
      </w:r>
      <w:r/>
    </w:p>
    <w:p>
      <w:pPr>
        <w:ind w:firstLine="480"/>
        <w:spacing w:line="400" w:lineRule="exact"/>
        <w:rPr>
          <w:rFonts w:ascii="Times New Roman" w:hAnsi="Times New Roman"/>
          <w:b/>
          <w:color w:val="auto"/>
          <w:sz w:val="30"/>
          <w:szCs w:val="21"/>
          <w:highlight w:val="none"/>
        </w:rPr>
      </w:pPr>
      <w:r>
        <w:rPr>
          <w:rFonts w:ascii="Times New Roman" w:hAnsi="Times New Roman"/>
          <w:bCs/>
          <w:color w:val="auto"/>
          <w:sz w:val="24"/>
          <w:szCs w:val="21"/>
          <w:highlight w:val="none"/>
        </w:rPr>
        <w:t xml:space="preserve">以下为成交后签定本项目合同的通用条款，成交供应商不得提出实质性的修改。</w:t>
      </w:r>
      <w:r/>
    </w:p>
    <w:p>
      <w:pPr>
        <w:ind w:firstLine="643"/>
        <w:jc w:val="center"/>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江苏省政府采购合同（合同编号）</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项目名称：</w:t>
      </w:r>
      <w:r>
        <w:rPr>
          <w:rFonts w:hint="eastAsia" w:ascii="Times New Roman" w:hAnsi="Times New Roman"/>
          <w:color w:val="auto"/>
          <w:sz w:val="24"/>
          <w:szCs w:val="24"/>
          <w:highlight w:val="none"/>
        </w:rPr>
        <w:t xml:space="preserve">如东黄金海岸山水林田湖草沙一体化保护和修复示范工程全过程监测监管与成效评估项目</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项目编号：</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甲方：（买方）</w:t>
      </w:r>
      <w:r>
        <w:rPr>
          <w:rFonts w:hint="eastAsia" w:ascii="Times New Roman" w:hAnsi="Times New Roman"/>
          <w:color w:val="auto"/>
          <w:sz w:val="24"/>
          <w:szCs w:val="24"/>
          <w:highlight w:val="none"/>
        </w:rPr>
        <w:t xml:space="preserve">如东县自然资源和规划局</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乙方：（卖方）</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根据《中华人民共和国民法典》、《中华人民共和国政府采购法》等法律法规的规定以及项目采购结果，甲乙双方遵循平等、自愿、公平、诚实信用的原则，就</w:t>
      </w:r>
      <w:r>
        <w:rPr>
          <w:rFonts w:hint="eastAsia" w:ascii="Times New Roman" w:hAnsi="Times New Roman"/>
          <w:color w:val="auto"/>
          <w:sz w:val="24"/>
          <w:szCs w:val="24"/>
          <w:highlight w:val="none"/>
        </w:rPr>
        <w:t xml:space="preserve">如东黄金海岸山水林田湖草沙一体化保护和修复示范工程全过程监测监管与成效评估</w:t>
      </w:r>
      <w:r>
        <w:rPr>
          <w:rFonts w:ascii="Times New Roman" w:hAnsi="Times New Roman"/>
          <w:color w:val="auto"/>
          <w:sz w:val="24"/>
          <w:szCs w:val="24"/>
          <w:highlight w:val="none"/>
        </w:rPr>
        <w:t xml:space="preserve">项目事宜经双方协商一致，订立本合同。</w:t>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一、合同内容</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 标的名称：</w:t>
      </w:r>
      <w:r>
        <w:rPr>
          <w:rFonts w:hint="eastAsia" w:ascii="Times New Roman" w:hAnsi="Times New Roman"/>
          <w:color w:val="auto"/>
          <w:sz w:val="24"/>
          <w:szCs w:val="24"/>
          <w:highlight w:val="none"/>
        </w:rPr>
        <w:t xml:space="preserve">如东黄金海岸山水林田湖草沙一体化保护和修复示范工程全过程监测监管与成效评估项目</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1.2标的质量：</w:t>
      </w:r>
      <w:r>
        <w:rPr>
          <w:rFonts w:hint="eastAsia" w:ascii="Times New Roman" w:hAnsi="Times New Roman"/>
          <w:color w:val="auto"/>
          <w:sz w:val="24"/>
          <w:szCs w:val="24"/>
          <w:highlight w:val="none"/>
        </w:rPr>
        <w:t xml:space="preserve">按照省自然资源厅、生态环境厅、财政厅《江苏省省级山水林田湖草沙一体化保护和修复工程项目及资金管理办法》（苏自然资发[2025]256号）要求，使用省级财政资金的省级山水工程需开展项目日常监管、生态监测和成效评估。</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开展项目监督检查以及对发现问题整改督促，编写与项目监管相关的现场巡查记录、不定时参加项目监管例会。</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核查工程资料内容一致性、绩效完成度、合规合理性、管理规范性，确保资料真实、准确、完整、规范，符合相关技术标准和验收规范要求。</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审查子项目验收绩效完成情况，协助形成项目初验报告和终验申请材料，协助专家审查论证。</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提供采用卫星遥感等技术进行动态监测的分析报告及数据成果，证明对项目进展进行了客观、定期的掌握。实地核查须提供覆盖所有关键时间节点与重点区域的现场踏勘记录、实地核查记录及影像资料，证明核查工作的频次与深度达到要求。</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 服务内容及范围（规模）：</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1.3.1 全过程监测、监管</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按照《国土空间生态保护修复工程成效评估规范（TD∕T1102-2024）》要求，采用卫星遥感、实地调查、采样测试等技术手段，开展工程区域“天-空-地”一体化的生态系统全要素状况监测。具体包括：开展工程区2026、2027年度两期现场生态监测，监测内容包括河流岸线监测、水土环境监测、植被监测，以及相关水质、土壤、水生生物样品采集等；并构建科学合理的生态系统评价指标体系，基于工程区生态本底调查与生态监测数据，对工程区域开展生态系统结构、质量、服务功能综合评价。</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每</w:t>
      </w:r>
      <w:r>
        <w:rPr>
          <w:rFonts w:hint="eastAsia" w:ascii="Times New Roman" w:hAnsi="Times New Roman"/>
          <w:color w:val="auto"/>
          <w:sz w:val="24"/>
          <w:szCs w:val="24"/>
          <w:highlight w:val="none"/>
        </w:rPr>
        <w:t xml:space="preserve">个子项目实施区域根据自然地理条件、工程建设内容和规模布设相应的水环境、水生态、土壤、植被等监测点位。开展生态遥感监测，面向山水工程关注的生态系统破碎度、连通性等问题，采用多源卫星遥感观测的方法，开展如东黄金海岸山水林田湖草沙一体化保护和修复示范工程区内湿地、林地等各类生态系统类型、分布、面积，保护与利用、受威胁状况等现状及变化情况、植被覆盖情况（植被类型、植被面积）、人类活动状况（活动类型、活动面积）等进行监测。全面掌握如东黄金海岸山水林田湖草沙一体化保护和修复示范工程区内湿地、林地等各类生态系统变化趋势。</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项目全过程监测监管包括编写监测监管工作方案和报告，以及相关文档资料、影像资料。采用卫星遥感、实地调查、采样测试等技术手段开展工程区域生态系统全要素状况监测，</w:t>
      </w:r>
      <w:r>
        <w:rPr>
          <w:rFonts w:hint="eastAsia" w:ascii="Times New Roman" w:hAnsi="Times New Roman"/>
          <w:color w:val="auto"/>
          <w:sz w:val="24"/>
          <w:szCs w:val="24"/>
          <w:highlight w:val="none"/>
        </w:rPr>
        <w:t xml:space="preserve">协助甲方</w:t>
      </w:r>
      <w:r>
        <w:rPr>
          <w:rFonts w:hint="eastAsia" w:ascii="Times New Roman" w:hAnsi="Times New Roman"/>
          <w:color w:val="auto"/>
          <w:sz w:val="24"/>
          <w:szCs w:val="24"/>
          <w:highlight w:val="none"/>
        </w:rPr>
        <w:t xml:space="preserve">开展监督检查和指导督促问题整改，核查工程项目资料规范性，审查子项目验收绩效完成情况，形成项目初验报告和终验申请材料以及专家审查论证等工作。</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1.3.2 工程成效评估</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依据《山水林田湖草生态保护修复工程指南（试行）》《国土空间生态保护修复工程成效评估规范（TD∕T1102-2024）》等文件，以及报省自然资源厅备案的《如东黄金海岸山水林田湖草沙一体化保护和修复示范工程实施方案》、子项目设计、绩效评价报告、验收成果和相关监测评估结果，采用实地调研、公众调查、专家论证、类比分析等相结合的技术手段，通过定量和定性相结合的方法，综合考虑工程项目建设任务完</w:t>
      </w:r>
      <w:r>
        <w:rPr>
          <w:rFonts w:hint="eastAsia" w:ascii="Times New Roman" w:hAnsi="Times New Roman"/>
          <w:color w:val="auto"/>
          <w:sz w:val="24"/>
          <w:szCs w:val="24"/>
          <w:highlight w:val="none"/>
        </w:rPr>
        <w:t xml:space="preserve">成情况、社会效益、生态效益、经济效益、可持续影响等方面构建科学的工程绩效评价体系，根据实地考察结果，分析项目实施后，生态修复各分项目标和总体目标的实现情况，客观评估生态修复工程实施的成效，为省级山水工程成效评估和省级验收提供技术支撑。协助主管部门按照省自然资源厅要求编制年度绩效自评报告。会同相关部门组织调研、座谈、片区会等形式，收集项目工程典型案例。围绕典型案例，深入挖掘其在政策创新、技术应用、资金筹措、利益协调等方面的亮点做法，总结具有代表性和可推广的山水工程治理模式，并在行业内知名媒体平台进行宣传报道。</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1.4成果要求：</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1.4.1全过程监测、监管成果要求</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（1）编写项目监测监管工作方案、季度监测监管报告及相关文档资料、影像资料；</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（2）按</w:t>
      </w:r>
      <w:r>
        <w:rPr>
          <w:rFonts w:hint="eastAsia" w:ascii="Times New Roman" w:hAnsi="Times New Roman"/>
          <w:color w:val="auto"/>
          <w:sz w:val="24"/>
          <w:szCs w:val="24"/>
          <w:highlight w:val="none"/>
          <w:lang w:val="en-US" w:eastAsia="zh-CN"/>
        </w:rPr>
        <w:t xml:space="preserve">半</w:t>
      </w:r>
      <w:r>
        <w:rPr>
          <w:rFonts w:hint="eastAsia" w:ascii="Times New Roman" w:hAnsi="Times New Roman"/>
          <w:color w:val="auto"/>
          <w:sz w:val="24"/>
          <w:szCs w:val="24"/>
          <w:highlight w:val="none"/>
        </w:rPr>
        <w:t xml:space="preserve">年度开展生态遥感监测，完成年度生态监测评估报告</w:t>
      </w:r>
      <w:r>
        <w:rPr>
          <w:rFonts w:hint="eastAsia" w:ascii="Times New Roman" w:hAnsi="Times New Roman"/>
          <w:color w:val="auto"/>
          <w:sz w:val="24"/>
          <w:szCs w:val="24"/>
          <w:highlight w:val="none"/>
        </w:rPr>
        <w:t xml:space="preserve">；</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（3）生态系统监测评估数据成果。</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 工程成效评估成果要求</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（1）拟定评估工作方案；</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（2）年度绩效自评报告；</w:t>
      </w:r>
      <w:r/>
    </w:p>
    <w:p>
      <w:pPr>
        <w:ind w:firstLine="480"/>
        <w:spacing w:before="120" w:after="120" w:line="4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（3）工程成效评估报告。</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乙方须按合同约定及采购需求，提交完整的监管成果文件与过程资料。必须包括但不限于成果要求中的文件资料。所有成果应格式规范、签章齐全、装订成册或按要求归档。</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 履行时间（期限）：</w:t>
      </w:r>
      <w:r>
        <w:rPr>
          <w:rFonts w:hint="eastAsia" w:ascii="Times New Roman" w:hAnsi="Times New Roman"/>
          <w:color w:val="auto"/>
          <w:sz w:val="24"/>
          <w:szCs w:val="24"/>
          <w:highlight w:val="none"/>
        </w:rPr>
        <w:t xml:space="preserve">自合同签订之日起至上级终验和整改止</w:t>
      </w:r>
      <w:r>
        <w:rPr>
          <w:rFonts w:hint="eastAsia" w:ascii="宋体" w:hAnsi="宋体" w:cs="宋体"/>
          <w:color w:val="auto"/>
          <w:spacing w:val="-2"/>
          <w:sz w:val="24"/>
          <w:szCs w:val="24"/>
          <w:highlight w:val="none"/>
        </w:rPr>
        <w:t xml:space="preserve">。</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 履行地点：</w:t>
      </w:r>
      <w:r>
        <w:rPr>
          <w:rFonts w:hint="eastAsia" w:ascii="Times New Roman" w:hAnsi="Times New Roman"/>
          <w:color w:val="auto"/>
          <w:sz w:val="24"/>
          <w:szCs w:val="24"/>
          <w:highlight w:val="none"/>
        </w:rPr>
        <w:t xml:space="preserve">由甲方指定</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7</w:t>
      </w:r>
      <w:r>
        <w:rPr>
          <w:rFonts w:ascii="Times New Roman" w:hAnsi="Times New Roman"/>
          <w:color w:val="auto"/>
          <w:sz w:val="24"/>
          <w:szCs w:val="24"/>
          <w:highlight w:val="none"/>
        </w:rPr>
        <w:t xml:space="preserve">履行方式：</w:t>
      </w:r>
      <w:r>
        <w:rPr>
          <w:rFonts w:hint="eastAsia" w:ascii="Times New Roman" w:hAnsi="Times New Roman"/>
          <w:color w:val="auto"/>
          <w:sz w:val="24"/>
          <w:szCs w:val="24"/>
          <w:highlight w:val="none"/>
        </w:rPr>
        <w:t xml:space="preserve">按磋商文件执行</w:t>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二、合同金额</w:t>
      </w:r>
      <w:r/>
    </w:p>
    <w:p>
      <w:pPr>
        <w:pStyle w:val="777"/>
        <w:ind w:firstLine="480"/>
        <w:spacing w:line="35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 本合同金额为（大写）：_____________圆（_______________元）人民币。</w:t>
      </w:r>
      <w:r/>
    </w:p>
    <w:p>
      <w:pPr>
        <w:pStyle w:val="777"/>
        <w:ind w:firstLine="480"/>
        <w:spacing w:line="350" w:lineRule="exact"/>
        <w:rPr>
          <w:rFonts w:hAnsi="宋体" w:cs="仿宋"/>
          <w:color w:val="auto"/>
          <w:highlight w:val="none"/>
        </w:rPr>
      </w:pPr>
      <w:r>
        <w:rPr>
          <w:rFonts w:hint="eastAsia" w:hAnsi="宋体"/>
          <w:color w:val="auto"/>
          <w:sz w:val="24"/>
          <w:szCs w:val="24"/>
          <w:highlight w:val="none"/>
          <w:lang w:val="zh-CN"/>
        </w:rPr>
        <w:t xml:space="preserve">合同</w:t>
      </w:r>
      <w:r>
        <w:rPr>
          <w:rFonts w:hAnsi="宋体"/>
          <w:color w:val="auto"/>
          <w:sz w:val="24"/>
          <w:szCs w:val="24"/>
          <w:highlight w:val="none"/>
        </w:rPr>
        <w:t xml:space="preserve">金额</w:t>
      </w:r>
      <w:r>
        <w:rPr>
          <w:rFonts w:hint="eastAsia" w:hAnsi="宋体"/>
          <w:color w:val="auto"/>
          <w:sz w:val="24"/>
          <w:szCs w:val="24"/>
          <w:highlight w:val="none"/>
          <w:lang w:val="zh-CN"/>
        </w:rPr>
        <w:t xml:space="preserve">包括</w:t>
      </w:r>
      <w:r>
        <w:rPr>
          <w:rFonts w:hint="eastAsia" w:hAnsi="宋体"/>
          <w:color w:val="auto"/>
          <w:sz w:val="24"/>
          <w:szCs w:val="24"/>
          <w:highlight w:val="none"/>
        </w:rPr>
        <w:t xml:space="preserve">为完成</w:t>
      </w:r>
      <w:r>
        <w:rPr>
          <w:rFonts w:hint="eastAsia" w:hAnsi="宋体"/>
          <w:color w:val="auto"/>
          <w:sz w:val="24"/>
          <w:szCs w:val="24"/>
          <w:highlight w:val="none"/>
          <w:lang w:val="zh-CN"/>
        </w:rPr>
        <w:t xml:space="preserve">本次采购项目的所有费用及</w:t>
      </w:r>
      <w:r>
        <w:rPr>
          <w:rFonts w:hint="eastAsia" w:hAnsi="宋体"/>
          <w:color w:val="auto"/>
          <w:sz w:val="24"/>
          <w:szCs w:val="24"/>
          <w:highlight w:val="none"/>
        </w:rPr>
        <w:t xml:space="preserve">合同履行过程中可能发生的一切风险和责任，甲方不承担</w:t>
      </w:r>
      <w:r>
        <w:rPr>
          <w:rFonts w:hAnsi="宋体"/>
          <w:color w:val="auto"/>
          <w:sz w:val="24"/>
          <w:szCs w:val="24"/>
          <w:highlight w:val="none"/>
        </w:rPr>
        <w:t xml:space="preserve">合同金额</w:t>
      </w:r>
      <w:r>
        <w:rPr>
          <w:rFonts w:hint="eastAsia" w:hAnsi="宋体"/>
          <w:color w:val="auto"/>
          <w:sz w:val="24"/>
          <w:szCs w:val="24"/>
          <w:highlight w:val="none"/>
        </w:rPr>
        <w:t xml:space="preserve">以外任何责任和费用。</w:t>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三、技术资料</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乙方应按采购文件规定的时间向甲方提供服务（包含与服务相关的产品）的有关技术资料。</w:t>
      </w:r>
      <w:r/>
    </w:p>
    <w:p>
      <w:pPr>
        <w:ind w:firstLine="480"/>
        <w:spacing w:before="120" w:line="520" w:lineRule="exact"/>
        <w:rPr>
          <w:rFonts w:ascii="宋体" w:hAnsi="宋体" w:cs="宋体"/>
          <w:color w:val="auto"/>
          <w:sz w:val="24"/>
          <w:szCs w:val="24"/>
          <w:highlight w:val="none"/>
        </w:rPr>
      </w:pPr>
      <w:r>
        <w:rPr>
          <w:rFonts w:ascii="Times New Roman" w:hAnsi="Times New Roman"/>
          <w:color w:val="auto"/>
          <w:sz w:val="24"/>
          <w:szCs w:val="24"/>
          <w:highlight w:val="none"/>
        </w:rPr>
        <w:t xml:space="preserve">3.2 没有甲方事先书面同意，乙方不得将由甲方提供的有关合同或任何合同条文、规格、计划、图纸、样品或资料</w:t>
      </w:r>
      <w:r>
        <w:rPr>
          <w:rFonts w:hint="eastAsia" w:ascii="Times New Roman" w:hAnsi="Times New Roman"/>
          <w:color w:val="auto"/>
          <w:sz w:val="24"/>
          <w:szCs w:val="24"/>
          <w:highlight w:val="none"/>
        </w:rPr>
        <w:t xml:space="preserve">以及乙方服务成果</w:t>
      </w:r>
      <w:r>
        <w:rPr>
          <w:rFonts w:ascii="Times New Roman" w:hAnsi="Times New Roman"/>
          <w:color w:val="auto"/>
          <w:sz w:val="24"/>
          <w:szCs w:val="24"/>
          <w:highlight w:val="none"/>
        </w:rPr>
        <w:t xml:space="preserve">提供给与履行本合同无关的任何其他人。即使向履行本合同有关的人员提供，也应注意保密并限于履行合同的必需范围。</w:t>
      </w:r>
      <w:r>
        <w:rPr>
          <w:rFonts w:hint="eastAsia" w:ascii="宋体" w:hAnsi="宋体" w:cs="宋体"/>
          <w:bCs/>
          <w:color w:val="auto"/>
          <w:sz w:val="24"/>
          <w:szCs w:val="24"/>
          <w:highlight w:val="none"/>
        </w:rPr>
        <w:t xml:space="preserve">如乙方违反保密约定给甲方造成损失的，需赔偿甲方全部损失</w:t>
      </w:r>
      <w:r>
        <w:rPr>
          <w:rFonts w:hint="eastAsia" w:ascii="宋体" w:hAnsi="宋体" w:cs="宋体"/>
          <w:color w:val="auto"/>
          <w:sz w:val="24"/>
          <w:szCs w:val="24"/>
          <w:highlight w:val="none"/>
        </w:rPr>
        <w:t xml:space="preserve">（包括但不限于</w:t>
      </w:r>
      <w:r>
        <w:rPr>
          <w:rFonts w:hint="eastAsia" w:ascii="宋体" w:hAnsi="宋体" w:cs="宋体"/>
          <w:bCs/>
          <w:color w:val="auto"/>
          <w:sz w:val="24"/>
          <w:szCs w:val="24"/>
          <w:highlight w:val="none"/>
        </w:rPr>
        <w:t xml:space="preserve">甲方实际损失、</w:t>
      </w:r>
      <w:r>
        <w:rPr>
          <w:rFonts w:hint="eastAsia" w:ascii="宋体" w:hAnsi="宋体" w:cs="宋体"/>
          <w:color w:val="auto"/>
          <w:sz w:val="24"/>
          <w:szCs w:val="24"/>
          <w:highlight w:val="none"/>
        </w:rPr>
        <w:t xml:space="preserve">诉讼费、律师费等）</w:t>
      </w:r>
      <w:r>
        <w:rPr>
          <w:rFonts w:hint="eastAsia" w:ascii="宋体" w:hAnsi="宋体" w:cs="宋体"/>
          <w:bCs/>
          <w:color w:val="auto"/>
          <w:sz w:val="24"/>
          <w:szCs w:val="24"/>
          <w:highlight w:val="none"/>
        </w:rPr>
        <w:t xml:space="preserve">，并且甲方有权根据乙方泄密的事实和情节决定解除合同。</w:t>
      </w:r>
      <w:r>
        <w:rPr>
          <w:rFonts w:hint="eastAsia" w:ascii="宋体" w:hAnsi="宋体" w:cs="宋体"/>
          <w:color w:val="auto"/>
          <w:sz w:val="24"/>
          <w:szCs w:val="24"/>
          <w:highlight w:val="none"/>
        </w:rPr>
        <w:t xml:space="preserve">本约定在本合同终止后继续有效。也不因本合同无效或解除而失效。</w:t>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四、知识产权</w:t>
      </w:r>
      <w:r/>
    </w:p>
    <w:p>
      <w:pPr>
        <w:ind w:firstLine="480"/>
        <w:spacing w:line="420" w:lineRule="exact"/>
        <w:rPr>
          <w:rFonts w:ascii="宋体" w:hAnsi="宋体" w:cs="宋体"/>
          <w:color w:val="auto"/>
          <w:sz w:val="24"/>
          <w:szCs w:val="24"/>
          <w:highlight w:val="none"/>
        </w:rPr>
      </w:pPr>
      <w:r>
        <w:rPr>
          <w:rFonts w:ascii="Times New Roman" w:hAnsi="Times New Roman"/>
          <w:color w:val="auto"/>
          <w:sz w:val="24"/>
          <w:szCs w:val="24"/>
          <w:highlight w:val="none"/>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rPr>
          <w:rFonts w:hint="eastAsia" w:ascii="宋体" w:hAnsi="宋体" w:cs="宋体"/>
          <w:color w:val="auto"/>
          <w:sz w:val="24"/>
          <w:szCs w:val="24"/>
          <w:highlight w:val="none"/>
        </w:rPr>
        <w:t xml:space="preserve">乙方任何侵犯第三方知识产权的行为与甲方无关，责任由乙方自行承担，若因此造成甲方损失（包括但不限于</w:t>
      </w:r>
      <w:r>
        <w:rPr>
          <w:rFonts w:hint="eastAsia" w:ascii="宋体" w:hAnsi="宋体" w:cs="宋体"/>
          <w:bCs/>
          <w:color w:val="auto"/>
          <w:sz w:val="24"/>
          <w:szCs w:val="24"/>
          <w:highlight w:val="none"/>
        </w:rPr>
        <w:t xml:space="preserve">甲方实际损失、</w:t>
      </w:r>
      <w:r>
        <w:rPr>
          <w:rFonts w:hint="eastAsia" w:ascii="宋体" w:hAnsi="宋体" w:cs="宋体"/>
          <w:color w:val="auto"/>
          <w:sz w:val="24"/>
          <w:szCs w:val="24"/>
          <w:highlight w:val="none"/>
        </w:rPr>
        <w:t xml:space="preserve">诉讼费、律师费等），乙方应承担全部赔偿责任。</w:t>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五、产权担保</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5.1 乙方保证所交付的服务（包含与服务相关的产品）的所有权完全属于乙方且无任何抵押、查封等产权瑕疵。</w:t>
      </w:r>
      <w:r/>
    </w:p>
    <w:p>
      <w:pPr>
        <w:pStyle w:val="771"/>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六、履约保证金：本项目免缴履约保证金。</w:t>
      </w:r>
      <w:r/>
    </w:p>
    <w:p>
      <w:pPr>
        <w:ind w:firstLine="482"/>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七、合同</w:t>
      </w:r>
      <w:r>
        <w:rPr>
          <w:rFonts w:ascii="Times New Roman" w:hAnsi="Times New Roman"/>
          <w:b/>
          <w:color w:val="auto"/>
          <w:sz w:val="24"/>
          <w:szCs w:val="24"/>
          <w:highlight w:val="none"/>
        </w:rPr>
        <w:t xml:space="preserve">转包</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w:t>
      </w:r>
      <w:r>
        <w:rPr>
          <w:rFonts w:ascii="Times New Roman" w:hAnsi="Times New Roman"/>
          <w:color w:val="auto"/>
          <w:sz w:val="24"/>
          <w:szCs w:val="24"/>
          <w:highlight w:val="none"/>
        </w:rPr>
        <w:t xml:space="preserve">.1 乙方不得将合同标的转包给他人履行</w:t>
      </w:r>
      <w:r>
        <w:rPr>
          <w:rFonts w:hint="eastAsia" w:ascii="Times New Roman" w:hAnsi="Times New Roman"/>
          <w:color w:val="auto"/>
          <w:sz w:val="24"/>
          <w:szCs w:val="24"/>
          <w:highlight w:val="none"/>
        </w:rPr>
        <w:t xml:space="preserve">，未经甲方同意，乙方也不得随意采用分包的形式履行合同，否则甲方有权解除合同、不支付合同价款。转包或分包造成甲方损失的，乙方应承担相应赔偿责任。</w:t>
      </w:r>
      <w:r/>
    </w:p>
    <w:p>
      <w:pPr>
        <w:ind w:firstLine="482"/>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八</w:t>
      </w:r>
      <w:r>
        <w:rPr>
          <w:rFonts w:ascii="Times New Roman" w:hAnsi="Times New Roman"/>
          <w:b/>
          <w:color w:val="auto"/>
          <w:sz w:val="24"/>
          <w:szCs w:val="24"/>
          <w:highlight w:val="none"/>
        </w:rPr>
        <w:t xml:space="preserve">、合同款项支付</w:t>
      </w:r>
      <w:r/>
    </w:p>
    <w:p>
      <w:pPr>
        <w:ind w:firstLine="480"/>
        <w:spacing w:before="120" w:after="120" w:line="400" w:lineRule="exact"/>
        <w:rPr>
          <w:rFonts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签订合同30日内，提交“如东黄金海岸山水林田湖草沙一体化保护和修复示范工程监测监管与工程成效评估项目工作方案”，经甲方确认后，支付合同价的30%。完成2026年度工作内容并提交相关成果后，经甲方确认后，支付合同价的40%。工程通过最终验收并整改结束后，一个月内一次性付清剩余所有款项。</w:t>
      </w:r>
      <w:r/>
    </w:p>
    <w:p>
      <w:pPr>
        <w:ind w:firstLine="482"/>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九</w:t>
      </w:r>
      <w:r>
        <w:rPr>
          <w:rFonts w:ascii="Times New Roman" w:hAnsi="Times New Roman"/>
          <w:b/>
          <w:color w:val="auto"/>
          <w:sz w:val="24"/>
          <w:szCs w:val="24"/>
          <w:highlight w:val="none"/>
        </w:rPr>
        <w:t xml:space="preserve">、税费</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 本合同执行中相关的一切税费均由乙方负担。</w:t>
      </w:r>
      <w:r/>
    </w:p>
    <w:p>
      <w:pPr>
        <w:ind w:firstLine="482"/>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十</w:t>
      </w:r>
      <w:r>
        <w:rPr>
          <w:rFonts w:ascii="Times New Roman" w:hAnsi="Times New Roman"/>
          <w:b/>
          <w:color w:val="auto"/>
          <w:sz w:val="24"/>
          <w:szCs w:val="24"/>
          <w:highlight w:val="none"/>
        </w:rPr>
        <w:t xml:space="preserve">、项目验收</w:t>
      </w:r>
      <w:r>
        <w:rPr>
          <w:rFonts w:hint="eastAsia" w:ascii="Times New Roman" w:hAnsi="Times New Roman"/>
          <w:b/>
          <w:color w:val="auto"/>
          <w:sz w:val="24"/>
          <w:szCs w:val="24"/>
          <w:highlight w:val="none"/>
        </w:rPr>
        <w:t xml:space="preserve">标准</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w:t>
      </w:r>
      <w:r>
        <w:rPr>
          <w:rFonts w:ascii="Times New Roman" w:hAnsi="Times New Roman"/>
          <w:color w:val="auto"/>
          <w:sz w:val="24"/>
          <w:szCs w:val="24"/>
          <w:highlight w:val="none"/>
        </w:rPr>
        <w:t xml:space="preserve">.1 甲方依法组织履约验收工作</w:t>
      </w:r>
      <w:r>
        <w:rPr>
          <w:rFonts w:hint="eastAsia" w:ascii="Times New Roman" w:hAnsi="Times New Roman"/>
          <w:color w:val="auto"/>
          <w:sz w:val="24"/>
          <w:szCs w:val="24"/>
          <w:highlight w:val="none"/>
        </w:rPr>
        <w:t xml:space="preserve">，验收费用由乙方负担。</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w:t>
      </w:r>
      <w:r>
        <w:rPr>
          <w:rFonts w:ascii="Times New Roman" w:hAnsi="Times New Roman"/>
          <w:color w:val="auto"/>
          <w:sz w:val="24"/>
          <w:szCs w:val="24"/>
          <w:highlight w:val="none"/>
        </w:rPr>
        <w:t xml:space="preserve">.2 甲方在组织履约验收前，乙方应做好相应配合工作。</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10.3成果交付完整：乙方须按合同约定及采购需求，提交完整的监管成果文件与过程资料。必须包括但不限于成果要求中的文件资料。所有成果应格式规范、签章齐全、装订成册或按要求归档。</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10.4工作过程规范：按照省自然资源厅、生态环境厅、财政厅《江苏省省级山水林田湖草沙一体化保护和修复工程项目及资金管理办法》（苏自然资发[2025]256号）要求，使用省级财政资金的省级山水工程需开展项目日常监管、生态监测和成效评估。</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开展项目监督检查以及对发现问题整改督促，编写与项目监管相关的现场巡查记录、不定时参加项目监管例会。</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核查工程资料内容一致性、绩效完成度、合规合理性、管理规范性，确保资料真实、准确、完整、规范，符合相关技术标准和验收规范要求。</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审查子项目验收绩效完成情况，协助形成项目初验报告和终验申请材料，协助专家审查论证。</w:t>
      </w:r>
      <w:r/>
    </w:p>
    <w:p>
      <w:pPr>
        <w:ind w:firstLine="480"/>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提供采用卫星遥感等技术进行动态监测的分析报告及数据成果，证明对项目进展进行了客观、定期的掌握。实地核查须提供覆盖所有关键时间节点与重点区域的现场踏勘记录、实地核查记录及影像资料，证明核查工作的频次与深度达到要求。</w:t>
      </w:r>
      <w:r/>
    </w:p>
    <w:p>
      <w:pPr>
        <w:ind w:firstLine="482"/>
        <w:spacing w:before="143" w:after="143"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十一、安全与保密</w:t>
      </w:r>
      <w:r/>
    </w:p>
    <w:p>
      <w:pPr>
        <w:ind w:firstLine="480"/>
        <w:spacing w:before="143" w:after="143"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该项目乙方服务后的成果及相关数据所有权归如东县自然资源和规划局所有。</w:t>
      </w:r>
      <w:r/>
    </w:p>
    <w:p>
      <w:pPr>
        <w:ind w:firstLine="480"/>
        <w:spacing w:before="143" w:after="143"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在履约过程中，如果乙方出现以下行为，将记录其不良行为，三年内不得参与如东县自然资源和规划局交易活动,且根据相关规定追究相关责任：</w:t>
      </w:r>
      <w:r/>
    </w:p>
    <w:p>
      <w:pPr>
        <w:ind w:firstLine="480"/>
        <w:spacing w:before="143" w:after="143"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11.1乙方转包和分包项目的；</w:t>
      </w:r>
      <w:r/>
    </w:p>
    <w:p>
      <w:pPr>
        <w:ind w:firstLine="480"/>
        <w:spacing w:before="143" w:after="143"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11.2.乙方不能按照合同约定的服务时间保质保量完成本项目的，且造成不良后果的；</w:t>
      </w:r>
      <w:r/>
    </w:p>
    <w:p>
      <w:pPr>
        <w:ind w:firstLine="480"/>
        <w:spacing w:before="143" w:after="143"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11.3工作中涉及到的涉密和敏感图文资料、电子数据，应严格执行保密的相关规定，如以任何方式向任何第三人披露、泄露或许可第三人使用的；</w:t>
      </w:r>
      <w:r/>
    </w:p>
    <w:p>
      <w:pPr>
        <w:ind w:firstLine="480"/>
        <w:spacing w:before="143" w:after="143"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11.4其他不良行为。</w:t>
      </w:r>
      <w:r/>
    </w:p>
    <w:p>
      <w:pPr>
        <w:ind w:firstLine="480"/>
        <w:spacing w:before="143" w:after="143"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注：服务过程中因上级文件或政策而引起的工作量的变化，最终结算价不做调整。费用已包含在本次合同总价中，结算时不做变更。</w:t>
      </w:r>
      <w:r/>
    </w:p>
    <w:p>
      <w:pPr>
        <w:ind w:firstLine="480"/>
        <w:spacing w:before="143" w:after="143"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在项目服务过程中的所有安全责任由乙方全权负责，甲方不承担任何责任。</w:t>
      </w:r>
      <w:r/>
    </w:p>
    <w:p>
      <w:pPr>
        <w:ind w:firstLine="482"/>
        <w:spacing w:before="143" w:after="143"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rPr>
        <w:t xml:space="preserve">二</w:t>
      </w:r>
      <w:r>
        <w:rPr>
          <w:rFonts w:ascii="Times New Roman" w:hAnsi="Times New Roman"/>
          <w:b/>
          <w:color w:val="auto"/>
          <w:sz w:val="24"/>
          <w:szCs w:val="24"/>
          <w:highlight w:val="none"/>
        </w:rPr>
        <w:t xml:space="preserve">、违约责任</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 甲方无正当理由拒绝接受乙方提供服务的，甲方向乙方偿付拒绝接受服务合同价款总值</w:t>
      </w:r>
      <w:r>
        <w:rPr>
          <w:rFonts w:hint="eastAsia" w:ascii="宋体" w:hAnsi="宋体" w:cs="宋体"/>
          <w:color w:val="auto"/>
          <w:sz w:val="24"/>
          <w:szCs w:val="24"/>
          <w:highlight w:val="none"/>
        </w:rPr>
        <w:t xml:space="preserve">5</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的违约金。</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.2 甲方无故逾期验收和办理合同款项支付手续的,甲方应按逾期付款总额每日</w:t>
      </w:r>
      <w:r>
        <w:rPr>
          <w:rFonts w:hint="eastAsia" w:ascii="宋体" w:hAnsi="宋体" w:cs="宋体"/>
          <w:color w:val="auto"/>
          <w:sz w:val="24"/>
          <w:szCs w:val="24"/>
          <w:highlight w:val="none"/>
        </w:rPr>
        <w:t xml:space="preserve">1‰</w:t>
      </w:r>
      <w:r>
        <w:rPr>
          <w:rFonts w:ascii="Times New Roman" w:hAnsi="Times New Roman"/>
          <w:color w:val="auto"/>
          <w:sz w:val="24"/>
          <w:szCs w:val="24"/>
          <w:highlight w:val="none"/>
        </w:rPr>
        <w:t xml:space="preserve">向乙方支付违约金。</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 乙方逾期提供服务的，乙方应按逾期提供服务合同总额每日</w:t>
      </w:r>
      <w:r>
        <w:rPr>
          <w:rFonts w:hint="eastAsia" w:ascii="Times New Roman" w:hAnsi="Times New Roman"/>
          <w:color w:val="auto"/>
          <w:sz w:val="24"/>
          <w:szCs w:val="24"/>
          <w:highlight w:val="none"/>
        </w:rPr>
        <w:t xml:space="preserve">万分之三</w:t>
      </w:r>
      <w:r>
        <w:rPr>
          <w:rFonts w:ascii="Times New Roman" w:hAnsi="Times New Roman"/>
          <w:color w:val="auto"/>
          <w:sz w:val="24"/>
          <w:szCs w:val="24"/>
          <w:highlight w:val="none"/>
        </w:rPr>
        <w:t xml:space="preserve">向甲方支付违约金，由甲方从待付合同款项中扣除。逾期超过约定日期个工作日不能提供服务的，甲方可解除本合同。乙方因逾期提供服务或因其他违约行为导致甲方解除合同的，乙方应向甲方支付合同价款总额</w:t>
      </w:r>
      <w:r>
        <w:rPr>
          <w:rFonts w:hint="eastAsia" w:hAnsi="宋体"/>
          <w:color w:val="auto"/>
          <w:sz w:val="24"/>
          <w:szCs w:val="24"/>
          <w:highlight w:val="none"/>
          <w:u w:val="single"/>
        </w:rPr>
        <w:t xml:space="preserve"> 20 %</w:t>
      </w:r>
      <w:r>
        <w:rPr>
          <w:rFonts w:ascii="Times New Roman" w:hAnsi="Times New Roman"/>
          <w:color w:val="auto"/>
          <w:sz w:val="24"/>
          <w:szCs w:val="24"/>
          <w:highlight w:val="none"/>
        </w:rPr>
        <w:t xml:space="preserve">的违约金，如造成甲方损失超过违约金的，超出部分由乙方继续承担赔偿责任。</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.4 </w:t>
      </w:r>
      <w:r>
        <w:rPr>
          <w:rFonts w:hint="eastAsia" w:ascii="宋体" w:hAnsi="宋体" w:cs="宋体"/>
          <w:color w:val="auto"/>
          <w:sz w:val="24"/>
          <w:szCs w:val="24"/>
          <w:highlight w:val="none"/>
        </w:rPr>
        <w:t xml:space="preserve">乙方提供的服务不符合合同规定及磋商文件规定标准的，甲方有权拒绝接受乙方提供的服务成果，或由乙方免费负责重做或补充，直至符合合同约定的要求；若造成逾期提交服务成果的，应按约定承担逾期提交的违约责任；若给甲方造成损失的，乙方需赔偿甲方损失，并且甲方有权解除合同。</w:t>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rPr>
        <w:t xml:space="preserve">三</w:t>
      </w:r>
      <w:r>
        <w:rPr>
          <w:rFonts w:ascii="Times New Roman" w:hAnsi="Times New Roman"/>
          <w:b/>
          <w:color w:val="auto"/>
          <w:sz w:val="24"/>
          <w:szCs w:val="24"/>
          <w:highlight w:val="none"/>
        </w:rPr>
        <w:t xml:space="preserve">、不可抗力事件处理</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.2 不可抗力事件发生后，应立即通知对方，并寄送有关权威机构出具的证明。</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.3 不可抗力事件延续120天以上，双方应通过友好协商，确定是否继续履行合同。</w:t>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rPr>
        <w:t xml:space="preserve">四</w:t>
      </w:r>
      <w:r>
        <w:rPr>
          <w:rFonts w:ascii="Times New Roman" w:hAnsi="Times New Roman"/>
          <w:b/>
          <w:color w:val="auto"/>
          <w:sz w:val="24"/>
          <w:szCs w:val="24"/>
          <w:highlight w:val="none"/>
        </w:rPr>
        <w:t xml:space="preserve">、诉讼</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.1 双方在执行合同中所发生的一切争议，应通过协商解决。如协商不成，</w:t>
      </w:r>
      <w:r>
        <w:rPr>
          <w:rFonts w:hint="eastAsia" w:ascii="宋体" w:hAnsi="宋体"/>
          <w:color w:val="auto"/>
          <w:sz w:val="24"/>
          <w:szCs w:val="24"/>
          <w:highlight w:val="none"/>
        </w:rPr>
        <w:t xml:space="preserve">向</w:t>
      </w:r>
      <w:r>
        <w:rPr>
          <w:rFonts w:hAnsi="宋体"/>
          <w:color w:val="auto"/>
          <w:sz w:val="24"/>
          <w:szCs w:val="24"/>
          <w:highlight w:val="none"/>
        </w:rPr>
        <w:t xml:space="preserve">甲</w:t>
      </w:r>
      <w:r>
        <w:rPr>
          <w:rFonts w:hint="eastAsia" w:ascii="宋体" w:hAnsi="宋体"/>
          <w:color w:val="auto"/>
          <w:sz w:val="24"/>
          <w:szCs w:val="24"/>
          <w:highlight w:val="none"/>
        </w:rPr>
        <w:t xml:space="preserve">方所在地人民法院提起诉讼</w:t>
      </w:r>
      <w:r>
        <w:rPr>
          <w:rFonts w:ascii="Times New Roman" w:hAnsi="Times New Roman"/>
          <w:color w:val="auto"/>
          <w:sz w:val="24"/>
          <w:szCs w:val="24"/>
          <w:highlight w:val="none"/>
        </w:rPr>
        <w:t xml:space="preserve">。</w:t>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rPr>
        <w:t xml:space="preserve">五</w:t>
      </w:r>
      <w:r>
        <w:rPr>
          <w:rFonts w:ascii="Times New Roman" w:hAnsi="Times New Roman"/>
          <w:b/>
          <w:color w:val="auto"/>
          <w:sz w:val="24"/>
          <w:szCs w:val="24"/>
          <w:highlight w:val="none"/>
        </w:rPr>
        <w:t xml:space="preserve">、其他</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.1 本合同所有附件、</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w:t>
      </w:r>
      <w:r>
        <w:rPr>
          <w:rFonts w:hint="eastAsia" w:ascii="Times New Roman" w:hAnsi="Times New Roman"/>
          <w:color w:val="auto"/>
          <w:sz w:val="24"/>
          <w:szCs w:val="24"/>
          <w:highlight w:val="none"/>
        </w:rPr>
        <w:t xml:space="preserve">响应</w:t>
      </w:r>
      <w:r>
        <w:rPr>
          <w:rFonts w:ascii="Times New Roman" w:hAnsi="Times New Roman"/>
          <w:color w:val="auto"/>
          <w:sz w:val="24"/>
          <w:szCs w:val="24"/>
          <w:highlight w:val="none"/>
        </w:rPr>
        <w:t xml:space="preserve">文件、中标通知书均为合同的有效组成部分，与本合同具有同等法律效力。</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 除甲方事先书面同意外，乙方不得部分或全部转让其应履行的合同项下的义务。</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本合同未尽事宜，遵照《中华人民共和国民法典》有关条文执行。</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15.4乙方在履行合同过程中，一切事故其责任由乙方承担，甲方不承担任何责任和费用。 </w:t>
      </w:r>
      <w:r/>
    </w:p>
    <w:p>
      <w:pPr>
        <w:pStyle w:val="771"/>
        <w:ind w:firstLine="480"/>
        <w:rPr>
          <w:rFonts w:ascii="Times New Roman" w:hAnsi="Times New Roman"/>
          <w:color w:val="auto"/>
          <w:sz w:val="24"/>
          <w:szCs w:val="24"/>
          <w:highlight w:val="none"/>
        </w:rPr>
      </w:pPr>
      <w:r>
        <w:rPr>
          <w:rFonts w:hint="eastAsia" w:ascii="宋体" w:hAnsi="宋体" w:eastAsia="宋体" w:cs="宋体"/>
          <w:color w:val="auto"/>
          <w:sz w:val="24"/>
          <w:szCs w:val="24"/>
          <w:highlight w:val="none"/>
        </w:rPr>
        <w:t xml:space="preserve">15.5</w:t>
      </w:r>
      <w:r>
        <w:rPr>
          <w:rStyle w:val="876"/>
          <w:rFonts w:hint="eastAsia" w:ascii="宋体" w:hAnsi="宋体" w:eastAsia="宋体" w:cs="宋体"/>
          <w:color w:val="auto"/>
          <w:sz w:val="24"/>
          <w:szCs w:val="24"/>
          <w:highlight w:val="none"/>
        </w:rPr>
        <w:t xml:space="preserve">甲方有权向乙方了解服务进展情况等相关内容，有权对乙方服务进行检查、提出对具体问题的意见和建议，发现乙方的服务存在问题有权通知乙方整改。乙方无正当理由拒绝甲方检查和整改要求，甲方有权解除合同。</w:t>
      </w:r>
      <w:r/>
    </w:p>
    <w:p>
      <w:pPr>
        <w:ind w:firstLine="420"/>
        <w:rPr>
          <w:color w:val="auto"/>
          <w:highlight w:val="none"/>
        </w:rPr>
      </w:pPr>
      <w:r>
        <w:rPr>
          <w:color w:val="auto"/>
          <w:highlight w:val="none"/>
        </w:rPr>
      </w:r>
      <w:r/>
    </w:p>
    <w:p>
      <w:pPr>
        <w:ind w:firstLine="482"/>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rPr>
        <w:t xml:space="preserve">六</w:t>
      </w:r>
      <w:r>
        <w:rPr>
          <w:rFonts w:ascii="Times New Roman" w:hAnsi="Times New Roman"/>
          <w:b/>
          <w:color w:val="auto"/>
          <w:sz w:val="24"/>
          <w:szCs w:val="24"/>
          <w:highlight w:val="none"/>
        </w:rPr>
        <w:t xml:space="preserve">、合同生效</w:t>
      </w:r>
      <w:r/>
    </w:p>
    <w:p>
      <w:pPr>
        <w:ind w:firstLine="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.1 合同经双方法定代表人或授权委托代表人签字并加盖单位公章后生效。</w:t>
      </w:r>
      <w:r/>
    </w:p>
    <w:p>
      <w:pPr>
        <w:ind w:firstLine="480"/>
        <w:spacing w:before="120" w:after="120"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16</w:t>
      </w:r>
      <w:r>
        <w:rPr>
          <w:rFonts w:ascii="Times New Roman" w:hAnsi="Times New Roman"/>
          <w:color w:val="auto"/>
          <w:sz w:val="24"/>
          <w:szCs w:val="24"/>
          <w:highlight w:val="none"/>
        </w:rPr>
        <w:t xml:space="preserve">.2 本合同一式</w:t>
      </w:r>
      <w:r>
        <w:rPr>
          <w:rFonts w:hint="eastAsia" w:ascii="Times New Roman" w:hAnsi="Times New Roman"/>
          <w:color w:val="auto"/>
          <w:sz w:val="24"/>
          <w:szCs w:val="24"/>
          <w:highlight w:val="none"/>
        </w:rPr>
        <w:t xml:space="preserve">陆</w:t>
      </w:r>
      <w:r>
        <w:rPr>
          <w:rFonts w:ascii="Times New Roman" w:hAnsi="Times New Roman"/>
          <w:color w:val="auto"/>
          <w:sz w:val="24"/>
          <w:szCs w:val="24"/>
          <w:highlight w:val="none"/>
        </w:rPr>
        <w:t xml:space="preserve">份</w:t>
      </w:r>
      <w:r>
        <w:rPr>
          <w:rFonts w:hint="eastAsia" w:ascii="Times New Roman" w:hAnsi="Times New Roman"/>
          <w:color w:val="auto"/>
          <w:sz w:val="24"/>
          <w:szCs w:val="24"/>
          <w:highlight w:val="none"/>
        </w:rPr>
        <w:t xml:space="preserve">，甲乙双方各执叁份，具有同等法律效力。</w:t>
      </w:r>
      <w:r/>
    </w:p>
    <w:p>
      <w:pPr>
        <w:ind w:left="480" w:hanging="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480" w:hanging="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乙方：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地址：</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法定代表人或授权代表：</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法定代表人或授权代表：</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联系电话：</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签订日期：年月日</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签订日期：年月日</w:t>
      </w:r>
      <w:r/>
    </w:p>
    <w:p>
      <w:pPr>
        <w:pStyle w:val="797"/>
        <w:spacing w:line="400" w:lineRule="exact"/>
        <w:rPr>
          <w:rFonts w:ascii="Times New Roman" w:hAnsi="Times New Roman"/>
          <w:color w:val="auto"/>
          <w:highlight w:val="none"/>
        </w:rPr>
      </w:pPr>
      <w:r>
        <w:rPr>
          <w:rFonts w:ascii="Times New Roman" w:hAnsi="Times New Roman"/>
          <w:color w:val="auto"/>
          <w:highlight w:val="none"/>
        </w:rPr>
        <w:br w:type="page" w:clear="all"/>
      </w:r>
      <w:bookmarkEnd w:id="166"/>
      <w:bookmarkEnd w:id="167"/>
      <w:bookmarkEnd w:id="168"/>
      <w:r/>
    </w:p>
    <w:p>
      <w:pPr>
        <w:ind w:firstLine="723"/>
        <w:jc w:val="center"/>
        <w:keepNext/>
        <w:spacing w:line="400" w:lineRule="exact"/>
        <w:rPr>
          <w:rFonts w:ascii="Times New Roman" w:hAnsi="Times New Roman"/>
          <w:b/>
          <w:bCs/>
          <w:color w:val="auto"/>
          <w:sz w:val="36"/>
          <w:szCs w:val="36"/>
          <w:highlight w:val="none"/>
        </w:rPr>
        <w:outlineLvl w:val="0"/>
      </w:pPr>
      <w:r/>
      <w:bookmarkStart w:id="169" w:name="_Hlt16619350"/>
      <w:r/>
      <w:bookmarkStart w:id="170" w:name="_Toc16938590"/>
      <w:r/>
      <w:bookmarkStart w:id="171" w:name="_Toc120614244"/>
      <w:r/>
      <w:bookmarkStart w:id="172" w:name="_Toc20823346"/>
      <w:r/>
      <w:bookmarkStart w:id="173" w:name="_Toc479757211"/>
      <w:r/>
      <w:bookmarkStart w:id="174" w:name="_Toc462564139"/>
      <w:r>
        <w:rPr>
          <w:rFonts w:ascii="Times New Roman" w:hAnsi="Times New Roman"/>
          <w:b/>
          <w:bCs/>
          <w:color w:val="auto"/>
          <w:sz w:val="36"/>
          <w:szCs w:val="36"/>
          <w:highlight w:val="none"/>
        </w:rPr>
        <w:t xml:space="preserve">第</w:t>
      </w:r>
      <w:bookmarkEnd w:id="169"/>
      <w:r>
        <w:rPr>
          <w:rFonts w:ascii="Times New Roman" w:hAnsi="Times New Roman"/>
          <w:b/>
          <w:bCs/>
          <w:color w:val="auto"/>
          <w:sz w:val="36"/>
          <w:szCs w:val="36"/>
          <w:highlight w:val="none"/>
        </w:rPr>
        <w:t xml:space="preserve">四章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采购需求</w:t>
      </w:r>
      <w:bookmarkEnd w:id="170"/>
      <w:r/>
      <w:bookmarkEnd w:id="171"/>
      <w:r/>
      <w:bookmarkEnd w:id="172"/>
      <w:r/>
      <w:bookmarkStart w:id="175" w:name="_Toc26554093"/>
      <w:r/>
      <w:bookmarkStart w:id="176" w:name="_Toc49090575"/>
      <w:r/>
      <w:r/>
    </w:p>
    <w:p>
      <w:pPr>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供应商在制作响应文件时仔细研究采购需求说明。采购需求包括技术要求和商务要求:</w:t>
      </w:r>
      <w:r/>
    </w:p>
    <w:p>
      <w:pPr>
        <w:ind w:firstLine="480"/>
        <w:spacing w:line="400" w:lineRule="exact"/>
        <w:rPr>
          <w:rFonts w:ascii="宋体" w:hAnsi="宋体"/>
          <w:b/>
          <w:i/>
          <w:iCs/>
          <w:color w:val="auto"/>
          <w:sz w:val="24"/>
          <w:szCs w:val="24"/>
          <w:highlight w:val="none"/>
          <w:u w:val="single"/>
        </w:rPr>
      </w:pPr>
      <w:r>
        <w:rPr>
          <w:rFonts w:hint="eastAsia" w:ascii="宋体" w:hAnsi="宋体"/>
          <w:bCs/>
          <w:color w:val="auto"/>
          <w:sz w:val="24"/>
          <w:szCs w:val="24"/>
          <w:highlight w:val="none"/>
        </w:rPr>
        <w:t xml:space="preserve">技术要求是指对采购标的功能和质量要求，包括性能、材料、结构、外观、安全，或者服务内容和标准等。</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500" w:lineRule="exac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一、有关要求说明</w:t>
      </w:r>
      <w:r/>
    </w:p>
    <w:p>
      <w:pPr>
        <w:ind w:firstLine="480"/>
        <w:spacing w:line="500" w:lineRule="exac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spacing w:line="440" w:lineRule="exact"/>
        <w:rPr>
          <w:b/>
          <w:bCs/>
          <w:color w:val="auto"/>
          <w:sz w:val="24"/>
          <w:szCs w:val="24"/>
          <w:highlight w:val="none"/>
        </w:rPr>
      </w:pPr>
      <w:r>
        <w:rPr>
          <w:rFonts w:hint="eastAsia"/>
          <w:b/>
          <w:bCs/>
          <w:color w:val="auto"/>
          <w:sz w:val="24"/>
          <w:szCs w:val="24"/>
          <w:highlight w:val="none"/>
        </w:rPr>
        <w:t xml:space="preserve">二、工作目标</w:t>
      </w:r>
      <w:r/>
    </w:p>
    <w:p>
      <w:pPr>
        <w:ind w:firstLine="480"/>
        <w:spacing w:line="440" w:lineRule="exact"/>
        <w:rPr>
          <w:color w:val="auto"/>
          <w:sz w:val="24"/>
          <w:szCs w:val="24"/>
          <w:highlight w:val="none"/>
        </w:rPr>
      </w:pPr>
      <w:r>
        <w:rPr>
          <w:rFonts w:hint="eastAsia"/>
          <w:color w:val="auto"/>
          <w:sz w:val="24"/>
          <w:szCs w:val="24"/>
          <w:highlight w:val="none"/>
        </w:rPr>
        <w:t xml:space="preserve">通过专业化技术服务，对如东黄金海岸山水林田湖草沙一体化保护和修复示范工程开展生态调查监测、监管与工程成效评估。旨在确保项目遵循省级山水工程相关管理规定，围绕工程进度、资金执行、绩效指标及成效评估等核心内容，通过系统的监管工作，保障工程项目规范有序实施，生态修复成效凸显，助力实现项目的综合效益。</w:t>
      </w:r>
      <w:r/>
    </w:p>
    <w:p>
      <w:pPr>
        <w:spacing w:line="440" w:lineRule="exact"/>
        <w:rPr>
          <w:b/>
          <w:bCs/>
          <w:color w:val="auto"/>
          <w:sz w:val="24"/>
          <w:szCs w:val="24"/>
          <w:highlight w:val="none"/>
        </w:rPr>
      </w:pPr>
      <w:r>
        <w:rPr>
          <w:rFonts w:hint="eastAsia"/>
          <w:b/>
          <w:bCs/>
          <w:color w:val="auto"/>
          <w:sz w:val="24"/>
          <w:szCs w:val="24"/>
          <w:highlight w:val="none"/>
        </w:rPr>
        <w:t xml:space="preserve">三、工作内容</w:t>
      </w:r>
      <w:r/>
    </w:p>
    <w:p>
      <w:pPr>
        <w:ind w:firstLine="480"/>
        <w:spacing w:line="440" w:lineRule="exact"/>
        <w:rPr>
          <w:color w:val="auto"/>
          <w:sz w:val="24"/>
          <w:szCs w:val="24"/>
          <w:highlight w:val="none"/>
        </w:rPr>
      </w:pPr>
      <w:r>
        <w:rPr>
          <w:rFonts w:hint="eastAsia"/>
          <w:color w:val="auto"/>
          <w:sz w:val="24"/>
          <w:szCs w:val="24"/>
          <w:highlight w:val="none"/>
        </w:rPr>
        <w:t xml:space="preserve">1、全过程监测、监管</w:t>
      </w:r>
      <w:r/>
    </w:p>
    <w:p>
      <w:pPr>
        <w:ind w:firstLine="480"/>
        <w:spacing w:line="440" w:lineRule="exact"/>
        <w:rPr>
          <w:color w:val="auto"/>
          <w:sz w:val="24"/>
          <w:szCs w:val="24"/>
          <w:highlight w:val="none"/>
        </w:rPr>
      </w:pPr>
      <w:r>
        <w:rPr>
          <w:rFonts w:hint="eastAsia"/>
          <w:color w:val="auto"/>
          <w:sz w:val="24"/>
          <w:szCs w:val="24"/>
          <w:highlight w:val="none"/>
        </w:rPr>
        <w:t xml:space="preserve">按照《国土空间生态保护修复工程成效评估规范（TD∕T1102-2024）》要求，采用卫星遥感、实地调查、采样测试等技术手段，开展工程区域“天-空-地”一体化的生态系统全要素状况监测。具体包括：开展工程区2026、2027年度两期现场生态监测，监测内容包括河流岸线监测、水土环境监测、植被监测，以及相关水质、土壤、水生生物样品采集等；并构建科学合理的生态系统评价指标体系，基于工程区生态本底调查与生态监测数据，对工程区域开展生态系统结构、质量、服务功能综合评价。</w:t>
      </w:r>
      <w:r/>
    </w:p>
    <w:p>
      <w:pPr>
        <w:ind w:firstLine="480"/>
        <w:spacing w:line="440" w:lineRule="exact"/>
        <w:rPr>
          <w:color w:val="auto"/>
          <w:sz w:val="24"/>
          <w:szCs w:val="24"/>
          <w:highlight w:val="none"/>
        </w:rPr>
      </w:pPr>
      <w:r>
        <w:rPr>
          <w:rFonts w:hint="eastAsia"/>
          <w:color w:val="auto"/>
          <w:sz w:val="24"/>
          <w:szCs w:val="24"/>
          <w:highlight w:val="none"/>
        </w:rPr>
        <w:t xml:space="preserve">每</w:t>
      </w:r>
      <w:r>
        <w:rPr>
          <w:rFonts w:hint="eastAsia"/>
          <w:color w:val="auto"/>
          <w:sz w:val="24"/>
          <w:szCs w:val="24"/>
          <w:highlight w:val="none"/>
        </w:rPr>
        <w:t xml:space="preserve">个子项目实施区域根据自然地理条件、工程建设内容和规模布设相应的水环境、水生态、土壤、植被等监测点位。开展生态遥感监测，面向山水工程关注的生态系统破碎度、连通性等问题，采用多源卫星遥感观测的方法，开展如东黄金海岸山水林田湖草沙一体化保护和修复示范工程区内湿地、林地等各类生态系统类型、分布、面积，保护与利用、受威胁状况等现状及变化情况、植被覆盖情况（植被类型、植被面积）、人类活动状况（活动类型、活动面积）等进行监测。全面掌握如东黄金海岸山水林田湖草沙一体化保护和修复示范工程区内湿地、林地等各类生态系统变化趋势。</w:t>
      </w:r>
      <w:r/>
    </w:p>
    <w:p>
      <w:pPr>
        <w:ind w:firstLine="480"/>
        <w:spacing w:line="440" w:lineRule="exact"/>
        <w:rPr>
          <w:color w:val="auto"/>
          <w:sz w:val="24"/>
          <w:szCs w:val="24"/>
          <w:highlight w:val="none"/>
        </w:rPr>
      </w:pPr>
      <w:r>
        <w:rPr>
          <w:rFonts w:hint="eastAsia"/>
          <w:color w:val="auto"/>
          <w:sz w:val="24"/>
          <w:szCs w:val="24"/>
          <w:highlight w:val="none"/>
        </w:rPr>
        <w:t xml:space="preserve">项目全过程监测监管包括编写监测监管工作方案和报告，以及相关文档资料、影像资料。采用卫星遥感、实地调查、采样测试等技术手段开展工程区域生态系统全要素状况监测，</w:t>
      </w:r>
      <w:r>
        <w:rPr>
          <w:rFonts w:hint="eastAsia"/>
          <w:color w:val="auto"/>
          <w:sz w:val="24"/>
          <w:szCs w:val="24"/>
          <w:highlight w:val="none"/>
        </w:rPr>
        <w:t xml:space="preserve">协助采购人</w:t>
      </w:r>
      <w:r>
        <w:rPr>
          <w:rFonts w:hint="eastAsia"/>
          <w:color w:val="auto"/>
          <w:sz w:val="24"/>
          <w:szCs w:val="24"/>
          <w:highlight w:val="none"/>
        </w:rPr>
        <w:t xml:space="preserve">开展监督检查和指导督促问题整改，核查工程项目资料规范性，审查子项目验收绩效完成情况，形成项目初验报告和终验申请材料以及专家审查论证等工作。</w:t>
      </w:r>
      <w:r/>
    </w:p>
    <w:p>
      <w:pPr>
        <w:ind w:firstLine="480"/>
        <w:spacing w:line="440" w:lineRule="exact"/>
        <w:rPr>
          <w:color w:val="auto"/>
          <w:sz w:val="24"/>
          <w:szCs w:val="24"/>
          <w:highlight w:val="none"/>
        </w:rPr>
      </w:pPr>
      <w:r>
        <w:rPr>
          <w:rFonts w:hint="eastAsia"/>
          <w:color w:val="auto"/>
          <w:sz w:val="24"/>
          <w:szCs w:val="24"/>
          <w:highlight w:val="none"/>
        </w:rPr>
        <w:t xml:space="preserve">2、工程成效评估</w:t>
      </w:r>
      <w:r/>
    </w:p>
    <w:p>
      <w:pPr>
        <w:ind w:firstLine="480"/>
        <w:spacing w:line="440" w:lineRule="exact"/>
        <w:rPr>
          <w:color w:val="auto"/>
          <w:sz w:val="24"/>
          <w:szCs w:val="24"/>
          <w:highlight w:val="none"/>
        </w:rPr>
      </w:pPr>
      <w:r>
        <w:rPr>
          <w:rFonts w:hint="eastAsia"/>
          <w:color w:val="auto"/>
          <w:sz w:val="24"/>
          <w:szCs w:val="24"/>
          <w:highlight w:val="none"/>
        </w:rPr>
        <w:t xml:space="preserve">依据《山水林田湖草生态保护修复工程指南（试行）》《国土空间生态保护修复工程成效评估规范（TD∕T1102-2024）》等文件，以及报省自然资源厅备案的《如东黄金海岸山水林田湖草沙一体化保护和修复示范工程实施方案》、子项目设计、绩效评价报告、验收成果和相关监测评估结果，采用实地调研、公众调查、专家论证、类比分析等相结合的技术手段，通过定量和定性相结合的方法，综合考虑工程项目建设任务完</w:t>
      </w:r>
      <w:r>
        <w:rPr>
          <w:rFonts w:hint="eastAsia"/>
          <w:color w:val="auto"/>
          <w:sz w:val="24"/>
          <w:szCs w:val="24"/>
          <w:highlight w:val="none"/>
        </w:rPr>
        <w:t xml:space="preserve">成情况、社会效益、生态效益、经济效益、可持续影响等方面构建科学的工程绩效评价体系，根据实地考察结果，分析项目实施后，生态修复各分项目标和总体目标的实现情况，客观评估生态修复工程实施的成效，为省级山水工程成效评估和省级验收提供技术支撑。协助主管部门按照省自然资源厅要求编制年度绩效自评报告。会同相关部门组织调研、座谈、片区会等形式，收集项目工程典型案例。围绕典型案例，深入挖掘其在政策创新、技术应用、资金筹措、利益协调等方面的亮点做法，总结具有代表性和可推广的山水工程治理模式，并在行业内知名媒体平台进行宣传报道。</w:t>
      </w:r>
      <w:r/>
    </w:p>
    <w:p>
      <w:pPr>
        <w:spacing w:line="440" w:lineRule="exact"/>
        <w:rPr>
          <w:b/>
          <w:bCs/>
          <w:color w:val="auto"/>
          <w:sz w:val="24"/>
          <w:szCs w:val="24"/>
          <w:highlight w:val="none"/>
        </w:rPr>
      </w:pPr>
      <w:r>
        <w:rPr>
          <w:rFonts w:hint="eastAsia"/>
          <w:b/>
          <w:bCs/>
          <w:color w:val="auto"/>
          <w:sz w:val="24"/>
          <w:szCs w:val="24"/>
          <w:highlight w:val="none"/>
        </w:rPr>
        <w:t xml:space="preserve">四、成果要求</w:t>
      </w:r>
      <w:r/>
    </w:p>
    <w:p>
      <w:pPr>
        <w:ind w:firstLine="480"/>
        <w:spacing w:line="440" w:lineRule="exact"/>
        <w:rPr>
          <w:color w:val="auto"/>
          <w:sz w:val="24"/>
          <w:szCs w:val="24"/>
          <w:highlight w:val="none"/>
        </w:rPr>
      </w:pPr>
      <w:r>
        <w:rPr>
          <w:rFonts w:hint="eastAsia"/>
          <w:color w:val="auto"/>
          <w:sz w:val="24"/>
          <w:szCs w:val="24"/>
          <w:highlight w:val="none"/>
        </w:rPr>
        <w:t xml:space="preserve">1、 全过程监测、监管成果要求</w:t>
      </w:r>
      <w:r/>
    </w:p>
    <w:p>
      <w:pPr>
        <w:ind w:firstLine="480"/>
        <w:spacing w:line="440" w:lineRule="exact"/>
        <w:rPr>
          <w:color w:val="auto"/>
          <w:sz w:val="24"/>
          <w:szCs w:val="24"/>
          <w:highlight w:val="none"/>
        </w:rPr>
      </w:pPr>
      <w:r>
        <w:rPr>
          <w:rFonts w:hint="eastAsia"/>
          <w:color w:val="auto"/>
          <w:sz w:val="24"/>
          <w:szCs w:val="24"/>
          <w:highlight w:val="none"/>
        </w:rPr>
        <w:t xml:space="preserve">（1）编写项目监测监管工作方案、季度监测监管报告及相关文档资料、影像资料；</w:t>
      </w:r>
      <w:r/>
    </w:p>
    <w:p>
      <w:pPr>
        <w:ind w:firstLine="480"/>
        <w:spacing w:line="440" w:lineRule="exact"/>
        <w:rPr>
          <w:color w:val="auto"/>
          <w:sz w:val="24"/>
          <w:szCs w:val="24"/>
          <w:highlight w:val="none"/>
        </w:rPr>
      </w:pPr>
      <w:r>
        <w:rPr>
          <w:rFonts w:hint="eastAsia"/>
          <w:color w:val="auto"/>
          <w:sz w:val="24"/>
          <w:szCs w:val="24"/>
          <w:highlight w:val="none"/>
        </w:rPr>
        <w:t xml:space="preserve">（2）按</w:t>
      </w:r>
      <w:r>
        <w:rPr>
          <w:rFonts w:hint="eastAsia"/>
          <w:color w:val="auto"/>
          <w:sz w:val="24"/>
          <w:szCs w:val="24"/>
          <w:highlight w:val="none"/>
          <w:lang w:val="en-US" w:eastAsia="zh-CN"/>
        </w:rPr>
        <w:t xml:space="preserve">半</w:t>
      </w:r>
      <w:r>
        <w:rPr>
          <w:rFonts w:hint="eastAsia"/>
          <w:color w:val="auto"/>
          <w:sz w:val="24"/>
          <w:szCs w:val="24"/>
          <w:highlight w:val="none"/>
        </w:rPr>
        <w:t xml:space="preserve">年度</w:t>
      </w:r>
      <w:r>
        <w:rPr>
          <w:rFonts w:hint="eastAsia"/>
          <w:color w:val="auto"/>
          <w:sz w:val="24"/>
          <w:szCs w:val="24"/>
          <w:highlight w:val="none"/>
        </w:rPr>
        <w:t xml:space="preserve">开展生态遥感监测，</w:t>
      </w:r>
      <w:r>
        <w:rPr>
          <w:rFonts w:hint="eastAsia"/>
          <w:color w:val="auto"/>
          <w:sz w:val="24"/>
          <w:szCs w:val="24"/>
          <w:highlight w:val="none"/>
        </w:rPr>
        <w:t xml:space="preserve">完成年度生态监测评估报告；</w:t>
      </w:r>
      <w:r/>
    </w:p>
    <w:p>
      <w:pPr>
        <w:ind w:firstLine="480"/>
        <w:spacing w:line="440" w:lineRule="exact"/>
        <w:rPr>
          <w:color w:val="auto"/>
          <w:sz w:val="24"/>
          <w:szCs w:val="24"/>
          <w:highlight w:val="none"/>
        </w:rPr>
      </w:pPr>
      <w:r>
        <w:rPr>
          <w:rFonts w:hint="eastAsia"/>
          <w:color w:val="auto"/>
          <w:sz w:val="24"/>
          <w:szCs w:val="24"/>
          <w:highlight w:val="none"/>
        </w:rPr>
        <w:t xml:space="preserve">（3）生态系统监测评估数据成果。</w:t>
      </w:r>
      <w:r/>
    </w:p>
    <w:p>
      <w:pPr>
        <w:ind w:firstLine="480"/>
        <w:spacing w:line="440" w:lineRule="exact"/>
        <w:rPr>
          <w:color w:val="auto"/>
          <w:sz w:val="24"/>
          <w:szCs w:val="24"/>
          <w:highlight w:val="none"/>
        </w:rPr>
      </w:pPr>
      <w:r>
        <w:rPr>
          <w:rFonts w:hint="eastAsia"/>
          <w:color w:val="auto"/>
          <w:sz w:val="24"/>
          <w:szCs w:val="24"/>
          <w:highlight w:val="none"/>
        </w:rPr>
        <w:t xml:space="preserve">2、工程成效评估成果要求</w:t>
      </w:r>
      <w:r/>
    </w:p>
    <w:p>
      <w:pPr>
        <w:ind w:firstLine="480"/>
        <w:spacing w:line="440" w:lineRule="exact"/>
        <w:rPr>
          <w:color w:val="auto"/>
          <w:sz w:val="24"/>
          <w:szCs w:val="24"/>
          <w:highlight w:val="none"/>
        </w:rPr>
      </w:pPr>
      <w:r>
        <w:rPr>
          <w:rFonts w:hint="eastAsia"/>
          <w:color w:val="auto"/>
          <w:sz w:val="24"/>
          <w:szCs w:val="24"/>
          <w:highlight w:val="none"/>
        </w:rPr>
        <w:t xml:space="preserve">（1）拟定评估工作方案；</w:t>
      </w:r>
      <w:r/>
    </w:p>
    <w:p>
      <w:pPr>
        <w:ind w:firstLine="480"/>
        <w:spacing w:line="440" w:lineRule="exact"/>
        <w:rPr>
          <w:color w:val="auto"/>
          <w:sz w:val="24"/>
          <w:szCs w:val="24"/>
          <w:highlight w:val="none"/>
        </w:rPr>
      </w:pPr>
      <w:r>
        <w:rPr>
          <w:rFonts w:hint="eastAsia"/>
          <w:color w:val="auto"/>
          <w:sz w:val="24"/>
          <w:szCs w:val="24"/>
          <w:highlight w:val="none"/>
        </w:rPr>
        <w:t xml:space="preserve">（2）年度绩效自评报告；</w:t>
      </w:r>
      <w:r/>
    </w:p>
    <w:p>
      <w:pPr>
        <w:ind w:firstLine="480"/>
        <w:spacing w:line="440" w:lineRule="exact"/>
        <w:rPr>
          <w:color w:val="auto"/>
          <w:sz w:val="24"/>
          <w:szCs w:val="24"/>
          <w:highlight w:val="none"/>
        </w:rPr>
      </w:pPr>
      <w:r>
        <w:rPr>
          <w:rFonts w:hint="eastAsia"/>
          <w:color w:val="auto"/>
          <w:sz w:val="24"/>
          <w:szCs w:val="24"/>
          <w:highlight w:val="none"/>
        </w:rPr>
        <w:t xml:space="preserve">（3）工程成效评估报告。</w:t>
      </w:r>
      <w:r/>
    </w:p>
    <w:p>
      <w:pPr>
        <w:spacing w:line="440" w:lineRule="exact"/>
        <w:rPr>
          <w:b/>
          <w:bCs/>
          <w:color w:val="auto"/>
          <w:sz w:val="24"/>
          <w:szCs w:val="24"/>
          <w:highlight w:val="none"/>
        </w:rPr>
      </w:pPr>
      <w:r>
        <w:rPr>
          <w:rFonts w:hint="eastAsia"/>
          <w:b/>
          <w:bCs/>
          <w:color w:val="auto"/>
          <w:sz w:val="24"/>
          <w:szCs w:val="24"/>
          <w:highlight w:val="none"/>
        </w:rPr>
        <w:t xml:space="preserve">五、验收标准</w:t>
      </w:r>
      <w:r/>
    </w:p>
    <w:p>
      <w:pPr>
        <w:ind w:firstLine="480"/>
        <w:spacing w:line="440" w:lineRule="exact"/>
        <w:rPr>
          <w:color w:val="auto"/>
          <w:sz w:val="24"/>
          <w:szCs w:val="24"/>
          <w:highlight w:val="none"/>
        </w:rPr>
      </w:pPr>
      <w:r>
        <w:rPr>
          <w:rFonts w:hint="eastAsia"/>
          <w:color w:val="auto"/>
          <w:sz w:val="24"/>
          <w:szCs w:val="24"/>
          <w:highlight w:val="none"/>
        </w:rPr>
        <w:t xml:space="preserve">1、成果交付完整</w:t>
      </w:r>
      <w:r/>
    </w:p>
    <w:p>
      <w:pPr>
        <w:ind w:firstLine="480"/>
        <w:spacing w:line="440" w:lineRule="exact"/>
        <w:rPr>
          <w:color w:val="auto"/>
          <w:sz w:val="24"/>
          <w:szCs w:val="24"/>
          <w:highlight w:val="none"/>
        </w:rPr>
      </w:pPr>
      <w:r>
        <w:rPr>
          <w:rFonts w:hint="eastAsia"/>
          <w:color w:val="auto"/>
          <w:sz w:val="24"/>
          <w:szCs w:val="24"/>
          <w:highlight w:val="none"/>
        </w:rPr>
        <w:t xml:space="preserve">成交供应商须按合同约定及采购需求，提交完整的监管成果文件与过程资料。必须包括但不限于成果要求中的文件资料。所有成果应格式规范、签章齐全、装订成册或按要求归档。</w:t>
      </w:r>
      <w:r/>
    </w:p>
    <w:p>
      <w:pPr>
        <w:ind w:firstLine="480"/>
        <w:spacing w:line="440" w:lineRule="exact"/>
        <w:rPr>
          <w:color w:val="auto"/>
          <w:sz w:val="24"/>
          <w:szCs w:val="24"/>
          <w:highlight w:val="none"/>
        </w:rPr>
      </w:pPr>
      <w:r>
        <w:rPr>
          <w:rFonts w:hint="eastAsia"/>
          <w:color w:val="auto"/>
          <w:sz w:val="24"/>
          <w:szCs w:val="24"/>
          <w:highlight w:val="none"/>
        </w:rPr>
        <w:t xml:space="preserve">2、工作过程规范</w:t>
      </w:r>
      <w:r/>
    </w:p>
    <w:p>
      <w:pPr>
        <w:ind w:firstLine="480"/>
        <w:spacing w:line="440" w:lineRule="exact"/>
        <w:rPr>
          <w:color w:val="auto"/>
          <w:sz w:val="24"/>
          <w:szCs w:val="24"/>
          <w:highlight w:val="none"/>
        </w:rPr>
      </w:pPr>
      <w:r>
        <w:rPr>
          <w:rFonts w:hint="eastAsia"/>
          <w:color w:val="auto"/>
          <w:sz w:val="24"/>
          <w:szCs w:val="24"/>
          <w:highlight w:val="none"/>
        </w:rPr>
        <w:t xml:space="preserve">按照省自然资源厅、生态环境厅、财政厅《江苏省省级山水林田湖草沙一体化保护和修复工程项目及资金管理办法》（苏自然资发[2025]256号）要求，使用省级财政资金的省级山水工程需开展项目日常监管、生态监测和成效评估。</w:t>
      </w:r>
      <w:r/>
    </w:p>
    <w:p>
      <w:pPr>
        <w:ind w:firstLine="480"/>
        <w:spacing w:line="440" w:lineRule="exact"/>
        <w:rPr>
          <w:color w:val="auto"/>
          <w:sz w:val="24"/>
          <w:szCs w:val="24"/>
          <w:highlight w:val="none"/>
        </w:rPr>
      </w:pPr>
      <w:r>
        <w:rPr>
          <w:rFonts w:hint="eastAsia"/>
          <w:color w:val="auto"/>
          <w:sz w:val="24"/>
          <w:szCs w:val="24"/>
          <w:highlight w:val="none"/>
        </w:rPr>
        <w:t xml:space="preserve">开展项目监督检查以及对发现问题整改督促，编写与项目监管相关的现场巡查记录、不定时参加项目监管例会。</w:t>
      </w:r>
      <w:r/>
    </w:p>
    <w:p>
      <w:pPr>
        <w:ind w:firstLine="480"/>
        <w:spacing w:line="440" w:lineRule="exact"/>
        <w:rPr>
          <w:color w:val="auto"/>
          <w:sz w:val="24"/>
          <w:szCs w:val="24"/>
          <w:highlight w:val="none"/>
        </w:rPr>
      </w:pPr>
      <w:r>
        <w:rPr>
          <w:rFonts w:hint="eastAsia"/>
          <w:color w:val="auto"/>
          <w:sz w:val="24"/>
          <w:szCs w:val="24"/>
          <w:highlight w:val="none"/>
        </w:rPr>
        <w:t xml:space="preserve">核查工程资料内容一致性、绩效完成度、合规合理性、管理规范性，确保资料真实、准确、完整、规范，符合相关技术标准和验收规范要求。</w:t>
      </w:r>
      <w:r/>
    </w:p>
    <w:p>
      <w:pPr>
        <w:ind w:firstLine="480"/>
        <w:spacing w:line="440" w:lineRule="exact"/>
        <w:rPr>
          <w:color w:val="auto"/>
          <w:sz w:val="24"/>
          <w:szCs w:val="24"/>
          <w:highlight w:val="none"/>
        </w:rPr>
      </w:pPr>
      <w:r>
        <w:rPr>
          <w:rFonts w:hint="eastAsia"/>
          <w:color w:val="auto"/>
          <w:sz w:val="24"/>
          <w:szCs w:val="24"/>
          <w:highlight w:val="none"/>
        </w:rPr>
        <w:t xml:space="preserve">审查子项目验收绩效完成情况，协助形成项目初验报告和终验申请材料，协助专家审查论证。</w:t>
      </w:r>
      <w:r/>
    </w:p>
    <w:p>
      <w:pPr>
        <w:ind w:firstLine="480"/>
        <w:spacing w:line="440" w:lineRule="exact"/>
        <w:rPr>
          <w:color w:val="auto"/>
          <w:sz w:val="24"/>
          <w:szCs w:val="24"/>
          <w:highlight w:val="none"/>
        </w:rPr>
      </w:pPr>
      <w:r>
        <w:rPr>
          <w:rFonts w:hint="eastAsia"/>
          <w:color w:val="auto"/>
          <w:sz w:val="24"/>
          <w:szCs w:val="24"/>
          <w:highlight w:val="none"/>
        </w:rPr>
        <w:t xml:space="preserve">提供采用卫星遥感等技术进行动态监测的分析报告及数据成果，证明对项目进展进行了客观、定期的掌握。实地核查须提供覆盖所有关键时间节点与重点区域的现场踏勘记录、实地核查记录及影像资料，证明核查工作的频次与深度达到要求。</w:t>
      </w:r>
      <w:r/>
    </w:p>
    <w:p>
      <w:pPr>
        <w:spacing w:line="440" w:lineRule="exact"/>
        <w:rPr>
          <w:b/>
          <w:bCs/>
          <w:color w:val="auto"/>
          <w:sz w:val="24"/>
          <w:szCs w:val="24"/>
          <w:highlight w:val="none"/>
        </w:rPr>
      </w:pPr>
      <w:r>
        <w:rPr>
          <w:rFonts w:hint="eastAsia"/>
          <w:b/>
          <w:bCs/>
          <w:color w:val="auto"/>
          <w:sz w:val="24"/>
          <w:szCs w:val="24"/>
          <w:highlight w:val="none"/>
        </w:rPr>
        <w:t xml:space="preserve">六、服务期限</w:t>
      </w:r>
      <w:r/>
    </w:p>
    <w:p>
      <w:pPr>
        <w:ind w:firstLine="482"/>
        <w:spacing w:line="440" w:lineRule="exact"/>
        <w:rPr>
          <w:b/>
          <w:bCs/>
          <w:color w:val="auto"/>
          <w:sz w:val="24"/>
          <w:szCs w:val="24"/>
          <w:highlight w:val="none"/>
        </w:rPr>
      </w:pPr>
      <w:r>
        <w:rPr>
          <w:rFonts w:hint="eastAsia"/>
          <w:b/>
          <w:bCs/>
          <w:color w:val="auto"/>
          <w:sz w:val="24"/>
          <w:szCs w:val="24"/>
          <w:highlight w:val="none"/>
        </w:rPr>
        <w:t xml:space="preserve">自合同签订之日起至上级终验和整改止。</w:t>
      </w:r>
      <w:r/>
    </w:p>
    <w:p>
      <w:pPr>
        <w:spacing w:line="440" w:lineRule="exact"/>
        <w:rPr>
          <w:b/>
          <w:bCs/>
          <w:color w:val="auto"/>
          <w:sz w:val="24"/>
          <w:szCs w:val="24"/>
          <w:highlight w:val="none"/>
        </w:rPr>
      </w:pPr>
      <w:r>
        <w:rPr>
          <w:rFonts w:hint="eastAsia"/>
          <w:b/>
          <w:bCs/>
          <w:color w:val="auto"/>
          <w:sz w:val="24"/>
          <w:szCs w:val="24"/>
          <w:highlight w:val="none"/>
        </w:rPr>
        <w:t xml:space="preserve">七、报价要求</w:t>
      </w:r>
      <w:r/>
    </w:p>
    <w:p>
      <w:pPr>
        <w:ind w:firstLine="480"/>
        <w:spacing w:line="440" w:lineRule="exact"/>
        <w:rPr>
          <w:color w:val="auto"/>
          <w:sz w:val="24"/>
          <w:szCs w:val="24"/>
          <w:highlight w:val="none"/>
        </w:rPr>
      </w:pPr>
      <w:r>
        <w:rPr>
          <w:rFonts w:hint="eastAsia"/>
          <w:color w:val="auto"/>
          <w:sz w:val="24"/>
          <w:szCs w:val="24"/>
          <w:highlight w:val="none"/>
        </w:rPr>
        <w:t xml:space="preserve">包括但不限于以下内容：资料收集费、现场勘察与采样费、遥感影像购置与解译分析费、测试分析费、人员工资、劳务费、设备租用、咨询费、会议费、报告编制费、耗材、差旅费、燃料动力费、竣工验收费、招标代理费等。</w:t>
      </w:r>
      <w:r/>
    </w:p>
    <w:p>
      <w:pPr>
        <w:spacing w:line="440" w:lineRule="exact"/>
        <w:rPr>
          <w:b/>
          <w:bCs/>
          <w:color w:val="auto"/>
          <w:sz w:val="24"/>
          <w:szCs w:val="24"/>
          <w:highlight w:val="none"/>
        </w:rPr>
      </w:pPr>
      <w:r>
        <w:rPr>
          <w:rFonts w:hint="eastAsia"/>
          <w:b/>
          <w:bCs/>
          <w:color w:val="auto"/>
          <w:sz w:val="24"/>
          <w:szCs w:val="24"/>
          <w:highlight w:val="none"/>
        </w:rPr>
        <w:t xml:space="preserve">八、安全与保密</w:t>
      </w:r>
      <w:r/>
    </w:p>
    <w:p>
      <w:pPr>
        <w:ind w:firstLine="480"/>
        <w:spacing w:line="440" w:lineRule="exact"/>
        <w:rPr>
          <w:color w:val="auto"/>
          <w:sz w:val="24"/>
          <w:szCs w:val="24"/>
          <w:highlight w:val="none"/>
        </w:rPr>
      </w:pPr>
      <w:r>
        <w:rPr>
          <w:rFonts w:hint="eastAsia"/>
          <w:color w:val="auto"/>
          <w:sz w:val="24"/>
          <w:szCs w:val="24"/>
          <w:highlight w:val="none"/>
        </w:rPr>
        <w:t xml:space="preserve">该项目成交供应商服务后的成果及相关数据所有权归如东县自然资源和规划局所有。</w:t>
      </w:r>
      <w:r/>
    </w:p>
    <w:p>
      <w:pPr>
        <w:ind w:firstLine="480"/>
        <w:spacing w:line="440" w:lineRule="exact"/>
        <w:rPr>
          <w:color w:val="auto"/>
          <w:sz w:val="24"/>
          <w:szCs w:val="24"/>
          <w:highlight w:val="none"/>
        </w:rPr>
      </w:pPr>
      <w:r>
        <w:rPr>
          <w:rFonts w:hint="eastAsia"/>
          <w:color w:val="auto"/>
          <w:sz w:val="24"/>
          <w:szCs w:val="24"/>
          <w:highlight w:val="none"/>
        </w:rPr>
        <w:t xml:space="preserve">在履约过程中，如果成交供应商出现以下行为，将记录其不良行为，三年内不得参与如东县自然资源和规划局交易活动,且根据相关规定追究相关责任：</w:t>
      </w:r>
      <w:r/>
    </w:p>
    <w:p>
      <w:pPr>
        <w:ind w:firstLine="480"/>
        <w:spacing w:line="440" w:lineRule="exact"/>
        <w:rPr>
          <w:color w:val="auto"/>
          <w:sz w:val="24"/>
          <w:szCs w:val="24"/>
          <w:highlight w:val="none"/>
        </w:rPr>
      </w:pPr>
      <w:r>
        <w:rPr>
          <w:rFonts w:hint="eastAsia"/>
          <w:color w:val="auto"/>
          <w:sz w:val="24"/>
          <w:szCs w:val="24"/>
          <w:highlight w:val="none"/>
        </w:rPr>
        <w:t xml:space="preserve">1.成交供应商转包和分包项目的；</w:t>
      </w:r>
      <w:r/>
    </w:p>
    <w:p>
      <w:pPr>
        <w:ind w:firstLine="480"/>
        <w:spacing w:line="440" w:lineRule="exact"/>
        <w:rPr>
          <w:color w:val="auto"/>
          <w:sz w:val="24"/>
          <w:szCs w:val="24"/>
          <w:highlight w:val="none"/>
        </w:rPr>
      </w:pPr>
      <w:r>
        <w:rPr>
          <w:rFonts w:hint="eastAsia"/>
          <w:color w:val="auto"/>
          <w:sz w:val="24"/>
          <w:szCs w:val="24"/>
          <w:highlight w:val="none"/>
        </w:rPr>
        <w:t xml:space="preserve">2.成交供应商不能按照合同约定的服务时间保质保量完成本项目的，且造成不良后果的；</w:t>
      </w:r>
      <w:r/>
    </w:p>
    <w:p>
      <w:pPr>
        <w:ind w:firstLine="480"/>
        <w:spacing w:line="440" w:lineRule="exact"/>
        <w:rPr>
          <w:color w:val="auto"/>
          <w:sz w:val="24"/>
          <w:szCs w:val="24"/>
          <w:highlight w:val="none"/>
        </w:rPr>
      </w:pPr>
      <w:r>
        <w:rPr>
          <w:rFonts w:hint="eastAsia"/>
          <w:color w:val="auto"/>
          <w:sz w:val="24"/>
          <w:szCs w:val="24"/>
          <w:highlight w:val="none"/>
        </w:rPr>
        <w:t xml:space="preserve">3.工作中涉及到的涉密和敏感图文资料、电子数据，应严格执行保密的相关规定，如以任何方式向任何第三人披露、泄露或许可第三人使用的；</w:t>
      </w:r>
      <w:r/>
    </w:p>
    <w:p>
      <w:pPr>
        <w:ind w:firstLine="480"/>
        <w:spacing w:line="440" w:lineRule="exact"/>
        <w:rPr>
          <w:color w:val="auto"/>
          <w:sz w:val="24"/>
          <w:szCs w:val="24"/>
          <w:highlight w:val="none"/>
        </w:rPr>
      </w:pPr>
      <w:r>
        <w:rPr>
          <w:rFonts w:hint="eastAsia"/>
          <w:color w:val="auto"/>
          <w:sz w:val="24"/>
          <w:szCs w:val="24"/>
          <w:highlight w:val="none"/>
        </w:rPr>
        <w:t xml:space="preserve">4.其他不良行为。</w:t>
      </w:r>
      <w:r/>
    </w:p>
    <w:p>
      <w:pPr>
        <w:ind w:firstLine="480"/>
        <w:spacing w:line="440" w:lineRule="exact"/>
        <w:rPr>
          <w:color w:val="auto"/>
          <w:sz w:val="24"/>
          <w:szCs w:val="24"/>
          <w:highlight w:val="none"/>
        </w:rPr>
      </w:pPr>
      <w:r>
        <w:rPr>
          <w:rFonts w:hint="eastAsia"/>
          <w:color w:val="auto"/>
          <w:sz w:val="24"/>
          <w:szCs w:val="24"/>
          <w:highlight w:val="none"/>
        </w:rPr>
        <w:t xml:space="preserve">注：服务过程中因上级文件或政策而引起的工作量的变化，最终结算价不做调整。请各供应商充分考虑，结算时不做变更。</w:t>
      </w:r>
      <w:r/>
    </w:p>
    <w:p>
      <w:pPr>
        <w:ind w:firstLine="480"/>
        <w:spacing w:line="440" w:lineRule="exact"/>
        <w:rPr>
          <w:b/>
          <w:bCs/>
          <w:color w:val="auto"/>
          <w:sz w:val="24"/>
          <w:szCs w:val="24"/>
          <w:highlight w:val="none"/>
        </w:rPr>
      </w:pPr>
      <w:r>
        <w:rPr>
          <w:rFonts w:hint="eastAsia"/>
          <w:color w:val="auto"/>
          <w:sz w:val="24"/>
          <w:szCs w:val="24"/>
          <w:highlight w:val="none"/>
        </w:rPr>
        <w:t xml:space="preserve">在项目服务过程中的所有安全责任由成交供应商全权负责，采购人不承担任何责任。</w:t>
      </w:r>
      <w:r/>
    </w:p>
    <w:p>
      <w:pPr>
        <w:ind w:firstLine="482"/>
        <w:spacing w:line="440" w:lineRule="exact"/>
        <w:rPr>
          <w:b/>
          <w:bCs/>
          <w:color w:val="auto"/>
          <w:sz w:val="24"/>
          <w:szCs w:val="24"/>
          <w:highlight w:val="none"/>
        </w:rPr>
      </w:pPr>
      <w:r>
        <w:rPr>
          <w:rFonts w:hint="eastAsia"/>
          <w:b/>
          <w:bCs/>
          <w:color w:val="auto"/>
          <w:sz w:val="24"/>
          <w:szCs w:val="24"/>
          <w:highlight w:val="none"/>
        </w:rPr>
        <w:t xml:space="preserve">九、付款方式</w:t>
      </w:r>
      <w:r/>
    </w:p>
    <w:p>
      <w:pPr>
        <w:ind w:firstLine="480"/>
        <w:spacing w:before="120" w:after="120" w:line="400" w:lineRule="exact"/>
        <w:rPr>
          <w:rFonts w:ascii="宋体" w:hAnsi="宋体" w:cs="宋体"/>
          <w:b w:val="0"/>
          <w:bCs/>
          <w:color w:val="auto"/>
          <w:sz w:val="24"/>
          <w:szCs w:val="24"/>
          <w:highlight w:val="none"/>
        </w:rPr>
      </w:pPr>
      <w:r>
        <w:rPr>
          <w:rFonts w:hint="eastAsia" w:ascii="Times New Roman" w:hAnsi="Times New Roman"/>
          <w:b w:val="0"/>
          <w:bCs/>
          <w:color w:val="auto"/>
          <w:sz w:val="24"/>
          <w:szCs w:val="24"/>
          <w:highlight w:val="none"/>
        </w:rPr>
        <w:t xml:space="preserve">签订合同30日内，提交“如东黄金海岸山水林田湖草沙一体化保护和修复示范工程监测监管与工程成效评估项目工作方案”，经</w:t>
      </w:r>
      <w:r>
        <w:rPr>
          <w:rFonts w:hint="eastAsia" w:ascii="Times New Roman" w:hAnsi="Times New Roman"/>
          <w:b w:val="0"/>
          <w:bCs/>
          <w:color w:val="auto"/>
          <w:sz w:val="24"/>
          <w:szCs w:val="24"/>
          <w:highlight w:val="none"/>
          <w:lang w:val="en-US" w:eastAsia="zh-CN"/>
        </w:rPr>
        <w:t xml:space="preserve">采购人</w:t>
      </w:r>
      <w:r>
        <w:rPr>
          <w:rFonts w:hint="eastAsia" w:ascii="Times New Roman" w:hAnsi="Times New Roman"/>
          <w:b w:val="0"/>
          <w:bCs/>
          <w:color w:val="auto"/>
          <w:sz w:val="24"/>
          <w:szCs w:val="24"/>
          <w:highlight w:val="none"/>
        </w:rPr>
        <w:t xml:space="preserve">确认后，支付合同价的30%。完成2026年度工作内容并提交相关成果后，经</w:t>
      </w:r>
      <w:r>
        <w:rPr>
          <w:rFonts w:hint="eastAsia" w:ascii="Times New Roman" w:hAnsi="Times New Roman"/>
          <w:b w:val="0"/>
          <w:bCs/>
          <w:color w:val="auto"/>
          <w:sz w:val="24"/>
          <w:szCs w:val="24"/>
          <w:highlight w:val="none"/>
          <w:lang w:val="en-US" w:eastAsia="zh-CN"/>
        </w:rPr>
        <w:t xml:space="preserve">采购人</w:t>
      </w:r>
      <w:r>
        <w:rPr>
          <w:rFonts w:hint="eastAsia" w:ascii="Times New Roman" w:hAnsi="Times New Roman"/>
          <w:b w:val="0"/>
          <w:bCs/>
          <w:color w:val="auto"/>
          <w:sz w:val="24"/>
          <w:szCs w:val="24"/>
          <w:highlight w:val="none"/>
        </w:rPr>
        <w:t xml:space="preserve">确认后，支付合同价的40%。工程通过最终验收并整改结束后，一个月内一次性付清剩余所有款项。</w:t>
      </w:r>
      <w:bookmarkStart w:id="190" w:name="_GoBack"/>
      <w:r/>
      <w:bookmarkEnd w:id="190"/>
      <w:r/>
      <w:r/>
    </w:p>
    <w:p>
      <w:pPr>
        <w:pStyle w:val="771"/>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十、履约保证金：本项目免缴履约保证金。</w:t>
      </w:r>
      <w:r/>
    </w:p>
    <w:p>
      <w:pPr>
        <w:ind w:firstLine="482"/>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十一、约定事项</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1、本项目实施人员必须是响应文件中提供的人员，</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不得以任何原因和方式将合同转包、分包或雇用其他作业人员进行生产。一经发现有上述情况的，将按违约处理，采购人有权拒付合同额。</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2、采购人向</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提供的全部资料及</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生产的全部成果资料（包括中间资料）其版权归采购人所有，</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不得自留使用或以任何方式转让或提供给第三方使用。</w:t>
      </w:r>
      <w:r/>
    </w:p>
    <w:p>
      <w:pPr>
        <w:ind w:firstLine="480"/>
        <w:spacing w:line="420" w:lineRule="exact"/>
        <w:rPr>
          <w:color w:val="auto"/>
          <w:sz w:val="24"/>
          <w:szCs w:val="24"/>
          <w:highlight w:val="none"/>
        </w:rPr>
      </w:pPr>
      <w:r>
        <w:rPr>
          <w:rFonts w:hint="eastAsia" w:ascii="宋体" w:hAnsi="宋体" w:cs="宋体"/>
          <w:bCs/>
          <w:color w:val="auto"/>
          <w:sz w:val="24"/>
          <w:szCs w:val="24"/>
          <w:highlight w:val="none"/>
        </w:rPr>
        <w:t xml:space="preserve">3、本项目最终成果的检查验收由采购人组织，其经费由</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承担。</w:t>
      </w:r>
      <w:r/>
    </w:p>
    <w:p>
      <w:pPr>
        <w:ind w:firstLine="480"/>
        <w:spacing w:line="420" w:lineRule="exact"/>
        <w:rPr>
          <w:color w:val="auto"/>
          <w:sz w:val="24"/>
          <w:szCs w:val="24"/>
          <w:highlight w:val="none"/>
        </w:rPr>
      </w:pPr>
      <w:r>
        <w:rPr>
          <w:rFonts w:hint="eastAsia"/>
          <w:color w:val="auto"/>
          <w:sz w:val="24"/>
          <w:szCs w:val="24"/>
          <w:highlight w:val="none"/>
        </w:rPr>
        <w:t xml:space="preserve">4、供应商的投标（响应）报价，在合同实施期间，中标价不随国家政策或法规、标准及任何市场因素的变化而进行调整。</w:t>
      </w:r>
      <w:r/>
    </w:p>
    <w:p>
      <w:pPr>
        <w:ind w:firstLine="480"/>
        <w:spacing w:line="420" w:lineRule="exact"/>
        <w:rPr>
          <w:rFonts w:ascii="Times New Roman" w:hAnsi="Times New Roman"/>
          <w:color w:val="auto"/>
          <w:highlight w:val="none"/>
        </w:rPr>
      </w:pPr>
      <w:r>
        <w:rPr>
          <w:rFonts w:hint="eastAsia"/>
          <w:color w:val="auto"/>
          <w:sz w:val="24"/>
          <w:szCs w:val="24"/>
          <w:highlight w:val="none"/>
        </w:rPr>
        <w:t xml:space="preserve">5、成交供应商在履行合同过程中，一切事故其责任由成交供应商承担，采购人不承担任何责任。</w:t>
      </w:r>
      <w:r/>
    </w:p>
    <w:p>
      <w:pPr>
        <w:ind w:firstLine="2530"/>
        <w:keepNext/>
        <w:spacing w:line="400" w:lineRule="exact"/>
        <w:rPr>
          <w:rFonts w:ascii="Times New Roman" w:hAnsi="Times New Roman"/>
          <w:b/>
          <w:bCs/>
          <w:color w:val="auto"/>
          <w:sz w:val="36"/>
          <w:szCs w:val="36"/>
          <w:highlight w:val="none"/>
        </w:rPr>
        <w:outlineLvl w:val="0"/>
      </w:pPr>
      <w:r/>
      <w:bookmarkStart w:id="177" w:name="_Toc120614281"/>
      <w:r/>
      <w:r/>
    </w:p>
    <w:p>
      <w:pPr>
        <w:ind w:firstLine="2530"/>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2530"/>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2530"/>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2530"/>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ind w:firstLine="2530"/>
        <w:keepNext/>
        <w:spacing w:line="400" w:lineRule="exact"/>
        <w:rPr>
          <w:rFonts w:ascii="Times New Roman" w:hAnsi="Times New Roman"/>
          <w:b/>
          <w:bCs/>
          <w:color w:val="auto"/>
          <w:sz w:val="24"/>
          <w:szCs w:val="24"/>
          <w:highlight w:val="none"/>
        </w:rPr>
        <w:outlineLvl w:val="0"/>
      </w:pPr>
      <w:r>
        <w:rPr>
          <w:rFonts w:ascii="Times New Roman" w:hAnsi="Times New Roman"/>
          <w:b/>
          <w:bCs/>
          <w:color w:val="auto"/>
          <w:sz w:val="36"/>
          <w:szCs w:val="36"/>
          <w:highlight w:val="none"/>
        </w:rPr>
        <w:t xml:space="preserve">第五章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评审方法与评审标准</w:t>
      </w:r>
      <w:r/>
    </w:p>
    <w:p>
      <w:pPr>
        <w:pStyle w:val="797"/>
        <w:ind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一、评审方法：</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二、政府采购政策功能落实</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1、小微型企业价格扣除</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（1）本项目对小型和微型企业产品/本项目对小型和微型企业提供的服务给予10%的扣除价格，用扣除后的价格参与评审。</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（2）供应商需按照《政府采购促进中小企业发展管理办法》（财库﹝2020﹞46 号）的规定提供相应的《中小企业声明函》。</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（3）企业标准请参照《关于印发中小企业划型标准规定的通知》（工信部联企业[2011]300号）文件规定自行填写。</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2、残疾人福利单位价格扣除</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（1）本项目对残疾人福利性单位视同小型、微型企业，给予10%的价格扣除，用扣除后的价格参与评审。</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（2）残疾人福利单位需按照采购文件的要求提供《残疾人福利性单位声明函》。</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（3）残疾人福利单位标准请参照《关于促进残疾人就业政府采购政策的通知》（财库〔2017〕141号）。</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3、监狱和戒毒企业价格扣除</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（1）本项目对监狱和戒毒企业（简称监狱企业）视同小型、微型企业，给予10%的价格扣除，用扣除后的价格参与评审。</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（3）监狱企业标准请参照《关于政府采购支持监狱企业发展有关问题的通知》（财库[2014]68号）。</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4、残疾人福利单位、监狱企业属于小型、微型企业的，不重复享受政策。</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%的扣除，用扣除后的价格参与评审。</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6、联合体各方均为小型、微型企业（残疾人福利单位、监狱企业）的，联合体享受上述同类价格扣除，用扣除后的价格参与评审。</w:t>
      </w:r>
      <w:r/>
    </w:p>
    <w:p>
      <w:pPr>
        <w:pStyle w:val="79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7、专门面向中小企业采购的项目或者采购包，不再执行价格评审优惠的扶持政策。</w:t>
      </w:r>
      <w:r/>
    </w:p>
    <w:p>
      <w:pPr>
        <w:pStyle w:val="797"/>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8、采购本国产品的支持政策</w:t>
      </w:r>
      <w:r/>
    </w:p>
    <w:p>
      <w:pPr>
        <w:pStyle w:val="797"/>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97"/>
        <w:ind w:firstLine="480"/>
        <w:spacing w:line="400" w:lineRule="exact"/>
        <w:rPr>
          <w:rFonts w:ascii="Times New Roman" w:hAnsi="Times New Roman"/>
          <w:b/>
          <w:color w:val="auto"/>
          <w:sz w:val="24"/>
          <w:szCs w:val="24"/>
          <w:highlight w:val="none"/>
        </w:rPr>
      </w:pPr>
      <w:r>
        <w:rPr>
          <w:rFonts w:hint="eastAsia" w:ascii="Times New Roman" w:hAnsi="Times New Roman"/>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97"/>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三、评审方法与评审标准</w:t>
      </w:r>
      <w:r/>
    </w:p>
    <w:p>
      <w:pPr>
        <w:pStyle w:val="797"/>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本项目采用综合评分法，磋商小组将按下列评审方法与评审标准进行评分，总分值为100分。</w:t>
      </w:r>
      <w:r/>
    </w:p>
    <w:p>
      <w:pPr>
        <w:ind w:left="241"/>
        <w:spacing w:line="400" w:lineRule="exact"/>
        <w:rPr>
          <w:rFonts w:ascii="宋体" w:hAnsi="宋体" w:cs="宋体"/>
          <w:b/>
          <w:bCs/>
          <w:color w:val="auto"/>
          <w:sz w:val="28"/>
          <w:szCs w:val="28"/>
          <w:highlight w:val="none"/>
        </w:rPr>
      </w:pPr>
      <w:r>
        <w:rPr>
          <w:rFonts w:hint="eastAsia" w:ascii="宋体" w:hAnsi="宋体" w:cs="宋体"/>
          <w:b/>
          <w:color w:val="auto"/>
          <w:sz w:val="28"/>
          <w:szCs w:val="28"/>
          <w:highlight w:val="none"/>
        </w:rPr>
        <w:t xml:space="preserve">（一）商务技术</w:t>
      </w:r>
      <w:r>
        <w:rPr>
          <w:rFonts w:hint="eastAsia" w:ascii="宋体" w:hAnsi="宋体" w:cs="宋体"/>
          <w:b/>
          <w:bCs/>
          <w:color w:val="auto"/>
          <w:sz w:val="28"/>
          <w:szCs w:val="28"/>
          <w:highlight w:val="none"/>
        </w:rPr>
        <w:t xml:space="preserve">分（70分）</w:t>
      </w:r>
      <w:r/>
    </w:p>
    <w:p>
      <w:pPr>
        <w:ind w:firstLine="241"/>
        <w:jc w:val="left"/>
        <w:spacing w:line="400" w:lineRule="exact"/>
        <w:widowControl/>
        <w:rPr>
          <w:rFonts w:ascii="宋体" w:hAnsi="宋体" w:cs="宋体"/>
          <w:b/>
          <w:bCs/>
          <w:color w:val="auto"/>
          <w:sz w:val="32"/>
          <w:szCs w:val="32"/>
          <w:highlight w:val="none"/>
        </w:rPr>
      </w:pPr>
      <w:r>
        <w:rPr>
          <w:rFonts w:hint="eastAsia" w:ascii="宋体" w:hAnsi="宋体" w:cs="宋体"/>
          <w:b/>
          <w:color w:val="auto"/>
          <w:sz w:val="24"/>
          <w:szCs w:val="24"/>
          <w:highlight w:val="none"/>
        </w:rPr>
        <w:t xml:space="preserve">商务技术分是所有评委评分的算术平均值，分值保留小数点后两位。</w:t>
      </w:r>
      <w:r/>
    </w:p>
    <w:tbl>
      <w:tblPr>
        <w:tblStyle w:val="764"/>
        <w:tblW w:w="9653" w:type="dxa"/>
        <w:jc w:val="center"/>
        <w:tblLayout w:type="fixed"/>
        <w:tblCellMar>
          <w:left w:w="0" w:type="dxa"/>
          <w:top w:w="0" w:type="dxa"/>
          <w:right w:w="0" w:type="dxa"/>
          <w:bottom w:w="0" w:type="dxa"/>
        </w:tblCellMar>
        <w:tblLook w:val="04A0" w:firstRow="1" w:lastRow="0" w:firstColumn="1" w:lastColumn="0" w:noHBand="0" w:noVBand="1"/>
      </w:tblPr>
      <w:tblGrid>
        <w:gridCol w:w="959"/>
        <w:gridCol w:w="945"/>
        <w:gridCol w:w="7012"/>
        <w:gridCol w:w="737"/>
      </w:tblGrid>
      <w:tr>
        <w:trPr>
          <w:jc w:val="center"/>
          <w:trHeight w:val="610" w:hRule="exact"/>
        </w:trPr>
        <w:tc>
          <w:tcPr>
            <w:gridSpan w:val="2"/>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ascii="宋体" w:hAnsi="宋体"/>
                <w:color w:val="auto"/>
                <w:szCs w:val="21"/>
                <w:highlight w:val="none"/>
              </w:rPr>
            </w:pPr>
            <w:r>
              <w:rPr>
                <w:rFonts w:hint="eastAsia" w:ascii="宋体" w:hAnsi="宋体" w:cs="等线"/>
                <w:color w:val="auto"/>
                <w:szCs w:val="21"/>
                <w:highlight w:val="none"/>
              </w:rPr>
              <w:t xml:space="preserve">评分内容</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center"/>
              <w:rPr>
                <w:rFonts w:ascii="宋体" w:hAnsi="宋体"/>
                <w:color w:val="auto"/>
                <w:szCs w:val="21"/>
                <w:highlight w:val="none"/>
              </w:rPr>
            </w:pPr>
            <w:r>
              <w:rPr>
                <w:rFonts w:hint="eastAsia" w:ascii="宋体" w:hAnsi="宋体" w:cs="等线"/>
                <w:color w:val="auto"/>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ascii="宋体" w:hAnsi="宋体"/>
                <w:color w:val="auto"/>
                <w:szCs w:val="21"/>
                <w:highlight w:val="none"/>
              </w:rPr>
            </w:pPr>
            <w:r>
              <w:rPr>
                <w:rFonts w:hint="eastAsia" w:ascii="宋体" w:hAnsi="宋体" w:cs="等线"/>
                <w:color w:val="auto"/>
                <w:szCs w:val="21"/>
                <w:highlight w:val="none"/>
              </w:rPr>
              <w:t xml:space="preserve">分值</w:t>
            </w:r>
            <w:r/>
          </w:p>
        </w:tc>
      </w:tr>
      <w:tr>
        <w:trPr>
          <w:jc w:val="center"/>
          <w:trHeight w:val="1682" w:hRule="exact"/>
        </w:trPr>
        <w:tc>
          <w:tcPr>
            <w:tcBorders>
              <w:top w:val="single" w:color="000000" w:sz="4" w:space="0"/>
              <w:left w:val="single" w:color="000000" w:sz="4" w:space="0"/>
              <w:right w:val="single" w:color="000000" w:sz="4" w:space="0"/>
            </w:tcBorders>
            <w:tcW w:w="959" w:type="dxa"/>
            <w:vAlign w:val="center"/>
            <w:vMerge w:val="restart"/>
            <w:textDirection w:val="lrTb"/>
            <w:noWrap w:val="false"/>
          </w:tcPr>
          <w:p>
            <w:pPr>
              <w:ind w:left="200" w:hanging="200"/>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项目具体技术方案</w:t>
            </w:r>
            <w:r/>
          </w:p>
          <w:p>
            <w:pPr>
              <w:ind w:left="200" w:hanging="200"/>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（36分）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总体方案（16分）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包括①项目背景与必要性分析②项目实施计划与流程③技术路线与方法④项目成果、验收与后续服务。</w:t>
            </w:r>
            <w:r>
              <w:rPr>
                <w:rFonts w:hint="eastAsia" w:ascii="宋体" w:hAnsi="宋体" w:cs="宋体"/>
                <w:color w:val="auto"/>
                <w:szCs w:val="21"/>
                <w:highlight w:val="none"/>
                <w:lang w:bidi="ar"/>
              </w:rPr>
              <w:t xml:space="preserve">以上每项内容逐条阐述。</w:t>
            </w:r>
            <w:r/>
          </w:p>
          <w:p>
            <w:pPr>
              <w:jc w:val="left"/>
              <w:spacing w:line="360" w:lineRule="exact"/>
              <w:widowControl/>
              <w:rPr>
                <w:rFonts w:ascii="宋体" w:hAnsi="宋体"/>
                <w:color w:val="auto"/>
                <w:szCs w:val="21"/>
                <w:highlight w:val="none"/>
              </w:rPr>
            </w:pPr>
            <w:r>
              <w:rPr>
                <w:rFonts w:hint="eastAsia" w:ascii="宋体" w:hAnsi="宋体" w:cs="宋体"/>
                <w:color w:val="auto"/>
                <w:szCs w:val="21"/>
                <w:highlight w:val="none"/>
                <w:lang w:bidi="ar"/>
              </w:rPr>
              <w:t xml:space="preserve">上述4个方面每一项内容得4分，每有一项内容不完整或有缺陷的该项内容扣2分，本项最高得16分。照抄磋商文件或未提供的不得分。</w:t>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16分</w:t>
            </w:r>
            <w:r/>
          </w:p>
        </w:tc>
      </w:tr>
      <w:tr>
        <w:trPr>
          <w:jc w:val="center"/>
          <w:trHeight w:val="1618" w:hRule="exact"/>
        </w:trPr>
        <w:tc>
          <w:tcPr>
            <w:tcBorders>
              <w:left w:val="single" w:color="000000" w:sz="4" w:space="0"/>
              <w:right w:val="single" w:color="000000" w:sz="4" w:space="0"/>
            </w:tcBorders>
            <w:tcW w:w="959" w:type="dxa"/>
            <w:vAlign w:val="center"/>
            <w:vMerge w:val="continue"/>
            <w:textDirection w:val="lrTb"/>
            <w:noWrap w:val="false"/>
          </w:tcPr>
          <w:p>
            <w:pPr>
              <w:ind w:firstLine="4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项目管理（8分）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包括①人员组织机构管理②技术管理③各专业责任分工④质量管理措施；</w:t>
            </w:r>
            <w:r>
              <w:rPr>
                <w:rFonts w:hint="eastAsia" w:ascii="宋体" w:hAnsi="宋体" w:cs="宋体"/>
                <w:color w:val="auto"/>
                <w:szCs w:val="21"/>
                <w:highlight w:val="none"/>
                <w:lang w:bidi="ar"/>
              </w:rPr>
              <w:t xml:space="preserve">以上每项内容逐条阐述。</w:t>
            </w:r>
            <w:r/>
          </w:p>
          <w:p>
            <w:pPr>
              <w:jc w:val="left"/>
              <w:spacing w:line="360" w:lineRule="exact"/>
              <w:widowControl/>
              <w:rPr>
                <w:rFonts w:ascii="宋体" w:hAnsi="宋体"/>
                <w:color w:val="auto"/>
                <w:szCs w:val="21"/>
                <w:highlight w:val="none"/>
              </w:rPr>
            </w:pPr>
            <w:r>
              <w:rPr>
                <w:rFonts w:hint="eastAsia" w:ascii="宋体" w:hAnsi="宋体" w:cs="宋体"/>
                <w:color w:val="auto"/>
                <w:szCs w:val="21"/>
                <w:highlight w:val="none"/>
                <w:lang w:bidi="ar"/>
              </w:rPr>
              <w:t xml:space="preserve">上述4个方面每一项内容得2分，每有一项内容不完整或有缺陷的该项内容扣1分，本项最高得8分。照抄磋商文件或未提供的不得分。</w:t>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8分</w:t>
            </w:r>
            <w:r/>
          </w:p>
        </w:tc>
      </w:tr>
      <w:tr>
        <w:trPr>
          <w:jc w:val="center"/>
          <w:trHeight w:val="1626" w:hRule="exact"/>
        </w:trPr>
        <w:tc>
          <w:tcPr>
            <w:tcBorders>
              <w:left w:val="single" w:color="000000" w:sz="4" w:space="0"/>
              <w:right w:val="single" w:color="000000" w:sz="4" w:space="0"/>
            </w:tcBorders>
            <w:tcW w:w="959" w:type="dxa"/>
            <w:vAlign w:val="center"/>
            <w:vMerge w:val="continue"/>
            <w:textDirection w:val="lrTb"/>
            <w:noWrap w:val="false"/>
          </w:tcPr>
          <w:p>
            <w:pPr>
              <w:ind w:firstLine="4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重难点分析及合理化建议（4分）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s="宋体"/>
                <w:color w:val="auto"/>
                <w:szCs w:val="21"/>
                <w:highlight w:val="none"/>
                <w:lang w:bidi="ar"/>
              </w:rPr>
              <w:t xml:space="preserve">针对本项目在实施过程中，遇到的重难点问题进行分析讨论其中包括：①本项目的重难点分析②合理化建议。以上每项内容逐条阐述。</w:t>
            </w:r>
            <w:r/>
          </w:p>
          <w:p>
            <w:pPr>
              <w:jc w:val="left"/>
              <w:spacing w:line="360" w:lineRule="exact"/>
              <w:widowControl/>
              <w:rPr>
                <w:rFonts w:ascii="宋体" w:hAnsi="宋体"/>
                <w:color w:val="auto"/>
                <w:szCs w:val="21"/>
                <w:highlight w:val="none"/>
              </w:rPr>
            </w:pPr>
            <w:r>
              <w:rPr>
                <w:rFonts w:hint="eastAsia" w:ascii="宋体" w:hAnsi="宋体" w:cs="宋体"/>
                <w:color w:val="auto"/>
                <w:szCs w:val="21"/>
                <w:highlight w:val="none"/>
                <w:lang w:bidi="ar"/>
              </w:rPr>
              <w:t xml:space="preserve">上述2个方面每一项内容得2分，每有一项内容不完整或有缺陷的该项内容扣1分，本项最高得4分。照抄磋商文件或未提供的不得分。</w:t>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4分</w:t>
            </w:r>
            <w:r/>
          </w:p>
        </w:tc>
      </w:tr>
      <w:tr>
        <w:trPr>
          <w:jc w:val="center"/>
          <w:trHeight w:val="1573" w:hRule="exact"/>
        </w:trPr>
        <w:tc>
          <w:tcPr>
            <w:tcBorders>
              <w:left w:val="single" w:color="000000" w:sz="4" w:space="0"/>
              <w:right w:val="single" w:color="000000" w:sz="4" w:space="0"/>
            </w:tcBorders>
            <w:tcW w:w="959" w:type="dxa"/>
            <w:vAlign w:val="center"/>
            <w:vMerge w:val="continue"/>
            <w:textDirection w:val="lrTb"/>
            <w:noWrap w:val="false"/>
          </w:tcPr>
          <w:p>
            <w:pPr>
              <w:ind w:firstLine="4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进度安排（4分）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包括①工序管理措施②工期滞后弥补办法，突发情况应急办法。</w:t>
            </w:r>
            <w:r>
              <w:rPr>
                <w:rFonts w:hint="eastAsia" w:ascii="宋体" w:hAnsi="宋体" w:cs="宋体"/>
                <w:color w:val="auto"/>
                <w:szCs w:val="21"/>
                <w:highlight w:val="none"/>
                <w:lang w:bidi="ar"/>
              </w:rPr>
              <w:t xml:space="preserve">以上每项内容逐条阐述。</w:t>
            </w:r>
            <w:r/>
          </w:p>
          <w:p>
            <w:pPr>
              <w:jc w:val="left"/>
              <w:spacing w:line="360" w:lineRule="exact"/>
              <w:widowControl/>
              <w:rPr>
                <w:rFonts w:ascii="宋体" w:hAnsi="宋体"/>
                <w:color w:val="auto"/>
                <w:szCs w:val="21"/>
                <w:highlight w:val="none"/>
              </w:rPr>
            </w:pPr>
            <w:r>
              <w:rPr>
                <w:rFonts w:hint="eastAsia" w:ascii="宋体" w:hAnsi="宋体" w:cs="宋体"/>
                <w:color w:val="auto"/>
                <w:szCs w:val="21"/>
                <w:highlight w:val="none"/>
                <w:lang w:bidi="ar"/>
              </w:rPr>
              <w:t xml:space="preserve">上述2个方面每一项内容得2分，每有一项内容不完整或有缺陷的该项内容扣1分，本项最高得4分。照抄磋商文件或未提供的不得分。</w:t>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4分</w:t>
            </w:r>
            <w:r/>
          </w:p>
        </w:tc>
      </w:tr>
      <w:tr>
        <w:trPr>
          <w:jc w:val="center"/>
          <w:trHeight w:val="1573" w:hRule="exact"/>
        </w:trPr>
        <w:tc>
          <w:tcPr>
            <w:tcBorders>
              <w:left w:val="single" w:color="000000" w:sz="4" w:space="0"/>
              <w:bottom w:val="single" w:color="000000" w:sz="4" w:space="0"/>
              <w:right w:val="single" w:color="000000" w:sz="4" w:space="0"/>
            </w:tcBorders>
            <w:tcW w:w="959" w:type="dxa"/>
            <w:vAlign w:val="center"/>
            <w:vMerge w:val="continue"/>
            <w:textDirection w:val="lrTb"/>
            <w:noWrap w:val="false"/>
          </w:tcPr>
          <w:p>
            <w:pPr>
              <w:ind w:firstLine="4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安全保密措施（4分）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包括①专人管理②保证措施及应急响应方案；</w:t>
            </w:r>
            <w:r>
              <w:rPr>
                <w:rFonts w:hint="eastAsia" w:ascii="宋体" w:hAnsi="宋体" w:cs="宋体"/>
                <w:color w:val="auto"/>
                <w:szCs w:val="21"/>
                <w:highlight w:val="none"/>
                <w:lang w:bidi="ar"/>
              </w:rPr>
              <w:t xml:space="preserve">以上每项内容逐条阐述。</w:t>
            </w:r>
            <w:r/>
          </w:p>
          <w:p>
            <w:pPr>
              <w:jc w:val="left"/>
              <w:spacing w:line="360" w:lineRule="exact"/>
              <w:widowControl/>
              <w:rPr>
                <w:rFonts w:ascii="宋体" w:hAnsi="宋体"/>
                <w:color w:val="auto"/>
                <w:szCs w:val="21"/>
                <w:highlight w:val="none"/>
              </w:rPr>
            </w:pPr>
            <w:r>
              <w:rPr>
                <w:rFonts w:hint="eastAsia" w:ascii="宋体" w:hAnsi="宋体" w:cs="宋体"/>
                <w:color w:val="auto"/>
                <w:szCs w:val="21"/>
                <w:highlight w:val="none"/>
                <w:lang w:bidi="ar"/>
              </w:rPr>
              <w:t xml:space="preserve">上述2个方面每一项内容得2分，每有一项内容不完整或有缺陷的该项内容扣1分，本项最高得4分。照抄磋商文件或未提供的不得分。</w:t>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4分</w:t>
            </w:r>
            <w:r/>
          </w:p>
        </w:tc>
      </w:tr>
      <w:tr>
        <w:trPr>
          <w:jc w:val="center"/>
          <w:trHeight w:val="3304" w:hRule="exact"/>
        </w:trPr>
        <w:tc>
          <w:tcPr>
            <w:tcBorders>
              <w:top w:val="single" w:color="000000" w:sz="4" w:space="0"/>
              <w:left w:val="single" w:color="000000" w:sz="4" w:space="0"/>
              <w:right w:val="single" w:color="000000" w:sz="4" w:space="0"/>
            </w:tcBorders>
            <w:tcW w:w="959" w:type="dxa"/>
            <w:vAlign w:val="center"/>
            <w:vMerge w:val="restart"/>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企业综合实力</w:t>
            </w:r>
            <w:r/>
          </w:p>
          <w:p>
            <w:pPr>
              <w:jc w:val="center"/>
              <w:spacing w:line="360" w:lineRule="exact"/>
              <w:widowControl/>
              <w:rPr>
                <w:rFonts w:ascii="宋体" w:hAnsi="宋体"/>
                <w:color w:val="auto"/>
                <w:szCs w:val="21"/>
                <w:highlight w:val="none"/>
              </w:rPr>
            </w:pPr>
            <w:r>
              <w:rPr>
                <w:rFonts w:ascii="宋体" w:hAnsi="宋体"/>
                <w:color w:val="auto"/>
                <w:sz w:val="22"/>
                <w:highlight w:val="none"/>
              </w:rPr>
              <w:t xml:space="preserve">（</w:t>
            </w:r>
            <w:r>
              <w:rPr>
                <w:rFonts w:hint="eastAsia" w:ascii="宋体" w:hAnsi="宋体"/>
                <w:color w:val="auto"/>
                <w:szCs w:val="21"/>
                <w:highlight w:val="none"/>
              </w:rPr>
              <w:t xml:space="preserve">34分）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105" w:hanging="100"/>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企业实力</w:t>
            </w:r>
            <w:r/>
          </w:p>
          <w:p>
            <w:pPr>
              <w:ind w:left="105" w:hanging="110"/>
              <w:jc w:val="center"/>
              <w:spacing w:line="360" w:lineRule="exact"/>
              <w:widowControl/>
              <w:rPr>
                <w:rFonts w:ascii="宋体" w:hAnsi="宋体"/>
                <w:color w:val="auto"/>
                <w:szCs w:val="21"/>
                <w:highlight w:val="none"/>
              </w:rPr>
            </w:pPr>
            <w:r>
              <w:rPr>
                <w:rFonts w:ascii="宋体" w:hAnsi="宋体"/>
                <w:color w:val="auto"/>
                <w:sz w:val="22"/>
                <w:highlight w:val="none"/>
              </w:rPr>
              <w:t xml:space="preserve">（</w:t>
            </w:r>
            <w:r>
              <w:rPr>
                <w:rFonts w:hint="eastAsia" w:ascii="宋体" w:hAnsi="宋体"/>
                <w:color w:val="auto"/>
                <w:szCs w:val="21"/>
                <w:highlight w:val="none"/>
              </w:rPr>
              <w:t xml:space="preserve">5分）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numPr>
                <w:ilvl w:val="0"/>
                <w:numId w:val="5"/>
              </w:numPr>
              <w:jc w:val="left"/>
              <w:spacing w:line="360" w:lineRule="exact"/>
              <w:widowControl/>
              <w:rPr>
                <w:rFonts w:ascii="宋体" w:hAnsi="宋体"/>
                <w:color w:val="auto"/>
                <w:szCs w:val="21"/>
                <w:highlight w:val="none"/>
              </w:rPr>
            </w:pPr>
            <w:r/>
            <w:bookmarkStart w:id="178" w:name="OLE_LINK15"/>
            <w:r>
              <w:rPr>
                <w:rFonts w:hint="eastAsia" w:ascii="宋体" w:hAnsi="宋体"/>
                <w:color w:val="auto"/>
                <w:szCs w:val="21"/>
                <w:highlight w:val="none"/>
              </w:rPr>
              <w:t xml:space="preserve">供应商具备有效期内的质量管理体系认证证书、信息安全管理体系认证证书，每有一项得1分，本项最高得2分；注：提供认证证书</w:t>
            </w:r>
            <w:r>
              <w:rPr>
                <w:rFonts w:hint="eastAsia" w:ascii="宋体" w:hAnsi="宋体"/>
                <w:color w:val="auto"/>
                <w:szCs w:val="21"/>
                <w:highlight w:val="none"/>
                <w:lang w:val="en-US" w:eastAsia="zh-CN"/>
              </w:rPr>
              <w:t xml:space="preserve">扫描</w:t>
            </w:r>
            <w:r>
              <w:rPr>
                <w:rFonts w:hint="eastAsia" w:ascii="宋体" w:hAnsi="宋体"/>
                <w:color w:val="auto"/>
                <w:szCs w:val="21"/>
                <w:highlight w:val="none"/>
              </w:rPr>
              <w:t xml:space="preserve">件及证书在全国认证认可信息公共服务平台上的查询结果截图。网址：</w:t>
            </w:r>
            <w:bookmarkStart w:id="179" w:name="OLE_LINK14"/>
            <w:r>
              <w:rPr>
                <w:rFonts w:hint="eastAsia" w:ascii="宋体" w:hAnsi="宋体"/>
                <w:color w:val="auto"/>
                <w:szCs w:val="21"/>
                <w:highlight w:val="none"/>
              </w:rPr>
              <w:t xml:space="preserve">h</w:t>
            </w:r>
            <w:bookmarkStart w:id="180" w:name="OLE_LINK13"/>
            <w:r>
              <w:rPr>
                <w:rFonts w:hint="eastAsia" w:ascii="宋体" w:hAnsi="宋体"/>
                <w:color w:val="auto"/>
                <w:szCs w:val="21"/>
                <w:highlight w:val="none"/>
              </w:rPr>
              <w:t xml:space="preserve">ttp://cx.cnca.cn/CertECloud/index/index/page?currentPosition=</w:t>
            </w:r>
            <w:bookmarkEnd w:id="180"/>
            <w:r>
              <w:rPr>
                <w:rFonts w:hint="eastAsia" w:ascii="宋体" w:hAnsi="宋体"/>
                <w:color w:val="auto"/>
                <w:szCs w:val="21"/>
                <w:highlight w:val="none"/>
              </w:rPr>
              <w:t xml:space="preserve">，要求证书查询结果为有效）。</w:t>
            </w:r>
            <w:bookmarkEnd w:id="179"/>
            <w:r/>
            <w:bookmarkEnd w:id="178"/>
            <w:r/>
          </w:p>
          <w:p>
            <w:pPr>
              <w:numPr>
                <w:ilvl w:val="0"/>
                <w:numId w:val="5"/>
              </w:num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供应商具有国家知识产权局颁发的发明专利证书（自然资源或者测绘遥感或者检验检测或者生态修复相关方面的）有一个得0.5分，最高3分。没有不得分。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注：需提供以上所有证书扫描件，否则不得分。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1624" w:hRule="exact"/>
        </w:trPr>
        <w:tc>
          <w:tcPr>
            <w:tcBorders>
              <w:left w:val="single" w:color="000000" w:sz="4" w:space="0"/>
              <w:right w:val="single" w:color="000000" w:sz="4" w:space="0"/>
            </w:tcBorders>
            <w:tcW w:w="959" w:type="dxa"/>
            <w:vAlign w:val="center"/>
            <w:vMerge w:val="continue"/>
            <w:textDirection w:val="lrTb"/>
            <w:noWrap w:val="false"/>
          </w:tcPr>
          <w:p>
            <w:pPr>
              <w:ind w:firstLine="400"/>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企业业绩</w:t>
            </w:r>
            <w:r/>
          </w:p>
          <w:p>
            <w:pPr>
              <w:jc w:val="center"/>
              <w:spacing w:line="360" w:lineRule="exact"/>
              <w:widowControl/>
              <w:rPr>
                <w:rFonts w:ascii="宋体" w:hAnsi="宋体"/>
                <w:color w:val="auto"/>
                <w:szCs w:val="21"/>
                <w:highlight w:val="none"/>
              </w:rPr>
            </w:pPr>
            <w:r>
              <w:rPr>
                <w:rFonts w:ascii="宋体" w:hAnsi="宋体"/>
                <w:color w:val="auto"/>
                <w:sz w:val="22"/>
                <w:highlight w:val="none"/>
              </w:rPr>
              <w:t xml:space="preserve">（</w:t>
            </w:r>
            <w:r>
              <w:rPr>
                <w:rFonts w:hint="eastAsia" w:ascii="宋体" w:hAnsi="宋体"/>
                <w:color w:val="auto"/>
                <w:szCs w:val="21"/>
                <w:highlight w:val="none"/>
              </w:rPr>
              <w:t xml:space="preserve">6分）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供应商承担过类似业绩（山水林田湖治理修复相关技术服务类等项目）有一个得2分，最高得6分。没有不得分。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注：上述业绩均须同时提供项目的中标（成交）通知书和合同扫描件，否则不得分。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6分</w:t>
            </w:r>
            <w:r/>
          </w:p>
        </w:tc>
      </w:tr>
      <w:tr>
        <w:trPr>
          <w:jc w:val="center"/>
          <w:trHeight w:val="5866" w:hRule="exact"/>
        </w:trPr>
        <w:tc>
          <w:tcPr>
            <w:tcBorders>
              <w:left w:val="single" w:color="000000" w:sz="4" w:space="0"/>
              <w:right w:val="single" w:color="000000" w:sz="4" w:space="0"/>
            </w:tcBorders>
            <w:tcW w:w="959" w:type="dxa"/>
            <w:vAlign w:val="center"/>
            <w:vMerge w:val="continue"/>
            <w:textDirection w:val="lrTb"/>
            <w:noWrap w:val="false"/>
          </w:tcPr>
          <w:p>
            <w:pPr>
              <w:ind w:firstLine="400"/>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拟投入项</w:t>
            </w:r>
            <w:r>
              <w:rPr>
                <w:rFonts w:ascii="宋体" w:hAnsi="宋体"/>
                <w:color w:val="auto"/>
                <w:szCs w:val="21"/>
                <w:highlight w:val="none"/>
              </w:rPr>
              <w:t xml:space="preserve"> </w:t>
            </w:r>
            <w:r>
              <w:rPr>
                <w:rFonts w:hint="eastAsia" w:ascii="宋体" w:hAnsi="宋体"/>
                <w:color w:val="auto"/>
                <w:szCs w:val="21"/>
                <w:highlight w:val="none"/>
              </w:rPr>
              <w:t xml:space="preserve">目技术力量</w:t>
            </w:r>
            <w:r/>
          </w:p>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（19分）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①项目负责人：</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1.具备水工环专业正高级工程师职称（含教授级或研究员级）的得3分；没有不得分。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2.具备环境影响评价工程师职业资格的得2分，没有不得分。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②项目组成员（除项目负责人外）：</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1.每投入一名水工环专业中级及以上职称的得1分，最高得4分；没有不得分。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2.每投入一名测绘专业中级及以上职称的得1分，最高得4分；没有不得分。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3.每投入一名实验测试专业中级及以上职称的得1分，最高得4分；没有不得分。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4.每投入一名会计或者审计类中级及以上职称的得1分，最高得2分；没有不得分。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注：以上所有人员均不得重复计分；须提供以上所有人员职称证书扫描件（专业以职称证书为准）及由社保部门出具的供应商为其缴纳的2026年5月份至2026年7月份中至少1个月的养老保险缴费记录证明材料扫描件，否则对应项不得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19分</w:t>
            </w:r>
            <w:r/>
          </w:p>
        </w:tc>
      </w:tr>
      <w:tr>
        <w:trPr>
          <w:jc w:val="center"/>
          <w:trHeight w:val="1750" w:hRule="exact"/>
        </w:trPr>
        <w:tc>
          <w:tcPr>
            <w:tcBorders>
              <w:left w:val="single" w:color="000000" w:sz="4" w:space="0"/>
              <w:bottom w:val="single" w:color="auto" w:sz="4" w:space="0"/>
              <w:right w:val="single" w:color="000000" w:sz="4" w:space="0"/>
            </w:tcBorders>
            <w:tcW w:w="959" w:type="dxa"/>
            <w:vAlign w:val="center"/>
            <w:textDirection w:val="lrTb"/>
            <w:noWrap w:val="false"/>
          </w:tcPr>
          <w:p>
            <w:pPr>
              <w:ind w:firstLine="400"/>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拟投入项目的仪器设备</w:t>
            </w:r>
            <w:r/>
          </w:p>
          <w:p>
            <w:pPr>
              <w:jc w:val="center"/>
              <w:spacing w:line="360" w:lineRule="exact"/>
              <w:widowControl/>
              <w:rPr>
                <w:rFonts w:ascii="宋体" w:hAnsi="宋体"/>
                <w:color w:val="auto"/>
                <w:szCs w:val="21"/>
                <w:highlight w:val="none"/>
              </w:rPr>
            </w:pPr>
            <w:r>
              <w:rPr>
                <w:rFonts w:ascii="宋体" w:hAnsi="宋体"/>
                <w:color w:val="auto"/>
                <w:sz w:val="22"/>
                <w:highlight w:val="none"/>
              </w:rPr>
              <w:t xml:space="preserve">（</w:t>
            </w:r>
            <w:r>
              <w:rPr>
                <w:rFonts w:hint="eastAsia" w:ascii="宋体" w:hAnsi="宋体"/>
                <w:color w:val="auto"/>
                <w:szCs w:val="21"/>
                <w:highlight w:val="none"/>
              </w:rPr>
              <w:t xml:space="preserve">4分）</w:t>
            </w:r>
            <w:r/>
          </w:p>
        </w:tc>
        <w:tc>
          <w:tcPr>
            <w:tcBorders>
              <w:top w:val="single" w:color="000000" w:sz="4" w:space="0"/>
              <w:left w:val="single" w:color="000000" w:sz="4" w:space="0"/>
              <w:bottom w:val="single" w:color="auto"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供应商具有地下水监测仪、气象色谱仪、无人船、无人机，每种类型有1项得1分，最高得4分。没有不得分。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注：供应商提供自有的设备购置发票</w:t>
            </w:r>
            <w:r>
              <w:rPr>
                <w:rFonts w:ascii="SimSun" w:hAnsi="SimSun" w:eastAsia="SimSun" w:cs="SimSun"/>
                <w:color w:val="000000"/>
                <w:sz w:val="21"/>
              </w:rPr>
              <w:t xml:space="preserve">或者以上设备的租赁合同</w:t>
            </w:r>
            <w:r>
              <w:rPr>
                <w:rFonts w:hint="eastAsia" w:ascii="宋体" w:hAnsi="宋体"/>
                <w:color w:val="auto"/>
                <w:szCs w:val="21"/>
                <w:highlight w:val="none"/>
              </w:rPr>
              <w:t xml:space="preserve">扫描件，未提供或提供不符合要求的不得分。</w:t>
            </w:r>
            <w:r/>
          </w:p>
        </w:tc>
        <w:tc>
          <w:tcPr>
            <w:tcBorders>
              <w:top w:val="single" w:color="000000" w:sz="4" w:space="0"/>
              <w:left w:val="single" w:color="000000" w:sz="4" w:space="0"/>
              <w:bottom w:val="single" w:color="auto"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4分</w:t>
            </w:r>
            <w:r/>
          </w:p>
        </w:tc>
      </w:tr>
    </w:tbl>
    <w:p>
      <w:pPr>
        <w:pStyle w:val="797"/>
        <w:ind w:firstLine="0"/>
        <w:spacing w:line="440" w:lineRule="exact"/>
        <w:rPr>
          <w:rFonts w:cs="宋体"/>
          <w:b/>
          <w:color w:val="auto"/>
          <w:sz w:val="24"/>
          <w:szCs w:val="24"/>
          <w:highlight w:val="none"/>
        </w:rPr>
      </w:pPr>
      <w:r>
        <w:rPr>
          <w:b/>
          <w:bCs/>
          <w:color w:val="auto"/>
          <w:sz w:val="24"/>
          <w:szCs w:val="24"/>
          <w:highlight w:val="none"/>
        </w:rPr>
        <w:t xml:space="preserve">注：</w:t>
      </w:r>
      <w:r>
        <w:rPr>
          <w:rFonts w:hint="eastAsia"/>
          <w:b/>
          <w:bCs/>
          <w:color w:val="auto"/>
          <w:sz w:val="24"/>
          <w:szCs w:val="24"/>
          <w:highlight w:val="none"/>
        </w:rPr>
        <w:t xml:space="preserve">以上评审方法与评审标准中所体现的“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p>
      <w:pPr>
        <w:ind w:firstLine="281"/>
        <w:spacing w:line="440" w:lineRule="exact"/>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w:t>
      </w:r>
      <w:r>
        <w:rPr>
          <w:rFonts w:ascii="Times New Roman" w:hAnsi="Times New Roman"/>
          <w:b/>
          <w:color w:val="auto"/>
          <w:sz w:val="28"/>
          <w:szCs w:val="28"/>
          <w:highlight w:val="none"/>
        </w:rPr>
        <w:t xml:space="preserve">价格分：</w:t>
      </w:r>
      <w:r>
        <w:rPr>
          <w:rFonts w:hint="eastAsia" w:ascii="Times New Roman" w:hAnsi="Times New Roman"/>
          <w:b/>
          <w:color w:val="auto"/>
          <w:sz w:val="28"/>
          <w:szCs w:val="28"/>
          <w:highlight w:val="none"/>
        </w:rPr>
        <w:t xml:space="preserve">30</w:t>
      </w:r>
      <w:r>
        <w:rPr>
          <w:rFonts w:ascii="Times New Roman" w:hAnsi="Times New Roman"/>
          <w:b/>
          <w:color w:val="auto"/>
          <w:sz w:val="28"/>
          <w:szCs w:val="28"/>
          <w:highlight w:val="none"/>
        </w:rPr>
        <w:t xml:space="preserve">分</w:t>
      </w:r>
      <w:r/>
    </w:p>
    <w:p>
      <w:pPr>
        <w:ind w:firstLine="556"/>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556"/>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磋商报价得分=（磋商基准价/最后磋商报价）×</w:t>
      </w:r>
      <w:r>
        <w:rPr>
          <w:rFonts w:hint="eastAsia" w:ascii="Times New Roman" w:hAnsi="Times New Roman"/>
          <w:b/>
          <w:color w:val="auto"/>
          <w:sz w:val="24"/>
          <w:szCs w:val="24"/>
          <w:highlight w:val="none"/>
        </w:rPr>
        <w:t xml:space="preserve">30</w:t>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bookmarkEnd w:id="175"/>
      <w:bookmarkEnd w:id="176"/>
      <w:bookmarkEnd w:id="177"/>
      <w:r/>
    </w:p>
    <w:p>
      <w:pPr>
        <w:rPr>
          <w:rFonts w:ascii="Times New Roman" w:hAnsi="Times New Roman"/>
          <w:color w:val="auto"/>
          <w:highlight w:val="none"/>
        </w:rPr>
      </w:pPr>
      <w:r/>
      <w:bookmarkStart w:id="181" w:name="_Hlt26955039"/>
      <w:r/>
      <w:bookmarkEnd w:id="181"/>
      <w:r/>
      <w:bookmarkStart w:id="182" w:name="_Hlt26671244"/>
      <w:r/>
      <w:bookmarkEnd w:id="182"/>
      <w:r/>
      <w:bookmarkStart w:id="183" w:name="_Toc49090576"/>
      <w:r/>
      <w:bookmarkStart w:id="184" w:name="_Toc26554094"/>
      <w:r/>
      <w:bookmarkStart w:id="185" w:name="_Toc120614282"/>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hint="eastAsia" w:ascii="Times New Roman" w:hAnsi="Times New Roman"/>
          <w:b/>
          <w:bCs/>
          <w:color w:val="auto"/>
          <w:sz w:val="36"/>
          <w:szCs w:val="36"/>
          <w:highlight w:val="none"/>
        </w:rPr>
        <w:t xml:space="preserve"> </w:t>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hint="eastAsia" w:ascii="Times New Roman" w:hAnsi="Times New Roman"/>
          <w:b/>
          <w:bCs/>
          <w:color w:val="auto"/>
          <w:sz w:val="36"/>
          <w:szCs w:val="36"/>
          <w:highlight w:val="none"/>
        </w:rPr>
        <w:outlineLvl w:val="0"/>
      </w:pPr>
      <w:r>
        <w:rPr>
          <w:rFonts w:hint="eastAsia"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第六章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响应文件格式</w:t>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响应文件</w:t>
      </w:r>
      <w:r/>
    </w:p>
    <w:p>
      <w:pP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797"/>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797"/>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t xml:space="preserve">项目名称：</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项目编号：</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供应商名称：</w:t>
      </w:r>
      <w:r>
        <w:rPr>
          <w:rFonts w:ascii="Times New Roman" w:hAnsi="Times New Roman"/>
          <w:b/>
          <w:color w:val="auto"/>
          <w:sz w:val="36"/>
          <w:szCs w:val="21"/>
          <w:highlight w:val="none"/>
          <w:u w:val="single"/>
        </w:rPr>
        <w:t xml:space="preserve">（加盖CA电子公章）</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日期：</w:t>
      </w:r>
      <w:r/>
    </w:p>
    <w:p>
      <w:pPr>
        <w:spacing w:line="400" w:lineRule="exact"/>
        <w:rPr>
          <w:rFonts w:ascii="Times New Roman" w:hAnsi="Times New Roman"/>
          <w:b/>
          <w:color w:val="auto"/>
          <w:sz w:val="36"/>
          <w:szCs w:val="21"/>
          <w:highlight w:val="none"/>
          <w:u w:val="singl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ascii="Times New Roman" w:hAnsi="Times New Roman"/>
          <w:b/>
          <w:color w:val="auto"/>
          <w:sz w:val="36"/>
          <w:szCs w:val="21"/>
          <w:highlight w:val="none"/>
          <w:u w:val="single"/>
        </w:rPr>
      </w:r>
      <w:r/>
    </w:p>
    <w:p>
      <w:pPr>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响应文件目录</w:t>
      </w:r>
      <w:r/>
    </w:p>
    <w:p>
      <w:pPr>
        <w:ind w:firstLine="643"/>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numPr>
          <w:ilvl w:val="0"/>
          <w:numId w:val="6"/>
        </w:num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基本目录</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1.磋商报价表</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二、资格审查内容</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供应商</w:t>
      </w:r>
      <w:r>
        <w:rPr>
          <w:rFonts w:ascii="Times New Roman" w:hAnsi="Times New Roman"/>
          <w:color w:val="auto"/>
          <w:sz w:val="24"/>
          <w:szCs w:val="21"/>
          <w:highlight w:val="none"/>
        </w:rPr>
        <w:t xml:space="preserve">符合《政府采购法》第二十二条规定条件的声明函（</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rPr>
        <w:t xml:space="preserve">1</w:t>
      </w:r>
      <w:r>
        <w:rPr>
          <w:rFonts w:ascii="Times New Roman" w:hAnsi="Times New Roman"/>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.法定代表人身份证明（格式见附件</w:t>
      </w: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.法人授权书（格式见附件</w:t>
      </w: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.磋商响应函（格式见附件</w:t>
      </w: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w:t>
      </w:r>
      <w:r/>
    </w:p>
    <w:p>
      <w:pPr>
        <w:ind w:firstLine="482"/>
        <w:spacing w:line="440" w:lineRule="exact"/>
        <w:rPr>
          <w:rFonts w:ascii="宋体" w:hAnsi="宋体"/>
          <w:color w:val="auto"/>
          <w:sz w:val="24"/>
          <w:szCs w:val="24"/>
          <w:highlight w:val="none"/>
        </w:rPr>
      </w:pPr>
      <w:r>
        <w:rPr>
          <w:rFonts w:hint="eastAsia" w:ascii="宋体" w:hAnsi="宋体"/>
          <w:b/>
          <w:bCs/>
          <w:color w:val="auto"/>
          <w:sz w:val="24"/>
          <w:szCs w:val="21"/>
          <w:highlight w:val="none"/>
        </w:rPr>
        <w:t xml:space="preserve">5.提供本项目特定资格要求的所有证明文件</w:t>
      </w:r>
      <w:r>
        <w:rPr>
          <w:rFonts w:hint="eastAsia" w:ascii="宋体" w:hAnsi="宋体" w:cs="Arial"/>
          <w:b/>
          <w:bCs/>
          <w:color w:val="auto"/>
          <w:sz w:val="24"/>
          <w:highlight w:val="none"/>
        </w:rPr>
        <w:t xml:space="preserve">；</w:t>
      </w:r>
      <w:r/>
    </w:p>
    <w:p>
      <w:pPr>
        <w:ind w:firstLine="480"/>
        <w:spacing w:line="440" w:lineRule="exact"/>
        <w:rPr>
          <w:rFonts w:ascii="宋体" w:hAnsi="宋体"/>
          <w:color w:val="auto"/>
          <w:sz w:val="24"/>
          <w:szCs w:val="21"/>
          <w:highlight w:val="none"/>
        </w:rPr>
      </w:pPr>
      <w:r>
        <w:rPr>
          <w:rFonts w:hint="eastAsia" w:ascii="宋体" w:hAnsi="宋体"/>
          <w:color w:val="auto"/>
          <w:sz w:val="24"/>
          <w:szCs w:val="24"/>
          <w:highlight w:val="none"/>
        </w:rPr>
        <w:t xml:space="preserve">6.其它需要提交的资格审查证明材料。</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三、符合性审查内容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1.商务要求响应及偏离表（格式见附件</w:t>
      </w:r>
      <w:r>
        <w:rPr>
          <w:rFonts w:hint="eastAsia" w:ascii="Times New Roman" w:hAnsi="Times New Roman"/>
          <w:color w:val="auto"/>
          <w:sz w:val="24"/>
          <w:szCs w:val="21"/>
          <w:highlight w:val="none"/>
        </w:rPr>
        <w:t xml:space="preserve">5</w:t>
      </w:r>
      <w:r>
        <w:rPr>
          <w:rFonts w:ascii="Times New Roman" w:hAnsi="Times New Roman"/>
          <w:color w:val="auto"/>
          <w:sz w:val="24"/>
          <w:szCs w:val="21"/>
          <w:highlight w:val="none"/>
        </w:rPr>
        <w:t xml:space="preserve">）</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2.技术要求响应及偏离表（格式见附件</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四、</w:t>
      </w:r>
      <w:r>
        <w:rPr>
          <w:rFonts w:ascii="Times New Roman" w:hAnsi="Times New Roman"/>
          <w:b/>
          <w:color w:val="auto"/>
          <w:sz w:val="24"/>
          <w:szCs w:val="21"/>
          <w:highlight w:val="none"/>
          <w:lang w:val="zh-CN"/>
        </w:rPr>
        <w:t xml:space="preserve">商务技术</w:t>
      </w:r>
      <w:r>
        <w:rPr>
          <w:rFonts w:ascii="Times New Roman" w:hAnsi="Times New Roman"/>
          <w:b/>
          <w:color w:val="auto"/>
          <w:sz w:val="24"/>
          <w:szCs w:val="21"/>
          <w:highlight w:val="none"/>
        </w:rPr>
        <w:t xml:space="preserve">内容</w:t>
      </w:r>
      <w:r/>
    </w:p>
    <w:p>
      <w:pPr>
        <w:ind w:firstLine="480"/>
        <w:spacing w:line="400" w:lineRule="exact"/>
        <w:rPr>
          <w:rFonts w:ascii="Times New Roman" w:hAnsi="Times New Roman"/>
          <w:b/>
          <w:bCs/>
          <w:color w:val="auto"/>
          <w:sz w:val="24"/>
          <w:szCs w:val="21"/>
          <w:highlight w:val="none"/>
        </w:rPr>
      </w:pPr>
      <w:r>
        <w:rPr>
          <w:rFonts w:ascii="Times New Roman" w:hAnsi="Times New Roman"/>
          <w:color w:val="auto"/>
          <w:sz w:val="24"/>
          <w:szCs w:val="21"/>
          <w:highlight w:val="none"/>
        </w:rPr>
        <w:t xml:space="preserve">1.</w:t>
      </w:r>
      <w:r>
        <w:rPr>
          <w:rFonts w:ascii="Times New Roman" w:hAnsi="Times New Roman"/>
          <w:color w:val="auto"/>
          <w:sz w:val="24"/>
          <w:szCs w:val="21"/>
          <w:highlight w:val="none"/>
          <w:lang w:val="zh-CN"/>
        </w:rPr>
        <w:t xml:space="preserve">商务技术评分标准中须提供的相关得分佐证材料</w:t>
      </w:r>
      <w:r>
        <w:rPr>
          <w:rFonts w:hint="eastAsia" w:ascii="Times New Roman" w:hAnsi="Times New Roman"/>
          <w:b/>
          <w:bCs/>
          <w:color w:val="auto"/>
          <w:sz w:val="24"/>
          <w:szCs w:val="21"/>
          <w:highlight w:val="none"/>
          <w:lang w:val="zh-CN"/>
        </w:rPr>
        <w:t xml:space="preserve">（根据“第五章 评审方法与评审标准”要求的内容自行制作）</w:t>
      </w:r>
      <w:r/>
    </w:p>
    <w:p>
      <w:pPr>
        <w:ind w:firstLine="480"/>
        <w:spacing w:line="400" w:lineRule="exact"/>
        <w:rPr>
          <w:rFonts w:ascii="Times New Roman" w:hAnsi="Times New Roman"/>
          <w:color w:val="auto"/>
          <w:highlight w:val="none"/>
        </w:rPr>
      </w:pPr>
      <w:r>
        <w:rPr>
          <w:rFonts w:ascii="Times New Roman" w:hAnsi="Times New Roman"/>
          <w:color w:val="auto"/>
          <w:sz w:val="24"/>
          <w:szCs w:val="21"/>
          <w:highlight w:val="none"/>
        </w:rPr>
        <w:t xml:space="preserve">2.</w:t>
      </w:r>
      <w:r>
        <w:rPr>
          <w:rFonts w:ascii="Times New Roman" w:hAnsi="Times New Roman"/>
          <w:color w:val="auto"/>
          <w:sz w:val="24"/>
          <w:szCs w:val="21"/>
          <w:highlight w:val="none"/>
          <w:lang w:val="zh-CN"/>
        </w:rPr>
        <w:t xml:space="preserve">供应商认为需要提交的其他材料。</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五、价格扣除证明文件</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1.中小企业声明函（格式见附件</w:t>
      </w:r>
      <w:r>
        <w:rPr>
          <w:rFonts w:hint="eastAsia" w:ascii="Times New Roman" w:hAnsi="Times New Roman"/>
          <w:color w:val="auto"/>
          <w:sz w:val="24"/>
          <w:szCs w:val="21"/>
          <w:highlight w:val="none"/>
        </w:rPr>
        <w:t xml:space="preserve">7</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2.残疾人福利性单位声明函（格式见附件</w:t>
      </w:r>
      <w:r>
        <w:rPr>
          <w:rFonts w:hint="eastAsia" w:ascii="Times New Roman" w:hAnsi="Times New Roman"/>
          <w:color w:val="auto"/>
          <w:sz w:val="24"/>
          <w:szCs w:val="21"/>
          <w:highlight w:val="none"/>
        </w:rPr>
        <w:t xml:space="preserve">8</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3.监狱和戒毒企业证明材料</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rPr>
        <w:t xml:space="preserve">9</w:t>
      </w:r>
      <w:r>
        <w:rPr>
          <w:rFonts w:ascii="Times New Roman" w:hAnsi="Times New Roman"/>
          <w:color w:val="auto"/>
          <w:sz w:val="24"/>
          <w:szCs w:val="21"/>
          <w:highlight w:val="none"/>
          <w:lang w:val="zh-CN"/>
        </w:rPr>
        <w:t xml:space="preserve">）</w:t>
      </w:r>
      <w:r/>
    </w:p>
    <w:p>
      <w:pPr>
        <w:ind w:firstLine="480"/>
        <w:spacing w:line="400" w:lineRule="exact"/>
        <w:rPr>
          <w:rFonts w:ascii="Times New Roman" w:hAnsi="Times New Roman"/>
          <w:i/>
          <w:color w:val="auto"/>
          <w:sz w:val="24"/>
          <w:szCs w:val="21"/>
          <w:highlight w:val="none"/>
          <w:u w:val="single"/>
        </w:rPr>
      </w:pPr>
      <w:r>
        <w:rPr>
          <w:rFonts w:ascii="Times New Roman" w:hAnsi="Times New Roman"/>
          <w:i/>
          <w:color w:val="auto"/>
          <w:sz w:val="24"/>
          <w:szCs w:val="21"/>
          <w:highlight w:val="none"/>
          <w:u w:val="singl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spacing w:line="400" w:lineRule="exact"/>
        <w:rPr>
          <w:rFonts w:ascii="Times New Roman" w:hAnsi="Times New Roman"/>
          <w:color w:val="auto"/>
          <w:sz w:val="24"/>
          <w:szCs w:val="21"/>
          <w:highlight w:val="none"/>
        </w:rPr>
      </w:pPr>
      <w:r>
        <w:rPr>
          <w:rFonts w:hint="eastAsia" w:ascii="宋体" w:hAnsi="宋体"/>
          <w:b/>
          <w:color w:val="auto"/>
          <w:sz w:val="24"/>
          <w:szCs w:val="24"/>
          <w:highlight w:val="none"/>
        </w:rPr>
        <w:t xml:space="preserve">附件1</w:t>
      </w:r>
      <w:bookmarkEnd w:id="173"/>
      <w:bookmarkEnd w:id="174"/>
      <w:bookmarkEnd w:id="183"/>
      <w:bookmarkEnd w:id="184"/>
      <w:bookmarkEnd w:id="185"/>
      <w:r/>
    </w:p>
    <w:p>
      <w:pPr>
        <w:pStyle w:val="771"/>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    </w:t>
      </w:r>
      <w:r/>
    </w:p>
    <w:p>
      <w:pPr>
        <w:ind w:firstLine="2168"/>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供应商</w:t>
      </w:r>
      <w:r>
        <w:rPr>
          <w:rFonts w:ascii="Times New Roman" w:hAnsi="Times New Roman"/>
          <w:b/>
          <w:color w:val="auto"/>
          <w:sz w:val="24"/>
          <w:szCs w:val="24"/>
          <w:highlight w:val="none"/>
        </w:rPr>
        <w:t xml:space="preserve">符合《政府采购法》第二十二条规定条件的声明函</w:t>
      </w:r>
      <w:r/>
    </w:p>
    <w:p>
      <w:pPr>
        <w:ind w:firstLine="480"/>
        <w:spacing w:line="520" w:lineRule="exact"/>
        <w:rPr>
          <w:rFonts w:ascii="Times New Roman" w:hAnsi="Times New Roman"/>
          <w:b/>
          <w:bCs/>
          <w:color w:val="auto"/>
          <w:sz w:val="24"/>
          <w:highlight w:val="none"/>
        </w:rPr>
      </w:pPr>
      <w:r>
        <w:rPr>
          <w:rFonts w:ascii="Times New Roman" w:hAnsi="Times New Roman"/>
          <w:bCs/>
          <w:color w:val="auto"/>
          <w:sz w:val="24"/>
          <w:highlight w:val="none"/>
        </w:rPr>
        <w:t xml:space="preserve">我单位参加</w:t>
      </w:r>
      <w:r>
        <w:rPr>
          <w:rFonts w:ascii="Times New Roman" w:hAnsi="Times New Roman"/>
          <w:bCs/>
          <w:color w:val="auto"/>
          <w:sz w:val="24"/>
          <w:szCs w:val="21"/>
          <w:highlight w:val="none"/>
        </w:rPr>
        <w:t xml:space="preserve">________________ （项目名称），_________（项目编号）</w:t>
      </w:r>
      <w:r>
        <w:rPr>
          <w:rFonts w:hint="eastAsia" w:ascii="Times New Roman" w:hAnsi="Times New Roman"/>
          <w:bCs/>
          <w:color w:val="auto"/>
          <w:sz w:val="24"/>
          <w:szCs w:val="21"/>
          <w:highlight w:val="none"/>
        </w:rPr>
        <w:t xml:space="preserve">的采购</w:t>
      </w:r>
      <w:r>
        <w:rPr>
          <w:rFonts w:ascii="Times New Roman" w:hAnsi="Times New Roman"/>
          <w:bCs/>
          <w:color w:val="auto"/>
          <w:sz w:val="24"/>
          <w:szCs w:val="21"/>
          <w:highlight w:val="none"/>
        </w:rPr>
        <w:t xml:space="preserve">活动。针对《中华人民共和国政府采购法》第二十二条规定做出如下声明：</w:t>
      </w:r>
      <w:r/>
    </w:p>
    <w:p>
      <w:pPr>
        <w:ind w:firstLine="482"/>
        <w:spacing w:line="520" w:lineRule="exact"/>
        <w:rPr>
          <w:rFonts w:ascii="Times New Roman" w:hAnsi="Times New Roman"/>
          <w:color w:val="auto"/>
          <w:sz w:val="24"/>
          <w:highlight w:val="none"/>
        </w:rPr>
      </w:pPr>
      <w:r>
        <w:rPr>
          <w:rFonts w:ascii="Times New Roman" w:hAnsi="Times New Roman"/>
          <w:bCs/>
          <w:color w:val="auto"/>
          <w:sz w:val="24"/>
          <w:szCs w:val="21"/>
          <w:highlight w:val="none"/>
        </w:rPr>
        <w:t xml:space="preserve">1.我单位具有独立承担民事责任的能力；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2.我单位具有良好的商业信誉和健全的财务会计制度；</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3.我单位具有履行合同所必需的设备和专业技术能力；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4.我单位有依法缴纳税收和社会保障资金的良好记录；</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6.我单位满足法律、行政法规规定的其他条件。</w:t>
      </w:r>
      <w:r/>
    </w:p>
    <w:p>
      <w:pPr>
        <w:ind w:firstLine="482"/>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承诺人名称（</w:t>
      </w:r>
      <w:r>
        <w:rPr>
          <w:rFonts w:ascii="等线" w:hAnsi="等线" w:eastAsia="等线" w:cs="等线"/>
          <w:color w:val="auto"/>
          <w:spacing w:val="-2"/>
          <w:sz w:val="24"/>
          <w:szCs w:val="24"/>
          <w:highlight w:val="none"/>
        </w:rPr>
        <w:t xml:space="preserve">加盖CA电子公章</w:t>
      </w:r>
      <w:r>
        <w:rPr>
          <w:rFonts w:ascii="Times New Roman" w:hAnsi="Times New Roman"/>
          <w:bCs/>
          <w:color w:val="auto"/>
          <w:sz w:val="24"/>
          <w:szCs w:val="21"/>
          <w:highlight w:val="none"/>
        </w:rPr>
        <w:t xml:space="preserve">）：</w:t>
      </w:r>
      <w:r/>
    </w:p>
    <w:p>
      <w:pPr>
        <w:jc w:val="right"/>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w:t>
      </w:r>
      <w:r/>
    </w:p>
    <w:p>
      <w:pPr>
        <w:rPr>
          <w:rFonts w:ascii="Times New Roman" w:hAnsi="Times New Roman"/>
          <w:b/>
          <w:color w:val="auto"/>
          <w:sz w:val="24"/>
          <w:szCs w:val="24"/>
          <w:highlight w:val="none"/>
        </w:rPr>
      </w:pPr>
      <w:r>
        <w:rPr>
          <w:rFonts w:ascii="Times New Roman" w:hAnsi="Times New Roman" w:eastAsia="黑体"/>
          <w:i/>
          <w:color w:val="auto"/>
          <w:sz w:val="32"/>
          <w:szCs w:val="32"/>
          <w:highlight w:val="none"/>
          <w:u w:val="single"/>
        </w:rPr>
        <w:br w:type="page" w:clear="all"/>
      </w:r>
      <w:bookmarkStart w:id="186" w:name="_Toc120614284"/>
      <w:r>
        <w:rPr>
          <w:rFonts w:ascii="Times New Roman" w:hAnsi="Times New Roman"/>
          <w:b/>
          <w:color w:val="auto"/>
          <w:sz w:val="24"/>
          <w:szCs w:val="24"/>
          <w:highlight w:val="none"/>
          <w:lang w:val="zh-CN"/>
        </w:rPr>
        <w:t xml:space="preserve">附件</w:t>
      </w:r>
      <w:r>
        <w:rPr>
          <w:rFonts w:hint="eastAsia" w:ascii="Times New Roman" w:hAnsi="Times New Roman"/>
          <w:b/>
          <w:color w:val="auto"/>
          <w:sz w:val="24"/>
          <w:szCs w:val="24"/>
          <w:highlight w:val="none"/>
        </w:rPr>
        <w:t xml:space="preserve">2</w:t>
      </w:r>
      <w:r/>
    </w:p>
    <w:p>
      <w:pPr>
        <w:jc w:val="center"/>
        <w:spacing w:line="56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法定代表人身份证明</w:t>
      </w:r>
      <w:r/>
    </w:p>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先生/女士：现任我单位职务，为法定代表人，特此证明。</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身份证号码：</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81" w:line="222" w:lineRule="auto"/>
        <w:rPr>
          <w:rFonts w:ascii="等线" w:hAnsi="等线" w:eastAsia="等线" w:cs="等线"/>
          <w:color w:val="auto"/>
          <w:sz w:val="24"/>
          <w:szCs w:val="24"/>
          <w:highlight w:val="none"/>
        </w:rPr>
      </w:pPr>
      <w:r>
        <w:rPr>
          <w:rFonts w:ascii="Times New Roman" w:hAnsi="Times New Roman"/>
          <w:b/>
          <w:color w:val="auto"/>
          <w:sz w:val="24"/>
          <w:szCs w:val="24"/>
          <w:highlight w:val="none"/>
        </w:rPr>
        <w:t xml:space="preserve">注：</w:t>
      </w:r>
      <w:r>
        <w:rPr>
          <w:rFonts w:ascii="等线" w:hAnsi="等线" w:eastAsia="等线" w:cs="等线"/>
          <w:b/>
          <w:bCs/>
          <w:color w:val="auto"/>
          <w:spacing w:val="-2"/>
          <w:sz w:val="24"/>
          <w:szCs w:val="24"/>
          <w:highlight w:val="none"/>
        </w:rPr>
        <w:t xml:space="preserve">注：提供法定代表人的身份证扫描件</w:t>
      </w:r>
      <w:r>
        <w:rPr>
          <w:rFonts w:ascii="等线" w:hAnsi="等线" w:eastAsia="等线" w:cs="等线"/>
          <w:color w:val="auto"/>
          <w:spacing w:val="-2"/>
          <w:sz w:val="24"/>
          <w:szCs w:val="24"/>
          <w:highlight w:val="none"/>
        </w:rPr>
        <w:t xml:space="preserve">（加盖CA电子公章）</w:t>
      </w:r>
      <w:r/>
    </w:p>
    <w:p>
      <w:pPr>
        <w:spacing w:line="6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left"/>
        <w:rPr>
          <w:rFonts w:ascii="Times New Roman" w:hAnsi="Times New Roman"/>
          <w:b/>
          <w:color w:val="auto"/>
          <w:sz w:val="24"/>
          <w:szCs w:val="21"/>
          <w:highlight w:val="none"/>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3</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 xml:space="preserve">法人授权书</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本授权书声明：____________（供应商名称）授权________________（被授权人的姓名）为我方就</w:t>
      </w:r>
      <w:r>
        <w:rPr>
          <w:rFonts w:hint="eastAsia" w:ascii="等线" w:hAnsi="等线" w:eastAsia="等线" w:cs="等线"/>
          <w:color w:val="auto"/>
          <w:spacing w:val="-1"/>
          <w:sz w:val="24"/>
          <w:szCs w:val="24"/>
          <w:highlight w:val="none"/>
          <w:u w:val="single"/>
        </w:rPr>
        <w:t xml:space="preserve">       </w:t>
      </w:r>
      <w:r>
        <w:rPr>
          <w:rFonts w:ascii="等线" w:hAnsi="等线" w:eastAsia="等线" w:cs="等线"/>
          <w:color w:val="auto"/>
          <w:spacing w:val="-1"/>
          <w:sz w:val="24"/>
          <w:szCs w:val="24"/>
          <w:highlight w:val="none"/>
          <w:u w:val="single"/>
        </w:rPr>
        <w:t xml:space="preserve">（项目编</w:t>
      </w:r>
      <w:r>
        <w:rPr>
          <w:rFonts w:ascii="等线" w:hAnsi="等线" w:eastAsia="等线" w:cs="等线"/>
          <w:color w:val="auto"/>
          <w:spacing w:val="-1"/>
          <w:sz w:val="24"/>
          <w:szCs w:val="24"/>
          <w:highlight w:val="none"/>
        </w:rPr>
        <w:t xml:space="preserve">号</w:t>
      </w:r>
      <w:r>
        <w:rPr>
          <w:rFonts w:ascii="等线" w:hAnsi="等线" w:eastAsia="等线" w:cs="等线"/>
          <w:color w:val="auto"/>
          <w:spacing w:val="-1"/>
          <w:sz w:val="24"/>
          <w:szCs w:val="24"/>
          <w:highlight w:val="none"/>
          <w:u w:val="single"/>
        </w:rPr>
        <w:t xml:space="preserve">）</w:t>
      </w:r>
      <w:r>
        <w:rPr>
          <w:rFonts w:hint="eastAsia" w:ascii="Times New Roman" w:hAnsi="Times New Roman"/>
          <w:color w:val="auto"/>
          <w:sz w:val="24"/>
          <w:szCs w:val="24"/>
          <w:highlight w:val="none"/>
        </w:rPr>
        <w:t xml:space="preserve">项目</w:t>
      </w:r>
      <w:r>
        <w:rPr>
          <w:rFonts w:ascii="Times New Roman" w:hAnsi="Times New Roman"/>
          <w:color w:val="auto"/>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日期：</w:t>
      </w:r>
      <w:bookmarkStart w:id="187" w:name="_Hlt26671380"/>
      <w:r/>
      <w:bookmarkEnd w:id="187"/>
      <w:r/>
      <w:bookmarkStart w:id="188" w:name="_Hlt26955070"/>
      <w:r/>
      <w:bookmarkEnd w:id="188"/>
      <w:r/>
      <w:bookmarkStart w:id="189" w:name="_格式3__银行出具的资信证明"/>
      <w:r/>
      <w:bookmarkEnd w:id="189"/>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ind w:left="484"/>
        <w:spacing w:before="82" w:line="221" w:lineRule="auto"/>
        <w:rPr>
          <w:rFonts w:ascii="宋体" w:hAnsi="宋体" w:cs="宋体"/>
          <w:color w:val="auto"/>
          <w:sz w:val="24"/>
          <w:szCs w:val="24"/>
          <w:highlight w:val="none"/>
        </w:rPr>
      </w:pPr>
      <w:r>
        <w:rPr>
          <w:rFonts w:hint="eastAsia" w:ascii="宋体" w:hAnsi="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ascii="Times New Roman" w:hAnsi="Times New Roman"/>
          <w:b/>
          <w:color w:val="auto"/>
          <w:sz w:val="24"/>
          <w:szCs w:val="21"/>
          <w:highlight w:val="none"/>
        </w:rPr>
      </w:pPr>
      <w:r>
        <w:rPr>
          <w:rFonts w:ascii="Times New Roman" w:hAnsi="Times New Roman"/>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4</w:t>
      </w:r>
      <w:r>
        <w:rPr>
          <w:rFonts w:ascii="Times New Roman" w:hAnsi="Times New Roman"/>
          <w:b/>
          <w:color w:val="auto"/>
          <w:sz w:val="24"/>
          <w:szCs w:val="21"/>
          <w:highlight w:val="none"/>
        </w:rPr>
        <w:t xml:space="preserve"> </w:t>
      </w:r>
      <w:r/>
    </w:p>
    <w:p>
      <w:pPr>
        <w:jc w:val="center"/>
        <w:rPr>
          <w:rFonts w:ascii="Times New Roman" w:hAnsi="Times New Roman" w:eastAsia="黑体"/>
          <w:b/>
          <w:i/>
          <w:color w:val="auto"/>
          <w:sz w:val="32"/>
          <w:szCs w:val="32"/>
          <w:highlight w:val="none"/>
          <w:u w:val="single"/>
        </w:rPr>
      </w:pPr>
      <w:r>
        <w:rPr>
          <w:rFonts w:ascii="Times New Roman" w:hAnsi="Times New Roman"/>
          <w:b/>
          <w:color w:val="auto"/>
          <w:sz w:val="24"/>
          <w:szCs w:val="21"/>
          <w:highlight w:val="none"/>
        </w:rPr>
        <w:t xml:space="preserve">磋商响应函</w:t>
      </w:r>
      <w:r/>
    </w:p>
    <w:p>
      <w:pPr>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致：</w:t>
      </w:r>
      <w:r>
        <w:rPr>
          <w:rFonts w:hint="eastAsia" w:ascii="宋体" w:hAnsi="宋体"/>
          <w:color w:val="auto"/>
          <w:sz w:val="24"/>
          <w:szCs w:val="24"/>
          <w:highlight w:val="none"/>
          <w:u w:val="single"/>
        </w:rPr>
        <w:t xml:space="preserve">如东县自然资源和规划局</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根据贵方的</w:t>
      </w:r>
      <w:r>
        <w:rPr>
          <w:rFonts w:ascii="等线" w:hAnsi="等线" w:eastAsia="等线" w:cs="等线"/>
          <w:color w:val="auto"/>
          <w:spacing w:val="-1"/>
          <w:sz w:val="24"/>
          <w:szCs w:val="24"/>
          <w:highlight w:val="none"/>
          <w:u w:val="single"/>
        </w:rPr>
        <w:t xml:space="preserve">********</w:t>
      </w:r>
      <w:r>
        <w:rPr>
          <w:rFonts w:hint="eastAsia" w:ascii="等线" w:hAnsi="等线" w:eastAsia="等线" w:cs="等线"/>
          <w:color w:val="auto"/>
          <w:spacing w:val="-1"/>
          <w:sz w:val="24"/>
          <w:szCs w:val="24"/>
          <w:highlight w:val="none"/>
          <w:u w:val="single"/>
        </w:rPr>
        <w:t xml:space="preserve">  </w:t>
      </w:r>
      <w:r>
        <w:rPr>
          <w:rFonts w:ascii="等线" w:hAnsi="等线" w:eastAsia="等线" w:cs="等线"/>
          <w:color w:val="auto"/>
          <w:spacing w:val="-1"/>
          <w:sz w:val="24"/>
          <w:szCs w:val="24"/>
          <w:highlight w:val="none"/>
        </w:rPr>
        <w:t xml:space="preserve">（项目编号</w:t>
      </w:r>
      <w:r>
        <w:rPr>
          <w:rFonts w:hint="eastAsia" w:ascii="等线" w:hAnsi="等线" w:eastAsia="等线" w:cs="等线"/>
          <w:color w:val="auto"/>
          <w:spacing w:val="-1"/>
          <w:sz w:val="24"/>
          <w:szCs w:val="24"/>
          <w:highlight w:val="none"/>
        </w:rPr>
        <w:t xml:space="preserve">）</w:t>
      </w:r>
      <w:r>
        <w:rPr>
          <w:rFonts w:ascii="Times New Roman" w:hAnsi="Times New Roman"/>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据此函，__________签字人兹宣布同意如下：</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2.我们完全理解贵方不一定将合同授予最低报价的供应商。</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7.我方与本磋商有关的正式通讯地址为：</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地址：</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邮编：</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电话：</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传真：</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供应商开户行：</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账号：</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日期：________年____月____日</w:t>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pStyle w:val="797"/>
        <w:rPr>
          <w:color w:val="auto"/>
          <w:highlight w:val="none"/>
        </w:rPr>
      </w:pPr>
      <w:r>
        <w:rPr>
          <w:color w:val="auto"/>
          <w:highlight w:val="none"/>
        </w:rPr>
      </w:r>
      <w:r/>
    </w:p>
    <w:p>
      <w:pPr>
        <w:jc w:val="center"/>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5</w:t>
      </w:r>
      <w:r>
        <w:rPr>
          <w:rFonts w:ascii="Times New Roman" w:hAnsi="Times New Roman"/>
          <w:b/>
          <w:color w:val="auto"/>
          <w:sz w:val="24"/>
          <w:szCs w:val="21"/>
          <w:highlight w:val="none"/>
        </w:rPr>
        <w:t xml:space="preserve">  </w:t>
      </w:r>
      <w:r/>
    </w:p>
    <w:p>
      <w:pPr>
        <w:contextualSpacing/>
        <w:jc w:val="center"/>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商务部分正负偏离表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6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 供应商提交的响应文件中与磋商文件第四章“采购需求”中的商务部分的要求如有偏离的，应逐条填列在偏离表中。如果磋商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供应商需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w:t>
      </w:r>
      <w:r>
        <w:rPr>
          <w:rFonts w:hint="eastAsia" w:ascii="宋体" w:hAnsi="宋体"/>
          <w:b/>
          <w:bCs/>
          <w:color w:val="auto"/>
          <w:sz w:val="24"/>
          <w:szCs w:val="24"/>
          <w:highlight w:val="none"/>
        </w:rPr>
        <w:t xml:space="preserve">未填写的内容视为完全响应本磋商文件要求。</w:t>
      </w:r>
      <w:r>
        <w:rPr>
          <w:rFonts w:hint="eastAsia" w:ascii="宋体" w:hAnsi="宋体"/>
          <w:color w:val="auto"/>
          <w:sz w:val="24"/>
          <w:szCs w:val="24"/>
          <w:highlight w:val="none"/>
        </w:rPr>
        <w:t xml:space="preserve">正偏离、无偏离的确认和负偏离的是否响应磋商文件，由评委认定。</w:t>
      </w:r>
      <w:r/>
    </w:p>
    <w:p>
      <w:pPr>
        <w:spacing w:before="32" w:line="209" w:lineRule="auto"/>
        <w:rPr>
          <w:rFonts w:ascii="宋体" w:hAnsi="宋体" w:cs="宋体"/>
          <w:color w:val="auto"/>
          <w:sz w:val="24"/>
          <w:szCs w:val="24"/>
          <w:highlight w:val="none"/>
        </w:rPr>
      </w:pPr>
      <w:r>
        <w:rPr>
          <w:rFonts w:hint="eastAsia" w:ascii="宋体" w:hAnsi="宋体"/>
          <w:b/>
          <w:color w:val="auto"/>
          <w:sz w:val="24"/>
          <w:szCs w:val="21"/>
          <w:highlight w:val="none"/>
        </w:rPr>
        <w:t xml:space="preserve">3.</w:t>
      </w:r>
      <w:r>
        <w:rPr>
          <w:rFonts w:ascii="宋体" w:hAnsi="宋体" w:cs="宋体"/>
          <w:color w:val="auto"/>
          <w:spacing w:val="-2"/>
          <w:sz w:val="24"/>
          <w:szCs w:val="24"/>
          <w:highlight w:val="none"/>
        </w:rPr>
        <w:t xml:space="preserve">供应商若提供其他增值服务，可以在表中自行据实填写。</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ind w:left="57" w:right="5365" w:hanging="36"/>
        <w:spacing w:before="83" w:line="472" w:lineRule="auto"/>
        <w:rPr>
          <w:rFonts w:ascii="等线" w:hAnsi="等线" w:eastAsia="等线" w:cs="等线"/>
          <w:color w:val="auto"/>
          <w:spacing w:val="1"/>
          <w:sz w:val="24"/>
          <w:szCs w:val="24"/>
          <w:highlight w:val="none"/>
        </w:rPr>
      </w:pPr>
      <w:r>
        <w:rPr>
          <w:rFonts w:ascii="等线" w:hAnsi="等线" w:eastAsia="等线" w:cs="等线"/>
          <w:color w:val="auto"/>
          <w:spacing w:val="-5"/>
          <w:sz w:val="24"/>
          <w:szCs w:val="24"/>
          <w:highlight w:val="none"/>
        </w:rPr>
        <w:t xml:space="preserve">供应商全称（加盖CA电子公章</w:t>
      </w:r>
      <w:r>
        <w:rPr>
          <w:rFonts w:ascii="等线" w:hAnsi="等线" w:eastAsia="等线" w:cs="等线"/>
          <w:color w:val="auto"/>
          <w:spacing w:val="1"/>
          <w:sz w:val="24"/>
          <w:szCs w:val="24"/>
          <w:highlight w:val="none"/>
        </w:rPr>
        <w:t xml:space="preserve">）： </w:t>
      </w:r>
      <w:r/>
    </w:p>
    <w:p>
      <w:pPr>
        <w:ind w:left="57" w:right="5365" w:hanging="36"/>
        <w:spacing w:before="83" w:line="472" w:lineRule="auto"/>
        <w:rPr>
          <w:rFonts w:ascii="等线" w:hAnsi="等线" w:eastAsia="等线" w:cs="等线"/>
          <w:color w:val="auto"/>
          <w:sz w:val="24"/>
          <w:szCs w:val="24"/>
          <w:highlight w:val="none"/>
        </w:rPr>
      </w:pPr>
      <w:r>
        <w:rPr>
          <w:rFonts w:ascii="等线" w:hAnsi="等线" w:eastAsia="等线" w:cs="等线"/>
          <w:color w:val="auto"/>
          <w:spacing w:val="-27"/>
          <w:sz w:val="24"/>
          <w:szCs w:val="24"/>
          <w:highlight w:val="none"/>
        </w:rPr>
        <w:t xml:space="preserve">日期</w:t>
      </w:r>
      <w:r>
        <w:rPr>
          <w:rFonts w:hint="eastAsia" w:ascii="等线" w:hAnsi="等线" w:eastAsia="等线" w:cs="等线"/>
          <w:color w:val="auto"/>
          <w:spacing w:val="-27"/>
          <w:sz w:val="24"/>
          <w:szCs w:val="24"/>
          <w:highlight w:val="none"/>
        </w:rPr>
        <w:t xml:space="preserve"> ：   年  月  日</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color w:val="auto"/>
          <w:sz w:val="24"/>
          <w:highlight w:val="none"/>
        </w:rPr>
      </w:pPr>
      <w:r>
        <w:rPr>
          <w:rFonts w:ascii="Times New Roman" w:hAnsi="Times New Roman"/>
          <w:color w:val="auto"/>
          <w:sz w:val="24"/>
          <w:highlight w:val="none"/>
        </w:rPr>
      </w:r>
      <w:r/>
    </w:p>
    <w:p>
      <w:pPr>
        <w:pStyle w:val="797"/>
        <w:rPr>
          <w:rFonts w:ascii="Times New Roman" w:hAnsi="Times New Roman"/>
          <w:color w:val="auto"/>
          <w:highlight w:val="none"/>
        </w:rPr>
      </w:pPr>
      <w:r>
        <w:rPr>
          <w:rFonts w:ascii="Times New Roman" w:hAnsi="Times New Roman"/>
          <w:color w:val="auto"/>
          <w:highlight w:val="none"/>
        </w:rPr>
      </w:r>
      <w:r/>
    </w:p>
    <w:p>
      <w:pPr>
        <w:ind w:left="480"/>
        <w:rPr>
          <w:rFonts w:ascii="Times New Roman" w:hAnsi="Times New Roman"/>
          <w:b/>
          <w:i/>
          <w:color w:val="auto"/>
          <w:sz w:val="24"/>
          <w:szCs w:val="21"/>
          <w:highlight w:val="none"/>
          <w:u w:val="single"/>
        </w:rPr>
      </w:pPr>
      <w:r>
        <w:rPr>
          <w:rFonts w:ascii="Times New Roman" w:hAnsi="Times New Roman"/>
          <w:b/>
          <w:i/>
          <w:color w:val="auto"/>
          <w:sz w:val="24"/>
          <w:szCs w:val="21"/>
          <w:highlight w:val="none"/>
          <w:u w:val="singl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6</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ind w:firstLine="3534"/>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技术部分正负偏离表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6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contextualSpacing/>
        <w:spacing w:line="300" w:lineRule="auto"/>
        <w:rPr>
          <w:rFonts w:ascii="宋体" w:hAnsi="宋体"/>
          <w:color w:val="auto"/>
          <w:sz w:val="24"/>
          <w:highlight w:val="none"/>
        </w:rPr>
      </w:pPr>
      <w:r>
        <w:rPr>
          <w:rFonts w:hint="eastAsia" w:ascii="宋体" w:hAnsi="宋体"/>
          <w:color w:val="auto"/>
          <w:sz w:val="24"/>
          <w:highlight w:val="none"/>
        </w:rPr>
        <w:t xml:space="preserve">1. 供应商提交的响应文件中与磋商文件第四章“采购需求”中的技术部分的要求如有偏离的，应逐条填列在偏离表中。如果磋商文件要求提供证明材料，供应商需将证明材料列于该表之下。</w:t>
      </w:r>
      <w:r/>
    </w:p>
    <w:p>
      <w:pPr>
        <w:contextualSpacing/>
        <w:spacing w:line="300" w:lineRule="auto"/>
        <w:rPr>
          <w:rFonts w:ascii="宋体" w:hAnsi="宋体"/>
          <w:color w:val="auto"/>
          <w:sz w:val="24"/>
          <w:highlight w:val="none"/>
        </w:rPr>
      </w:pPr>
      <w:r>
        <w:rPr>
          <w:rFonts w:hint="eastAsia" w:ascii="宋体" w:hAnsi="宋体"/>
          <w:color w:val="auto"/>
          <w:sz w:val="24"/>
          <w:highlight w:val="none"/>
        </w:rPr>
        <w:t xml:space="preserve">2.“偏离说明”一栏选择“正偏离”、“无偏离”、“负偏离”进行填写。</w:t>
      </w:r>
      <w:r>
        <w:rPr>
          <w:rFonts w:hint="eastAsia" w:ascii="宋体" w:hAnsi="宋体"/>
          <w:b/>
          <w:bCs/>
          <w:color w:val="auto"/>
          <w:sz w:val="24"/>
          <w:highlight w:val="none"/>
        </w:rPr>
        <w:t xml:space="preserve">未填写的内容视为完全响应本磋商文件要求。</w:t>
      </w:r>
      <w:r>
        <w:rPr>
          <w:rFonts w:hint="eastAsia" w:ascii="宋体" w:hAnsi="宋体"/>
          <w:color w:val="auto"/>
          <w:sz w:val="24"/>
          <w:highlight w:val="none"/>
        </w:rPr>
        <w:t xml:space="preserve">正偏离、无偏离的确认和负偏离的是否响应磋商文件，由评委认定。</w:t>
      </w:r>
      <w:r/>
    </w:p>
    <w:p>
      <w:pPr>
        <w:spacing w:before="32" w:line="209" w:lineRule="auto"/>
        <w:rPr>
          <w:rFonts w:ascii="宋体" w:hAnsi="宋体" w:cs="宋体"/>
          <w:color w:val="auto"/>
          <w:sz w:val="24"/>
          <w:szCs w:val="24"/>
          <w:highlight w:val="none"/>
        </w:rPr>
      </w:pPr>
      <w:r>
        <w:rPr>
          <w:rFonts w:ascii="宋体" w:hAnsi="宋体" w:cs="宋体"/>
          <w:color w:val="auto"/>
          <w:spacing w:val="-2"/>
          <w:sz w:val="24"/>
          <w:szCs w:val="24"/>
          <w:highlight w:val="none"/>
        </w:rPr>
        <w:t xml:space="preserve">3.供应商若提供其他增值服务，可以在表中自行据实填写。</w:t>
      </w:r>
      <w:r/>
    </w:p>
    <w:p>
      <w:pPr>
        <w:rPr>
          <w:rFonts w:ascii="宋体" w:hAnsi="宋体"/>
          <w:b/>
          <w:color w:val="auto"/>
          <w:sz w:val="24"/>
          <w:szCs w:val="21"/>
          <w:highlight w:val="none"/>
        </w:rPr>
      </w:pPr>
      <w:r>
        <w:rPr>
          <w:rFonts w:ascii="宋体" w:hAnsi="宋体"/>
          <w:b/>
          <w:color w:val="auto"/>
          <w:sz w:val="24"/>
          <w:szCs w:val="21"/>
          <w:highlight w:val="none"/>
        </w:rPr>
      </w:r>
      <w:r/>
    </w:p>
    <w:p>
      <w:pPr>
        <w:ind w:left="57" w:right="5365" w:hanging="36"/>
        <w:spacing w:before="83" w:line="472" w:lineRule="auto"/>
        <w:rPr>
          <w:rFonts w:ascii="等线" w:hAnsi="等线" w:eastAsia="等线" w:cs="等线"/>
          <w:color w:val="auto"/>
          <w:spacing w:val="1"/>
          <w:sz w:val="24"/>
          <w:szCs w:val="24"/>
          <w:highlight w:val="none"/>
        </w:rPr>
      </w:pPr>
      <w:r>
        <w:rPr>
          <w:rFonts w:ascii="等线" w:hAnsi="等线" w:eastAsia="等线" w:cs="等线"/>
          <w:color w:val="auto"/>
          <w:spacing w:val="-5"/>
          <w:sz w:val="24"/>
          <w:szCs w:val="24"/>
          <w:highlight w:val="none"/>
        </w:rPr>
        <w:t xml:space="preserve">供应商全称（加盖CA电子公章</w:t>
      </w:r>
      <w:r>
        <w:rPr>
          <w:rFonts w:ascii="等线" w:hAnsi="等线" w:eastAsia="等线" w:cs="等线"/>
          <w:color w:val="auto"/>
          <w:spacing w:val="1"/>
          <w:sz w:val="24"/>
          <w:szCs w:val="24"/>
          <w:highlight w:val="none"/>
        </w:rPr>
        <w:t xml:space="preserve">）： </w:t>
      </w:r>
      <w:r/>
    </w:p>
    <w:p>
      <w:pPr>
        <w:ind w:left="57" w:right="5365" w:hanging="36"/>
        <w:spacing w:before="83" w:line="472" w:lineRule="auto"/>
        <w:rPr>
          <w:rFonts w:ascii="等线" w:hAnsi="等线" w:eastAsia="等线" w:cs="等线"/>
          <w:color w:val="auto"/>
          <w:sz w:val="24"/>
          <w:szCs w:val="24"/>
          <w:highlight w:val="none"/>
        </w:rPr>
      </w:pPr>
      <w:r>
        <w:rPr>
          <w:rFonts w:ascii="等线" w:hAnsi="等线" w:eastAsia="等线" w:cs="等线"/>
          <w:color w:val="auto"/>
          <w:spacing w:val="-27"/>
          <w:sz w:val="24"/>
          <w:szCs w:val="24"/>
          <w:highlight w:val="none"/>
        </w:rPr>
        <w:t xml:space="preserve">日期</w:t>
      </w:r>
      <w:r>
        <w:rPr>
          <w:rFonts w:hint="eastAsia" w:ascii="等线" w:hAnsi="等线" w:eastAsia="等线" w:cs="等线"/>
          <w:color w:val="auto"/>
          <w:spacing w:val="-27"/>
          <w:sz w:val="24"/>
          <w:szCs w:val="24"/>
          <w:highlight w:val="none"/>
        </w:rPr>
        <w:t xml:space="preserve"> ：   年  月  日</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rPr>
          <w:color w:val="auto"/>
          <w:highlight w:val="none"/>
        </w:rPr>
      </w:pPr>
      <w:r>
        <w:rPr>
          <w:color w:val="auto"/>
          <w:highlight w:val="none"/>
        </w:rPr>
      </w:r>
      <w:r/>
    </w:p>
    <w:p>
      <w:pPr>
        <w:contextualSpacing/>
        <w:spacing w:line="300" w:lineRule="auto"/>
        <w:rPr>
          <w:rFonts w:ascii="Times New Roman" w:hAnsi="Times New Roman"/>
          <w:b/>
          <w:color w:val="auto"/>
          <w:sz w:val="32"/>
          <w:szCs w:val="32"/>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rPr>
        <w:t xml:space="preserve">7</w:t>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中小企业声明函（服务）</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      人，营业收入为      万元，资产总额为       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      人，营业收入为      万元，资产总额为       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1、如项目类型为“服务”，请按照此格式填写。</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right="1559" w:firstLine="480"/>
        <w:jc w:val="center"/>
        <w:spacing w:line="0" w:lineRule="atLeast"/>
        <w:tabs>
          <w:tab w:val="left" w:pos="4860" w:leader="none"/>
        </w:tabs>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32"/>
          <w:szCs w:val="32"/>
          <w:highlight w:val="none"/>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rPr>
        <w:t xml:space="preserve">8</w:t>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t xml:space="preserve">残疾人福利性单位声明函</w:t>
      </w:r>
      <w:r>
        <w:rPr>
          <w:rFonts w:hint="eastAsia" w:ascii="Times New Roman" w:hAnsi="Times New Roman"/>
          <w:b/>
          <w:color w:val="auto"/>
          <w:sz w:val="32"/>
          <w:szCs w:val="32"/>
          <w:highlight w:val="none"/>
        </w:rPr>
        <w:t xml:space="preserve">（服务）</w:t>
      </w:r>
      <w:r/>
    </w:p>
    <w:p>
      <w:pPr>
        <w:pStyle w:val="797"/>
        <w:rPr>
          <w:color w:val="auto"/>
          <w:highlight w:val="none"/>
        </w:rPr>
      </w:pPr>
      <w:r>
        <w:rPr>
          <w:color w:val="auto"/>
          <w:highlight w:val="none"/>
        </w:rPr>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项目采购活动由本单位提供服务。</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97"/>
        <w:ind w:firstLine="480"/>
        <w:rPr>
          <w:rFonts w:cs="宋体"/>
          <w:color w:val="auto"/>
          <w:sz w:val="24"/>
          <w:szCs w:val="24"/>
          <w:highlight w:val="none"/>
        </w:rPr>
      </w:pPr>
      <w:r>
        <w:rPr>
          <w:rFonts w:cs="宋体"/>
          <w:color w:val="auto"/>
          <w:sz w:val="24"/>
          <w:szCs w:val="24"/>
          <w:highlight w:val="none"/>
        </w:rPr>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1、如项目类型为“服务”，请按照此格式填写。</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2、专门面向中小微型企业采购的项目，供应商为残疾人福利性单位并提供服务的必须提供此声明函，否则将不能通过资格审查。</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 非专门面向中小微型企业采购的项目，供应商如不提供此声明函，价格将不做相应扣除。</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4、成交供应商为残疾人福利性单位的，此声明函将随成交结果同时公告，接受社会监督。</w:t>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right="1559" w:firstLine="480"/>
        <w:jc w:val="center"/>
        <w:spacing w:line="0" w:lineRule="atLeast"/>
        <w:tabs>
          <w:tab w:val="left" w:pos="48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rPr>
        <w:t xml:space="preserve">9</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附件</w:t>
      </w:r>
      <w:bookmarkEnd w:id="186"/>
      <w:r>
        <w:rPr>
          <w:rFonts w:hint="eastAsia" w:ascii="Times New Roman" w:hAnsi="Times New Roman"/>
          <w:b/>
          <w:color w:val="auto"/>
          <w:sz w:val="24"/>
          <w:szCs w:val="24"/>
          <w:highlight w:val="none"/>
        </w:rPr>
        <w:t xml:space="preserve">10</w:t>
      </w:r>
      <w:r/>
    </w:p>
    <w:p>
      <w:pPr>
        <w:jc w:val="lef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质疑函范本</w:t>
      </w:r>
      <w:r/>
    </w:p>
    <w:p>
      <w:pPr>
        <w:spacing w:before="290"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联系人：联系电话：</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质疑项目的编号：包号：</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签字(签章)：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公章：</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ascii="Times New Roman" w:hAnsi="Times New Roman"/>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8"/>
          <w:szCs w:val="28"/>
          <w:highlight w:val="none"/>
        </w:rPr>
      </w:pPr>
      <w:r>
        <w:rPr>
          <w:rFonts w:ascii="Times New Roman" w:hAnsi="Times New Roman"/>
          <w:color w:val="auto"/>
          <w:sz w:val="28"/>
          <w:szCs w:val="28"/>
          <w:highlight w:val="non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rPr>
        <w:t xml:space="preserve">11</w:t>
      </w:r>
      <w:r/>
    </w:p>
    <w:p>
      <w:pPr>
        <w:jc w:val="center"/>
        <w:widowControl/>
        <w:rPr>
          <w:rFonts w:ascii="Times New Roman" w:hAnsi="Times New Roman" w:eastAsia="微软雅黑"/>
          <w:color w:val="auto"/>
          <w:sz w:val="28"/>
          <w:szCs w:val="28"/>
          <w:highlight w:val="none"/>
        </w:rPr>
      </w:pPr>
      <w:r>
        <w:rPr>
          <w:rFonts w:ascii="Times New Roman" w:hAnsi="Times New Roman" w:eastAsia="微软雅黑"/>
          <w:color w:val="auto"/>
          <w:sz w:val="28"/>
          <w:szCs w:val="28"/>
          <w:highlight w:val="none"/>
        </w:rPr>
        <w:t xml:space="preserve">南通市政府采购履约保证保险政策告知函</w:t>
      </w:r>
      <w:r/>
    </w:p>
    <w:p>
      <w:pPr>
        <w:jc w:val="left"/>
        <w:widowControl/>
        <w:rPr>
          <w:rFonts w:ascii="Times New Roman" w:hAnsi="Times New Roman" w:eastAsia="仿宋_GB2312"/>
          <w:color w:val="auto"/>
          <w:sz w:val="28"/>
          <w:szCs w:val="28"/>
          <w:highlight w:val="none"/>
          <w:lang w:val="zh-CN"/>
        </w:rPr>
      </w:pPr>
      <w:r>
        <w:rPr>
          <w:rFonts w:ascii="Times New Roman" w:hAnsi="Times New Roman" w:eastAsia="仿宋_GB2312"/>
          <w:color w:val="auto"/>
          <w:sz w:val="28"/>
          <w:szCs w:val="28"/>
          <w:highlight w:val="none"/>
          <w:lang w:val="zh-CN"/>
        </w:rPr>
      </w:r>
      <w:r/>
    </w:p>
    <w:p>
      <w:pPr>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各政府采购供应商：</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欢迎贵公司参与南通市政府采购活动！</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宋体" w:hAnsi="宋体" w:cs="宋体"/>
          <w:color w:val="auto"/>
          <w:spacing w:val="1"/>
          <w:sz w:val="28"/>
          <w:szCs w:val="28"/>
          <w:highlight w:val="none"/>
          <w:lang w:val="zh-CN"/>
        </w:rPr>
        <w:t xml:space="preserve">http：</w:t>
      </w:r>
      <w:r>
        <w:rPr>
          <w:rFonts w:hint="eastAsia" w:ascii="宋体" w:hAnsi="宋体" w:cs="宋体"/>
          <w:color w:val="auto"/>
          <w:spacing w:val="1"/>
          <w:sz w:val="28"/>
          <w:szCs w:val="28"/>
          <w:highlight w:val="none"/>
        </w:rPr>
        <w:t xml:space="preserve">//</w:t>
      </w:r>
      <w:r>
        <w:rPr>
          <w:rFonts w:hint="eastAsia" w:ascii="宋体" w:hAnsi="宋体" w:cs="宋体"/>
          <w:color w:val="auto"/>
          <w:spacing w:val="1"/>
          <w:sz w:val="28"/>
          <w:szCs w:val="28"/>
          <w:highlight w:val="none"/>
          <w:lang w:val="zh-CN"/>
        </w:rPr>
        <w:t xml:space="preserve">ggzyjy.nantong.gov.cn／NTdzbhweb／supermarket</w:t>
      </w:r>
      <w:r>
        <w:rPr>
          <w:rFonts w:hint="eastAsia" w:ascii="宋体" w:hAnsi="宋体" w:cs="宋体"/>
          <w:color w:val="auto"/>
          <w:spacing w:val="7"/>
          <w:sz w:val="28"/>
          <w:szCs w:val="28"/>
          <w:highlight w:val="none"/>
          <w:lang w:val="zh-CN"/>
        </w:rPr>
        <w:t xml:space="preserve">／</w:t>
      </w:r>
      <w:r>
        <w:rPr>
          <w:rFonts w:hint="eastAsia" w:ascii="宋体" w:hAnsi="宋体" w:cs="宋体"/>
          <w:color w:val="auto"/>
          <w:sz w:val="28"/>
          <w:szCs w:val="28"/>
          <w:highlight w:val="none"/>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797"/>
        <w:ind w:firstLine="560"/>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jc w:val="left"/>
        <w:spacing w:line="700" w:lineRule="exact"/>
        <w:widowControl/>
        <w:rPr>
          <w:rFonts w:ascii="Times New Roman" w:hAnsi="Times New Roman"/>
          <w:color w:val="auto"/>
          <w:sz w:val="28"/>
          <w:szCs w:val="28"/>
          <w:highlight w:val="none"/>
        </w:rPr>
      </w:pPr>
      <w:r>
        <w:rPr>
          <w:rFonts w:ascii="Times New Roman" w:hAnsi="Times New Roman" w:eastAsia="仿宋_GB2312"/>
          <w:b/>
          <w:bCs/>
          <w:color w:val="auto"/>
          <w:sz w:val="28"/>
          <w:szCs w:val="28"/>
          <w:highlight w:val="none"/>
          <w:lang w:val="zh-CN"/>
        </w:rPr>
        <w:br w:type="page" w:clear="all"/>
      </w:r>
      <w:r>
        <w:rPr>
          <w:rFonts w:ascii="Times New Roman" w:hAnsi="Times New Roman"/>
          <w:b/>
          <w:color w:val="auto"/>
          <w:sz w:val="24"/>
          <w:szCs w:val="24"/>
          <w:highlight w:val="none"/>
          <w:lang w:val="zh-CN"/>
        </w:rPr>
        <w:t xml:space="preserve">附件</w:t>
      </w:r>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2</w:t>
      </w:r>
      <w:r/>
    </w:p>
    <w:p>
      <w:pPr>
        <w:ind w:firstLine="2249"/>
        <w:jc w:val="left"/>
        <w:spacing w:line="700" w:lineRule="exact"/>
        <w:widowControl/>
        <w:rPr>
          <w:rFonts w:ascii="Times New Roman" w:hAnsi="Times New Roman" w:eastAsia="仿宋_GB2312"/>
          <w:color w:val="auto"/>
          <w:sz w:val="28"/>
          <w:szCs w:val="28"/>
          <w:highlight w:val="none"/>
        </w:rPr>
      </w:pPr>
      <w:r>
        <w:rPr>
          <w:rFonts w:ascii="Times New Roman" w:hAnsi="Times New Roman"/>
          <w:b/>
          <w:bCs/>
          <w:color w:val="auto"/>
          <w:sz w:val="28"/>
          <w:szCs w:val="28"/>
          <w:highlight w:val="none"/>
        </w:rPr>
        <w:t xml:space="preserve">南通市政府采购线上合同信用融资政策告知函</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各政府采购供应商：</w:t>
      </w:r>
      <w:r/>
    </w:p>
    <w:p>
      <w:pPr>
        <w:ind w:firstLine="560"/>
        <w:jc w:val="left"/>
        <w:spacing w:line="7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欢迎贵公</w:t>
      </w:r>
      <w:r>
        <w:rPr>
          <w:rFonts w:hint="eastAsia" w:ascii="宋体" w:hAnsi="宋体" w:cs="宋体"/>
          <w:color w:val="auto"/>
          <w:sz w:val="28"/>
          <w:szCs w:val="28"/>
          <w:highlight w:val="none"/>
        </w:rPr>
        <w:t xml:space="preserve">司参与南通市政府采购活动！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797"/>
        <w:ind w:firstLine="560"/>
        <w:rPr>
          <w:rFonts w:cs="宋体"/>
          <w:color w:val="auto"/>
          <w:sz w:val="28"/>
          <w:szCs w:val="28"/>
          <w:highlight w:val="none"/>
          <w:lang w:val="zh-CN"/>
        </w:rPr>
      </w:pPr>
      <w:r>
        <w:rPr>
          <w:rFonts w:cs="宋体"/>
          <w:color w:val="auto"/>
          <w:sz w:val="28"/>
          <w:szCs w:val="28"/>
          <w:highlight w:val="none"/>
          <w:lang w:val="zh-CN"/>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Times New Roman" w:hAnsi="Times New Roman"/>
          <w:color w:val="auto"/>
          <w:sz w:val="28"/>
          <w:szCs w:val="28"/>
          <w:highlight w:val="none"/>
        </w:rPr>
        <w:outlineLvl w:val="0"/>
      </w:pPr>
      <w:r>
        <w:rPr>
          <w:rFonts w:ascii="Times New Roman" w:hAnsi="Times New Roman"/>
          <w:color w:val="auto"/>
          <w:sz w:val="28"/>
          <w:szCs w:val="28"/>
          <w:highlight w:val="none"/>
        </w:rPr>
      </w:r>
      <w:r/>
    </w:p>
    <w:p>
      <w:pPr>
        <w:spacing w:line="500" w:lineRule="exact"/>
        <w:rPr>
          <w:rFonts w:ascii="Times New Roman" w:hAnsi="Times New Roman"/>
          <w:b/>
          <w:color w:val="auto"/>
          <w:sz w:val="28"/>
          <w:szCs w:val="28"/>
          <w:highlight w:val="none"/>
        </w:rPr>
      </w:pPr>
      <w:r>
        <w:rPr>
          <w:rFonts w:ascii="Times New Roman" w:hAnsi="Times New Roman"/>
          <w:b/>
          <w:color w:val="auto"/>
          <w:sz w:val="28"/>
          <w:szCs w:val="28"/>
          <w:highlight w:val="none"/>
        </w:rPr>
      </w:r>
      <w:r/>
    </w:p>
    <w:p>
      <w:pPr>
        <w:contextualSpacing/>
        <w:spacing w:line="500" w:lineRule="exact"/>
        <w:rPr>
          <w:rFonts w:ascii="Times New Roman" w:hAnsi="Times New Roman" w:eastAsia="仿宋"/>
          <w:b/>
          <w:bCs/>
          <w:color w:val="auto"/>
          <w:sz w:val="28"/>
          <w:szCs w:val="28"/>
          <w:highlight w:val="none"/>
        </w:rPr>
      </w:pPr>
      <w:r>
        <w:rPr>
          <w:rFonts w:ascii="Times New Roman" w:hAnsi="Times New Roman" w:eastAsia="仿宋"/>
          <w:b/>
          <w:bCs/>
          <w:color w:val="auto"/>
          <w:sz w:val="28"/>
          <w:szCs w:val="28"/>
          <w:highlight w:val="none"/>
        </w:rPr>
      </w:r>
      <w:r/>
    </w:p>
    <w:p>
      <w:pPr>
        <w:pStyle w:val="808"/>
        <w:ind w:firstLine="0"/>
        <w:rPr>
          <w:rFonts w:ascii="宋体" w:hAnsi="宋体"/>
          <w:color w:val="auto"/>
          <w:sz w:val="24"/>
          <w:szCs w:val="24"/>
          <w:highlight w:val="none"/>
        </w:rPr>
      </w:pPr>
      <w:r>
        <w:rPr>
          <w:rFonts w:ascii="宋体" w:hAnsi="宋体"/>
          <w:color w:val="auto"/>
          <w:sz w:val="24"/>
          <w:szCs w:val="24"/>
          <w:highlight w:val="none"/>
        </w:rPr>
      </w:r>
      <w:r/>
    </w:p>
    <w:p>
      <w:pPr>
        <w:spacing w:line="520" w:lineRule="exact"/>
        <w:rPr>
          <w:b/>
          <w:color w:val="auto"/>
          <w:sz w:val="28"/>
          <w:szCs w:val="28"/>
          <w:highlight w:val="none"/>
        </w:rPr>
      </w:pPr>
      <w:r>
        <w:rPr>
          <w:b/>
          <w:color w:val="auto"/>
          <w:sz w:val="28"/>
          <w:szCs w:val="28"/>
          <w:highlight w:val="none"/>
        </w:rPr>
      </w:r>
      <w:r/>
    </w:p>
    <w:p>
      <w:pPr>
        <w:pStyle w:val="808"/>
        <w:ind w:firstLine="420"/>
        <w:rPr>
          <w:color w:val="auto"/>
          <w:highlight w:val="none"/>
        </w:rPr>
      </w:pPr>
      <w:r>
        <w:rPr>
          <w:color w:val="auto"/>
          <w:highlight w:val="none"/>
        </w:rPr>
      </w:r>
      <w:r/>
    </w:p>
    <w:p>
      <w:pPr>
        <w:pStyle w:val="808"/>
        <w:ind w:firstLine="420"/>
        <w:rPr>
          <w:color w:val="auto"/>
          <w:highlight w:val="none"/>
        </w:rPr>
      </w:pPr>
      <w:r>
        <w:rPr>
          <w:color w:val="auto"/>
          <w:highlight w:val="none"/>
        </w:rPr>
      </w:r>
      <w:r/>
    </w:p>
    <w:p>
      <w:pPr>
        <w:pStyle w:val="808"/>
        <w:ind w:firstLine="420"/>
        <w:rPr>
          <w:color w:val="auto"/>
          <w:highlight w:val="none"/>
        </w:rPr>
      </w:pPr>
      <w:r>
        <w:rPr>
          <w:color w:val="auto"/>
          <w:highlight w:val="none"/>
        </w:rPr>
      </w:r>
      <w:r/>
    </w:p>
    <w:p>
      <w:pPr>
        <w:pStyle w:val="808"/>
        <w:ind w:firstLine="420"/>
        <w:rPr>
          <w:color w:val="auto"/>
          <w:highlight w:val="none"/>
        </w:rPr>
      </w:pPr>
      <w:r>
        <w:rPr>
          <w:color w:val="auto"/>
          <w:highlight w:val="none"/>
        </w:rPr>
      </w:r>
      <w:r/>
    </w:p>
    <w:p>
      <w:pPr>
        <w:pStyle w:val="808"/>
        <w:ind w:firstLine="420"/>
        <w:rPr>
          <w:color w:val="auto"/>
          <w:highlight w:val="none"/>
        </w:rPr>
      </w:pPr>
      <w:r>
        <w:rPr>
          <w:color w:val="auto"/>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0"/>
      </w:rPr>
      <w:framePr w:wrap="around" w:vAnchor="text" w:hAnchor="margin" w:xAlign="center" w:y="1"/>
    </w:pPr>
    <w:r>
      <w:fldChar w:fldCharType="begin"/>
    </w:r>
    <w:r>
      <w:rPr>
        <w:rStyle w:val="800"/>
      </w:rPr>
      <w:instrText xml:space="preserve">PAGE  </w:instrText>
    </w:r>
    <w:r>
      <w:fldChar w:fldCharType="separate"/>
    </w:r>
    <w:r>
      <w:rPr>
        <w:rStyle w:val="800"/>
      </w:rPr>
      <w:t xml:space="preserve">1</w:t>
    </w:r>
    <w:r>
      <w:fldChar w:fldCharType="end"/>
    </w:r>
    <w:r/>
  </w:p>
  <w:p>
    <w:pPr>
      <w:pStyle w:val="7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9"/>
      <w:isLgl w:val="false"/>
      <w:suff w:val="nothing"/>
      <w:lvlText w:val=""/>
      <w:lvlJc w:val="left"/>
      <w:pPr>
        <w:ind w:left="0" w:firstLine="0"/>
      </w:pPr>
      <w:rPr>
        <w:rFonts w:hint="eastAsia"/>
      </w:rPr>
    </w:lvl>
    <w:lvl w:ilvl="6">
      <w:start w:val="1"/>
      <w:numFmt w:val="none"/>
      <w:pStyle w:val="760"/>
      <w:isLgl w:val="false"/>
      <w:suff w:val="nothing"/>
      <w:lvlText w:val=""/>
      <w:lvlJc w:val="left"/>
      <w:pPr>
        <w:ind w:left="0" w:firstLine="0"/>
      </w:pPr>
      <w:rPr>
        <w:rFonts w:hint="eastAsia"/>
      </w:rPr>
    </w:lvl>
    <w:lvl w:ilvl="7">
      <w:start w:val="1"/>
      <w:numFmt w:val="none"/>
      <w:pStyle w:val="761"/>
      <w:isLgl w:val="false"/>
      <w:suff w:val="nothing"/>
      <w:lvlText w:val=""/>
      <w:lvlJc w:val="left"/>
      <w:pPr>
        <w:ind w:left="0" w:firstLine="0"/>
      </w:pPr>
      <w:rPr>
        <w:rFonts w:hint="eastAsia"/>
      </w:rPr>
    </w:lvl>
    <w:lvl w:ilvl="8">
      <w:start w:val="1"/>
      <w:numFmt w:val="none"/>
      <w:pStyle w:val="762"/>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3"/>
    <w:link w:val="754"/>
    <w:uiPriority w:val="9"/>
    <w:rPr>
      <w:rFonts w:ascii="Arial" w:hAnsi="Arial" w:eastAsia="Arial" w:cs="Arial"/>
      <w:sz w:val="40"/>
      <w:szCs w:val="40"/>
    </w:rPr>
  </w:style>
  <w:style w:type="character" w:styleId="15">
    <w:name w:val="Heading 2 Char"/>
    <w:basedOn w:val="763"/>
    <w:link w:val="755"/>
    <w:uiPriority w:val="9"/>
    <w:rPr>
      <w:rFonts w:ascii="Arial" w:hAnsi="Arial" w:eastAsia="Arial" w:cs="Arial"/>
      <w:sz w:val="34"/>
    </w:rPr>
  </w:style>
  <w:style w:type="character" w:styleId="17">
    <w:name w:val="Heading 3 Char"/>
    <w:basedOn w:val="763"/>
    <w:link w:val="756"/>
    <w:uiPriority w:val="9"/>
    <w:rPr>
      <w:rFonts w:ascii="Arial" w:hAnsi="Arial" w:eastAsia="Arial" w:cs="Arial"/>
      <w:sz w:val="30"/>
      <w:szCs w:val="30"/>
    </w:rPr>
  </w:style>
  <w:style w:type="character" w:styleId="19">
    <w:name w:val="Heading 4 Char"/>
    <w:basedOn w:val="763"/>
    <w:link w:val="757"/>
    <w:uiPriority w:val="9"/>
    <w:rPr>
      <w:rFonts w:ascii="Arial" w:hAnsi="Arial" w:eastAsia="Arial" w:cs="Arial"/>
      <w:b/>
      <w:bCs/>
      <w:sz w:val="26"/>
      <w:szCs w:val="26"/>
    </w:rPr>
  </w:style>
  <w:style w:type="character" w:styleId="21">
    <w:name w:val="Heading 5 Char"/>
    <w:basedOn w:val="763"/>
    <w:link w:val="758"/>
    <w:uiPriority w:val="9"/>
    <w:rPr>
      <w:rFonts w:ascii="Arial" w:hAnsi="Arial" w:eastAsia="Arial" w:cs="Arial"/>
      <w:b/>
      <w:bCs/>
      <w:sz w:val="24"/>
      <w:szCs w:val="24"/>
    </w:rPr>
  </w:style>
  <w:style w:type="character" w:styleId="23">
    <w:name w:val="Heading 6 Char"/>
    <w:basedOn w:val="763"/>
    <w:link w:val="759"/>
    <w:uiPriority w:val="9"/>
    <w:rPr>
      <w:rFonts w:ascii="Arial" w:hAnsi="Arial" w:eastAsia="Arial" w:cs="Arial"/>
      <w:b/>
      <w:bCs/>
      <w:sz w:val="22"/>
      <w:szCs w:val="22"/>
    </w:rPr>
  </w:style>
  <w:style w:type="character" w:styleId="25">
    <w:name w:val="Heading 7 Char"/>
    <w:basedOn w:val="763"/>
    <w:link w:val="760"/>
    <w:uiPriority w:val="9"/>
    <w:rPr>
      <w:rFonts w:ascii="Arial" w:hAnsi="Arial" w:eastAsia="Arial" w:cs="Arial"/>
      <w:b/>
      <w:bCs/>
      <w:i/>
      <w:iCs/>
      <w:sz w:val="22"/>
      <w:szCs w:val="22"/>
    </w:rPr>
  </w:style>
  <w:style w:type="character" w:styleId="27">
    <w:name w:val="Heading 8 Char"/>
    <w:basedOn w:val="763"/>
    <w:link w:val="761"/>
    <w:uiPriority w:val="9"/>
    <w:rPr>
      <w:rFonts w:ascii="Arial" w:hAnsi="Arial" w:eastAsia="Arial" w:cs="Arial"/>
      <w:i/>
      <w:iCs/>
      <w:sz w:val="22"/>
      <w:szCs w:val="22"/>
    </w:rPr>
  </w:style>
  <w:style w:type="character" w:styleId="29">
    <w:name w:val="Heading 9 Char"/>
    <w:basedOn w:val="763"/>
    <w:link w:val="762"/>
    <w:uiPriority w:val="9"/>
    <w:rPr>
      <w:rFonts w:ascii="Arial" w:hAnsi="Arial" w:eastAsia="Arial" w:cs="Arial"/>
      <w:i/>
      <w:iCs/>
      <w:sz w:val="21"/>
      <w:szCs w:val="21"/>
    </w:r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763"/>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763"/>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3"/>
    <w:link w:val="783"/>
    <w:uiPriority w:val="99"/>
  </w:style>
  <w:style w:type="character" w:styleId="44">
    <w:name w:val="Footer Char"/>
    <w:basedOn w:val="763"/>
    <w:link w:val="782"/>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782"/>
    <w:uiPriority w:val="99"/>
  </w:style>
  <w:style w:type="table" w:styleId="48">
    <w:name w:val="Table Grid Light"/>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3"/>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3"/>
    <w:uiPriority w:val="99"/>
    <w:semiHidden/>
    <w:unhideWhenUsed/>
    <w:rPr>
      <w:vertAlign w:val="superscript"/>
    </w:rPr>
  </w:style>
  <w:style w:type="paragraph" w:styleId="189">
    <w:name w:val="TOC Heading"/>
    <w:uiPriority w:val="39"/>
    <w:unhideWhenUsed/>
  </w:style>
  <w:style w:type="paragraph" w:styleId="75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4">
    <w:name w:val="Heading 1"/>
    <w:basedOn w:val="753"/>
    <w:next w:val="753"/>
    <w:link w:val="811"/>
    <w:uiPriority w:val="0"/>
    <w:qFormat/>
    <w:pPr>
      <w:jc w:val="center"/>
      <w:keepNext/>
      <w:outlineLvl w:val="0"/>
    </w:pPr>
    <w:rPr>
      <w:rFonts w:ascii="楷体_GB2312" w:hAnsi="Times New Roman" w:eastAsia="楷体_GB2312"/>
      <w:sz w:val="28"/>
      <w:szCs w:val="28"/>
    </w:rPr>
  </w:style>
  <w:style w:type="paragraph" w:styleId="755">
    <w:name w:val="Heading 2"/>
    <w:basedOn w:val="753"/>
    <w:next w:val="765"/>
    <w:link w:val="8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6">
    <w:name w:val="Heading 3"/>
    <w:basedOn w:val="753"/>
    <w:next w:val="765"/>
    <w:link w:val="814"/>
    <w:uiPriority w:val="0"/>
    <w:qFormat/>
    <w:pPr>
      <w:keepLines/>
      <w:keepNext/>
      <w:spacing w:before="260" w:after="260" w:line="416" w:lineRule="auto"/>
      <w:outlineLvl w:val="2"/>
    </w:pPr>
    <w:rPr>
      <w:rFonts w:ascii="Times New Roman" w:hAnsi="Times New Roman"/>
      <w:b/>
      <w:bCs/>
      <w:sz w:val="32"/>
      <w:szCs w:val="32"/>
    </w:rPr>
  </w:style>
  <w:style w:type="paragraph" w:styleId="757">
    <w:name w:val="Heading 4"/>
    <w:basedOn w:val="753"/>
    <w:next w:val="753"/>
    <w:link w:val="815"/>
    <w:uiPriority w:val="0"/>
    <w:qFormat/>
    <w:pPr>
      <w:keepLines/>
      <w:keepNext/>
      <w:spacing w:before="280" w:after="290" w:line="376" w:lineRule="auto"/>
      <w:outlineLvl w:val="3"/>
    </w:pPr>
    <w:rPr>
      <w:rFonts w:ascii="Arial" w:hAnsi="Arial" w:eastAsia="黑体" w:cs="Arial"/>
      <w:b/>
      <w:bCs/>
      <w:sz w:val="28"/>
      <w:szCs w:val="28"/>
    </w:rPr>
  </w:style>
  <w:style w:type="paragraph" w:styleId="758">
    <w:name w:val="Heading 5"/>
    <w:basedOn w:val="753"/>
    <w:next w:val="765"/>
    <w:link w:val="805"/>
    <w:uiPriority w:val="0"/>
    <w:qFormat/>
    <w:pPr>
      <w:keepNext/>
      <w:outlineLvl w:val="4"/>
    </w:pPr>
    <w:rPr>
      <w:rFonts w:ascii="宋体" w:hAnsi="Times New Roman"/>
      <w:color w:val="000000"/>
      <w:sz w:val="28"/>
      <w:szCs w:val="28"/>
    </w:rPr>
  </w:style>
  <w:style w:type="paragraph" w:styleId="759">
    <w:name w:val="Heading 6"/>
    <w:basedOn w:val="753"/>
    <w:next w:val="753"/>
    <w:link w:val="8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0">
    <w:name w:val="Heading 7"/>
    <w:basedOn w:val="753"/>
    <w:next w:val="753"/>
    <w:link w:val="80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1">
    <w:name w:val="Heading 8"/>
    <w:basedOn w:val="753"/>
    <w:next w:val="753"/>
    <w:link w:val="81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2">
    <w:name w:val="Heading 9"/>
    <w:basedOn w:val="753"/>
    <w:next w:val="753"/>
    <w:link w:val="817"/>
    <w:uiPriority w:val="0"/>
    <w:qFormat/>
    <w:pPr>
      <w:numPr>
        <w:ilvl w:val="8"/>
        <w:numId w:val="1"/>
      </w:numPr>
      <w:keepLines/>
      <w:keepNext/>
      <w:spacing w:before="240" w:after="64" w:line="320" w:lineRule="auto"/>
      <w:outlineLvl w:val="8"/>
    </w:pPr>
    <w:rPr>
      <w:rFonts w:ascii="Arial" w:hAnsi="Arial" w:eastAsia="黑体"/>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link w:val="813"/>
    <w:uiPriority w:val="0"/>
    <w:qFormat/>
    <w:pPr>
      <w:ind w:firstLine="420"/>
    </w:pPr>
    <w:rPr>
      <w:szCs w:val="21"/>
    </w:rPr>
  </w:style>
  <w:style w:type="paragraph" w:styleId="766">
    <w:name w:val="List 3"/>
    <w:basedOn w:val="753"/>
    <w:uiPriority w:val="0"/>
    <w:qFormat/>
    <w:pPr>
      <w:ind w:left="100" w:hanging="200"/>
    </w:pPr>
    <w:rPr>
      <w:rFonts w:ascii="Times New Roman" w:hAnsi="Times New Roman"/>
      <w:szCs w:val="21"/>
    </w:rPr>
  </w:style>
  <w:style w:type="paragraph" w:styleId="767">
    <w:name w:val="toc 7"/>
    <w:basedOn w:val="753"/>
    <w:next w:val="753"/>
    <w:uiPriority w:val="0"/>
    <w:semiHidden/>
    <w:qFormat/>
    <w:pPr>
      <w:ind w:left="1260"/>
      <w:jc w:val="left"/>
    </w:pPr>
    <w:rPr>
      <w:rFonts w:ascii="Times New Roman" w:hAnsi="Times New Roman"/>
      <w:szCs w:val="21"/>
    </w:rPr>
  </w:style>
  <w:style w:type="paragraph" w:styleId="768">
    <w:name w:val="Document Map"/>
    <w:basedOn w:val="753"/>
    <w:link w:val="818"/>
    <w:uiPriority w:val="0"/>
    <w:semiHidden/>
    <w:qFormat/>
    <w:pPr>
      <w:shd w:val="clear" w:color="auto" w:fill="000080"/>
    </w:pPr>
    <w:rPr>
      <w:rFonts w:ascii="Times New Roman" w:hAnsi="Times New Roman"/>
      <w:szCs w:val="21"/>
    </w:rPr>
  </w:style>
  <w:style w:type="paragraph" w:styleId="769">
    <w:name w:val="annotation text"/>
    <w:basedOn w:val="753"/>
    <w:link w:val="819"/>
    <w:uiPriority w:val="0"/>
    <w:unhideWhenUsed/>
    <w:qFormat/>
    <w:pPr>
      <w:jc w:val="left"/>
    </w:pPr>
  </w:style>
  <w:style w:type="paragraph" w:styleId="770">
    <w:name w:val="Body Text 3"/>
    <w:basedOn w:val="753"/>
    <w:link w:val="820"/>
    <w:uiPriority w:val="0"/>
    <w:qFormat/>
    <w:rPr>
      <w:rFonts w:ascii="仿宋_GB2312" w:hAnsi="Arial" w:eastAsia="仿宋_GB2312"/>
      <w:sz w:val="32"/>
      <w:szCs w:val="32"/>
    </w:rPr>
  </w:style>
  <w:style w:type="paragraph" w:styleId="771">
    <w:name w:val="Body Text"/>
    <w:basedOn w:val="753"/>
    <w:next w:val="753"/>
    <w:link w:val="821"/>
    <w:uiPriority w:val="0"/>
    <w:qFormat/>
    <w:rPr>
      <w:rFonts w:ascii="楷体_GB2312" w:hAnsi="Arial" w:eastAsia="楷体_GB2312"/>
      <w:sz w:val="28"/>
      <w:szCs w:val="28"/>
    </w:rPr>
  </w:style>
  <w:style w:type="paragraph" w:styleId="772">
    <w:name w:val="Body Text Indent"/>
    <w:basedOn w:val="753"/>
    <w:next w:val="773"/>
    <w:link w:val="809"/>
    <w:uiPriority w:val="0"/>
    <w:unhideWhenUsed/>
    <w:qFormat/>
    <w:pPr>
      <w:ind w:left="420"/>
      <w:spacing w:after="120"/>
    </w:pPr>
  </w:style>
  <w:style w:type="paragraph" w:styleId="773">
    <w:name w:val="envelope return"/>
    <w:basedOn w:val="753"/>
    <w:uiPriority w:val="99"/>
    <w:unhideWhenUsed/>
    <w:qFormat/>
    <w:rPr>
      <w:rFonts w:ascii="Arial" w:hAnsi="Arial" w:eastAsia="楷体_GB2312"/>
      <w:sz w:val="26"/>
      <w:szCs w:val="20"/>
    </w:rPr>
  </w:style>
  <w:style w:type="paragraph" w:styleId="774">
    <w:name w:val="List 2"/>
    <w:basedOn w:val="753"/>
    <w:uiPriority w:val="0"/>
    <w:qFormat/>
    <w:pPr>
      <w:ind w:left="100" w:hanging="200"/>
    </w:pPr>
    <w:rPr>
      <w:rFonts w:ascii="Times New Roman" w:hAnsi="Times New Roman"/>
      <w:szCs w:val="21"/>
    </w:rPr>
  </w:style>
  <w:style w:type="paragraph" w:styleId="775">
    <w:name w:val="toc 5"/>
    <w:basedOn w:val="753"/>
    <w:next w:val="753"/>
    <w:uiPriority w:val="0"/>
    <w:semiHidden/>
    <w:qFormat/>
    <w:pPr>
      <w:ind w:left="840"/>
      <w:jc w:val="left"/>
    </w:pPr>
    <w:rPr>
      <w:rFonts w:ascii="Times New Roman" w:hAnsi="Times New Roman"/>
      <w:szCs w:val="21"/>
    </w:rPr>
  </w:style>
  <w:style w:type="paragraph" w:styleId="776">
    <w:name w:val="toc 3"/>
    <w:basedOn w:val="753"/>
    <w:next w:val="753"/>
    <w:uiPriority w:val="0"/>
    <w:semiHidden/>
    <w:qFormat/>
    <w:pPr>
      <w:ind w:left="420"/>
      <w:jc w:val="left"/>
    </w:pPr>
    <w:rPr>
      <w:rFonts w:ascii="Times New Roman" w:hAnsi="Times New Roman"/>
      <w:i/>
      <w:iCs/>
      <w:szCs w:val="24"/>
    </w:rPr>
  </w:style>
  <w:style w:type="paragraph" w:styleId="777">
    <w:name w:val="Plain Text"/>
    <w:basedOn w:val="753"/>
    <w:link w:val="822"/>
    <w:uiPriority w:val="0"/>
    <w:qFormat/>
    <w:rPr>
      <w:rFonts w:ascii="宋体" w:hAnsi="Courier New" w:cs="Courier New"/>
      <w:szCs w:val="21"/>
    </w:rPr>
  </w:style>
  <w:style w:type="paragraph" w:styleId="778">
    <w:name w:val="toc 8"/>
    <w:basedOn w:val="753"/>
    <w:next w:val="753"/>
    <w:uiPriority w:val="0"/>
    <w:semiHidden/>
    <w:qFormat/>
    <w:pPr>
      <w:ind w:left="1470"/>
      <w:jc w:val="left"/>
    </w:pPr>
    <w:rPr>
      <w:rFonts w:ascii="Times New Roman" w:hAnsi="Times New Roman"/>
      <w:szCs w:val="21"/>
    </w:rPr>
  </w:style>
  <w:style w:type="paragraph" w:styleId="779">
    <w:name w:val="Date"/>
    <w:basedOn w:val="753"/>
    <w:next w:val="753"/>
    <w:link w:val="823"/>
    <w:uiPriority w:val="0"/>
    <w:qFormat/>
    <w:rPr>
      <w:rFonts w:ascii="Times New Roman" w:hAnsi="Times New Roman"/>
      <w:sz w:val="24"/>
      <w:szCs w:val="24"/>
    </w:rPr>
  </w:style>
  <w:style w:type="paragraph" w:styleId="780">
    <w:name w:val="Body Text Indent 2"/>
    <w:basedOn w:val="753"/>
    <w:link w:val="824"/>
    <w:uiPriority w:val="0"/>
    <w:qFormat/>
    <w:pPr>
      <w:ind w:left="630" w:firstLine="645"/>
    </w:pPr>
    <w:rPr>
      <w:rFonts w:ascii="Arial" w:hAnsi="Arial" w:eastAsia="仿宋_GB2312" w:cs="Arial"/>
      <w:sz w:val="32"/>
      <w:szCs w:val="32"/>
    </w:rPr>
  </w:style>
  <w:style w:type="paragraph" w:styleId="781">
    <w:name w:val="Balloon Text"/>
    <w:basedOn w:val="753"/>
    <w:link w:val="825"/>
    <w:uiPriority w:val="0"/>
    <w:semiHidden/>
    <w:qFormat/>
    <w:rPr>
      <w:rFonts w:ascii="Times New Roman" w:hAnsi="Times New Roman"/>
      <w:sz w:val="18"/>
      <w:szCs w:val="18"/>
    </w:rPr>
  </w:style>
  <w:style w:type="paragraph" w:styleId="782">
    <w:name w:val="Footer"/>
    <w:basedOn w:val="753"/>
    <w:link w:val="826"/>
    <w:uiPriority w:val="0"/>
    <w:qFormat/>
    <w:pPr>
      <w:jc w:val="left"/>
      <w:tabs>
        <w:tab w:val="center" w:pos="4153" w:leader="none"/>
        <w:tab w:val="right" w:pos="8306" w:leader="none"/>
      </w:tabs>
    </w:pPr>
    <w:rPr>
      <w:rFonts w:ascii="Times New Roman" w:hAnsi="Times New Roman"/>
      <w:sz w:val="18"/>
      <w:szCs w:val="18"/>
    </w:rPr>
  </w:style>
  <w:style w:type="paragraph" w:styleId="783">
    <w:name w:val="Header"/>
    <w:basedOn w:val="753"/>
    <w:link w:val="827"/>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84">
    <w:name w:val="toc 1"/>
    <w:basedOn w:val="753"/>
    <w:next w:val="753"/>
    <w:uiPriority w:val="0"/>
    <w:semiHidden/>
    <w:qFormat/>
    <w:pPr>
      <w:jc w:val="left"/>
      <w:spacing w:before="120" w:after="120" w:line="400" w:lineRule="exact"/>
      <w:tabs>
        <w:tab w:val="right" w:pos="8720" w:leader="dot"/>
      </w:tabs>
    </w:pPr>
    <w:rPr>
      <w:rFonts w:ascii="宋体" w:hAnsi="宋体"/>
      <w:caps/>
      <w:sz w:val="24"/>
      <w:szCs w:val="24"/>
    </w:rPr>
  </w:style>
  <w:style w:type="paragraph" w:styleId="785">
    <w:name w:val="toc 4"/>
    <w:basedOn w:val="753"/>
    <w:next w:val="753"/>
    <w:uiPriority w:val="0"/>
    <w:semiHidden/>
    <w:qFormat/>
    <w:pPr>
      <w:ind w:left="630"/>
      <w:jc w:val="left"/>
    </w:pPr>
    <w:rPr>
      <w:rFonts w:ascii="Times New Roman" w:hAnsi="Times New Roman"/>
      <w:szCs w:val="21"/>
    </w:rPr>
  </w:style>
  <w:style w:type="paragraph" w:styleId="786">
    <w:name w:val="List"/>
    <w:basedOn w:val="753"/>
    <w:uiPriority w:val="0"/>
    <w:qFormat/>
    <w:pPr>
      <w:ind w:left="200" w:hanging="200"/>
    </w:pPr>
    <w:rPr>
      <w:rFonts w:ascii="Times New Roman" w:hAnsi="Times New Roman"/>
      <w:szCs w:val="21"/>
    </w:rPr>
  </w:style>
  <w:style w:type="paragraph" w:styleId="787">
    <w:name w:val="toc 6"/>
    <w:basedOn w:val="753"/>
    <w:next w:val="753"/>
    <w:uiPriority w:val="0"/>
    <w:semiHidden/>
    <w:qFormat/>
    <w:pPr>
      <w:ind w:left="1050"/>
      <w:jc w:val="left"/>
    </w:pPr>
    <w:rPr>
      <w:rFonts w:ascii="Times New Roman" w:hAnsi="Times New Roman"/>
      <w:szCs w:val="21"/>
    </w:rPr>
  </w:style>
  <w:style w:type="paragraph" w:styleId="788">
    <w:name w:val="Body Text Indent 3"/>
    <w:basedOn w:val="753"/>
    <w:link w:val="828"/>
    <w:uiPriority w:val="0"/>
    <w:qFormat/>
    <w:pPr>
      <w:ind w:left="645" w:firstLine="645"/>
    </w:pPr>
    <w:rPr>
      <w:rFonts w:ascii="Arial" w:hAnsi="Arial" w:eastAsia="仿宋_GB2312" w:cs="Arial"/>
      <w:color w:val="ffff00"/>
      <w:sz w:val="32"/>
      <w:szCs w:val="32"/>
    </w:rPr>
  </w:style>
  <w:style w:type="paragraph" w:styleId="789">
    <w:name w:val="table of figures"/>
    <w:basedOn w:val="753"/>
    <w:next w:val="753"/>
    <w:uiPriority w:val="0"/>
    <w:semiHidden/>
    <w:qFormat/>
    <w:pPr>
      <w:ind w:left="840" w:hanging="420"/>
    </w:pPr>
    <w:rPr>
      <w:rFonts w:ascii="Times New Roman" w:hAnsi="Times New Roman"/>
      <w:szCs w:val="21"/>
    </w:rPr>
  </w:style>
  <w:style w:type="paragraph" w:styleId="790">
    <w:name w:val="toc 2"/>
    <w:basedOn w:val="753"/>
    <w:next w:val="753"/>
    <w:uiPriority w:val="0"/>
    <w:semiHidden/>
    <w:qFormat/>
    <w:pPr>
      <w:ind w:left="210"/>
      <w:jc w:val="left"/>
    </w:pPr>
    <w:rPr>
      <w:rFonts w:ascii="Times New Roman" w:hAnsi="Times New Roman"/>
      <w:smallCaps/>
      <w:szCs w:val="24"/>
    </w:rPr>
  </w:style>
  <w:style w:type="paragraph" w:styleId="791">
    <w:name w:val="toc 9"/>
    <w:basedOn w:val="753"/>
    <w:next w:val="753"/>
    <w:uiPriority w:val="0"/>
    <w:semiHidden/>
    <w:qFormat/>
    <w:pPr>
      <w:ind w:left="1680"/>
      <w:jc w:val="left"/>
    </w:pPr>
    <w:rPr>
      <w:rFonts w:ascii="Times New Roman" w:hAnsi="Times New Roman"/>
      <w:szCs w:val="21"/>
    </w:rPr>
  </w:style>
  <w:style w:type="paragraph" w:styleId="792">
    <w:name w:val="Body Text 2"/>
    <w:basedOn w:val="753"/>
    <w:link w:val="829"/>
    <w:uiPriority w:val="0"/>
    <w:qFormat/>
    <w:pPr>
      <w:jc w:val="center"/>
      <w:widowControl/>
    </w:pPr>
    <w:rPr>
      <w:rFonts w:ascii="楷体_GB2312" w:hAnsi="Times New Roman" w:eastAsia="楷体_GB2312"/>
      <w:sz w:val="28"/>
      <w:szCs w:val="28"/>
    </w:rPr>
  </w:style>
  <w:style w:type="paragraph" w:styleId="793">
    <w:name w:val="Normal (Web)"/>
    <w:basedOn w:val="753"/>
    <w:uiPriority w:val="99"/>
    <w:qFormat/>
    <w:pPr>
      <w:jc w:val="left"/>
      <w:spacing w:before="100" w:beforeAutospacing="1" w:after="100" w:afterAutospacing="1"/>
      <w:widowControl/>
    </w:pPr>
    <w:rPr>
      <w:rFonts w:ascii="宋体" w:hAnsi="宋体" w:cs="宋体"/>
      <w:sz w:val="24"/>
      <w:szCs w:val="24"/>
    </w:rPr>
  </w:style>
  <w:style w:type="paragraph" w:styleId="794">
    <w:name w:val="index 1"/>
    <w:basedOn w:val="753"/>
    <w:next w:val="753"/>
    <w:uiPriority w:val="0"/>
    <w:semiHidden/>
    <w:qFormat/>
    <w:pPr>
      <w:spacing w:line="240" w:lineRule="atLeast"/>
    </w:pPr>
    <w:rPr>
      <w:rFonts w:ascii="Times New Roman" w:hAnsi="Times New Roman"/>
      <w:b/>
      <w:bCs/>
      <w:szCs w:val="21"/>
    </w:rPr>
  </w:style>
  <w:style w:type="paragraph" w:styleId="795">
    <w:name w:val="annotation subject"/>
    <w:basedOn w:val="769"/>
    <w:next w:val="769"/>
    <w:link w:val="830"/>
    <w:uiPriority w:val="0"/>
    <w:semiHidden/>
    <w:qFormat/>
    <w:rPr>
      <w:rFonts w:ascii="Times New Roman" w:hAnsi="Times New Roman"/>
      <w:b/>
      <w:bCs/>
      <w:szCs w:val="21"/>
    </w:rPr>
  </w:style>
  <w:style w:type="paragraph" w:styleId="796">
    <w:name w:val="Body Text First Indent"/>
    <w:basedOn w:val="771"/>
    <w:link w:val="831"/>
    <w:uiPriority w:val="0"/>
    <w:qFormat/>
    <w:pPr>
      <w:ind w:firstLine="200"/>
      <w:spacing w:line="360" w:lineRule="auto"/>
    </w:pPr>
    <w:rPr>
      <w:rFonts w:ascii="仿宋_GB2312" w:hAnsi="Times New Roman" w:eastAsia="仿宋_GB2312"/>
      <w:sz w:val="30"/>
      <w:szCs w:val="30"/>
    </w:rPr>
  </w:style>
  <w:style w:type="paragraph" w:styleId="797">
    <w:name w:val="Body Text First Indent 2"/>
    <w:basedOn w:val="772"/>
    <w:next w:val="753"/>
    <w:link w:val="810"/>
    <w:uiPriority w:val="0"/>
    <w:qFormat/>
    <w:pPr>
      <w:ind w:left="0" w:firstLine="420"/>
      <w:spacing w:after="0" w:line="360" w:lineRule="auto"/>
    </w:pPr>
    <w:rPr>
      <w:rFonts w:ascii="宋体" w:hAnsi="宋体"/>
      <w:szCs w:val="20"/>
    </w:rPr>
  </w:style>
  <w:style w:type="table" w:styleId="798">
    <w:name w:val="Table Grid"/>
    <w:basedOn w:val="7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0"/>
    <w:qFormat/>
    <w:rPr>
      <w:b/>
      <w:bCs/>
    </w:rPr>
  </w:style>
  <w:style w:type="character" w:styleId="800">
    <w:name w:val="page number"/>
    <w:uiPriority w:val="0"/>
    <w:qFormat/>
  </w:style>
  <w:style w:type="character" w:styleId="801">
    <w:name w:val="FollowedHyperlink"/>
    <w:uiPriority w:val="0"/>
    <w:qFormat/>
    <w:rPr>
      <w:color w:val="800080"/>
      <w:u w:val="single"/>
    </w:rPr>
  </w:style>
  <w:style w:type="character" w:styleId="802">
    <w:name w:val="Emphasis"/>
    <w:basedOn w:val="763"/>
    <w:uiPriority w:val="20"/>
    <w:qFormat/>
    <w:rPr>
      <w:i/>
      <w:iCs/>
    </w:rPr>
  </w:style>
  <w:style w:type="character" w:styleId="803">
    <w:name w:val="Hyperlink"/>
    <w:uiPriority w:val="0"/>
    <w:qFormat/>
    <w:rPr>
      <w:color w:val="0000ff"/>
      <w:u w:val="single"/>
    </w:rPr>
  </w:style>
  <w:style w:type="character" w:styleId="804">
    <w:name w:val="annotation reference"/>
    <w:uiPriority w:val="0"/>
    <w:semiHidden/>
    <w:qFormat/>
    <w:rPr>
      <w:sz w:val="21"/>
      <w:szCs w:val="21"/>
    </w:rPr>
  </w:style>
  <w:style w:type="character" w:styleId="805" w:customStyle="1">
    <w:name w:val="标题 5 字符"/>
    <w:link w:val="758"/>
    <w:uiPriority w:val="0"/>
    <w:qFormat/>
    <w:rPr>
      <w:rFonts w:ascii="宋体" w:hAnsi="Times New Roman" w:eastAsia="宋体" w:cs="Times New Roman"/>
      <w:color w:val="000000"/>
      <w:sz w:val="28"/>
      <w:szCs w:val="28"/>
    </w:rPr>
  </w:style>
  <w:style w:type="character" w:styleId="806" w:customStyle="1">
    <w:name w:val="标题 6 字符"/>
    <w:link w:val="759"/>
    <w:uiPriority w:val="0"/>
    <w:qFormat/>
    <w:rPr>
      <w:rFonts w:ascii="Arial" w:hAnsi="Arial" w:eastAsia="黑体" w:cs="Times New Roman"/>
      <w:b/>
      <w:bCs/>
      <w:sz w:val="24"/>
      <w:szCs w:val="24"/>
    </w:rPr>
  </w:style>
  <w:style w:type="character" w:styleId="807" w:customStyle="1">
    <w:name w:val="标题 7 字符"/>
    <w:link w:val="760"/>
    <w:uiPriority w:val="0"/>
    <w:qFormat/>
    <w:rPr>
      <w:rFonts w:ascii="Times New Roman" w:hAnsi="Times New Roman" w:eastAsia="宋体" w:cs="Times New Roman"/>
      <w:b/>
      <w:bCs/>
      <w:sz w:val="24"/>
      <w:szCs w:val="24"/>
    </w:rPr>
  </w:style>
  <w:style w:type="paragraph" w:styleId="808" w:customStyle="1">
    <w:name w:val="正文（缩进）"/>
    <w:basedOn w:val="753"/>
    <w:uiPriority w:val="0"/>
    <w:qFormat/>
    <w:pPr>
      <w:ind w:firstLine="480"/>
      <w:spacing w:before="156" w:after="156"/>
    </w:pPr>
  </w:style>
  <w:style w:type="character" w:styleId="809" w:customStyle="1">
    <w:name w:val="正文文本缩进 字符"/>
    <w:basedOn w:val="763"/>
    <w:link w:val="772"/>
    <w:uiPriority w:val="99"/>
    <w:semiHidden/>
    <w:qFormat/>
  </w:style>
  <w:style w:type="character" w:styleId="810" w:customStyle="1">
    <w:name w:val="正文文本首行缩进 2 字符"/>
    <w:link w:val="797"/>
    <w:uiPriority w:val="0"/>
    <w:qFormat/>
    <w:rPr>
      <w:rFonts w:ascii="宋体" w:hAnsi="宋体" w:eastAsia="宋体" w:cs="Times New Roman"/>
      <w:szCs w:val="20"/>
    </w:rPr>
  </w:style>
  <w:style w:type="character" w:styleId="811" w:customStyle="1">
    <w:name w:val="标题 1 字符"/>
    <w:link w:val="754"/>
    <w:uiPriority w:val="0"/>
    <w:qFormat/>
    <w:rPr>
      <w:rFonts w:ascii="楷体_GB2312" w:hAnsi="Times New Roman" w:eastAsia="楷体_GB2312" w:cs="Times New Roman"/>
      <w:sz w:val="28"/>
      <w:szCs w:val="28"/>
    </w:rPr>
  </w:style>
  <w:style w:type="character" w:styleId="812" w:customStyle="1">
    <w:name w:val="标题 2 字符"/>
    <w:link w:val="755"/>
    <w:uiPriority w:val="0"/>
    <w:qFormat/>
    <w:rPr>
      <w:rFonts w:ascii="Arial" w:hAnsi="Arial" w:eastAsia="幼圆" w:cs="Arial"/>
      <w:b/>
      <w:bCs/>
      <w:sz w:val="44"/>
      <w:szCs w:val="44"/>
    </w:rPr>
  </w:style>
  <w:style w:type="character" w:styleId="813" w:customStyle="1">
    <w:name w:val="正文缩进 字符"/>
    <w:link w:val="765"/>
    <w:uiPriority w:val="0"/>
    <w:qFormat/>
    <w:rPr>
      <w:szCs w:val="21"/>
    </w:rPr>
  </w:style>
  <w:style w:type="character" w:styleId="814" w:customStyle="1">
    <w:name w:val="标题 3 字符"/>
    <w:link w:val="756"/>
    <w:uiPriority w:val="0"/>
    <w:qFormat/>
    <w:rPr>
      <w:rFonts w:ascii="Times New Roman" w:hAnsi="Times New Roman" w:eastAsia="宋体" w:cs="Times New Roman"/>
      <w:b/>
      <w:bCs/>
      <w:sz w:val="32"/>
      <w:szCs w:val="32"/>
    </w:rPr>
  </w:style>
  <w:style w:type="character" w:styleId="815" w:customStyle="1">
    <w:name w:val="标题 4 字符"/>
    <w:link w:val="757"/>
    <w:uiPriority w:val="0"/>
    <w:qFormat/>
    <w:rPr>
      <w:rFonts w:ascii="Arial" w:hAnsi="Arial" w:eastAsia="黑体" w:cs="Arial"/>
      <w:b/>
      <w:bCs/>
      <w:sz w:val="28"/>
      <w:szCs w:val="28"/>
    </w:rPr>
  </w:style>
  <w:style w:type="character" w:styleId="816" w:customStyle="1">
    <w:name w:val="标题 8 字符"/>
    <w:link w:val="761"/>
    <w:uiPriority w:val="0"/>
    <w:qFormat/>
    <w:rPr>
      <w:rFonts w:ascii="Arial" w:hAnsi="Arial" w:eastAsia="黑体" w:cs="Times New Roman"/>
      <w:sz w:val="24"/>
      <w:szCs w:val="24"/>
    </w:rPr>
  </w:style>
  <w:style w:type="character" w:styleId="817" w:customStyle="1">
    <w:name w:val="标题 9 字符"/>
    <w:link w:val="762"/>
    <w:uiPriority w:val="0"/>
    <w:qFormat/>
    <w:rPr>
      <w:rFonts w:ascii="Arial" w:hAnsi="Arial" w:eastAsia="黑体" w:cs="Times New Roman"/>
      <w:szCs w:val="21"/>
    </w:rPr>
  </w:style>
  <w:style w:type="character" w:styleId="818" w:customStyle="1">
    <w:name w:val="文档结构图 字符"/>
    <w:link w:val="768"/>
    <w:uiPriority w:val="0"/>
    <w:semiHidden/>
    <w:qFormat/>
    <w:rPr>
      <w:rFonts w:ascii="Times New Roman" w:hAnsi="Times New Roman" w:eastAsia="宋体" w:cs="Times New Roman"/>
      <w:szCs w:val="21"/>
      <w:shd w:val="clear" w:color="auto" w:fill="000080"/>
    </w:rPr>
  </w:style>
  <w:style w:type="character" w:styleId="819" w:customStyle="1">
    <w:name w:val="批注文字 字符"/>
    <w:basedOn w:val="763"/>
    <w:link w:val="769"/>
    <w:uiPriority w:val="99"/>
    <w:semiHidden/>
    <w:qFormat/>
  </w:style>
  <w:style w:type="character" w:styleId="820" w:customStyle="1">
    <w:name w:val="正文文本 3 字符"/>
    <w:link w:val="770"/>
    <w:uiPriority w:val="0"/>
    <w:qFormat/>
    <w:rPr>
      <w:rFonts w:ascii="仿宋_GB2312" w:hAnsi="Arial" w:eastAsia="仿宋_GB2312" w:cs="Times New Roman"/>
      <w:sz w:val="32"/>
      <w:szCs w:val="32"/>
    </w:rPr>
  </w:style>
  <w:style w:type="character" w:styleId="821" w:customStyle="1">
    <w:name w:val="正文文本 字符"/>
    <w:link w:val="771"/>
    <w:uiPriority w:val="0"/>
    <w:qFormat/>
    <w:rPr>
      <w:rFonts w:ascii="楷体_GB2312" w:hAnsi="Arial" w:eastAsia="楷体_GB2312" w:cs="Times New Roman"/>
      <w:sz w:val="28"/>
      <w:szCs w:val="28"/>
    </w:rPr>
  </w:style>
  <w:style w:type="character" w:styleId="822" w:customStyle="1">
    <w:name w:val="纯文本 字符"/>
    <w:link w:val="777"/>
    <w:uiPriority w:val="0"/>
    <w:qFormat/>
    <w:rPr>
      <w:rFonts w:ascii="宋体" w:hAnsi="Courier New" w:eastAsia="宋体" w:cs="Courier New"/>
      <w:szCs w:val="21"/>
    </w:rPr>
  </w:style>
  <w:style w:type="character" w:styleId="823" w:customStyle="1">
    <w:name w:val="日期 字符"/>
    <w:link w:val="779"/>
    <w:uiPriority w:val="0"/>
    <w:qFormat/>
    <w:rPr>
      <w:rFonts w:ascii="Times New Roman" w:hAnsi="Times New Roman" w:eastAsia="宋体" w:cs="Times New Roman"/>
      <w:sz w:val="24"/>
      <w:szCs w:val="24"/>
    </w:rPr>
  </w:style>
  <w:style w:type="character" w:styleId="824" w:customStyle="1">
    <w:name w:val="正文文本缩进 2 字符"/>
    <w:link w:val="780"/>
    <w:uiPriority w:val="0"/>
    <w:qFormat/>
    <w:rPr>
      <w:rFonts w:ascii="Arial" w:hAnsi="Arial" w:eastAsia="仿宋_GB2312" w:cs="Arial"/>
      <w:sz w:val="32"/>
      <w:szCs w:val="32"/>
    </w:rPr>
  </w:style>
  <w:style w:type="character" w:styleId="825" w:customStyle="1">
    <w:name w:val="批注框文本 字符"/>
    <w:link w:val="781"/>
    <w:uiPriority w:val="0"/>
    <w:semiHidden/>
    <w:qFormat/>
    <w:rPr>
      <w:rFonts w:ascii="Times New Roman" w:hAnsi="Times New Roman" w:eastAsia="宋体" w:cs="Times New Roman"/>
      <w:sz w:val="18"/>
      <w:szCs w:val="18"/>
    </w:rPr>
  </w:style>
  <w:style w:type="character" w:styleId="826" w:customStyle="1">
    <w:name w:val="页脚 字符"/>
    <w:link w:val="782"/>
    <w:uiPriority w:val="0"/>
    <w:qFormat/>
    <w:rPr>
      <w:rFonts w:ascii="Times New Roman" w:hAnsi="Times New Roman" w:eastAsia="宋体" w:cs="Times New Roman"/>
      <w:sz w:val="18"/>
      <w:szCs w:val="18"/>
    </w:rPr>
  </w:style>
  <w:style w:type="character" w:styleId="827" w:customStyle="1">
    <w:name w:val="页眉 字符"/>
    <w:link w:val="783"/>
    <w:uiPriority w:val="0"/>
    <w:qFormat/>
    <w:rPr>
      <w:rFonts w:ascii="Times New Roman" w:hAnsi="Times New Roman" w:eastAsia="宋体" w:cs="Times New Roman"/>
      <w:sz w:val="18"/>
      <w:szCs w:val="18"/>
    </w:rPr>
  </w:style>
  <w:style w:type="character" w:styleId="828" w:customStyle="1">
    <w:name w:val="正文文本缩进 3 字符"/>
    <w:link w:val="788"/>
    <w:uiPriority w:val="0"/>
    <w:qFormat/>
    <w:rPr>
      <w:rFonts w:ascii="Arial" w:hAnsi="Arial" w:eastAsia="仿宋_GB2312" w:cs="Arial"/>
      <w:color w:val="ffff00"/>
      <w:sz w:val="32"/>
      <w:szCs w:val="32"/>
    </w:rPr>
  </w:style>
  <w:style w:type="character" w:styleId="829" w:customStyle="1">
    <w:name w:val="正文文本 2 字符"/>
    <w:link w:val="792"/>
    <w:uiPriority w:val="0"/>
    <w:qFormat/>
    <w:rPr>
      <w:rFonts w:ascii="楷体_GB2312" w:hAnsi="Times New Roman" w:eastAsia="楷体_GB2312" w:cs="Times New Roman"/>
      <w:sz w:val="28"/>
      <w:szCs w:val="28"/>
    </w:rPr>
  </w:style>
  <w:style w:type="character" w:styleId="830" w:customStyle="1">
    <w:name w:val="批注主题 字符"/>
    <w:link w:val="795"/>
    <w:uiPriority w:val="0"/>
    <w:semiHidden/>
    <w:qFormat/>
    <w:rPr>
      <w:rFonts w:ascii="Times New Roman" w:hAnsi="Times New Roman" w:eastAsia="宋体" w:cs="Times New Roman"/>
      <w:b/>
      <w:bCs/>
      <w:szCs w:val="21"/>
    </w:rPr>
  </w:style>
  <w:style w:type="character" w:styleId="831" w:customStyle="1">
    <w:name w:val="正文文本首行缩进 字符"/>
    <w:link w:val="796"/>
    <w:uiPriority w:val="0"/>
    <w:qFormat/>
    <w:rPr>
      <w:rFonts w:ascii="仿宋_GB2312" w:hAnsi="Times New Roman" w:eastAsia="仿宋_GB2312" w:cs="Times New Roman"/>
      <w:sz w:val="30"/>
      <w:szCs w:val="30"/>
    </w:rPr>
  </w:style>
  <w:style w:type="character" w:styleId="832" w:customStyle="1">
    <w:name w:val="font5 Char"/>
    <w:uiPriority w:val="0"/>
    <w:qFormat/>
    <w:rPr>
      <w:rFonts w:ascii="宋体" w:hAnsi="宋体" w:eastAsia="宋体"/>
      <w:sz w:val="28"/>
      <w:szCs w:val="28"/>
      <w:lang w:val="en-US" w:eastAsia="zh-CN" w:bidi="ar-SA"/>
    </w:rPr>
  </w:style>
  <w:style w:type="character" w:styleId="833" w:customStyle="1">
    <w:name w:val="二级目录 Char"/>
    <w:link w:val="834"/>
    <w:uiPriority w:val="0"/>
    <w:qFormat/>
    <w:rPr>
      <w:rFonts w:ascii="Calibri" w:hAnsi="Calibri"/>
      <w:b/>
      <w:sz w:val="30"/>
      <w:szCs w:val="28"/>
    </w:rPr>
  </w:style>
  <w:style w:type="paragraph" w:styleId="834" w:customStyle="1">
    <w:name w:val="二级目录"/>
    <w:next w:val="753"/>
    <w:link w:val="83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35" w:customStyle="1">
    <w:name w:val="列出段落 Char"/>
    <w:link w:val="836"/>
    <w:uiPriority w:val="0"/>
    <w:qFormat/>
    <w:rPr>
      <w:rFonts w:ascii="Calibri" w:hAnsi="Calibri"/>
      <w:sz w:val="24"/>
      <w:szCs w:val="24"/>
      <w:lang w:eastAsia="en-US" w:bidi="en-US"/>
    </w:rPr>
  </w:style>
  <w:style w:type="paragraph" w:styleId="836" w:customStyle="1">
    <w:name w:val="列出段落1"/>
    <w:basedOn w:val="753"/>
    <w:link w:val="835"/>
    <w:uiPriority w:val="0"/>
    <w:qFormat/>
    <w:pPr>
      <w:contextualSpacing/>
      <w:ind w:left="720"/>
      <w:jc w:val="left"/>
      <w:widowControl/>
    </w:pPr>
    <w:rPr>
      <w:sz w:val="24"/>
      <w:szCs w:val="24"/>
      <w:lang w:eastAsia="en-US" w:bidi="en-US"/>
    </w:rPr>
  </w:style>
  <w:style w:type="paragraph" w:styleId="837" w:customStyle="1">
    <w:name w:val="Body Text(ch)"/>
    <w:basedOn w:val="753"/>
    <w:next w:val="771"/>
    <w:uiPriority w:val="0"/>
    <w:qFormat/>
    <w:pPr>
      <w:spacing w:after="120"/>
    </w:pPr>
    <w:rPr>
      <w:rFonts w:ascii="宋体" w:hAnsi="Arial"/>
      <w:bCs/>
      <w:iCs/>
      <w:szCs w:val="24"/>
    </w:rPr>
  </w:style>
  <w:style w:type="paragraph" w:styleId="838" w:customStyle="1">
    <w:name w:val="xl27"/>
    <w:basedOn w:val="7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9" w:customStyle="1">
    <w:name w:val="xl2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40" w:customStyle="1">
    <w:name w:val="Char"/>
    <w:basedOn w:val="753"/>
    <w:uiPriority w:val="0"/>
    <w:qFormat/>
    <w:pPr>
      <w:ind w:firstLine="200"/>
      <w:tabs>
        <w:tab w:val="left" w:pos="360" w:leader="none"/>
      </w:tabs>
    </w:pPr>
    <w:rPr>
      <w:rFonts w:ascii="Times New Roman" w:hAnsi="Times New Roman"/>
      <w:sz w:val="28"/>
      <w:szCs w:val="30"/>
    </w:rPr>
  </w:style>
  <w:style w:type="paragraph" w:styleId="841" w:customStyle="1">
    <w:name w:val="Char1"/>
    <w:basedOn w:val="768"/>
    <w:uiPriority w:val="0"/>
    <w:qFormat/>
    <w:rPr>
      <w:rFonts w:ascii="Tahoma" w:hAnsi="Tahoma"/>
      <w:sz w:val="24"/>
      <w:szCs w:val="24"/>
    </w:rPr>
  </w:style>
  <w:style w:type="paragraph" w:styleId="842" w:customStyle="1">
    <w:name w:val="普通正文"/>
    <w:basedOn w:val="753"/>
    <w:uiPriority w:val="0"/>
    <w:qFormat/>
    <w:pPr>
      <w:ind w:firstLine="480"/>
      <w:jc w:val="left"/>
      <w:spacing w:before="120" w:after="120" w:line="360" w:lineRule="auto"/>
    </w:pPr>
    <w:rPr>
      <w:rFonts w:ascii="Arial" w:hAnsi="Arial"/>
      <w:sz w:val="24"/>
      <w:szCs w:val="24"/>
    </w:rPr>
  </w:style>
  <w:style w:type="paragraph" w:styleId="843" w:customStyle="1">
    <w:name w:val="table_lines"/>
    <w:basedOn w:val="753"/>
    <w:uiPriority w:val="0"/>
    <w:qFormat/>
    <w:pPr>
      <w:jc w:val="left"/>
      <w:widowControl/>
    </w:pPr>
    <w:rPr>
      <w:rFonts w:ascii="Times New Roman" w:hAnsi="Times New Roman"/>
      <w:sz w:val="20"/>
      <w:szCs w:val="20"/>
      <w:lang w:val="de-DE" w:eastAsia="de-DE"/>
    </w:rPr>
  </w:style>
  <w:style w:type="paragraph" w:styleId="84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45" w:customStyle="1">
    <w:name w:val="font7"/>
    <w:basedOn w:val="753"/>
    <w:uiPriority w:val="0"/>
    <w:qFormat/>
    <w:pPr>
      <w:jc w:val="left"/>
      <w:spacing w:before="100" w:beforeAutospacing="1" w:after="100" w:afterAutospacing="1"/>
      <w:widowControl/>
    </w:pPr>
    <w:rPr>
      <w:rFonts w:hint="eastAsia" w:ascii="宋体" w:hAnsi="宋体"/>
      <w:sz w:val="18"/>
      <w:szCs w:val="18"/>
    </w:rPr>
  </w:style>
  <w:style w:type="paragraph" w:styleId="846" w:customStyle="1">
    <w:name w:val="Char Char Char Char"/>
    <w:basedOn w:val="768"/>
    <w:uiPriority w:val="0"/>
    <w:qFormat/>
    <w:pPr>
      <w:spacing w:line="360" w:lineRule="auto"/>
    </w:pPr>
    <w:rPr>
      <w:rFonts w:ascii="Tahoma" w:hAnsi="Tahoma"/>
      <w:sz w:val="24"/>
      <w:szCs w:val="24"/>
    </w:rPr>
  </w:style>
  <w:style w:type="paragraph" w:styleId="847">
    <w:name w:val="List Paragraph"/>
    <w:basedOn w:val="753"/>
    <w:uiPriority w:val="34"/>
    <w:qFormat/>
    <w:pPr>
      <w:contextualSpacing/>
      <w:ind w:left="720"/>
      <w:jc w:val="left"/>
      <w:widowControl/>
    </w:pPr>
    <w:rPr>
      <w:sz w:val="24"/>
      <w:szCs w:val="24"/>
      <w:lang w:eastAsia="en-US" w:bidi="en-US"/>
    </w:rPr>
  </w:style>
  <w:style w:type="paragraph" w:styleId="848" w:customStyle="1">
    <w:name w:val="4"/>
    <w:basedOn w:val="753"/>
    <w:next w:val="788"/>
    <w:uiPriority w:val="0"/>
    <w:qFormat/>
    <w:pPr>
      <w:ind w:firstLine="420"/>
      <w:spacing w:line="360" w:lineRule="auto"/>
    </w:pPr>
    <w:rPr>
      <w:rFonts w:ascii="Times New Roman" w:hAnsi="Times New Roman"/>
      <w:color w:val="ff0000"/>
      <w:sz w:val="24"/>
      <w:szCs w:val="24"/>
    </w:rPr>
  </w:style>
  <w:style w:type="paragraph" w:styleId="849" w:customStyle="1">
    <w:name w:val="普通 (Web)"/>
    <w:basedOn w:val="753"/>
    <w:uiPriority w:val="0"/>
    <w:qFormat/>
    <w:pPr>
      <w:jc w:val="left"/>
      <w:spacing w:before="100" w:beforeAutospacing="1" w:after="100" w:afterAutospacing="1"/>
      <w:widowControl/>
    </w:pPr>
    <w:rPr>
      <w:rFonts w:ascii="宋体" w:hAnsi="宋体"/>
      <w:sz w:val="24"/>
      <w:szCs w:val="24"/>
    </w:rPr>
  </w:style>
  <w:style w:type="paragraph" w:styleId="850" w:customStyle="1">
    <w:name w:val="Char Char Char Char Char Char Char Char Char Char"/>
    <w:basedOn w:val="753"/>
    <w:uiPriority w:val="0"/>
    <w:qFormat/>
    <w:pPr>
      <w:spacing w:line="360" w:lineRule="auto"/>
    </w:pPr>
    <w:rPr>
      <w:rFonts w:ascii="Times New Roman" w:hAnsi="Times New Roman"/>
      <w:sz w:val="24"/>
      <w:szCs w:val="20"/>
    </w:rPr>
  </w:style>
  <w:style w:type="paragraph" w:styleId="851" w:customStyle="1">
    <w:name w:val="样式1"/>
    <w:basedOn w:val="753"/>
    <w:uiPriority w:val="0"/>
    <w:qFormat/>
    <w:pPr>
      <w:numPr>
        <w:ilvl w:val="0"/>
        <w:numId w:val="3"/>
      </w:numPr>
    </w:pPr>
    <w:rPr>
      <w:rFonts w:ascii="宋体" w:hAnsi="宋体"/>
      <w:szCs w:val="21"/>
    </w:rPr>
  </w:style>
  <w:style w:type="paragraph" w:styleId="852" w:customStyle="1">
    <w:name w:val="font6"/>
    <w:basedOn w:val="753"/>
    <w:uiPriority w:val="0"/>
    <w:qFormat/>
    <w:pPr>
      <w:jc w:val="left"/>
      <w:spacing w:before="100" w:beforeAutospacing="1" w:after="100" w:afterAutospacing="1"/>
      <w:widowControl/>
    </w:pPr>
    <w:rPr>
      <w:rFonts w:hint="eastAsia" w:ascii="宋体" w:hAnsi="宋体"/>
      <w:sz w:val="28"/>
      <w:szCs w:val="28"/>
      <w:u w:val="single"/>
    </w:rPr>
  </w:style>
  <w:style w:type="paragraph" w:styleId="853"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4"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55" w:customStyle="1">
    <w:name w:val="标题3"/>
    <w:basedOn w:val="753"/>
    <w:next w:val="753"/>
    <w:uiPriority w:val="0"/>
    <w:qFormat/>
    <w:pPr>
      <w:ind w:firstLine="624"/>
      <w:spacing w:line="590" w:lineRule="atLeast"/>
    </w:pPr>
    <w:rPr>
      <w:rFonts w:ascii="方正黑体_GBK" w:hAnsi="Times New Roman" w:eastAsia="方正黑体_GBK"/>
      <w:sz w:val="32"/>
      <w:szCs w:val="32"/>
    </w:rPr>
  </w:style>
  <w:style w:type="paragraph" w:styleId="856" w:customStyle="1">
    <w:name w:val="xl24"/>
    <w:basedOn w:val="7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57" w:customStyle="1">
    <w:name w:val="xl29"/>
    <w:basedOn w:val="75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58" w:customStyle="1">
    <w:name w:val="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859" w:customStyle="1">
    <w:name w:val="xl28"/>
    <w:basedOn w:val="75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60" w:customStyle="1">
    <w:name w:val="Char Char Char Char Char Char Char Char1"/>
    <w:basedOn w:val="753"/>
    <w:uiPriority w:val="0"/>
    <w:qFormat/>
    <w:pPr>
      <w:jc w:val="left"/>
      <w:spacing w:after="160" w:line="240" w:lineRule="exact"/>
      <w:widowControl/>
    </w:pPr>
    <w:rPr>
      <w:rFonts w:ascii="Verdana" w:hAnsi="Verdana"/>
      <w:sz w:val="20"/>
      <w:szCs w:val="20"/>
      <w:lang w:eastAsia="en-US"/>
    </w:rPr>
  </w:style>
  <w:style w:type="paragraph" w:styleId="861" w:customStyle="1">
    <w:name w:val="xl30"/>
    <w:basedOn w:val="753"/>
    <w:uiPriority w:val="0"/>
    <w:qFormat/>
    <w:pPr>
      <w:jc w:val="center"/>
      <w:spacing w:before="100" w:beforeAutospacing="1" w:after="100" w:afterAutospacing="1"/>
      <w:widowControl/>
    </w:pPr>
    <w:rPr>
      <w:rFonts w:ascii="宋体" w:hAnsi="宋体"/>
      <w:b/>
      <w:bCs/>
      <w:sz w:val="36"/>
      <w:szCs w:val="36"/>
    </w:rPr>
  </w:style>
  <w:style w:type="paragraph" w:styleId="862" w:customStyle="1">
    <w:name w:val="Char Char Char Char1"/>
    <w:basedOn w:val="768"/>
    <w:uiPriority w:val="0"/>
    <w:qFormat/>
    <w:pPr>
      <w:spacing w:line="360" w:lineRule="auto"/>
    </w:pPr>
    <w:rPr>
      <w:rFonts w:ascii="Tahoma" w:hAnsi="Tahoma"/>
      <w:sz w:val="24"/>
      <w:szCs w:val="24"/>
    </w:rPr>
  </w:style>
  <w:style w:type="paragraph" w:styleId="863" w:customStyle="1">
    <w:name w:val="table_1stline"/>
    <w:basedOn w:val="753"/>
    <w:uiPriority w:val="0"/>
    <w:qFormat/>
    <w:pPr>
      <w:jc w:val="left"/>
      <w:spacing w:before="120"/>
      <w:widowControl/>
    </w:pPr>
    <w:rPr>
      <w:rFonts w:ascii="Times New Roman" w:hAnsi="Times New Roman"/>
      <w:bCs/>
      <w:sz w:val="20"/>
      <w:szCs w:val="20"/>
      <w:lang w:val="de-DE" w:eastAsia="de-DE"/>
    </w:rPr>
  </w:style>
  <w:style w:type="paragraph" w:styleId="864" w:customStyle="1">
    <w:name w:val="font5"/>
    <w:basedOn w:val="753"/>
    <w:uiPriority w:val="0"/>
    <w:qFormat/>
    <w:pPr>
      <w:jc w:val="left"/>
      <w:spacing w:before="100" w:beforeAutospacing="1" w:after="100" w:afterAutospacing="1"/>
      <w:widowControl/>
    </w:pPr>
    <w:rPr>
      <w:rFonts w:hint="eastAsia" w:ascii="宋体" w:hAnsi="宋体"/>
      <w:sz w:val="28"/>
      <w:szCs w:val="28"/>
    </w:rPr>
  </w:style>
  <w:style w:type="paragraph" w:styleId="865" w:customStyle="1">
    <w:name w:val="标题1"/>
    <w:basedOn w:val="753"/>
    <w:next w:val="75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66" w:customStyle="1">
    <w:name w:val="_Style 111"/>
    <w:uiPriority w:val="99"/>
    <w:semiHidden/>
    <w:qFormat/>
    <w:rPr>
      <w:rFonts w:ascii="Times New Roman" w:hAnsi="Times New Roman" w:eastAsia="宋体" w:cs="Times New Roman"/>
      <w:sz w:val="21"/>
      <w:szCs w:val="21"/>
      <w:lang w:val="en-US" w:eastAsia="zh-CN" w:bidi="ar-SA"/>
    </w:rPr>
  </w:style>
  <w:style w:type="paragraph" w:styleId="86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68" w:customStyle="1">
    <w:name w:val="目录 82"/>
    <w:next w:val="753"/>
    <w:uiPriority w:val="0"/>
    <w:qFormat/>
    <w:pPr>
      <w:ind w:left="2550"/>
      <w:jc w:val="both"/>
    </w:pPr>
    <w:rPr>
      <w:rFonts w:ascii="Calibri" w:hAnsi="Calibri" w:eastAsia="宋体" w:cs="Times New Roman"/>
      <w:sz w:val="21"/>
      <w:lang w:val="en-US" w:eastAsia="zh-CN" w:bidi="ar-SA"/>
    </w:rPr>
  </w:style>
  <w:style w:type="paragraph" w:styleId="869" w:customStyle="1">
    <w:name w:val="段"/>
    <w:next w:val="75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70" w:customStyle="1">
    <w:name w:val="修订1"/>
    <w:hidden/>
    <w:uiPriority w:val="99"/>
    <w:unhideWhenUsed/>
    <w:qFormat/>
    <w:rPr>
      <w:rFonts w:ascii="Calibri" w:hAnsi="Calibri" w:eastAsia="宋体" w:cs="Times New Roman"/>
      <w:sz w:val="21"/>
      <w:szCs w:val="22"/>
      <w:lang w:val="en-US" w:eastAsia="zh-CN" w:bidi="ar-SA"/>
    </w:rPr>
  </w:style>
  <w:style w:type="paragraph" w:styleId="871" w:customStyle="1">
    <w:name w:val="DAS正文"/>
    <w:basedOn w:val="753"/>
    <w:uiPriority w:val="0"/>
    <w:qFormat/>
    <w:pPr>
      <w:ind w:right="181" w:firstLine="480"/>
      <w:spacing w:line="360" w:lineRule="auto"/>
    </w:pPr>
    <w:rPr>
      <w:rFonts w:ascii="Verdana" w:hAnsi="Verdana"/>
      <w:szCs w:val="24"/>
    </w:rPr>
  </w:style>
  <w:style w:type="table" w:styleId="872" w:customStyle="1">
    <w:name w:val="Table Normal"/>
    <w:uiPriority w:val="0"/>
    <w:semiHidden/>
    <w:unhideWhenUsed/>
    <w:qFormat/>
    <w:tblPr>
      <w:tblCellMar>
        <w:left w:w="0" w:type="dxa"/>
        <w:top w:w="0" w:type="dxa"/>
        <w:right w:w="0" w:type="dxa"/>
        <w:bottom w:w="0" w:type="dxa"/>
      </w:tblCellMar>
    </w:tblPr>
  </w:style>
  <w:style w:type="paragraph" w:styleId="873" w:customStyle="1">
    <w:name w:val="修订2"/>
    <w:hidden/>
    <w:uiPriority w:val="99"/>
    <w:unhideWhenUsed/>
    <w:qFormat/>
    <w:rPr>
      <w:rFonts w:ascii="Calibri" w:hAnsi="Calibri" w:eastAsia="宋体" w:cs="Times New Roman"/>
      <w:sz w:val="21"/>
      <w:szCs w:val="22"/>
      <w:lang w:val="en-US" w:eastAsia="zh-CN" w:bidi="ar-SA"/>
    </w:rPr>
  </w:style>
  <w:style w:type="paragraph" w:styleId="874" w:customStyle="1">
    <w:name w:val="修订3"/>
    <w:hidden/>
    <w:uiPriority w:val="99"/>
    <w:unhideWhenUsed/>
    <w:qFormat/>
    <w:rPr>
      <w:rFonts w:ascii="Calibri" w:hAnsi="Calibri" w:eastAsia="宋体" w:cs="Times New Roman"/>
      <w:sz w:val="21"/>
      <w:szCs w:val="22"/>
      <w:lang w:val="en-US" w:eastAsia="zh-CN" w:bidi="ar-SA"/>
    </w:rPr>
  </w:style>
  <w:style w:type="paragraph" w:styleId="875" w:customStyle="1">
    <w:name w:val="纯文本11"/>
    <w:basedOn w:val="753"/>
    <w:uiPriority w:val="0"/>
    <w:qFormat/>
    <w:rPr>
      <w:rFonts w:ascii="宋体" w:hAnsi="Courier New" w:eastAsia="楷体_GB2312"/>
      <w:sz w:val="26"/>
      <w:szCs w:val="24"/>
    </w:rPr>
  </w:style>
  <w:style w:type="character" w:styleId="876" w:customStyle="1">
    <w:name w:val="NormalCharacter"/>
    <w:uiPriority w:val="0"/>
    <w:qFormat/>
  </w:style>
  <w:style w:type="numbering" w:styleId="67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周春柳</cp:lastModifiedBy>
  <cp:revision>87</cp:revision>
  <dcterms:created xsi:type="dcterms:W3CDTF">2024-10-10T07:27:00Z</dcterms:created>
  <dcterms:modified xsi:type="dcterms:W3CDTF">2026-08-21T08:23:57Z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FF549A70C12D423F96BDC7A6AE589379_13</vt:lpwstr>
  </property>
  <property fmtid="{D5CDD505-2E9C-101B-9397-08002B2CF9AE}" pid="4" name="KSOTemplateDocerSaveRecord">
    <vt:lpwstr>eyJoZGlkIjoiNTM2NWY3NTI2NWEwZGFhYmVjNDM4YWU5MjJiOGY2YjYiLCJ1c2VySWQiOiIzNTg2MTcxNDAifQ==</vt:lpwstr>
  </property>
  <property fmtid="{D5CDD505-2E9C-101B-9397-08002B2CF9AE}" pid="5" name="KSOSaveFontToCloudKey">
    <vt:lpwstr>398582842_cloud</vt:lpwstr>
  </property>
</Properties>
</file>