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16938516"/>
      <w:r/>
      <w:bookmarkStart w:id="1" w:name="_Toc20823272"/>
      <w:r/>
      <w:bookmarkStart w:id="2" w:name="_Toc523127445"/>
      <w:r/>
      <w:bookmarkStart w:id="3" w:name="_Toc479757206"/>
      <w:r/>
      <w:bookmarkStart w:id="4" w:name="_Toc513029200"/>
      <w:r/>
      <w:bookmarkStart w:id="5" w:name="_Toc120614210"/>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36"/>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836"/>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836"/>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5" w:hanging="1446"/>
        <w:jc w:val="left"/>
        <w:spacing w:after="240"/>
        <w:rPr>
          <w:rFonts w:ascii="楷体" w:hAnsi="楷体" w:eastAsia="楷体"/>
          <w:b/>
          <w:bCs/>
          <w:color w:val="000000"/>
          <w:sz w:val="36"/>
          <w:u w:val="single"/>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rPr>
        <w:t xml:space="preserve"> </w:t>
      </w:r>
      <w:r>
        <w:rPr>
          <w:rFonts w:hint="eastAsia" w:ascii="楷体" w:hAnsi="楷体" w:eastAsia="楷体"/>
          <w:b/>
          <w:bCs/>
          <w:color w:val="000000"/>
          <w:sz w:val="36"/>
          <w:u w:val="single"/>
          <w:lang w:val="en-US" w:eastAsia="zh-CN"/>
        </w:rPr>
        <w:t xml:space="preserve">兴化市人民体育场草坪采购项目</w:t>
      </w:r>
      <w:r>
        <w:rPr>
          <w:rFonts w:hint="eastAsia" w:ascii="楷体" w:hAnsi="楷体" w:eastAsia="楷体"/>
          <w:b/>
          <w:bCs/>
          <w:color w:val="000000"/>
          <w:sz w:val="36"/>
          <w:u w:val="single"/>
        </w:rPr>
        <w:t xml:space="preserve">   </w:t>
      </w:r>
      <w:r>
        <w:rPr>
          <w:rFonts w:hint="eastAsia" w:ascii="楷体" w:hAnsi="楷体" w:eastAsia="楷体"/>
          <w:b/>
          <w:bCs/>
          <w:color w:val="000000"/>
          <w:sz w:val="36"/>
          <w:u w:val="single"/>
          <w:lang w:val="en-US" w:eastAsia="zh-CN"/>
        </w:rPr>
        <w:t xml:space="preserve"> </w:t>
      </w:r>
      <w:r>
        <w:rPr>
          <w:rFonts w:hint="eastAsia" w:ascii="楷体" w:hAnsi="楷体" w:eastAsia="楷体"/>
          <w:b/>
          <w:bCs/>
          <w:color w:val="000000"/>
          <w:sz w:val="36"/>
          <w:u w:val="single"/>
        </w:rPr>
        <w:t xml:space="preserve">  </w:t>
      </w:r>
      <w:r/>
    </w:p>
    <w:p>
      <w:pPr>
        <w:ind w:left="420" w:firstLine="361"/>
        <w:jc w:val="left"/>
        <w:spacing w:after="240"/>
        <w:rPr>
          <w:rFonts w:ascii="楷体" w:hAnsi="楷体" w:eastAsia="楷体"/>
          <w:b/>
          <w:bCs/>
          <w:sz w:val="36"/>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rPr>
        <w:t xml:space="preserve"> JSZC-321281-XHHF-G2026-0001</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left="420" w:firstLine="361"/>
        <w:spacing w:after="240"/>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兴化市人民体育场</w:t>
      </w:r>
      <w:r>
        <w:rPr>
          <w:rFonts w:hint="eastAsia" w:ascii="楷体" w:hAnsi="楷体" w:eastAsia="楷体"/>
          <w:b/>
          <w:bCs/>
          <w:color w:val="000000"/>
          <w:sz w:val="36"/>
          <w:u w:val="single"/>
        </w:rPr>
        <w:t xml:space="preserve">        </w:t>
      </w:r>
      <w:r>
        <w:rPr>
          <w:rFonts w:hint="eastAsia" w:ascii="楷体" w:hAnsi="楷体" w:eastAsia="楷体"/>
          <w:b/>
          <w:bCs/>
          <w:sz w:val="36"/>
          <w:u w:val="single"/>
        </w:rPr>
        <w:t xml:space="preserve">     </w:t>
      </w:r>
      <w:r/>
    </w:p>
    <w:p>
      <w:pPr>
        <w:jc w:val="center"/>
        <w:spacing w:after="240"/>
        <w:rPr>
          <w:rFonts w:ascii="楷体" w:hAnsi="楷体" w:eastAsia="楷体"/>
          <w:b/>
          <w:bCs/>
          <w:color w:val="ff0000"/>
          <w:sz w:val="36"/>
        </w:rPr>
      </w:pPr>
      <w:r>
        <w:rPr>
          <w:rFonts w:ascii="楷体" w:hAnsi="楷体" w:eastAsia="楷体"/>
          <w:b/>
          <w:bCs/>
          <w:color w:val="ff0000"/>
          <w:sz w:val="36"/>
        </w:rPr>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pStyle w:val="836"/>
      </w:pPr>
      <w:r/>
      <w:r/>
    </w:p>
    <w:p>
      <w:pPr>
        <w:pStyle w:val="835"/>
        <w:jc w:val="center"/>
        <w:spacing w:line="316" w:lineRule="auto"/>
        <w:tabs>
          <w:tab w:val="left" w:pos="7182" w:leader="none"/>
        </w:tabs>
        <w:rPr>
          <w:rFonts w:hint="eastAsia" w:ascii="黑体" w:hAnsi="Century Schoolbook" w:eastAsia="黑体"/>
          <w:color w:val="000000"/>
          <w:sz w:val="36"/>
          <w:szCs w:val="20"/>
          <w:lang w:eastAsia="zh-CN"/>
        </w:rPr>
      </w:pPr>
      <w:r>
        <w:rPr>
          <w:rFonts w:hint="eastAsia" w:ascii="黑体" w:hAnsi="Century Schoolbook" w:eastAsia="黑体"/>
          <w:color w:val="000000"/>
          <w:sz w:val="36"/>
          <w:szCs w:val="20"/>
          <w:lang w:eastAsia="zh-CN"/>
        </w:rPr>
        <w:t xml:space="preserve">江苏恒霏项目管理有限公司</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w:t>
      </w:r>
      <w:r>
        <w:rPr>
          <w:rFonts w:hint="eastAsia" w:ascii="黑体" w:hAnsi="Century Schoolbook" w:eastAsia="黑体"/>
          <w:color w:val="000000"/>
          <w:sz w:val="36"/>
          <w:szCs w:val="20"/>
          <w:lang w:val="en-US" w:eastAsia="zh-CN"/>
        </w:rPr>
        <w:t xml:space="preserve">六</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九</w:t>
      </w:r>
      <w:r>
        <w:rPr>
          <w:rFonts w:hint="eastAsia" w:ascii="黑体" w:hAnsi="Century Schoolbook" w:eastAsia="黑体"/>
          <w:color w:val="000000"/>
          <w:sz w:val="36"/>
          <w:szCs w:val="20"/>
        </w:rPr>
        <w:t xml:space="preserve">月</w:t>
      </w:r>
      <w:r/>
    </w:p>
    <w:p>
      <w:pPr>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r/>
    </w:p>
    <w:p>
      <w:pPr>
        <w:jc w:val="center"/>
        <w:spacing w:line="480" w:lineRule="auto"/>
        <w:rPr>
          <w:rFonts w:ascii="Times New Roman" w:hAnsi="Times New Roman"/>
          <w:color w:val="000000"/>
          <w:szCs w:val="21"/>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35"/>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35"/>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4pt;height:141.1pt;mso-wrap-distance-left:0.0pt;mso-wrap-distance-top:0.0pt;mso-wrap-distance-right:0.0pt;mso-wrap-distance-bottom:0.0pt;" stroked="false">
                <v:path textboxrect="0,0,0,0"/>
                <v:imagedata r:id="rId17" o:title=""/>
              </v:shape>
            </w:pict>
          </mc:Fallback>
        </mc:AlternateContent>
      </w:r>
      <w:r/>
    </w:p>
    <w:p>
      <w:pPr>
        <w:pStyle w:val="835"/>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41"/>
          <w:rFonts w:hint="eastAsia" w:ascii="仿宋" w:hAnsi="仿宋" w:eastAsia="仿宋" w:cs="仿宋"/>
          <w:color w:val="auto"/>
          <w:spacing w:val="1"/>
          <w:sz w:val="28"/>
          <w:szCs w:val="28"/>
        </w:rPr>
        <w:t xml:space="preserve">http://www.ccgp-jiangsu.gov.cn/jiangsu/paying.html</w:t>
      </w:r>
      <w:r>
        <w:rPr>
          <w:rStyle w:val="841"/>
          <w:rFonts w:hint="eastAsia" w:ascii="仿宋" w:hAnsi="仿宋" w:eastAsia="仿宋" w:cs="仿宋"/>
          <w:color w:val="auto"/>
          <w:spacing w:val="1"/>
          <w:sz w:val="28"/>
          <w:szCs w:val="28"/>
        </w:rPr>
        <w:fldChar w:fldCharType="end"/>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41"/>
          <w:rFonts w:hint="eastAsia" w:ascii="仿宋" w:hAnsi="仿宋" w:eastAsia="仿宋" w:cs="仿宋"/>
          <w:color w:val="auto"/>
          <w:spacing w:val="1"/>
          <w:sz w:val="28"/>
          <w:szCs w:val="28"/>
        </w:rPr>
        <w:t xml:space="preserve">https://www.crcrfsp.com/</w:t>
      </w:r>
      <w:r>
        <w:rPr>
          <w:rStyle w:val="841"/>
          <w:rFonts w:hint="eastAsia" w:ascii="仿宋" w:hAnsi="仿宋" w:eastAsia="仿宋" w:cs="仿宋"/>
          <w:color w:val="auto"/>
          <w:spacing w:val="1"/>
          <w:sz w:val="28"/>
          <w:szCs w:val="28"/>
        </w:rPr>
        <w:fldChar w:fldCharType="end"/>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1.业务流程：</w:t>
      </w:r>
      <w:r>
        <w:rPr>
          <w:rFonts w:hint="eastAsia" w:ascii="仿宋_GB2312" w:hAnsi="仿宋_GB2312" w:eastAsia="仿宋_GB2312" w:cs="仿宋_GB2312"/>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2.苏采云资料：</w:t>
      </w:r>
      <w:r>
        <w:rPr>
          <w:rFonts w:hint="eastAsia" w:ascii="仿宋_GB2312" w:hAnsi="仿宋_GB2312" w:eastAsia="仿宋_GB2312" w:cs="仿宋_GB2312"/>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842"/>
          <w:rFonts w:hint="eastAsia" w:ascii="仿宋_GB2312" w:hAnsi="仿宋_GB2312" w:eastAsia="仿宋_GB2312" w:cs="仿宋_GB2312"/>
          <w:sz w:val="28"/>
          <w:szCs w:val="28"/>
          <w:shd w:val="clear" w:color="auto" w:fill="ffffff"/>
        </w:rPr>
        <w:t xml:space="preserve">苏采云系统操作手册（供应商）</w:t>
      </w:r>
      <w:r>
        <w:rPr>
          <w:rStyle w:val="842"/>
          <w:rFonts w:hint="eastAsia" w:ascii="仿宋_GB2312" w:hAnsi="仿宋_GB2312" w:eastAsia="仿宋_GB2312" w:cs="仿宋_GB2312"/>
          <w:sz w:val="28"/>
          <w:szCs w:val="28"/>
          <w:shd w:val="clear" w:color="auto" w:fill="ffffff"/>
        </w:rPr>
        <w:fldChar w:fldCharType="end"/>
      </w:r>
      <w:r>
        <w:rPr>
          <w:rFonts w:hint="eastAsia" w:ascii="仿宋_GB2312" w:hAnsi="仿宋_GB2312" w:eastAsia="仿宋_GB2312" w:cs="仿宋_GB2312"/>
          <w:sz w:val="28"/>
          <w:szCs w:val="28"/>
          <w:shd w:val="clear" w:color="auto" w:fill="ffffff"/>
          <w:lang w:bidi="ar"/>
        </w:rPr>
        <w:t xml:space="preserve">”，进行下载。</w:t>
      </w:r>
      <w:r/>
    </w:p>
    <w:p>
      <w:pPr>
        <w:ind w:left="503"/>
        <w:jc w:val="left"/>
        <w:spacing w:line="430" w:lineRule="exact"/>
        <w:rPr>
          <w:rFonts w:ascii="仿宋_GB2312" w:hAnsi="仿宋_GB2312" w:eastAsia="仿宋_GB2312" w:cs="仿宋_GB2312"/>
          <w:sz w:val="28"/>
          <w:szCs w:val="28"/>
          <w:shd w:val="clear" w:color="auto" w:fill="ffffff"/>
          <w:lang w:bidi="ar"/>
        </w:rPr>
      </w:pPr>
      <w:r>
        <w:fldChar w:fldCharType="begin"/>
      </w:r>
      <w:r>
        <w:instrText xml:space="preserve"> HYPERLINK "http://www.ccgp-jiangsu.gov.cn/jiangsu/zlxz/ee/ee3a4bc5a3454aa2b0d9312230633ce9.html" </w:instrText>
      </w:r>
      <w:r>
        <w:fldChar w:fldCharType="separate"/>
      </w:r>
      <w:r>
        <w:rPr>
          <w:rStyle w:val="842"/>
          <w:rFonts w:hint="eastAsia" w:ascii="仿宋_GB2312" w:hAnsi="仿宋_GB2312" w:eastAsia="仿宋_GB2312" w:cs="仿宋_GB2312"/>
          <w:sz w:val="28"/>
          <w:szCs w:val="28"/>
          <w:shd w:val="clear" w:color="auto" w:fill="ffffff"/>
          <w:lang w:bidi="ar"/>
        </w:rPr>
        <w:t xml:space="preserve">http://www.ccgp-jiangsu.gov.cn/jiangsu/zlxz/ee/ee3a4bc5a3454aa2b0d9312230633ce9.html</w:t>
      </w:r>
      <w:r>
        <w:rPr>
          <w:rStyle w:val="842"/>
          <w:rFonts w:hint="eastAsia" w:ascii="仿宋_GB2312" w:hAnsi="仿宋_GB2312" w:eastAsia="仿宋_GB2312" w:cs="仿宋_GB2312"/>
          <w:sz w:val="28"/>
          <w:szCs w:val="28"/>
          <w:shd w:val="clear" w:color="auto" w:fill="ffffff"/>
          <w:lang w:bidi="ar"/>
        </w:rPr>
        <w:fldChar w:fldCharType="end"/>
      </w:r>
      <w:r/>
    </w:p>
    <w:p>
      <w:pPr>
        <w:ind w:left="503"/>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sz w:val="28"/>
          <w:szCs w:val="28"/>
          <w:shd w:val="clear" w:color="auto" w:fill="ffffff"/>
          <w:lang w:bidi="ar"/>
        </w:rPr>
        <w:t xml:space="preserve">技术服务联系电话：详见招标文件第一章</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三、供应商相关法律责任提醒</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四、政府采购政策 </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4.1中小企业、监狱企业及残疾人福利性单位</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4.1.1中小企业定义：</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4.1.1.1中小企业是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4.1.1.2投标人提供的货物、工程或者服务符合下列情形的，享受中小企业扶持政策：</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4.1.1.3在货物采购项目中，投标人提供的货物既有中小企业制造货物，也有大型企业制造货物的，不享受中小企业扶持政策。</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4.1.1.4以联合体形式参加政府采购活动，联合体各方均为中小企业的，联合体视同中小企业。其中，联合体各方均为小微企业的，联合体视同小微企业。</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4.1.3残疾人福利单位定义：享受政府采购支持政策的残疾人福利性单位应当同时满足以下条件：</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4.1.4小微企业价格评审优惠的政策调整：见《评标方法与评标标准》（如涉及）。</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4.2 政府采购节能产品、环境标志产品</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4.2.4非政府强制采购的节能产品或环境标志产品，依据品目清单和认证证书实施政府优先采购。优先采购的具体规定见第五章《评标方法与评标标准》（如涉及）。</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4.3 商品包装、快递包装</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4.4 绿色数据中心</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4.5.1采购人采购数据中心相关设备、运维服务，应当有利于节约能源、环境保护和资源循环利用，按照《需求标准》实施相关采购活动。</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4.5.5对于供应商未按合同约定提供设备或服务的，采购人应当依法追究其违约责任。对于供应商提供虚假材料谋取中标、成交的，依法予以处理。</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4.6信息安全产品</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4.6.2未按要求提供相关材料的，不享受相关政策。</w:t>
      </w:r>
      <w:r/>
    </w:p>
    <w:p>
      <w:pPr>
        <w:pStyle w:val="835"/>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4.7 电子履约保函(保险)</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35"/>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836"/>
      </w:pPr>
      <w:r/>
      <w:r/>
    </w:p>
    <w:p>
      <w:pPr>
        <w:pStyle w:val="836"/>
      </w:pPr>
      <w:r/>
      <w:r/>
    </w:p>
    <w:p>
      <w:pPr>
        <w:jc w:val="center"/>
        <w:rPr>
          <w:rFonts w:hint="eastAsia" w:ascii="方正小标宋_GBK" w:hAnsi="方正小标宋_GBK" w:eastAsia="方正小标宋_GBK" w:cs="方正小标宋_GBK"/>
          <w:spacing w:val="20"/>
          <w:sz w:val="40"/>
          <w:szCs w:val="44"/>
          <w:highlight w:val="none"/>
          <w:lang w:val="en-US" w:eastAsia="zh-CN"/>
        </w:rPr>
      </w:pPr>
      <w:r>
        <w:rPr>
          <w:rFonts w:hint="eastAsia" w:ascii="方正小标宋_GBK" w:hAnsi="方正小标宋_GBK" w:eastAsia="方正小标宋_GBK" w:cs="方正小标宋_GBK"/>
          <w:spacing w:val="20"/>
          <w:sz w:val="40"/>
          <w:szCs w:val="44"/>
          <w:highlight w:val="none"/>
          <w:lang w:val="en-US" w:eastAsia="zh-CN"/>
        </w:rPr>
        <w:t xml:space="preserve">反诈提醒</w:t>
      </w:r>
      <w:r/>
    </w:p>
    <w:p>
      <w:pPr>
        <w:jc w:val="center"/>
        <w:spacing w:line="400" w:lineRule="exact"/>
        <w:rPr>
          <w:rFonts w:hint="eastAsia" w:ascii="黑体" w:hAnsi="黑体" w:eastAsia="黑体" w:cs="黑体"/>
          <w:sz w:val="36"/>
          <w:szCs w:val="40"/>
          <w:highlight w:val="none"/>
          <w:lang w:val="en-US" w:eastAsia="zh-CN"/>
        </w:rPr>
      </w:pPr>
      <w:r>
        <w:rPr>
          <w:rFonts w:hint="eastAsia" w:ascii="黑体" w:hAnsi="黑体" w:eastAsia="黑体" w:cs="黑体"/>
          <w:sz w:val="36"/>
          <w:szCs w:val="40"/>
          <w:highlight w:val="none"/>
          <w:lang w:val="en-US" w:eastAsia="zh-CN"/>
        </w:rPr>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近期发现有仿冒江苏省政府采购网、江苏政府采购管理交易系统（“苏采云”平台）等虚假网站，请供应商甄别官方渠道。</w:t>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本中心全程免费、无代办服务，不主动添加微信，谨防诈骗。如遇诈骗，请向公安部门报案。</w:t>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r>
      <w:r/>
    </w:p>
    <w:p>
      <w:pPr>
        <w:ind w:firstLine="596"/>
        <w:keepLines w:val="0"/>
        <w:keepNext w:val="0"/>
        <w:pageBreakBefore w:val="0"/>
        <w:spacing w:before="181" w:after="181"/>
        <w:widowControl w:val="off"/>
        <w:rPr>
          <w:rFonts w:hint="eastAsia" w:ascii="黑体" w:hAnsi="黑体" w:eastAsia="黑体" w:cs="黑体"/>
          <w:spacing w:val="-11"/>
          <w:sz w:val="32"/>
          <w:szCs w:val="36"/>
          <w:highlight w:val="none"/>
        </w:rPr>
      </w:pPr>
      <w:r>
        <w:rPr>
          <w:rFonts w:hint="eastAsia" w:ascii="黑体" w:hAnsi="黑体" w:eastAsia="黑体" w:cs="黑体"/>
          <w:spacing w:val="-11"/>
          <w:sz w:val="32"/>
          <w:szCs w:val="36"/>
          <w:highlight w:val="none"/>
          <w:lang w:val="en-US" w:eastAsia="zh-CN"/>
        </w:rPr>
        <w:t xml:space="preserve">1.江苏省政府采购网网址：</w:t>
      </w:r>
      <w:r>
        <w:rPr>
          <w:rFonts w:hint="eastAsia" w:ascii="黑体" w:hAnsi="黑体" w:eastAsia="黑体" w:cs="黑体"/>
          <w:spacing w:val="-11"/>
          <w:sz w:val="32"/>
          <w:szCs w:val="36"/>
          <w:highlight w:val="none"/>
          <w:lang w:val="en-US" w:eastAsia="zh-CN"/>
        </w:rPr>
        <w:fldChar w:fldCharType="begin"/>
      </w:r>
      <w:r>
        <w:rPr>
          <w:rFonts w:hint="eastAsia" w:ascii="黑体" w:hAnsi="黑体" w:eastAsia="黑体" w:cs="黑体"/>
          <w:spacing w:val="-11"/>
          <w:sz w:val="32"/>
          <w:szCs w:val="36"/>
          <w:highlight w:val="none"/>
          <w:lang w:val="en-US" w:eastAsia="zh-CN"/>
        </w:rPr>
        <w:instrText xml:space="preserve"> HYPERLINK "http://www.ccgp-jiangsu.gov.cn/" \t "http://jszfcg.jsczt.cn/jszc/_blank" </w:instrText>
      </w:r>
      <w:r>
        <w:rPr>
          <w:rFonts w:hint="eastAsia" w:ascii="黑体" w:hAnsi="黑体" w:eastAsia="黑体" w:cs="黑体"/>
          <w:spacing w:val="-11"/>
          <w:sz w:val="32"/>
          <w:szCs w:val="36"/>
          <w:highlight w:val="none"/>
          <w:lang w:val="en-US" w:eastAsia="zh-CN"/>
        </w:rPr>
        <w:fldChar w:fldCharType="separate"/>
      </w:r>
      <w:r>
        <w:rPr>
          <w:rFonts w:hint="eastAsia" w:ascii="黑体" w:hAnsi="黑体" w:eastAsia="黑体" w:cs="黑体"/>
          <w:spacing w:val="-11"/>
          <w:sz w:val="32"/>
          <w:szCs w:val="36"/>
          <w:highlight w:val="none"/>
        </w:rPr>
        <w:t xml:space="preserve">http://www.ccgp-jiangsu.gov.cn</w:t>
      </w:r>
      <w:r>
        <w:rPr>
          <w:rFonts w:hint="eastAsia" w:ascii="黑体" w:hAnsi="黑体" w:eastAsia="黑体" w:cs="黑体"/>
          <w:spacing w:val="-11"/>
          <w:sz w:val="32"/>
          <w:szCs w:val="36"/>
          <w:highlight w:val="none"/>
          <w:lang w:val="en-US" w:eastAsia="zh-CN"/>
        </w:rPr>
        <w:fldChar w:fldCharType="end"/>
      </w:r>
      <w:r/>
    </w:p>
    <w:p>
      <w:pPr>
        <w:ind w:firstLine="640"/>
        <w:keepLines w:val="0"/>
        <w:keepNext w:val="0"/>
        <w:pageBreakBefore w:val="0"/>
        <w:spacing w:before="181" w:after="181"/>
        <w:widowControl w:val="off"/>
        <w:rPr>
          <w:rFonts w:hint="eastAsia" w:ascii="黑体" w:hAnsi="黑体" w:eastAsia="黑体" w:cs="黑体"/>
          <w:sz w:val="32"/>
          <w:szCs w:val="36"/>
          <w:highlight w:val="none"/>
        </w:rPr>
      </w:pPr>
      <w:r>
        <w:rPr>
          <w:rFonts w:hint="eastAsia" w:ascii="黑体" w:hAnsi="黑体" w:eastAsia="黑体" w:cs="黑体"/>
          <w:sz w:val="32"/>
          <w:szCs w:val="36"/>
          <w:highlight w:val="none"/>
          <w:lang w:val="en-US" w:eastAsia="zh-CN"/>
        </w:rPr>
        <w:t xml:space="preserve">2.“苏采云” 平台网址：</w:t>
      </w:r>
      <w:r>
        <w:rPr>
          <w:rFonts w:hint="eastAsia" w:ascii="黑体" w:hAnsi="黑体" w:eastAsia="黑体" w:cs="黑体"/>
          <w:sz w:val="32"/>
          <w:szCs w:val="36"/>
          <w:highlight w:val="none"/>
          <w:lang w:val="en-US" w:eastAsia="zh-CN"/>
        </w:rPr>
        <w:fldChar w:fldCharType="begin"/>
      </w:r>
      <w:r>
        <w:rPr>
          <w:rFonts w:hint="eastAsia" w:ascii="黑体" w:hAnsi="黑体" w:eastAsia="黑体" w:cs="黑体"/>
          <w:sz w:val="32"/>
          <w:szCs w:val="36"/>
          <w:highlight w:val="none"/>
          <w:lang w:val="en-US" w:eastAsia="zh-CN"/>
        </w:rPr>
        <w:instrText xml:space="preserve"> HYPERLINK "http://jszfcg.jsczt.cn/" \t "http://jszfcg.jsczt.cn/jszc/_blank" </w:instrText>
      </w:r>
      <w:r>
        <w:rPr>
          <w:rFonts w:hint="eastAsia" w:ascii="黑体" w:hAnsi="黑体" w:eastAsia="黑体" w:cs="黑体"/>
          <w:sz w:val="32"/>
          <w:szCs w:val="36"/>
          <w:highlight w:val="none"/>
          <w:lang w:val="en-US" w:eastAsia="zh-CN"/>
        </w:rPr>
        <w:fldChar w:fldCharType="separate"/>
      </w:r>
      <w:r>
        <w:rPr>
          <w:rFonts w:hint="eastAsia" w:ascii="黑体" w:hAnsi="黑体" w:eastAsia="黑体" w:cs="黑体"/>
          <w:sz w:val="32"/>
          <w:szCs w:val="36"/>
          <w:highlight w:val="none"/>
        </w:rPr>
        <w:t xml:space="preserve">http://jszfcg.jsczt.cn</w:t>
      </w:r>
      <w:r>
        <w:rPr>
          <w:rFonts w:hint="eastAsia" w:ascii="黑体" w:hAnsi="黑体" w:eastAsia="黑体" w:cs="黑体"/>
          <w:sz w:val="32"/>
          <w:szCs w:val="36"/>
          <w:highlight w:val="none"/>
          <w:lang w:val="en-US" w:eastAsia="zh-CN"/>
        </w:rPr>
        <w:fldChar w:fldCharType="end"/>
      </w:r>
      <w:r/>
    </w:p>
    <w:p>
      <w:pPr>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
    </w:p>
    <w:p>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36"/>
      </w:p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w:t>
      </w:r>
      <w:r>
        <w:rPr>
          <w:rFonts w:hint="eastAsia" w:ascii="黑体" w:hAnsi="黑体" w:eastAsia="黑体" w:cs="黑体"/>
          <w:bCs/>
          <w:sz w:val="36"/>
          <w:szCs w:val="36"/>
        </w:rPr>
        <w:t xml:space="preserve">邀请</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投标人</w:t>
      </w:r>
      <w:r>
        <w:rPr>
          <w:rFonts w:hint="eastAsia" w:ascii="黑体" w:hAnsi="黑体" w:eastAsia="黑体" w:cs="黑体"/>
          <w:bCs/>
          <w:sz w:val="36"/>
          <w:szCs w:val="36"/>
        </w:rPr>
        <w:t xml:space="preserve">须知</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评标方法与评标标准</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投标文件</w:t>
      </w:r>
      <w:r>
        <w:rPr>
          <w:rFonts w:hint="eastAsia" w:ascii="黑体" w:hAnsi="黑体" w:eastAsia="黑体" w:cs="黑体"/>
          <w:bCs/>
          <w:sz w:val="36"/>
          <w:szCs w:val="36"/>
        </w:rPr>
        <w:t xml:space="preserve">格式</w:t>
      </w:r>
      <w:r/>
    </w:p>
    <w:p>
      <w:pPr>
        <w:spacing w:line="480" w:lineRule="auto"/>
        <w:rPr>
          <w:rFonts w:ascii="黑体" w:hAnsi="Showcard Gothic" w:eastAsia="黑体"/>
          <w:color w:val="000000"/>
          <w:sz w:val="36"/>
          <w:szCs w:val="21"/>
        </w:rPr>
        <w:outlineLvl w:val="0"/>
      </w:pPr>
      <w:r>
        <w:rPr>
          <w:rFonts w:ascii="黑体" w:hAnsi="Showcard Gothic" w:eastAsia="黑体"/>
          <w:color w:val="000000"/>
          <w:sz w:val="36"/>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bookmarkEnd w:id="0"/>
      <w:bookmarkEnd w:id="1"/>
      <w:bookmarkEnd w:id="2"/>
      <w:bookmarkEnd w:id="3"/>
      <w:bookmarkEnd w:id="4"/>
      <w:bookmarkEnd w:id="5"/>
      <w:r/>
    </w:p>
    <w:p>
      <w:pPr>
        <w:rPr>
          <w:rFonts w:ascii="Times New Roman" w:hAnsi="Times New Roman"/>
          <w:color w:val="000000"/>
          <w:szCs w:val="21"/>
        </w:rPr>
      </w:pPr>
      <w:r>
        <w:rPr>
          <w:rFonts w:ascii="Times New Roman" w:hAnsi="Times New Roman"/>
          <w:color w:val="000000"/>
          <w:szCs w:val="21"/>
        </w:rPr>
      </w:r>
      <w:r/>
    </w:p>
    <w:p>
      <w:pPr>
        <w:jc w:val="center"/>
        <w:keepNext/>
        <w:pageBreakBefore/>
        <w:rPr>
          <w:rFonts w:ascii="黑体" w:hAnsi="Times New Roman" w:eastAsia="黑体"/>
          <w:color w:val="000000"/>
          <w:sz w:val="40"/>
          <w:szCs w:val="40"/>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20823315"/>
      <w:r/>
      <w:bookmarkStart w:id="8" w:name="_Toc513029243"/>
      <w:r/>
      <w:bookmarkStart w:id="9" w:name="_Toc16938559"/>
      <w:r/>
      <w:r/>
    </w:p>
    <w:p>
      <w:pPr>
        <w:jc w:val="center"/>
        <w:keepNext/>
        <w:pageBreakBefore/>
        <w:rPr>
          <w:rFonts w:ascii="黑体" w:hAnsi="Times New Roman" w:eastAsia="黑体"/>
          <w:color w:val="000000"/>
          <w:sz w:val="40"/>
          <w:szCs w:val="40"/>
        </w:rPr>
        <w:outlineLvl w:val="0"/>
      </w:pPr>
      <w:r>
        <w:rPr>
          <w:rFonts w:hint="eastAsia" w:ascii="黑体" w:hAnsi="Times New Roman" w:eastAsia="黑体"/>
          <w:color w:val="000000"/>
          <w:sz w:val="40"/>
          <w:szCs w:val="40"/>
        </w:rPr>
        <w:t xml:space="preserve">第一章  投标邀请</w:t>
      </w:r>
      <w:r/>
    </w:p>
    <w:p>
      <w:pPr>
        <w:pStyle w:val="836"/>
      </w:pPr>
      <w:r/>
      <w:r/>
    </w:p>
    <w:p>
      <w:pPr>
        <w:ind w:firstLine="560"/>
        <w:spacing w:before="0" w:line="50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lang w:val="en-US" w:eastAsia="zh-CN"/>
        </w:rPr>
        <w:t xml:space="preserve"> 兴化市人民体育场 </w:t>
      </w:r>
      <w:r>
        <w:rPr>
          <w:rFonts w:hint="eastAsia" w:ascii="仿宋_GB2312" w:hAnsi="仿宋_GB2312" w:eastAsia="仿宋_GB2312" w:cs="仿宋_GB2312"/>
          <w:color w:val="000000"/>
          <w:sz w:val="28"/>
          <w:szCs w:val="28"/>
        </w:rPr>
        <w:t xml:space="preserve">的委托，</w:t>
      </w:r>
      <w:r>
        <w:rPr>
          <w:rFonts w:hint="eastAsia" w:ascii="仿宋_GB2312" w:hAnsi="仿宋_GB2312" w:eastAsia="仿宋_GB2312" w:cs="仿宋_GB2312"/>
          <w:color w:val="000000"/>
          <w:sz w:val="28"/>
          <w:szCs w:val="28"/>
          <w:lang w:eastAsia="zh-CN"/>
        </w:rPr>
        <w:t xml:space="preserve">江苏恒霏项目管理有限公司</w:t>
      </w:r>
      <w:r>
        <w:rPr>
          <w:rFonts w:hint="eastAsia" w:ascii="仿宋_GB2312" w:hAnsi="仿宋_GB2312" w:eastAsia="仿宋_GB2312" w:cs="仿宋_GB2312"/>
          <w:color w:val="000000"/>
          <w:sz w:val="28"/>
          <w:szCs w:val="28"/>
        </w:rPr>
        <w:t xml:space="preserve">就</w:t>
      </w:r>
      <w:r>
        <w:rPr>
          <w:rFonts w:hint="eastAsia" w:ascii="仿宋_GB2312" w:hAnsi="仿宋_GB2312" w:eastAsia="仿宋_GB2312" w:cs="仿宋_GB2312"/>
          <w:color w:val="000000"/>
          <w:sz w:val="28"/>
          <w:szCs w:val="28"/>
          <w:u w:val="single"/>
          <w:lang w:val="en-US" w:eastAsia="zh-CN"/>
        </w:rPr>
        <w:t xml:space="preserve"> 兴化市人民体育场草坪采购项目</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color w:val="000000"/>
          <w:sz w:val="28"/>
          <w:szCs w:val="28"/>
          <w:lang w:eastAsia="zh-CN"/>
        </w:rPr>
        <w:t xml:space="preserve">JSZC-321281-XHHF-G2026-0001</w:t>
      </w:r>
      <w:r>
        <w:rPr>
          <w:rFonts w:hint="eastAsia" w:ascii="仿宋_GB2312" w:hAnsi="仿宋_GB2312" w:eastAsia="仿宋_GB2312" w:cs="仿宋_GB2312"/>
          <w:color w:val="000000"/>
          <w:sz w:val="28"/>
          <w:szCs w:val="28"/>
        </w:rPr>
        <w:t xml:space="preserve">)项目进行公开招标采购，欢迎符合条件的供应商投标。 </w:t>
      </w:r>
      <w:r/>
    </w:p>
    <w:p>
      <w:pPr>
        <w:ind w:firstLine="560"/>
        <w:spacing w:before="0" w:line="50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r>
      <w:r/>
    </w:p>
    <w:tbl>
      <w:tblPr>
        <w:tblStyle w:val="8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6"/>
      </w:tblGrid>
      <w:tr>
        <w:trPr>
          <w:trHeight w:val="2274"/>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lang w:val="en-US" w:eastAsia="zh-CN"/>
              </w:rPr>
              <w:t xml:space="preserve">兴化市人民体育场草坪采购项目</w:t>
            </w:r>
            <w:r>
              <w:rPr>
                <w:rFonts w:hint="eastAsia" w:ascii="仿宋_GB2312" w:hAnsi="仿宋_GB2312" w:eastAsia="仿宋_GB2312" w:cs="仿宋_GB2312"/>
                <w:color w:val="000000"/>
                <w:sz w:val="28"/>
                <w:szCs w:val="28"/>
              </w:rPr>
              <w:t xml:space="preserve">招标项目的潜在投标人应在</w:t>
            </w:r>
            <w:r>
              <w:rPr>
                <w:rFonts w:hint="eastAsia" w:ascii="仿宋_GB2312" w:hAnsi="仿宋_GB2312" w:eastAsia="仿宋_GB2312" w:cs="仿宋_GB2312"/>
                <w:color w:val="000000"/>
                <w:sz w:val="28"/>
                <w:szCs w:val="28"/>
                <w:u w:val="single"/>
              </w:rPr>
              <w:t xml:space="preserve">“苏采云”政府采购交易系统</w:t>
            </w:r>
            <w:r>
              <w:rPr>
                <w:rFonts w:hint="eastAsia" w:ascii="仿宋_GB2312" w:hAnsi="仿宋_GB2312" w:eastAsia="仿宋_GB2312" w:cs="仿宋_GB2312"/>
                <w:color w:val="000000"/>
                <w:sz w:val="28"/>
                <w:szCs w:val="28"/>
                <w:u w:val="single"/>
                <w:lang w:val="en-US" w:eastAsia="zh-CN"/>
              </w:rPr>
              <w:t xml:space="preserve">(</w:t>
            </w:r>
            <w:r>
              <w:rPr>
                <w:rFonts w:hint="eastAsia" w:ascii="仿宋" w:hAnsi="仿宋" w:eastAsia="仿宋" w:cs="仿宋"/>
                <w:sz w:val="28"/>
                <w:szCs w:val="28"/>
                <w:u w:val="single"/>
              </w:rPr>
              <w:t xml:space="preserve">https://jszfcg.jsczt.cn/jszc/login</w:t>
            </w:r>
            <w:r>
              <w:rPr>
                <w:rFonts w:hint="eastAsia" w:ascii="仿宋" w:hAnsi="仿宋" w:eastAsia="仿宋" w:cs="仿宋"/>
                <w:sz w:val="28"/>
                <w:szCs w:val="28"/>
                <w:u w:val="single"/>
                <w:lang w:val="en-US" w:eastAsia="zh-CN"/>
              </w:rPr>
              <w:t xml:space="preserve">)</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sz w:val="28"/>
                <w:szCs w:val="28"/>
              </w:rPr>
              <w:t xml:space="preserve">于</w:t>
            </w:r>
            <w:r>
              <w:rPr>
                <w:rFonts w:hint="eastAsia" w:ascii="仿宋_GB2312" w:hAnsi="仿宋_GB2312" w:eastAsia="仿宋_GB2312" w:cs="仿宋_GB2312"/>
                <w:b/>
                <w:bCs/>
                <w:sz w:val="28"/>
                <w:szCs w:val="28"/>
                <w:u w:val="single"/>
              </w:rPr>
              <w:t xml:space="preserve">202</w:t>
            </w:r>
            <w:r>
              <w:rPr>
                <w:rFonts w:hint="eastAsia" w:ascii="仿宋_GB2312" w:hAnsi="仿宋_GB2312" w:eastAsia="仿宋_GB2312" w:cs="仿宋_GB2312"/>
                <w:b/>
                <w:bCs/>
                <w:sz w:val="28"/>
                <w:szCs w:val="28"/>
                <w:u w:val="single"/>
                <w:lang w:val="en-US" w:eastAsia="zh-CN"/>
              </w:rPr>
              <w:t xml:space="preserve">6</w:t>
            </w:r>
            <w:r>
              <w:rPr>
                <w:rFonts w:hint="eastAsia" w:ascii="仿宋_GB2312" w:hAnsi="仿宋_GB2312" w:eastAsia="仿宋_GB2312" w:cs="仿宋_GB2312"/>
                <w:b/>
                <w:bCs/>
                <w:sz w:val="28"/>
                <w:szCs w:val="28"/>
                <w:u w:val="single"/>
              </w:rPr>
              <w:t xml:space="preserve">年</w:t>
            </w:r>
            <w:r>
              <w:rPr>
                <w:rFonts w:hint="eastAsia" w:ascii="仿宋_GB2312" w:hAnsi="仿宋_GB2312" w:eastAsia="仿宋_GB2312" w:cs="仿宋_GB2312"/>
                <w:b/>
                <w:bCs/>
                <w:sz w:val="28"/>
                <w:szCs w:val="28"/>
                <w:highlight w:val="none"/>
                <w:u w:val="single"/>
                <w:lang w:val="en-US" w:eastAsia="zh-CN"/>
              </w:rPr>
              <w:t xml:space="preserve">10</w:t>
            </w:r>
            <w:r>
              <w:rPr>
                <w:rFonts w:hint="eastAsia" w:ascii="仿宋_GB2312" w:hAnsi="仿宋_GB2312" w:eastAsia="仿宋_GB2312" w:cs="仿宋_GB2312"/>
                <w:b/>
                <w:bCs/>
                <w:sz w:val="28"/>
                <w:szCs w:val="28"/>
                <w:highlight w:val="none"/>
                <w:u w:val="single"/>
              </w:rPr>
              <w:t xml:space="preserve">月</w:t>
            </w:r>
            <w:r>
              <w:rPr>
                <w:rFonts w:hint="eastAsia" w:ascii="仿宋_GB2312" w:hAnsi="仿宋_GB2312" w:eastAsia="仿宋_GB2312" w:cs="仿宋_GB2312"/>
                <w:b/>
                <w:bCs/>
                <w:sz w:val="28"/>
                <w:szCs w:val="28"/>
                <w:highlight w:val="none"/>
                <w:u w:val="single"/>
                <w:lang w:val="en-US" w:eastAsia="zh-CN"/>
              </w:rPr>
              <w:t xml:space="preserve">19</w:t>
            </w:r>
            <w:r>
              <w:rPr>
                <w:rFonts w:hint="eastAsia" w:ascii="仿宋_GB2312" w:hAnsi="仿宋_GB2312" w:eastAsia="仿宋_GB2312" w:cs="仿宋_GB2312"/>
                <w:b/>
                <w:bCs/>
                <w:sz w:val="28"/>
                <w:szCs w:val="28"/>
                <w:highlight w:val="none"/>
                <w:u w:val="single"/>
              </w:rPr>
              <w:t xml:space="preserve">日 09:30</w:t>
            </w:r>
            <w:r>
              <w:rPr>
                <w:rFonts w:hint="eastAsia" w:ascii="仿宋_GB2312" w:hAnsi="仿宋_GB2312" w:eastAsia="仿宋_GB2312" w:cs="仿宋_GB2312"/>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ind w:firstLine="28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一、项目基本情况</w:t>
      </w:r>
      <w:r/>
    </w:p>
    <w:p>
      <w:pPr>
        <w:ind w:firstLine="561"/>
        <w:pageBreakBefore w:val="0"/>
        <w:spacing w:line="480" w:lineRule="exact"/>
        <w:widowControl w:val="off"/>
        <w:rPr>
          <w:rFonts w:hint="eastAsia" w:ascii="仿宋_GB2312" w:hAnsi="仿宋_GB2312" w:eastAsia="仿宋_GB2312" w:cs="仿宋_GB2312"/>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项目编号：JSZC-321281-XHHF-G2026-0001</w:t>
      </w:r>
      <w:r/>
    </w:p>
    <w:p>
      <w:pPr>
        <w:ind w:firstLine="561"/>
        <w:pageBreakBefore w:val="0"/>
        <w:spacing w:line="480" w:lineRule="exact"/>
        <w:widowControl w:val="off"/>
        <w:rPr>
          <w:rFonts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w:t>
      </w:r>
      <w:r>
        <w:rPr>
          <w:rFonts w:hint="eastAsia" w:ascii="仿宋_GB2312" w:hAnsi="仿宋_GB2312" w:eastAsia="仿宋_GB2312" w:cs="仿宋_GB2312"/>
          <w:color w:val="000000"/>
          <w:sz w:val="28"/>
          <w:szCs w:val="28"/>
        </w:rPr>
        <w:t xml:space="preserve">项目名称：</w:t>
      </w:r>
      <w:r>
        <w:rPr>
          <w:rFonts w:hint="eastAsia" w:ascii="仿宋_GB2312" w:hAnsi="仿宋_GB2312" w:eastAsia="仿宋_GB2312" w:cs="仿宋_GB2312"/>
          <w:color w:val="000000"/>
          <w:sz w:val="28"/>
          <w:szCs w:val="28"/>
          <w:lang w:val="en-US" w:eastAsia="zh-CN"/>
        </w:rPr>
        <w:t xml:space="preserve">兴化市人民体育场草坪采购项目</w:t>
      </w:r>
      <w:r>
        <w:rPr>
          <w:rFonts w:hint="eastAsia" w:ascii="仿宋_GB2312" w:hAnsi="仿宋_GB2312" w:eastAsia="仿宋_GB2312" w:cs="仿宋_GB2312"/>
          <w:color w:val="000000"/>
          <w:spacing w:val="-6"/>
          <w:sz w:val="28"/>
          <w:szCs w:val="28"/>
        </w:rPr>
        <w:t xml:space="preserve"> </w:t>
      </w:r>
      <w:r/>
    </w:p>
    <w:p>
      <w:pPr>
        <w:ind w:firstLine="561"/>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rPr>
        <w:t xml:space="preserve">预算金额</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131</w:t>
      </w:r>
      <w:r>
        <w:rPr>
          <w:rFonts w:hint="eastAsia" w:ascii="仿宋_GB2312" w:hAnsi="仿宋_GB2312" w:eastAsia="仿宋_GB2312" w:cs="仿宋_GB2312"/>
          <w:color w:val="000000"/>
          <w:sz w:val="28"/>
          <w:szCs w:val="28"/>
          <w:highlight w:val="none"/>
        </w:rPr>
        <w:t xml:space="preserve">万元</w:t>
      </w:r>
      <w:r/>
    </w:p>
    <w:p>
      <w:pPr>
        <w:ind w:firstLine="561"/>
        <w:pageBreakBefore w:val="0"/>
        <w:spacing w:line="480" w:lineRule="exact"/>
        <w:widowControl w:val="off"/>
        <w:rPr>
          <w:rFonts w:hint="eastAsia" w:ascii="仿宋_GB2312" w:hAnsi="仿宋_GB2312" w:eastAsia="仿宋_GB2312" w:cs="仿宋_GB2312"/>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最高限价：</w:t>
      </w:r>
      <w:r>
        <w:rPr>
          <w:rFonts w:hint="eastAsia" w:ascii="仿宋_GB2312" w:hAnsi="仿宋_GB2312" w:eastAsia="仿宋_GB2312" w:cs="仿宋_GB2312"/>
          <w:b w:val="0"/>
          <w:bCs w:val="0"/>
          <w:color w:val="auto"/>
          <w:sz w:val="28"/>
          <w:szCs w:val="28"/>
          <w:vertAlign w:val="baseline"/>
          <w:lang w:val="en-US" w:eastAsia="zh-CN"/>
        </w:rPr>
        <w:t xml:space="preserve">131万元</w:t>
      </w:r>
      <w:r>
        <w:rPr>
          <w:rFonts w:hint="eastAsia" w:ascii="仿宋_GB2312" w:hAnsi="仿宋_GB2312" w:eastAsia="仿宋_GB2312" w:cs="仿宋_GB2312"/>
          <w:color w:val="000000"/>
          <w:sz w:val="28"/>
          <w:szCs w:val="28"/>
          <w:highlight w:val="none"/>
        </w:rPr>
        <w:t xml:space="preserve"> </w:t>
      </w:r>
      <w:r/>
    </w:p>
    <w:p>
      <w:pPr>
        <w:ind w:firstLine="561"/>
        <w:keepLines w:val="0"/>
        <w:keepNext w:val="0"/>
        <w:pageBreakBefore w:val="0"/>
        <w:spacing w:line="480" w:lineRule="exact"/>
        <w:widowControl w:val="off"/>
        <w:rPr>
          <w:rFonts w:hint="eastAsia" w:ascii="仿宋_GB2312" w:hAnsi="仿宋_GB2312" w:eastAsia="仿宋_GB2312" w:cs="仿宋_GB2312"/>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5.</w:t>
      </w:r>
      <w:r>
        <w:rPr>
          <w:rFonts w:hint="eastAsia" w:ascii="仿宋_GB2312" w:hAnsi="仿宋_GB2312" w:eastAsia="仿宋_GB2312" w:cs="仿宋_GB2312"/>
          <w:color w:val="auto"/>
          <w:sz w:val="28"/>
          <w:szCs w:val="28"/>
        </w:rPr>
        <w:t xml:space="preserve">采购需求：</w:t>
      </w:r>
      <w:r>
        <w:rPr>
          <w:rFonts w:hint="eastAsia" w:ascii="仿宋_GB2312" w:hAnsi="仿宋_GB2312" w:eastAsia="仿宋_GB2312" w:cs="仿宋_GB2312"/>
          <w:color w:val="auto"/>
          <w:sz w:val="28"/>
          <w:szCs w:val="28"/>
          <w:lang w:eastAsia="zh-CN"/>
        </w:rPr>
        <w:t xml:space="preserve">采购</w:t>
      </w:r>
      <w:r>
        <w:rPr>
          <w:rFonts w:hint="eastAsia" w:ascii="仿宋_GB2312" w:hAnsi="仿宋_GB2312" w:eastAsia="仿宋_GB2312" w:cs="仿宋_GB2312"/>
          <w:color w:val="auto"/>
          <w:sz w:val="28"/>
          <w:szCs w:val="28"/>
          <w:lang w:val="en-US" w:eastAsia="zh-CN"/>
        </w:rPr>
        <w:t xml:space="preserve">11人制足球场（面积约7455平方米）人造草坪、减震垫、填充石英砂、填充颗粒等。原场地铲除、原基础打磨，修补积水找平处理、防水密封等。具体内容包括但不限于：货物的制造（采购）、运输、装卸、安装、调试、测试、售后服务、技术培训等，直至通过采购单位部门的验收以及质量保修、免费维保等全部工作。</w:t>
      </w:r>
      <w:r/>
    </w:p>
    <w:p>
      <w:pPr>
        <w:ind w:firstLine="561"/>
        <w:keepLines w:val="0"/>
        <w:keepNext w:val="0"/>
        <w:pageBreakBefore w:val="0"/>
        <w:spacing w:line="480" w:lineRule="exact"/>
        <w:widowControl w:val="off"/>
        <w:rPr>
          <w:rFonts w:hint="default" w:ascii="仿宋_GB2312" w:hAnsi="仿宋_GB2312" w:eastAsia="仿宋_GB2312" w:cs="仿宋_GB2312"/>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人造草坪场地铺设完成后须通过国际足联场地认证，获取国际足联场地认证证书，官网可查。</w:t>
      </w:r>
      <w:r/>
    </w:p>
    <w:p>
      <w:pPr>
        <w:ind w:firstLine="561"/>
        <w:keepLines w:val="0"/>
        <w:keepNext w:val="0"/>
        <w:pageBreakBefore w:val="0"/>
        <w:spacing w:line="48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6.</w:t>
      </w:r>
      <w:r>
        <w:rPr>
          <w:rFonts w:hint="eastAsia" w:ascii="仿宋_GB2312" w:hAnsi="仿宋_GB2312" w:eastAsia="仿宋_GB2312" w:cs="仿宋_GB2312"/>
          <w:color w:val="000000"/>
          <w:sz w:val="28"/>
          <w:szCs w:val="28"/>
        </w:rPr>
        <w:t xml:space="preserve">合同履行期限：合同签订并接到甲方通知后40日内安装</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调试</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验收合格</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并交付使用</w:t>
      </w:r>
      <w:r>
        <w:rPr>
          <w:rFonts w:hint="eastAsia" w:ascii="仿宋_GB2312" w:hAnsi="仿宋_GB2312" w:eastAsia="仿宋_GB2312" w:cs="仿宋_GB2312"/>
          <w:color w:val="auto"/>
          <w:sz w:val="28"/>
          <w:szCs w:val="28"/>
          <w:highlight w:val="none"/>
        </w:rPr>
        <w:t xml:space="preserve">。</w:t>
      </w:r>
      <w:r/>
    </w:p>
    <w:p>
      <w:pPr>
        <w:ind w:firstLine="561"/>
        <w:pageBreakBefore w:val="0"/>
        <w:spacing w:line="480" w:lineRule="exact"/>
        <w:widowControl w:val="off"/>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7.</w:t>
      </w:r>
      <w:r>
        <w:rPr>
          <w:rFonts w:hint="eastAsia" w:ascii="仿宋_GB2312" w:hAnsi="仿宋_GB2312" w:eastAsia="仿宋_GB2312" w:cs="仿宋_GB2312"/>
          <w:color w:val="auto"/>
          <w:sz w:val="28"/>
          <w:szCs w:val="28"/>
        </w:rPr>
        <w:t xml:space="preserve">本项目</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lang w:val="en-US" w:eastAsia="zh-CN"/>
        </w:rPr>
        <w:t xml:space="preserve">不</w:t>
      </w:r>
      <w:r>
        <w:rPr>
          <w:rFonts w:hint="eastAsia" w:ascii="仿宋_GB2312" w:hAnsi="仿宋_GB2312" w:eastAsia="仿宋_GB2312" w:cs="仿宋_GB2312"/>
          <w:b/>
          <w:bCs/>
          <w:color w:val="auto"/>
          <w:sz w:val="28"/>
          <w:szCs w:val="28"/>
          <w:u w:val="single"/>
        </w:rPr>
        <w:t xml:space="preserve">接受</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联合体投标</w:t>
      </w:r>
      <w:r>
        <w:rPr>
          <w:rFonts w:hint="eastAsia" w:ascii="仿宋_GB2312" w:hAnsi="仿宋_GB2312" w:eastAsia="仿宋_GB2312" w:cs="仿宋_GB2312"/>
          <w:color w:val="auto"/>
          <w:sz w:val="28"/>
          <w:szCs w:val="28"/>
          <w:lang w:eastAsia="zh-CN"/>
        </w:rPr>
        <w:t xml:space="preserve">。</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2"/>
        <w:pageBreakBefore w:val="0"/>
        <w:spacing w:line="480" w:lineRule="exact"/>
        <w:widowControl w:val="off"/>
        <w:rPr>
          <w:rFonts w:hint="eastAsia" w:ascii="楷体_GB2312" w:hAnsi="楷体_GB2312" w:eastAsia="楷体_GB2312" w:cs="楷体_GB2312"/>
          <w:b/>
          <w:bCs/>
          <w:sz w:val="28"/>
          <w:szCs w:val="28"/>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8"/>
          <w:szCs w:val="28"/>
        </w:rPr>
        <w:t xml:space="preserve">（一）满足《中华人民共和国政府采购法》第二十二条规定</w:t>
      </w:r>
      <w:r>
        <w:rPr>
          <w:rFonts w:hint="eastAsia" w:ascii="楷体_GB2312" w:hAnsi="楷体_GB2312" w:eastAsia="楷体_GB2312" w:cs="楷体_GB2312"/>
          <w:b/>
          <w:bCs/>
          <w:color w:val="auto"/>
          <w:sz w:val="28"/>
          <w:szCs w:val="28"/>
          <w:highlight w:val="none"/>
        </w:rPr>
        <w:t xml:space="preserve">，并提供下列材料</w:t>
      </w:r>
      <w:r>
        <w:rPr>
          <w:rFonts w:hint="eastAsia" w:ascii="楷体_GB2312" w:hAnsi="楷体_GB2312" w:eastAsia="楷体_GB2312" w:cs="楷体_GB2312"/>
          <w:b/>
          <w:bCs/>
          <w:color w:val="000000"/>
          <w:sz w:val="28"/>
          <w:szCs w:val="28"/>
        </w:rPr>
        <w:t xml:space="preserve">：</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1.法人或者其他组织的营业执照等证明文件。</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2.财务状况报告（成立不满一年不需提供）。</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3.依法缴纳税收和社会保障资金的相关材料。</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4.具备履行合同所必需的设备和专业技术能力的书面声明。</w:t>
      </w:r>
      <w:r/>
    </w:p>
    <w:p>
      <w:pPr>
        <w:ind w:firstLine="560"/>
        <w:pageBreakBefore w:val="0"/>
        <w:spacing w:line="48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5.参加政府采购活动前3年内在经营活动中没有重大违法记录的书面声明。</w:t>
      </w:r>
      <w:r/>
    </w:p>
    <w:p>
      <w:pPr>
        <w:ind w:firstLine="560"/>
        <w:pageBreakBefore w:val="0"/>
        <w:spacing w:line="48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w:t>
      </w:r>
      <w:r>
        <w:rPr>
          <w:rFonts w:hint="eastAsia" w:ascii="仿宋_GB2312" w:hAnsi="仿宋_GB2312" w:eastAsia="仿宋_GB2312" w:cs="仿宋_GB2312"/>
          <w:color w:val="000000"/>
          <w:sz w:val="28"/>
          <w:szCs w:val="28"/>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仿宋_GB2312" w:hAnsi="仿宋_GB2312" w:eastAsia="仿宋_GB2312" w:cs="仿宋_GB2312"/>
          <w:color w:val="000000"/>
          <w:sz w:val="28"/>
          <w:szCs w:val="28"/>
        </w:rPr>
        <w:t xml:space="preserve">。</w:t>
      </w:r>
      <w:r/>
    </w:p>
    <w:p>
      <w:pPr>
        <w:ind w:left="0" w:right="0" w:firstLine="562"/>
        <w:jc w:val="left"/>
        <w:keepLines w:val="0"/>
        <w:keepNext w:val="0"/>
        <w:pageBreakBefore w:val="0"/>
        <w:spacing w:beforeAutospacing="0" w:afterAutospacing="0" w:line="480" w:lineRule="exact"/>
        <w:widowControl w:val="off"/>
        <w:rPr>
          <w:rFonts w:hint="eastAsia" w:ascii="楷体_GB2312" w:hAnsi="楷体_GB2312" w:eastAsia="楷体_GB2312" w:cs="楷体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8"/>
          <w:szCs w:val="28"/>
        </w:rPr>
        <w:t xml:space="preserve">（二）落实政府采购政策需满足的资格要求：</w:t>
      </w:r>
      <w:r>
        <w:rPr>
          <w:rFonts w:hint="eastAsia" w:ascii="楷体_GB2312" w:hAnsi="楷体_GB2312" w:eastAsia="楷体_GB2312" w:cs="楷体_GB2312"/>
          <w:b/>
          <w:bCs/>
          <w:i w:val="0"/>
          <w:iCs w:val="0"/>
          <w:color w:val="0000ff"/>
          <w:sz w:val="28"/>
          <w:szCs w:val="28"/>
          <w:highlight w:val="none"/>
          <w:u w:val="none"/>
          <w:lang w:eastAsia="zh-CN"/>
        </w:rPr>
        <w:t xml:space="preserve">本项目专门面向中小企业采购</w:t>
      </w:r>
      <w:r>
        <w:rPr>
          <w:rFonts w:hint="eastAsia" w:ascii="楷体_GB2312" w:hAnsi="楷体_GB2312" w:eastAsia="楷体_GB2312" w:cs="楷体_GB2312"/>
          <w:b/>
          <w:bCs/>
          <w:color w:val="0000ff"/>
          <w:sz w:val="28"/>
          <w:szCs w:val="28"/>
          <w:highlight w:val="none"/>
        </w:rPr>
        <w:t xml:space="preserve">。</w:t>
      </w:r>
      <w:r>
        <w:rPr>
          <w:rFonts w:hint="eastAsia" w:ascii="楷体_GB2312" w:hAnsi="楷体_GB2312" w:eastAsia="楷体_GB2312" w:cs="楷体_GB2312"/>
          <w:b/>
          <w:bCs/>
          <w:color w:val="auto"/>
          <w:sz w:val="28"/>
          <w:szCs w:val="28"/>
          <w:highlight w:val="none"/>
        </w:rPr>
        <w:t xml:space="preserve"> </w:t>
      </w:r>
      <w:r/>
    </w:p>
    <w:p>
      <w:pPr>
        <w:ind w:firstLine="562"/>
        <w:pageBreakBefore w:val="0"/>
        <w:spacing w:line="480" w:lineRule="exact"/>
        <w:widowControl w:val="off"/>
        <w:rPr>
          <w:rFonts w:hint="eastAsia" w:ascii="仿宋_GB2312" w:hAnsi="仿宋_GB2312" w:eastAsia="仿宋_GB2312" w:cs="仿宋_GB2312"/>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auto"/>
          <w:sz w:val="28"/>
          <w:szCs w:val="28"/>
          <w:highlight w:val="none"/>
        </w:rPr>
        <w:t xml:space="preserve">（三）本项目的特定资格要求： </w:t>
      </w:r>
      <w:r>
        <w:rPr>
          <w:rFonts w:hint="eastAsia" w:ascii="仿宋_GB2312" w:hAnsi="仿宋_GB2312" w:eastAsia="仿宋_GB2312" w:cs="仿宋_GB2312"/>
          <w:b/>
          <w:bCs/>
          <w:color w:val="auto"/>
          <w:sz w:val="28"/>
          <w:szCs w:val="28"/>
          <w:highlight w:val="none"/>
          <w:lang w:eastAsia="zh-CN"/>
        </w:rPr>
        <w:t xml:space="preserve">无。</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sz w:val="28"/>
          <w:szCs w:val="28"/>
        </w:rPr>
        <w:t xml:space="preserve">间：自招标文件公告发布之日起5个工作日</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地点：在“苏采云”政府采购交易系统 </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方式：在“苏采云”政府采购交易系统自行免费下载 </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
          <w:color w:val="000000"/>
          <w:sz w:val="28"/>
          <w:szCs w:val="28"/>
          <w:u w:val="single"/>
        </w:rPr>
        <w:t xml:space="preserve">202</w:t>
      </w:r>
      <w:r>
        <w:rPr>
          <w:rFonts w:hint="eastAsia" w:ascii="仿宋_GB2312" w:hAnsi="仿宋_GB2312" w:eastAsia="仿宋_GB2312" w:cs="仿宋_GB2312"/>
          <w:b/>
          <w:color w:val="000000"/>
          <w:sz w:val="28"/>
          <w:szCs w:val="28"/>
          <w:u w:val="single"/>
          <w:lang w:val="en-US" w:eastAsia="zh-CN"/>
        </w:rPr>
        <w:t xml:space="preserve">6</w:t>
      </w:r>
      <w:r>
        <w:rPr>
          <w:rFonts w:hint="eastAsia" w:ascii="仿宋_GB2312" w:hAnsi="仿宋_GB2312" w:eastAsia="仿宋_GB2312" w:cs="仿宋_GB2312"/>
          <w:b/>
          <w:color w:val="000000"/>
          <w:sz w:val="28"/>
          <w:szCs w:val="28"/>
          <w:u w:val="single"/>
        </w:rPr>
        <w:t xml:space="preserve">年</w:t>
      </w:r>
      <w:r>
        <w:rPr>
          <w:rFonts w:hint="eastAsia" w:ascii="仿宋_GB2312" w:hAnsi="仿宋_GB2312" w:eastAsia="仿宋_GB2312" w:cs="仿宋_GB2312"/>
          <w:b/>
          <w:color w:val="000000"/>
          <w:sz w:val="28"/>
          <w:szCs w:val="28"/>
          <w:highlight w:val="none"/>
          <w:u w:val="single"/>
          <w:lang w:val="en-US" w:eastAsia="zh-CN"/>
        </w:rPr>
        <w:t xml:space="preserve">10</w:t>
      </w:r>
      <w:r>
        <w:rPr>
          <w:rFonts w:hint="eastAsia" w:ascii="仿宋_GB2312" w:hAnsi="仿宋_GB2312" w:eastAsia="仿宋_GB2312" w:cs="仿宋_GB2312"/>
          <w:b/>
          <w:color w:val="000000"/>
          <w:sz w:val="28"/>
          <w:szCs w:val="28"/>
          <w:highlight w:val="none"/>
          <w:u w:val="single"/>
        </w:rPr>
        <w:t xml:space="preserve">月</w:t>
      </w:r>
      <w:r>
        <w:rPr>
          <w:rFonts w:hint="eastAsia" w:ascii="仿宋_GB2312" w:hAnsi="仿宋_GB2312" w:eastAsia="仿宋_GB2312" w:cs="仿宋_GB2312"/>
          <w:b/>
          <w:color w:val="000000"/>
          <w:sz w:val="28"/>
          <w:szCs w:val="28"/>
          <w:highlight w:val="none"/>
          <w:u w:val="single"/>
          <w:lang w:val="en-US" w:eastAsia="zh-CN"/>
        </w:rPr>
        <w:t xml:space="preserve">19</w:t>
      </w:r>
      <w:r>
        <w:rPr>
          <w:rFonts w:hint="eastAsia" w:ascii="仿宋_GB2312" w:hAnsi="仿宋_GB2312" w:eastAsia="仿宋_GB2312" w:cs="仿宋_GB2312"/>
          <w:b/>
          <w:color w:val="000000"/>
          <w:sz w:val="28"/>
          <w:szCs w:val="28"/>
          <w:highlight w:val="none"/>
          <w:u w:val="single"/>
        </w:rPr>
        <w:t xml:space="preserve">日 09:30</w:t>
      </w:r>
      <w:r>
        <w:rPr>
          <w:rFonts w:hint="eastAsia" w:ascii="仿宋_GB2312" w:hAnsi="仿宋_GB2312" w:eastAsia="仿宋_GB2312" w:cs="仿宋_GB2312"/>
          <w:color w:val="000000"/>
          <w:sz w:val="28"/>
          <w:szCs w:val="28"/>
          <w:highlight w:val="none"/>
        </w:rPr>
        <w:t xml:space="preserve"> </w:t>
      </w:r>
      <w:r>
        <w:rPr>
          <w:rFonts w:hint="eastAsia" w:ascii="仿宋_GB2312" w:hAnsi="仿宋_GB2312" w:eastAsia="仿宋_GB2312" w:cs="仿宋_GB2312"/>
          <w:color w:val="000000"/>
          <w:sz w:val="28"/>
          <w:szCs w:val="28"/>
        </w:rPr>
        <w:t xml:space="preserve">（北京时间）</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地点：“苏采云”政府采购交易系统 </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自本公告发布之日起5个工作日。</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 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pageBreakBefore w:val="0"/>
        <w:spacing w:line="480" w:lineRule="exact"/>
        <w:widowControl w:val="off"/>
        <w:rPr>
          <w:rFonts w:ascii="黑体" w:hAnsi="黑体" w:eastAsia="黑体" w:cs="黑体"/>
          <w:i w:val="0"/>
          <w:iCs w:val="0"/>
          <w:sz w:val="28"/>
          <w:szCs w:val="28"/>
          <w:u w:val="single"/>
        </w:rPr>
      </w:pPr>
      <w:r>
        <w:rPr>
          <w:rFonts w:hint="eastAsia" w:ascii="黑体" w:hAnsi="黑体" w:eastAsia="黑体" w:cs="黑体"/>
          <w:i w:val="0"/>
          <w:iCs w:val="0"/>
          <w:sz w:val="28"/>
          <w:szCs w:val="28"/>
          <w:u w:val="single"/>
        </w:rPr>
        <w:t xml:space="preserve">如潜在投标人未按上述要求操作，将自行承担所产生的风险。</w:t>
      </w:r>
      <w:r/>
    </w:p>
    <w:p>
      <w:pPr>
        <w:ind w:firstLine="56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pageBreakBefore w:val="0"/>
        <w:spacing w:line="480" w:lineRule="exact"/>
        <w:widowControl w:val="off"/>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4.如在制作电子投标文件中有任何疑问，请拨打电子化政府采购技术支持电话：智先生：0523-86888093；张先生：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lang w:eastAsia="zh-CN"/>
        </w:rPr>
      </w:pPr>
      <w:r/>
      <w:bookmarkStart w:id="11" w:name="_Toc35393638"/>
      <w:r>
        <w:rPr>
          <w:rFonts w:hint="eastAsia" w:ascii="仿宋_GB2312" w:hAnsi="仿宋_GB2312" w:eastAsia="仿宋_GB2312" w:cs="仿宋_GB2312"/>
          <w:sz w:val="28"/>
          <w:szCs w:val="28"/>
        </w:rPr>
        <w:t xml:space="preserve">名称：</w:t>
      </w:r>
      <w:r>
        <w:rPr>
          <w:rFonts w:hint="eastAsia" w:ascii="仿宋_GB2312" w:hAnsi="仿宋_GB2312" w:eastAsia="仿宋_GB2312" w:cs="仿宋_GB2312"/>
          <w:sz w:val="28"/>
          <w:szCs w:val="28"/>
          <w:lang w:val="en-US" w:eastAsia="zh-CN"/>
        </w:rPr>
        <w:t xml:space="preserve">兴化市人民体育场</w:t>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lang w:eastAsia="zh-CN"/>
        </w:rPr>
        <w:t xml:space="preserve">兴化市英武路118号</w:t>
      </w:r>
      <w:r/>
    </w:p>
    <w:p>
      <w:pPr>
        <w:ind w:firstLine="560"/>
        <w:pageBreakBefore w:val="0"/>
        <w:spacing w:line="480" w:lineRule="exact"/>
        <w:widowControl w:val="off"/>
        <w:tabs>
          <w:tab w:val="left" w:pos="900" w:leader="none"/>
        </w:tabs>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 xml:space="preserve">联系方式：</w:t>
      </w:r>
      <w:bookmarkStart w:id="12" w:name="_Toc28359009"/>
      <w:r/>
      <w:bookmarkStart w:id="13" w:name="_Toc28359086"/>
      <w:r>
        <w:rPr>
          <w:rFonts w:hint="eastAsia" w:ascii="仿宋_GB2312" w:hAnsi="仿宋_GB2312" w:eastAsia="仿宋_GB2312" w:cs="仿宋_GB2312"/>
          <w:sz w:val="28"/>
          <w:szCs w:val="28"/>
          <w:highlight w:val="none"/>
          <w:lang w:val="en-US" w:eastAsia="zh-CN"/>
        </w:rPr>
        <w:t xml:space="preserve">刘先生</w:t>
      </w:r>
      <w:r>
        <w:rPr>
          <w:rFonts w:hint="eastAsia" w:ascii="仿宋_GB2312" w:hAnsi="仿宋_GB2312" w:eastAsia="仿宋_GB2312" w:cs="仿宋_GB2312"/>
          <w:sz w:val="28"/>
          <w:szCs w:val="28"/>
          <w:highlight w:val="none"/>
        </w:rPr>
        <w:t xml:space="preserve">  </w:t>
      </w:r>
      <w:bookmarkEnd w:id="12"/>
      <w:r/>
      <w:bookmarkEnd w:id="13"/>
      <w:r>
        <w:rPr>
          <w:rFonts w:hint="eastAsia" w:ascii="仿宋_GB2312" w:hAnsi="仿宋_GB2312" w:eastAsia="仿宋_GB2312" w:cs="仿宋_GB2312"/>
          <w:sz w:val="28"/>
          <w:szCs w:val="28"/>
          <w:highlight w:val="none"/>
          <w:lang w:val="en-US" w:eastAsia="zh-CN"/>
        </w:rPr>
        <w:t xml:space="preserve">19975152963</w:t>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2.采购代理机构信息</w:t>
      </w:r>
      <w:bookmarkEnd w:id="11"/>
      <w:r/>
      <w:r/>
    </w:p>
    <w:p>
      <w:pPr>
        <w:ind w:firstLine="560"/>
        <w:pageBreakBefore w:val="0"/>
        <w:spacing w:line="480" w:lineRule="exact"/>
        <w:widowControl w:val="off"/>
        <w:rPr>
          <w:rFonts w:hint="eastAsia" w:ascii="仿宋_GB2312" w:hAnsi="仿宋_GB2312" w:eastAsia="仿宋_GB2312" w:cs="仿宋_GB2312"/>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名    称：</w:t>
      </w:r>
      <w:r>
        <w:rPr>
          <w:rFonts w:hint="eastAsia" w:ascii="仿宋_GB2312" w:hAnsi="仿宋_GB2312" w:eastAsia="仿宋_GB2312" w:cs="仿宋_GB2312"/>
          <w:sz w:val="28"/>
          <w:szCs w:val="28"/>
          <w:highlight w:val="none"/>
          <w:lang w:eastAsia="zh-CN"/>
        </w:rPr>
        <w:t xml:space="preserve">江苏恒霏项目管理有限公司</w:t>
      </w:r>
      <w:r/>
    </w:p>
    <w:p>
      <w:pPr>
        <w:ind w:firstLine="560"/>
        <w:pageBreakBefore w:val="0"/>
        <w:spacing w:line="480" w:lineRule="exact"/>
        <w:widowControl w:val="off"/>
        <w:rPr>
          <w:rFonts w:hint="eastAsia" w:ascii="仿宋_GB2312" w:hAnsi="仿宋_GB2312" w:eastAsia="仿宋_GB2312" w:cs="仿宋_GB2312"/>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地    址：</w:t>
      </w:r>
      <w:r>
        <w:rPr>
          <w:rFonts w:hint="eastAsia" w:ascii="仿宋_GB2312" w:hAnsi="仿宋_GB2312" w:eastAsia="仿宋_GB2312" w:cs="仿宋_GB2312"/>
          <w:sz w:val="28"/>
          <w:szCs w:val="28"/>
          <w:highlight w:val="none"/>
          <w:lang w:eastAsia="zh-CN"/>
        </w:rPr>
        <w:t xml:space="preserve">兴化市开发区中和西路135号</w:t>
      </w:r>
      <w:r/>
    </w:p>
    <w:p>
      <w:pPr>
        <w:ind w:firstLine="560"/>
        <w:pageBreakBefore w:val="0"/>
        <w:spacing w:line="480" w:lineRule="exact"/>
        <w:widowControl w:val="off"/>
        <w:rPr>
          <w:rFonts w:hint="default" w:ascii="仿宋_GB2312" w:hAnsi="仿宋_GB2312" w:eastAsia="仿宋_GB2312" w:cs="仿宋_GB2312"/>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联系方式：刘先生  </w:t>
      </w:r>
      <w:r>
        <w:rPr>
          <w:rFonts w:hint="eastAsia" w:ascii="仿宋_GB2312" w:hAnsi="仿宋_GB2312" w:eastAsia="仿宋_GB2312" w:cs="仿宋_GB2312"/>
          <w:sz w:val="28"/>
          <w:szCs w:val="28"/>
          <w:highlight w:val="none"/>
          <w:lang w:val="en-US" w:eastAsia="zh-CN"/>
        </w:rPr>
        <w:t xml:space="preserve">13338883432</w:t>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3.项目联系方式</w:t>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联系人：</w:t>
      </w:r>
      <w:r>
        <w:rPr>
          <w:rFonts w:hint="eastAsia" w:ascii="仿宋_GB2312" w:hAnsi="仿宋_GB2312" w:eastAsia="仿宋_GB2312" w:cs="仿宋_GB2312"/>
          <w:sz w:val="28"/>
          <w:szCs w:val="28"/>
          <w:highlight w:val="none"/>
          <w:lang w:val="en-US" w:eastAsia="zh-CN"/>
        </w:rPr>
        <w:t xml:space="preserve">刘先生</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19975152963</w:t>
      </w:r>
      <w:r>
        <w:rPr>
          <w:rFonts w:hint="eastAsia" w:ascii="仿宋_GB2312" w:hAnsi="仿宋_GB2312" w:eastAsia="仿宋_GB2312" w:cs="仿宋_GB2312"/>
          <w:sz w:val="28"/>
          <w:szCs w:val="28"/>
          <w:highlight w:val="none"/>
        </w:rPr>
        <w:t xml:space="preserve">（采购人）</w:t>
      </w:r>
      <w:r/>
    </w:p>
    <w:p>
      <w:pPr>
        <w:ind w:firstLine="1680"/>
        <w:pageBreakBefore w:val="0"/>
        <w:spacing w:line="48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刘先生  </w:t>
      </w:r>
      <w:bookmarkStart w:id="14" w:name="_Toc28359098"/>
      <w:r/>
      <w:bookmarkEnd w:id="14"/>
      <w:r/>
      <w:bookmarkStart w:id="15" w:name="_Toc28359021"/>
      <w:r/>
      <w:bookmarkEnd w:id="15"/>
      <w:r/>
      <w:bookmarkStart w:id="16" w:name="_Toc35393808"/>
      <w:r/>
      <w:bookmarkEnd w:id="16"/>
      <w:r>
        <w:rPr>
          <w:rFonts w:hint="eastAsia" w:ascii="仿宋_GB2312" w:hAnsi="仿宋_GB2312" w:eastAsia="仿宋_GB2312" w:cs="仿宋_GB2312"/>
          <w:sz w:val="28"/>
          <w:szCs w:val="28"/>
          <w:highlight w:val="none"/>
          <w:lang w:val="en-US" w:eastAsia="zh-CN"/>
        </w:rPr>
        <w:t xml:space="preserve">13338883432</w:t>
      </w:r>
      <w:r>
        <w:rPr>
          <w:rFonts w:hint="eastAsia" w:ascii="仿宋_GB2312" w:hAnsi="仿宋_GB2312" w:eastAsia="仿宋_GB2312" w:cs="仿宋_GB2312"/>
          <w:sz w:val="28"/>
          <w:szCs w:val="28"/>
          <w:highlight w:val="none"/>
        </w:rPr>
        <w:t xml:space="preserve">（代理机构）</w:t>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pageBreakBefore w:val="0"/>
        <w:spacing w:line="480" w:lineRule="exact"/>
        <w:rPr>
          <w:rFonts w:ascii="黑体" w:hAnsi="Arial" w:eastAsia="黑体" w:cs="Arial"/>
          <w:color w:val="000000"/>
          <w:sz w:val="36"/>
          <w:szCs w:val="36"/>
        </w:rPr>
        <w:outlineLvl w:val="1"/>
      </w:pPr>
      <w:r/>
      <w:bookmarkStart w:id="17" w:name="_Toc120614211"/>
      <w:r>
        <w:rPr>
          <w:rFonts w:hint="eastAsia" w:ascii="黑体" w:hAnsi="Arial" w:eastAsia="黑体" w:cs="Arial"/>
          <w:color w:val="000000"/>
          <w:sz w:val="36"/>
          <w:szCs w:val="36"/>
        </w:rPr>
        <w:t xml:space="preserve">第二章  投标人须知</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一、总则</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1、招标方式</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2、合格的投标人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pageBreakBefore w:val="0"/>
        <w:spacing w:line="48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3、适用法律和标准</w:t>
      </w:r>
      <w:r/>
    </w:p>
    <w:p>
      <w:pPr>
        <w:ind w:firstLine="560"/>
        <w:pageBreakBefore w:val="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0"/>
        <w:pageBreakBefore w:val="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 在本项目政府采购活动过程中，如果所执行的标准有更新的，按照最新标准执行。</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4、投标费用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w:t>
      </w:r>
      <w:r>
        <w:rPr>
          <w:rFonts w:hint="eastAsia" w:ascii="仿宋_GB2312" w:hAnsi="仿宋_GB2312" w:eastAsia="仿宋_GB2312" w:cs="仿宋_GB2312"/>
          <w:color w:val="000000"/>
          <w:sz w:val="28"/>
          <w:szCs w:val="28"/>
          <w:lang w:eastAsia="zh-CN"/>
        </w:rPr>
        <w:t xml:space="preserve">江苏恒霏项目管理有限公司</w:t>
      </w:r>
      <w:r>
        <w:rPr>
          <w:rFonts w:hint="eastAsia" w:ascii="仿宋_GB2312" w:hAnsi="仿宋_GB2312" w:eastAsia="仿宋_GB2312" w:cs="仿宋_GB2312"/>
          <w:color w:val="000000"/>
          <w:sz w:val="28"/>
          <w:szCs w:val="28"/>
        </w:rPr>
        <w:t xml:space="preserve">（以下简称</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）在任何情况下均无义务和责任承担这些费用。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和采购人不收取标书工本费与中标服务费。</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二、招标文件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6、招标文件构成</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请仔细检查招标文件是否齐全，如有缺漏请立即与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联系解决。</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7、招标文件的澄清</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8、招标文件的修改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可以对招标文件进行修改。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有权按照法定的要求推迟投标截止日期和开标日期。</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三、投标文件的编制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9、投标文件的语言及度量衡单位</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pageBreakBefore w:val="0"/>
        <w:spacing w:line="480" w:lineRule="exact"/>
        <w:rPr>
          <w:rFonts w:hint="eastAsia"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10、投标文件构成</w:t>
      </w:r>
      <w:r/>
    </w:p>
    <w:p>
      <w:pPr>
        <w:ind w:firstLine="562"/>
        <w:keepLines/>
        <w:keepNext/>
        <w:pageBreakBefore w:val="0"/>
        <w:spacing w:line="480" w:lineRule="exact"/>
        <w:rPr>
          <w:rFonts w:hint="eastAsia" w:ascii="仿宋_GB2312" w:hAnsi="仿宋_GB2312" w:eastAsia="仿宋_GB2312" w:cs="仿宋_GB2312"/>
          <w:b/>
          <w:bCs/>
          <w:color w:val="000000"/>
          <w:sz w:val="28"/>
          <w:szCs w:val="28"/>
          <w:lang w:eastAsia="zh-CN"/>
        </w:rPr>
        <w:outlineLvl w:val="3"/>
      </w:pPr>
      <w:r>
        <w:rPr>
          <w:rFonts w:hint="eastAsia" w:ascii="仿宋_GB2312" w:hAnsi="仿宋_GB2312" w:eastAsia="仿宋_GB2312" w:cs="仿宋_GB2312"/>
          <w:b/>
          <w:bCs/>
          <w:color w:val="000000"/>
          <w:sz w:val="28"/>
          <w:szCs w:val="28"/>
          <w:lang w:eastAsia="zh-CN"/>
        </w:rPr>
        <w:t xml:space="preserve">（具体组成部分以“第六章</w:t>
      </w:r>
      <w:r>
        <w:rPr>
          <w:rFonts w:hint="eastAsia" w:ascii="仿宋_GB2312" w:hAnsi="仿宋_GB2312" w:eastAsia="仿宋_GB2312" w:cs="仿宋_GB2312"/>
          <w:b/>
          <w:bCs/>
          <w:color w:val="000000"/>
          <w:sz w:val="28"/>
          <w:szCs w:val="28"/>
          <w:lang w:val="en-US" w:eastAsia="zh-CN"/>
        </w:rPr>
        <w:t xml:space="preserve"> 投标文件格式</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bCs/>
          <w:color w:val="000000"/>
          <w:sz w:val="28"/>
          <w:szCs w:val="28"/>
          <w:lang w:val="en-US" w:eastAsia="zh-CN"/>
        </w:rPr>
        <w:t xml:space="preserve">为准</w:t>
      </w:r>
      <w:r>
        <w:rPr>
          <w:rFonts w:hint="eastAsia" w:ascii="仿宋_GB2312" w:hAnsi="仿宋_GB2312" w:eastAsia="仿宋_GB2312" w:cs="仿宋_GB2312"/>
          <w:b/>
          <w:bCs/>
          <w:color w:val="000000"/>
          <w:sz w:val="28"/>
          <w:szCs w:val="28"/>
          <w:lang w:eastAsia="zh-CN"/>
        </w:rPr>
        <w:t xml:space="preserve">）</w:t>
      </w:r>
      <w:r/>
    </w:p>
    <w:p>
      <w:pPr>
        <w:ind w:firstLine="560"/>
        <w:pageBreakBefore w:val="0"/>
        <w:spacing w:line="480" w:lineRule="exact"/>
        <w:rPr>
          <w:rFonts w:ascii="仿宋_GB2312" w:hAnsi="仿宋_GB2312" w:eastAsia="仿宋_GB2312" w:cs="仿宋_GB2312"/>
          <w:color w:val="000000"/>
          <w:sz w:val="28"/>
          <w:szCs w:val="28"/>
          <w:highlight w:val="yellow"/>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highlight w:val="none"/>
        </w:rPr>
        <w:t xml:space="preserve">投标人编写的投标文件应包括资格证明文件、符合性证明文件、投标分项报价表、响应及偏离表、其他文件、投标函、开标一览表等部分。</w:t>
      </w:r>
      <w:r/>
    </w:p>
    <w:p>
      <w:pPr>
        <w:ind w:firstLine="560"/>
        <w:pageBreakBefore w:val="0"/>
        <w:spacing w:line="480" w:lineRule="exact"/>
        <w:rPr>
          <w:rFonts w:hint="eastAsia" w:ascii="黑体" w:hAnsi="黑体" w:eastAsia="黑体" w:cs="黑体"/>
          <w:i w:val="0"/>
          <w:iCs w:val="0"/>
          <w:color w:val="000000"/>
          <w:sz w:val="28"/>
          <w:szCs w:val="28"/>
          <w:highlight w:val="none"/>
          <w:u w:val="single"/>
          <w:lang w:eastAsia="zh-CN"/>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11、证明投标人及投标标的符合招标文件规定的文件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pageBreakBefore w:val="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投标人需对招标文件中的技术要求与商务要求逐项作出响应或偏离，并说明原因。</w:t>
      </w:r>
      <w:r/>
    </w:p>
    <w:p>
      <w:pPr>
        <w:ind w:firstLine="560"/>
        <w:pageBreakBefore w:val="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14、其他文件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w:t>
      </w:r>
      <w:r>
        <w:rPr>
          <w:rFonts w:hint="eastAsia" w:ascii="仿宋_GB2312" w:hAnsi="仿宋_GB2312" w:eastAsia="仿宋_GB2312" w:cs="仿宋_GB2312"/>
          <w:color w:val="000000"/>
          <w:sz w:val="28"/>
          <w:szCs w:val="28"/>
          <w:lang w:eastAsia="zh-CN"/>
        </w:rPr>
        <w:t xml:space="preserve">企业综合实力、技术参数、解决方案等材料，以及招标文件中提及的或供应商认为需要提供的其他材料</w:t>
      </w:r>
      <w:r>
        <w:rPr>
          <w:rFonts w:hint="eastAsia" w:ascii="仿宋_GB2312" w:hAnsi="仿宋_GB2312" w:eastAsia="仿宋_GB2312" w:cs="仿宋_GB2312"/>
          <w:color w:val="000000"/>
          <w:sz w:val="28"/>
          <w:szCs w:val="28"/>
        </w:rPr>
        <w:t xml:space="preserve">。</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15、投标函和开标一览表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 投标人应按照招标文件中提供的格式完整、正确填写投标函、开标一览表。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w:t>
      </w:r>
      <w:r>
        <w:rPr>
          <w:rFonts w:hint="eastAsia" w:ascii="仿宋_GB2312" w:hAnsi="仿宋_GB2312" w:eastAsia="仿宋_GB2312" w:cs="仿宋_GB2312"/>
          <w:color w:val="000000"/>
          <w:sz w:val="28"/>
          <w:szCs w:val="28"/>
          <w:lang w:eastAsia="zh-CN"/>
        </w:rPr>
        <w:t xml:space="preserve">总</w:t>
      </w:r>
      <w:r>
        <w:rPr>
          <w:rFonts w:hint="eastAsia" w:ascii="仿宋_GB2312" w:hAnsi="仿宋_GB2312" w:eastAsia="仿宋_GB2312" w:cs="仿宋_GB2312"/>
          <w:color w:val="000000"/>
          <w:sz w:val="28"/>
          <w:szCs w:val="28"/>
        </w:rPr>
        <w:t xml:space="preserve">价为准。</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16、投标有效期</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于原投标有效期满之前，可向投标人提出延长投标有效期的要求。这种要求与答复均应采用书面形式。投标人可以拒绝</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四、投标文件的递交</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18、电子投标文件的递交</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18.1投标人应当按照《操作手册》规定，在投标截止时间前制作并上传电子投标文件。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r/>
    </w:p>
    <w:p>
      <w:pPr>
        <w:ind w:firstLine="560"/>
        <w:pageBreakBefore w:val="0"/>
        <w:spacing w:line="480" w:lineRule="exact"/>
        <w:rPr>
          <w:rFonts w:ascii="黑体" w:hAnsi="黑体" w:eastAsia="黑体" w:cs="黑体"/>
          <w:bCs/>
          <w:i w:val="0"/>
          <w:iCs/>
          <w:color w:val="000000"/>
          <w:sz w:val="28"/>
          <w:szCs w:val="28"/>
          <w:u w:val="single"/>
        </w:rPr>
      </w:pPr>
      <w:r>
        <w:rPr>
          <w:rFonts w:hint="eastAsia" w:ascii="黑体" w:hAnsi="黑体" w:eastAsia="黑体" w:cs="黑体"/>
          <w:i w:val="0"/>
          <w:iCs/>
          <w:color w:val="000000"/>
          <w:sz w:val="28"/>
          <w:szCs w:val="28"/>
          <w:u w:val="single"/>
        </w:rPr>
        <w:t xml:space="preserve">19.1</w:t>
      </w:r>
      <w:r>
        <w:rPr>
          <w:rFonts w:hint="eastAsia" w:ascii="黑体" w:hAnsi="黑体" w:eastAsia="黑体" w:cs="黑体"/>
          <w:bCs/>
          <w:i w:val="0"/>
          <w:iCs/>
          <w:color w:val="000000"/>
          <w:sz w:val="28"/>
          <w:szCs w:val="28"/>
          <w:u w:val="single"/>
        </w:rPr>
        <w:t xml:space="preserve"> 投标人上传电子投标文件的时间不得迟于招标公告中规定的投标截止时间。</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可以按照规定，通过修改招标文件酌情延长投标截止日期，在此情况下，投标人的所有权利和义务以及投标人受制的截止日期均应以延长后新的截止日期为准。</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20、投标文件的拒收</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拒绝接收在其规定的投标截止时间后上传的任何投标文件。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21、投标文件的撤回和修改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五、开标与评标</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22、开标</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代理机构</w:t>
      </w:r>
      <w:r>
        <w:rPr>
          <w:rFonts w:hint="eastAsia" w:ascii="仿宋_GB2312" w:hAnsi="仿宋_GB2312" w:eastAsia="仿宋_GB2312" w:cs="仿宋_GB2312"/>
          <w:bCs/>
          <w:sz w:val="28"/>
          <w:szCs w:val="28"/>
        </w:rPr>
        <w:t xml:space="preserve">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。投标人应当按照《操作手册》规定，参加开标活动和在苏采云系统规定的时间内对投标文件进行解密。</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组织。苏采云系统将自动对项目进行开标，并宣布各投标人名称和投标价格。</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22.4投标人如果对开标过程和开标记录有疑义，应当根据《操作手册》规定提出，如苏采云系统中《开标记录表》宣布后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23、评标委员会</w:t>
      </w:r>
      <w:r/>
    </w:p>
    <w:p>
      <w:pPr>
        <w:ind w:firstLine="560"/>
        <w:pageBreakBefore w:val="0"/>
        <w:spacing w:line="48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将立即组织评标委员会（以下简称评委会）进行评标。</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评委会由采购人代表和有关技术、经济等方面的专家组成，且人员构成符合政府采购有关规定。</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23.3评委会独立工作，负责评审所有投标文件并确定中标侯选人。</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均不得向投标人或与评标无关的其他人员透露。</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和评标委员会不向未中标的投标人解释未中标原因，也不公布评标过程中的相关细节。</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过苏采云系统查看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25．投标文件的澄清</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，有权要求投标人作出必要的澄清、说明或者补正。</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ind w:firstLine="560"/>
        <w:pageBreakBefore w:val="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w:t>
      </w:r>
      <w:r>
        <w:rPr>
          <w:rFonts w:hint="eastAsia" w:ascii="仿宋_GB2312" w:hAnsi="仿宋_GB2312" w:eastAsia="仿宋_GB2312" w:cs="仿宋_GB2312"/>
          <w:bCs/>
          <w:sz w:val="28"/>
          <w:szCs w:val="28"/>
          <w:lang w:eastAsia="zh-CN"/>
        </w:rPr>
        <w:t xml:space="preserve">代理机构</w:t>
      </w:r>
      <w:r>
        <w:rPr>
          <w:rFonts w:hint="eastAsia" w:ascii="仿宋_GB2312" w:hAnsi="仿宋_GB2312" w:eastAsia="仿宋_GB2312" w:cs="仿宋_GB2312"/>
          <w:bCs/>
          <w:sz w:val="28"/>
          <w:szCs w:val="28"/>
        </w:rPr>
        <w:t xml:space="preserve">将不再告知未通过资格审查或符合性审查的原因。</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_GB2312" w:hAnsi="仿宋_GB2312" w:eastAsia="仿宋_GB2312" w:cs="仿宋_GB2312"/>
          <w:bCs/>
          <w:color w:val="000000"/>
          <w:sz w:val="28"/>
          <w:szCs w:val="28"/>
        </w:rPr>
        <w:t xml:space="preserve">评委决定投标文件的响应性只根据投标文件本身的内容，而不寻求外部的证据。</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right="0" w:firstLine="560"/>
        <w:keepLines w:val="0"/>
        <w:keepNext w:val="0"/>
        <w:pageBreakBefore w:val="0"/>
        <w:spacing w:beforeAutospacing="0" w:afterAutospacing="0" w:line="480" w:lineRule="exact"/>
        <w:shd w:val="clear" w:color="auto" w:fill="ffffff"/>
        <w:widowControl/>
        <w:rPr>
          <w:rFonts w:hint="eastAsia" w:ascii="仿宋_GB2312" w:hAnsi="仿宋_GB2312" w:eastAsia="仿宋_GB2312" w:cs="仿宋_GB2312"/>
          <w:i w:val="0"/>
          <w:iCs w:val="0"/>
          <w:caps w:val="0"/>
          <w:color w:val="0f1115"/>
          <w:spacing w:val="0"/>
          <w:sz w:val="28"/>
          <w:szCs w:val="28"/>
        </w:rPr>
        <w:suppressLineNumbers w:val="0"/>
      </w:pPr>
      <w:r>
        <w:rPr>
          <w:rFonts w:hint="eastAsia" w:ascii="仿宋_GB2312" w:hAnsi="仿宋_GB2312" w:eastAsia="仿宋_GB2312" w:cs="仿宋_GB2312"/>
          <w:b w:val="0"/>
          <w:bCs w:val="0"/>
          <w:i w:val="0"/>
          <w:iCs w:val="0"/>
          <w:caps w:val="0"/>
          <w:color w:val="0f1115"/>
          <w:spacing w:val="0"/>
          <w:sz w:val="28"/>
          <w:szCs w:val="28"/>
          <w:shd w:val="clear" w:color="auto" w:fill="ffffff"/>
        </w:rPr>
        <w:t xml:space="preserve">26.7</w:t>
      </w:r>
      <w:r>
        <w:rPr>
          <w:rFonts w:hint="eastAsia" w:ascii="仿宋_GB2312" w:hAnsi="仿宋_GB2312" w:eastAsia="仿宋_GB2312" w:cs="仿宋_GB2312"/>
          <w:i w:val="0"/>
          <w:iCs w:val="0"/>
          <w:caps w:val="0"/>
          <w:color w:val="0f1115"/>
          <w:spacing w:val="0"/>
          <w:sz w:val="28"/>
          <w:szCs w:val="28"/>
          <w:shd w:val="clear" w:color="auto" w:fill="ffffff"/>
        </w:rPr>
        <w:t xml:space="preserve"> </w:t>
      </w:r>
      <w:r>
        <w:rPr>
          <w:rFonts w:hint="eastAsia" w:ascii="仿宋_GB2312" w:hAnsi="仿宋_GB2312" w:eastAsia="仿宋_GB2312" w:cs="仿宋_GB2312"/>
          <w:i w:val="0"/>
          <w:iCs w:val="0"/>
          <w:caps w:val="0"/>
          <w:color w:val="ff0000"/>
          <w:spacing w:val="0"/>
          <w:sz w:val="28"/>
          <w:szCs w:val="28"/>
          <w:highlight w:val="none"/>
          <w:shd w:val="clear" w:color="auto"/>
          <w:lang w:val="en-US" w:eastAsia="zh-CN"/>
        </w:rPr>
        <w:t xml:space="preserve"> </w:t>
      </w:r>
      <w:r>
        <w:rPr>
          <w:rFonts w:hint="eastAsia" w:ascii="仿宋_GB2312" w:hAnsi="仿宋_GB2312" w:eastAsia="仿宋_GB2312" w:cs="仿宋_GB2312"/>
          <w:i w:val="0"/>
          <w:iCs w:val="0"/>
          <w:caps w:val="0"/>
          <w:color w:val="0f1115"/>
          <w:spacing w:val="0"/>
          <w:sz w:val="28"/>
          <w:szCs w:val="28"/>
          <w:shd w:val="clear" w:color="auto" w:fill="ffffff"/>
        </w:rPr>
        <w:t xml:space="preserve">投标人在开标及评标期间应确保通信畅通，及时登录“苏采云”系统查阅并响应相关信息，同时指定专人负责与</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代理机构</w:t>
      </w:r>
      <w:r>
        <w:rPr>
          <w:rFonts w:hint="eastAsia" w:ascii="仿宋_GB2312" w:hAnsi="仿宋_GB2312" w:eastAsia="仿宋_GB2312" w:cs="仿宋_GB2312"/>
          <w:i w:val="0"/>
          <w:iCs w:val="0"/>
          <w:caps w:val="0"/>
          <w:color w:val="0f1115"/>
          <w:spacing w:val="0"/>
          <w:sz w:val="28"/>
          <w:szCs w:val="28"/>
          <w:shd w:val="clear" w:color="auto" w:fill="ffffff"/>
        </w:rPr>
        <w:t xml:space="preserve">及评标委员会联络。</w:t>
      </w:r>
      <w:r/>
    </w:p>
    <w:p>
      <w:pPr>
        <w:ind w:firstLine="562"/>
        <w:keepLines w:val="0"/>
        <w:keepNext w:val="0"/>
        <w:pageBreakBefore w:val="0"/>
        <w:spacing w:line="480" w:lineRule="exact"/>
        <w:rPr>
          <w:rFonts w:hint="eastAsia" w:ascii="仿宋_GB2312" w:hAnsi="仿宋_GB2312" w:eastAsia="仿宋_GB2312" w:cs="仿宋_GB2312"/>
          <w:b/>
          <w:bCs w:val="0"/>
          <w:color w:val="000000"/>
          <w:sz w:val="28"/>
          <w:szCs w:val="28"/>
        </w:rPr>
        <w:outlineLvl w:val="9"/>
      </w:pPr>
      <w:r>
        <w:rPr>
          <w:rFonts w:hint="eastAsia" w:ascii="仿宋_GB2312" w:hAnsi="仿宋_GB2312" w:eastAsia="仿宋_GB2312" w:cs="仿宋_GB2312"/>
          <w:b/>
          <w:bCs w:val="0"/>
          <w:color w:val="000000"/>
          <w:sz w:val="28"/>
          <w:szCs w:val="28"/>
        </w:rPr>
        <w:t xml:space="preserve">27、无效投标条款和废标条款</w:t>
      </w:r>
      <w:r/>
    </w:p>
    <w:p>
      <w:pPr>
        <w:ind w:firstLine="562"/>
        <w:pageBreakBefore w:val="0"/>
        <w:spacing w:line="480" w:lineRule="exact"/>
        <w:rPr>
          <w:rFonts w:ascii="仿宋_GB2312" w:hAnsi="仿宋_GB2312" w:eastAsia="仿宋_GB2312" w:cs="仿宋_GB2312"/>
          <w:b/>
          <w:bCs w:val="0"/>
          <w:sz w:val="28"/>
          <w:szCs w:val="28"/>
        </w:rPr>
      </w:pPr>
      <w:r>
        <w:rPr>
          <w:rFonts w:hint="eastAsia" w:ascii="仿宋_GB2312" w:hAnsi="仿宋_GB2312" w:eastAsia="仿宋_GB2312" w:cs="仿宋_GB2312"/>
          <w:b/>
          <w:bCs w:val="0"/>
          <w:color w:val="000000"/>
          <w:sz w:val="28"/>
          <w:szCs w:val="28"/>
        </w:rPr>
        <w:t xml:space="preserve">27.1无</w:t>
      </w:r>
      <w:r>
        <w:rPr>
          <w:rFonts w:hint="eastAsia" w:ascii="仿宋_GB2312" w:hAnsi="仿宋_GB2312" w:eastAsia="仿宋_GB2312" w:cs="仿宋_GB2312"/>
          <w:b/>
          <w:bCs w:val="0"/>
          <w:sz w:val="28"/>
          <w:szCs w:val="28"/>
        </w:rPr>
        <w:t xml:space="preserve">效投标条款</w:t>
      </w:r>
      <w:r/>
    </w:p>
    <w:p>
      <w:pPr>
        <w:ind w:firstLine="560"/>
        <w:pageBreakBefore w:val="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规定的时间内未成功解密电子投标文件的。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pageBreakBefore w:val="0"/>
        <w:spacing w:line="48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pageBreakBefore w:val="0"/>
        <w:spacing w:line="480" w:lineRule="exact"/>
        <w:rPr>
          <w:rFonts w:ascii="黑体" w:hAnsi="黑体" w:eastAsia="黑体" w:cs="黑体"/>
          <w:bCs/>
          <w:i/>
          <w:color w:val="000000"/>
          <w:sz w:val="28"/>
          <w:szCs w:val="28"/>
          <w:highlight w:val="yellow"/>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highlight w:val="yellow"/>
        </w:rPr>
        <w:t xml:space="preserve">（</w:t>
      </w:r>
      <w:r>
        <w:rPr>
          <w:rFonts w:hint="eastAsia" w:ascii="黑体" w:hAnsi="黑体" w:eastAsia="黑体" w:cs="黑体"/>
          <w:bCs/>
          <w:i/>
          <w:color w:val="000000"/>
          <w:sz w:val="28"/>
          <w:szCs w:val="28"/>
          <w:highlight w:val="yellow"/>
          <w:u w:val="single"/>
        </w:rPr>
        <w:t xml:space="preserve">本招标文件中斜体且有下划线部分为实质性要求和条件）。</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pageBreakBefore w:val="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2"/>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
          <w:bCs w:val="0"/>
          <w:color w:val="ff0000"/>
          <w:sz w:val="28"/>
          <w:szCs w:val="28"/>
          <w:lang w:eastAsia="zh-CN"/>
        </w:rPr>
        <w:t xml:space="preserve">根据财政部《</w:t>
      </w:r>
      <w:r>
        <w:rPr>
          <w:rFonts w:hint="eastAsia" w:ascii="仿宋_GB2312" w:hAnsi="仿宋_GB2312" w:eastAsia="仿宋_GB2312" w:cs="仿宋_GB2312"/>
          <w:b/>
          <w:bCs w:val="0"/>
          <w:color w:val="ff0000"/>
          <w:sz w:val="28"/>
          <w:szCs w:val="28"/>
        </w:rPr>
        <w:t xml:space="preserve">关于推动解决政府采购异常低价问题的通知</w:t>
      </w:r>
      <w:r>
        <w:rPr>
          <w:rFonts w:hint="eastAsia" w:ascii="仿宋_GB2312" w:hAnsi="仿宋_GB2312" w:eastAsia="仿宋_GB2312" w:cs="仿宋_GB2312"/>
          <w:b/>
          <w:bCs w:val="0"/>
          <w:color w:val="ff0000"/>
          <w:sz w:val="28"/>
          <w:szCs w:val="28"/>
          <w:lang w:eastAsia="zh-CN"/>
        </w:rPr>
        <w:t xml:space="preserve">》</w:t>
      </w:r>
      <w:r>
        <w:rPr>
          <w:rFonts w:hint="eastAsia" w:ascii="仿宋_GB2312" w:hAnsi="仿宋_GB2312" w:eastAsia="仿宋_GB2312" w:cs="仿宋_GB2312"/>
          <w:b/>
          <w:bCs w:val="0"/>
          <w:color w:val="ff0000"/>
          <w:sz w:val="28"/>
          <w:szCs w:val="28"/>
        </w:rPr>
        <w:t xml:space="preserve">财库〔2026〕2号文件要求</w:t>
      </w:r>
      <w:r>
        <w:rPr>
          <w:rFonts w:hint="eastAsia" w:ascii="仿宋_GB2312" w:hAnsi="仿宋_GB2312" w:eastAsia="仿宋_GB2312" w:cs="仿宋_GB2312"/>
          <w:bCs/>
          <w:color w:val="ff0000"/>
          <w:sz w:val="28"/>
          <w:szCs w:val="28"/>
          <w:lang w:eastAsia="zh-CN"/>
        </w:rPr>
        <w:t xml:space="preserve">，</w:t>
      </w:r>
      <w:r>
        <w:rPr>
          <w:rFonts w:hint="eastAsia" w:ascii="仿宋_GB2312" w:hAnsi="仿宋_GB2312" w:eastAsia="仿宋_GB2312" w:cs="仿宋_GB2312"/>
          <w:bCs/>
          <w:color w:val="ff0000"/>
          <w:sz w:val="28"/>
          <w:szCs w:val="28"/>
        </w:rPr>
        <w:t xml:space="preserve">评审过程中出现下列情形之一的，</w:t>
      </w:r>
      <w:r>
        <w:rPr>
          <w:rFonts w:hint="eastAsia" w:ascii="仿宋_GB2312" w:hAnsi="仿宋_GB2312" w:eastAsia="仿宋_GB2312" w:cs="仿宋_GB2312"/>
          <w:bCs/>
          <w:color w:val="ff0000"/>
          <w:sz w:val="28"/>
          <w:szCs w:val="28"/>
          <w:lang w:eastAsia="zh-CN"/>
        </w:rPr>
        <w:t xml:space="preserve">评审委员会</w:t>
      </w:r>
      <w:r>
        <w:rPr>
          <w:rFonts w:hint="eastAsia" w:ascii="仿宋_GB2312" w:hAnsi="仿宋_GB2312" w:eastAsia="仿宋_GB2312" w:cs="仿宋_GB2312"/>
          <w:bCs/>
          <w:color w:val="ff0000"/>
          <w:sz w:val="28"/>
          <w:szCs w:val="28"/>
        </w:rPr>
        <w:t xml:space="preserve">应当启动异常低价投标(响应)审查程序:</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1.投标（响应）报价低于全部通过符合性审查供应商投标（响应）报价平均值50%的，即投标（响应）报价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全部通过符合性审查供应商投标（响应）报价平均值×50%；</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2.投标（响应）报价低于通过符合性审查的次低报价供应商投标（响应）报价50%的，即投标（响应）报价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通过符合性审查的次低报价供应商投标（响应）报价×50%；</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3.投标（响应）报价低于采购项目最高限价45%的，即投标（响应）报价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采购项目最高限价×45%；</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4.评审委员会基于专业判断，认为供应商报价过低，有可能影响产品质量或者不能诚信履约的其他情形。</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仿宋_GB2312" w:hAnsi="仿宋_GB2312" w:eastAsia="仿宋_GB2312" w:cs="仿宋_GB2312"/>
          <w:b/>
          <w:bCs w:val="0"/>
          <w:color w:val="0000ff"/>
          <w:sz w:val="28"/>
          <w:szCs w:val="28"/>
        </w:rPr>
        <w:t xml:space="preserve">不少于30分钟</w:t>
      </w:r>
      <w:r>
        <w:rPr>
          <w:rFonts w:hint="eastAsia" w:ascii="仿宋_GB2312" w:hAnsi="仿宋_GB2312" w:eastAsia="仿宋_GB2312" w:cs="仿宋_GB2312"/>
          <w:bCs/>
          <w:color w:val="auto"/>
          <w:sz w:val="28"/>
          <w:szCs w:val="28"/>
        </w:rPr>
        <w:t xml:space="preserve">。其中，属于第3项情形，供应商已随投标（响应）文件一并提交相关书面说明及必要的证明材料的，在评审现场可不再重复提交。</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pageBreakBefore w:val="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w:t>
      </w:r>
      <w:r>
        <w:rPr>
          <w:rFonts w:hint="eastAsia" w:ascii="仿宋_GB2312" w:hAnsi="仿宋_GB2312" w:eastAsia="仿宋_GB2312" w:cs="仿宋_GB2312"/>
          <w:bCs/>
          <w:color w:val="000000"/>
          <w:sz w:val="28"/>
          <w:szCs w:val="28"/>
          <w:lang w:val="en-US" w:eastAsia="zh-CN"/>
        </w:rPr>
        <w:t xml:space="preserve">7</w:t>
      </w:r>
      <w:r>
        <w:rPr>
          <w:rFonts w:hint="eastAsia" w:ascii="仿宋_GB2312" w:hAnsi="仿宋_GB2312" w:eastAsia="仿宋_GB2312" w:cs="仿宋_GB2312"/>
          <w:bCs/>
          <w:color w:val="000000"/>
          <w:sz w:val="28"/>
          <w:szCs w:val="28"/>
        </w:rPr>
        <w:t xml:space="preserve">.1.13 投标人所投标产品不符合招标文件中所列国家强制性标准的。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w:t>
      </w:r>
      <w:r>
        <w:rPr>
          <w:rFonts w:hint="eastAsia" w:ascii="仿宋_GB2312" w:hAnsi="仿宋_GB2312" w:eastAsia="仿宋_GB2312" w:cs="仿宋_GB2312"/>
          <w:bCs/>
          <w:color w:val="000000"/>
          <w:sz w:val="28"/>
          <w:szCs w:val="28"/>
          <w:lang w:val="en-US" w:eastAsia="zh-CN"/>
        </w:rPr>
        <w:t xml:space="preserve">7</w:t>
      </w:r>
      <w:r>
        <w:rPr>
          <w:rFonts w:hint="eastAsia" w:ascii="仿宋_GB2312" w:hAnsi="仿宋_GB2312" w:eastAsia="仿宋_GB2312" w:cs="仿宋_GB2312"/>
          <w:bCs/>
          <w:color w:val="000000"/>
          <w:sz w:val="28"/>
          <w:szCs w:val="28"/>
        </w:rPr>
        <w:t xml:space="preserve">.1.1</w:t>
      </w:r>
      <w:r>
        <w:rPr>
          <w:rFonts w:hint="eastAsia" w:ascii="仿宋_GB2312" w:hAnsi="仿宋_GB2312" w:eastAsia="仿宋_GB2312" w:cs="仿宋_GB2312"/>
          <w:bCs/>
          <w:color w:val="000000"/>
          <w:sz w:val="28"/>
          <w:szCs w:val="28"/>
          <w:lang w:val="en-US" w:eastAsia="zh-CN"/>
        </w:rPr>
        <w:t xml:space="preserve">4</w:t>
      </w:r>
      <w:r>
        <w:rPr>
          <w:rFonts w:hint="eastAsia" w:ascii="仿宋_GB2312" w:hAnsi="仿宋_GB2312" w:eastAsia="仿宋_GB2312" w:cs="仿宋_GB2312"/>
          <w:bCs/>
          <w:color w:val="000000"/>
          <w:sz w:val="28"/>
          <w:szCs w:val="28"/>
        </w:rPr>
        <w:t xml:space="preserve">其他法律、法规及本招标文件规定的属无效投标的情形。</w:t>
      </w:r>
      <w:r/>
    </w:p>
    <w:p>
      <w:pPr>
        <w:ind w:firstLine="562"/>
        <w:pageBreakBefore w:val="0"/>
        <w:spacing w:line="480" w:lineRule="exact"/>
        <w:rPr>
          <w:rFonts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27.2废标条款</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六、定标</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28、确定中标单位</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将在“江苏政府采购网”发布中标公告，公告期限为1个工作日。</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行贿或者提供其他不正当利益的。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或采购人提出质疑。上述应知其权益受到损害之日，是指：</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29.2.2对采购过程提出质疑的，为各采购程序环节结束之日；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29.2.3对中标或者成交结果提出质疑的，为中标或者成交结果公告期限届满之日。</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、采购人将只对供应商第一次质疑作出答复。</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pageBreakBefore w:val="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提出，由</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负责答复。</w:t>
      </w:r>
      <w:r>
        <w:rPr>
          <w:rFonts w:hint="eastAsia" w:ascii="仿宋_GB2312" w:hAnsi="仿宋_GB2312" w:eastAsia="仿宋_GB2312" w:cs="仿宋_GB2312"/>
          <w:b/>
          <w:sz w:val="28"/>
          <w:szCs w:val="28"/>
        </w:rPr>
        <w:t xml:space="preserve"> </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只接收以纸质原件形式送达的质疑,建议供应商尽量通过邮寄方式提交质疑（采购人和</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不接受无快递运单号的快递）。</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color w:val="000000"/>
          <w:sz w:val="28"/>
          <w:szCs w:val="28"/>
        </w:rPr>
        <w:t xml:space="preserve">质疑接收人及联系方式见招标文件第一章。</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有权依据政府采购的有关规定，报请政府采购监管部门对该供应商进行相应的行政处罚和记录该供应商的失信信息。</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七、授予合同</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31. 签订合同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pageBreakBefore w:val="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562"/>
        <w:pageBreakBefore w:val="0"/>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34、落实《商品包装政府采购需求标准（试行）》、《快递包装政府采购需求标准（试行）》的相关政策，商品包装和快递包装应符合文件要求。</w:t>
      </w:r>
      <w:r/>
    </w:p>
    <w:p>
      <w:pPr>
        <w:ind w:firstLine="562"/>
        <w:pageBreakBefore w:val="0"/>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35、按照《绿色数据中心政府采购需求标准(试行)》（财库[2023]7号）文件要求执行。</w:t>
      </w:r>
      <w:r/>
    </w:p>
    <w:p>
      <w:pPr>
        <w:ind w:firstLine="562"/>
        <w:pageBreakBefore w:val="0"/>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r>
      <w:r/>
    </w:p>
    <w:p>
      <w:pPr>
        <w:ind w:firstLine="420"/>
        <w:pageBreakBefore w:val="0"/>
        <w:spacing w:line="480" w:lineRule="exact"/>
        <w:rPr>
          <w:rFonts w:ascii="Times New Roman" w:hAnsi="Times New Roman"/>
          <w:color w:val="000000"/>
          <w:szCs w:val="21"/>
        </w:rPr>
      </w:pPr>
      <w:r>
        <w:rPr>
          <w:rFonts w:ascii="Times New Roman" w:hAnsi="Times New Roman"/>
          <w:color w:val="000000"/>
          <w:szCs w:val="21"/>
        </w:rPr>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bookmarkEnd w:id="17"/>
      <w:r/>
    </w:p>
    <w:p>
      <w:pPr>
        <w:jc w:val="center"/>
        <w:rPr>
          <w:rFonts w:eastAsia="黑体"/>
        </w:rPr>
      </w:pPr>
      <w:r>
        <w:rPr>
          <w:rFonts w:eastAsia="黑体"/>
        </w:rPr>
      </w:r>
      <w:r/>
    </w:p>
    <w:p>
      <w:pPr>
        <w:jc w:val="center"/>
        <w:rPr>
          <w:rFonts w:eastAsia="黑体"/>
        </w:rPr>
      </w:pPr>
      <w:r>
        <w:rPr>
          <w:rFonts w:eastAsia="黑体"/>
        </w:rPr>
      </w:r>
      <w:r/>
    </w:p>
    <w:p>
      <w:pPr>
        <w:jc w:val="center"/>
        <w:keepNext/>
        <w:pageBreakBefore/>
        <w:rPr>
          <w:rFonts w:ascii="黑体" w:hAnsi="Times New Roman" w:eastAsia="黑体"/>
          <w:bCs/>
          <w:color w:val="000000"/>
          <w:sz w:val="36"/>
        </w:rPr>
        <w:outlineLvl w:val="0"/>
      </w:pPr>
      <w:r/>
      <w:bookmarkStart w:id="18" w:name="_Hlt16619475"/>
      <w:r/>
      <w:bookmarkEnd w:id="18"/>
      <w:r/>
      <w:bookmarkStart w:id="19" w:name="_Toc479757207"/>
      <w:r/>
      <w:bookmarkStart w:id="20" w:name="_Toc120614221"/>
      <w:r/>
      <w:bookmarkStart w:id="21" w:name="_Toc16938558"/>
      <w:r/>
      <w:bookmarkStart w:id="22" w:name="_Toc513029242"/>
      <w:r/>
      <w:bookmarkStart w:id="23" w:name="_Toc20823314"/>
      <w:r>
        <w:rPr>
          <w:rFonts w:hint="eastAsia" w:ascii="黑体" w:hAnsi="Times New Roman" w:eastAsia="黑体"/>
          <w:bCs/>
          <w:color w:val="000000"/>
          <w:sz w:val="36"/>
        </w:rPr>
        <w:t xml:space="preserve">第三章  合同</w:t>
      </w:r>
      <w:bookmarkEnd w:id="19"/>
      <w:r/>
      <w:bookmarkEnd w:id="20"/>
      <w:r/>
      <w:bookmarkEnd w:id="21"/>
      <w:r/>
      <w:bookmarkEnd w:id="22"/>
      <w:r/>
      <w:bookmarkEnd w:id="23"/>
      <w:r>
        <w:rPr>
          <w:rFonts w:hint="eastAsia" w:ascii="黑体" w:hAnsi="Times New Roman" w:eastAsia="黑体"/>
          <w:bCs/>
          <w:color w:val="000000"/>
          <w:sz w:val="36"/>
        </w:rPr>
        <w:t xml:space="preserve">文本</w:t>
      </w:r>
      <w:r/>
    </w:p>
    <w:p>
      <w:pPr>
        <w:ind w:firstLine="480"/>
        <w:spacing w:line="500" w:lineRule="exact"/>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r>
      <w:r/>
    </w:p>
    <w:p>
      <w:pPr>
        <w:ind w:firstLine="800"/>
        <w:jc w:val="center"/>
        <w:spacing w:line="520" w:lineRule="exact"/>
        <w:rPr>
          <w:rFonts w:ascii="方正小标宋_GBK" w:hAnsi="方正小标宋_GBK" w:eastAsia="方正小标宋_GBK" w:cs="方正小标宋_GBK"/>
          <w:bCs/>
          <w:sz w:val="40"/>
          <w:szCs w:val="40"/>
        </w:rPr>
        <w:outlineLvl w:val="0"/>
      </w:pPr>
      <w:r>
        <w:rPr>
          <w:rFonts w:ascii="方正小标宋_GBK" w:hAnsi="方正小标宋_GBK" w:eastAsia="方正小标宋_GBK" w:cs="方正小标宋_GBK"/>
          <w:bCs/>
          <w:sz w:val="40"/>
          <w:szCs w:val="40"/>
        </w:rPr>
      </w:r>
      <w:r/>
    </w:p>
    <w:p>
      <w:pPr>
        <w:ind w:firstLine="800"/>
        <w:jc w:val="center"/>
        <w:spacing w:line="520" w:lineRule="exact"/>
        <w:rPr>
          <w:rFonts w:hint="eastAsia" w:ascii="方正小标宋_GBK" w:hAnsi="方正小标宋_GBK" w:eastAsia="方正小标宋_GBK" w:cs="方正小标宋_GBK"/>
          <w:bCs/>
          <w:sz w:val="40"/>
          <w:szCs w:val="40"/>
          <w:lang w:eastAsia="zh-CN"/>
        </w:rPr>
        <w:outlineLvl w:val="0"/>
      </w:pPr>
      <w:r>
        <w:rPr>
          <w:rFonts w:hint="eastAsia" w:ascii="方正小标宋_GBK" w:hAnsi="方正小标宋_GBK" w:eastAsia="方正小标宋_GBK" w:cs="方正小标宋_GBK"/>
          <w:bCs/>
          <w:sz w:val="40"/>
          <w:szCs w:val="40"/>
        </w:rPr>
        <w:t xml:space="preserve">江苏省政府采购合同</w:t>
      </w:r>
      <w:r>
        <w:rPr>
          <w:rFonts w:hint="eastAsia" w:ascii="方正小标宋_GBK" w:hAnsi="方正小标宋_GBK" w:eastAsia="方正小标宋_GBK" w:cs="方正小标宋_GBK"/>
          <w:bCs/>
          <w:sz w:val="40"/>
          <w:szCs w:val="40"/>
          <w:lang w:eastAsia="zh-CN"/>
        </w:rPr>
        <w:t xml:space="preserve">（参考）</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bookmarkEnd w:id="7"/>
      <w:bookmarkEnd w:id="8"/>
      <w:bookmarkEnd w:id="9"/>
      <w:r/>
    </w:p>
    <w:p>
      <w:pPr>
        <w:rPr>
          <w:rFonts w:ascii="宋体" w:hAnsi="宋体" w:cs="宋体"/>
          <w:b/>
          <w:bCs/>
          <w:spacing w:val="-20"/>
          <w:sz w:val="40"/>
          <w:szCs w:val="40"/>
        </w:rPr>
      </w:pPr>
      <w:r/>
      <w:bookmarkStart w:id="24" w:name="_Toc20823346"/>
      <w:r/>
      <w:bookmarkEnd w:id="24"/>
      <w:r/>
      <w:bookmarkStart w:id="25" w:name="_Toc120614244"/>
      <w:r/>
      <w:bookmarkEnd w:id="25"/>
      <w:r/>
      <w:bookmarkStart w:id="26" w:name="_Hlt16619350"/>
      <w:r/>
      <w:bookmarkEnd w:id="26"/>
      <w:r/>
      <w:bookmarkStart w:id="27" w:name="_Toc16938590"/>
      <w:r/>
      <w:bookmarkEnd w:id="27"/>
      <w:r/>
      <w:bookmarkStart w:id="28" w:name="_Toc3995"/>
      <w:r/>
      <w:bookmarkStart w:id="29" w:name="_Toc462564139"/>
      <w:r/>
      <w:bookmarkStart w:id="30" w:name="_Toc479757211"/>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bookmarkEnd w:id="28"/>
      <w:r/>
    </w:p>
    <w:p>
      <w:pPr>
        <w:pStyle w:val="825"/>
        <w:jc w:val="center"/>
        <w:spacing w:line="400" w:lineRule="exact"/>
        <w:rPr>
          <w:rFonts w:hint="eastAsia" w:ascii="黑体" w:hAnsi="黑体" w:eastAsia="黑体"/>
          <w:sz w:val="28"/>
          <w:szCs w:val="28"/>
        </w:rPr>
      </w:pPr>
      <w:r/>
      <w:bookmarkStart w:id="31" w:name="_Toc22209"/>
      <w:r/>
      <w:r/>
    </w:p>
    <w:p>
      <w:pPr>
        <w:pStyle w:val="825"/>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31"/>
      <w:r/>
      <w:r/>
    </w:p>
    <w:p>
      <w:pPr>
        <w:pStyle w:val="825"/>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before="0" w:line="400" w:lineRule="exact"/>
        <w:rPr>
          <w:rFonts w:hint="default" w:eastAsia="宋体"/>
          <w:lang w:val="en-US" w:eastAsia="zh-CN"/>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pStyle w:val="831"/>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2"/>
        </w:numPr>
        <w:ind w:firstLine="422"/>
        <w:spacing w:before="0" w:line="400" w:lineRule="exact"/>
        <w:rPr>
          <w:rFonts w:ascii="宋体" w:hAnsi="宋体"/>
          <w:b/>
          <w:szCs w:val="21"/>
        </w:rPr>
      </w:pPr>
      <w:r>
        <w:rPr>
          <w:rFonts w:hint="eastAsia" w:ascii="宋体" w:hAnsi="宋体"/>
          <w:b/>
          <w:szCs w:val="21"/>
        </w:rPr>
        <w:t xml:space="preserve">项目信息</w:t>
      </w:r>
      <w:r/>
    </w:p>
    <w:p>
      <w:pPr>
        <w:pStyle w:val="831"/>
        <w:numPr>
          <w:ilvl w:val="0"/>
          <w:numId w:val="3"/>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31"/>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831"/>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84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84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849"/>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49"/>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849"/>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849"/>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849"/>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849"/>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849"/>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849"/>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849"/>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49"/>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849"/>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849"/>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849"/>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2"/>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85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849"/>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849"/>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2"/>
        </w:numPr>
        <w:ind w:firstLine="422"/>
        <w:spacing w:before="0"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49"/>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849"/>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850"/>
        <w:spacing w:line="400" w:lineRule="exact"/>
      </w:pPr>
      <w:r/>
      <w:r/>
    </w:p>
    <w:p>
      <w:pPr>
        <w:pStyle w:val="825"/>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850"/>
        <w:rPr>
          <w:rFonts w:hint="eastAsia"/>
        </w:rPr>
      </w:pPr>
      <w:r>
        <w:rPr>
          <w:rFonts w:hint="eastAsia"/>
        </w:rPr>
      </w:r>
      <w:r/>
    </w:p>
    <w:tbl>
      <w:tblPr>
        <w:tblStyle w:val="82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6"/>
        <w:gridCol w:w="2596"/>
        <w:gridCol w:w="2130"/>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3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25"/>
        <w:jc w:val="center"/>
        <w:spacing w:before="156"/>
        <w:rPr>
          <w:rFonts w:ascii="黑体" w:hAnsi="黑体" w:eastAsia="黑体"/>
          <w:sz w:val="28"/>
          <w:szCs w:val="28"/>
        </w:rPr>
      </w:pPr>
      <w:r>
        <w:rPr>
          <w:rFonts w:ascii="宋体" w:hAnsi="宋体"/>
          <w:sz w:val="21"/>
          <w:szCs w:val="21"/>
          <w:u w:val="single"/>
        </w:rPr>
        <w:br w:type="page" w:clear="all"/>
      </w:r>
      <w:bookmarkStart w:id="32" w:name="_Toc27624"/>
      <w:r>
        <w:rPr>
          <w:rFonts w:hint="eastAsia" w:ascii="黑体" w:hAnsi="黑体" w:eastAsia="黑体"/>
          <w:b w:val="0"/>
          <w:bCs w:val="0"/>
          <w:sz w:val="28"/>
          <w:szCs w:val="28"/>
        </w:rPr>
        <w:t xml:space="preserve">第二节 政府采购合同通用条款</w:t>
      </w:r>
      <w:bookmarkEnd w:id="32"/>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830"/>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830"/>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849"/>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832"/>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832"/>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3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33"/>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825"/>
        <w:ind w:firstLine="420"/>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830"/>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849"/>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849"/>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849"/>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849"/>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84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84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4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30"/>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84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84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84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849"/>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8"/>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34"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82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34"/>
      <w:r/>
      <w:r/>
    </w:p>
    <w:tbl>
      <w:tblPr>
        <w:tblStyle w:val="82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849"/>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r/>
      <w:r/>
    </w:p>
    <w:p>
      <w:pPr>
        <w:jc w:val="center"/>
        <w:spacing w:before="120" w:after="120" w:line="0" w:lineRule="atLeast"/>
        <w:rPr>
          <w:rFonts w:ascii="黑体" w:hAnsi="Courier New" w:eastAsia="黑体" w:cs="Courier New"/>
          <w:bCs/>
          <w:color w:val="000000"/>
          <w:sz w:val="40"/>
          <w:szCs w:val="20"/>
        </w:rPr>
        <w:sectPr>
          <w:footerReference w:type="default" r:id="rId13"/>
          <w:footnotePr/>
          <w:endnotePr/>
          <w:type w:val="nextPage"/>
          <w:pgSz w:w="11906" w:h="16838" w:orient="portrait"/>
          <w:pgMar w:top="1440" w:right="1474" w:bottom="1440" w:left="1474" w:header="851" w:footer="992" w:gutter="0"/>
          <w:pgNumType w:start="1"/>
          <w:cols w:num="1" w:sep="0" w:space="0" w:equalWidth="1"/>
          <w:docGrid w:linePitch="360"/>
        </w:sectPr>
      </w:pPr>
      <w:r>
        <w:rPr>
          <w:rFonts w:ascii="黑体" w:hAnsi="Courier New" w:eastAsia="黑体" w:cs="Courier New"/>
          <w:bCs/>
          <w:color w:val="000000"/>
          <w:sz w:val="40"/>
          <w:szCs w:val="20"/>
        </w:rPr>
      </w:r>
      <w:r/>
    </w:p>
    <w:p>
      <w:pPr>
        <w:pStyle w:val="844"/>
        <w:jc w:val="center"/>
        <w:spacing w:before="120" w:after="120" w:line="520" w:lineRule="exact"/>
        <w:rPr>
          <w:rFonts w:ascii="黑体" w:hAnsi="黑体" w:eastAsia="黑体" w:cs="黑体"/>
          <w:sz w:val="36"/>
          <w:szCs w:val="36"/>
        </w:rPr>
      </w:pPr>
      <w:r/>
      <w:bookmarkStart w:id="35" w:name="_Toc120614281"/>
      <w:r/>
      <w:bookmarkStart w:id="36" w:name="_Toc49090575"/>
      <w:r/>
      <w:bookmarkStart w:id="37" w:name="_Toc26554093"/>
      <w:r>
        <w:rPr>
          <w:rFonts w:hint="eastAsia" w:ascii="黑体" w:hAnsi="黑体" w:eastAsia="黑体" w:cs="黑体"/>
          <w:bCs/>
          <w:sz w:val="36"/>
          <w:szCs w:val="36"/>
        </w:rPr>
        <w:t xml:space="preserve">第四章 采购需求</w:t>
      </w:r>
      <w:r/>
    </w:p>
    <w:p>
      <w:pPr>
        <w:pStyle w:val="848"/>
        <w:contextualSpacing/>
        <w:ind w:firstLine="0"/>
        <w:keepLines w:val="0"/>
        <w:keepNext w:val="0"/>
        <w:pageBreakBefore w:val="0"/>
        <w:spacing w:line="520" w:lineRule="exact"/>
        <w:widowControl w:val="off"/>
        <w:rPr>
          <w:rFonts w:hint="eastAsia" w:ascii="仿宋" w:hAnsi="仿宋" w:eastAsia="仿宋" w:cs="仿宋"/>
          <w:b/>
          <w:sz w:val="28"/>
          <w:szCs w:val="28"/>
        </w:rPr>
      </w:pPr>
      <w:r/>
      <w:bookmarkStart w:id="38" w:name="_Toc515706159"/>
      <w:r>
        <w:rPr>
          <w:rFonts w:hint="eastAsia" w:ascii="仿宋" w:hAnsi="仿宋" w:eastAsia="仿宋" w:cs="仿宋"/>
          <w:b/>
          <w:sz w:val="28"/>
          <w:szCs w:val="28"/>
        </w:rPr>
        <w:t xml:space="preserve">一、项目基本情况</w:t>
      </w:r>
      <w:r/>
    </w:p>
    <w:p>
      <w:pPr>
        <w:contextualSpacing/>
        <w:ind w:firstLine="480"/>
        <w:keepLines w:val="0"/>
        <w:keepNext w:val="0"/>
        <w:pageBreakBefore w:val="0"/>
        <w:spacing w:line="52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（一）项目名称：</w:t>
      </w:r>
      <w:r>
        <w:rPr>
          <w:rFonts w:hint="eastAsia" w:ascii="仿宋" w:hAnsi="仿宋" w:eastAsia="仿宋" w:cs="仿宋"/>
          <w:bCs/>
          <w:sz w:val="28"/>
          <w:szCs w:val="28"/>
          <w:lang w:val="en-US" w:eastAsia="zh-CN"/>
        </w:rPr>
        <w:t xml:space="preserve">兴化市人民体育场草坪采购项目。</w:t>
      </w:r>
      <w:r/>
    </w:p>
    <w:p>
      <w:pPr>
        <w:contextualSpacing/>
        <w:ind w:firstLine="480"/>
        <w:keepLines w:val="0"/>
        <w:keepNext w:val="0"/>
        <w:pageBreakBefore w:val="0"/>
        <w:spacing w:line="520" w:lineRule="exact"/>
        <w:widowControl w:val="off"/>
        <w:rPr>
          <w:rFonts w:hint="default" w:ascii="仿宋" w:hAnsi="仿宋" w:eastAsia="仿宋" w:cs="仿宋"/>
          <w:bCs/>
          <w:sz w:val="28"/>
          <w:szCs w:val="28"/>
          <w:highlight w:val="none"/>
          <w:lang w:val="en-US" w:eastAsia="zh-CN"/>
        </w:rPr>
      </w:pPr>
      <w:r>
        <w:rPr>
          <w:rFonts w:hint="eastAsia" w:ascii="仿宋" w:hAnsi="仿宋" w:eastAsia="仿宋" w:cs="仿宋"/>
          <w:bCs/>
          <w:sz w:val="28"/>
          <w:szCs w:val="28"/>
          <w:lang w:eastAsia="zh-CN"/>
        </w:rPr>
        <w:t xml:space="preserve">（二）</w:t>
      </w:r>
      <w:r>
        <w:rPr>
          <w:rFonts w:hint="eastAsia" w:ascii="仿宋" w:hAnsi="仿宋" w:eastAsia="仿宋" w:cs="仿宋"/>
          <w:bCs/>
          <w:sz w:val="28"/>
          <w:szCs w:val="28"/>
          <w:highlight w:val="none"/>
          <w:lang w:eastAsia="zh-CN"/>
        </w:rPr>
        <w:t xml:space="preserve">采购金额：</w:t>
      </w:r>
      <w:r>
        <w:rPr>
          <w:rFonts w:hint="eastAsia" w:ascii="仿宋" w:hAnsi="仿宋" w:eastAsia="仿宋" w:cs="仿宋"/>
          <w:bCs/>
          <w:sz w:val="28"/>
          <w:szCs w:val="28"/>
          <w:highlight w:val="none"/>
          <w:lang w:val="en-US" w:eastAsia="zh-CN"/>
        </w:rPr>
        <w:t xml:space="preserve">131万元。</w:t>
      </w:r>
      <w:r/>
    </w:p>
    <w:p>
      <w:pPr>
        <w:contextualSpacing/>
        <w:ind w:firstLine="1195"/>
        <w:keepLines w:val="0"/>
        <w:keepNext w:val="0"/>
        <w:pageBreakBefore w:val="0"/>
        <w:spacing w:line="520" w:lineRule="exact"/>
        <w:widowControl w:val="off"/>
        <w:rPr>
          <w:rFonts w:hint="default" w:ascii="仿宋" w:hAnsi="仿宋" w:eastAsia="仿宋" w:cs="仿宋"/>
          <w:bCs/>
          <w:sz w:val="28"/>
          <w:szCs w:val="28"/>
          <w:highlight w:val="none"/>
          <w:lang w:val="en-US"/>
        </w:rPr>
      </w:pPr>
      <w:r>
        <w:rPr>
          <w:rFonts w:hint="eastAsia" w:ascii="仿宋" w:hAnsi="仿宋" w:eastAsia="仿宋" w:cs="仿宋"/>
          <w:bCs/>
          <w:sz w:val="28"/>
          <w:szCs w:val="28"/>
          <w:highlight w:val="none"/>
          <w:lang w:eastAsia="zh-CN"/>
        </w:rPr>
        <w:t xml:space="preserve">最高投标限价：</w:t>
      </w:r>
      <w:r>
        <w:rPr>
          <w:rFonts w:hint="eastAsia" w:ascii="仿宋" w:hAnsi="仿宋" w:eastAsia="仿宋" w:cs="仿宋"/>
          <w:bCs/>
          <w:sz w:val="28"/>
          <w:szCs w:val="28"/>
          <w:highlight w:val="none"/>
          <w:lang w:val="en-US" w:eastAsia="zh-CN"/>
        </w:rPr>
        <w:t xml:space="preserve">131万元。</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三</w:t>
      </w:r>
      <w:r>
        <w:rPr>
          <w:rFonts w:hint="eastAsia" w:ascii="仿宋" w:hAnsi="仿宋" w:eastAsia="仿宋" w:cs="仿宋"/>
          <w:bCs/>
          <w:sz w:val="28"/>
          <w:szCs w:val="28"/>
        </w:rPr>
        <w:t xml:space="preserve">）合同履行期限：</w:t>
      </w:r>
      <w:r>
        <w:rPr>
          <w:rFonts w:hint="eastAsia" w:ascii="仿宋" w:hAnsi="仿宋" w:eastAsia="仿宋" w:cs="仿宋"/>
          <w:bCs/>
          <w:sz w:val="28"/>
          <w:szCs w:val="28"/>
          <w:lang w:eastAsia="zh-CN"/>
        </w:rPr>
        <w:t xml:space="preserve">合同签订并</w:t>
      </w:r>
      <w:r>
        <w:rPr>
          <w:rFonts w:hint="eastAsia" w:ascii="仿宋" w:hAnsi="仿宋" w:eastAsia="仿宋" w:cs="仿宋"/>
          <w:sz w:val="28"/>
          <w:szCs w:val="28"/>
        </w:rPr>
        <w:t xml:space="preserve">接到甲方通知后40日内安装</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调试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验收合格</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并交付使用。</w:t>
      </w:r>
      <w:r/>
    </w:p>
    <w:p>
      <w:pPr>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二、采购内容及要求</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本项目拟采购包括</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人制足球场的人造草坪铺设（含减震垫、草坪石英砂、草坪填充颗粒等）和原场地铲除、原基础打磨，修补积水找平处理、防水密封、等。具体内容包括但不限于：货物的制造（采购）、运输、装卸、安装、调试、测试、售后服务、技术培训等，直至通过采购单位部门的验收以及质量保修、免费维保等全部工作。</w:t>
      </w:r>
      <w:r/>
    </w:p>
    <w:p>
      <w:pPr>
        <w:pStyle w:val="848"/>
        <w:contextualSpacing/>
        <w:ind w:firstLine="0"/>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三、采购要求</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中标后，须及时与采购人在投标产品的“功能配置、技术要求等”方面交底沟通。供应商开始制造产品之前，采购人有权要求供应商对产品进行微调，最终的产品须经采购人确认同意。否则，供应商应承担全部责任，同时采购</w:t>
      </w:r>
      <w:r>
        <w:rPr>
          <w:rFonts w:hint="eastAsia" w:ascii="仿宋" w:hAnsi="仿宋" w:eastAsia="仿宋" w:cs="仿宋"/>
          <w:sz w:val="28"/>
          <w:szCs w:val="28"/>
          <w:lang w:eastAsia="zh-CN"/>
        </w:rPr>
        <w:t xml:space="preserve">人</w:t>
      </w:r>
      <w:r>
        <w:rPr>
          <w:rFonts w:hint="eastAsia" w:ascii="仿宋" w:hAnsi="仿宋" w:eastAsia="仿宋" w:cs="仿宋"/>
          <w:sz w:val="28"/>
          <w:szCs w:val="28"/>
        </w:rPr>
        <w:t xml:space="preserve">有权解除本合同，并保留追偿权力。</w:t>
      </w:r>
      <w:r/>
    </w:p>
    <w:p>
      <w:pPr>
        <w:ind w:firstLine="48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w:t>
      </w:r>
      <w:r>
        <w:rPr>
          <w:rFonts w:hint="eastAsia" w:ascii="仿宋" w:hAnsi="仿宋" w:eastAsia="仿宋" w:cs="仿宋"/>
          <w:b w:val="0"/>
          <w:bCs/>
          <w:sz w:val="28"/>
          <w:szCs w:val="28"/>
          <w:vertAlign w:val="baseline"/>
        </w:rPr>
        <w:t xml:space="preserve">★</w:t>
      </w:r>
      <w:r>
        <w:rPr>
          <w:rFonts w:hint="eastAsia" w:ascii="仿宋" w:hAnsi="仿宋" w:eastAsia="仿宋" w:cs="仿宋"/>
          <w:b/>
          <w:bCs w:val="0"/>
          <w:i/>
          <w:iCs/>
          <w:sz w:val="28"/>
          <w:szCs w:val="28"/>
          <w:u w:val="single"/>
          <w:vertAlign w:val="baseline"/>
        </w:rPr>
        <w:t xml:space="preserve">人造草坪场地铺设完成后须通过国际足联场地认证，获取国际足联场地认证证书，官网可查</w:t>
      </w:r>
      <w:r>
        <w:rPr>
          <w:rFonts w:hint="eastAsia" w:ascii="仿宋" w:hAnsi="仿宋" w:eastAsia="仿宋" w:cs="仿宋"/>
          <w:b/>
          <w:bCs w:val="0"/>
          <w:i/>
          <w:iCs/>
          <w:sz w:val="28"/>
          <w:szCs w:val="28"/>
          <w:u w:val="single"/>
          <w:vertAlign w:val="baseline"/>
          <w:lang w:eastAsia="zh-CN"/>
        </w:rPr>
        <w:t xml:space="preserve">（</w:t>
      </w:r>
      <w:r>
        <w:rPr>
          <w:rFonts w:hint="eastAsia" w:ascii="仿宋" w:hAnsi="仿宋" w:eastAsia="仿宋" w:cs="仿宋"/>
          <w:b/>
          <w:bCs w:val="0"/>
          <w:i/>
          <w:iCs/>
          <w:sz w:val="28"/>
          <w:szCs w:val="28"/>
          <w:u w:val="single"/>
          <w:vertAlign w:val="baseline"/>
          <w:lang w:val="en-US" w:eastAsia="zh-CN"/>
        </w:rPr>
        <w:t xml:space="preserve">此项采购要求需明确在合同中</w:t>
      </w:r>
      <w:r>
        <w:rPr>
          <w:rFonts w:hint="eastAsia" w:ascii="仿宋" w:hAnsi="仿宋" w:eastAsia="仿宋" w:cs="仿宋"/>
          <w:b/>
          <w:bCs w:val="0"/>
          <w:i/>
          <w:iCs/>
          <w:sz w:val="28"/>
          <w:szCs w:val="28"/>
          <w:u w:val="single"/>
          <w:vertAlign w:val="baseline"/>
          <w:lang w:eastAsia="zh-CN"/>
        </w:rPr>
        <w:t xml:space="preserve">）</w:t>
      </w:r>
      <w:r>
        <w:rPr>
          <w:rFonts w:hint="eastAsia" w:ascii="仿宋" w:hAnsi="仿宋" w:eastAsia="仿宋" w:cs="仿宋"/>
          <w:b w:val="0"/>
          <w:bCs/>
          <w:sz w:val="28"/>
          <w:szCs w:val="28"/>
          <w:vertAlign w:val="baseline"/>
        </w:rPr>
        <w:t xml:space="preserve">。</w:t>
      </w:r>
      <w:r/>
    </w:p>
    <w:p>
      <w:pPr>
        <w:pStyle w:val="848"/>
        <w:contextualSpacing/>
        <w:ind w:firstLine="0"/>
        <w:keepLines w:val="0"/>
        <w:keepNext w:val="0"/>
        <w:pageBreakBefore w:val="0"/>
        <w:spacing w:line="520" w:lineRule="exact"/>
        <w:widowControl w:val="off"/>
        <w:rPr>
          <w:rFonts w:hint="eastAsia" w:ascii="仿宋" w:hAnsi="仿宋" w:eastAsia="仿宋" w:cs="仿宋"/>
          <w:b/>
          <w:sz w:val="28"/>
          <w:szCs w:val="28"/>
          <w:lang w:val="en-US" w:eastAsia="zh-CN"/>
        </w:rPr>
      </w:pPr>
      <w:r/>
      <w:bookmarkStart w:id="39" w:name="_Hlk193888983"/>
      <w:r>
        <w:rPr>
          <w:rFonts w:hint="eastAsia" w:ascii="仿宋" w:hAnsi="仿宋" w:eastAsia="仿宋" w:cs="仿宋"/>
          <w:b/>
          <w:sz w:val="28"/>
          <w:szCs w:val="28"/>
        </w:rPr>
        <w:t xml:space="preserve">四、采购清单</w:t>
      </w:r>
      <w:r>
        <w:rPr>
          <w:rFonts w:hint="eastAsia" w:ascii="仿宋" w:hAnsi="仿宋" w:eastAsia="仿宋" w:cs="仿宋"/>
          <w:b/>
          <w:sz w:val="28"/>
          <w:szCs w:val="28"/>
          <w:lang w:val="en-US" w:eastAsia="zh-CN"/>
        </w:rPr>
        <w:t xml:space="preserve">及项目要求</w:t>
      </w:r>
      <w:r/>
    </w:p>
    <w:p>
      <w:pPr>
        <w:pStyle w:val="848"/>
        <w:contextualSpacing/>
        <w:ind w:firstLine="0"/>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1、清单</w:t>
      </w:r>
      <w:r/>
    </w:p>
    <w:tbl>
      <w:tblPr>
        <w:tblStyle w:val="837"/>
        <w:tblW w:w="7675"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412"/>
        <w:gridCol w:w="613"/>
        <w:gridCol w:w="2162"/>
        <w:gridCol w:w="1388"/>
      </w:tblGrid>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货物名称</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单位</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数量</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标的类型</w:t>
            </w:r>
            <w:r/>
          </w:p>
        </w:tc>
      </w:tr>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2</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草坪填充砂</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7455，用量：≥28kg/㎡</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3</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草坪填充颗粒</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7455，用量：≥6kg/㎡</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4</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人造草坪减震垫</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5</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原场地铲除</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6</w:t>
            </w:r>
            <w:r/>
          </w:p>
        </w:tc>
        <w:tc>
          <w:tcPr>
            <w:tcW w:w="241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草坪施工</w:t>
            </w:r>
            <w:r/>
          </w:p>
        </w:tc>
        <w:tc>
          <w:tcPr>
            <w:tcW w:w="61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bl>
    <w:p>
      <w:pPr>
        <w:pStyle w:val="848"/>
        <w:numPr>
          <w:ilvl w:val="0"/>
          <w:numId w:val="9"/>
        </w:numPr>
        <w:contextualSpacing/>
        <w:ind w:firstLine="0"/>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核心产品清单</w:t>
      </w:r>
      <w:r/>
    </w:p>
    <w:tbl>
      <w:tblPr>
        <w:tblStyle w:val="837"/>
        <w:tblW w:w="8979"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7"/>
        <w:gridCol w:w="6762"/>
      </w:tblGrid>
      <w:tr>
        <w:trPr/>
        <w:tc>
          <w:tcPr>
            <w:tcW w:w="2217"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6762"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名称</w:t>
            </w:r>
            <w:r/>
          </w:p>
        </w:tc>
      </w:tr>
      <w:tr>
        <w:trPr/>
        <w:tc>
          <w:tcPr>
            <w:tcW w:w="2217"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6762"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rPr>
              <w:t xml:space="preserve">人造草坪</w:t>
            </w:r>
            <w:r/>
          </w:p>
        </w:tc>
      </w:tr>
    </w:tbl>
    <w:p>
      <w:pPr>
        <w:pStyle w:val="848"/>
        <w:numPr>
          <w:ilvl w:val="0"/>
          <w:numId w:val="0"/>
        </w:numPr>
        <w:contextualSpacing/>
        <w:jc w:val="both"/>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3、项目竣工要求</w:t>
      </w:r>
      <w:r/>
    </w:p>
    <w:tbl>
      <w:tblPr>
        <w:tblStyle w:val="837"/>
        <w:tblW w:w="8992"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6762"/>
      </w:tblGrid>
      <w:tr>
        <w:trPr/>
        <w:tc>
          <w:tcPr>
            <w:tcW w:w="2230"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6762"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场地完工要求</w:t>
            </w:r>
            <w:r/>
          </w:p>
        </w:tc>
      </w:tr>
      <w:tr>
        <w:trPr/>
        <w:tc>
          <w:tcPr>
            <w:tcW w:w="2230"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6762"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rPr>
              <w:t xml:space="preserve">★人造草坪场地铺设完成后须通过国际足联场地认证，获取国际足联场地认证证书，官网可查。</w:t>
            </w:r>
            <w:r/>
          </w:p>
        </w:tc>
      </w:tr>
    </w:tbl>
    <w:p>
      <w:pPr>
        <w:pStyle w:val="848"/>
        <w:numPr>
          <w:ilvl w:val="0"/>
          <w:numId w:val="0"/>
        </w:numPr>
        <w:contextualSpacing/>
        <w:jc w:val="both"/>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848"/>
        <w:contextualSpacing/>
        <w:ind w:firstLine="0"/>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lang w:eastAsia="zh-CN"/>
        </w:rPr>
        <w:t xml:space="preserve">五、</w:t>
      </w:r>
      <w:r>
        <w:rPr>
          <w:rFonts w:hint="eastAsia" w:ascii="仿宋" w:hAnsi="仿宋" w:eastAsia="仿宋" w:cs="仿宋"/>
          <w:b/>
          <w:sz w:val="28"/>
          <w:szCs w:val="28"/>
        </w:rPr>
        <w:t xml:space="preserve">技术参数要求</w:t>
      </w:r>
      <w:bookmarkEnd w:id="39"/>
      <w:r/>
      <w:r/>
    </w:p>
    <w:p>
      <w:pPr>
        <w:pStyle w:val="848"/>
        <w:numPr>
          <w:ilvl w:val="0"/>
          <w:numId w:val="0"/>
        </w:numPr>
        <w:contextualSpacing/>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技术参数要求</w:t>
      </w:r>
      <w:r/>
    </w:p>
    <w:tbl>
      <w:tblPr>
        <w:tblStyle w:val="828"/>
        <w:tblpPr w:horzAnchor="page" w:tblpX="1395" w:vertAnchor="text" w:tblpY="447" w:leftFromText="180" w:topFromText="0" w:rightFromText="180" w:bottomFromText="0"/>
        <w:tblW w:w="93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1120"/>
        <w:gridCol w:w="5949"/>
        <w:gridCol w:w="709"/>
        <w:gridCol w:w="992"/>
      </w:tblGrid>
      <w:tr>
        <w:trPr>
          <w:trHeight w:val="739"/>
        </w:trPr>
        <w:tc>
          <w:tcPr>
            <w:shd w:val="clear" w:color="auto" w:fill="f2f2f2"/>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spacing w:line="36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项目</w:t>
            </w:r>
            <w:r>
              <w:rPr>
                <w:rFonts w:hint="eastAsia" w:ascii="仿宋" w:hAnsi="仿宋" w:eastAsia="仿宋" w:cs="仿宋"/>
                <w:color w:val="auto"/>
                <w:szCs w:val="21"/>
              </w:rPr>
              <w:t xml:space="preserve">名称</w:t>
            </w:r>
            <w:r/>
          </w:p>
        </w:tc>
        <w:tc>
          <w:tcPr>
            <w:shd w:val="clear" w:color="auto" w:fill="f2f2f2"/>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center"/>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规格、特征</w:t>
            </w:r>
            <w:r/>
          </w:p>
        </w:tc>
        <w:tc>
          <w:tcPr>
            <w:shd w:val="clear" w:color="auto" w:fill="f2f2f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数量</w:t>
            </w:r>
            <w:r/>
          </w:p>
        </w:tc>
        <w:tc>
          <w:tcPr>
            <w:shd w:val="clear" w:color="auto" w:fill="f2f2f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单位</w:t>
            </w:r>
            <w:r/>
          </w:p>
        </w:tc>
      </w:tr>
      <w:tr>
        <w:trPr>
          <w:trHeight w:val="1544"/>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人造草坪</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numPr>
                <w:ilvl w:val="0"/>
                <w:numId w:val="0"/>
              </w:numPr>
              <w:jc w:val="left"/>
              <w:spacing w:line="36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草高：50MM，</w:t>
            </w:r>
            <w:r>
              <w:rPr>
                <w:rFonts w:hint="eastAsia" w:ascii="仿宋" w:hAnsi="仿宋" w:eastAsia="仿宋" w:cs="仿宋"/>
                <w:color w:val="auto"/>
                <w:szCs w:val="21"/>
                <w:lang w:val="en-US" w:eastAsia="zh-CN"/>
              </w:rPr>
              <w:t xml:space="preserve">草丝结构：挤出型高耐磨U型单丝草，</w:t>
            </w:r>
            <w:r>
              <w:rPr>
                <w:rFonts w:hint="eastAsia" w:ascii="仿宋" w:hAnsi="仿宋" w:eastAsia="仿宋" w:cs="仿宋"/>
                <w:color w:val="auto"/>
                <w:szCs w:val="21"/>
              </w:rPr>
              <w:t xml:space="preserve">草丝磅重：≥</w:t>
            </w:r>
            <w:r>
              <w:rPr>
                <w:rFonts w:hint="eastAsia" w:ascii="仿宋" w:hAnsi="仿宋" w:eastAsia="仿宋" w:cs="仿宋"/>
                <w:color w:val="auto"/>
                <w:szCs w:val="21"/>
                <w:lang w:val="en-US" w:eastAsia="zh-CN"/>
              </w:rPr>
              <w:t xml:space="preserve">120</w:t>
            </w:r>
            <w:r>
              <w:rPr>
                <w:rFonts w:hint="eastAsia" w:ascii="仿宋" w:hAnsi="仿宋" w:eastAsia="仿宋" w:cs="仿宋"/>
                <w:color w:val="auto"/>
                <w:szCs w:val="21"/>
              </w:rPr>
              <w:t xml:space="preserve">00DTEX,草坪密度：≥10500针，复合底布</w:t>
            </w:r>
            <w:r>
              <w:rPr>
                <w:rFonts w:hint="eastAsia" w:ascii="仿宋" w:hAnsi="仿宋" w:eastAsia="仿宋" w:cs="仿宋"/>
                <w:color w:val="auto"/>
                <w:szCs w:val="21"/>
                <w:lang w:eastAsia="zh-CN"/>
              </w:rPr>
              <w:t xml:space="preserve">，</w:t>
            </w:r>
            <w:r>
              <w:rPr>
                <w:rFonts w:hint="eastAsia" w:ascii="仿宋" w:hAnsi="仿宋" w:eastAsia="仿宋" w:cs="仿宋"/>
                <w:color w:val="auto"/>
                <w:szCs w:val="21"/>
                <w:lang w:val="en-US" w:eastAsia="zh-CN"/>
              </w:rPr>
              <w:t xml:space="preserve">环保丁苯乳胶</w:t>
            </w:r>
            <w:r>
              <w:rPr>
                <w:rFonts w:hint="eastAsia" w:ascii="仿宋" w:hAnsi="仿宋" w:eastAsia="仿宋" w:cs="仿宋"/>
                <w:color w:val="auto"/>
                <w:szCs w:val="21"/>
              </w:rPr>
              <w:t xml:space="preserve">。</w:t>
            </w:r>
            <w:r/>
          </w:p>
          <w:p>
            <w:pPr>
              <w:rPr>
                <w:rFonts w:hint="eastAsia" w:ascii="仿宋" w:hAnsi="仿宋" w:eastAsia="仿宋" w:cs="仿宋"/>
                <w:color w:val="auto"/>
                <w:lang w:val="en-US" w:eastAsia="zh-CN"/>
              </w:rPr>
            </w:pPr>
            <w:r>
              <w:rPr>
                <w:rFonts w:hint="eastAsia" w:ascii="仿宋" w:hAnsi="仿宋" w:eastAsia="仿宋" w:cs="仿宋"/>
                <w:b/>
                <w:color w:val="auto"/>
                <w:sz w:val="21"/>
                <w:szCs w:val="21"/>
                <w:lang w:val="en-US" w:eastAsia="zh-CN" w:bidi="ar-SA"/>
              </w:rPr>
              <w:t xml:space="preserve">2、</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提供获得CMA或CNAS认证的第三方专业检测机构，依据GB 36246-2018《中小学合成材料面层运动场地》标准出具的有害物质限量合格的检测报告</w:t>
            </w:r>
            <w:r>
              <w:rPr>
                <w:rFonts w:hint="eastAsia" w:ascii="仿宋" w:hAnsi="仿宋" w:eastAsia="仿宋" w:cs="仿宋"/>
                <w:b w:val="0"/>
                <w:bCs w:val="0"/>
                <w:i w:val="0"/>
                <w:iCs w:val="0"/>
                <w:color w:val="auto"/>
                <w:sz w:val="21"/>
                <w:szCs w:val="21"/>
                <w:highlight w:val="none"/>
                <w:vertAlign w:val="baseline"/>
                <w:lang w:eastAsia="zh-CN"/>
              </w:rPr>
              <w:t xml:space="preserve">。</w:t>
            </w:r>
            <w:r/>
          </w:p>
          <w:p>
            <w:pPr>
              <w:numPr>
                <w:ilvl w:val="0"/>
                <w:numId w:val="0"/>
              </w:num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提供获得CMA或CNAS认证的第三方专业检测机构，依据</w:t>
            </w:r>
            <w:r>
              <w:rPr>
                <w:rFonts w:hint="eastAsia" w:ascii="仿宋" w:hAnsi="仿宋" w:eastAsia="仿宋" w:cs="仿宋"/>
                <w:b w:val="0"/>
                <w:bCs w:val="0"/>
                <w:i w:val="0"/>
                <w:iCs w:val="0"/>
                <w:color w:val="auto"/>
                <w:sz w:val="21"/>
                <w:szCs w:val="21"/>
                <w:highlight w:val="none"/>
                <w:vertAlign w:val="baseline"/>
                <w:lang w:val="en-US" w:eastAsia="zh-CN"/>
              </w:rPr>
              <w:t xml:space="preserve">GB/T20394-2019</w:t>
            </w:r>
            <w:r>
              <w:rPr>
                <w:rFonts w:hint="eastAsia" w:ascii="仿宋" w:hAnsi="仿宋" w:eastAsia="仿宋" w:cs="仿宋"/>
                <w:b w:val="0"/>
                <w:bCs w:val="0"/>
                <w:i w:val="0"/>
                <w:iCs w:val="0"/>
                <w:color w:val="auto"/>
                <w:sz w:val="21"/>
                <w:szCs w:val="21"/>
                <w:highlight w:val="none"/>
                <w:vertAlign w:val="baseline"/>
              </w:rPr>
              <w:t xml:space="preserve">《</w:t>
            </w:r>
            <w:r>
              <w:rPr>
                <w:rFonts w:hint="eastAsia" w:ascii="仿宋" w:hAnsi="仿宋" w:eastAsia="仿宋" w:cs="仿宋"/>
                <w:b w:val="0"/>
                <w:bCs w:val="0"/>
                <w:i w:val="0"/>
                <w:iCs w:val="0"/>
                <w:color w:val="auto"/>
                <w:sz w:val="21"/>
                <w:szCs w:val="21"/>
                <w:highlight w:val="none"/>
                <w:vertAlign w:val="baseline"/>
                <w:lang w:eastAsia="zh-CN"/>
              </w:rPr>
              <w:t xml:space="preserve">体育用人造草</w:t>
            </w:r>
            <w:r>
              <w:rPr>
                <w:rFonts w:hint="eastAsia" w:ascii="仿宋" w:hAnsi="仿宋" w:eastAsia="仿宋" w:cs="仿宋"/>
                <w:b w:val="0"/>
                <w:bCs w:val="0"/>
                <w:i w:val="0"/>
                <w:iCs w:val="0"/>
                <w:color w:val="auto"/>
                <w:sz w:val="21"/>
                <w:szCs w:val="21"/>
                <w:highlight w:val="none"/>
                <w:vertAlign w:val="baseline"/>
              </w:rPr>
              <w:t xml:space="preserve">》标准</w:t>
            </w:r>
            <w:r>
              <w:rPr>
                <w:rFonts w:hint="eastAsia" w:ascii="仿宋" w:hAnsi="仿宋" w:eastAsia="仿宋" w:cs="仿宋"/>
                <w:color w:val="auto"/>
                <w:szCs w:val="21"/>
              </w:rPr>
              <w:t xml:space="preserve">出具的安全性能合格的检测报告</w:t>
            </w:r>
            <w:r>
              <w:rPr>
                <w:rFonts w:hint="eastAsia" w:ascii="仿宋" w:hAnsi="仿宋" w:eastAsia="仿宋" w:cs="仿宋"/>
                <w:b w:val="0"/>
                <w:bCs w:val="0"/>
                <w:i w:val="0"/>
                <w:iCs w:val="0"/>
                <w:color w:val="auto"/>
                <w:sz w:val="21"/>
                <w:szCs w:val="21"/>
                <w:highlight w:val="none"/>
                <w:vertAlign w:val="baseline"/>
                <w:lang w:eastAsia="zh-CN"/>
              </w:rPr>
              <w:t xml:space="preserve">。</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w:t>
            </w:r>
            <w:r>
              <w:rPr>
                <w:rFonts w:hint="eastAsia" w:ascii="仿宋" w:hAnsi="仿宋" w:eastAsia="仿宋" w:cs="仿宋"/>
                <w:color w:val="auto"/>
                <w:szCs w:val="21"/>
                <w:highlight w:val="none"/>
                <w:lang w:val="en-US" w:eastAsia="zh-CN"/>
              </w:rPr>
              <w:t xml:space="preserve">据GB/T20394-2019标准，在低温及老化环境下各500h测试后，色牢度≥6的检测报告</w:t>
            </w:r>
            <w:r>
              <w:rPr>
                <w:rFonts w:hint="eastAsia" w:ascii="仿宋" w:hAnsi="仿宋" w:eastAsia="仿宋" w:cs="仿宋"/>
                <w:color w:val="auto"/>
                <w:szCs w:val="21"/>
                <w:lang w:val="en-US" w:eastAsia="zh-CN"/>
              </w:rPr>
              <w:t xml:space="preserve">。</w:t>
            </w:r>
            <w:r/>
          </w:p>
          <w:p>
            <w:pPr>
              <w:jc w:val="left"/>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w:t>
            </w:r>
            <w:r>
              <w:rPr>
                <w:rFonts w:hint="eastAsia" w:ascii="仿宋" w:hAnsi="仿宋" w:eastAsia="仿宋" w:cs="仿宋"/>
                <w:b w:val="0"/>
                <w:bCs w:val="0"/>
                <w:i w:val="0"/>
                <w:iCs w:val="0"/>
                <w:color w:val="auto"/>
                <w:sz w:val="21"/>
                <w:szCs w:val="21"/>
                <w:highlight w:val="none"/>
                <w:vertAlign w:val="baseline"/>
                <w:lang w:eastAsia="zh-CN"/>
              </w:rPr>
              <w:t xml:space="preserve">测机构，</w:t>
            </w:r>
            <w:r>
              <w:rPr>
                <w:rFonts w:hint="eastAsia" w:ascii="仿宋" w:hAnsi="仿宋" w:eastAsia="仿宋" w:cs="仿宋"/>
                <w:color w:val="auto"/>
                <w:szCs w:val="21"/>
                <w:highlight w:val="none"/>
                <w:lang w:val="en-US" w:eastAsia="zh-CN"/>
              </w:rPr>
              <w:t xml:space="preserve">依据GB/T20394-2019标准，在低温及老化环境下各500h测试后，拔出力≥130N的检测报告</w:t>
            </w:r>
            <w:r>
              <w:rPr>
                <w:rFonts w:hint="eastAsia" w:ascii="仿宋" w:hAnsi="仿宋" w:eastAsia="仿宋" w:cs="仿宋"/>
                <w:color w:val="auto"/>
                <w:szCs w:val="21"/>
                <w:highlight w:val="none"/>
                <w:lang w:eastAsia="zh-CN"/>
              </w:rPr>
              <w:t xml:space="preserve">。</w:t>
            </w:r>
            <w:r/>
          </w:p>
          <w:p>
            <w:pPr>
              <w:jc w:val="left"/>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lang w:val="en-US" w:eastAsia="zh-CN"/>
              </w:rPr>
              <w:t xml:space="preserve">6、</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w:t>
            </w:r>
            <w:r>
              <w:rPr>
                <w:rFonts w:hint="eastAsia" w:ascii="仿宋" w:hAnsi="仿宋" w:eastAsia="仿宋" w:cs="仿宋"/>
                <w:color w:val="auto"/>
                <w:szCs w:val="21"/>
                <w:highlight w:val="none"/>
                <w:lang w:val="en-US" w:eastAsia="zh-CN"/>
              </w:rPr>
              <w:t xml:space="preserve">依据GB/T20394-2019标准，在60℃湿热老化600h后测试拔出力、拉断力、底布拉断力合格的检测报告，且保留率均≥95%，背胶无气泡、变色、开裂</w:t>
            </w:r>
            <w:r>
              <w:rPr>
                <w:rFonts w:hint="eastAsia" w:ascii="仿宋" w:hAnsi="仿宋" w:eastAsia="仿宋" w:cs="仿宋"/>
                <w:color w:val="auto"/>
                <w:szCs w:val="21"/>
                <w:highlight w:val="none"/>
                <w:lang w:eastAsia="zh-CN"/>
              </w:rPr>
              <w:t xml:space="preserve">。</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w:t>
            </w:r>
            <w:r>
              <w:rPr>
                <w:rFonts w:hint="eastAsia" w:ascii="仿宋" w:hAnsi="仿宋" w:eastAsia="仿宋" w:cs="仿宋"/>
                <w:color w:val="auto"/>
                <w:szCs w:val="21"/>
                <w:lang w:eastAsia="zh-CN"/>
              </w:rPr>
              <w:t xml:space="preserve">依据GB/T20394-2019和GB36246-2018标准，</w:t>
            </w:r>
            <w:r>
              <w:rPr>
                <w:rFonts w:hint="eastAsia" w:ascii="仿宋" w:hAnsi="仿宋" w:eastAsia="仿宋" w:cs="仿宋"/>
                <w:color w:val="auto"/>
                <w:szCs w:val="21"/>
                <w:highlight w:val="none"/>
                <w:lang w:eastAsia="zh-CN"/>
              </w:rPr>
              <w:t xml:space="preserve">气味等级</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lang w:eastAsia="zh-CN"/>
              </w:rPr>
              <w:t xml:space="preserve">级</w:t>
            </w:r>
            <w:r>
              <w:rPr>
                <w:rFonts w:hint="eastAsia" w:ascii="仿宋" w:hAnsi="仿宋" w:eastAsia="仿宋" w:cs="仿宋"/>
                <w:color w:val="auto"/>
                <w:szCs w:val="21"/>
                <w:highlight w:val="none"/>
                <w:lang w:eastAsia="zh-CN"/>
              </w:rPr>
              <w:t xml:space="preserve">的检测报告</w:t>
            </w:r>
            <w:bookmarkStart w:id="52" w:name="_GoBack"/>
            <w:r/>
            <w:bookmarkEnd w:id="52"/>
            <w:r>
              <w:rPr>
                <w:rFonts w:hint="eastAsia" w:ascii="仿宋" w:hAnsi="仿宋" w:eastAsia="仿宋" w:cs="仿宋"/>
                <w:color w:val="auto"/>
                <w:szCs w:val="21"/>
                <w:highlight w:val="none"/>
                <w:lang w:eastAsia="zh-CN"/>
              </w:rPr>
              <w:t xml:space="preserve">。</w:t>
            </w:r>
            <w:r/>
          </w:p>
          <w:p>
            <w:pPr>
              <w:numPr>
                <w:ilvl w:val="0"/>
                <w:numId w:val="0"/>
              </w:numPr>
              <w:jc w:val="left"/>
              <w:spacing w:line="360" w:lineRule="auto"/>
              <w:rPr>
                <w:rFonts w:hint="eastAsia" w:ascii="仿宋" w:hAnsi="仿宋" w:eastAsia="仿宋" w:cs="仿宋"/>
                <w:b w:val="0"/>
                <w:bCs w:val="0"/>
                <w:i w:val="0"/>
                <w:iCs w:val="0"/>
                <w:color w:val="auto"/>
                <w:sz w:val="21"/>
                <w:szCs w:val="21"/>
                <w:highlight w:val="yellow"/>
                <w:vertAlign w:val="baseline"/>
                <w:lang w:eastAsia="zh-CN"/>
              </w:rPr>
            </w:pPr>
            <w:r>
              <w:rPr>
                <w:rFonts w:hint="eastAsia" w:ascii="仿宋" w:hAnsi="仿宋" w:eastAsia="仿宋" w:cs="仿宋"/>
                <w:color w:val="auto"/>
                <w:szCs w:val="21"/>
                <w:lang w:val="en-US" w:eastAsia="zh-CN"/>
              </w:rPr>
              <w:t xml:space="preserve">8、</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▲提供获得CMA或CNAS认证的第三方专业检测机构，依据</w:t>
            </w:r>
            <w:r>
              <w:rPr>
                <w:rFonts w:hint="eastAsia" w:ascii="仿宋" w:hAnsi="仿宋" w:eastAsia="仿宋" w:cs="仿宋"/>
                <w:color w:val="auto"/>
                <w:szCs w:val="21"/>
                <w:lang w:val="en-US" w:eastAsia="zh-CN"/>
              </w:rPr>
              <w:t xml:space="preserve">GB/T 43566-2023</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中小学人造草面层足球场地</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标准出具</w:t>
            </w:r>
            <w:r>
              <w:rPr>
                <w:rFonts w:hint="eastAsia" w:ascii="仿宋" w:hAnsi="仿宋" w:eastAsia="仿宋" w:cs="仿宋"/>
                <w:b w:val="0"/>
                <w:bCs w:val="0"/>
                <w:i w:val="0"/>
                <w:iCs w:val="0"/>
                <w:color w:val="auto"/>
                <w:sz w:val="21"/>
                <w:szCs w:val="21"/>
                <w:highlight w:val="none"/>
                <w:vertAlign w:val="baseline"/>
                <w:lang w:val="en-US" w:eastAsia="zh-CN"/>
              </w:rPr>
              <w:t xml:space="preserve">物理机械性能、</w:t>
            </w:r>
            <w:r>
              <w:rPr>
                <w:rFonts w:hint="eastAsia" w:ascii="仿宋" w:hAnsi="仿宋" w:eastAsia="仿宋" w:cs="仿宋"/>
                <w:b w:val="0"/>
                <w:bCs w:val="0"/>
                <w:i w:val="0"/>
                <w:iCs w:val="0"/>
                <w:color w:val="000000"/>
                <w:sz w:val="21"/>
                <w:szCs w:val="21"/>
                <w:highlight w:val="none"/>
                <w:shd w:val="clear" w:color="auto" w:fill="auto"/>
                <w:vertAlign w:val="baseline"/>
                <w:lang w:val="en-US" w:eastAsia="zh-CN"/>
              </w:rPr>
              <w:t xml:space="preserve">耐久性能</w:t>
            </w:r>
            <w:r>
              <w:rPr>
                <w:rFonts w:hint="eastAsia" w:ascii="仿宋" w:hAnsi="仿宋" w:eastAsia="仿宋" w:cs="仿宋"/>
                <w:b w:val="0"/>
                <w:bCs w:val="0"/>
                <w:i w:val="0"/>
                <w:iCs w:val="0"/>
                <w:color w:val="000000"/>
                <w:sz w:val="21"/>
                <w:szCs w:val="21"/>
                <w:highlight w:val="none"/>
                <w:shd w:val="clear" w:color="auto" w:fill="auto"/>
                <w:vertAlign w:val="baseline"/>
                <w:lang w:eastAsia="zh-CN"/>
              </w:rPr>
              <w:t xml:space="preserve">检测合格报告。</w:t>
            </w:r>
            <w:r/>
          </w:p>
          <w:p>
            <w:pPr>
              <w:numPr>
                <w:ilvl w:val="0"/>
                <w:numId w:val="0"/>
              </w:numPr>
              <w:jc w:val="left"/>
              <w:spacing w:line="360" w:lineRule="auto"/>
              <w:rPr>
                <w:rFonts w:hint="eastAsia" w:ascii="仿宋" w:hAnsi="仿宋" w:eastAsia="仿宋" w:cs="仿宋"/>
                <w:color w:val="auto"/>
                <w:lang w:val="en-US" w:eastAsia="zh-CN"/>
              </w:rPr>
            </w:pPr>
            <w:r>
              <w:rPr>
                <w:rFonts w:hint="eastAsia" w:ascii="仿宋" w:hAnsi="仿宋" w:eastAsia="仿宋" w:cs="仿宋"/>
                <w:color w:val="auto"/>
                <w:sz w:val="21"/>
                <w:szCs w:val="22"/>
                <w:lang w:val="en-US" w:eastAsia="zh-CN" w:bidi="ar-SA"/>
              </w:rPr>
              <w:t xml:space="preserve">9、</w:t>
            </w:r>
            <w:r>
              <w:rPr>
                <w:rFonts w:hint="eastAsia" w:ascii="仿宋" w:hAnsi="仿宋" w:eastAsia="仿宋" w:cs="仿宋"/>
                <w:color w:val="auto"/>
                <w:lang w:val="en-US" w:eastAsia="zh-CN"/>
              </w:rPr>
              <w:t xml:space="preserve">提供</w:t>
            </w:r>
            <w:r>
              <w:rPr>
                <w:rFonts w:hint="eastAsia" w:ascii="仿宋" w:hAnsi="仿宋" w:eastAsia="仿宋" w:cs="仿宋"/>
                <w:color w:val="auto"/>
              </w:rPr>
              <w:t xml:space="preserve">通过</w:t>
            </w:r>
            <w:r>
              <w:rPr>
                <w:rFonts w:hint="eastAsia" w:ascii="仿宋" w:hAnsi="仿宋" w:eastAsia="仿宋" w:cs="仿宋"/>
                <w:color w:val="auto"/>
                <w:szCs w:val="21"/>
                <w:highlight w:val="none"/>
                <w:lang w:val="en-US" w:eastAsia="zh-CN"/>
              </w:rPr>
              <w:t xml:space="preserve">有资质的</w:t>
            </w:r>
            <w:r>
              <w:rPr>
                <w:rFonts w:hint="eastAsia" w:ascii="仿宋" w:hAnsi="仿宋" w:eastAsia="仿宋" w:cs="仿宋"/>
                <w:b w:val="0"/>
                <w:bCs w:val="0"/>
                <w:i w:val="0"/>
                <w:iCs w:val="0"/>
                <w:color w:val="auto"/>
                <w:sz w:val="21"/>
                <w:szCs w:val="21"/>
                <w:highlight w:val="none"/>
                <w:vertAlign w:val="baseline"/>
              </w:rPr>
              <w:t xml:space="preserve">第三方检测机构依据FIFA Quality Programme for Football Turf中关于人造草坪的测试方法标准</w:t>
            </w:r>
            <w:r>
              <w:rPr>
                <w:rFonts w:hint="eastAsia" w:ascii="仿宋" w:hAnsi="仿宋" w:eastAsia="仿宋" w:cs="仿宋"/>
                <w:b w:val="0"/>
                <w:bCs w:val="0"/>
                <w:i w:val="0"/>
                <w:iCs w:val="0"/>
                <w:color w:val="auto"/>
                <w:sz w:val="21"/>
                <w:szCs w:val="21"/>
                <w:highlight w:val="none"/>
                <w:vertAlign w:val="baseline"/>
                <w:lang w:eastAsia="zh-CN"/>
              </w:rPr>
              <w:t xml:space="preserve">（</w:t>
            </w:r>
            <w:r>
              <w:rPr>
                <w:rFonts w:hint="eastAsia" w:ascii="仿宋" w:hAnsi="仿宋" w:eastAsia="仿宋" w:cs="仿宋"/>
                <w:b w:val="0"/>
                <w:bCs w:val="0"/>
                <w:i w:val="0"/>
                <w:iCs w:val="0"/>
                <w:color w:val="auto"/>
                <w:sz w:val="21"/>
                <w:szCs w:val="21"/>
                <w:highlight w:val="none"/>
                <w:vertAlign w:val="baseline"/>
              </w:rPr>
              <w:t xml:space="preserve">‌FIFA TM15标准</w:t>
            </w:r>
            <w:r>
              <w:rPr>
                <w:rFonts w:hint="eastAsia" w:ascii="仿宋" w:hAnsi="仿宋" w:eastAsia="仿宋" w:cs="仿宋"/>
                <w:b w:val="0"/>
                <w:bCs w:val="0"/>
                <w:i w:val="0"/>
                <w:iCs w:val="0"/>
                <w:color w:val="auto"/>
                <w:sz w:val="21"/>
                <w:szCs w:val="21"/>
                <w:highlight w:val="none"/>
                <w:vertAlign w:val="baseline"/>
                <w:lang w:eastAsia="zh-CN"/>
              </w:rPr>
              <w:t xml:space="preserve">）</w:t>
            </w:r>
            <w:r>
              <w:rPr>
                <w:rFonts w:hint="eastAsia" w:ascii="仿宋" w:hAnsi="仿宋" w:eastAsia="仿宋" w:cs="仿宋"/>
                <w:b w:val="0"/>
                <w:bCs w:val="0"/>
                <w:i w:val="0"/>
                <w:iCs w:val="0"/>
                <w:color w:val="auto"/>
                <w:sz w:val="21"/>
                <w:szCs w:val="21"/>
                <w:highlight w:val="none"/>
                <w:vertAlign w:val="baseline"/>
              </w:rPr>
              <w:t xml:space="preserve">出具的</w:t>
            </w:r>
            <w:r>
              <w:rPr>
                <w:rFonts w:hint="eastAsia" w:ascii="仿宋" w:hAnsi="仿宋" w:eastAsia="仿宋" w:cs="仿宋"/>
                <w:color w:val="auto"/>
              </w:rPr>
              <w:t xml:space="preserve">出具的Lisport XL耐磨损不低于30000周检测报告，且</w:t>
            </w:r>
            <w:r>
              <w:rPr>
                <w:rFonts w:hint="eastAsia" w:ascii="仿宋" w:hAnsi="仿宋" w:eastAsia="仿宋" w:cs="仿宋"/>
                <w:color w:val="auto"/>
                <w:lang w:val="en-US" w:eastAsia="zh-CN"/>
              </w:rPr>
              <w:t xml:space="preserve">磨损后</w:t>
            </w:r>
            <w:r>
              <w:rPr>
                <w:rFonts w:hint="eastAsia" w:ascii="仿宋" w:hAnsi="仿宋" w:eastAsia="仿宋" w:cs="仿宋"/>
                <w:color w:val="auto"/>
              </w:rPr>
              <w:t xml:space="preserve">草丝拉断力</w:t>
            </w:r>
            <w:r>
              <w:rPr>
                <w:rFonts w:hint="eastAsia" w:ascii="仿宋" w:hAnsi="仿宋" w:eastAsia="仿宋" w:cs="仿宋"/>
                <w:color w:val="auto"/>
                <w:lang w:eastAsia="zh-CN"/>
              </w:rPr>
              <w:t xml:space="preserve">保留率≥</w:t>
            </w:r>
            <w:r>
              <w:rPr>
                <w:rFonts w:hint="default" w:ascii="仿宋" w:hAnsi="仿宋" w:eastAsia="仿宋" w:cs="仿宋"/>
                <w:color w:val="auto"/>
                <w:lang w:val="en-US" w:eastAsia="zh-CN"/>
              </w:rPr>
              <w:t xml:space="preserve">65</w:t>
            </w:r>
            <w:r>
              <w:rPr>
                <w:rFonts w:hint="eastAsia" w:ascii="仿宋" w:hAnsi="仿宋" w:eastAsia="仿宋" w:cs="仿宋"/>
                <w:color w:val="auto"/>
              </w:rPr>
              <w:t xml:space="preserve">%</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拉断力≥20N。</w:t>
            </w:r>
            <w:r/>
          </w:p>
          <w:p>
            <w:pPr>
              <w:numPr>
                <w:ilvl w:val="0"/>
                <w:numId w:val="0"/>
              </w:numPr>
              <w:jc w:val="left"/>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 w:val="21"/>
                <w:szCs w:val="21"/>
                <w:lang w:val="en-US" w:eastAsia="zh-CN" w:bidi="ar-SA"/>
              </w:rPr>
              <w:t xml:space="preserve">10、</w:t>
            </w:r>
            <w:r>
              <w:rPr>
                <w:rFonts w:hint="eastAsia" w:ascii="仿宋" w:hAnsi="仿宋" w:eastAsia="仿宋" w:cs="仿宋"/>
                <w:color w:val="000000"/>
                <w:szCs w:val="21"/>
                <w:lang w:val="en-US" w:eastAsia="zh-CN"/>
              </w:rPr>
              <w:t xml:space="preserve">根据国际足联FIFA足球场场地质量现场检测的测试方法</w:t>
            </w:r>
            <w:r>
              <w:rPr>
                <w:rFonts w:hint="eastAsia" w:ascii="仿宋" w:hAnsi="仿宋" w:eastAsia="仿宋" w:cs="仿宋"/>
                <w:color w:val="auto"/>
                <w:szCs w:val="21"/>
                <w:lang w:val="en-US" w:eastAsia="zh-CN"/>
              </w:rPr>
              <w:t xml:space="preserve">或</w:t>
            </w:r>
            <w:r>
              <w:rPr>
                <w:rFonts w:hint="default" w:ascii="仿宋" w:hAnsi="仿宋" w:eastAsia="仿宋" w:cs="仿宋"/>
                <w:b w:val="0"/>
                <w:bCs w:val="0"/>
                <w:i w:val="0"/>
                <w:iCs w:val="0"/>
                <w:color w:val="auto"/>
                <w:sz w:val="21"/>
                <w:szCs w:val="21"/>
                <w:highlight w:val="none"/>
                <w:vertAlign w:val="baseline"/>
                <w:lang w:val="en-US" w:eastAsia="zh-CN" w:bidi="ar-SA"/>
              </w:rPr>
              <w:t xml:space="preserve">GB/T43566-2023、GB/T20394-2019</w:t>
            </w:r>
            <w:r>
              <w:rPr>
                <w:rFonts w:hint="eastAsia" w:ascii="仿宋" w:hAnsi="仿宋" w:eastAsia="仿宋" w:cs="仿宋"/>
                <w:b w:val="0"/>
                <w:bCs w:val="0"/>
                <w:i w:val="0"/>
                <w:iCs w:val="0"/>
                <w:color w:val="auto"/>
                <w:sz w:val="21"/>
                <w:szCs w:val="21"/>
                <w:highlight w:val="none"/>
                <w:vertAlign w:val="baseline"/>
                <w:lang w:val="en-US" w:eastAsia="zh-CN" w:bidi="ar-SA"/>
              </w:rPr>
              <w:t xml:space="preserve">等</w:t>
            </w:r>
            <w:r>
              <w:rPr>
                <w:rFonts w:hint="default" w:ascii="仿宋" w:hAnsi="仿宋" w:eastAsia="仿宋" w:cs="仿宋"/>
                <w:b w:val="0"/>
                <w:bCs w:val="0"/>
                <w:i w:val="0"/>
                <w:iCs w:val="0"/>
                <w:color w:val="auto"/>
                <w:sz w:val="21"/>
                <w:szCs w:val="21"/>
                <w:highlight w:val="none"/>
                <w:vertAlign w:val="baseline"/>
                <w:lang w:val="en-US" w:eastAsia="zh-CN" w:bidi="ar-SA"/>
              </w:rPr>
              <w:t xml:space="preserve">标准</w:t>
            </w:r>
            <w:r>
              <w:rPr>
                <w:rFonts w:hint="eastAsia" w:ascii="仿宋" w:hAnsi="仿宋" w:eastAsia="仿宋" w:cs="仿宋"/>
                <w:color w:val="auto"/>
                <w:szCs w:val="21"/>
                <w:lang w:val="en-US" w:eastAsia="zh-CN"/>
              </w:rPr>
              <w:t xml:space="preserve">，</w:t>
            </w:r>
            <w:r>
              <w:rPr>
                <w:rFonts w:hint="eastAsia" w:ascii="仿宋" w:hAnsi="仿宋" w:eastAsia="仿宋" w:cs="仿宋"/>
                <w:color w:val="000000"/>
                <w:szCs w:val="21"/>
                <w:lang w:val="en-US" w:eastAsia="zh-CN"/>
              </w:rPr>
              <w:t xml:space="preserve">提供</w:t>
            </w:r>
            <w:r>
              <w:rPr>
                <w:rFonts w:hint="eastAsia" w:ascii="仿宋" w:hAnsi="仿宋" w:eastAsia="仿宋" w:cs="仿宋"/>
                <w:color w:val="auto"/>
                <w:szCs w:val="21"/>
                <w:highlight w:val="none"/>
                <w:lang w:val="en-US" w:eastAsia="zh-CN"/>
              </w:rPr>
              <w:t xml:space="preserve">有资质的</w:t>
            </w:r>
            <w:r>
              <w:rPr>
                <w:rFonts w:hint="eastAsia" w:ascii="仿宋" w:hAnsi="仿宋" w:eastAsia="仿宋" w:cs="仿宋"/>
                <w:b w:val="0"/>
                <w:bCs w:val="0"/>
                <w:i w:val="0"/>
                <w:iCs w:val="0"/>
                <w:color w:val="auto"/>
                <w:sz w:val="21"/>
                <w:szCs w:val="21"/>
                <w:highlight w:val="none"/>
                <w:vertAlign w:val="baseline"/>
              </w:rPr>
              <w:t xml:space="preserve">第三方</w:t>
            </w:r>
            <w:r>
              <w:rPr>
                <w:rFonts w:hint="eastAsia" w:ascii="仿宋" w:hAnsi="仿宋" w:eastAsia="仿宋" w:cs="仿宋"/>
                <w:b w:val="0"/>
                <w:bCs w:val="0"/>
                <w:i w:val="0"/>
                <w:iCs w:val="0"/>
                <w:color w:val="auto"/>
                <w:sz w:val="21"/>
                <w:szCs w:val="21"/>
                <w:highlight w:val="none"/>
                <w:vertAlign w:val="baseline"/>
                <w:lang w:val="en-US" w:eastAsia="zh-CN"/>
              </w:rPr>
              <w:t xml:space="preserve">实验室</w:t>
            </w:r>
            <w:r>
              <w:rPr>
                <w:rFonts w:hint="eastAsia" w:ascii="仿宋" w:hAnsi="仿宋" w:eastAsia="仿宋" w:cs="仿宋"/>
                <w:b w:val="0"/>
                <w:bCs w:val="0"/>
                <w:i w:val="0"/>
                <w:iCs w:val="0"/>
                <w:color w:val="auto"/>
                <w:sz w:val="21"/>
                <w:szCs w:val="21"/>
                <w:highlight w:val="none"/>
                <w:vertAlign w:val="baseline"/>
              </w:rPr>
              <w:t xml:space="preserve">检测机构</w:t>
            </w:r>
            <w:r>
              <w:rPr>
                <w:rFonts w:hint="eastAsia" w:ascii="仿宋" w:hAnsi="仿宋" w:eastAsia="仿宋" w:cs="仿宋"/>
                <w:color w:val="000000"/>
                <w:szCs w:val="21"/>
                <w:lang w:val="en-US" w:eastAsia="zh-CN"/>
              </w:rPr>
              <w:t xml:space="preserve">出具的不低于12000h UVA老化检测报告，且草丝拉断力保留率</w:t>
            </w:r>
            <w:r>
              <w:rPr>
                <w:rFonts w:hint="eastAsia" w:ascii="仿宋" w:hAnsi="仿宋" w:eastAsia="仿宋" w:cs="仿宋"/>
                <w:color w:val="auto"/>
                <w:lang w:eastAsia="zh-CN"/>
              </w:rPr>
              <w:t xml:space="preserve">≥</w:t>
            </w:r>
            <w:r>
              <w:rPr>
                <w:rFonts w:hint="default" w:ascii="仿宋" w:hAnsi="仿宋" w:eastAsia="仿宋" w:cs="仿宋"/>
                <w:color w:val="000000"/>
                <w:szCs w:val="21"/>
                <w:lang w:val="en-US" w:eastAsia="zh-CN"/>
              </w:rPr>
              <w:t xml:space="preserve">99.5</w:t>
            </w:r>
            <w:r>
              <w:rPr>
                <w:rFonts w:hint="eastAsia" w:ascii="仿宋" w:hAnsi="仿宋" w:eastAsia="仿宋" w:cs="仿宋"/>
                <w:color w:val="000000"/>
                <w:szCs w:val="21"/>
                <w:highlight w:val="none"/>
                <w:lang w:val="en-US" w:eastAsia="zh-CN"/>
              </w:rPr>
              <w:t xml:space="preserve">%。</w:t>
            </w:r>
            <w:r/>
          </w:p>
          <w:p>
            <w:pPr>
              <w:jc w:val="left"/>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11、▲人造草坪需通过有资质的第三方检测机构依据GB/T43566-2023、GB/T20394-2019标准测试老化1500h和磨损10000转后测试氧化诱导时间、阻燃性合格，且拉断力、拔出力保留率均≥80%的检测报告。</w:t>
            </w:r>
            <w:r/>
          </w:p>
          <w:p>
            <w:pPr>
              <w:jc w:val="left"/>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12、</w:t>
            </w:r>
            <w:r>
              <w:rPr>
                <w:rFonts w:hint="eastAsia" w:ascii="仿宋" w:hAnsi="仿宋" w:eastAsia="仿宋" w:cs="仿宋"/>
                <w:b w:val="0"/>
                <w:bCs w:val="0"/>
                <w:i w:val="0"/>
                <w:iCs w:val="0"/>
                <w:color w:val="auto"/>
                <w:sz w:val="21"/>
                <w:szCs w:val="21"/>
                <w:highlight w:val="none"/>
                <w:vertAlign w:val="baseline"/>
              </w:rPr>
              <w:t xml:space="preserve">▲</w:t>
            </w:r>
            <w:r>
              <w:rPr>
                <w:rFonts w:hint="eastAsia" w:ascii="仿宋" w:hAnsi="仿宋" w:eastAsia="仿宋" w:cs="仿宋"/>
                <w:color w:val="000000"/>
                <w:szCs w:val="21"/>
                <w:lang w:val="en-US" w:eastAsia="zh-CN"/>
              </w:rPr>
              <w:t xml:space="preserve">人造草坪产品依据GB/T20394-2019标准获得</w:t>
            </w:r>
            <w:r>
              <w:rPr>
                <w:rFonts w:hint="eastAsia" w:ascii="仿宋" w:hAnsi="仿宋" w:eastAsia="仿宋" w:cs="仿宋"/>
                <w:color w:val="auto"/>
                <w:szCs w:val="21"/>
                <w:highlight w:val="none"/>
                <w:lang w:val="en-US" w:eastAsia="zh-CN"/>
              </w:rPr>
              <w:t xml:space="preserve">有资质的</w:t>
            </w:r>
            <w:r>
              <w:rPr>
                <w:rFonts w:hint="eastAsia" w:ascii="仿宋" w:hAnsi="仿宋" w:eastAsia="仿宋" w:cs="仿宋"/>
                <w:b w:val="0"/>
                <w:bCs w:val="0"/>
                <w:i w:val="0"/>
                <w:iCs w:val="0"/>
                <w:color w:val="auto"/>
                <w:sz w:val="21"/>
                <w:szCs w:val="21"/>
                <w:highlight w:val="none"/>
                <w:vertAlign w:val="baseline"/>
              </w:rPr>
              <w:t xml:space="preserve">第三方检测机构</w:t>
            </w:r>
            <w:r>
              <w:rPr>
                <w:rFonts w:hint="eastAsia" w:ascii="仿宋" w:hAnsi="仿宋" w:eastAsia="仿宋" w:cs="仿宋"/>
                <w:color w:val="000000"/>
                <w:szCs w:val="21"/>
                <w:lang w:val="en-US" w:eastAsia="zh-CN"/>
              </w:rPr>
              <w:t xml:space="preserve">出具的70℃热水老化720h实验后单簇草丝拔出力（保留率）</w:t>
            </w:r>
            <w:r>
              <w:rPr>
                <w:rFonts w:hint="eastAsia" w:ascii="仿宋" w:hAnsi="仿宋" w:eastAsia="仿宋" w:cs="仿宋"/>
                <w:color w:val="auto"/>
                <w:szCs w:val="21"/>
              </w:rPr>
              <w:t xml:space="preserve">≥</w:t>
            </w:r>
            <w:r>
              <w:rPr>
                <w:rFonts w:hint="eastAsia" w:ascii="仿宋" w:hAnsi="仿宋" w:eastAsia="仿宋" w:cs="仿宋"/>
                <w:color w:val="000000"/>
                <w:szCs w:val="21"/>
                <w:lang w:val="en-US" w:eastAsia="zh-CN"/>
              </w:rPr>
              <w:t xml:space="preserve">98%的检测报告。</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b w:val="0"/>
                <w:bCs/>
                <w:sz w:val="18"/>
                <w:szCs w:val="18"/>
                <w:vertAlign w:val="baseline"/>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trHeight w:val="786"/>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 xml:space="preserve">草坪</w:t>
            </w:r>
            <w:r>
              <w:rPr>
                <w:rFonts w:hint="eastAsia" w:ascii="仿宋" w:hAnsi="仿宋" w:eastAsia="仿宋" w:cs="仿宋"/>
                <w:color w:val="auto"/>
                <w:szCs w:val="21"/>
                <w:lang w:val="en-US" w:eastAsia="zh-CN"/>
              </w:rPr>
              <w:t xml:space="preserve">填充砂</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粒径：20-40目，用量：</w:t>
            </w:r>
            <w:r>
              <w:rPr>
                <w:rFonts w:hint="eastAsia" w:ascii="仿宋" w:hAnsi="仿宋" w:eastAsia="仿宋" w:cs="仿宋"/>
                <w:color w:val="auto"/>
                <w:szCs w:val="21"/>
                <w:lang w:val="en-US" w:eastAsia="zh-CN"/>
              </w:rPr>
              <w:t xml:space="preserve">28</w:t>
            </w:r>
            <w:r>
              <w:rPr>
                <w:rFonts w:hint="eastAsia" w:ascii="仿宋" w:hAnsi="仿宋" w:eastAsia="仿宋" w:cs="仿宋"/>
                <w:color w:val="auto"/>
                <w:szCs w:val="21"/>
              </w:rPr>
              <w:t xml:space="preserve">kg/㎡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trHeight w:val="557"/>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3</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草坪填充颗粒</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1、高聚物≥20%，用量：≥</w:t>
            </w:r>
            <w:r>
              <w:rPr>
                <w:rFonts w:hint="eastAsia" w:ascii="仿宋" w:hAnsi="仿宋" w:eastAsia="仿宋" w:cs="仿宋"/>
                <w:color w:val="auto"/>
                <w:szCs w:val="21"/>
                <w:lang w:val="en-US" w:eastAsia="zh-CN"/>
              </w:rPr>
              <w:t xml:space="preserve">6</w:t>
            </w:r>
            <w:r>
              <w:rPr>
                <w:rFonts w:hint="eastAsia" w:ascii="仿宋" w:hAnsi="仿宋" w:eastAsia="仿宋" w:cs="仿宋"/>
                <w:color w:val="auto"/>
                <w:szCs w:val="21"/>
              </w:rPr>
              <w:t xml:space="preserve">kg/㎡，颜色：绿色，外观：四孔藕状空心，粒径：2-</w:t>
            </w:r>
            <w:r>
              <w:rPr>
                <w:rFonts w:hint="eastAsia" w:ascii="仿宋" w:hAnsi="仿宋" w:eastAsia="仿宋" w:cs="仿宋"/>
                <w:color w:val="auto"/>
                <w:szCs w:val="21"/>
                <w:lang w:val="en-US" w:eastAsia="zh-CN"/>
              </w:rPr>
              <w:t xml:space="preserve">4</w:t>
            </w:r>
            <w:r>
              <w:rPr>
                <w:rFonts w:hint="eastAsia" w:ascii="仿宋" w:hAnsi="仿宋" w:eastAsia="仿宋" w:cs="仿宋"/>
                <w:color w:val="auto"/>
                <w:szCs w:val="21"/>
              </w:rPr>
              <w:t xml:space="preserve">mm，材质：环保TPE橡胶</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2、★提供获得CMA或CNAS认证的第三方专业检测机构，依据GB 36246-2018《中小学合成材料面层运动场地》标准，出具的有害物质含量符合要求的检测报告。</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3、▲提供获得CMA或CNAS认证的第三方专业检测机构，依据GB/T10707-2008标准，出具的燃烧性能（FV-0级）符合要求的检测报告。</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4、▲提供本项目拟采用草坪填充颗粒</w:t>
            </w:r>
            <w:r>
              <w:rPr>
                <w:rFonts w:hint="eastAsia" w:ascii="仿宋" w:hAnsi="仿宋" w:eastAsia="仿宋" w:cs="仿宋"/>
                <w:color w:val="auto"/>
                <w:szCs w:val="21"/>
                <w:highlight w:val="none"/>
                <w:lang w:val="en-US" w:eastAsia="zh-CN"/>
              </w:rPr>
              <w:t xml:space="preserve">依据GB36246-2018标准认证的</w:t>
            </w:r>
            <w:r>
              <w:rPr>
                <w:rFonts w:hint="eastAsia" w:ascii="仿宋" w:hAnsi="仿宋" w:eastAsia="仿宋" w:cs="仿宋"/>
                <w:color w:val="auto"/>
                <w:szCs w:val="21"/>
                <w:highlight w:val="none"/>
              </w:rPr>
              <w:t xml:space="preserve">产品认证证书</w:t>
            </w:r>
            <w:r>
              <w:rPr>
                <w:rFonts w:hint="eastAsia" w:ascii="仿宋" w:hAnsi="仿宋" w:eastAsia="仿宋" w:cs="仿宋"/>
                <w:color w:val="auto"/>
                <w:szCs w:val="21"/>
              </w:rPr>
              <w:t xml:space="preserve">及在国家认监委官网查询状态为“有效”的截图。</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提供获得CMA认证的第三方专业检测机构，在高温80℃、低温-40℃交替放置500小时后，依据GB/T9867-2008、GB/T30228-2013标准，出具的耐磨性能、冲击衰减的检测报告，且单项结论判定“符合”。</w:t>
            </w:r>
            <w:r/>
          </w:p>
          <w:p>
            <w:pPr>
              <w:jc w:val="left"/>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6、人造草坪TPE填充颗粒提供</w:t>
            </w:r>
            <w:r>
              <w:rPr>
                <w:rFonts w:hint="default" w:ascii="仿宋" w:hAnsi="仿宋" w:eastAsia="仿宋" w:cs="仿宋"/>
                <w:color w:val="auto"/>
                <w:szCs w:val="21"/>
                <w:highlight w:val="none"/>
                <w:lang w:val="en-US" w:eastAsia="zh-CN"/>
              </w:rPr>
              <w:t xml:space="preserve">有资质的第三方检测机构</w:t>
            </w:r>
            <w:r>
              <w:rPr>
                <w:rFonts w:hint="eastAsia" w:ascii="仿宋" w:hAnsi="仿宋" w:eastAsia="仿宋" w:cs="仿宋"/>
                <w:color w:val="auto"/>
                <w:szCs w:val="21"/>
                <w:highlight w:val="none"/>
                <w:lang w:val="en-US" w:eastAsia="zh-CN"/>
              </w:rPr>
              <w:t xml:space="preserve">依据</w:t>
            </w:r>
            <w:r>
              <w:rPr>
                <w:rFonts w:hint="default" w:ascii="仿宋" w:hAnsi="仿宋" w:eastAsia="仿宋" w:cs="仿宋"/>
                <w:b w:val="0"/>
                <w:bCs w:val="0"/>
                <w:i w:val="0"/>
                <w:iCs w:val="0"/>
                <w:color w:val="000000"/>
                <w:sz w:val="21"/>
                <w:szCs w:val="21"/>
                <w:highlight w:val="none"/>
                <w:vertAlign w:val="baseline"/>
                <w:lang w:val="en-US" w:eastAsia="zh-CN" w:bidi="ar-SA"/>
              </w:rPr>
              <w:t xml:space="preserve">FIFA足球场场地质量现场检测的测试方</w:t>
            </w:r>
            <w:r>
              <w:rPr>
                <w:rFonts w:hint="default" w:ascii="仿宋" w:hAnsi="仿宋" w:eastAsia="仿宋" w:cs="仿宋"/>
                <w:b w:val="0"/>
                <w:bCs w:val="0"/>
                <w:i w:val="0"/>
                <w:iCs w:val="0"/>
                <w:color w:val="auto"/>
                <w:sz w:val="21"/>
                <w:szCs w:val="21"/>
                <w:highlight w:val="none"/>
                <w:vertAlign w:val="baseline"/>
                <w:lang w:val="en-US" w:eastAsia="zh-CN" w:bidi="ar-SA"/>
              </w:rPr>
              <w:t xml:space="preserve">法或</w:t>
            </w:r>
            <w:r>
              <w:rPr>
                <w:rFonts w:hint="default" w:ascii="仿宋" w:hAnsi="仿宋" w:eastAsia="仿宋" w:cs="仿宋"/>
                <w:b w:val="0"/>
                <w:bCs w:val="0"/>
                <w:i w:val="0"/>
                <w:iCs w:val="0"/>
                <w:color w:val="auto"/>
                <w:sz w:val="21"/>
                <w:szCs w:val="21"/>
                <w:highlight w:val="none"/>
                <w:vertAlign w:val="baseline"/>
                <w:lang w:val="en-US" w:eastAsia="zh-CN" w:bidi="ar-SA"/>
              </w:rPr>
              <w:t xml:space="preserve">GB/T43566-2023、GB/T20394-2019等标准</w:t>
            </w:r>
            <w:r>
              <w:rPr>
                <w:rFonts w:hint="default" w:ascii="仿宋" w:hAnsi="仿宋" w:eastAsia="仿宋" w:cs="仿宋"/>
                <w:color w:val="auto"/>
                <w:szCs w:val="21"/>
                <w:highlight w:val="none"/>
                <w:lang w:val="en-US" w:eastAsia="zh-CN"/>
              </w:rPr>
              <w:t xml:space="preserve">出具的兼顾</w:t>
            </w:r>
            <w:r>
              <w:rPr>
                <w:rFonts w:hint="eastAsia" w:ascii="仿宋" w:hAnsi="仿宋" w:eastAsia="仿宋" w:cs="仿宋"/>
                <w:color w:val="auto"/>
                <w:szCs w:val="21"/>
                <w:highlight w:val="none"/>
                <w:lang w:val="en-US" w:eastAsia="zh-CN"/>
              </w:rPr>
              <w:t xml:space="preserve">UVA(340nm)老化9600KJ-5000小时和UVB（313nm)老化9800KJ-5000小时的且测试周期不少于209天的老化检测报告,其检测结果显示灰度：≥3，外观：无结块/无断裂/无变化。</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提供获得《参与实施政府采购环境标志产品认证机构名录》中的合法权威单位核发的环保弹性颗粒有效期内的环境标志（</w:t>
            </w:r>
            <w:r>
              <w:rPr>
                <w:rFonts w:hint="eastAsia" w:ascii="仿宋" w:hAnsi="仿宋" w:eastAsia="仿宋" w:cs="仿宋"/>
                <w:color w:val="auto"/>
              </w:rPr>
              <w:t xml:space="preserve">Ⅱ</w:t>
            </w:r>
            <w:r>
              <w:rPr>
                <w:rFonts w:hint="eastAsia" w:ascii="仿宋" w:hAnsi="仿宋" w:eastAsia="仿宋" w:cs="仿宋"/>
                <w:color w:val="auto"/>
                <w:szCs w:val="21"/>
                <w:lang w:val="en-US" w:eastAsia="zh-CN"/>
              </w:rPr>
              <w:t xml:space="preserve">型及以上）产品证书。</w:t>
            </w:r>
            <w:r>
              <w:rPr>
                <w:rFonts w:hint="eastAsia" w:ascii="仿宋" w:hAnsi="仿宋" w:eastAsia="仿宋" w:cs="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trHeight w:val="480"/>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4</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人造草坪减震垫</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1、厚度：</w:t>
            </w:r>
            <w:r>
              <w:rPr>
                <w:rFonts w:hint="eastAsia" w:ascii="仿宋" w:hAnsi="仿宋" w:eastAsia="仿宋" w:cs="仿宋"/>
                <w:color w:val="auto"/>
                <w:szCs w:val="21"/>
                <w:lang w:val="en-US" w:eastAsia="zh-CN"/>
              </w:rPr>
              <w:t xml:space="preserve">≥</w:t>
            </w:r>
            <w:r>
              <w:rPr>
                <w:rFonts w:hint="eastAsia" w:ascii="仿宋" w:hAnsi="仿宋" w:eastAsia="仿宋" w:cs="仿宋"/>
                <w:color w:val="auto"/>
                <w:szCs w:val="21"/>
              </w:rPr>
              <w:t xml:space="preserve">10MM,密度：≥50kg/m³；绿色；宽度1.5米</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2、★提供获得CMA或CNAS认证的第三方专业检测机构，依据GB 36246-2018《中小学合成材料面层运动场地》标准，出具的有害物质含量符合要求的检测报告。</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3、▲提供本项目拟采用人造草坪减震垫</w:t>
            </w:r>
            <w:r>
              <w:rPr>
                <w:rFonts w:hint="eastAsia" w:ascii="仿宋" w:hAnsi="仿宋" w:eastAsia="仿宋" w:cs="仿宋"/>
                <w:color w:val="auto"/>
                <w:szCs w:val="21"/>
                <w:highlight w:val="none"/>
                <w:lang w:val="en-US" w:eastAsia="zh-CN"/>
              </w:rPr>
              <w:t xml:space="preserve">依据GB36246-2018标准认证的</w:t>
            </w:r>
            <w:r>
              <w:rPr>
                <w:rFonts w:hint="eastAsia" w:ascii="仿宋" w:hAnsi="仿宋" w:eastAsia="仿宋" w:cs="仿宋"/>
                <w:color w:val="auto"/>
                <w:szCs w:val="21"/>
                <w:highlight w:val="none"/>
              </w:rPr>
              <w:t xml:space="preserve">产品认证证书</w:t>
            </w:r>
            <w:r>
              <w:rPr>
                <w:rFonts w:hint="eastAsia" w:ascii="仿宋" w:hAnsi="仿宋" w:eastAsia="仿宋" w:cs="仿宋"/>
                <w:color w:val="auto"/>
                <w:szCs w:val="21"/>
              </w:rPr>
              <w:t xml:space="preserve">及在国家认监委官网查询状态为“有效”的截图。</w:t>
            </w:r>
            <w:r/>
          </w:p>
          <w:p>
            <w:pPr>
              <w:numPr>
                <w:ilvl w:val="0"/>
                <w:numId w:val="0"/>
              </w:num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 w:val="21"/>
                <w:szCs w:val="21"/>
                <w:lang w:val="en-US" w:eastAsia="zh-CN" w:bidi="ar-SA"/>
              </w:rPr>
              <w:t xml:space="preserve">4、</w:t>
            </w:r>
            <w:r>
              <w:rPr>
                <w:rFonts w:hint="eastAsia" w:ascii="仿宋" w:hAnsi="仿宋" w:eastAsia="仿宋" w:cs="仿宋"/>
                <w:color w:val="auto"/>
                <w:szCs w:val="21"/>
                <w:lang w:val="en-US" w:eastAsia="zh-CN"/>
              </w:rPr>
              <w:t xml:space="preserve">在温度23℃±2℃和湿度50%±5%环境控制下，提供有资质的专业检测机构,依据FIFA Test Method 08标准出具的摩擦系数（0.35μ-0.75μ）和皮肤磨损（≤±30%）的检测报告。</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5、▲提供获得《参与实施政府采购环境标志产品认证机构名录》中的合法权威单位核发的人造草坪减震垫有效期内的环境标志（Ⅱ型及以上）产品证书。</w:t>
            </w:r>
            <w:r/>
          </w:p>
          <w:p>
            <w:pPr>
              <w:numPr>
                <w:ilvl w:val="0"/>
                <w:numId w:val="0"/>
              </w:num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 w:val="21"/>
                <w:szCs w:val="21"/>
                <w:lang w:val="en-US" w:eastAsia="zh-CN" w:bidi="ar-SA"/>
              </w:rPr>
              <w:t xml:space="preserve">6、</w:t>
            </w:r>
            <w:r>
              <w:rPr>
                <w:rFonts w:hint="eastAsia" w:ascii="仿宋" w:hAnsi="仿宋" w:eastAsia="仿宋" w:cs="仿宋"/>
                <w:color w:val="auto"/>
                <w:szCs w:val="21"/>
              </w:rPr>
              <w:t xml:space="preserve">人造草坪减震必须提供获得CNAS认证的第三方专业检测机构，</w:t>
            </w:r>
            <w:r>
              <w:rPr>
                <w:rFonts w:hint="default" w:ascii="仿宋" w:hAnsi="仿宋" w:eastAsia="仿宋" w:cs="仿宋"/>
                <w:color w:val="auto"/>
                <w:szCs w:val="21"/>
                <w:lang w:val="en-US"/>
              </w:rPr>
              <w:t xml:space="preserve">依据</w:t>
            </w:r>
            <w:r>
              <w:rPr>
                <w:rFonts w:hint="eastAsia" w:ascii="仿宋" w:hAnsi="仿宋" w:eastAsia="仿宋" w:cs="仿宋"/>
                <w:color w:val="auto"/>
                <w:szCs w:val="21"/>
                <w:lang w:eastAsia="zh-CN"/>
              </w:rPr>
              <w:t xml:space="preserve">国标“‌GB/T 43355-2023”</w:t>
            </w:r>
            <w:r>
              <w:rPr>
                <w:rFonts w:hint="eastAsia" w:ascii="仿宋" w:hAnsi="仿宋" w:eastAsia="仿宋" w:cs="仿宋"/>
                <w:color w:val="auto"/>
                <w:szCs w:val="21"/>
                <w:lang w:val="en-US" w:eastAsia="zh-CN"/>
              </w:rPr>
              <w:t xml:space="preserve">或</w:t>
            </w:r>
            <w:r>
              <w:rPr>
                <w:rFonts w:hint="default" w:ascii="仿宋" w:hAnsi="仿宋" w:eastAsia="仿宋" w:cs="仿宋"/>
                <w:color w:val="auto"/>
                <w:szCs w:val="21"/>
                <w:lang w:val="en-US"/>
              </w:rPr>
              <w:t xml:space="preserve">标准ISO 21702:2019</w:t>
            </w:r>
            <w:r>
              <w:rPr>
                <w:rFonts w:hint="eastAsia" w:ascii="仿宋" w:hAnsi="仿宋" w:eastAsia="仿宋" w:cs="仿宋"/>
                <w:color w:val="auto"/>
                <w:szCs w:val="21"/>
              </w:rPr>
              <w:t xml:space="preserve">出具的抗病毒活性实验检测报告；且测试结果须满足：抗病毒活性率≥</w:t>
            </w:r>
            <w:r>
              <w:rPr>
                <w:rFonts w:hint="eastAsia" w:ascii="仿宋" w:hAnsi="仿宋" w:eastAsia="仿宋" w:cs="仿宋"/>
                <w:color w:val="auto"/>
                <w:szCs w:val="21"/>
                <w:lang w:val="en-US" w:eastAsia="zh-CN"/>
              </w:rPr>
              <w:t xml:space="preserve">9</w:t>
            </w:r>
            <w:r>
              <w:rPr>
                <w:rFonts w:hint="default" w:ascii="仿宋" w:hAnsi="仿宋" w:eastAsia="仿宋" w:cs="仿宋"/>
                <w:color w:val="auto"/>
                <w:szCs w:val="21"/>
                <w:lang w:val="en-US" w:eastAsia="zh-CN"/>
              </w:rPr>
              <w:t xml:space="preserve">9</w:t>
            </w:r>
            <w:r>
              <w:rPr>
                <w:rFonts w:hint="eastAsia" w:ascii="仿宋" w:hAnsi="仿宋" w:eastAsia="仿宋" w:cs="仿宋"/>
                <w:color w:val="auto"/>
                <w:szCs w:val="21"/>
              </w:rPr>
              <w:t xml:space="preserve">% 。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trHeight w:val="276"/>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5</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原场地铲除</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旧场地铲除，清运，无害化处理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trHeight w:val="276"/>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6</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草坪施工</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 xml:space="preserve">人工费及草坪粘接胶水</w:t>
            </w:r>
            <w:r>
              <w:rPr>
                <w:rFonts w:hint="eastAsia" w:ascii="仿宋" w:hAnsi="仿宋" w:eastAsia="仿宋" w:cs="仿宋"/>
                <w:color w:val="auto"/>
                <w:szCs w:val="21"/>
                <w:lang w:eastAsia="zh-CN"/>
              </w:rPr>
              <w:t xml:space="preserve">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bl>
    <w:p>
      <w:pPr>
        <w:pStyle w:val="848"/>
        <w:numPr>
          <w:ilvl w:val="0"/>
          <w:numId w:val="0"/>
        </w:numPr>
        <w:contextualSpacing/>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r>
      <w:r/>
    </w:p>
    <w:p>
      <w:pPr>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rPr>
        <w:t xml:space="preserve">、报价方式及结算方式</w:t>
      </w:r>
      <w:r/>
    </w:p>
    <w:p>
      <w:pPr>
        <w:ind w:firstLine="480"/>
        <w:keepLines w:val="0"/>
        <w:keepNext w:val="0"/>
        <w:pageBreakBefore w:val="0"/>
        <w:spacing w:line="48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1、本项目报价为</w:t>
      </w:r>
      <w:r>
        <w:rPr>
          <w:rFonts w:hint="eastAsia" w:ascii="仿宋" w:hAnsi="仿宋" w:eastAsia="仿宋" w:cs="仿宋"/>
          <w:b/>
          <w:bCs/>
          <w:sz w:val="28"/>
          <w:szCs w:val="28"/>
          <w:u w:val="single"/>
          <w:lang w:val="zh-CN"/>
        </w:rPr>
        <w:t xml:space="preserve">固定</w:t>
      </w:r>
      <w:r>
        <w:rPr>
          <w:rFonts w:hint="eastAsia" w:ascii="仿宋" w:hAnsi="仿宋" w:eastAsia="仿宋" w:cs="仿宋"/>
          <w:b/>
          <w:bCs/>
          <w:sz w:val="28"/>
          <w:szCs w:val="28"/>
          <w:u w:val="single"/>
        </w:rPr>
        <w:t xml:space="preserve">总</w:t>
      </w:r>
      <w:r>
        <w:rPr>
          <w:rFonts w:hint="eastAsia" w:ascii="仿宋" w:hAnsi="仿宋" w:eastAsia="仿宋" w:cs="仿宋"/>
          <w:b/>
          <w:bCs/>
          <w:sz w:val="28"/>
          <w:szCs w:val="28"/>
          <w:u w:val="single"/>
          <w:lang w:val="zh-CN"/>
        </w:rPr>
        <w:t xml:space="preserve">价</w:t>
      </w:r>
      <w:r>
        <w:rPr>
          <w:rFonts w:hint="eastAsia" w:ascii="仿宋" w:hAnsi="仿宋" w:eastAsia="仿宋" w:cs="仿宋"/>
          <w:sz w:val="28"/>
          <w:szCs w:val="28"/>
          <w:lang w:val="zh-CN"/>
        </w:rPr>
        <w:t xml:space="preserve">，投标报价应包括</w:t>
      </w:r>
      <w:r>
        <w:rPr>
          <w:rFonts w:hint="eastAsia" w:ascii="仿宋" w:hAnsi="仿宋" w:eastAsia="仿宋" w:cs="仿宋"/>
          <w:sz w:val="28"/>
          <w:szCs w:val="28"/>
        </w:rPr>
        <w:t xml:space="preserve">货物的制造（采购）、运输、装卸、安装、调试、测试、售后服务、技术培训</w:t>
      </w:r>
      <w:r>
        <w:rPr>
          <w:rFonts w:hint="eastAsia" w:ascii="仿宋" w:hAnsi="仿宋" w:eastAsia="仿宋" w:cs="仿宋"/>
          <w:sz w:val="28"/>
          <w:szCs w:val="28"/>
          <w:lang w:val="zh-CN"/>
        </w:rPr>
        <w:t xml:space="preserve">、政策性文件规定及合同包含的省级及以上质量监督检验部门的检测和评审等所有风险、责任等各项应有费用，以及为完成该项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p>
    <w:p>
      <w:pPr>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、付款方式</w:t>
      </w:r>
      <w:r/>
    </w:p>
    <w:p>
      <w:pPr>
        <w:contextualSpacing/>
        <w:ind w:firstLine="480"/>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1、本项目合同签订后，甲方向乙方支付合同金额的30%预付款；</w:t>
      </w:r>
      <w:r/>
    </w:p>
    <w:p>
      <w:pPr>
        <w:contextualSpacing/>
        <w:ind w:firstLine="480"/>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2、货物安装调试完成后，并经采购人验收合格，支付至合同总价款的</w:t>
      </w:r>
      <w:r>
        <w:rPr>
          <w:rFonts w:hint="eastAsia" w:ascii="仿宋" w:hAnsi="仿宋" w:eastAsia="仿宋" w:cs="仿宋"/>
          <w:bCs/>
          <w:sz w:val="28"/>
          <w:szCs w:val="28"/>
          <w:lang w:val="en-US" w:eastAsia="zh-CN"/>
        </w:rPr>
        <w:t xml:space="preserve">9</w:t>
      </w:r>
      <w:r>
        <w:rPr>
          <w:rFonts w:hint="eastAsia" w:ascii="仿宋" w:hAnsi="仿宋" w:eastAsia="仿宋" w:cs="仿宋"/>
          <w:bCs/>
          <w:sz w:val="28"/>
          <w:szCs w:val="28"/>
        </w:rPr>
        <w:t xml:space="preserve">0%；</w:t>
      </w:r>
      <w:r/>
    </w:p>
    <w:p>
      <w:pPr>
        <w:contextualSpacing/>
        <w:ind w:firstLine="480"/>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3、竣工满壹年后，付清审定总价款的余款。</w:t>
      </w:r>
      <w:r/>
    </w:p>
    <w:p>
      <w:pPr>
        <w:ind w:right="210"/>
        <w:jc w:val="left"/>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、交货期及交货地点</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1.交货日期：</w:t>
      </w:r>
      <w:r>
        <w:rPr>
          <w:rFonts w:hint="eastAsia" w:ascii="仿宋" w:hAnsi="仿宋" w:eastAsia="仿宋" w:cs="仿宋"/>
          <w:sz w:val="28"/>
          <w:szCs w:val="28"/>
          <w:lang w:eastAsia="zh-CN"/>
        </w:rPr>
        <w:t xml:space="preserve">合同签订并接到</w:t>
      </w:r>
      <w:r>
        <w:rPr>
          <w:rFonts w:hint="eastAsia" w:ascii="仿宋" w:hAnsi="仿宋" w:eastAsia="仿宋" w:cs="仿宋"/>
          <w:sz w:val="28"/>
          <w:szCs w:val="28"/>
        </w:rPr>
        <w:t xml:space="preserve">甲方通知后40日内安装</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调试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验收合格并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交付使用。</w:t>
      </w:r>
      <w:r/>
    </w:p>
    <w:p>
      <w:pPr>
        <w:ind w:right="210" w:firstLine="480"/>
        <w:jc w:val="left"/>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交货（安装）地点：中标供应商负责将货物运到采购人指定地点，由中标供应商负责办理运输和装卸等，费用由中标供应商负责。检验不合格或不符合质量要求，中标人除无条件退货、返工外，还应承担采购人的一切损失。</w:t>
      </w:r>
      <w:r/>
    </w:p>
    <w:p>
      <w:pPr>
        <w:ind w:right="210"/>
        <w:jc w:val="left"/>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、验收标准</w:t>
      </w:r>
      <w:r/>
    </w:p>
    <w:p>
      <w:pPr>
        <w:ind w:firstLine="480"/>
        <w:keepLines w:val="0"/>
        <w:keepNext w:val="0"/>
        <w:pageBreakBefore w:val="0"/>
        <w:spacing w:line="480" w:lineRule="exact"/>
        <w:widowControl w:val="off"/>
        <w:rPr>
          <w:rFonts w:hint="eastAsia" w:ascii="仿宋" w:hAnsi="仿宋" w:eastAsia="仿宋" w:cs="仿宋"/>
          <w:sz w:val="28"/>
          <w:szCs w:val="28"/>
          <w:lang w:val="zh-CN"/>
        </w:rPr>
      </w:pPr>
      <w:r>
        <w:rPr>
          <w:rFonts w:hint="eastAsia" w:ascii="仿宋" w:hAnsi="仿宋" w:eastAsia="仿宋" w:cs="仿宋"/>
          <w:sz w:val="28"/>
          <w:szCs w:val="28"/>
        </w:rPr>
        <w:t xml:space="preserve">1.产品到达交货地点后，采购人和供应商共同检验产品数量、质量等状况，由供应商负责并承担相关费用，采购人应积极配合。供应商进行安装调试并经过性能测试后，</w:t>
      </w:r>
      <w:r>
        <w:rPr>
          <w:rFonts w:hint="eastAsia" w:ascii="仿宋" w:hAnsi="仿宋" w:eastAsia="仿宋" w:cs="仿宋"/>
          <w:sz w:val="28"/>
          <w:szCs w:val="28"/>
          <w:lang w:val="zh-CN"/>
        </w:rPr>
        <w:t xml:space="preserve">由采购人进行验收。</w:t>
      </w:r>
      <w:r>
        <w:rPr>
          <w:rFonts w:hint="eastAsia" w:ascii="仿宋" w:hAnsi="仿宋" w:eastAsia="仿宋" w:cs="仿宋"/>
          <w:sz w:val="28"/>
          <w:szCs w:val="28"/>
        </w:rPr>
        <w:t xml:space="preserve">验收合格后，双方在《验收报告》上签字确认。验收过程中的所有验收费用（包括但不限于专家评审费等）由供应商承担。</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2.对产品的外观或质量问题，采购人应在发现和应当发现之日起30日内向供应商提出书面异议，供应商在接到书面异议后，应当在2日内负责处理。采购人逾期提出的，对所交产品视为符合合同的规定。</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3.经双方共同验收，产品性能参数达不到招标合同要求的，采购人可以拒收，并可以解除合同。</w:t>
      </w:r>
      <w:r/>
    </w:p>
    <w:p>
      <w:pPr>
        <w:ind w:firstLine="480"/>
        <w:keepLines w:val="0"/>
        <w:keepNext w:val="0"/>
        <w:pageBreakBefore w:val="0"/>
        <w:spacing w:line="480" w:lineRule="exact"/>
        <w:widowControl w:val="off"/>
        <w:rPr>
          <w:rFonts w:hint="eastAsia" w:ascii="仿宋" w:hAnsi="仿宋" w:eastAsia="仿宋" w:cs="仿宋"/>
          <w:i/>
          <w:iCs/>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b/>
          <w:bCs/>
          <w:i/>
          <w:iCs/>
          <w:sz w:val="28"/>
          <w:szCs w:val="28"/>
          <w:u w:val="single"/>
          <w:lang w:val="en-US" w:eastAsia="zh-CN"/>
        </w:rPr>
        <w:t xml:space="preserve">验收前须提供“国际足联场地认证证书”，官网可查</w:t>
      </w:r>
      <w:r>
        <w:rPr>
          <w:rFonts w:hint="eastAsia" w:ascii="仿宋" w:hAnsi="仿宋" w:eastAsia="仿宋" w:cs="仿宋"/>
          <w:i/>
          <w:iCs/>
          <w:sz w:val="28"/>
          <w:szCs w:val="28"/>
          <w:lang w:val="en-US" w:eastAsia="zh-CN"/>
        </w:rPr>
        <w:t xml:space="preserve">。</w:t>
      </w:r>
      <w:r/>
    </w:p>
    <w:p>
      <w:pPr>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十</w:t>
      </w:r>
      <w:r>
        <w:rPr>
          <w:rFonts w:hint="eastAsia" w:ascii="仿宋" w:hAnsi="仿宋" w:eastAsia="仿宋" w:cs="仿宋"/>
          <w:b/>
          <w:sz w:val="28"/>
          <w:szCs w:val="28"/>
        </w:rPr>
        <w:t xml:space="preserve">、质保期及售后服务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b/>
          <w:bCs/>
          <w:i/>
          <w:iCs/>
          <w:sz w:val="28"/>
          <w:szCs w:val="28"/>
          <w:u w:val="single"/>
        </w:rPr>
        <w:t xml:space="preserve">供应商报价时须承诺所供货物</w:t>
      </w:r>
      <w:bookmarkStart w:id="40" w:name="OLE_LINK1"/>
      <w:r>
        <w:rPr>
          <w:rFonts w:hint="eastAsia" w:ascii="仿宋" w:hAnsi="仿宋" w:eastAsia="仿宋" w:cs="仿宋"/>
          <w:b/>
          <w:bCs/>
          <w:i/>
          <w:iCs/>
          <w:sz w:val="28"/>
          <w:szCs w:val="28"/>
          <w:u w:val="single"/>
        </w:rPr>
        <w:t xml:space="preserve">免费质保期不少于5年</w:t>
      </w:r>
      <w:bookmarkEnd w:id="40"/>
      <w:r>
        <w:rPr>
          <w:rFonts w:hint="eastAsia" w:ascii="仿宋" w:hAnsi="仿宋" w:eastAsia="仿宋" w:cs="仿宋"/>
          <w:b/>
          <w:bCs/>
          <w:i/>
          <w:iCs/>
          <w:sz w:val="28"/>
          <w:szCs w:val="28"/>
          <w:u w:val="single"/>
        </w:rPr>
        <w:t xml:space="preserve">（自验收报告签字确认日起，开始进入质保期）。供应商对质保期内所发生的设备质量问题，</w:t>
      </w:r>
      <w:r>
        <w:rPr>
          <w:rFonts w:hint="eastAsia" w:ascii="仿宋" w:hAnsi="仿宋" w:eastAsia="仿宋" w:cs="仿宋"/>
          <w:b/>
          <w:bCs/>
          <w:i/>
          <w:iCs/>
          <w:sz w:val="28"/>
          <w:szCs w:val="28"/>
          <w:u w:val="single"/>
          <w:lang w:val="zh-CN"/>
        </w:rPr>
        <w:t xml:space="preserve">供应商负责包修、包退、包换</w:t>
      </w:r>
      <w:r>
        <w:rPr>
          <w:rFonts w:hint="eastAsia" w:ascii="仿宋" w:hAnsi="仿宋" w:eastAsia="仿宋" w:cs="仿宋"/>
          <w:sz w:val="28"/>
          <w:szCs w:val="28"/>
          <w:lang w:val="zh-CN"/>
        </w:rPr>
        <w:t xml:space="preserve">。</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（二）售后服务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1.所有的售后服务均由供应商受理。如果发生问题并且收到报告，供应商应当在1小时内予以答复。</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2.如发现所提供的设备存在问题，需要供应商解决或配合解决时，应在接到通知后2小时内派有关人员到达现场，在24小时内排除故障。如不能及时修复，采购人有权自行派人进行修复，全部费用由供应商承担。</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3.供应商派往采购人现场的人员，应具有较高的业务素质，现场解决问题时，不得无故拖延或推迟，应为采购人提供最佳的服务。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4.供应商必须无偿向采购人提供初期的技术培训及质保期内的其他技术服务。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5.在质保期内因产品质量问题造成的产品故障和零部件损坏，供应商应无条件维修或更换，更换的零部件质保期顺延。</w:t>
      </w:r>
      <w:r/>
    </w:p>
    <w:p>
      <w:pPr>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十一</w:t>
      </w:r>
      <w:r>
        <w:rPr>
          <w:rFonts w:hint="eastAsia" w:ascii="仿宋" w:hAnsi="仿宋" w:eastAsia="仿宋" w:cs="仿宋"/>
          <w:b/>
          <w:bCs/>
          <w:sz w:val="28"/>
          <w:szCs w:val="28"/>
        </w:rPr>
        <w:t xml:space="preserve">、采购标的的所属行业：</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参照《关于印发中小企业划型标准规定的通知》（工信部联企业[2011]300号）文件，本项目采购标的所属行业为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 xml:space="preserve">制造业</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 。</w:t>
      </w:r>
      <w:r/>
    </w:p>
    <w:p>
      <w:pPr>
        <w:keepLines w:val="0"/>
        <w:keepNext w:val="0"/>
        <w:pageBreakBefore w:val="0"/>
        <w:spacing w:line="480" w:lineRule="exact"/>
        <w:widowControl w:val="off"/>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r>
      <w:r/>
    </w:p>
    <w:p>
      <w:pPr>
        <w:keepLines w:val="0"/>
        <w:keepNext w:val="0"/>
        <w:pageBreakBefore w:val="0"/>
        <w:spacing w:line="480" w:lineRule="exact"/>
        <w:widowControl w:val="off"/>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val="en-US" w:eastAsia="zh-CN"/>
        </w:rPr>
        <w:t xml:space="preserve">十二</w:t>
      </w:r>
      <w:r>
        <w:rPr>
          <w:rFonts w:hint="eastAsia" w:ascii="仿宋" w:hAnsi="仿宋" w:eastAsia="仿宋" w:cs="仿宋"/>
          <w:b/>
          <w:sz w:val="28"/>
          <w:szCs w:val="28"/>
          <w:highlight w:val="none"/>
          <w:lang w:eastAsia="zh-CN"/>
        </w:rPr>
        <w:t xml:space="preserve">、解决方案：</w:t>
      </w:r>
      <w:r/>
    </w:p>
    <w:p>
      <w:pPr>
        <w:pStyle w:val="825"/>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一、项目实施方案</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（一）项目概况</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本项目位于</w:t>
      </w:r>
      <w:r>
        <w:rPr>
          <w:rFonts w:hint="eastAsia" w:ascii="仿宋" w:hAnsi="仿宋" w:eastAsia="仿宋" w:cs="仿宋"/>
          <w:sz w:val="28"/>
          <w:szCs w:val="28"/>
          <w:lang w:eastAsia="zh-CN"/>
        </w:rPr>
        <w:t xml:space="preserve">兴化市体育场</w:t>
      </w:r>
      <w:r>
        <w:rPr>
          <w:rFonts w:hint="eastAsia" w:ascii="仿宋" w:hAnsi="仿宋" w:eastAsia="仿宋" w:cs="仿宋"/>
          <w:sz w:val="28"/>
          <w:szCs w:val="28"/>
        </w:rPr>
        <w:t xml:space="preserve">，计划建设一块标准11人制足球场人造草坪场地，总面积约7</w:t>
      </w:r>
      <w:r>
        <w:rPr>
          <w:rFonts w:hint="eastAsia" w:ascii="仿宋" w:hAnsi="仿宋" w:eastAsia="仿宋" w:cs="仿宋"/>
          <w:sz w:val="28"/>
          <w:szCs w:val="28"/>
          <w:lang w:val="en-US" w:eastAsia="zh-CN"/>
        </w:rPr>
        <w:t xml:space="preserve">455</w:t>
      </w:r>
      <w:r>
        <w:rPr>
          <w:rFonts w:hint="eastAsia" w:ascii="仿宋" w:hAnsi="仿宋" w:eastAsia="仿宋" w:cs="仿宋"/>
          <w:sz w:val="28"/>
          <w:szCs w:val="28"/>
        </w:rPr>
        <w:t xml:space="preserve">平方米，主要用于</w:t>
      </w:r>
      <w:r>
        <w:rPr>
          <w:rFonts w:hint="eastAsia" w:ascii="仿宋" w:hAnsi="仿宋" w:eastAsia="仿宋" w:cs="仿宋"/>
          <w:sz w:val="28"/>
          <w:szCs w:val="28"/>
          <w:lang w:eastAsia="zh-CN"/>
        </w:rPr>
        <w:t xml:space="preserve">向社会免费或低收费开放、青少年足球训练、承办兴化市足球超级联赛、中小学生足球赛、泰州市城市足球超级联赛等</w:t>
      </w:r>
      <w:r>
        <w:rPr>
          <w:rFonts w:hint="eastAsia" w:ascii="仿宋" w:hAnsi="仿宋" w:eastAsia="仿宋" w:cs="仿宋"/>
          <w:sz w:val="28"/>
          <w:szCs w:val="28"/>
        </w:rPr>
        <w:t xml:space="preserve">。项目总工期为</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0日历天，计划开工日期</w:t>
      </w:r>
      <w:r>
        <w:rPr>
          <w:rFonts w:hint="eastAsia" w:ascii="仿宋" w:hAnsi="仿宋" w:eastAsia="仿宋" w:cs="仿宋"/>
          <w:sz w:val="28"/>
          <w:szCs w:val="28"/>
          <w:lang w:val="en-US" w:eastAsia="zh-CN"/>
        </w:rPr>
        <w:t xml:space="preserve">2026年10月1日</w:t>
      </w:r>
      <w:r>
        <w:rPr>
          <w:rFonts w:hint="eastAsia" w:ascii="仿宋" w:hAnsi="仿宋" w:eastAsia="仿宋" w:cs="仿宋"/>
          <w:sz w:val="28"/>
          <w:szCs w:val="28"/>
        </w:rPr>
        <w:t xml:space="preserve">，竣工日期</w:t>
      </w:r>
      <w:r>
        <w:rPr>
          <w:rFonts w:hint="eastAsia" w:ascii="仿宋" w:hAnsi="仿宋" w:eastAsia="仿宋" w:cs="仿宋"/>
          <w:sz w:val="28"/>
          <w:szCs w:val="28"/>
          <w:lang w:val="en-US" w:eastAsia="zh-CN"/>
        </w:rPr>
        <w:t xml:space="preserve">2026年11月9日</w:t>
      </w:r>
      <w:r>
        <w:rPr>
          <w:rFonts w:hint="eastAsia" w:ascii="仿宋" w:hAnsi="仿宋" w:eastAsia="仿宋" w:cs="仿宋"/>
          <w:sz w:val="28"/>
          <w:szCs w:val="28"/>
        </w:rPr>
        <w:t xml:space="preserve">，项目质量目标为符合</w:t>
      </w:r>
      <w:r>
        <w:rPr>
          <w:rFonts w:hint="eastAsia" w:ascii="仿宋" w:hAnsi="仿宋" w:eastAsia="仿宋" w:cs="仿宋"/>
          <w:sz w:val="28"/>
          <w:szCs w:val="28"/>
          <w:lang w:val="en-US" w:eastAsia="zh-CN"/>
        </w:rPr>
        <w:t xml:space="preserve">GB/T20394-2019</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体育用人造草</w:t>
      </w:r>
      <w:r>
        <w:rPr>
          <w:rFonts w:hint="eastAsia" w:ascii="仿宋" w:hAnsi="仿宋" w:eastAsia="仿宋" w:cs="仿宋"/>
          <w:sz w:val="28"/>
          <w:szCs w:val="28"/>
        </w:rPr>
        <w:t xml:space="preserve">》标准</w:t>
      </w:r>
      <w:r>
        <w:rPr>
          <w:rFonts w:hint="eastAsia" w:ascii="仿宋" w:hAnsi="仿宋" w:eastAsia="仿宋" w:cs="仿宋"/>
          <w:sz w:val="28"/>
          <w:szCs w:val="28"/>
          <w:lang w:eastAsia="zh-CN"/>
        </w:rPr>
        <w:t xml:space="preserve">等相关</w:t>
      </w:r>
      <w:r>
        <w:rPr>
          <w:rFonts w:hint="eastAsia" w:ascii="仿宋" w:hAnsi="仿宋" w:eastAsia="仿宋" w:cs="仿宋"/>
          <w:sz w:val="28"/>
          <w:szCs w:val="28"/>
        </w:rPr>
        <w:t xml:space="preserve">国家标准，人造草坪场地铺设完成后须通过国际足联场地认证，获取国际足联场地认证证书。</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（二）施工准备阶段</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技术准备：组织技术人员完成现场勘查，核对基础平整度、坡度、排水系统情况，编制专项技术交底文件，对施工班组完成全员技术交底，明确每道工序的质量标准。</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材料进场：人造草坪、石英砂、橡胶颗粒、专用胶水、接缝带等材料分批进场，同步完成材料送检，确保所有材料的耐磨性能、阻燃性能、回弹指标符合国家规范要求，检验合格后方可使用。</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设备进场调试：梳理并调试草坪铺设专用工具，包括草坪裁剪器、压实滚筒、吸尘设备、摊铺机具等，确保所有设备工况完好，满足连续施工要求。</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场地交接：与甲方单位共同完成基础面交接验收，确认基础强度C25以上、平整度误差不超过3mm/3m、排水坡度3‰-5‰，对基础局部空鼓、起砂区域提前完成修补处理。</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（三）核心施工阶段</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草坪铺设作业：按照场地尺寸进行排版放样，将人造草坪沿同一方向平铺于基础面，静置24小时释放材料应力，避免后期出现褶皱变形。使用专用工具精准裁剪草坪边缘，保证接缝处缝隙不超过2mm。</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接缝粘接处理：在草坪接缝下方铺设专用接缝带，均匀涂刷环保型专用胶水，待胶水晾置至指触不粘时，对齐拼接草坪接缝，使用压实滚筒反复滚压，确保粘接牢固，无起翘、无偏移。</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标线裁切镶嵌：根据国际足联标准足球场标线尺寸，精准测量定位，裁切白色专用标线草坪，采用相同粘接工艺镶嵌于场地对应位置，保证线条顺直、无错位，误差控制在5mm以内。</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填充料摊铺作业：采用机械配合人工的方式，分两次摊铺石英砂，总填充高度为20mm，填充过程中使用毛刷反复梳理草丝，确保石英砂完全沉降至草丝根部，无外露、无堆积。石英砂填充完成后，分三次摊铺黑色橡胶颗粒，总填充高度为10mm，全程同步梳理草丝，保证草丝直立度达到95%以上。</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场地清理修整：使用大功率吸尘设备清除场地内残留的杂质、浮尘，对局部草丝倒伏、填充不均区域进行人工修整，确保场地整体平整度、均匀度符合运动使用要求。</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（四）收尾调试阶段</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完成场地全面自检，对边缘细节、接缝牢固度、标线顺直度进行逐一排查整改，清理施工周边建筑垃圾，配合甲方完成场地使用前的各项准备工作。</w:t>
      </w:r>
      <w:r/>
    </w:p>
    <w:p>
      <w:pPr>
        <w:pStyle w:val="825"/>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二、项目实施的重点、难点和解决方案</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（一）基础平整度控制</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838"/>
          <w:rFonts w:hint="eastAsia" w:ascii="仿宋" w:hAnsi="仿宋" w:eastAsia="仿宋" w:cs="仿宋"/>
          <w:b w:val="0"/>
          <w:bCs/>
          <w:sz w:val="28"/>
          <w:szCs w:val="28"/>
        </w:rPr>
        <w:t xml:space="preserve">问题描述</w:t>
      </w:r>
      <w:r>
        <w:rPr>
          <w:rFonts w:hint="eastAsia" w:ascii="仿宋" w:hAnsi="仿宋" w:eastAsia="仿宋" w:cs="仿宋"/>
          <w:sz w:val="28"/>
          <w:szCs w:val="28"/>
        </w:rPr>
        <w:t xml:space="preserve">：原有基础若存在局部平整度超标，会直接导致草坪铺设后出现凹凸不平，影响运动体验，长期使用还会加剧草坪磨损。 </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838"/>
          <w:rFonts w:hint="eastAsia" w:ascii="仿宋" w:hAnsi="仿宋" w:eastAsia="仿宋" w:cs="仿宋"/>
          <w:b w:val="0"/>
          <w:bCs/>
          <w:sz w:val="28"/>
          <w:szCs w:val="28"/>
        </w:rPr>
        <w:t xml:space="preserve">解决方案</w:t>
      </w:r>
      <w:r>
        <w:rPr>
          <w:rFonts w:hint="eastAsia" w:ascii="仿宋" w:hAnsi="仿宋" w:eastAsia="仿宋" w:cs="仿宋"/>
          <w:b w:val="0"/>
          <w:bCs/>
          <w:sz w:val="28"/>
          <w:szCs w:val="28"/>
        </w:rPr>
        <w:t xml:space="preserve">：</w:t>
      </w:r>
      <w:r>
        <w:rPr>
          <w:rFonts w:hint="eastAsia" w:ascii="仿宋" w:hAnsi="仿宋" w:eastAsia="仿宋" w:cs="仿宋"/>
          <w:sz w:val="28"/>
          <w:szCs w:val="28"/>
        </w:rPr>
        <w:t xml:space="preserve">施工前采用3米靠尺对全场进行逐点排查，标记所有平整度超差区域，采用专用自流平材料进行找平处理，处理完成后再次复测，确保全场平整度误差不超过3mm/3m，从源头消除基础缺陷。</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（二）草坪接缝粘接质量管控</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838"/>
          <w:rFonts w:hint="eastAsia" w:ascii="仿宋" w:hAnsi="仿宋" w:eastAsia="仿宋" w:cs="仿宋"/>
          <w:b w:val="0"/>
          <w:bCs/>
          <w:sz w:val="28"/>
          <w:szCs w:val="28"/>
        </w:rPr>
        <w:t xml:space="preserve">问题描述</w:t>
      </w:r>
      <w:r>
        <w:rPr>
          <w:rFonts w:hint="eastAsia" w:ascii="仿宋" w:hAnsi="仿宋" w:eastAsia="仿宋" w:cs="仿宋"/>
          <w:b w:val="0"/>
          <w:bCs/>
          <w:sz w:val="28"/>
          <w:szCs w:val="28"/>
        </w:rPr>
        <w:t xml:space="preserve">：</w:t>
      </w:r>
      <w:r>
        <w:rPr>
          <w:rFonts w:hint="eastAsia" w:ascii="仿宋" w:hAnsi="仿宋" w:eastAsia="仿宋" w:cs="仿宋"/>
          <w:sz w:val="28"/>
          <w:szCs w:val="28"/>
        </w:rPr>
        <w:t xml:space="preserve">户外温差变化大、胶水涂刷不均匀容易导致接缝粘接不牢，后期出现起翘、开裂，直接影响场地使用寿命。 </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838"/>
          <w:rFonts w:hint="eastAsia" w:ascii="仿宋" w:hAnsi="仿宋" w:eastAsia="仿宋" w:cs="仿宋"/>
          <w:b w:val="0"/>
          <w:bCs/>
          <w:sz w:val="28"/>
          <w:szCs w:val="28"/>
        </w:rPr>
        <w:t xml:space="preserve">解决方案</w:t>
      </w:r>
      <w:r>
        <w:rPr>
          <w:rFonts w:hint="eastAsia" w:ascii="仿宋" w:hAnsi="仿宋" w:eastAsia="仿宋" w:cs="仿宋"/>
          <w:b w:val="0"/>
          <w:bCs/>
          <w:sz w:val="28"/>
          <w:szCs w:val="28"/>
        </w:rPr>
        <w:t xml:space="preserve">：</w:t>
      </w:r>
      <w:r>
        <w:rPr>
          <w:rFonts w:hint="eastAsia" w:ascii="仿宋" w:hAnsi="仿宋" w:eastAsia="仿宋" w:cs="仿宋"/>
          <w:sz w:val="28"/>
          <w:szCs w:val="28"/>
        </w:rPr>
        <w:t xml:space="preserve">选择气温10℃-25℃的时段开展粘接作业，避免雨天、高温暴晒环境施工。严格控制胶水涂刷厚度，保证接缝带和草坪背面涂胶均匀，晾置时间控制在15-20分钟，粘接后使用50kg重型滚筒反复滚压3次，粘接完成后24小时内禁止人员踩踏，确保接缝粘接强度达标。</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（三）填充料均匀度控制</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Style w:val="838"/>
          <w:rFonts w:hint="eastAsia" w:ascii="仿宋" w:hAnsi="仿宋" w:eastAsia="仿宋" w:cs="仿宋"/>
          <w:b w:val="0"/>
          <w:bCs/>
          <w:sz w:val="28"/>
          <w:szCs w:val="28"/>
        </w:rPr>
        <w:t xml:space="preserve">问题描述</w:t>
      </w:r>
      <w:r>
        <w:rPr>
          <w:rFonts w:hint="eastAsia" w:ascii="仿宋" w:hAnsi="仿宋" w:eastAsia="仿宋" w:cs="仿宋"/>
          <w:b w:val="0"/>
          <w:bCs/>
          <w:sz w:val="28"/>
          <w:szCs w:val="28"/>
        </w:rPr>
        <w:t xml:space="preserve">：石英砂和橡胶颗粒摊铺过程中容易出现局部堆积、填充不足，导致场地运动性能不均，部分区域草丝倒伏、缓冲性能不达标。 </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Style w:val="838"/>
          <w:rFonts w:hint="eastAsia" w:ascii="仿宋" w:hAnsi="仿宋" w:eastAsia="仿宋" w:cs="仿宋"/>
          <w:b w:val="0"/>
          <w:bCs/>
          <w:sz w:val="28"/>
          <w:szCs w:val="28"/>
        </w:rPr>
        <w:t xml:space="preserve">解决方案</w:t>
      </w:r>
      <w:r>
        <w:rPr>
          <w:rFonts w:hint="eastAsia" w:ascii="仿宋" w:hAnsi="仿宋" w:eastAsia="仿宋" w:cs="仿宋"/>
          <w:b w:val="0"/>
          <w:bCs/>
          <w:sz w:val="28"/>
          <w:szCs w:val="28"/>
        </w:rPr>
        <w:t xml:space="preserve">：采用“少量多次”的摊铺工艺，每摊铺一层填充料就用梳草机反复梳理2遍，确保填充料完全进入草丝间隙，每层填充完成后检测填充厚度，误差控制在±1mm以内，全场填充完成后随机选取20个点位进行厚度核验，不合格区域立即补填修整。</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Fonts w:hint="eastAsia" w:ascii="仿宋" w:hAnsi="仿宋" w:eastAsia="仿宋" w:cs="仿宋"/>
          <w:b w:val="0"/>
          <w:bCs/>
          <w:sz w:val="28"/>
          <w:szCs w:val="28"/>
        </w:rPr>
        <w:t xml:space="preserve">（四）场地排水性能保障</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Style w:val="838"/>
          <w:rFonts w:hint="eastAsia" w:ascii="仿宋" w:hAnsi="仿宋" w:eastAsia="仿宋" w:cs="仿宋"/>
          <w:b w:val="0"/>
          <w:bCs/>
          <w:sz w:val="28"/>
          <w:szCs w:val="28"/>
        </w:rPr>
        <w:t xml:space="preserve">问题描述</w:t>
      </w:r>
      <w:r>
        <w:rPr>
          <w:rFonts w:hint="eastAsia" w:ascii="仿宋" w:hAnsi="仿宋" w:eastAsia="仿宋" w:cs="仿宋"/>
          <w:b w:val="0"/>
          <w:bCs/>
          <w:sz w:val="28"/>
          <w:szCs w:val="28"/>
        </w:rPr>
        <w:t xml:space="preserve">：施工过程中若堵塞原有排水孔，或场地局部出现倒坡，会导致雨后场地积水，影响正常使用。 </w:t>
      </w:r>
      <w:r/>
    </w:p>
    <w:p>
      <w:pPr>
        <w:pStyle w:val="835"/>
        <w:ind w:firstLine="560"/>
        <w:jc w:val="left"/>
        <w:keepLines w:val="0"/>
        <w:keepNext w:val="0"/>
        <w:pageBreakBefore w:val="0"/>
        <w:spacing w:before="0" w:beforeAutospacing="0" w:after="0" w:afterAutospacing="0" w:line="480" w:lineRule="exact"/>
        <w:widowControl/>
        <w:suppressLineNumbers w:val="0"/>
      </w:pPr>
      <w:r>
        <w:rPr>
          <w:rStyle w:val="838"/>
          <w:rFonts w:hint="eastAsia" w:ascii="仿宋" w:hAnsi="仿宋" w:eastAsia="仿宋" w:cs="仿宋"/>
          <w:b w:val="0"/>
          <w:bCs/>
          <w:sz w:val="28"/>
          <w:szCs w:val="28"/>
        </w:rPr>
        <w:t xml:space="preserve">解决方案</w:t>
      </w:r>
      <w:r>
        <w:rPr>
          <w:rFonts w:hint="eastAsia" w:ascii="仿宋" w:hAnsi="仿宋" w:eastAsia="仿宋" w:cs="仿宋"/>
          <w:sz w:val="28"/>
          <w:szCs w:val="28"/>
        </w:rPr>
        <w:t xml:space="preserve">：施工前对所有排水孔进行标记保护，铺设草坪时提前预留排水孔洞，施工完成后进行全场泼水试验，检查排水流向是否顺畅，2小时内场地无大于50cm²的积水区域即为合格，发现积水点立即返工调整。</w:t>
      </w:r>
      <w:r/>
    </w:p>
    <w:p>
      <w:pPr>
        <w:pStyle w:val="825"/>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三、安全管理措施</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建立全员安全责任制，设立专职现场安全员，每日开展班前安全交底，明确当日作业的安全风险点，所有施工人员进场前完成三级安全教育，考核合格后方可上岗作业。</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现场施工用电严格执行“三级配电两级保护”要求，所有电动工具配备漏电保护装置，电线采用架空或穿管保护，严禁随地拖拽，每日收工后切断总电源，杜绝用电安全隐患。</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胶水、稀释剂等易燃化学品实行专库专人管理，现场配备足量干粉灭火器，作业区域10米范围内严禁明火，严禁施工人员在场地内吸烟，避免引发火灾事故。</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机械作业时严格遵守设备操作规程，梳草机、摊铺机具作业时周边严禁站人，设备检修必须断电停机，避免机械伤害事故。</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高温天气施工时合理调整作业时间，配备防暑降温物资，避免人员中暑；雨天停止户外施工，对未完工的粘接作业面进行覆盖保护，防止材料失效。</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进场施工人员全程佩戴安全帽、穿防滑工鞋，高空作业（若涉及围网安装）必须系好安全带，严禁违规冒险作业。</w:t>
      </w:r>
      <w:r/>
    </w:p>
    <w:p>
      <w:pPr>
        <w:pStyle w:val="825"/>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四、验收组织方案</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（一）验收组织架构</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成立专项验收小组，由建设单位牵头，联合</w:t>
      </w:r>
      <w:r>
        <w:rPr>
          <w:rFonts w:hint="eastAsia" w:ascii="仿宋" w:hAnsi="仿宋" w:eastAsia="仿宋" w:cs="仿宋"/>
          <w:b w:val="0"/>
          <w:bCs w:val="0"/>
          <w:sz w:val="28"/>
          <w:szCs w:val="28"/>
          <w:lang w:eastAsia="zh-CN"/>
        </w:rPr>
        <w:t xml:space="preserve">供应商</w:t>
      </w:r>
      <w:r>
        <w:rPr>
          <w:rFonts w:hint="eastAsia" w:ascii="仿宋" w:hAnsi="仿宋" w:eastAsia="仿宋" w:cs="仿宋"/>
          <w:b w:val="0"/>
          <w:bCs w:val="0"/>
          <w:sz w:val="28"/>
          <w:szCs w:val="28"/>
        </w:rPr>
        <w:t xml:space="preserve">、体育场地检测第三方机构共同组成，明确各单位职责分工，验收过程全程留痕，所有参与方签字确认验收结果。</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（二）验收依据</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严格按照《体育场地人造草坪材料和运动性能要求》GB/T 20394-2019、《体育场地铺装材料安全要求》GB 36246-2018及项目施工合同约定的技术标准开展验收工作。</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（三）验收流程</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施工单位完成自检，确认所有工序全部合格后，向建设单位提交竣工验收申请及完整的施工资料，包括材料检测报告、隐蔽工程记录、施工日志等。</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验收小组到场后，首先核查所有施工资料的完整性、合规性，确认资料无缺失。</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现场实测实量：对场地平整度、标线尺寸、填充料厚度、草坪粘接牢固度进行逐点检测，随机抽取点位检测草丝拉断力、回弹性能、摩擦系数等核心运动指标。</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第三方检测机构出具正式检测报告，所有指标全部符合国家标准即为验收合格。</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验收合格后各方共同签署竣工验收证书，正式移交场地，同步移交后续使用维护说明书，明确日常使用、养护的注意事项。</w:t>
      </w:r>
      <w:r/>
    </w:p>
    <w:p>
      <w:pPr>
        <w:pStyle w:val="826"/>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（四）不合格项整改机制</w:t>
      </w:r>
      <w:r/>
    </w:p>
    <w:p>
      <w:pPr>
        <w:pStyle w:val="835"/>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验收过程中发现的不合格项，由施工单位制定专项整改方案，在7个日历天内完成全部整改，重新组织复验，直至所有指标全部达标，未经验收合格的场地严禁投入使用。</w:t>
      </w:r>
      <w:r/>
    </w:p>
    <w:p>
      <w:pPr>
        <w:pStyle w:val="845"/>
        <w:ind w:firstLine="686"/>
        <w:spacing w:before="0" w:beforeAutospacing="0" w:after="0" w:afterAutospacing="0" w:line="500" w:lineRule="exact"/>
        <w:rPr>
          <w:rFonts w:hint="eastAsia" w:ascii="黑体" w:hAnsi="黑体" w:eastAsia="黑体" w:cs="黑体"/>
          <w:b w:val="0"/>
          <w:bCs/>
          <w:color w:val="000000" w:themeColor="text1"/>
          <w:sz w:val="28"/>
          <w:szCs w:val="28"/>
          <w:lang w:eastAsia="zh-CN"/>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r>
      <w:bookmarkEnd w:id="38"/>
      <w:r/>
    </w:p>
    <w:p>
      <w:pPr>
        <w:jc w:val="center"/>
        <w:keepNext w:val="0"/>
        <w:spacing w:line="240" w:lineRule="auto"/>
        <w:rPr>
          <w:rFonts w:hint="eastAsia" w:ascii="黑体" w:hAnsi="黑体" w:eastAsia="黑体" w:cs="黑体"/>
          <w:sz w:val="36"/>
          <w:szCs w:val="36"/>
        </w:rPr>
        <w:outlineLvl w:val="9"/>
      </w:pPr>
      <w:r>
        <w:rPr>
          <w:rFonts w:hint="eastAsia" w:ascii="黑体" w:hAnsi="黑体" w:eastAsia="黑体" w:cs="黑体"/>
          <w:sz w:val="36"/>
          <w:szCs w:val="36"/>
        </w:rPr>
      </w:r>
      <w:r/>
    </w:p>
    <w:p>
      <w:pPr>
        <w:jc w:val="center"/>
        <w:keepLines w:val="0"/>
        <w:keepNext w:val="0"/>
        <w:pageBreakBefore w:val="0"/>
        <w:spacing w:line="480" w:lineRule="exact"/>
        <w:rPr>
          <w:rFonts w:ascii="黑体" w:hAnsi="黑体" w:eastAsia="黑体" w:cs="黑体"/>
          <w:sz w:val="36"/>
          <w:szCs w:val="36"/>
        </w:rPr>
        <w:outlineLvl w:val="9"/>
      </w:pPr>
      <w:r>
        <w:rPr>
          <w:rFonts w:hint="eastAsia" w:ascii="黑体" w:hAnsi="黑体" w:eastAsia="黑体" w:cs="黑体"/>
          <w:sz w:val="36"/>
          <w:szCs w:val="36"/>
        </w:rPr>
        <w:t xml:space="preserve">第五章  评审方法与评审标准</w:t>
      </w:r>
      <w:r/>
    </w:p>
    <w:p>
      <w:pPr>
        <w:ind w:firstLine="560"/>
        <w:keepLines w:val="0"/>
        <w:keepNext w:val="0"/>
        <w:pageBreakBefore w:val="0"/>
        <w:spacing w:line="48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left"/>
        <w:keepLines w:val="0"/>
        <w:keepNext w:val="0"/>
        <w:pageBreakBefore w:val="0"/>
        <w:spacing w:line="480" w:lineRule="exact"/>
        <w:rPr>
          <w:rFonts w:ascii="黑体" w:hAnsi="黑体" w:eastAsia="黑体" w:cs="黑体"/>
          <w:bCs/>
          <w:sz w:val="28"/>
          <w:szCs w:val="28"/>
        </w:rPr>
      </w:pPr>
      <w:r>
        <w:rPr>
          <w:rFonts w:hint="eastAsia" w:ascii="黑体" w:hAnsi="黑体" w:eastAsia="黑体" w:cs="黑体"/>
          <w:bCs/>
          <w:sz w:val="28"/>
          <w:szCs w:val="28"/>
        </w:rPr>
        <w:t xml:space="preserve">一、政府采购政策功能落实</w:t>
      </w:r>
      <w:r/>
    </w:p>
    <w:p>
      <w:pPr>
        <w:ind w:left="0" w:right="0" w:firstLine="562"/>
        <w:jc w:val="left"/>
        <w:keepLines w:val="0"/>
        <w:keepNext w:val="0"/>
        <w:pageBreakBefore w:val="0"/>
        <w:spacing w:line="48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48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48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8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二、</w:t>
      </w:r>
      <w:r>
        <w:rPr>
          <w:rFonts w:hint="eastAsia" w:ascii="黑体" w:hAnsi="黑体" w:eastAsia="黑体" w:cs="黑体"/>
          <w:bCs/>
          <w:color w:val="auto"/>
          <w:sz w:val="28"/>
          <w:szCs w:val="28"/>
        </w:rPr>
        <w:t xml:space="preserve">政府采购中实施本国产品标准及相关政策</w:t>
      </w:r>
      <w:r/>
    </w:p>
    <w:p>
      <w:pPr>
        <w:ind w:firstLine="560"/>
        <w:keepLines w:val="0"/>
        <w:keepNext w:val="0"/>
        <w:pageBreakBefore w:val="0"/>
        <w:spacing w:line="48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w:t>
      </w:r>
      <w:r>
        <w:rPr>
          <w:rFonts w:hint="eastAsia" w:ascii="仿宋_GB2312" w:hAnsi="仿宋_GB2312" w:eastAsia="仿宋_GB2312" w:cs="仿宋_GB2312"/>
          <w:color w:val="auto"/>
          <w:sz w:val="28"/>
          <w:szCs w:val="28"/>
          <w:highlight w:val="none"/>
        </w:rPr>
        <w:t xml:space="preserve">价格扣除，用扣除后的价格参与评审。供应商未填写比例数值，或比例数值未达到80%的，将不享受本国产品价格评审优惠。</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highlight w:val="none"/>
          <w:lang w:eastAsia="zh-CN"/>
        </w:rPr>
        <w:t xml:space="preserve">6</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供应商需按照招标文件的要</w:t>
      </w:r>
      <w:r>
        <w:rPr>
          <w:rFonts w:hint="eastAsia" w:ascii="仿宋_GB2312" w:hAnsi="仿宋_GB2312" w:eastAsia="仿宋_GB2312" w:cs="仿宋_GB2312"/>
          <w:color w:val="auto"/>
          <w:sz w:val="28"/>
          <w:szCs w:val="28"/>
        </w:rPr>
        <w:t xml:space="preserve">求提供《关于符合本国产品标准的声明函》（以下简称《声明函》），如不提供将不享受本国产品价格评审优惠。</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b/>
          <w:bCs/>
          <w:color w:val="ff0000"/>
          <w:sz w:val="28"/>
          <w:szCs w:val="28"/>
          <w:highlight w:val="none"/>
          <w:u w:val="single"/>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48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keepLines w:val="0"/>
        <w:keepNext w:val="0"/>
        <w:pageBreakBefore w:val="0"/>
        <w:spacing w:line="480" w:lineRule="exact"/>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keepLines w:val="0"/>
        <w:keepNext w:val="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60"/>
        <w:keepLines w:val="0"/>
        <w:keepNext w:val="0"/>
        <w:pageBreakBefore w:val="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2、本项目选取</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lang w:val="en-US" w:eastAsia="zh-CN"/>
        </w:rPr>
        <w:t xml:space="preserve">1</w:t>
      </w:r>
      <w:r>
        <w:rPr>
          <w:rFonts w:hint="eastAsia" w:ascii="仿宋_GB2312" w:hAnsi="仿宋_GB2312" w:eastAsia="仿宋_GB2312" w:cs="仿宋_GB2312"/>
          <w:b/>
          <w:bCs/>
          <w:color w:val="000000"/>
          <w:sz w:val="28"/>
          <w:szCs w:val="28"/>
          <w:u w:val="single"/>
        </w:rPr>
        <w:t xml:space="preserve">名中标候选人</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。采购人确定最终得分最高且排名第一的中标候选人为中标供应商。</w:t>
      </w:r>
      <w:bookmarkStart w:id="41" w:name="_Toc78921652"/>
      <w:r/>
      <w:bookmarkStart w:id="42" w:name="_Toc47117315"/>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黑体" w:hAnsi="黑体" w:eastAsia="黑体" w:cs="黑体"/>
          <w:b w:val="0"/>
          <w:bCs/>
          <w:sz w:val="28"/>
          <w:szCs w:val="28"/>
        </w:rPr>
      </w:pPr>
      <w:r>
        <w:rPr>
          <w:rFonts w:hint="eastAsia" w:ascii="黑体" w:hAnsi="黑体" w:eastAsia="黑体" w:cs="黑体"/>
          <w:b w:val="0"/>
          <w:bCs/>
          <w:sz w:val="32"/>
          <w:szCs w:val="32"/>
        </w:rPr>
        <w:t xml:space="preserve">评分标准</w:t>
      </w:r>
      <w:bookmarkEnd w:id="41"/>
      <w:r/>
      <w:bookmarkEnd w:id="42"/>
      <w:r/>
      <w:r/>
    </w:p>
    <w:p>
      <w:pPr>
        <w:ind w:firstLine="562"/>
        <w:jc w:val="left"/>
        <w:keepLines w:val="0"/>
        <w:keepNext w:val="0"/>
        <w:pageBreakBefore w:val="0"/>
        <w:spacing w:line="480" w:lineRule="exact"/>
        <w:widowControl/>
        <w:rPr>
          <w:rFonts w:hint="eastAsia" w:ascii="仿宋" w:hAnsi="仿宋" w:eastAsia="仿宋" w:cs="仿宋"/>
          <w:b/>
          <w:color w:val="0000ff"/>
          <w:sz w:val="28"/>
          <w:szCs w:val="28"/>
        </w:rPr>
        <w:outlineLvl w:val="0"/>
      </w:pPr>
      <w:r>
        <w:rPr>
          <w:rFonts w:hint="eastAsia" w:ascii="仿宋" w:hAnsi="仿宋" w:eastAsia="仿宋" w:cs="仿宋"/>
          <w:b/>
          <w:sz w:val="28"/>
          <w:szCs w:val="28"/>
        </w:rPr>
        <w:t xml:space="preserve">一、价格F1</w:t>
      </w:r>
      <w:r>
        <w:rPr>
          <w:rFonts w:hint="eastAsia" w:ascii="仿宋" w:hAnsi="仿宋" w:eastAsia="仿宋" w:cs="仿宋"/>
          <w:b/>
          <w:color w:val="0000ff"/>
          <w:sz w:val="28"/>
          <w:szCs w:val="28"/>
        </w:rPr>
        <w:t xml:space="preserve">（</w:t>
      </w:r>
      <w:r>
        <w:rPr>
          <w:rFonts w:hint="eastAsia" w:ascii="仿宋" w:hAnsi="仿宋" w:eastAsia="仿宋" w:cs="仿宋"/>
          <w:b/>
          <w:color w:val="0000ff"/>
          <w:sz w:val="28"/>
          <w:szCs w:val="28"/>
          <w:lang w:val="en-US" w:eastAsia="zh-CN"/>
        </w:rPr>
        <w:t xml:space="preserve">3</w:t>
      </w:r>
      <w:r>
        <w:rPr>
          <w:rFonts w:hint="eastAsia" w:ascii="仿宋" w:hAnsi="仿宋" w:eastAsia="仿宋" w:cs="仿宋"/>
          <w:b/>
          <w:color w:val="0000ff"/>
          <w:sz w:val="28"/>
          <w:szCs w:val="28"/>
        </w:rPr>
        <w:t xml:space="preserve">0分） </w:t>
      </w:r>
      <w:r/>
    </w:p>
    <w:p>
      <w:p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满足招标文件要求且最后报价最低的报价为投标基准价，其价格分为满分</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0分。其他供应商的价格分按下列公式计算：投标报价得分=（投标基准价/最后报价）×</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0%×100。</w:t>
      </w:r>
      <w:r/>
    </w:p>
    <w:p>
      <w:pPr>
        <w:ind w:firstLine="560"/>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二、企业综合实力F2</w:t>
      </w:r>
      <w:r>
        <w:rPr>
          <w:rFonts w:hint="eastAsia" w:ascii="仿宋" w:hAnsi="仿宋" w:eastAsia="仿宋" w:cs="仿宋"/>
          <w:b/>
          <w:bCs/>
          <w:color w:val="0000ff"/>
          <w:sz w:val="28"/>
          <w:szCs w:val="28"/>
        </w:rPr>
        <w:t xml:space="preserve">（</w:t>
      </w:r>
      <w:r>
        <w:rPr>
          <w:rFonts w:hint="eastAsia" w:ascii="仿宋" w:hAnsi="仿宋" w:eastAsia="仿宋" w:cs="仿宋"/>
          <w:b/>
          <w:bCs/>
          <w:color w:val="0000ff"/>
          <w:sz w:val="28"/>
          <w:szCs w:val="28"/>
          <w:lang w:val="en-US" w:eastAsia="zh-CN"/>
        </w:rPr>
        <w:t xml:space="preserve">6</w:t>
      </w:r>
      <w:r>
        <w:rPr>
          <w:rFonts w:hint="eastAsia" w:ascii="仿宋" w:hAnsi="仿宋" w:eastAsia="仿宋" w:cs="仿宋"/>
          <w:b/>
          <w:bCs/>
          <w:color w:val="0000ff"/>
          <w:sz w:val="28"/>
          <w:szCs w:val="28"/>
        </w:rPr>
        <w:t xml:space="preserve">分）</w:t>
      </w:r>
      <w:r/>
    </w:p>
    <w:p>
      <w:pPr>
        <w:ind w:left="-38" w:firstLine="560"/>
        <w:keepLines w:val="0"/>
        <w:keepNext w:val="0"/>
        <w:pageBreakBefore w:val="0"/>
        <w:spacing w:line="480" w:lineRule="exact"/>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1、投标人获得质量管理体系认证证书的，得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提供证书及在国家认监委官网查询状态为“有效”的截图。未按要求提供或少提供相关材料不得分。</w:t>
      </w:r>
      <w:r>
        <w:rPr>
          <w:rFonts w:hint="eastAsia" w:ascii="仿宋" w:hAnsi="仿宋" w:eastAsia="仿宋" w:cs="仿宋"/>
          <w:b/>
          <w:bCs/>
          <w:sz w:val="28"/>
          <w:szCs w:val="28"/>
          <w:lang w:eastAsia="zh-CN"/>
        </w:rPr>
        <w:t xml:space="preserve">）</w:t>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投标人获得环境管理体系认证证书的，得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提供证书及在国家认监委官网查询状态为“有效”的截图。未按要求提供或少提供相关材料不得分。</w:t>
      </w:r>
      <w:r>
        <w:rPr>
          <w:rFonts w:hint="eastAsia" w:ascii="仿宋" w:hAnsi="仿宋" w:eastAsia="仿宋" w:cs="仿宋"/>
          <w:b/>
          <w:bCs/>
          <w:sz w:val="28"/>
          <w:szCs w:val="28"/>
          <w:lang w:eastAsia="zh-CN"/>
        </w:rPr>
        <w:t xml:space="preserve">）</w:t>
      </w:r>
      <w:r/>
    </w:p>
    <w:p>
      <w:pPr>
        <w:ind w:firstLine="560"/>
        <w:jc w:val="left"/>
        <w:keepLines w:val="0"/>
        <w:keepNext w:val="0"/>
        <w:pageBreakBefore w:val="0"/>
        <w:spacing w:line="480" w:lineRule="exact"/>
        <w:widowControl/>
        <w:rPr>
          <w:rFonts w:hint="eastAsia" w:ascii="仿宋" w:hAnsi="仿宋" w:eastAsia="仿宋" w:cs="仿宋"/>
          <w:b/>
          <w:bCs/>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sz w:val="28"/>
          <w:szCs w:val="28"/>
        </w:rPr>
        <w:t xml:space="preserve">投标人获得职业健康管理体系认证证书的，得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提供证书及在国家认监委官网查询状态为“有效”的截图。未按要求提供或少提供相关材料不得分。</w:t>
      </w:r>
      <w:r>
        <w:rPr>
          <w:rFonts w:hint="eastAsia" w:ascii="仿宋" w:hAnsi="仿宋" w:eastAsia="仿宋" w:cs="仿宋"/>
          <w:b/>
          <w:bCs/>
          <w:sz w:val="28"/>
          <w:szCs w:val="28"/>
          <w:lang w:eastAsia="zh-CN"/>
        </w:rPr>
        <w:t xml:space="preserve">）</w:t>
      </w:r>
      <w:r/>
    </w:p>
    <w:p>
      <w:pPr>
        <w:ind w:left="-38" w:firstLine="560"/>
        <w:keepLines w:val="0"/>
        <w:keepNext w:val="0"/>
        <w:pageBreakBefore w:val="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、投标人自2020 年 7 月1日以来具有足球场</w:t>
      </w:r>
      <w:r>
        <w:rPr>
          <w:rFonts w:hint="eastAsia" w:ascii="仿宋" w:hAnsi="仿宋" w:eastAsia="仿宋" w:cs="仿宋"/>
          <w:sz w:val="28"/>
          <w:szCs w:val="28"/>
          <w:lang w:eastAsia="zh-CN"/>
        </w:rPr>
        <w:t xml:space="preserve">人造草坪</w:t>
      </w:r>
      <w:r>
        <w:rPr>
          <w:rFonts w:hint="eastAsia" w:ascii="仿宋" w:hAnsi="仿宋" w:eastAsia="仿宋" w:cs="仿宋"/>
          <w:sz w:val="28"/>
          <w:szCs w:val="28"/>
        </w:rPr>
        <w:t xml:space="preserve">供货及安装业绩，每有1份得2分，最高得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分。（提供合同</w:t>
      </w:r>
      <w:r>
        <w:rPr>
          <w:rFonts w:hint="eastAsia" w:ascii="仿宋" w:hAnsi="仿宋" w:eastAsia="仿宋" w:cs="仿宋"/>
          <w:sz w:val="28"/>
          <w:szCs w:val="28"/>
          <w:lang w:eastAsia="zh-CN"/>
        </w:rPr>
        <w:t xml:space="preserve">原件扫描件，</w:t>
      </w:r>
      <w:r>
        <w:rPr>
          <w:rFonts w:hint="eastAsia" w:ascii="仿宋" w:hAnsi="仿宋" w:eastAsia="仿宋" w:cs="仿宋"/>
          <w:sz w:val="28"/>
          <w:szCs w:val="28"/>
        </w:rPr>
        <w:t xml:space="preserve">时间以合同签订时间为准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未按要求提供或少提供相关材料不得分。）</w:t>
      </w:r>
      <w:r/>
    </w:p>
    <w:p>
      <w:pPr>
        <w:ind w:firstLine="560"/>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三、质量、技术参数F3</w:t>
      </w:r>
      <w:r>
        <w:rPr>
          <w:rFonts w:hint="eastAsia" w:ascii="仿宋" w:hAnsi="仿宋" w:eastAsia="仿宋" w:cs="仿宋"/>
          <w:b/>
          <w:bCs/>
          <w:color w:val="0000ff"/>
          <w:sz w:val="28"/>
          <w:szCs w:val="28"/>
          <w:lang w:val="en-US" w:eastAsia="zh-CN"/>
        </w:rPr>
        <w:t xml:space="preserve">（27分）</w:t>
      </w:r>
      <w:r/>
    </w:p>
    <w:p>
      <w:p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技术要求的符合性，即对供应商拟提供货物的技术参数、配置、性能是否符合或优于招标文件要求进行评价。全部符合技术要求的得基本分</w:t>
      </w:r>
      <w:r>
        <w:rPr>
          <w:rFonts w:hint="eastAsia" w:ascii="仿宋" w:hAnsi="仿宋" w:eastAsia="仿宋" w:cs="仿宋"/>
          <w:sz w:val="28"/>
          <w:szCs w:val="28"/>
          <w:lang w:val="en-US" w:eastAsia="zh-CN"/>
        </w:rPr>
        <w:t xml:space="preserve">24</w:t>
      </w:r>
      <w:r>
        <w:rPr>
          <w:rFonts w:hint="eastAsia" w:ascii="仿宋" w:hAnsi="仿宋" w:eastAsia="仿宋" w:cs="仿宋"/>
          <w:sz w:val="28"/>
          <w:szCs w:val="28"/>
        </w:rPr>
        <w:t xml:space="preserve">分。带“★”参数为关键参数，每有一项负偏离的，做无效标处理。带“▲”参数为重要参数，每有一项负偏离的，扣2分。（以上带“★”</w:t>
      </w:r>
      <w:r>
        <w:rPr>
          <w:rFonts w:hint="eastAsia" w:ascii="仿宋" w:hAnsi="仿宋" w:eastAsia="仿宋" w:cs="仿宋"/>
          <w:sz w:val="28"/>
          <w:szCs w:val="28"/>
          <w:lang w:eastAsia="zh-CN"/>
        </w:rPr>
        <w:t xml:space="preserve">和</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技术指标均须按要求提供相关证明材料佐证</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p>
    <w:p>
      <w:p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
          <w:sz w:val="28"/>
          <w:szCs w:val="28"/>
        </w:rPr>
        <w:t xml:space="preserve">质量技术要求</w:t>
      </w:r>
      <w:r>
        <w:rPr>
          <w:rFonts w:hint="eastAsia" w:ascii="仿宋" w:hAnsi="仿宋" w:eastAsia="仿宋" w:cs="仿宋"/>
          <w:sz w:val="28"/>
          <w:szCs w:val="28"/>
          <w:lang w:val="en-US" w:eastAsia="zh-CN"/>
        </w:rPr>
        <w:t xml:space="preserve">（3分）：</w:t>
      </w:r>
      <w:r/>
    </w:p>
    <w:p>
      <w:pPr>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拟投标</w:t>
      </w:r>
      <w:r>
        <w:rPr>
          <w:rFonts w:hint="eastAsia" w:ascii="仿宋" w:hAnsi="仿宋" w:eastAsia="仿宋" w:cs="仿宋"/>
          <w:sz w:val="28"/>
          <w:szCs w:val="28"/>
        </w:rPr>
        <w:t xml:space="preserve">人造草坪</w:t>
      </w:r>
      <w:r>
        <w:rPr>
          <w:rFonts w:hint="eastAsia" w:ascii="仿宋" w:hAnsi="仿宋" w:eastAsia="仿宋" w:cs="仿宋"/>
          <w:sz w:val="28"/>
          <w:szCs w:val="28"/>
          <w:lang w:val="en-US" w:eastAsia="zh-CN"/>
        </w:rPr>
        <w:t xml:space="preserve">产品</w:t>
      </w:r>
      <w:r>
        <w:rPr>
          <w:rFonts w:hint="eastAsia" w:ascii="仿宋" w:hAnsi="仿宋" w:eastAsia="仿宋" w:cs="仿宋"/>
          <w:sz w:val="28"/>
          <w:szCs w:val="28"/>
        </w:rPr>
        <w:t xml:space="preserve">获得有效期内的NSCC国体认证证书</w:t>
      </w:r>
      <w:r>
        <w:rPr>
          <w:rFonts w:hint="eastAsia" w:ascii="仿宋" w:hAnsi="仿宋" w:eastAsia="仿宋" w:cs="仿宋"/>
          <w:sz w:val="28"/>
          <w:szCs w:val="28"/>
          <w:lang w:val="en-US" w:eastAsia="zh-CN"/>
        </w:rPr>
        <w:t xml:space="preserve">，得1分。</w:t>
      </w:r>
      <w:r/>
    </w:p>
    <w:p>
      <w:pPr>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拟投标</w:t>
      </w:r>
      <w:r>
        <w:rPr>
          <w:rFonts w:hint="eastAsia" w:ascii="仿宋" w:hAnsi="仿宋" w:eastAsia="仿宋" w:cs="仿宋"/>
          <w:sz w:val="28"/>
          <w:szCs w:val="28"/>
        </w:rPr>
        <w:t xml:space="preserve">人造草坪</w:t>
      </w:r>
      <w:r>
        <w:rPr>
          <w:rFonts w:hint="eastAsia" w:ascii="仿宋" w:hAnsi="仿宋" w:eastAsia="仿宋" w:cs="仿宋"/>
          <w:sz w:val="28"/>
          <w:szCs w:val="28"/>
          <w:lang w:val="en-US" w:eastAsia="zh-CN"/>
        </w:rPr>
        <w:t xml:space="preserve">产品</w:t>
      </w:r>
      <w:r>
        <w:rPr>
          <w:rFonts w:hint="eastAsia" w:ascii="仿宋" w:hAnsi="仿宋" w:eastAsia="仿宋" w:cs="仿宋"/>
          <w:sz w:val="28"/>
          <w:szCs w:val="28"/>
        </w:rPr>
        <w:t xml:space="preserve">获得有效期内CQTA品质认证证书</w:t>
      </w:r>
      <w:r>
        <w:rPr>
          <w:rFonts w:hint="eastAsia" w:ascii="仿宋" w:hAnsi="仿宋" w:eastAsia="仿宋" w:cs="仿宋"/>
          <w:sz w:val="28"/>
          <w:szCs w:val="28"/>
          <w:lang w:val="en-US" w:eastAsia="zh-CN"/>
        </w:rPr>
        <w:t xml:space="preserve">，得2分。</w:t>
      </w:r>
      <w:r/>
    </w:p>
    <w:p>
      <w:pPr>
        <w:numPr>
          <w:ilvl w:val="0"/>
          <w:numId w:val="0"/>
        </w:numPr>
        <w:ind w:firstLine="560"/>
        <w:jc w:val="left"/>
        <w:keepLines w:val="0"/>
        <w:keepNext w:val="0"/>
        <w:pageBreakBefore w:val="0"/>
        <w:spacing w:line="480" w:lineRule="exact"/>
        <w:widowControl/>
        <w:rPr>
          <w:rFonts w:hint="eastAsia" w:ascii="仿宋" w:hAnsi="仿宋" w:eastAsia="仿宋" w:cs="仿宋"/>
          <w:b/>
          <w:bCs/>
          <w:color w:val="0000ff"/>
          <w:sz w:val="28"/>
          <w:szCs w:val="28"/>
          <w:lang w:val="en-US" w:eastAsia="zh-CN"/>
        </w:rPr>
      </w:pPr>
      <w:r>
        <w:rPr>
          <w:rFonts w:hint="eastAsia" w:ascii="仿宋" w:hAnsi="仿宋" w:eastAsia="仿宋" w:cs="仿宋"/>
          <w:b/>
          <w:bCs/>
          <w:sz w:val="28"/>
          <w:szCs w:val="28"/>
          <w:lang w:val="en-US" w:eastAsia="zh-CN" w:bidi="ar-SA"/>
        </w:rPr>
        <w:t xml:space="preserve">四、</w:t>
      </w:r>
      <w:r>
        <w:rPr>
          <w:rFonts w:hint="eastAsia" w:ascii="仿宋" w:hAnsi="仿宋" w:eastAsia="仿宋" w:cs="仿宋"/>
          <w:b/>
          <w:bCs/>
          <w:sz w:val="28"/>
          <w:szCs w:val="28"/>
          <w:lang w:val="en-US" w:eastAsia="zh-CN"/>
        </w:rPr>
        <w:t xml:space="preserve">解决方案</w:t>
      </w:r>
      <w:r>
        <w:rPr>
          <w:rFonts w:hint="eastAsia" w:ascii="仿宋" w:hAnsi="仿宋" w:eastAsia="仿宋" w:cs="仿宋"/>
          <w:b/>
          <w:bCs/>
          <w:sz w:val="28"/>
          <w:szCs w:val="28"/>
        </w:rPr>
        <w:t xml:space="preserve">F4</w:t>
      </w:r>
      <w:r>
        <w:rPr>
          <w:rFonts w:hint="eastAsia" w:ascii="仿宋" w:hAnsi="仿宋" w:eastAsia="仿宋" w:cs="仿宋"/>
          <w:b/>
          <w:bCs/>
          <w:color w:val="0000ff"/>
          <w:sz w:val="28"/>
          <w:szCs w:val="28"/>
          <w:lang w:val="en-US" w:eastAsia="zh-CN"/>
        </w:rPr>
        <w:t xml:space="preserve">（37分）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rPr>
        <w:t xml:space="preserve">项目实施方案（</w:t>
      </w: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针对本项目编制详细的实施方案，包括但不限于项目的组织架构、进度控制措施、质量保障措施</w:t>
      </w:r>
      <w:r>
        <w:rPr>
          <w:rFonts w:hint="eastAsia" w:ascii="仿宋" w:hAnsi="仿宋" w:eastAsia="仿宋" w:cs="仿宋"/>
          <w:bCs/>
          <w:color w:val="000000"/>
          <w:sz w:val="28"/>
          <w:szCs w:val="28"/>
          <w:lang w:eastAsia="zh-CN"/>
        </w:rPr>
        <w:t xml:space="preserve">等。供应商提供的</w:t>
      </w:r>
      <w:r>
        <w:rPr>
          <w:rFonts w:hint="eastAsia" w:ascii="仿宋" w:hAnsi="仿宋" w:eastAsia="仿宋" w:cs="仿宋"/>
          <w:bCs/>
          <w:color w:val="000000"/>
          <w:sz w:val="28"/>
          <w:szCs w:val="28"/>
        </w:rPr>
        <w:t xml:space="preserve">实施方案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bidi="ar-SA"/>
        </w:rPr>
        <w:t xml:space="preserve">2、</w:t>
      </w:r>
      <w:r>
        <w:rPr>
          <w:rFonts w:hint="eastAsia" w:ascii="仿宋" w:hAnsi="仿宋" w:eastAsia="仿宋" w:cs="仿宋"/>
          <w:bCs/>
          <w:color w:val="000000"/>
          <w:sz w:val="28"/>
          <w:szCs w:val="28"/>
        </w:rPr>
        <w:t xml:space="preserve">项目实施的重点、难点和解决方案（</w:t>
      </w: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针对关键施工技术、工艺及工程项目实施的重点、难点和解决方</w:t>
      </w:r>
      <w:r>
        <w:rPr>
          <w:rFonts w:hint="eastAsia" w:ascii="仿宋" w:hAnsi="仿宋" w:eastAsia="仿宋" w:cs="仿宋"/>
          <w:bCs/>
          <w:color w:val="000000"/>
          <w:sz w:val="28"/>
          <w:szCs w:val="28"/>
          <w:lang w:eastAsia="zh-CN"/>
        </w:rPr>
        <w:t xml:space="preserve">发编制方案。供应商提供的</w:t>
      </w:r>
      <w:r>
        <w:rPr>
          <w:rFonts w:hint="eastAsia" w:ascii="仿宋" w:hAnsi="仿宋" w:eastAsia="仿宋" w:cs="仿宋"/>
          <w:bCs/>
          <w:color w:val="000000"/>
          <w:sz w:val="28"/>
          <w:szCs w:val="28"/>
        </w:rPr>
        <w:t xml:space="preserve">实施方案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3、</w:t>
      </w:r>
      <w:r>
        <w:rPr>
          <w:rFonts w:hint="eastAsia" w:ascii="仿宋" w:hAnsi="仿宋" w:eastAsia="仿宋" w:cs="仿宋"/>
          <w:bCs/>
          <w:color w:val="000000"/>
          <w:sz w:val="28"/>
          <w:szCs w:val="28"/>
        </w:rPr>
        <w:t xml:space="preserve">安全管理措施（</w:t>
      </w: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供应商根据</w:t>
      </w:r>
      <w:r>
        <w:rPr>
          <w:rFonts w:hint="eastAsia" w:ascii="仿宋" w:hAnsi="仿宋" w:eastAsia="仿宋" w:cs="仿宋"/>
          <w:bCs/>
          <w:color w:val="000000"/>
          <w:sz w:val="28"/>
          <w:szCs w:val="28"/>
          <w:lang w:eastAsia="zh-CN"/>
        </w:rPr>
        <w:t xml:space="preserve">采购</w:t>
      </w:r>
      <w:r>
        <w:rPr>
          <w:rFonts w:hint="eastAsia" w:ascii="仿宋" w:hAnsi="仿宋" w:eastAsia="仿宋" w:cs="仿宋"/>
          <w:bCs/>
          <w:color w:val="000000"/>
          <w:sz w:val="28"/>
          <w:szCs w:val="28"/>
        </w:rPr>
        <w:t xml:space="preserve">文件要求对本项目</w:t>
      </w:r>
      <w:r>
        <w:rPr>
          <w:rFonts w:hint="eastAsia" w:ascii="仿宋" w:hAnsi="仿宋" w:eastAsia="仿宋" w:cs="仿宋"/>
          <w:bCs/>
          <w:color w:val="000000"/>
          <w:sz w:val="28"/>
          <w:szCs w:val="28"/>
          <w:lang w:eastAsia="zh-CN"/>
        </w:rPr>
        <w:t xml:space="preserve">的</w:t>
      </w:r>
      <w:r>
        <w:rPr>
          <w:rFonts w:hint="eastAsia" w:ascii="仿宋" w:hAnsi="仿宋" w:eastAsia="仿宋" w:cs="仿宋"/>
          <w:bCs/>
          <w:color w:val="000000"/>
          <w:sz w:val="28"/>
          <w:szCs w:val="28"/>
        </w:rPr>
        <w:t xml:space="preserve">安全管理措施进行方案</w:t>
      </w:r>
      <w:r>
        <w:rPr>
          <w:rFonts w:hint="eastAsia" w:ascii="仿宋" w:hAnsi="仿宋" w:eastAsia="仿宋" w:cs="仿宋"/>
          <w:bCs/>
          <w:color w:val="000000"/>
          <w:sz w:val="28"/>
          <w:szCs w:val="28"/>
          <w:lang w:eastAsia="zh-CN"/>
        </w:rPr>
        <w:t xml:space="preserve">编制</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eastAsia="zh-CN"/>
        </w:rPr>
        <w:t xml:space="preserve">供应商提供的</w:t>
      </w:r>
      <w:r>
        <w:rPr>
          <w:rFonts w:hint="eastAsia" w:ascii="仿宋" w:hAnsi="仿宋" w:eastAsia="仿宋" w:cs="仿宋"/>
          <w:bCs/>
          <w:color w:val="000000"/>
          <w:sz w:val="28"/>
          <w:szCs w:val="28"/>
        </w:rPr>
        <w:t xml:space="preserve">实施方案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4、</w:t>
      </w:r>
      <w:r>
        <w:rPr>
          <w:rFonts w:hint="eastAsia" w:ascii="仿宋" w:hAnsi="仿宋" w:eastAsia="仿宋" w:cs="仿宋"/>
          <w:bCs/>
          <w:color w:val="000000"/>
          <w:sz w:val="28"/>
          <w:szCs w:val="28"/>
        </w:rPr>
        <w:t xml:space="preserve">验收组织</w:t>
      </w:r>
      <w:r>
        <w:rPr>
          <w:rFonts w:hint="eastAsia" w:ascii="仿宋" w:hAnsi="仿宋" w:eastAsia="仿宋" w:cs="仿宋"/>
          <w:bCs/>
          <w:color w:val="000000"/>
          <w:sz w:val="28"/>
          <w:szCs w:val="28"/>
          <w:lang w:val="en-US" w:eastAsia="zh-CN"/>
        </w:rPr>
        <w:t xml:space="preserve">方案</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7</w:t>
      </w:r>
      <w:r>
        <w:rPr>
          <w:rFonts w:hint="eastAsia" w:ascii="仿宋" w:hAnsi="仿宋" w:eastAsia="仿宋" w:cs="仿宋"/>
          <w:bCs/>
          <w:color w:val="000000"/>
          <w:sz w:val="28"/>
          <w:szCs w:val="28"/>
        </w:rPr>
        <w:t xml:space="preserve">分）：</w:t>
      </w:r>
      <w:r/>
    </w:p>
    <w:p>
      <w:pPr>
        <w:numPr>
          <w:ilvl w:val="0"/>
          <w:numId w:val="0"/>
        </w:numPr>
        <w:ind w:firstLine="560"/>
        <w:jc w:val="left"/>
        <w:keepLines w:val="0"/>
        <w:keepNext w:val="0"/>
        <w:pageBreakBefore w:val="0"/>
        <w:spacing w:line="480" w:lineRule="exact"/>
        <w:widowControl/>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供应商应制订项目验收方案，包括产品进场验收、产品安装验收、产品调试验收、项目最终验收，验收方案要体现全过程质量控制理念，确保项目高质量完成。</w:t>
      </w:r>
      <w:r>
        <w:rPr>
          <w:rFonts w:hint="eastAsia" w:ascii="仿宋" w:hAnsi="仿宋" w:eastAsia="仿宋" w:cs="仿宋"/>
          <w:bCs/>
          <w:color w:val="000000"/>
          <w:sz w:val="28"/>
          <w:szCs w:val="28"/>
          <w:lang w:eastAsia="zh-CN"/>
        </w:rPr>
        <w:t xml:space="preserve">供应商提供的</w:t>
      </w:r>
      <w:r>
        <w:rPr>
          <w:rFonts w:hint="eastAsia" w:ascii="仿宋" w:hAnsi="仿宋" w:eastAsia="仿宋" w:cs="仿宋"/>
          <w:bCs/>
          <w:color w:val="000000"/>
          <w:sz w:val="28"/>
          <w:szCs w:val="28"/>
        </w:rPr>
        <w:t xml:space="preserve">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7</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0"/>
        <w:jc w:val="left"/>
        <w:keepLines w:val="0"/>
        <w:keepNext w:val="0"/>
        <w:pageBreakBefore w:val="0"/>
        <w:spacing w:line="480" w:lineRule="exact"/>
        <w:widowControl/>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2"/>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综合得分＝F1+F2+F3+F4</w:t>
      </w:r>
      <w:r/>
    </w:p>
    <w:p>
      <w:pPr>
        <w:pStyle w:val="829"/>
        <w:ind w:left="0" w:firstLine="0"/>
        <w:keepLines w:val="0"/>
        <w:keepNext w:val="0"/>
        <w:pageBreakBefore w:val="0"/>
        <w:spacing w:line="48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keepLines w:val="0"/>
        <w:keepNext w:val="0"/>
        <w:pageBreakBefore w:val="0"/>
        <w:spacing w:line="480" w:lineRule="exact"/>
        <w:rPr>
          <w:rFonts w:ascii="Arial"/>
          <w:sz w:val="2"/>
        </w:rPr>
      </w:pPr>
      <w:r>
        <w:rPr>
          <w:rFonts w:hint="eastAsia" w:ascii="仿宋" w:hAnsi="仿宋" w:eastAsia="仿宋" w:cs="仿宋"/>
          <w:color w:val="000000"/>
          <w:sz w:val="28"/>
          <w:szCs w:val="28"/>
        </w:rPr>
        <w:t xml:space="preserve">声明：当出现损害国家和采购人利益情况时，采购人、本公司有选择或拒绝任何供应商的权利，并对所采取的行为不主动说明原因。</w:t>
      </w:r>
      <w:bookmarkEnd w:id="29"/>
      <w:bookmarkEnd w:id="30"/>
      <w:bookmarkEnd w:id="35"/>
      <w:bookmarkEnd w:id="36"/>
      <w:bookmarkEnd w:id="37"/>
      <w:r/>
    </w:p>
    <w:p>
      <w:pPr>
        <w:jc w:val="left"/>
        <w:keepNext w:val="0"/>
        <w:rPr>
          <w:rFonts w:hint="eastAsia" w:ascii="黑体" w:hAnsi="Times New Roman" w:eastAsia="黑体"/>
          <w:bCs/>
          <w:color w:val="000000"/>
          <w:sz w:val="36"/>
        </w:rPr>
        <w:outlineLvl w:val="9"/>
      </w:pPr>
      <w:r>
        <w:rPr>
          <w:rFonts w:hint="eastAsia" w:ascii="黑体" w:hAnsi="Times New Roman" w:eastAsia="黑体"/>
          <w:bCs/>
          <w:color w:val="000000"/>
          <w:sz w:val="36"/>
        </w:rPr>
      </w:r>
      <w:r/>
    </w:p>
    <w:p>
      <w:pPr>
        <w:jc w:val="left"/>
        <w:keepNext w:val="0"/>
        <w:rPr>
          <w:rFonts w:hint="eastAsia" w:ascii="黑体" w:hAnsi="Times New Roman" w:eastAsia="黑体"/>
          <w:bCs/>
          <w:color w:val="000000"/>
          <w:sz w:val="36"/>
        </w:rPr>
        <w:outlineLvl w:val="9"/>
      </w:pPr>
      <w:r>
        <w:rPr>
          <w:rFonts w:hint="eastAsia" w:ascii="黑体" w:hAnsi="Times New Roman" w:eastAsia="黑体"/>
          <w:bCs/>
          <w:color w:val="000000"/>
          <w:sz w:val="36"/>
        </w:rPr>
      </w:r>
      <w:r/>
    </w:p>
    <w:p>
      <w:pPr>
        <w:jc w:val="left"/>
        <w:keepNext w:val="0"/>
        <w:rPr>
          <w:rFonts w:hint="eastAsia" w:ascii="黑体" w:hAnsi="Times New Roman" w:eastAsia="黑体"/>
          <w:bCs/>
          <w:color w:val="000000"/>
          <w:sz w:val="36"/>
        </w:rPr>
        <w:outlineLvl w:val="9"/>
      </w:pPr>
      <w:r>
        <w:rPr>
          <w:rFonts w:hint="eastAsia" w:ascii="黑体" w:hAnsi="Times New Roman" w:eastAsia="黑体"/>
          <w:bCs/>
          <w:color w:val="000000"/>
          <w:sz w:val="36"/>
        </w:rPr>
      </w:r>
      <w:r/>
    </w:p>
    <w:p>
      <w:pPr>
        <w:jc w:val="left"/>
        <w:keepNext w:val="0"/>
        <w:rPr>
          <w:rFonts w:hint="eastAsia" w:ascii="黑体" w:hAnsi="Times New Roman" w:eastAsia="黑体"/>
          <w:bCs/>
          <w:color w:val="000000"/>
          <w:sz w:val="36"/>
        </w:rPr>
        <w:outlineLvl w:val="9"/>
      </w:pPr>
      <w:r>
        <w:rPr>
          <w:rFonts w:hint="eastAsia" w:ascii="黑体" w:hAnsi="Times New Roman" w:eastAsia="黑体"/>
          <w:bCs/>
          <w:color w:val="000000"/>
          <w:sz w:val="36"/>
        </w:rPr>
      </w:r>
      <w:r/>
    </w:p>
    <w:p>
      <w:pPr>
        <w:jc w:val="center"/>
        <w:keepNext/>
        <w:rPr>
          <w:rFonts w:hint="eastAsia" w:ascii="黑体" w:hAnsi="Times New Roman" w:eastAsia="黑体"/>
          <w:bCs/>
          <w:color w:val="000000"/>
          <w:sz w:val="36"/>
        </w:rPr>
        <w:outlineLvl w:val="0"/>
      </w:pPr>
      <w:r>
        <w:rPr>
          <w:rFonts w:hint="eastAsia"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43" w:name="_Hlt26671244"/>
      <w:r/>
      <w:bookmarkEnd w:id="43"/>
      <w:r/>
      <w:bookmarkStart w:id="44" w:name="_Hlt26955039"/>
      <w:r/>
      <w:bookmarkEnd w:id="44"/>
      <w:r/>
      <w:bookmarkStart w:id="45" w:name="_Toc120614282"/>
      <w:r/>
      <w:bookmarkStart w:id="46" w:name="_Toc26554094"/>
      <w:r/>
      <w:bookmarkStart w:id="47" w:name="_Toc49090576"/>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spacing w:line="360" w:lineRule="auto"/>
        <w:rPr>
          <w:rFonts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p>
    <w:p>
      <w:pPr>
        <w:ind w:firstLine="1084"/>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黑体" w:hAnsi="黑体" w:eastAsia="黑体" w:cs="黑体"/>
          <w:color w:val="000000"/>
          <w:sz w:val="32"/>
          <w:szCs w:val="32"/>
        </w:rPr>
      </w:pPr>
      <w:r>
        <w:rPr>
          <w:rFonts w:ascii="黑体" w:hAnsi="黑体" w:eastAsia="黑体" w:cs="黑体"/>
          <w:color w:val="000000"/>
          <w:sz w:val="32"/>
          <w:szCs w:val="32"/>
        </w:rPr>
      </w:r>
      <w:r/>
    </w:p>
    <w:p>
      <w:pPr>
        <w:jc w:val="center"/>
        <w:spacing w:line="44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投标文件的组成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一、法人或者其他组织的营业执照等证明文件</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二、财务状况报告</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三、依法缴纳税收和社会保障资金的相关材料</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四、具备履行合同所必需的设备和专业技术能力的书面声明</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五、参加政府采购活动前 3 年内在经营活动中没有重大违法记录的书面声明</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六、特定资格要求的证明文件</w:t>
      </w:r>
      <w:r>
        <w:rPr>
          <w:rFonts w:hint="eastAsia" w:asciiTheme="majorEastAsia" w:hAnsiTheme="majorEastAsia" w:eastAsiaTheme="majorEastAsia" w:cstheme="majorEastAsia"/>
          <w:i w:val="0"/>
          <w:iCs/>
          <w:color w:val="ff0000"/>
          <w:sz w:val="28"/>
          <w:szCs w:val="28"/>
          <w:u w:val="none"/>
        </w:rPr>
        <w:t xml:space="preserve">（如本项目</w:t>
      </w:r>
      <w:r>
        <w:rPr>
          <w:rFonts w:hint="eastAsia" w:asciiTheme="majorEastAsia" w:hAnsiTheme="majorEastAsia" w:eastAsiaTheme="majorEastAsia" w:cstheme="majorEastAsia"/>
          <w:i w:val="0"/>
          <w:iCs/>
          <w:color w:val="ff0000"/>
          <w:sz w:val="28"/>
          <w:szCs w:val="28"/>
          <w:u w:val="none"/>
          <w:lang w:eastAsia="zh-CN"/>
        </w:rPr>
        <w:t xml:space="preserve">未</w:t>
      </w:r>
      <w:r>
        <w:rPr>
          <w:rFonts w:hint="eastAsia" w:asciiTheme="majorEastAsia" w:hAnsiTheme="majorEastAsia" w:eastAsiaTheme="majorEastAsia" w:cstheme="majorEastAsia"/>
          <w:i w:val="0"/>
          <w:iCs/>
          <w:color w:val="ff0000"/>
          <w:sz w:val="28"/>
          <w:szCs w:val="28"/>
          <w:u w:val="none"/>
        </w:rPr>
        <w:t xml:space="preserve">设置特定资格要求，则</w:t>
      </w:r>
      <w:r>
        <w:rPr>
          <w:rFonts w:hint="eastAsia" w:asciiTheme="majorEastAsia" w:hAnsiTheme="majorEastAsia" w:eastAsiaTheme="majorEastAsia" w:cstheme="majorEastAsia"/>
          <w:i w:val="0"/>
          <w:iCs/>
          <w:color w:val="ff0000"/>
          <w:sz w:val="28"/>
          <w:szCs w:val="28"/>
          <w:u w:val="none"/>
          <w:lang w:eastAsia="zh-CN"/>
        </w:rPr>
        <w:t xml:space="preserve">无</w:t>
      </w:r>
      <w:r>
        <w:rPr>
          <w:rFonts w:hint="eastAsia" w:asciiTheme="majorEastAsia" w:hAnsiTheme="majorEastAsia" w:eastAsiaTheme="majorEastAsia" w:cstheme="majorEastAsia"/>
          <w:i w:val="0"/>
          <w:iCs/>
          <w:color w:val="ff0000"/>
          <w:sz w:val="28"/>
          <w:szCs w:val="28"/>
          <w:u w:val="none"/>
        </w:rPr>
        <w:t xml:space="preserve">需提供）</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七、法人授权书</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八、投标函</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九、</w:t>
      </w:r>
      <w:r>
        <w:rPr>
          <w:rFonts w:hint="eastAsia" w:ascii="黑体" w:hAnsi="黑体" w:eastAsia="黑体" w:cs="黑体"/>
          <w:i w:val="0"/>
          <w:iCs/>
          <w:sz w:val="28"/>
          <w:szCs w:val="28"/>
          <w:u w:val="none"/>
        </w:rPr>
        <w:t xml:space="preserve">中小企业声明函</w:t>
      </w:r>
      <w:r/>
    </w:p>
    <w:p>
      <w:pPr>
        <w:ind w:firstLine="560"/>
        <w:spacing w:line="520" w:lineRule="exact"/>
        <w:rPr>
          <w:rFonts w:hint="eastAsia" w:asciiTheme="majorEastAsia" w:hAnsiTheme="majorEastAsia" w:eastAsiaTheme="majorEastAsia" w:cstheme="majorEastAsia"/>
          <w:iCs/>
          <w:color w:val="000000"/>
          <w:sz w:val="28"/>
          <w:szCs w:val="28"/>
          <w:lang w:eastAsia="zh-CN"/>
        </w:rPr>
      </w:pPr>
      <w:r>
        <w:rPr>
          <w:rFonts w:hint="eastAsia" w:asciiTheme="majorEastAsia" w:hAnsiTheme="majorEastAsia" w:eastAsiaTheme="majorEastAsia" w:cstheme="majorEastAsia"/>
          <w:iCs/>
          <w:color w:val="000000"/>
          <w:sz w:val="28"/>
          <w:szCs w:val="28"/>
        </w:rPr>
        <w:t xml:space="preserve">十、残疾人福利性单位声明函</w:t>
      </w:r>
      <w:r>
        <w:rPr>
          <w:rFonts w:hint="eastAsia" w:asciiTheme="majorEastAsia" w:hAnsiTheme="majorEastAsia" w:eastAsiaTheme="majorEastAsia" w:cstheme="majorEastAsia"/>
          <w:iCs/>
          <w:color w:val="000000"/>
          <w:sz w:val="28"/>
          <w:szCs w:val="28"/>
          <w:lang w:eastAsia="zh-CN"/>
        </w:rPr>
        <w:t xml:space="preserve">（如有）</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一</w:t>
      </w:r>
      <w:r>
        <w:rPr>
          <w:rFonts w:hint="eastAsia" w:asciiTheme="majorEastAsia" w:hAnsiTheme="majorEastAsia" w:eastAsiaTheme="majorEastAsia" w:cstheme="majorEastAsia"/>
          <w:i w:val="0"/>
          <w:iCs/>
          <w:color w:val="000000"/>
          <w:sz w:val="28"/>
          <w:szCs w:val="28"/>
          <w:u w:val="none"/>
        </w:rPr>
        <w:t xml:space="preserve">、投标分项报价表</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二</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供货</w:t>
      </w:r>
      <w:r>
        <w:rPr>
          <w:rFonts w:hint="eastAsia" w:asciiTheme="majorEastAsia" w:hAnsiTheme="majorEastAsia" w:eastAsiaTheme="majorEastAsia" w:cstheme="majorEastAsia"/>
          <w:i w:val="0"/>
          <w:iCs/>
          <w:color w:val="000000"/>
          <w:sz w:val="28"/>
          <w:szCs w:val="28"/>
          <w:u w:val="none"/>
        </w:rPr>
        <w:t xml:space="preserve">要求响应及偏离表</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三</w:t>
      </w:r>
      <w:r>
        <w:rPr>
          <w:rFonts w:hint="eastAsia" w:asciiTheme="majorEastAsia" w:hAnsiTheme="majorEastAsia" w:eastAsiaTheme="majorEastAsia" w:cstheme="majorEastAsia"/>
          <w:i w:val="0"/>
          <w:iCs/>
          <w:color w:val="000000"/>
          <w:sz w:val="28"/>
          <w:szCs w:val="28"/>
          <w:u w:val="none"/>
        </w:rPr>
        <w:t xml:space="preserve">、开标一览表</w:t>
      </w:r>
      <w:r/>
    </w:p>
    <w:p>
      <w:pPr>
        <w:ind w:firstLine="560"/>
        <w:spacing w:line="520" w:lineRule="exact"/>
        <w:rPr>
          <w:rFonts w:hint="eastAsia" w:asciiTheme="majorEastAsia" w:hAnsiTheme="majorEastAsia" w:eastAsiaTheme="majorEastAsia" w:cstheme="majorEastAsia"/>
          <w:i w:val="0"/>
          <w:iCs/>
          <w:color w:val="000000"/>
          <w:sz w:val="28"/>
          <w:szCs w:val="28"/>
          <w:u w:val="none"/>
          <w:lang w:eastAsia="zh-CN"/>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四</w:t>
      </w:r>
      <w:r>
        <w:rPr>
          <w:rFonts w:hint="eastAsia" w:asciiTheme="majorEastAsia" w:hAnsiTheme="majorEastAsia" w:eastAsiaTheme="majorEastAsia" w:cstheme="majorEastAsia"/>
          <w:i w:val="0"/>
          <w:iCs/>
          <w:color w:val="000000"/>
          <w:sz w:val="28"/>
          <w:szCs w:val="28"/>
          <w:u w:val="none"/>
        </w:rPr>
        <w:t xml:space="preserve">、关于符合本国产品标准的声明函</w:t>
      </w:r>
      <w:r>
        <w:rPr>
          <w:rFonts w:hint="eastAsia" w:asciiTheme="majorEastAsia" w:hAnsiTheme="majorEastAsia" w:eastAsiaTheme="majorEastAsia" w:cstheme="majorEastAsia"/>
          <w:i w:val="0"/>
          <w:iCs/>
          <w:color w:val="000000"/>
          <w:sz w:val="28"/>
          <w:szCs w:val="28"/>
          <w:u w:val="none"/>
          <w:lang w:eastAsia="zh-CN"/>
        </w:rPr>
        <w:t xml:space="preserve">（如需要）</w:t>
      </w:r>
      <w:r/>
    </w:p>
    <w:p>
      <w:pPr>
        <w:ind w:firstLine="560"/>
        <w:spacing w:line="520" w:lineRule="exact"/>
        <w:rPr>
          <w:rFonts w:hint="eastAsia" w:asciiTheme="majorEastAsia" w:hAnsiTheme="majorEastAsia" w:eastAsiaTheme="majorEastAsia" w:cstheme="majorEastAsia"/>
          <w:i w:val="0"/>
          <w:iCs/>
          <w:color w:val="000000"/>
          <w:sz w:val="28"/>
          <w:szCs w:val="28"/>
          <w:u w:val="none"/>
          <w:lang w:eastAsia="zh-CN"/>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五</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企业综合实力、质量、技术参数、解决方案等相关材料</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六</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招标</w:t>
      </w:r>
      <w:r>
        <w:rPr>
          <w:rFonts w:hint="eastAsia" w:asciiTheme="majorEastAsia" w:hAnsiTheme="majorEastAsia" w:eastAsiaTheme="majorEastAsia" w:cstheme="majorEastAsia"/>
          <w:i w:val="0"/>
          <w:iCs/>
          <w:color w:val="000000"/>
          <w:sz w:val="28"/>
          <w:szCs w:val="28"/>
          <w:u w:val="none"/>
        </w:rPr>
        <w:t xml:space="preserve">文件中要求提供的承诺、声明等材料或供应商认为需要提供的其他资料</w:t>
      </w:r>
      <w:r/>
    </w:p>
    <w:p>
      <w:pPr>
        <w:ind w:firstLine="480"/>
        <w:spacing w:line="440" w:lineRule="exact"/>
        <w:rPr>
          <w:rFonts w:ascii="宋体" w:hAnsi="宋体"/>
          <w:iCs/>
          <w:color w:val="000000"/>
          <w:sz w:val="24"/>
          <w:szCs w:val="21"/>
        </w:rPr>
      </w:pPr>
      <w:r>
        <w:rPr>
          <w:rFonts w:ascii="宋体" w:hAnsi="宋体"/>
          <w:iCs/>
          <w:color w:val="000000"/>
          <w:sz w:val="24"/>
          <w:szCs w:val="21"/>
        </w:rPr>
      </w:r>
      <w:r/>
    </w:p>
    <w:p>
      <w:pPr>
        <w:ind w:firstLine="480"/>
        <w:spacing w:line="440" w:lineRule="exact"/>
        <w:rPr>
          <w:rFonts w:ascii="宋体" w:hAnsi="宋体"/>
          <w:iCs/>
          <w:color w:val="000000"/>
          <w:sz w:val="24"/>
          <w:szCs w:val="21"/>
        </w:rPr>
      </w:pPr>
      <w:r>
        <w:rPr>
          <w:rFonts w:ascii="宋体" w:hAnsi="宋体"/>
          <w:iCs/>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二、财务状况报告</w:t>
      </w:r>
      <w:r/>
    </w:p>
    <w:p>
      <w:pPr>
        <w:ind w:firstLine="56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val="en-US" w:eastAsia="zh-CN"/>
        </w:rPr>
        <w:t xml:space="preserve">1</w:t>
      </w:r>
      <w:r>
        <w:rPr>
          <w:rFonts w:hint="eastAsia" w:ascii="仿宋_GB2312" w:hAnsi="仿宋_GB2312" w:eastAsia="仿宋_GB2312" w:cs="仿宋_GB2312"/>
          <w:bCs/>
          <w:sz w:val="28"/>
          <w:szCs w:val="28"/>
        </w:rPr>
        <w:t xml:space="preserve">.提供提交</w:t>
      </w:r>
      <w:r>
        <w:rPr>
          <w:rFonts w:hint="eastAsia" w:ascii="仿宋_GB2312" w:hAnsi="仿宋_GB2312" w:eastAsia="仿宋_GB2312" w:cs="仿宋_GB2312"/>
          <w:bCs/>
          <w:sz w:val="28"/>
          <w:szCs w:val="28"/>
          <w:lang w:eastAsia="zh-CN"/>
        </w:rPr>
        <w:t xml:space="preserve">投标</w:t>
      </w:r>
      <w:r>
        <w:rPr>
          <w:rFonts w:hint="eastAsia" w:ascii="仿宋_GB2312" w:hAnsi="仿宋_GB2312" w:eastAsia="仿宋_GB2312" w:cs="仿宋_GB2312"/>
          <w:bCs/>
          <w:sz w:val="28"/>
          <w:szCs w:val="28"/>
        </w:rPr>
        <w:t xml:space="preserve">文件截止时间前</w:t>
      </w:r>
      <w:r>
        <w:rPr>
          <w:rFonts w:hint="eastAsia" w:ascii="仿宋_GB2312" w:hAnsi="宋体" w:eastAsia="仿宋_GB2312"/>
          <w:sz w:val="28"/>
          <w:szCs w:val="28"/>
        </w:rPr>
        <w:t xml:space="preserve">近六个月中任意一个月的财务状况报告（</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w:t>
      </w:r>
      <w:r>
        <w:rPr>
          <w:rFonts w:hint="eastAsia" w:ascii="仿宋_GB2312" w:hAnsi="宋体" w:eastAsia="仿宋_GB2312"/>
          <w:sz w:val="28"/>
          <w:szCs w:val="28"/>
          <w:lang w:eastAsia="zh-CN"/>
        </w:rPr>
        <w:t xml:space="preserve">扫描件</w:t>
      </w:r>
      <w:r>
        <w:rPr>
          <w:rFonts w:hint="eastAsia" w:ascii="仿宋_GB2312" w:hAnsi="宋体" w:eastAsia="仿宋_GB2312"/>
          <w:sz w:val="28"/>
          <w:szCs w:val="28"/>
        </w:rPr>
        <w:t xml:space="preserve">，或经会计师事务所出具的</w:t>
      </w:r>
      <w:r>
        <w:rPr>
          <w:rFonts w:hint="eastAsia" w:ascii="仿宋_GB2312" w:hAnsi="宋体" w:eastAsia="仿宋_GB2312"/>
          <w:sz w:val="28"/>
          <w:szCs w:val="28"/>
          <w:lang w:val="en-US" w:eastAsia="zh-CN"/>
        </w:rPr>
        <w:t xml:space="preserve">2024或2025</w:t>
      </w:r>
      <w:r>
        <w:rPr>
          <w:rFonts w:hint="eastAsia" w:ascii="仿宋_GB2312" w:hAnsi="宋体" w:eastAsia="仿宋_GB2312"/>
          <w:sz w:val="28"/>
          <w:szCs w:val="28"/>
        </w:rPr>
        <w:t xml:space="preserve">年度任意一个年度的审计报告</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件，或本年度基本开户银行出具的资信证明</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w:t>
      </w:r>
      <w:r>
        <w:rPr>
          <w:rFonts w:hint="eastAsia" w:ascii="仿宋_GB2312" w:hAnsi="仿宋_GB2312" w:eastAsia="仿宋_GB2312" w:cs="仿宋_GB2312"/>
          <w:bCs/>
          <w:sz w:val="28"/>
          <w:szCs w:val="28"/>
          <w:lang w:eastAsia="zh-CN"/>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2</w:t>
      </w:r>
      <w:r>
        <w:rPr>
          <w:rFonts w:hint="eastAsia" w:ascii="仿宋_GB2312" w:hAnsi="仿宋_GB2312" w:eastAsia="仿宋_GB2312" w:cs="仿宋_GB2312"/>
          <w:bCs/>
          <w:sz w:val="28"/>
          <w:szCs w:val="28"/>
        </w:rPr>
        <w:t xml:space="preserve">.投标人成立不满一年无需提供。</w:t>
      </w:r>
      <w:r/>
    </w:p>
    <w:p>
      <w:pPr>
        <w:ind w:firstLine="480"/>
        <w:spacing w:line="44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firstLine="480"/>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jc w:val="center"/>
        <w:spacing w:line="52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hint="default" w:ascii="黑体" w:hAnsi="黑体" w:eastAsia="黑体"/>
          <w:i/>
          <w:color w:val="000000"/>
          <w:sz w:val="32"/>
          <w:szCs w:val="32"/>
          <w:u w:val="single"/>
          <w:lang w:val="en-US" w:eastAsia="zh-CN"/>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eastAsia="仿宋_GB2312"/>
          <w:bCs/>
          <w:color w:val="ff0000"/>
          <w:sz w:val="24"/>
          <w:szCs w:val="21"/>
          <w:lang w:val="en-US" w:eastAsia="zh-CN"/>
        </w:rPr>
      </w:pPr>
      <w:r>
        <w:rPr>
          <w:rFonts w:hint="eastAsia" w:ascii="宋体" w:hAnsi="宋体"/>
          <w:color w:val="000000"/>
          <w:sz w:val="24"/>
          <w:szCs w:val="21"/>
        </w:rPr>
        <w:t xml:space="preserve"> </w:t>
      </w:r>
      <w:r>
        <w:rPr>
          <w:rFonts w:hint="eastAsia" w:ascii="宋体" w:hAnsi="宋体"/>
          <w:color w:val="ff0000"/>
          <w:sz w:val="24"/>
          <w:szCs w:val="21"/>
        </w:rPr>
        <w:t xml:space="preserve"> </w:t>
      </w:r>
      <w:r>
        <w:rPr>
          <w:rFonts w:hint="eastAsia" w:ascii="仿宋_GB2312" w:hAnsi="仿宋_GB2312" w:eastAsia="仿宋_GB2312" w:cs="仿宋_GB2312"/>
          <w:color w:val="ff0000"/>
          <w:sz w:val="28"/>
          <w:szCs w:val="28"/>
        </w:rPr>
        <w:t xml:space="preserve"> </w:t>
      </w:r>
      <w:r>
        <w:rPr>
          <w:rFonts w:hint="eastAsia" w:ascii="仿宋_GB2312" w:hAnsi="仿宋_GB2312" w:eastAsia="仿宋_GB2312" w:cs="仿宋_GB2312"/>
          <w:color w:val="ff0000"/>
          <w:sz w:val="28"/>
          <w:szCs w:val="28"/>
          <w:lang w:val="en-US" w:eastAsia="zh-CN"/>
        </w:rPr>
        <w:t xml:space="preserve">中小企业申明函 </w:t>
      </w:r>
      <w:r/>
    </w:p>
    <w:p>
      <w:pPr>
        <w:spacing w:line="460" w:lineRule="exact"/>
        <w:rPr>
          <w:rFonts w:ascii="宋体" w:hAnsi="宋体"/>
          <w:bCs/>
          <w:color w:val="000000"/>
          <w:sz w:val="24"/>
          <w:szCs w:val="21"/>
        </w:rPr>
      </w:pPr>
      <w:r/>
      <w:bookmarkStart w:id="48" w:name="_Toc120614284"/>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49" w:name="_Hlt26955070"/>
      <w:r/>
      <w:bookmarkEnd w:id="49"/>
      <w:r/>
      <w:bookmarkStart w:id="50" w:name="_格式3__银行出具的资信证明"/>
      <w:r/>
      <w:bookmarkEnd w:id="50"/>
      <w:r/>
      <w:bookmarkStart w:id="51" w:name="_Hlt26671380"/>
      <w:r/>
      <w:bookmarkEnd w:id="51"/>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jc w:val="both"/>
        <w:keepLines/>
        <w:keepNext/>
        <w:spacing w:line="520" w:lineRule="exact"/>
        <w:rPr>
          <w:rFonts w:hint="eastAsia" w:ascii="黑体" w:hAnsi="黑体" w:eastAsia="黑体" w:cs="黑体"/>
          <w:b w:val="0"/>
          <w:bCs/>
          <w:color w:val="000000"/>
          <w:sz w:val="28"/>
          <w:szCs w:val="48"/>
          <w:lang w:eastAsia="zh-CN"/>
        </w:rPr>
        <w:outlineLvl w:val="1"/>
      </w:pPr>
      <w:r>
        <w:rPr>
          <w:rFonts w:hint="eastAsia" w:ascii="黑体" w:hAnsi="黑体" w:eastAsia="黑体" w:cs="黑体"/>
          <w:b w:val="0"/>
          <w:bCs/>
          <w:color w:val="000000"/>
          <w:sz w:val="28"/>
          <w:szCs w:val="48"/>
          <w:lang w:eastAsia="zh-CN"/>
        </w:rPr>
      </w:r>
      <w:r/>
    </w:p>
    <w:p>
      <w:pPr>
        <w:jc w:val="center"/>
        <w:keepLines/>
        <w:keepNext/>
        <w:spacing w:line="520" w:lineRule="exact"/>
        <w:rPr>
          <w:rFonts w:ascii="黑体" w:hAnsi="黑体" w:eastAsia="黑体" w:cs="黑体"/>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ascii="宋体" w:hAnsi="宋体" w:eastAsia="幼圆" w:cs="Arial"/>
          <w:b/>
          <w:i/>
          <w:iCs/>
          <w:color w:val="000000"/>
          <w:sz w:val="24"/>
          <w:szCs w:val="44"/>
          <w:u w:val="single"/>
        </w:rPr>
        <w:br w:type="page" w:clear="all"/>
      </w:r>
      <w:r>
        <w:rPr>
          <w:rFonts w:hint="eastAsia" w:ascii="黑体" w:hAnsi="黑体" w:eastAsia="黑体" w:cs="黑体"/>
          <w:bCs/>
          <w:i/>
          <w:sz w:val="28"/>
          <w:szCs w:val="28"/>
          <w:u w:val="single"/>
        </w:rPr>
        <w:t xml:space="preserve">八、投标函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江苏恒霏项目管理有限公司</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据此函，__________（被授权人）兹宣布同意如下：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846"/>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center"/>
        <w:keepLines/>
        <w:keepNext/>
        <w:spacing w:line="520" w:lineRule="exact"/>
        <w:rPr>
          <w:rFonts w:ascii="黑体" w:hAnsi="黑体" w:eastAsia="黑体" w:cs="黑体"/>
          <w:i w:val="0"/>
          <w:iCs/>
          <w:sz w:val="28"/>
          <w:szCs w:val="28"/>
          <w:u w:val="none"/>
        </w:rPr>
        <w:outlineLvl w:val="1"/>
      </w:pPr>
      <w:r>
        <w:rPr>
          <w:rFonts w:hint="eastAsia" w:ascii="黑体" w:hAnsi="黑体" w:eastAsia="黑体" w:cs="黑体"/>
          <w:bCs/>
          <w:i w:val="0"/>
          <w:iCs/>
          <w:sz w:val="28"/>
          <w:szCs w:val="28"/>
          <w:u w:val="none"/>
        </w:rPr>
        <w:t xml:space="preserve">九、中小企业声明函</w:t>
      </w:r>
      <w:r/>
    </w:p>
    <w:p>
      <w:pPr>
        <w:pStyle w:val="829"/>
      </w:pPr>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eastAsia="zh-CN"/>
        </w:rPr>
        <w:t xml:space="preserve">采购</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lang w:eastAsia="zh-CN"/>
        </w:rPr>
        <w:t xml:space="preserve">的</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w:t>
      </w:r>
      <w:r>
        <w:rPr>
          <w:rFonts w:hint="eastAsia" w:ascii="仿宋_GB2312" w:hAnsi="仿宋_GB2312" w:eastAsia="仿宋_GB2312" w:cs="仿宋_GB2312"/>
          <w:sz w:val="28"/>
          <w:szCs w:val="28"/>
          <w:lang w:eastAsia="zh-CN"/>
        </w:rPr>
        <w:t xml:space="preserve">货物</w:t>
      </w:r>
      <w:r>
        <w:rPr>
          <w:rFonts w:hint="eastAsia" w:ascii="仿宋_GB2312" w:hAnsi="仿宋_GB2312" w:eastAsia="仿宋_GB2312" w:cs="仿宋_GB2312"/>
          <w:sz w:val="28"/>
          <w:szCs w:val="28"/>
        </w:rPr>
        <w:t xml:space="preserve">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小微企业承接。相关企业（含联合体中的中小微企业、签订分包意向协议的中小微企业）的具体情况如下：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lang w:val="en-US" w:eastAsia="zh-CN"/>
        </w:rPr>
        <w:t xml:space="preserve">制造业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lang w:val="en-US" w:eastAsia="zh-CN"/>
        </w:rPr>
        <w:t xml:space="preserve">制造业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firstLine="480"/>
        <w:keepLines w:val="0"/>
        <w:keepNext w:val="0"/>
        <w:pageBreakBefore w:val="0"/>
        <w:spacing w:line="30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r>
      <w:r/>
    </w:p>
    <w:p>
      <w:pPr>
        <w:jc w:val="center"/>
        <w:spacing w:line="520" w:lineRule="exact"/>
        <w:rPr>
          <w:rFonts w:ascii="仿宋_GB2312" w:hAnsi="仿宋_GB2312" w:eastAsia="仿宋_GB2312" w:cs="仿宋_GB2312"/>
          <w:b/>
          <w:sz w:val="28"/>
          <w:szCs w:val="28"/>
        </w:rPr>
      </w:pPr>
      <w:r>
        <w:rPr>
          <w:rFonts w:ascii="黑体" w:hAnsi="黑体" w:eastAsia="黑体"/>
          <w:b/>
          <w:color w:val="000000"/>
          <w:sz w:val="32"/>
          <w:szCs w:val="32"/>
        </w:rPr>
        <w:br w:type="page" w:clear="all"/>
      </w:r>
      <w:r>
        <w:rPr>
          <w:rFonts w:hint="eastAsia" w:ascii="黑体" w:hAnsi="黑体" w:eastAsia="黑体" w:cs="黑体"/>
          <w:bCs/>
          <w:i w:val="0"/>
          <w:iCs/>
          <w:sz w:val="28"/>
          <w:szCs w:val="28"/>
          <w:u w:val="none"/>
        </w:rPr>
        <w:t xml:space="preserve">十、残疾人福利性单位声明函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专门面向中小微型企业采购的项目，供应商为残疾人福利性单位并提供本单位制造的货物，或者提供其他残疾人福利性单位制造的货物，必须提供此声明函，否则将不能通过资格审查。2.非专门面向中小微型企业采购的项目，供应商如不提供此声明函，价格将不做相应扣除。3.中标供应商为残疾人福利性单位的，此声明函将随中标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u w:val="single"/>
        </w:rPr>
      </w:pPr>
      <w:r>
        <w:rPr>
          <w:rFonts w:ascii="宋体" w:hAnsi="宋体"/>
          <w:color w:val="000000"/>
          <w:sz w:val="24"/>
          <w:szCs w:val="21"/>
          <w:u w:val="single"/>
        </w:rPr>
      </w:r>
      <w:r/>
    </w:p>
    <w:p>
      <w:pPr>
        <w:jc w:val="center"/>
        <w:spacing w:line="560" w:lineRule="exact"/>
        <w:rPr>
          <w:rFonts w:hint="eastAsia" w:ascii="黑体" w:hAnsi="黑体" w:eastAsia="黑体"/>
          <w:b w:val="0"/>
          <w:bCs/>
          <w:color w:val="000000"/>
          <w:sz w:val="30"/>
          <w:szCs w:val="30"/>
          <w:highlight w:val="yellow"/>
          <w:u w:val="single"/>
          <w:lang w:eastAsia="zh-CN"/>
        </w:rPr>
      </w:pPr>
      <w:r>
        <w:rPr>
          <w:rFonts w:hint="eastAsia" w:ascii="黑体" w:hAnsi="黑体" w:eastAsia="黑体"/>
          <w:b w:val="0"/>
          <w:bCs/>
          <w:color w:val="000000"/>
          <w:sz w:val="30"/>
          <w:szCs w:val="30"/>
          <w:highlight w:val="yellow"/>
          <w:u w:val="single"/>
          <w:lang w:eastAsia="zh-CN"/>
        </w:rPr>
        <w:t xml:space="preserve">注：供应商如非“</w:t>
      </w:r>
      <w:r>
        <w:rPr>
          <w:rFonts w:hint="eastAsia" w:ascii="黑体" w:hAnsi="黑体" w:eastAsia="黑体" w:cs="黑体"/>
          <w:b w:val="0"/>
          <w:bCs/>
          <w:i w:val="0"/>
          <w:iCs/>
          <w:sz w:val="30"/>
          <w:szCs w:val="30"/>
          <w:highlight w:val="yellow"/>
          <w:u w:val="single"/>
        </w:rPr>
        <w:t xml:space="preserve">残疾人福利性单位</w:t>
      </w:r>
      <w:r>
        <w:rPr>
          <w:rFonts w:hint="eastAsia" w:ascii="黑体" w:hAnsi="黑体" w:eastAsia="黑体"/>
          <w:b w:val="0"/>
          <w:bCs/>
          <w:color w:val="000000"/>
          <w:sz w:val="30"/>
          <w:szCs w:val="30"/>
          <w:highlight w:val="yellow"/>
          <w:u w:val="single"/>
          <w:lang w:eastAsia="zh-CN"/>
        </w:rPr>
        <w:t xml:space="preserve">”，本声明函无需填报。</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numPr>
          <w:ilvl w:val="0"/>
          <w:numId w:val="0"/>
        </w:numPr>
        <w:jc w:val="center"/>
        <w:keepLines/>
        <w:keepNext/>
        <w:spacing w:line="520" w:lineRule="exact"/>
        <w:rPr>
          <w:rFonts w:hint="eastAsia" w:ascii="黑体" w:hAnsi="黑体" w:eastAsia="黑体" w:cs="黑体"/>
          <w:bCs/>
          <w:i/>
          <w:sz w:val="28"/>
          <w:szCs w:val="28"/>
          <w:u w:val="single"/>
        </w:rPr>
        <w:outlineLvl w:val="1"/>
      </w:pPr>
      <w:r>
        <w:rPr>
          <w:rFonts w:hint="eastAsia" w:ascii="黑体" w:hAnsi="黑体" w:eastAsia="黑体" w:cs="黑体"/>
          <w:bCs/>
          <w:i/>
          <w:sz w:val="28"/>
          <w:szCs w:val="28"/>
          <w:lang w:val="en-US" w:eastAsia="zh-CN" w:bidi="ar-SA"/>
        </w:rPr>
        <w:t xml:space="preserve">十一、</w:t>
      </w:r>
      <w:r>
        <w:rPr>
          <w:rFonts w:hint="eastAsia" w:ascii="黑体" w:hAnsi="黑体" w:eastAsia="黑体" w:cs="黑体"/>
          <w:bCs/>
          <w:i/>
          <w:sz w:val="28"/>
          <w:szCs w:val="28"/>
          <w:u w:val="single"/>
        </w:rPr>
        <w:t xml:space="preserve">投标分项报价表</w:t>
      </w:r>
      <w:r/>
    </w:p>
    <w:p>
      <w:pPr>
        <w:numPr>
          <w:ilvl w:val="0"/>
          <w:numId w:val="0"/>
        </w:numPr>
        <w:jc w:val="center"/>
        <w:keepLines/>
        <w:keepNext/>
        <w:spacing w:line="520" w:lineRule="exact"/>
        <w:rPr>
          <w:rFonts w:hint="eastAsia" w:ascii="黑体" w:hAnsi="黑体" w:eastAsia="黑体" w:cs="黑体"/>
          <w:bCs/>
          <w:i/>
          <w:sz w:val="28"/>
          <w:szCs w:val="28"/>
          <w:u w:val="single"/>
        </w:rPr>
        <w:outlineLvl w:val="1"/>
      </w:pPr>
      <w:r>
        <w:rPr>
          <w:rFonts w:hint="eastAsia" w:ascii="黑体" w:hAnsi="黑体" w:eastAsia="黑体" w:cs="黑体"/>
          <w:bCs/>
          <w:i/>
          <w:sz w:val="28"/>
          <w:szCs w:val="28"/>
          <w:u w:val="single"/>
        </w:rPr>
      </w:r>
      <w:r/>
    </w:p>
    <w:tbl>
      <w:tblPr>
        <w:tblStyle w:val="837"/>
        <w:tblW w:w="8988"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5"/>
        <w:gridCol w:w="925"/>
        <w:gridCol w:w="675"/>
        <w:gridCol w:w="2137"/>
        <w:gridCol w:w="1263"/>
        <w:gridCol w:w="1125"/>
      </w:tblGrid>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货物名称</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品牌</w:t>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单位</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数量</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单价</w:t>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合价</w:t>
            </w:r>
            <w:r/>
          </w:p>
        </w:tc>
      </w:tr>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r>
            <w:r/>
          </w:p>
        </w:tc>
      </w:tr>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2</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草坪填充砂</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7455，用量：≥28kg/㎡</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3</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草坪填充颗粒</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7455，用量：≥6kg/㎡</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4</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人造草坪减震垫</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5</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原场地铲除</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6</w:t>
            </w:r>
            <w:r/>
          </w:p>
        </w:tc>
        <w:tc>
          <w:tcPr>
            <w:tcW w:w="20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草坪施工</w:t>
            </w:r>
            <w:r/>
          </w:p>
        </w:tc>
        <w:tc>
          <w:tcPr>
            <w:tcW w:w="925" w:type="dxa"/>
            <w:vAlign w:val="top"/>
            <w:textDirection w:val="lrTb"/>
            <w:noWrap w:val="false"/>
          </w:tcPr>
          <w:p>
            <w:pPr>
              <w:pStyle w:val="848"/>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848"/>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gridSpan w:val="7"/>
            <w:tcW w:w="8988" w:type="dxa"/>
            <w:vAlign w:val="top"/>
            <w:textDirection w:val="lrTb"/>
            <w:noWrap w:val="false"/>
          </w:tcPr>
          <w:p>
            <w:pPr>
              <w:pStyle w:val="848"/>
              <w:contextualSpacing/>
              <w:ind w:left="0" w:firstLine="0"/>
              <w:jc w:val="center"/>
              <w:spacing w:line="360" w:lineRule="auto"/>
              <w:rPr>
                <w:rFonts w:hint="eastAsia" w:ascii="仿宋" w:hAnsi="仿宋" w:eastAsia="仿宋" w:cs="仿宋"/>
                <w:b/>
                <w:bCs w:val="0"/>
                <w:sz w:val="18"/>
                <w:szCs w:val="18"/>
                <w:vertAlign w:val="baseline"/>
              </w:rPr>
            </w:pPr>
            <w:r>
              <w:rPr>
                <w:rFonts w:hint="eastAsia" w:ascii="仿宋" w:hAnsi="仿宋" w:eastAsia="仿宋" w:cs="仿宋"/>
                <w:b/>
                <w:bCs w:val="0"/>
                <w:sz w:val="18"/>
                <w:szCs w:val="18"/>
                <w:vertAlign w:val="baseline"/>
              </w:rPr>
              <w:t xml:space="preserve">投标总报价（人民币：*****元）</w:t>
            </w:r>
            <w:r/>
          </w:p>
        </w:tc>
      </w:tr>
    </w:tbl>
    <w:p>
      <w:pPr>
        <w:pStyle w:val="836"/>
      </w:pPr>
      <w:r/>
      <w:r/>
    </w:p>
    <w:p>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1.投标报价应包括</w:t>
      </w:r>
      <w:r>
        <w:rPr>
          <w:rFonts w:hint="eastAsia" w:ascii="仿宋_GB2312" w:hAnsi="仿宋_GB2312" w:eastAsia="仿宋_GB2312" w:cs="仿宋_GB2312"/>
          <w:sz w:val="28"/>
          <w:szCs w:val="28"/>
          <w:lang w:eastAsia="zh-CN"/>
        </w:rPr>
        <w:t xml:space="preserve">完成</w:t>
      </w:r>
      <w:r>
        <w:rPr>
          <w:rFonts w:hint="eastAsia" w:ascii="仿宋_GB2312" w:hAnsi="仿宋_GB2312" w:eastAsia="仿宋_GB2312" w:cs="仿宋_GB2312"/>
          <w:sz w:val="28"/>
          <w:szCs w:val="28"/>
        </w:rPr>
        <w:t xml:space="preserve">采购人需求</w:t>
      </w:r>
      <w:r>
        <w:rPr>
          <w:rFonts w:hint="eastAsia" w:ascii="仿宋_GB2312" w:hAnsi="仿宋_GB2312" w:eastAsia="仿宋_GB2312" w:cs="仿宋_GB2312"/>
          <w:sz w:val="28"/>
          <w:szCs w:val="28"/>
          <w:lang w:eastAsia="zh-CN"/>
        </w:rPr>
        <w:t xml:space="preserve">的供货、安装、拆除、认证费、验收、售后服务、</w:t>
      </w:r>
      <w:r>
        <w:rPr>
          <w:rFonts w:hint="eastAsia" w:ascii="仿宋_GB2312" w:hAnsi="仿宋_GB2312" w:eastAsia="仿宋_GB2312" w:cs="仿宋_GB2312"/>
          <w:sz w:val="28"/>
          <w:szCs w:val="28"/>
        </w:rPr>
        <w:t xml:space="preserve">培训费</w:t>
      </w:r>
      <w:r>
        <w:rPr>
          <w:rFonts w:hint="eastAsia" w:ascii="仿宋_GB2312" w:hAnsi="仿宋_GB2312" w:eastAsia="仿宋_GB2312" w:cs="仿宋_GB2312"/>
          <w:sz w:val="28"/>
          <w:szCs w:val="28"/>
          <w:lang w:eastAsia="zh-CN"/>
        </w:rPr>
        <w:t xml:space="preserve">、税金</w:t>
      </w:r>
      <w:r>
        <w:rPr>
          <w:rFonts w:hint="eastAsia" w:ascii="仿宋_GB2312" w:hAnsi="仿宋_GB2312" w:eastAsia="仿宋_GB2312" w:cs="仿宋_GB2312"/>
          <w:sz w:val="28"/>
          <w:szCs w:val="28"/>
        </w:rPr>
        <w:t xml:space="preserve">等</w:t>
      </w:r>
      <w:r>
        <w:rPr>
          <w:rFonts w:hint="eastAsia" w:ascii="仿宋_GB2312" w:hAnsi="仿宋_GB2312" w:eastAsia="仿宋_GB2312" w:cs="仿宋_GB2312"/>
          <w:sz w:val="28"/>
          <w:szCs w:val="28"/>
          <w:lang w:eastAsia="zh-CN"/>
        </w:rPr>
        <w:t xml:space="preserve">所有费用</w:t>
      </w:r>
      <w:r>
        <w:rPr>
          <w:rFonts w:hint="eastAsia" w:ascii="仿宋_GB2312" w:hAnsi="仿宋_GB2312" w:eastAsia="仿宋_GB2312" w:cs="仿宋_GB2312"/>
          <w:sz w:val="28"/>
          <w:szCs w:val="28"/>
        </w:rPr>
        <w:t xml:space="preserve">。</w:t>
      </w:r>
      <w:r/>
    </w:p>
    <w:p>
      <w:pPr>
        <w:ind w:firstLine="56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w:t>
      </w:r>
      <w:r>
        <w:rPr>
          <w:rFonts w:hint="eastAsia" w:ascii="黑体" w:hAnsi="黑体" w:eastAsia="黑体" w:cs="黑体"/>
          <w:bCs/>
          <w:i/>
          <w:iCs/>
          <w:sz w:val="28"/>
          <w:szCs w:val="28"/>
          <w:u w:val="single"/>
          <w:lang w:eastAsia="zh-CN"/>
        </w:rPr>
        <w:t xml:space="preserve">二</w:t>
      </w:r>
      <w:r>
        <w:rPr>
          <w:rFonts w:hint="eastAsia" w:ascii="黑体" w:hAnsi="黑体" w:eastAsia="黑体" w:cs="黑体"/>
          <w:bCs/>
          <w:i/>
          <w:iCs/>
          <w:sz w:val="28"/>
          <w:szCs w:val="28"/>
          <w:u w:val="single"/>
        </w:rPr>
        <w:t xml:space="preserve">、</w:t>
      </w:r>
      <w:r>
        <w:rPr>
          <w:rFonts w:hint="eastAsia" w:ascii="黑体" w:hAnsi="黑体" w:eastAsia="黑体" w:cs="黑体"/>
          <w:bCs/>
          <w:i/>
          <w:iCs/>
          <w:sz w:val="28"/>
          <w:szCs w:val="28"/>
          <w:u w:val="single"/>
          <w:lang w:eastAsia="zh-CN"/>
        </w:rPr>
        <w:t xml:space="preserve">供货</w:t>
      </w:r>
      <w:r>
        <w:rPr>
          <w:rFonts w:hint="eastAsia" w:ascii="黑体" w:hAnsi="黑体" w:eastAsia="黑体" w:cs="黑体"/>
          <w:bCs/>
          <w:i/>
          <w:iCs/>
          <w:sz w:val="28"/>
          <w:szCs w:val="28"/>
          <w:u w:val="single"/>
        </w:rPr>
        <w:t xml:space="preserve">要求响应及偏离表</w:t>
      </w:r>
      <w:r/>
    </w:p>
    <w:p>
      <w:pPr>
        <w:pStyle w:val="836"/>
        <w:rPr>
          <w:sz w:val="16"/>
          <w:szCs w:val="16"/>
        </w:rPr>
      </w:pPr>
      <w:r>
        <w:rPr>
          <w:sz w:val="16"/>
          <w:szCs w:val="16"/>
        </w:rPr>
      </w:r>
      <w:r/>
    </w:p>
    <w:tbl>
      <w:tblPr>
        <w:tblStyle w:val="828"/>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052"/>
        <w:gridCol w:w="1913"/>
        <w:gridCol w:w="3250"/>
      </w:tblGrid>
      <w:tr>
        <w:trPr>
          <w:cantSplit/>
          <w:trHeight w:val="773"/>
        </w:trPr>
        <w:tc>
          <w:tcPr>
            <w:tcW w:w="829"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W w:w="3052"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招标文件要求</w:t>
            </w:r>
            <w:r/>
          </w:p>
        </w:tc>
        <w:tc>
          <w:tcPr>
            <w:tcW w:w="1913"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投标响应情况</w:t>
            </w:r>
            <w:r/>
          </w:p>
        </w:tc>
        <w:tc>
          <w:tcPr>
            <w:tcW w:w="3250"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超出、符合或偏离</w:t>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808"/>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center"/>
        <w:rPr>
          <w:rFonts w:ascii="黑体" w:hAnsi="Arial" w:eastAsia="黑体"/>
          <w:b/>
          <w:color w:val="000000"/>
          <w:sz w:val="36"/>
          <w:szCs w:val="21"/>
        </w:rPr>
      </w:pPr>
      <w:r>
        <w:rPr>
          <w:rFonts w:ascii="黑体" w:hAnsi="Arial" w:eastAsia="黑体"/>
          <w:b/>
          <w:color w:val="000000"/>
          <w:sz w:val="36"/>
          <w:szCs w:val="21"/>
        </w:rPr>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ind w:firstLine="0"/>
        <w:spacing w:line="440" w:lineRule="exact"/>
        <w:rPr>
          <w:rFonts w:hint="eastAsia" w:ascii="仿宋" w:hAnsi="仿宋" w:eastAsia="仿宋"/>
          <w:b/>
          <w:bCs/>
          <w:sz w:val="28"/>
          <w:szCs w:val="28"/>
        </w:rPr>
      </w:pPr>
      <w:r>
        <w:rPr>
          <w:rFonts w:hint="eastAsia" w:ascii="仿宋" w:hAnsi="仿宋" w:eastAsia="仿宋"/>
          <w:b/>
          <w:bCs/>
          <w:sz w:val="28"/>
          <w:szCs w:val="28"/>
        </w:rPr>
        <w:t xml:space="preserve">说明：</w:t>
      </w:r>
      <w:r/>
    </w:p>
    <w:p>
      <w:pPr>
        <w:ind w:firstLine="560"/>
        <w:keepLines w:val="0"/>
        <w:keepNext w:val="0"/>
        <w:pageBreakBefore w:val="0"/>
        <w:spacing w:line="440" w:lineRule="exact"/>
        <w:widowControl w:val="off"/>
        <w:rPr>
          <w:rFonts w:hint="eastAsia" w:ascii="仿宋" w:hAnsi="仿宋" w:eastAsia="仿宋"/>
          <w:b/>
          <w:sz w:val="28"/>
          <w:szCs w:val="28"/>
        </w:rPr>
      </w:pPr>
      <w:r>
        <w:rPr>
          <w:rFonts w:ascii="仿宋" w:hAnsi="仿宋" w:eastAsia="仿宋"/>
          <w:sz w:val="28"/>
          <w:szCs w:val="28"/>
        </w:rPr>
        <w:t xml:space="preserve">1</w:t>
      </w:r>
      <w:r>
        <w:rPr>
          <w:rFonts w:hint="eastAsia" w:ascii="仿宋" w:hAnsi="仿宋" w:eastAsia="仿宋"/>
          <w:sz w:val="28"/>
          <w:szCs w:val="28"/>
        </w:rPr>
        <w:t xml:space="preserve">、供应商可根据招标文件 第四章 采购需求的内容填报，响应表的内容必须对其相对应的要求中的内容</w:t>
      </w:r>
      <w:r>
        <w:rPr>
          <w:rFonts w:hint="eastAsia" w:ascii="仿宋" w:hAnsi="仿宋" w:eastAsia="仿宋"/>
          <w:b/>
          <w:sz w:val="28"/>
          <w:szCs w:val="28"/>
        </w:rPr>
        <w:t xml:space="preserve">逐项、详细、真实的填写。</w:t>
      </w:r>
      <w:r/>
    </w:p>
    <w:p>
      <w:pPr>
        <w:ind w:firstLine="560"/>
        <w:keepLines w:val="0"/>
        <w:keepNext w:val="0"/>
        <w:pageBreakBefore w:val="0"/>
        <w:spacing w:line="440" w:lineRule="exact"/>
        <w:widowControl w:val="off"/>
      </w:pPr>
      <w:r>
        <w:rPr>
          <w:rFonts w:ascii="仿宋" w:hAnsi="仿宋" w:eastAsia="仿宋"/>
          <w:sz w:val="28"/>
          <w:szCs w:val="28"/>
        </w:rPr>
        <w:t xml:space="preserve">2</w:t>
      </w:r>
      <w:r>
        <w:rPr>
          <w:rFonts w:hint="eastAsia" w:ascii="仿宋" w:hAnsi="仿宋" w:eastAsia="仿宋"/>
          <w:sz w:val="28"/>
          <w:szCs w:val="28"/>
        </w:rPr>
        <w:t xml:space="preserve">、供应商对存在超出或负偏离的的技术要求，应真实填写</w:t>
      </w:r>
      <w:r>
        <w:rPr>
          <w:rFonts w:hint="eastAsia" w:ascii="仿宋" w:hAnsi="仿宋" w:eastAsia="仿宋"/>
          <w:b/>
          <w:sz w:val="28"/>
          <w:szCs w:val="28"/>
        </w:rPr>
        <w:t xml:space="preserve">（对属于超出的技术参数，供应商须在投标文件中提供有效证明材料，如未提供，评标委员会在评审时将不予认可；对属于负偏离的技术参数，未真实填写的视为虚假响应）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bookmarkEnd w:id="48"/>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spacing w:line="240" w:lineRule="auto"/>
        <w:rPr>
          <w:rFonts w:ascii="黑体" w:hAnsi="黑体" w:eastAsia="黑体" w:cs="黑体"/>
          <w:bCs/>
          <w:i/>
          <w:iCs/>
          <w:sz w:val="28"/>
          <w:szCs w:val="28"/>
          <w:u w:val="single"/>
        </w:rPr>
      </w:pPr>
      <w:r>
        <w:rPr>
          <w:rFonts w:hint="eastAsia" w:ascii="黑体" w:hAnsi="黑体" w:eastAsia="黑体" w:cs="黑体"/>
          <w:bCs/>
          <w:i/>
          <w:iCs/>
          <w:sz w:val="28"/>
          <w:szCs w:val="28"/>
          <w:u w:val="single"/>
        </w:rPr>
        <w:br w:type="page" w:clear="all"/>
      </w:r>
      <w:r>
        <w:rPr>
          <w:rFonts w:hint="eastAsia" w:ascii="黑体" w:hAnsi="黑体" w:eastAsia="黑体" w:cs="黑体"/>
          <w:bCs/>
          <w:i/>
          <w:iCs/>
          <w:sz w:val="28"/>
          <w:szCs w:val="28"/>
          <w:u w:val="single"/>
        </w:rPr>
        <w:t xml:space="preserve">十</w:t>
      </w:r>
      <w:r>
        <w:rPr>
          <w:rFonts w:hint="eastAsia" w:ascii="黑体" w:hAnsi="黑体" w:eastAsia="黑体" w:cs="黑体"/>
          <w:bCs/>
          <w:i/>
          <w:iCs/>
          <w:sz w:val="28"/>
          <w:szCs w:val="28"/>
          <w:u w:val="single"/>
          <w:lang w:eastAsia="zh-CN"/>
        </w:rPr>
        <w:t xml:space="preserve">三</w:t>
      </w:r>
      <w:r>
        <w:rPr>
          <w:rFonts w:hint="eastAsia" w:ascii="黑体" w:hAnsi="黑体" w:eastAsia="黑体" w:cs="黑体"/>
          <w:bCs/>
          <w:i/>
          <w:iCs/>
          <w:sz w:val="28"/>
          <w:szCs w:val="28"/>
          <w:u w:val="single"/>
        </w:rPr>
        <w:t xml:space="preserve">、开标一览表</w:t>
      </w:r>
      <w:r/>
    </w:p>
    <w:p>
      <w:pPr>
        <w:jc w:val="center"/>
        <w:rPr>
          <w:rFonts w:ascii="黑体" w:hAnsi="黑体" w:eastAsia="黑体"/>
          <w:b/>
          <w:i/>
          <w:sz w:val="32"/>
          <w:szCs w:val="32"/>
          <w:u w:val="single"/>
        </w:rPr>
      </w:pPr>
      <w:r>
        <w:rPr>
          <w:rFonts w:ascii="黑体" w:hAnsi="黑体" w:eastAsia="黑体"/>
          <w:b/>
          <w:i/>
          <w:sz w:val="32"/>
          <w:szCs w:val="32"/>
          <w:u w:val="single"/>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投标人全称（加盖CA电子签章）：</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招标编号：                    分包号：</w:t>
      </w:r>
      <w:r/>
    </w:p>
    <w:p>
      <w:pPr>
        <w:pStyle w:val="829"/>
      </w:pPr>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cantSplit/>
          <w:jc w:val="center"/>
          <w:trHeight w:val="954"/>
        </w:trPr>
        <w:tc>
          <w:tcPr>
            <w:tcW w:w="8360"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投标总报价</w:t>
            </w:r>
            <w:r/>
          </w:p>
        </w:tc>
      </w:tr>
      <w:tr>
        <w:trPr>
          <w:cantSplit/>
          <w:jc w:val="center"/>
          <w:trHeight w:val="1613"/>
        </w:trPr>
        <w:tc>
          <w:tcPr>
            <w:tcW w:w="8360" w:type="dxa"/>
            <w:vAlign w:val="center"/>
            <w:textDirection w:val="lrTb"/>
            <w:noWrap w:val="false"/>
          </w:tcPr>
          <w:p>
            <w:pPr>
              <w:pStyle w:val="846"/>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846"/>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日期：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spacing w:line="520" w:lineRule="exact"/>
        <w:rPr>
          <w:rFonts w:ascii="仿宋_GB2312" w:hAnsi="仿宋_GB2312" w:eastAsia="仿宋_GB2312" w:cs="仿宋_GB2312"/>
          <w:sz w:val="28"/>
          <w:szCs w:val="28"/>
        </w:rPr>
        <w:sectPr>
          <w:footerReference w:type="default" r:id="rId14"/>
          <w:footnotePr/>
          <w:endnotePr/>
          <w:type w:val="nextPage"/>
          <w:pgSz w:w="11906" w:h="16838" w:orient="portrait"/>
          <w:pgMar w:top="1440" w:right="1474" w:bottom="1440" w:left="1474" w:header="851" w:footer="992" w:gutter="0"/>
          <w:cols w:num="1" w:sep="0" w:space="0" w:equalWidth="1"/>
          <w:docGrid w:linePitch="360"/>
        </w:sectPr>
      </w:pPr>
      <w:r>
        <w:rPr>
          <w:rFonts w:ascii="仿宋_GB2312" w:hAnsi="仿宋_GB2312" w:eastAsia="仿宋_GB2312" w:cs="仿宋_GB2312"/>
          <w:sz w:val="28"/>
          <w:szCs w:val="28"/>
        </w:rPr>
      </w:r>
      <w:r/>
    </w:p>
    <w:p>
      <w:pPr>
        <w:jc w:val="center"/>
        <w:rPr>
          <w:rFonts w:hint="eastAsia" w:ascii="黑体" w:hAnsi="黑体" w:eastAsia="黑体" w:cs="黑体"/>
          <w:bCs/>
          <w:i/>
          <w:iCs/>
          <w:color w:val="auto"/>
          <w:sz w:val="28"/>
          <w:szCs w:val="28"/>
          <w:u w:val="single"/>
        </w:rPr>
      </w:pPr>
      <w:r>
        <w:rPr>
          <w:rFonts w:hint="eastAsia" w:ascii="黑体" w:hAnsi="黑体" w:eastAsia="黑体" w:cs="黑体"/>
          <w:b w:val="0"/>
          <w:bCs/>
          <w:i/>
          <w:iCs/>
          <w:color w:val="auto"/>
          <w:sz w:val="28"/>
          <w:szCs w:val="28"/>
          <w:u w:val="single"/>
        </w:rPr>
        <w:t xml:space="preserve">十</w:t>
      </w:r>
      <w:r>
        <w:rPr>
          <w:rFonts w:hint="eastAsia" w:ascii="黑体" w:hAnsi="黑体" w:eastAsia="黑体" w:cs="黑体"/>
          <w:b w:val="0"/>
          <w:bCs/>
          <w:i/>
          <w:iCs/>
          <w:color w:val="auto"/>
          <w:sz w:val="28"/>
          <w:szCs w:val="28"/>
          <w:u w:val="single"/>
          <w:lang w:eastAsia="zh-CN"/>
        </w:rPr>
        <w:t xml:space="preserve">四</w:t>
      </w:r>
      <w:r>
        <w:rPr>
          <w:rFonts w:hint="eastAsia" w:ascii="黑体" w:hAnsi="黑体" w:eastAsia="黑体" w:cs="黑体"/>
          <w:b w:val="0"/>
          <w:bCs/>
          <w:i/>
          <w:iCs/>
          <w:color w:val="auto"/>
          <w:sz w:val="28"/>
          <w:szCs w:val="28"/>
          <w:u w:val="single"/>
        </w:rPr>
        <w:t xml:space="preserve">、关于符合本国产品标准的声明函</w:t>
      </w:r>
      <w:r/>
    </w:p>
    <w:p>
      <w:pPr>
        <w:pStyle w:val="835"/>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40"/>
          <w:rFonts w:hint="eastAsia" w:ascii="仿宋_GB2312" w:hAnsi="仿宋_GB2312" w:eastAsia="仿宋_GB2312" w:cs="仿宋_GB2312"/>
          <w:i w:val="0"/>
          <w:color w:val="auto"/>
          <w:sz w:val="28"/>
          <w:szCs w:val="28"/>
          <w:u w:val="single"/>
          <w:shd w:val="clear" w:color="auto" w:fill="ffffff"/>
        </w:rPr>
        <w:t xml:space="preserve">（产品名称1）</w:t>
      </w:r>
      <w:r>
        <w:rPr>
          <w:rStyle w:val="840"/>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40"/>
          <w:rFonts w:hint="eastAsia" w:ascii="仿宋_GB2312" w:hAnsi="仿宋_GB2312" w:eastAsia="仿宋_GB2312" w:cs="仿宋_GB2312"/>
          <w:i w:val="0"/>
          <w:color w:val="auto"/>
          <w:sz w:val="28"/>
          <w:szCs w:val="28"/>
          <w:u w:val="single"/>
          <w:shd w:val="clear" w:color="auto" w:fill="ffffff"/>
        </w:rPr>
        <w:t xml:space="preserve">（厂名）</w:t>
      </w:r>
      <w:r>
        <w:rPr>
          <w:rStyle w:val="840"/>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40"/>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40"/>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40"/>
          <w:rFonts w:hint="eastAsia" w:ascii="仿宋_GB2312" w:hAnsi="仿宋_GB2312" w:eastAsia="仿宋_GB2312" w:cs="仿宋_GB2312"/>
          <w:strike/>
          <w:color w:val="ff0000"/>
          <w:sz w:val="28"/>
          <w:szCs w:val="28"/>
          <w:highlight w:val="none"/>
          <w:u w:val="single"/>
          <w:shd w:val="clear" w:color="auto" w:fill="ffffff"/>
        </w:rPr>
        <w:t xml:space="preserve">。</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40"/>
          <w:rFonts w:hint="eastAsia" w:ascii="仿宋_GB2312" w:hAnsi="仿宋_GB2312" w:eastAsia="仿宋_GB2312" w:cs="仿宋_GB2312"/>
          <w:strike/>
          <w:color w:val="ff0000"/>
          <w:sz w:val="28"/>
          <w:szCs w:val="28"/>
          <w:highlight w:val="none"/>
          <w:u w:val="single"/>
          <w:shd w:val="clear" w:color="auto" w:fill="ffffff"/>
        </w:rPr>
        <w:t xml:space="preserve">的</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40"/>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40"/>
          <w:rFonts w:hint="eastAsia" w:ascii="仿宋_GB2312" w:hAnsi="仿宋_GB2312" w:eastAsia="仿宋_GB2312" w:cs="仿宋_GB2312"/>
          <w:strike/>
          <w:color w:val="ff0000"/>
          <w:sz w:val="28"/>
          <w:szCs w:val="28"/>
          <w:highlight w:val="none"/>
          <w:u w:val="single"/>
          <w:shd w:val="clear" w:color="auto" w:fill="ffffff"/>
        </w:rPr>
        <w:t xml:space="preserve">的</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40"/>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40"/>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40"/>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40"/>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40"/>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40"/>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35"/>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35"/>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3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3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3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3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3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3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3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firstLine="562"/>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6"/>
        <w:rPr>
          <w:rFonts w:hint="eastAsia"/>
        </w:rPr>
        <w:sectPr>
          <w:footerReference w:type="default" r:id="rId15"/>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jc w:val="center"/>
        <w:rPr>
          <w:rFonts w:hint="eastAsia" w:ascii="黑体" w:hAnsi="黑体" w:eastAsia="黑体" w:cs="黑体"/>
          <w:bCs/>
          <w:i/>
          <w:iCs/>
          <w:color w:val="auto"/>
          <w:sz w:val="28"/>
          <w:szCs w:val="28"/>
          <w:u w:val="single"/>
          <w:lang w:eastAsia="zh-CN"/>
        </w:rPr>
      </w:pPr>
      <w:r>
        <w:rPr>
          <w:rFonts w:hint="eastAsia" w:ascii="黑体" w:hAnsi="黑体" w:eastAsia="黑体" w:cs="黑体"/>
          <w:b w:val="0"/>
          <w:bCs/>
          <w:i/>
          <w:iCs/>
          <w:color w:val="auto"/>
          <w:sz w:val="28"/>
          <w:szCs w:val="28"/>
          <w:u w:val="single"/>
        </w:rPr>
        <w:t xml:space="preserve">十</w:t>
      </w:r>
      <w:r>
        <w:rPr>
          <w:rFonts w:hint="eastAsia" w:ascii="黑体" w:hAnsi="黑体" w:eastAsia="黑体" w:cs="黑体"/>
          <w:b w:val="0"/>
          <w:bCs/>
          <w:i/>
          <w:iCs/>
          <w:color w:val="auto"/>
          <w:sz w:val="28"/>
          <w:szCs w:val="28"/>
          <w:u w:val="single"/>
          <w:lang w:eastAsia="zh-CN"/>
        </w:rPr>
        <w:t xml:space="preserve">五</w:t>
      </w:r>
      <w:r>
        <w:rPr>
          <w:rFonts w:hint="eastAsia" w:ascii="黑体" w:hAnsi="黑体" w:eastAsia="黑体" w:cs="黑体"/>
          <w:b w:val="0"/>
          <w:bCs/>
          <w:i/>
          <w:iCs/>
          <w:color w:val="auto"/>
          <w:sz w:val="28"/>
          <w:szCs w:val="28"/>
          <w:u w:val="single"/>
        </w:rPr>
        <w:t xml:space="preserve">、</w:t>
      </w:r>
      <w:r>
        <w:rPr>
          <w:rFonts w:hint="eastAsia" w:ascii="黑体" w:hAnsi="黑体" w:eastAsia="黑体" w:cs="黑体"/>
          <w:b w:val="0"/>
          <w:bCs/>
          <w:i/>
          <w:iCs/>
          <w:color w:val="auto"/>
          <w:sz w:val="28"/>
          <w:szCs w:val="28"/>
          <w:u w:val="single"/>
          <w:lang w:eastAsia="zh-CN"/>
        </w:rPr>
        <w:t xml:space="preserve">企业综合实力、质量、技术参数、解决方案等相关材料</w:t>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jc w:val="center"/>
        <w:rPr>
          <w:rFonts w:hint="eastAsia" w:ascii="黑体" w:hAnsi="黑体" w:eastAsia="黑体" w:cs="黑体"/>
          <w:b w:val="0"/>
          <w:bCs/>
          <w:i/>
          <w:iCs/>
          <w:color w:val="auto"/>
          <w:sz w:val="28"/>
          <w:szCs w:val="28"/>
          <w:u w:val="single"/>
          <w:lang w:eastAsia="zh-CN"/>
        </w:rPr>
      </w:pPr>
      <w:r>
        <w:rPr>
          <w:rFonts w:hint="eastAsia" w:ascii="黑体" w:hAnsi="黑体" w:eastAsia="黑体" w:cs="黑体"/>
          <w:b w:val="0"/>
          <w:bCs/>
          <w:i/>
          <w:iCs/>
          <w:color w:val="auto"/>
          <w:sz w:val="28"/>
          <w:szCs w:val="28"/>
          <w:u w:val="single"/>
          <w:lang w:eastAsia="zh-CN"/>
        </w:rPr>
        <w:t xml:space="preserve">十六、招标文件中要求提供的承诺、声明等材料或供应商认为需要提供的其他资料</w:t>
      </w:r>
      <w:r/>
    </w:p>
    <w:p>
      <w:pPr>
        <w:ind w:firstLine="720"/>
        <w:jc w:val="center"/>
        <w:spacing w:line="520" w:lineRule="exact"/>
        <w:rPr>
          <w:rFonts w:hint="eastAsia" w:ascii="黑体" w:hAnsi="黑体" w:eastAsia="黑体" w:cs="黑体"/>
          <w:sz w:val="36"/>
          <w:szCs w:val="36"/>
        </w:rPr>
      </w:pPr>
      <w:r>
        <w:rPr>
          <w:rFonts w:hint="eastAsia" w:ascii="黑体" w:hAnsi="黑体" w:eastAsia="黑体" w:cs="黑体"/>
          <w:sz w:val="36"/>
          <w:szCs w:val="36"/>
        </w:rPr>
      </w:r>
      <w:r/>
    </w:p>
    <w:p>
      <w:pPr>
        <w:pStyle w:val="847"/>
        <w:rPr>
          <w:rFonts w:hint="eastAsia" w:ascii="黑体" w:hAnsi="黑体" w:eastAsia="黑体" w:cs="黑体"/>
          <w:sz w:val="36"/>
          <w:szCs w:val="36"/>
        </w:rPr>
      </w:pPr>
      <w:r>
        <w:rPr>
          <w:rFonts w:hint="eastAsia" w:ascii="黑体" w:hAnsi="黑体" w:eastAsia="黑体" w:cs="黑体"/>
          <w:sz w:val="36"/>
          <w:szCs w:val="36"/>
        </w:rPr>
      </w:r>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承诺函</w:t>
      </w:r>
      <w:r/>
    </w:p>
    <w:p>
      <w:pPr>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 xml:space="preserve">致：</w:t>
      </w:r>
      <w:r>
        <w:rPr>
          <w:rFonts w:hint="eastAsia" w:ascii="仿宋" w:hAnsi="仿宋" w:eastAsia="仿宋" w:cs="仿宋"/>
          <w:sz w:val="28"/>
          <w:szCs w:val="28"/>
          <w:u w:val="single"/>
          <w:lang w:val="en-US" w:eastAsia="zh-CN"/>
        </w:rPr>
        <w:t xml:space="preserve">兴化市人民体育场</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我公司自愿参加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[项目名称]（项目编号：   ） 的招标活动，依据国家法律法规相关规定，现承诺如下：</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 足球场建设将严格按照国家相关建筑标准和规范进行，确保工程质量符合国家标准。</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 所使用的建筑材料、设备和施工工艺必须符合国家规定，确保足球场的安全、环保和耐用性。</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 足球场建设过程中，将严格执行安全生产制度，确保施工安全，防止发生安全事故。</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 建设过程中，将积极配合相关部门的监督检查，确保建设进度和质量。</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5.场地铺装完成后通过国际足联（FIFA）全项检测，并获得国际足联场地认证证书。</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ind w:firstLine="14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供应商名称：　　　　　　　　           </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年　 月 　日</w:t>
      </w:r>
      <w:r/>
    </w:p>
    <w:p>
      <w:pPr>
        <w:pStyle w:val="836"/>
        <w:rPr>
          <w:rFonts w:hint="eastAsia"/>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bookmarkEnd w:id="45"/>
      <w:bookmarkEnd w:id="46"/>
      <w:bookmarkEnd w:id="47"/>
      <w:r/>
    </w:p>
    <w:p>
      <w:pPr>
        <w:ind w:firstLine="420"/>
        <w:jc w:val="center"/>
        <w:rPr>
          <w:rFonts w:ascii="Times New Roman" w:hAnsi="Times New Roman"/>
          <w:color w:val="000000"/>
          <w:sz w:val="24"/>
          <w:szCs w:val="24"/>
        </w:rPr>
      </w:pPr>
      <w:r>
        <w:rPr>
          <w:rFonts w:ascii="Times New Roman" w:hAnsi="Times New Roman"/>
          <w:color w:val="000000"/>
          <w:sz w:val="24"/>
          <w:szCs w:val="24"/>
        </w:rPr>
      </w:r>
      <w:r/>
    </w:p>
    <w:p>
      <w:pPr>
        <w:ind w:firstLine="420"/>
        <w:jc w:val="center"/>
        <w:rPr>
          <w:rFonts w:ascii="Times New Roman" w:hAnsi="Times New Roman"/>
          <w:color w:val="000000"/>
          <w:sz w:val="24"/>
          <w:szCs w:val="24"/>
        </w:rPr>
      </w:pPr>
      <w:r>
        <w:rPr>
          <w:rFonts w:ascii="Times New Roman" w:hAnsi="Times New Roman"/>
          <w:color w:val="000000"/>
          <w:sz w:val="24"/>
          <w:szCs w:val="24"/>
        </w:rPr>
      </w:r>
      <w:r/>
    </w:p>
    <w:p>
      <w:r/>
      <w:r/>
    </w:p>
    <w:sectPr>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汉仪书宋二S">
    <w:panose1 w:val="020B0503020202020204"/>
  </w:font>
  <w:font w:name="楷体_GB2312">
    <w:panose1 w:val="02010609060101010101"/>
  </w:font>
  <w:font w:name="Showcard Gothic">
    <w:panose1 w:val="04020904020102020604"/>
  </w:font>
  <w:font w:name="方正小标宋简体">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Century Schoolbook">
    <w:panose1 w:val="02040604050505020304"/>
  </w:font>
  <w:font w:name="仿宋">
    <w:panose1 w:val="02010609060101010101"/>
  </w:font>
  <w:font w:name="等线">
    <w:panose1 w:val="02010600030101010101"/>
  </w:font>
  <w:font w:name="Courier New">
    <w:panose1 w:val="02070309020205020404"/>
  </w:font>
  <w:font w:name="幼圆">
    <w:panose1 w:val="02010509060101010101"/>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p>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54</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54</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8"/>
  </w:num>
  <w:num w:numId="3">
    <w:abstractNumId w:val="3"/>
  </w:num>
  <w:num w:numId="4">
    <w:abstractNumId w:val="7"/>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4"/>
    <w:next w:val="8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27"/>
    <w:link w:val="12"/>
    <w:uiPriority w:val="9"/>
    <w:rPr>
      <w:rFonts w:ascii="Arial" w:hAnsi="Arial" w:eastAsia="Arial" w:cs="Arial"/>
      <w:sz w:val="40"/>
      <w:szCs w:val="40"/>
    </w:rPr>
  </w:style>
  <w:style w:type="character" w:styleId="15">
    <w:name w:val="Heading 2 Char"/>
    <w:basedOn w:val="827"/>
    <w:link w:val="825"/>
    <w:uiPriority w:val="9"/>
    <w:rPr>
      <w:rFonts w:ascii="Arial" w:hAnsi="Arial" w:eastAsia="Arial" w:cs="Arial"/>
      <w:sz w:val="34"/>
    </w:rPr>
  </w:style>
  <w:style w:type="character" w:styleId="17">
    <w:name w:val="Heading 3 Char"/>
    <w:basedOn w:val="827"/>
    <w:link w:val="826"/>
    <w:uiPriority w:val="9"/>
    <w:rPr>
      <w:rFonts w:ascii="Arial" w:hAnsi="Arial" w:eastAsia="Arial" w:cs="Arial"/>
      <w:sz w:val="30"/>
      <w:szCs w:val="30"/>
    </w:rPr>
  </w:style>
  <w:style w:type="paragraph" w:styleId="18">
    <w:name w:val="Heading 4"/>
    <w:basedOn w:val="824"/>
    <w:next w:val="8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27"/>
    <w:link w:val="18"/>
    <w:uiPriority w:val="9"/>
    <w:rPr>
      <w:rFonts w:ascii="Arial" w:hAnsi="Arial" w:eastAsia="Arial" w:cs="Arial"/>
      <w:b/>
      <w:bCs/>
      <w:sz w:val="26"/>
      <w:szCs w:val="26"/>
    </w:rPr>
  </w:style>
  <w:style w:type="paragraph" w:styleId="20">
    <w:name w:val="Heading 5"/>
    <w:basedOn w:val="824"/>
    <w:next w:val="8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7"/>
    <w:link w:val="20"/>
    <w:uiPriority w:val="9"/>
    <w:rPr>
      <w:rFonts w:ascii="Arial" w:hAnsi="Arial" w:eastAsia="Arial" w:cs="Arial"/>
      <w:b/>
      <w:bCs/>
      <w:sz w:val="24"/>
      <w:szCs w:val="24"/>
    </w:rPr>
  </w:style>
  <w:style w:type="paragraph" w:styleId="22">
    <w:name w:val="Heading 6"/>
    <w:basedOn w:val="824"/>
    <w:next w:val="8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7"/>
    <w:link w:val="22"/>
    <w:uiPriority w:val="9"/>
    <w:rPr>
      <w:rFonts w:ascii="Arial" w:hAnsi="Arial" w:eastAsia="Arial" w:cs="Arial"/>
      <w:b/>
      <w:bCs/>
      <w:sz w:val="22"/>
      <w:szCs w:val="22"/>
    </w:rPr>
  </w:style>
  <w:style w:type="paragraph" w:styleId="24">
    <w:name w:val="Heading 7"/>
    <w:basedOn w:val="824"/>
    <w:next w:val="8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7"/>
    <w:link w:val="24"/>
    <w:uiPriority w:val="9"/>
    <w:rPr>
      <w:rFonts w:ascii="Arial" w:hAnsi="Arial" w:eastAsia="Arial" w:cs="Arial"/>
      <w:b/>
      <w:bCs/>
      <w:i/>
      <w:iCs/>
      <w:sz w:val="22"/>
      <w:szCs w:val="22"/>
    </w:rPr>
  </w:style>
  <w:style w:type="paragraph" w:styleId="26">
    <w:name w:val="Heading 8"/>
    <w:basedOn w:val="824"/>
    <w:next w:val="8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7"/>
    <w:link w:val="26"/>
    <w:uiPriority w:val="9"/>
    <w:rPr>
      <w:rFonts w:ascii="Arial" w:hAnsi="Arial" w:eastAsia="Arial" w:cs="Arial"/>
      <w:i/>
      <w:iCs/>
      <w:sz w:val="22"/>
      <w:szCs w:val="22"/>
    </w:rPr>
  </w:style>
  <w:style w:type="paragraph" w:styleId="28">
    <w:name w:val="Heading 9"/>
    <w:basedOn w:val="824"/>
    <w:next w:val="8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7"/>
    <w:link w:val="28"/>
    <w:uiPriority w:val="9"/>
    <w:rPr>
      <w:rFonts w:ascii="Arial" w:hAnsi="Arial" w:eastAsia="Arial" w:cs="Arial"/>
      <w:i/>
      <w:iCs/>
      <w:sz w:val="21"/>
      <w:szCs w:val="21"/>
    </w:rPr>
  </w:style>
  <w:style w:type="paragraph" w:styleId="30">
    <w:name w:val="List Paragraph"/>
    <w:basedOn w:val="8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4"/>
    <w:next w:val="824"/>
    <w:link w:val="34"/>
    <w:uiPriority w:val="10"/>
    <w:qFormat/>
    <w:pPr>
      <w:contextualSpacing/>
      <w:spacing w:before="300" w:after="200"/>
    </w:pPr>
    <w:rPr>
      <w:sz w:val="48"/>
      <w:szCs w:val="48"/>
    </w:rPr>
  </w:style>
  <w:style w:type="character" w:styleId="34">
    <w:name w:val="Title Char"/>
    <w:basedOn w:val="827"/>
    <w:link w:val="33"/>
    <w:uiPriority w:val="10"/>
    <w:rPr>
      <w:sz w:val="48"/>
      <w:szCs w:val="48"/>
    </w:rPr>
  </w:style>
  <w:style w:type="paragraph" w:styleId="35">
    <w:name w:val="Subtitle"/>
    <w:basedOn w:val="824"/>
    <w:next w:val="824"/>
    <w:link w:val="36"/>
    <w:uiPriority w:val="11"/>
    <w:qFormat/>
    <w:pPr>
      <w:spacing w:before="200" w:after="200"/>
    </w:pPr>
    <w:rPr>
      <w:sz w:val="24"/>
      <w:szCs w:val="24"/>
    </w:rPr>
  </w:style>
  <w:style w:type="character" w:styleId="36">
    <w:name w:val="Subtitle Char"/>
    <w:basedOn w:val="827"/>
    <w:link w:val="35"/>
    <w:uiPriority w:val="11"/>
    <w:rPr>
      <w:sz w:val="24"/>
      <w:szCs w:val="24"/>
    </w:rPr>
  </w:style>
  <w:style w:type="paragraph" w:styleId="37">
    <w:name w:val="Quote"/>
    <w:basedOn w:val="824"/>
    <w:next w:val="824"/>
    <w:link w:val="38"/>
    <w:uiPriority w:val="29"/>
    <w:qFormat/>
    <w:pPr>
      <w:ind w:left="720" w:right="720"/>
    </w:pPr>
    <w:rPr>
      <w:i/>
    </w:rPr>
  </w:style>
  <w:style w:type="character" w:styleId="38">
    <w:name w:val="Quote Char"/>
    <w:link w:val="37"/>
    <w:uiPriority w:val="29"/>
    <w:rPr>
      <w:i/>
    </w:rPr>
  </w:style>
  <w:style w:type="paragraph" w:styleId="39">
    <w:name w:val="Intense Quote"/>
    <w:basedOn w:val="824"/>
    <w:next w:val="8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7"/>
    <w:link w:val="834"/>
    <w:uiPriority w:val="99"/>
  </w:style>
  <w:style w:type="character" w:styleId="44">
    <w:name w:val="Footer Char"/>
    <w:basedOn w:val="827"/>
    <w:link w:val="833"/>
    <w:uiPriority w:val="99"/>
  </w:style>
  <w:style w:type="paragraph" w:styleId="45">
    <w:name w:val="Caption"/>
    <w:basedOn w:val="824"/>
    <w:next w:val="824"/>
    <w:uiPriority w:val="35"/>
    <w:semiHidden/>
    <w:unhideWhenUsed/>
    <w:qFormat/>
    <w:pPr>
      <w:spacing w:line="276" w:lineRule="auto"/>
    </w:pPr>
    <w:rPr>
      <w:b/>
      <w:bCs/>
      <w:color w:val="4f81bd" w:themeColor="accent1"/>
      <w:sz w:val="18"/>
      <w:szCs w:val="18"/>
    </w:rPr>
  </w:style>
  <w:style w:type="character" w:styleId="46">
    <w:name w:val="Caption Char"/>
    <w:basedOn w:val="45"/>
    <w:link w:val="833"/>
    <w:uiPriority w:val="99"/>
  </w:style>
  <w:style w:type="table" w:styleId="48">
    <w:name w:val="Table Grid Light"/>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7"/>
    <w:uiPriority w:val="99"/>
    <w:unhideWhenUsed/>
    <w:rPr>
      <w:vertAlign w:val="superscript"/>
    </w:rPr>
  </w:style>
  <w:style w:type="paragraph" w:styleId="177">
    <w:name w:val="endnote text"/>
    <w:basedOn w:val="8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7"/>
    <w:uiPriority w:val="99"/>
    <w:semiHidden/>
    <w:unhideWhenUsed/>
    <w:rPr>
      <w:vertAlign w:val="superscript"/>
    </w:rPr>
  </w:style>
  <w:style w:type="paragraph" w:styleId="180">
    <w:name w:val="toc 1"/>
    <w:basedOn w:val="824"/>
    <w:next w:val="824"/>
    <w:uiPriority w:val="39"/>
    <w:unhideWhenUsed/>
    <w:pPr>
      <w:ind w:left="0" w:right="0" w:firstLine="0"/>
      <w:spacing w:after="57"/>
    </w:pPr>
  </w:style>
  <w:style w:type="paragraph" w:styleId="181">
    <w:name w:val="toc 2"/>
    <w:basedOn w:val="824"/>
    <w:next w:val="824"/>
    <w:uiPriority w:val="39"/>
    <w:unhideWhenUsed/>
    <w:pPr>
      <w:ind w:left="283" w:right="0" w:firstLine="0"/>
      <w:spacing w:after="57"/>
    </w:pPr>
  </w:style>
  <w:style w:type="paragraph" w:styleId="182">
    <w:name w:val="toc 3"/>
    <w:basedOn w:val="824"/>
    <w:next w:val="824"/>
    <w:uiPriority w:val="39"/>
    <w:unhideWhenUsed/>
    <w:pPr>
      <w:ind w:left="567" w:right="0" w:firstLine="0"/>
      <w:spacing w:after="57"/>
    </w:pPr>
  </w:style>
  <w:style w:type="paragraph" w:styleId="183">
    <w:name w:val="toc 4"/>
    <w:basedOn w:val="824"/>
    <w:next w:val="824"/>
    <w:uiPriority w:val="39"/>
    <w:unhideWhenUsed/>
    <w:pPr>
      <w:ind w:left="850" w:right="0" w:firstLine="0"/>
      <w:spacing w:after="57"/>
    </w:pPr>
  </w:style>
  <w:style w:type="paragraph" w:styleId="184">
    <w:name w:val="toc 5"/>
    <w:basedOn w:val="824"/>
    <w:next w:val="824"/>
    <w:uiPriority w:val="39"/>
    <w:unhideWhenUsed/>
    <w:pPr>
      <w:ind w:left="1134" w:right="0" w:firstLine="0"/>
      <w:spacing w:after="57"/>
    </w:pPr>
  </w:style>
  <w:style w:type="paragraph" w:styleId="185">
    <w:name w:val="toc 6"/>
    <w:basedOn w:val="824"/>
    <w:next w:val="824"/>
    <w:uiPriority w:val="39"/>
    <w:unhideWhenUsed/>
    <w:pPr>
      <w:ind w:left="1417" w:right="0" w:firstLine="0"/>
      <w:spacing w:after="57"/>
    </w:pPr>
  </w:style>
  <w:style w:type="paragraph" w:styleId="186">
    <w:name w:val="toc 7"/>
    <w:basedOn w:val="824"/>
    <w:next w:val="824"/>
    <w:uiPriority w:val="39"/>
    <w:unhideWhenUsed/>
    <w:pPr>
      <w:ind w:left="1701" w:right="0" w:firstLine="0"/>
      <w:spacing w:after="57"/>
    </w:pPr>
  </w:style>
  <w:style w:type="paragraph" w:styleId="187">
    <w:name w:val="toc 8"/>
    <w:basedOn w:val="824"/>
    <w:next w:val="824"/>
    <w:uiPriority w:val="39"/>
    <w:unhideWhenUsed/>
    <w:pPr>
      <w:ind w:left="1984" w:right="0" w:firstLine="0"/>
      <w:spacing w:after="57"/>
    </w:pPr>
  </w:style>
  <w:style w:type="paragraph" w:styleId="188">
    <w:name w:val="toc 9"/>
    <w:basedOn w:val="824"/>
    <w:next w:val="8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25">
    <w:name w:val="Heading 2"/>
    <w:basedOn w:val="824"/>
    <w:next w:val="8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6">
    <w:name w:val="Heading 3"/>
    <w:basedOn w:val="824"/>
    <w:next w:val="824"/>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27" w:default="1">
    <w:name w:val="Default Paragraph Font"/>
    <w:uiPriority w:val="0"/>
    <w:semiHidden/>
    <w:qFormat/>
  </w:style>
  <w:style w:type="table" w:styleId="828" w:default="1">
    <w:name w:val="Normal Table"/>
    <w:uiPriority w:val="0"/>
    <w:semiHidden/>
    <w:qFormat/>
    <w:tblPr>
      <w:tblCellMar>
        <w:left w:w="108" w:type="dxa"/>
        <w:top w:w="0" w:type="dxa"/>
        <w:right w:w="108" w:type="dxa"/>
        <w:bottom w:w="0" w:type="dxa"/>
      </w:tblCellMar>
    </w:tblPr>
  </w:style>
  <w:style w:type="paragraph" w:styleId="829">
    <w:name w:val="table of authorities"/>
    <w:basedOn w:val="824"/>
    <w:next w:val="824"/>
    <w:uiPriority w:val="99"/>
    <w:qFormat/>
    <w:pPr>
      <w:ind w:left="420"/>
    </w:pPr>
  </w:style>
  <w:style w:type="paragraph" w:styleId="830">
    <w:name w:val="Body Text"/>
    <w:basedOn w:val="824"/>
    <w:next w:val="824"/>
    <w:uiPriority w:val="0"/>
    <w:unhideWhenUsed/>
    <w:qFormat/>
    <w:pPr>
      <w:spacing w:after="120"/>
    </w:pPr>
    <w:rPr>
      <w:rFonts w:ascii="Calibri" w:hAnsi="Calibri"/>
      <w:szCs w:val="22"/>
    </w:rPr>
  </w:style>
  <w:style w:type="paragraph" w:styleId="831">
    <w:name w:val="Body Text Indent"/>
    <w:basedOn w:val="824"/>
    <w:uiPriority w:val="0"/>
    <w:qFormat/>
    <w:pPr>
      <w:ind w:left="420"/>
      <w:spacing w:after="120"/>
    </w:pPr>
  </w:style>
  <w:style w:type="paragraph" w:styleId="832">
    <w:name w:val="Plain Text"/>
    <w:basedOn w:val="824"/>
    <w:uiPriority w:val="0"/>
    <w:qFormat/>
    <w:rPr>
      <w:rFonts w:ascii="宋体" w:hAnsi="Courier New" w:cs="Courier New"/>
      <w:szCs w:val="21"/>
    </w:rPr>
  </w:style>
  <w:style w:type="paragraph" w:styleId="833">
    <w:name w:val="Footer"/>
    <w:basedOn w:val="824"/>
    <w:uiPriority w:val="99"/>
    <w:qFormat/>
    <w:pPr>
      <w:jc w:val="left"/>
      <w:tabs>
        <w:tab w:val="center" w:pos="4153" w:leader="none"/>
        <w:tab w:val="right" w:pos="8306" w:leader="none"/>
      </w:tabs>
    </w:pPr>
    <w:rPr>
      <w:rFonts w:ascii="Times New Roman" w:hAnsi="Times New Roman"/>
      <w:sz w:val="18"/>
      <w:szCs w:val="18"/>
    </w:rPr>
  </w:style>
  <w:style w:type="paragraph" w:styleId="834">
    <w:name w:val="Header"/>
    <w:basedOn w:val="824"/>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35">
    <w:name w:val="Normal (Web)"/>
    <w:basedOn w:val="824"/>
    <w:uiPriority w:val="99"/>
    <w:qFormat/>
    <w:pPr>
      <w:jc w:val="left"/>
      <w:spacing w:before="100" w:beforeAutospacing="1" w:after="100" w:afterAutospacing="1"/>
      <w:widowControl/>
    </w:pPr>
    <w:rPr>
      <w:rFonts w:ascii="宋体" w:hAnsi="宋体" w:cs="宋体"/>
      <w:sz w:val="24"/>
      <w:szCs w:val="24"/>
    </w:rPr>
  </w:style>
  <w:style w:type="paragraph" w:styleId="836">
    <w:name w:val="Body Text First Indent"/>
    <w:basedOn w:val="824"/>
    <w:uiPriority w:val="0"/>
    <w:qFormat/>
    <w:pPr>
      <w:ind w:firstLine="200"/>
      <w:spacing w:line="360" w:lineRule="auto"/>
    </w:pPr>
    <w:rPr>
      <w:rFonts w:ascii="仿宋_GB2312" w:hAnsi="Times New Roman" w:eastAsia="仿宋_GB2312"/>
      <w:sz w:val="30"/>
      <w:szCs w:val="30"/>
    </w:rPr>
  </w:style>
  <w:style w:type="table" w:styleId="837">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basedOn w:val="827"/>
    <w:uiPriority w:val="0"/>
    <w:qFormat/>
    <w:rPr>
      <w:b/>
    </w:rPr>
  </w:style>
  <w:style w:type="character" w:styleId="839">
    <w:name w:val="page number"/>
    <w:uiPriority w:val="0"/>
    <w:qFormat/>
  </w:style>
  <w:style w:type="character" w:styleId="840">
    <w:name w:val="Emphasis"/>
    <w:basedOn w:val="827"/>
    <w:uiPriority w:val="20"/>
    <w:qFormat/>
    <w:rPr>
      <w:i/>
      <w:iCs/>
    </w:rPr>
  </w:style>
  <w:style w:type="character" w:styleId="841">
    <w:name w:val="Hyperlink"/>
    <w:basedOn w:val="827"/>
    <w:uiPriority w:val="0"/>
    <w:qFormat/>
    <w:rPr>
      <w:color w:val="0000ff"/>
      <w:u w:val="single"/>
    </w:rPr>
  </w:style>
  <w:style w:type="character" w:styleId="842" w:customStyle="1">
    <w:name w:val="超链接11"/>
    <w:uiPriority w:val="0"/>
    <w:qFormat/>
    <w:rPr>
      <w:rFonts w:ascii="Calibri" w:hAnsi="Calibri" w:eastAsia="宋体" w:cs="Times New Roman"/>
      <w:sz w:val="21"/>
      <w:szCs w:val="22"/>
      <w:lang w:val="en-US" w:eastAsia="zh-CN" w:bidi="ar-SA"/>
    </w:rPr>
  </w:style>
  <w:style w:type="paragraph" w:styleId="843" w:customStyle="1">
    <w:name w:val="正文2"/>
    <w:basedOn w:val="824"/>
    <w:uiPriority w:val="0"/>
    <w:qFormat/>
    <w:pPr>
      <w:ind w:firstLine="420"/>
      <w:spacing w:line="360" w:lineRule="auto"/>
    </w:pPr>
    <w:rPr>
      <w:rFonts w:ascii="等线" w:hAnsi="等线" w:eastAsia="等线"/>
      <w:sz w:val="20"/>
      <w:szCs w:val="24"/>
    </w:rPr>
  </w:style>
  <w:style w:type="paragraph" w:styleId="844" w:customStyle="1">
    <w:name w:val="纯文本1"/>
    <w:basedOn w:val="824"/>
    <w:uiPriority w:val="0"/>
    <w:qFormat/>
    <w:rPr>
      <w:rFonts w:ascii="宋体" w:hAnsi="Courier New" w:cs="Courier New"/>
      <w:szCs w:val="21"/>
    </w:rPr>
  </w:style>
  <w:style w:type="paragraph" w:styleId="845" w:customStyle="1">
    <w:name w:val="black1"/>
    <w:basedOn w:val="824"/>
    <w:uiPriority w:val="99"/>
    <w:qFormat/>
    <w:pPr>
      <w:jc w:val="left"/>
      <w:spacing w:before="100" w:beforeAutospacing="1" w:after="100" w:afterAutospacing="1"/>
      <w:widowControl/>
    </w:pPr>
    <w:rPr>
      <w:rFonts w:ascii="宋体" w:hAnsi="宋体"/>
      <w:sz w:val="24"/>
    </w:rPr>
  </w:style>
  <w:style w:type="paragraph" w:styleId="846" w:customStyle="1">
    <w:name w:val="普通正文"/>
    <w:basedOn w:val="824"/>
    <w:uiPriority w:val="0"/>
    <w:qFormat/>
    <w:pPr>
      <w:ind w:firstLine="480"/>
      <w:jc w:val="left"/>
      <w:spacing w:before="120" w:after="120" w:line="360" w:lineRule="auto"/>
    </w:pPr>
    <w:rPr>
      <w:rFonts w:ascii="Arial" w:hAnsi="Arial"/>
      <w:sz w:val="24"/>
      <w:szCs w:val="24"/>
    </w:rPr>
  </w:style>
  <w:style w:type="paragraph" w:styleId="847" w:customStyle="1">
    <w:name w:val="Default"/>
    <w:next w:val="824"/>
    <w:uiPriority w:val="0"/>
    <w:qFormat/>
    <w:pPr>
      <w:widowControl w:val="off"/>
    </w:pPr>
    <w:rPr>
      <w:rFonts w:hint="default" w:ascii="宋体" w:hAnsi="Times New Roman" w:eastAsia="宋体" w:cs="宋体"/>
      <w:color w:val="000000"/>
      <w:sz w:val="24"/>
      <w:szCs w:val="24"/>
      <w:lang w:eastAsia="zh-CN"/>
    </w:rPr>
  </w:style>
  <w:style w:type="paragraph" w:styleId="848" w:customStyle="1">
    <w:name w:val="List Paragraph_8c11beef-32ed-4537-a145-3c2627c5385f"/>
    <w:basedOn w:val="824"/>
    <w:uiPriority w:val="99"/>
    <w:qFormat/>
    <w:pPr>
      <w:ind w:firstLine="420"/>
    </w:pPr>
    <w:rPr>
      <w:rFonts w:ascii="Calibri" w:hAnsi="Calibri"/>
      <w:szCs w:val="22"/>
    </w:rPr>
  </w:style>
  <w:style w:type="paragraph" w:styleId="84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0" w:customStyle="1">
    <w:name w:val="列出段落1"/>
    <w:basedOn w:val="824"/>
    <w:uiPriority w:val="0"/>
    <w:qFormat/>
    <w:pPr>
      <w:ind w:firstLine="420"/>
    </w:pPr>
    <w:rPr>
      <w:szCs w:val="21"/>
    </w:rPr>
  </w:style>
  <w:style w:type="numbering" w:styleId="1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刘建宇</cp:lastModifiedBy>
  <cp:revision>1</cp:revision>
  <dcterms:created xsi:type="dcterms:W3CDTF">2022-09-16T06:29:00Z</dcterms:created>
  <dcterms:modified xsi:type="dcterms:W3CDTF">2026-09-24T09:06:22Z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DDD573C4C6534BAF8AEBB22CC6651E34</vt:lpwstr>
  </property>
  <property fmtid="{D5CDD505-2E9C-101B-9397-08002B2CF9AE}" pid="4" name="KSOTemplateDocerSaveRecord">
    <vt:lpwstr>eyJoZGlkIjoiYjcyMWVkMjgxZmExY2IzOTE3ZThhZGU0YmM0ZDEwNzMiLCJ1c2VySWQiOiI0NDc5ODExMDEifQ==</vt:lpwstr>
  </property>
</Properties>
</file>