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b/>
          <w:sz w:val="72"/>
        </w:rPr>
      </w:pPr>
      <w:r>
        <w:rPr>
          <w:rFonts w:hint="eastAsia" w:ascii="宋体" w:hAnsi="宋体" w:eastAsia="宋体"/>
          <w:b/>
          <w:sz w:val="72"/>
        </w:rPr>
        <w:t xml:space="preserve">苏州市政府采购</w:t>
      </w:r>
      <w:r/>
    </w:p>
    <w:p>
      <w:pPr>
        <w:rPr>
          <w:rFonts w:hint="eastAsia" w:ascii="宋体" w:hAnsi="宋体" w:eastAsia="宋体"/>
        </w:rPr>
      </w:pPr>
      <w:r>
        <w:rPr>
          <w:rFonts w:hint="eastAsia" w:ascii="宋体" w:hAnsi="宋体" w:eastAsia="宋体"/>
        </w:rPr>
      </w:r>
      <w:r/>
    </w:p>
    <w:p>
      <w:pPr>
        <w:jc w:val="center"/>
        <w:rPr>
          <w:rFonts w:hint="eastAsia" w:ascii="宋体" w:hAnsi="宋体" w:eastAsia="宋体"/>
          <w:b/>
          <w:sz w:val="72"/>
        </w:rPr>
      </w:pPr>
      <w:r>
        <w:rPr>
          <w:rFonts w:hint="eastAsia" w:ascii="宋体" w:hAnsi="宋体" w:eastAsia="宋体"/>
          <w:b/>
          <w:sz w:val="72"/>
        </w:rPr>
        <w:t xml:space="preserve">招标文件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采购编号：</w:t>
      </w:r>
      <w:r>
        <w:rPr>
          <w:rFonts w:hint="eastAsia" w:ascii="宋体" w:hAnsi="宋体" w:eastAsia="宋体"/>
          <w:b/>
          <w:bCs/>
          <w:sz w:val="32"/>
          <w:lang w:eastAsia="zh-CN"/>
        </w:rPr>
        <w:t xml:space="preserve">JSZC-320506104-SZHX-G2026-0032</w:t>
      </w:r>
      <w:r/>
    </w:p>
    <w:p>
      <w:pPr>
        <w:ind w:firstLine="1285"/>
        <w:spacing w:line="360" w:lineRule="auto"/>
        <w:rPr>
          <w:rFonts w:hint="eastAsia" w:ascii="宋体" w:hAnsi="宋体" w:eastAsia="宋体"/>
          <w:b/>
          <w:bCs/>
          <w:sz w:val="32"/>
          <w:lang w:eastAsia="zh-CN"/>
        </w:rPr>
      </w:pPr>
      <w:r>
        <w:rPr>
          <w:rFonts w:hint="eastAsia" w:ascii="宋体" w:hAnsi="宋体" w:eastAsia="宋体"/>
          <w:b/>
          <w:bCs/>
          <w:sz w:val="32"/>
        </w:rPr>
        <w:t xml:space="preserve">采购单位：</w:t>
      </w:r>
      <w:r>
        <w:rPr>
          <w:rFonts w:hint="eastAsia" w:ascii="宋体" w:hAnsi="宋体" w:eastAsia="宋体"/>
          <w:b/>
          <w:bCs/>
          <w:sz w:val="32"/>
          <w:lang w:eastAsia="zh-CN"/>
        </w:rPr>
        <w:t xml:space="preserve">苏州市吴中区光福镇综合服务中心</w:t>
      </w:r>
      <w:r/>
    </w:p>
    <w:p>
      <w:pPr>
        <w:ind w:firstLine="1285"/>
        <w:spacing w:line="360" w:lineRule="auto"/>
        <w:rPr>
          <w:rFonts w:hint="default" w:ascii="宋体" w:hAnsi="宋体" w:eastAsia="宋体"/>
          <w:b/>
          <w:bCs/>
          <w:sz w:val="32"/>
          <w:lang w:val="en-US" w:eastAsia="zh-CN"/>
        </w:rPr>
      </w:pPr>
      <w:r>
        <w:rPr>
          <w:rFonts w:hint="eastAsia" w:ascii="宋体" w:hAnsi="宋体" w:eastAsia="宋体"/>
          <w:b/>
          <w:bCs/>
          <w:sz w:val="32"/>
        </w:rPr>
        <w:t xml:space="preserve">采购内容：</w:t>
      </w:r>
      <w:r>
        <w:rPr>
          <w:rFonts w:hint="eastAsia" w:ascii="宋体" w:hAnsi="宋体" w:eastAsia="宋体"/>
          <w:b/>
          <w:bCs/>
          <w:sz w:val="32"/>
          <w:lang w:eastAsia="zh-CN"/>
        </w:rPr>
        <w:t xml:space="preserve">度假区产业园消救援装备采购项目</w:t>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采购类别：</w:t>
      </w:r>
      <w:r>
        <w:rPr>
          <w:rFonts w:hint="eastAsia" w:ascii="宋体" w:hAnsi="宋体" w:eastAsia="宋体"/>
          <w:b/>
          <w:bCs/>
          <w:sz w:val="32"/>
          <w:lang w:val="en-US" w:eastAsia="zh-CN"/>
        </w:rPr>
        <w:t xml:space="preserve">货物</w:t>
      </w:r>
      <w:r>
        <w:rPr>
          <w:rFonts w:hint="eastAsia" w:ascii="宋体" w:hAnsi="宋体" w:eastAsia="宋体"/>
          <w:b/>
          <w:bCs/>
          <w:sz w:val="32"/>
        </w:rPr>
        <w:t xml:space="preserve">类</w:t>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 w:val="32"/>
        </w:rPr>
      </w:pPr>
      <w:r>
        <w:rPr>
          <w:rFonts w:hint="eastAsia" w:ascii="宋体" w:hAnsi="宋体" w:eastAsia="宋体"/>
          <w:b/>
          <w:sz w:val="32"/>
        </w:rPr>
        <w:t xml:space="preserve">苏州鸿鑫工程咨询有限公司</w:t>
      </w:r>
      <w:r/>
    </w:p>
    <w:p>
      <w:pPr>
        <w:jc w:val="center"/>
        <w:rPr>
          <w:rFonts w:hint="eastAsia"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lang w:val="en-US" w:eastAsia="zh-CN"/>
        </w:rPr>
        <w:t xml:space="preserve">九</w:t>
      </w:r>
      <w:r>
        <w:rPr>
          <w:rFonts w:hint="eastAsia" w:ascii="宋体" w:hAnsi="宋体" w:eastAsia="宋体"/>
          <w:b/>
          <w:sz w:val="32"/>
        </w:rPr>
        <w:t xml:space="preserve">月</w:t>
      </w:r>
      <w:r/>
    </w:p>
    <w:p>
      <w:pPr>
        <w:jc w:val="center"/>
        <w:rPr>
          <w:rFonts w:hint="eastAsia" w:ascii="宋体" w:hAnsi="宋体" w:eastAsia="宋体"/>
          <w:b/>
          <w:sz w:val="28"/>
          <w:szCs w:val="28"/>
        </w:rPr>
        <w:sectPr>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b/>
          <w:sz w:val="28"/>
          <w:szCs w:val="28"/>
        </w:rPr>
      </w:r>
      <w:r/>
    </w:p>
    <w:p>
      <w:pPr>
        <w:jc w:val="center"/>
        <w:rPr>
          <w:rFonts w:hint="eastAsia" w:ascii="宋体" w:hAnsi="宋体" w:eastAsia="宋体"/>
          <w:b/>
          <w:sz w:val="28"/>
          <w:szCs w:val="28"/>
        </w:rPr>
      </w:pPr>
      <w:r>
        <w:rPr>
          <w:rFonts w:hint="eastAsia" w:ascii="宋体" w:hAnsi="宋体" w:eastAsia="宋体"/>
          <w:b/>
          <w:sz w:val="28"/>
          <w:szCs w:val="28"/>
        </w:rPr>
        <w:t xml:space="preserve">前附表</w:t>
      </w:r>
      <w:r/>
    </w:p>
    <w:tbl>
      <w:tblPr>
        <w:tblStyle w:val="987"/>
        <w:tblW w:w="95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8796"/>
      </w:tblGrid>
      <w:tr>
        <w:trPr>
          <w:jc w:val="center"/>
          <w:trHeight w:val="617"/>
        </w:trPr>
        <w:tc>
          <w:tcPr>
            <w:tcW w:w="71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879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Height w:val="72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8796" w:type="dxa"/>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采购内容：</w:t>
            </w:r>
            <w:r>
              <w:rPr>
                <w:rFonts w:hint="eastAsia" w:ascii="宋体" w:hAnsi="宋体" w:eastAsia="宋体" w:cs="宋体"/>
                <w:sz w:val="24"/>
                <w:szCs w:val="24"/>
                <w:lang w:eastAsia="zh-CN"/>
              </w:rPr>
              <w:t xml:space="preserve">度假区产业园消救援装备采购项目</w:t>
            </w:r>
            <w:r/>
          </w:p>
        </w:tc>
      </w:tr>
      <w:tr>
        <w:trPr>
          <w:jc w:val="center"/>
          <w:trHeight w:val="57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投标有效期自投标截止日起九十天（日历日）</w:t>
            </w:r>
            <w:r/>
          </w:p>
        </w:tc>
      </w:tr>
      <w:tr>
        <w:trPr>
          <w:jc w:val="center"/>
          <w:trHeight w:val="677"/>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投标保证金：本项目不收取投标保证金</w:t>
            </w:r>
            <w:r/>
          </w:p>
        </w:tc>
      </w:tr>
      <w:tr>
        <w:trPr>
          <w:jc w:val="center"/>
          <w:trHeight w:val="1009"/>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投标文件份数：本项目采用电子投标文件，投标人按照招标文件要求制作上传电子投标文件，投标人无需提供纸质投标文件。</w:t>
            </w:r>
            <w:r/>
          </w:p>
        </w:tc>
      </w:tr>
      <w:tr>
        <w:trPr>
          <w:jc w:val="center"/>
          <w:trHeight w:val="2931"/>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879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rPr>
              <w:t xml:space="preserve">投标文件网上提交截止时间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日13点30分（北京时间）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投标文件必须在截止时间前完成提交（上传），逾期提交（上传）的投标文件恕不接受。</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开标时间：2026年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日13点30分（北京时间）</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开标地点：</w:t>
            </w:r>
            <w:r>
              <w:rPr>
                <w:rFonts w:hint="eastAsia" w:ascii="宋体" w:hAnsi="宋体" w:eastAsia="宋体" w:cs="宋体"/>
                <w:sz w:val="24"/>
                <w:szCs w:val="24"/>
                <w:highlight w:val="none"/>
              </w:rPr>
              <w:t xml:space="preserve">“苏采云”系统（网址：http://jszfcg.jsczt.cn/）</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rPr>
                <w:rFonts w:hint="eastAsia" w:ascii="宋体" w:hAnsi="宋体" w:eastAsia="宋体" w:cs="宋体"/>
                <w:sz w:val="24"/>
                <w:szCs w:val="24"/>
              </w:rPr>
            </w:pPr>
            <w:r>
              <w:rPr>
                <w:rFonts w:hint="eastAsia" w:ascii="宋体" w:hAnsi="宋体" w:eastAsia="宋体" w:cs="宋体"/>
                <w:sz w:val="24"/>
                <w:szCs w:val="24"/>
                <w:highlight w:val="none"/>
              </w:rPr>
              <w:t xml:space="preserve">评标时间：</w:t>
            </w:r>
            <w:r>
              <w:rPr>
                <w:rFonts w:hint="eastAsia" w:ascii="宋体" w:hAnsi="宋体" w:eastAsia="宋体" w:cs="宋体"/>
                <w:sz w:val="24"/>
                <w:szCs w:val="24"/>
                <w:highlight w:val="none"/>
              </w:rPr>
              <w:t xml:space="preserve">2026年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日13点30</w:t>
            </w:r>
            <w:r>
              <w:rPr>
                <w:rFonts w:hint="eastAsia" w:ascii="宋体" w:hAnsi="宋体" w:eastAsia="宋体" w:cs="宋体"/>
                <w:sz w:val="24"/>
                <w:szCs w:val="24"/>
              </w:rPr>
              <w:t xml:space="preserve">分（北京时间）</w:t>
            </w:r>
            <w:r/>
          </w:p>
          <w:p>
            <w:pPr>
              <w:rPr>
                <w:rFonts w:hint="eastAsia" w:ascii="宋体" w:hAnsi="宋体" w:eastAsia="宋体" w:cs="宋体"/>
                <w:b/>
                <w:bCs/>
                <w:sz w:val="24"/>
                <w:szCs w:val="24"/>
              </w:rPr>
            </w:pPr>
            <w:r>
              <w:rPr>
                <w:rFonts w:hint="eastAsia" w:ascii="宋体" w:hAnsi="宋体" w:eastAsia="宋体" w:cs="宋体"/>
                <w:sz w:val="24"/>
                <w:szCs w:val="24"/>
              </w:rPr>
              <w:t xml:space="preserve">评标地点：苏州高新区邓尉路105号狮山科技馆8楼</w:t>
            </w:r>
            <w:r/>
          </w:p>
        </w:tc>
      </w:tr>
      <w:tr>
        <w:trPr>
          <w:jc w:val="center"/>
          <w:trHeight w:val="503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8796" w:type="dxa"/>
            <w:vAlign w:val="center"/>
            <w:textDirection w:val="lrTb"/>
            <w:noWrap w:val="false"/>
          </w:tcPr>
          <w:p>
            <w:pPr>
              <w:tabs>
                <w:tab w:val="left" w:pos="3600" w:leader="none"/>
              </w:tabs>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本项目申报采购预算时已包含代理服务费，故代理服务费由成交单位支付，代理服务费在成交单位领取成交通知书时，向代理机构一次性付清。</w:t>
            </w:r>
            <w:r/>
          </w:p>
          <w:p>
            <w:pPr>
              <w:rPr>
                <w:rFonts w:hint="eastAsia" w:ascii="宋体" w:hAnsi="宋体" w:eastAsia="宋体" w:cs="宋体"/>
                <w:sz w:val="24"/>
                <w:szCs w:val="24"/>
              </w:rPr>
            </w:pPr>
            <w:r>
              <w:rPr>
                <w:rFonts w:hint="eastAsia" w:ascii="宋体" w:hAnsi="宋体" w:eastAsia="宋体" w:cs="宋体"/>
                <w:sz w:val="24"/>
                <w:szCs w:val="24"/>
              </w:rPr>
              <w:t xml:space="preserve">收费标准：</w:t>
            </w:r>
            <w:r/>
          </w:p>
          <w:p>
            <w:pPr>
              <w:rPr>
                <w:rFonts w:hint="eastAsia" w:ascii="宋体" w:hAnsi="宋体" w:eastAsia="宋体" w:cs="宋体"/>
                <w:sz w:val="24"/>
                <w:szCs w:val="24"/>
              </w:rPr>
            </w:pPr>
            <w:r>
              <w:rPr>
                <w:rFonts w:hint="eastAsia" w:ascii="宋体" w:hAnsi="宋体" w:eastAsia="宋体" w:cs="宋体"/>
                <w:sz w:val="24"/>
                <w:szCs w:val="24"/>
              </w:rPr>
              <w:t xml:space="preserve">预算金额100万元以下部分，费率为该部分预算金额的1.5%；</w:t>
            </w:r>
            <w:r/>
          </w:p>
          <w:p>
            <w:pPr>
              <w:rPr>
                <w:rFonts w:hint="eastAsia" w:ascii="宋体" w:hAnsi="宋体" w:eastAsia="宋体" w:cs="宋体"/>
                <w:sz w:val="24"/>
                <w:szCs w:val="24"/>
              </w:rPr>
            </w:pPr>
            <w:r>
              <w:rPr>
                <w:rFonts w:hint="eastAsia" w:ascii="宋体" w:hAnsi="宋体" w:eastAsia="宋体" w:cs="宋体"/>
                <w:sz w:val="24"/>
                <w:szCs w:val="24"/>
              </w:rPr>
              <w:t xml:space="preserve">预算金额100万元（含）－500万元部分，费率为该部分预算金额的1.1%；</w:t>
            </w:r>
            <w:r/>
          </w:p>
          <w:p>
            <w:pPr>
              <w:rPr>
                <w:rFonts w:hint="eastAsia" w:ascii="宋体" w:hAnsi="宋体" w:eastAsia="宋体" w:cs="宋体"/>
                <w:sz w:val="24"/>
                <w:szCs w:val="24"/>
              </w:rPr>
            </w:pPr>
            <w:r>
              <w:rPr>
                <w:rFonts w:hint="eastAsia" w:ascii="宋体" w:hAnsi="宋体" w:eastAsia="宋体" w:cs="宋体"/>
                <w:sz w:val="24"/>
                <w:szCs w:val="24"/>
              </w:rPr>
              <w:t xml:space="preserve">预算金额500万元（含）-1000万元部分，费率为该部分预算金额的0.8%；</w:t>
            </w:r>
            <w:r/>
          </w:p>
          <w:p>
            <w:pPr>
              <w:rPr>
                <w:rFonts w:hint="eastAsia" w:ascii="宋体" w:hAnsi="宋体" w:eastAsia="宋体" w:cs="宋体"/>
                <w:sz w:val="24"/>
                <w:szCs w:val="24"/>
              </w:rPr>
            </w:pPr>
            <w:r>
              <w:rPr>
                <w:rFonts w:hint="eastAsia" w:ascii="宋体" w:hAnsi="宋体" w:eastAsia="宋体" w:cs="宋体"/>
                <w:sz w:val="24"/>
                <w:szCs w:val="24"/>
              </w:rPr>
              <w:t xml:space="preserve">预算金额1000万元（含）-5000万元部分，费率为该部分预算金额的0.5%；</w:t>
            </w:r>
            <w:r/>
          </w:p>
          <w:p>
            <w:pPr>
              <w:widowControl/>
              <w:rPr>
                <w:rFonts w:hint="eastAsia" w:ascii="宋体" w:hAnsi="宋体" w:eastAsia="宋体" w:cs="宋体"/>
                <w:sz w:val="24"/>
                <w:szCs w:val="24"/>
              </w:rPr>
            </w:pPr>
            <w:r>
              <w:rPr>
                <w:rFonts w:hint="eastAsia" w:ascii="宋体" w:hAnsi="宋体" w:eastAsia="宋体" w:cs="宋体"/>
                <w:sz w:val="24"/>
                <w:szCs w:val="24"/>
              </w:rPr>
              <w:t xml:space="preserve">说明：代理服务费以采购预算金额为基数依据，按以上规定的标准和差额定率累进法进行计算后收取。例：如预算金额为150万元，则代理服务费＝100万元以下部分×1.5%＋（150万元－100万元以下部分）×1.1%。</w:t>
            </w:r>
            <w:r/>
          </w:p>
          <w:p>
            <w:pPr>
              <w:tabs>
                <w:tab w:val="left" w:pos="3600" w:leader="none"/>
              </w:tabs>
              <w:rPr>
                <w:rFonts w:hint="eastAsia" w:ascii="宋体" w:hAnsi="宋体" w:eastAsia="宋体" w:cs="宋体"/>
                <w:sz w:val="24"/>
                <w:szCs w:val="24"/>
              </w:rPr>
            </w:pPr>
            <w:r>
              <w:rPr>
                <w:rFonts w:hint="eastAsia" w:ascii="宋体" w:hAnsi="宋体" w:eastAsia="宋体" w:cs="宋体"/>
                <w:sz w:val="24"/>
                <w:szCs w:val="24"/>
              </w:rPr>
              <w:t xml:space="preserve">如按上述方法计算的金额低于人民币4000元整的，则本项目代理服务费按人民币4000元整计收。</w:t>
            </w:r>
            <w:r/>
          </w:p>
          <w:p>
            <w:pPr>
              <w:tabs>
                <w:tab w:val="left" w:pos="3600" w:leader="none"/>
              </w:tabs>
              <w:rPr>
                <w:rFonts w:hint="eastAsia" w:ascii="宋体" w:hAnsi="宋体" w:eastAsia="宋体" w:cs="宋体"/>
                <w:sz w:val="24"/>
                <w:szCs w:val="24"/>
              </w:rPr>
            </w:pPr>
            <w:r>
              <w:rPr>
                <w:rFonts w:hint="eastAsia" w:ascii="宋体" w:hAnsi="宋体" w:eastAsia="宋体"/>
                <w:sz w:val="24"/>
                <w:szCs w:val="24"/>
                <w:highlight w:val="none"/>
              </w:rPr>
              <w:t xml:space="preserve">本项目代理服务费为人民币</w:t>
            </w:r>
            <w:r>
              <w:rPr>
                <w:rFonts w:hint="eastAsia" w:ascii="宋体" w:hAnsi="宋体" w:eastAsia="宋体"/>
                <w:sz w:val="24"/>
                <w:szCs w:val="24"/>
                <w:highlight w:val="none"/>
                <w:lang w:val="en-US" w:eastAsia="zh-CN"/>
              </w:rPr>
              <w:t xml:space="preserve">66219</w:t>
            </w:r>
            <w:r>
              <w:rPr>
                <w:rFonts w:hint="eastAsia" w:ascii="宋体" w:hAnsi="宋体" w:eastAsia="宋体"/>
                <w:sz w:val="24"/>
                <w:szCs w:val="24"/>
                <w:highlight w:val="none"/>
              </w:rPr>
              <w:t xml:space="preserve">.00元</w:t>
            </w:r>
            <w:r>
              <w:rPr>
                <w:rFonts w:hint="eastAsia" w:ascii="宋体" w:hAnsi="宋体" w:eastAsia="宋体"/>
                <w:sz w:val="24"/>
                <w:szCs w:val="24"/>
                <w:highlight w:val="none"/>
              </w:rPr>
              <w:t xml:space="preserve">，此费用应</w:t>
            </w:r>
            <w:r>
              <w:rPr>
                <w:rFonts w:hint="eastAsia" w:ascii="宋体" w:hAnsi="宋体" w:eastAsia="宋体"/>
                <w:sz w:val="24"/>
                <w:szCs w:val="24"/>
              </w:rPr>
              <w:t xml:space="preserve">包含在投标报价中。</w:t>
            </w:r>
            <w:r/>
          </w:p>
          <w:p>
            <w:pPr>
              <w:rPr>
                <w:rFonts w:ascii="宋体" w:hAnsi="宋体" w:eastAsia="宋体"/>
                <w:sz w:val="24"/>
                <w:szCs w:val="24"/>
              </w:rPr>
            </w:pPr>
            <w:r>
              <w:rPr>
                <w:rFonts w:hint="eastAsia" w:ascii="宋体" w:hAnsi="宋体" w:eastAsia="宋体"/>
                <w:sz w:val="24"/>
                <w:szCs w:val="24"/>
              </w:rPr>
              <w:t xml:space="preserve">收款单位：苏州鸿鑫工程咨询有限公司</w:t>
            </w:r>
            <w:r/>
          </w:p>
          <w:p>
            <w:pPr>
              <w:rPr>
                <w:rFonts w:ascii="宋体" w:hAnsi="宋体" w:eastAsia="宋体"/>
                <w:sz w:val="24"/>
                <w:szCs w:val="24"/>
              </w:rPr>
            </w:pPr>
            <w:r>
              <w:rPr>
                <w:rFonts w:hint="eastAsia" w:ascii="宋体" w:hAnsi="宋体" w:eastAsia="宋体"/>
                <w:sz w:val="24"/>
                <w:szCs w:val="24"/>
              </w:rPr>
              <w:t xml:space="preserve">开户银行：苏州银行相城支行</w:t>
            </w:r>
            <w:r/>
          </w:p>
          <w:p>
            <w:pPr>
              <w:rPr>
                <w:rFonts w:ascii="宋体" w:hAnsi="宋体" w:eastAsia="宋体"/>
                <w:sz w:val="24"/>
                <w:szCs w:val="24"/>
              </w:rPr>
            </w:pPr>
            <w:r>
              <w:rPr>
                <w:rFonts w:hint="eastAsia" w:ascii="宋体" w:hAnsi="宋体" w:eastAsia="宋体"/>
                <w:sz w:val="24"/>
                <w:szCs w:val="24"/>
              </w:rPr>
              <w:t xml:space="preserve">银行账号：7066601071120143007269</w:t>
            </w:r>
            <w:r/>
          </w:p>
          <w:p>
            <w:pPr>
              <w:rPr>
                <w:rFonts w:hint="eastAsia" w:ascii="宋体" w:hAnsi="宋体" w:eastAsia="宋体" w:cs="宋体"/>
                <w:sz w:val="24"/>
                <w:szCs w:val="24"/>
              </w:rPr>
            </w:pPr>
            <w:r>
              <w:rPr>
                <w:rFonts w:hint="eastAsia" w:ascii="宋体" w:hAnsi="宋体" w:eastAsia="宋体" w:cs="宋体"/>
                <w:sz w:val="24"/>
                <w:szCs w:val="24"/>
              </w:rPr>
              <w:t xml:space="preserve">供应商缴纳代理服务费时，如需增值税专用发票的，则须提供有关信息资料，具体要求详见第二章投标人须知。</w:t>
            </w:r>
            <w:r/>
          </w:p>
        </w:tc>
      </w:tr>
      <w:tr>
        <w:trPr>
          <w:jc w:val="center"/>
          <w:trHeight w:val="842"/>
        </w:trPr>
        <w:tc>
          <w:tcPr>
            <w:tcW w:w="71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879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政府采购管理监督</w:t>
            </w:r>
            <w:r>
              <w:rPr>
                <w:rFonts w:hint="eastAsia" w:ascii="宋体" w:hAnsi="宋体" w:eastAsia="宋体" w:cs="宋体"/>
                <w:sz w:val="24"/>
                <w:szCs w:val="24"/>
                <w:highlight w:val="none"/>
              </w:rPr>
              <w:t xml:space="preserve">电话：0512-65283947。</w:t>
            </w:r>
            <w:r/>
          </w:p>
        </w:tc>
      </w:tr>
    </w:tbl>
    <w:p>
      <w:pPr>
        <w:jc w:val="center"/>
        <w:spacing w:line="360" w:lineRule="auto"/>
        <w:rPr>
          <w:rFonts w:hint="eastAsia" w:ascii="宋体" w:hAnsi="宋体" w:eastAsia="宋体"/>
          <w:sz w:val="52"/>
          <w:szCs w:val="52"/>
        </w:rPr>
      </w:pPr>
      <w:r>
        <w:rPr>
          <w:rFonts w:hint="eastAsia" w:ascii="宋体" w:hAnsi="宋体" w:eastAsia="宋体"/>
          <w:sz w:val="52"/>
          <w:szCs w:val="52"/>
        </w:rPr>
      </w:r>
      <w:r/>
    </w:p>
    <w:p>
      <w:pPr>
        <w:jc w:val="left"/>
        <w:widowControl/>
        <w:rPr>
          <w:rFonts w:hint="eastAsia" w:ascii="宋体" w:hAnsi="宋体" w:eastAsia="宋体"/>
          <w:sz w:val="52"/>
          <w:szCs w:val="52"/>
        </w:rPr>
      </w:pPr>
      <w:r>
        <w:rPr>
          <w:rFonts w:hint="eastAsia" w:ascii="宋体" w:hAnsi="宋体" w:eastAsia="宋体"/>
          <w:sz w:val="52"/>
          <w:szCs w:val="52"/>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jc w:val="center"/>
        <w:spacing w:line="360" w:lineRule="auto"/>
        <w:rPr>
          <w:rFonts w:hint="eastAsia" w:ascii="宋体" w:hAnsi="宋体" w:eastAsia="宋体"/>
          <w:b/>
          <w:sz w:val="52"/>
          <w:szCs w:val="52"/>
        </w:rPr>
      </w:pPr>
      <w:r>
        <w:rPr>
          <w:rFonts w:hint="eastAsia" w:ascii="宋体" w:hAnsi="宋体" w:eastAsia="宋体"/>
          <w:b/>
          <w:sz w:val="52"/>
          <w:szCs w:val="52"/>
        </w:rPr>
      </w:r>
      <w:r/>
    </w:p>
    <w:p>
      <w:pPr>
        <w:pStyle w:val="1014"/>
        <w:tabs>
          <w:tab w:val="right" w:pos="9072" w:leader="dot"/>
        </w:tabs>
      </w:pPr>
      <w:r>
        <w:rPr>
          <w:rFonts w:ascii="宋体" w:hAnsi="宋体" w:eastAsia="宋体"/>
          <w:b/>
          <w:bCs/>
          <w:szCs w:val="24"/>
        </w:rPr>
        <w:fldChar w:fldCharType="begin"/>
      </w:r>
      <w:r>
        <w:rPr>
          <w:rFonts w:ascii="宋体" w:hAnsi="宋体" w:eastAsia="宋体"/>
          <w:b/>
          <w:bCs/>
          <w:szCs w:val="24"/>
        </w:rPr>
        <w:instrText xml:space="preserve"> TOC \o "1-1" </w:instrText>
      </w:r>
      <w:r>
        <w:rPr>
          <w:rFonts w:ascii="宋体" w:hAnsi="宋体" w:eastAsia="宋体"/>
          <w:b/>
          <w:bCs/>
          <w:szCs w:val="24"/>
        </w:rPr>
        <w:fldChar w:fldCharType="separate"/>
      </w:r>
      <w:r>
        <w:rPr>
          <w:rFonts w:hint="eastAsia" w:ascii="宋体" w:hAnsi="宋体" w:eastAsia="宋体"/>
        </w:rPr>
        <w:t xml:space="preserve">第一章</w:t>
      </w:r>
      <w:r>
        <w:rPr>
          <w:rFonts w:hint="eastAsia" w:ascii="宋体" w:hAnsi="宋体" w:eastAsia="宋体"/>
          <w:lang w:val="en-US" w:eastAsia="zh-CN"/>
        </w:rPr>
        <w:t xml:space="preserve"> 招标公告</w:t>
      </w:r>
      <w:r>
        <w:tab/>
      </w:r>
      <w:r>
        <w:fldChar w:fldCharType="begin"/>
      </w:r>
      <w:r>
        <w:instrText xml:space="preserve"> PAGEREF _Toc26666 \h </w:instrText>
      </w:r>
      <w:r>
        <w:fldChar w:fldCharType="separate"/>
      </w:r>
      <w:r>
        <w:t xml:space="preserve">3</w:t>
      </w:r>
      <w:r>
        <w:fldChar w:fldCharType="end"/>
      </w:r>
      <w:r/>
    </w:p>
    <w:p>
      <w:pPr>
        <w:pStyle w:val="1014"/>
        <w:tabs>
          <w:tab w:val="right" w:pos="9072" w:leader="dot"/>
        </w:tabs>
      </w:pPr>
      <w:r>
        <w:rPr>
          <w:rFonts w:hint="eastAsia" w:ascii="宋体" w:hAnsi="宋体" w:eastAsia="宋体"/>
        </w:rPr>
        <w:t xml:space="preserve">第二章</w:t>
      </w:r>
      <w:r>
        <w:rPr>
          <w:rFonts w:hint="eastAsia" w:ascii="宋体" w:hAnsi="宋体" w:eastAsia="宋体"/>
          <w:lang w:val="en-US" w:eastAsia="zh-CN"/>
        </w:rPr>
        <w:t xml:space="preserve"> </w:t>
      </w:r>
      <w:r>
        <w:rPr>
          <w:rFonts w:hint="eastAsia" w:ascii="宋体" w:hAnsi="宋体" w:eastAsia="宋体"/>
        </w:rPr>
        <w:t xml:space="preserve">投标人须知</w:t>
      </w:r>
      <w:r>
        <w:tab/>
      </w:r>
      <w:r>
        <w:fldChar w:fldCharType="begin"/>
      </w:r>
      <w:r>
        <w:instrText xml:space="preserve"> PAGEREF _Toc26264 \h </w:instrText>
      </w:r>
      <w:r>
        <w:fldChar w:fldCharType="separate"/>
      </w:r>
      <w:r>
        <w:t xml:space="preserve">8</w:t>
      </w:r>
      <w:r>
        <w:fldChar w:fldCharType="end"/>
      </w:r>
      <w:r/>
    </w:p>
    <w:p>
      <w:pPr>
        <w:pStyle w:val="1014"/>
        <w:tabs>
          <w:tab w:val="right" w:pos="9072" w:leader="dot"/>
        </w:tabs>
      </w:pPr>
      <w:r>
        <w:rPr>
          <w:rFonts w:hint="eastAsia" w:ascii="宋体" w:hAnsi="宋体" w:eastAsia="宋体"/>
        </w:rPr>
        <w:t xml:space="preserve">第三章</w:t>
      </w:r>
      <w:r>
        <w:rPr>
          <w:rFonts w:hint="eastAsia" w:ascii="宋体" w:hAnsi="宋体" w:eastAsia="宋体"/>
          <w:lang w:val="en-US" w:eastAsia="zh-CN"/>
        </w:rPr>
        <w:t xml:space="preserve"> </w:t>
      </w:r>
      <w:r>
        <w:rPr>
          <w:rFonts w:hint="eastAsia" w:ascii="宋体" w:hAnsi="宋体" w:eastAsia="宋体"/>
        </w:rPr>
        <w:t xml:space="preserve">投标文件格式</w:t>
      </w:r>
      <w:r>
        <w:tab/>
      </w:r>
      <w:r>
        <w:fldChar w:fldCharType="begin"/>
      </w:r>
      <w:r>
        <w:instrText xml:space="preserve"> PAGEREF _Toc11308 \h </w:instrText>
      </w:r>
      <w:r>
        <w:fldChar w:fldCharType="separate"/>
      </w:r>
      <w:r>
        <w:t xml:space="preserve">24</w:t>
      </w:r>
      <w:r>
        <w:fldChar w:fldCharType="end"/>
      </w:r>
      <w:r/>
    </w:p>
    <w:p>
      <w:pPr>
        <w:pStyle w:val="1014"/>
        <w:tabs>
          <w:tab w:val="right" w:pos="9072" w:leader="dot"/>
        </w:tabs>
      </w:pPr>
      <w:r>
        <w:rPr>
          <w:rFonts w:hint="eastAsia" w:ascii="宋体" w:hAnsi="宋体" w:eastAsia="宋体"/>
        </w:rPr>
        <w:t xml:space="preserve">第四章</w:t>
      </w:r>
      <w:r>
        <w:rPr>
          <w:rFonts w:hint="eastAsia" w:ascii="宋体" w:hAnsi="宋体" w:eastAsia="宋体"/>
          <w:lang w:val="en-US" w:eastAsia="zh-CN"/>
        </w:rPr>
        <w:t xml:space="preserve"> </w:t>
      </w:r>
      <w:r>
        <w:rPr>
          <w:rFonts w:hint="eastAsia" w:ascii="宋体" w:hAnsi="宋体" w:eastAsia="宋体"/>
        </w:rPr>
        <w:t xml:space="preserve">招标书</w:t>
      </w:r>
      <w:r>
        <w:tab/>
      </w:r>
      <w:r>
        <w:fldChar w:fldCharType="begin"/>
      </w:r>
      <w:r>
        <w:instrText xml:space="preserve"> PAGEREF _Toc19016 \h </w:instrText>
      </w:r>
      <w:r>
        <w:fldChar w:fldCharType="separate"/>
      </w:r>
      <w:r>
        <w:t xml:space="preserve">45</w:t>
      </w:r>
      <w:r>
        <w:fldChar w:fldCharType="end"/>
      </w:r>
      <w:r/>
    </w:p>
    <w:p>
      <w:pPr>
        <w:pStyle w:val="1014"/>
        <w:tabs>
          <w:tab w:val="right" w:pos="9072" w:leader="dot"/>
        </w:tabs>
      </w:pPr>
      <w:r>
        <w:rPr>
          <w:rFonts w:hint="eastAsia" w:ascii="宋体" w:hAnsi="宋体" w:eastAsia="宋体"/>
          <w:szCs w:val="48"/>
        </w:rPr>
        <w:t xml:space="preserve">第五章</w:t>
      </w:r>
      <w:r>
        <w:rPr>
          <w:rFonts w:hint="eastAsia" w:ascii="宋体" w:hAnsi="宋体" w:eastAsia="宋体"/>
          <w:szCs w:val="48"/>
          <w:lang w:val="en-US" w:eastAsia="zh-CN"/>
        </w:rPr>
        <w:t xml:space="preserve"> </w:t>
      </w:r>
      <w:r>
        <w:rPr>
          <w:rFonts w:hint="eastAsia" w:ascii="宋体" w:hAnsi="宋体" w:eastAsia="宋体"/>
          <w:szCs w:val="48"/>
        </w:rPr>
        <w:t xml:space="preserve">合同主要条款</w:t>
      </w:r>
      <w:r>
        <w:tab/>
      </w:r>
      <w:r>
        <w:fldChar w:fldCharType="begin"/>
      </w:r>
      <w:r>
        <w:instrText xml:space="preserve"> PAGEREF _Toc20253 \h </w:instrText>
      </w:r>
      <w:r>
        <w:fldChar w:fldCharType="separate"/>
      </w:r>
      <w:r>
        <w:t xml:space="preserve">119</w:t>
      </w:r>
      <w:r>
        <w:fldChar w:fldCharType="end"/>
      </w:r>
      <w:r/>
    </w:p>
    <w:p>
      <w:pPr>
        <w:pStyle w:val="1014"/>
        <w:tabs>
          <w:tab w:val="right" w:pos="9072" w:leader="dot"/>
        </w:tabs>
      </w:pPr>
      <w:r>
        <w:rPr>
          <w:rFonts w:hint="eastAsia" w:ascii="宋体" w:hAnsi="宋体" w:eastAsia="宋体"/>
        </w:rPr>
        <w:t xml:space="preserve">第六章</w:t>
      </w:r>
      <w:r>
        <w:rPr>
          <w:rFonts w:hint="eastAsia" w:ascii="宋体" w:hAnsi="宋体" w:eastAsia="宋体"/>
          <w:lang w:val="en-US" w:eastAsia="zh-CN"/>
        </w:rPr>
        <w:t xml:space="preserve"> </w:t>
      </w:r>
      <w:r>
        <w:rPr>
          <w:rFonts w:hint="eastAsia" w:ascii="宋体" w:hAnsi="宋体" w:eastAsia="宋体"/>
        </w:rPr>
        <w:t xml:space="preserve">评分标准</w:t>
      </w:r>
      <w:r>
        <w:tab/>
      </w:r>
      <w:r>
        <w:fldChar w:fldCharType="begin"/>
      </w:r>
      <w:r>
        <w:instrText xml:space="preserve"> PAGEREF _Toc24590 \h </w:instrText>
      </w:r>
      <w:r>
        <w:fldChar w:fldCharType="separate"/>
      </w:r>
      <w:r>
        <w:t xml:space="preserve">129</w:t>
      </w:r>
      <w:r>
        <w:fldChar w:fldCharType="end"/>
      </w:r>
      <w:r/>
    </w:p>
    <w:p>
      <w:pPr>
        <w:pStyle w:val="993"/>
        <w:ind w:firstLine="0"/>
        <w:jc w:val="both"/>
        <w:tabs>
          <w:tab w:val="right" w:pos="9032" w:leader="none"/>
        </w:tabs>
        <w:rPr>
          <w:rFonts w:hint="eastAsia" w:ascii="宋体" w:hAnsi="宋体" w:eastAsia="宋体"/>
          <w:b/>
          <w:sz w:val="32"/>
          <w:szCs w:val="32"/>
        </w:rPr>
      </w:pPr>
      <w:r>
        <w:rPr>
          <w:rFonts w:ascii="宋体" w:hAnsi="宋体" w:eastAsia="宋体"/>
          <w:bCs/>
          <w:szCs w:val="24"/>
        </w:rPr>
        <w:fldChar w:fldCharType="end"/>
      </w:r>
      <w:r>
        <w:rPr>
          <w:rFonts w:ascii="宋体" w:hAnsi="宋体" w:eastAsia="宋体"/>
          <w:b/>
          <w:sz w:val="32"/>
        </w:rPr>
        <w:br w:type="page" w:clear="all"/>
      </w:r>
      <w:r>
        <w:rPr>
          <w:rFonts w:ascii="宋体" w:hAnsi="宋体" w:eastAsia="宋体"/>
          <w:b/>
          <w:sz w:val="32"/>
        </w:rPr>
        <w:tab/>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980"/>
        <w:jc w:val="center"/>
        <w:rPr>
          <w:rFonts w:hint="eastAsia" w:ascii="宋体" w:hAnsi="宋体" w:eastAsia="宋体"/>
          <w:sz w:val="52"/>
        </w:rPr>
      </w:pPr>
      <w:r>
        <w:rPr>
          <w:rFonts w:hint="eastAsia" w:ascii="宋体" w:hAnsi="宋体" w:eastAsia="宋体"/>
          <w:sz w:val="52"/>
        </w:rPr>
      </w:r>
      <w:r/>
    </w:p>
    <w:p>
      <w:pPr>
        <w:pStyle w:val="980"/>
        <w:jc w:val="center"/>
        <w:rPr>
          <w:rFonts w:hint="default" w:ascii="宋体" w:hAnsi="宋体" w:eastAsia="宋体"/>
          <w:sz w:val="52"/>
          <w:lang w:val="en-US" w:eastAsia="zh-CN"/>
        </w:rPr>
      </w:pPr>
      <w:r/>
      <w:bookmarkStart w:id="0" w:name="_Toc26666"/>
      <w:r>
        <w:rPr>
          <w:rFonts w:hint="eastAsia" w:ascii="宋体" w:hAnsi="宋体" w:eastAsia="宋体"/>
          <w:sz w:val="52"/>
        </w:rPr>
        <w:t xml:space="preserve">第一章</w:t>
      </w:r>
      <w:r>
        <w:rPr>
          <w:rFonts w:hint="eastAsia" w:ascii="宋体" w:hAnsi="宋体" w:eastAsia="宋体"/>
          <w:sz w:val="52"/>
          <w:lang w:val="en-US" w:eastAsia="zh-CN"/>
        </w:rPr>
        <w:t xml:space="preserve"> 招标公告</w:t>
      </w:r>
      <w:bookmarkEnd w:id="0"/>
      <w:r/>
      <w:r/>
    </w:p>
    <w:p>
      <w:pPr>
        <w:spacing w:line="360" w:lineRule="auto"/>
        <w:rPr>
          <w:rFonts w:hint="eastAsia" w:ascii="宋体" w:hAnsi="宋体" w:eastAsia="宋体"/>
          <w:sz w:val="24"/>
          <w:szCs w:val="24"/>
          <w:u w:val="single"/>
        </w:rPr>
      </w:pPr>
      <w:r>
        <w:rPr>
          <w:rFonts w:ascii="宋体" w:hAnsi="宋体" w:eastAsia="宋体"/>
        </w:rPr>
        <w:br w:type="page" w:clear="all"/>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rPr>
        <w:t xml:space="preserve">项目概况</w:t>
      </w:r>
      <w:r/>
    </w:p>
    <w:p>
      <w:pPr>
        <w:ind w:firstLine="480"/>
        <w:spacing w:line="360" w:lineRule="auto"/>
        <w:rPr>
          <w:rFonts w:hint="eastAsia"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lang w:eastAsia="zh-CN"/>
        </w:rPr>
        <w:t xml:space="preserve">度假区产业园消救援装备采购项目</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“苏采云”系统（网址：http://jszfcg.jsczt.cn/）获取招标文件</w:t>
      </w:r>
      <w:r>
        <w:rPr>
          <w:rFonts w:hint="eastAsia" w:ascii="宋体" w:hAnsi="宋体" w:eastAsia="宋体" w:cs="宋体"/>
          <w:sz w:val="24"/>
          <w:szCs w:val="24"/>
          <w:highlight w:val="none"/>
          <w:u w:val="single"/>
        </w:rPr>
        <w:t xml:space="preserve">，并于2026年</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日13点3</w:t>
      </w:r>
      <w:r>
        <w:rPr>
          <w:rFonts w:hint="eastAsia" w:ascii="宋体" w:hAnsi="宋体" w:eastAsia="宋体" w:cs="宋体"/>
          <w:sz w:val="24"/>
          <w:szCs w:val="24"/>
          <w:u w:val="single"/>
        </w:rPr>
        <w:t xml:space="preserve">0分</w:t>
      </w:r>
      <w:r>
        <w:rPr>
          <w:rFonts w:hint="eastAsia" w:ascii="宋体" w:hAnsi="宋体" w:eastAsia="宋体" w:cs="宋体"/>
          <w:bCs/>
          <w:sz w:val="24"/>
          <w:szCs w:val="24"/>
          <w:u w:val="single"/>
        </w:rPr>
        <w:t xml:space="preserve">（</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bookmarkStart w:id="1" w:name="_Hlk24379207"/>
      <w:r/>
      <w:r/>
    </w:p>
    <w:p>
      <w:pPr>
        <w:keepLines/>
        <w:keepNext/>
        <w:spacing w:line="360" w:lineRule="auto"/>
        <w:rPr>
          <w:rFonts w:hint="eastAsia" w:ascii="宋体" w:hAnsi="宋体" w:eastAsia="宋体" w:cs="宋体"/>
          <w:b/>
          <w:sz w:val="24"/>
          <w:szCs w:val="24"/>
        </w:rPr>
      </w:pPr>
      <w:r/>
      <w:bookmarkStart w:id="2" w:name="_Toc28359079"/>
      <w:r/>
      <w:bookmarkStart w:id="3" w:name="_Toc28359002"/>
      <w:r/>
      <w:bookmarkStart w:id="4" w:name="_Toc35393621"/>
      <w:r/>
      <w:bookmarkStart w:id="5" w:name="_Toc35393790"/>
      <w:r>
        <w:rPr>
          <w:rFonts w:hint="eastAsia" w:ascii="宋体" w:hAnsi="宋体" w:eastAsia="宋体" w:cs="宋体"/>
          <w:b/>
          <w:sz w:val="24"/>
          <w:szCs w:val="24"/>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ff0000"/>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JSZC-320506104-SZHX-G2026-0032</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度假区产业园消救援装备采购项目</w:t>
      </w:r>
      <w:bookmarkEnd w:id="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4.预算金额：人民币</w:t>
      </w:r>
      <w:r>
        <w:rPr>
          <w:rFonts w:hint="eastAsia" w:ascii="宋体" w:hAnsi="宋体" w:eastAsia="宋体" w:cs="宋体"/>
          <w:sz w:val="24"/>
          <w:szCs w:val="24"/>
          <w:lang w:val="en-US" w:eastAsia="zh-CN"/>
        </w:rPr>
        <w:t xml:space="preserve">伍佰玖拾万贰仟肆佰贰拾</w:t>
      </w:r>
      <w:r>
        <w:rPr>
          <w:rFonts w:hint="eastAsia" w:ascii="宋体" w:hAnsi="宋体" w:eastAsia="宋体" w:cs="宋体"/>
          <w:sz w:val="24"/>
          <w:szCs w:val="24"/>
        </w:rPr>
        <w:t xml:space="preserve">元整（￥：59</w:t>
      </w:r>
      <w:r>
        <w:rPr>
          <w:rFonts w:hint="eastAsia" w:ascii="宋体" w:hAnsi="宋体" w:eastAsia="宋体" w:cs="宋体"/>
          <w:sz w:val="24"/>
          <w:szCs w:val="24"/>
          <w:lang w:val="en-US" w:eastAsia="zh-CN"/>
        </w:rPr>
        <w:t xml:space="preserve">02420.00</w:t>
      </w:r>
      <w:r>
        <w:rPr>
          <w:rFonts w:hint="eastAsia" w:ascii="宋体" w:hAnsi="宋体" w:eastAsia="宋体" w:cs="宋体"/>
          <w:sz w:val="24"/>
          <w:szCs w:val="24"/>
        </w:rPr>
        <w:t xml:space="preserve">元）</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5.最高限价：人民币</w:t>
      </w:r>
      <w:r>
        <w:rPr>
          <w:rFonts w:hint="eastAsia" w:ascii="宋体" w:hAnsi="宋体" w:eastAsia="宋体" w:cs="宋体"/>
          <w:sz w:val="24"/>
          <w:szCs w:val="24"/>
          <w:lang w:val="en-US" w:eastAsia="zh-CN"/>
        </w:rPr>
        <w:t xml:space="preserve">伍佰玖拾万贰仟肆佰贰拾</w:t>
      </w:r>
      <w:r>
        <w:rPr>
          <w:rFonts w:hint="eastAsia" w:ascii="宋体" w:hAnsi="宋体" w:eastAsia="宋体" w:cs="宋体"/>
          <w:sz w:val="24"/>
          <w:szCs w:val="24"/>
        </w:rPr>
        <w:t xml:space="preserve">元整（￥：59</w:t>
      </w:r>
      <w:r>
        <w:rPr>
          <w:rFonts w:hint="eastAsia" w:ascii="宋体" w:hAnsi="宋体" w:eastAsia="宋体" w:cs="宋体"/>
          <w:sz w:val="24"/>
          <w:szCs w:val="24"/>
          <w:lang w:val="en-US" w:eastAsia="zh-CN"/>
        </w:rPr>
        <w:t xml:space="preserve">02420.00</w:t>
      </w:r>
      <w:r>
        <w:rPr>
          <w:rFonts w:hint="eastAsia" w:ascii="宋体" w:hAnsi="宋体" w:eastAsia="宋体" w:cs="宋体"/>
          <w:sz w:val="24"/>
          <w:szCs w:val="24"/>
        </w:rPr>
        <w:t xml:space="preserve">元）</w:t>
      </w:r>
      <w:r/>
    </w:p>
    <w:p>
      <w:pPr>
        <w:contextualSpacing/>
        <w:ind w:firstLine="480"/>
        <w:spacing w:line="360" w:lineRule="auto"/>
        <w:rPr>
          <w:rFonts w:hint="default" w:ascii="宋体" w:hAnsi="宋体" w:eastAsia="宋体" w:cs="宋体"/>
          <w:sz w:val="24"/>
          <w:szCs w:val="24"/>
          <w:highlight w:val="none"/>
          <w:lang w:val="en-US"/>
        </w:rPr>
      </w:pPr>
      <w:r>
        <w:rPr>
          <w:rFonts w:hint="eastAsia" w:ascii="宋体" w:hAnsi="宋体" w:eastAsia="宋体" w:cs="宋体"/>
          <w:sz w:val="24"/>
          <w:szCs w:val="24"/>
        </w:rPr>
        <w:t xml:space="preserve">6.采购需求：</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highlight w:val="none"/>
          <w:lang w:eastAsia="zh-CN"/>
        </w:rPr>
        <w:t xml:space="preserve">度假区产业园消救援装备</w:t>
      </w:r>
      <w:r>
        <w:rPr>
          <w:rFonts w:hint="eastAsia" w:ascii="宋体" w:hAnsi="宋体" w:eastAsia="宋体" w:cs="宋体"/>
          <w:sz w:val="24"/>
          <w:szCs w:val="24"/>
          <w:highlight w:val="none"/>
          <w:lang w:val="en-US" w:eastAsia="zh-CN"/>
        </w:rPr>
        <w:t xml:space="preserve">一批。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7.合同履行期限：自合同签订生效后45天内完成全部采购内容的供货安装调试并交付正常使用，具体根据采购单位要求。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8.本项目不接受联合体投标。</w:t>
      </w:r>
      <w:r/>
    </w:p>
    <w:p>
      <w:pPr>
        <w:spacing w:line="360" w:lineRule="auto"/>
        <w:rPr>
          <w:rFonts w:hint="eastAsia" w:ascii="宋体" w:hAnsi="宋体" w:eastAsia="宋体" w:cs="宋体"/>
          <w:sz w:val="24"/>
          <w:szCs w:val="24"/>
        </w:rPr>
      </w:pPr>
      <w:r/>
      <w:bookmarkStart w:id="6" w:name="_Toc35393791"/>
      <w:r/>
      <w:bookmarkStart w:id="7" w:name="_Toc28359003"/>
      <w:r/>
      <w:bookmarkStart w:id="8" w:name="_Toc35393622"/>
      <w:r/>
      <w:bookmarkStart w:id="9" w:name="_Toc28359080"/>
      <w:r>
        <w:rPr>
          <w:rFonts w:hint="eastAsia" w:ascii="宋体" w:hAnsi="宋体" w:eastAsia="宋体" w:cs="宋体"/>
          <w:b/>
          <w:sz w:val="24"/>
          <w:szCs w:val="24"/>
        </w:rPr>
        <w:t xml:space="preserve">二、申请人的资格要求：</w:t>
      </w:r>
      <w:bookmarkEnd w:id="6"/>
      <w:r/>
      <w:bookmarkEnd w:id="7"/>
      <w:r/>
      <w:bookmarkEnd w:id="8"/>
      <w:r/>
      <w:bookmarkEnd w:id="9"/>
      <w:r/>
      <w:r/>
    </w:p>
    <w:p>
      <w:pPr>
        <w:ind w:firstLine="480"/>
        <w:spacing w:line="360" w:lineRule="auto"/>
        <w:rPr>
          <w:rFonts w:hint="eastAsia" w:ascii="宋体" w:hAnsi="宋体" w:eastAsia="宋体" w:cs="宋体"/>
          <w:sz w:val="24"/>
          <w:szCs w:val="24"/>
        </w:rPr>
      </w:pPr>
      <w:r/>
      <w:bookmarkStart w:id="10" w:name="_Toc28359081"/>
      <w:r/>
      <w:bookmarkStart w:id="11" w:name="_Toc28359004"/>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2.落实政府采购政策需满足的资</w:t>
      </w:r>
      <w:r>
        <w:rPr>
          <w:rFonts w:hint="eastAsia" w:ascii="宋体" w:hAnsi="宋体" w:eastAsia="宋体" w:cs="宋体"/>
          <w:sz w:val="24"/>
          <w:szCs w:val="24"/>
          <w:highlight w:val="none"/>
        </w:rPr>
        <w:t xml:space="preserve">格要求：本项目非专门面向中小企业，所属行业为</w:t>
      </w:r>
      <w:r>
        <w:rPr>
          <w:rFonts w:hint="eastAsia" w:ascii="宋体" w:hAnsi="宋体" w:eastAsia="宋体" w:cs="宋体"/>
          <w:sz w:val="24"/>
          <w:szCs w:val="24"/>
          <w:highlight w:val="none"/>
          <w:lang w:eastAsia="zh-CN"/>
        </w:rPr>
        <w:t xml:space="preserve">工业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3.本项目的特定资格要求：</w:t>
      </w:r>
      <w:bookmarkStart w:id="12" w:name="_Toc35393623"/>
      <w:r/>
      <w:bookmarkStart w:id="13" w:name="_Toc3539379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w:t>
      </w:r>
      <w:bookmarkEnd w:id="10"/>
      <w:r/>
      <w:bookmarkEnd w:id="11"/>
      <w:r/>
      <w:bookmarkEnd w:id="12"/>
      <w:r/>
      <w:bookmarkEnd w:id="13"/>
      <w:r>
        <w:rPr>
          <w:rFonts w:hint="eastAsia" w:ascii="宋体" w:hAnsi="宋体" w:eastAsia="宋体" w:cs="宋体"/>
          <w:b/>
          <w:bCs/>
          <w:sz w:val="24"/>
          <w:szCs w:val="24"/>
        </w:rPr>
        <w:t xml:space="preserve">报名及采购文件的获取</w:t>
      </w:r>
      <w:r/>
    </w:p>
    <w:p>
      <w:pPr>
        <w:pStyle w:val="993"/>
        <w:spacing w:line="360" w:lineRule="auto"/>
        <w:rPr>
          <w:rFonts w:hint="eastAsia" w:ascii="宋体" w:hAnsi="宋体" w:eastAsia="宋体" w:cs="宋体"/>
          <w:b/>
          <w:sz w:val="24"/>
          <w:szCs w:val="24"/>
        </w:rPr>
      </w:pPr>
      <w:r/>
      <w:bookmarkStart w:id="14" w:name="_Toc28359082"/>
      <w:r/>
      <w:bookmarkStart w:id="15" w:name="_Toc28359005"/>
      <w:r/>
      <w:bookmarkStart w:id="16" w:name="_Toc35393793"/>
      <w:r/>
      <w:bookmarkStart w:id="17" w:name="_Toc35393624"/>
      <w:r>
        <w:rPr>
          <w:rFonts w:hint="eastAsia" w:ascii="宋体" w:hAnsi="宋体" w:eastAsia="宋体" w:cs="宋体"/>
          <w:sz w:val="24"/>
          <w:szCs w:val="24"/>
        </w:rPr>
        <w:t xml:space="preserve">1.时间：</w:t>
      </w:r>
      <w:r>
        <w:rPr>
          <w:rFonts w:hint="eastAsia" w:ascii="宋体" w:hAnsi="宋体" w:eastAsia="宋体" w:cs="宋体"/>
          <w:bCs/>
          <w:sz w:val="24"/>
          <w:szCs w:val="24"/>
        </w:rPr>
        <w:t xml:space="preserve">自公告发布之日起5个工作日</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2.地点：“苏采云”系统自行下载采购文件</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3.方式：</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（1）CA证书办理</w:t>
      </w:r>
      <w:r/>
    </w:p>
    <w:p>
      <w:pPr>
        <w:pStyle w:val="993"/>
        <w:spacing w:line="360" w:lineRule="auto"/>
        <w:rPr>
          <w:rFonts w:hint="eastAsia" w:ascii="宋体" w:hAnsi="宋体" w:eastAsia="宋体" w:cs="宋体"/>
          <w:b/>
          <w:bCs/>
          <w:sz w:val="24"/>
          <w:szCs w:val="24"/>
        </w:rPr>
      </w:pPr>
      <w:r>
        <w:rPr>
          <w:rFonts w:hint="eastAsia" w:ascii="宋体" w:hAnsi="宋体" w:eastAsia="宋体" w:cs="宋体"/>
          <w:bCs/>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4"/>
          <w:szCs w:val="24"/>
        </w:rPr>
        <w:t xml:space="preserve">苏州现场办理地址：苏州高新区邓尉路105号狮山科技馆1楼服务大厅，咨询电话：0512-65737699。</w:t>
      </w:r>
      <w:r/>
    </w:p>
    <w:p>
      <w:pPr>
        <w:pStyle w:val="993"/>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（2）参与采购活动</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（3）电子投标准备</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rPr>
        <w:t xml:space="preserve">（具体详见《苏采云系统供应商操作手册》，网址链接https://czju.suzhou.gov.cn/zfcg/html/content/20231220161910031.shtml）</w:t>
      </w:r>
      <w:r>
        <w:rPr>
          <w:rFonts w:hint="eastAsia" w:ascii="宋体" w:hAnsi="宋体" w:eastAsia="宋体" w:cs="宋体"/>
          <w:sz w:val="24"/>
          <w:szCs w:val="24"/>
        </w:rPr>
        <w:t xml:space="preserve">。</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在系统操作过程中如有疑问，请按以下方式联系：</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注册咨询：13914088964；</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CA技术咨询电话：400-608-6099；</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系统使用指导与咨询：联系电话：13914088964、0512-69820854；智能客服：登录苏采云系统后，联系系统右下方智能客服图标进行咨询。</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4.售价：免费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四、提交投标文件</w:t>
      </w:r>
      <w:bookmarkEnd w:id="14"/>
      <w:r/>
      <w:bookmarkEnd w:id="15"/>
      <w:r>
        <w:rPr>
          <w:rFonts w:hint="eastAsia" w:ascii="宋体" w:hAnsi="宋体" w:eastAsia="宋体" w:cs="宋体"/>
          <w:b/>
          <w:sz w:val="24"/>
          <w:szCs w:val="24"/>
        </w:rPr>
        <w:t xml:space="preserve">截止时间、开标时间和地点</w:t>
      </w:r>
      <w:bookmarkEnd w:id="16"/>
      <w:r/>
      <w:bookmarkEnd w:id="17"/>
      <w:r/>
      <w:r/>
    </w:p>
    <w:p>
      <w:pPr>
        <w:pStyle w:val="993"/>
        <w:spacing w:line="360" w:lineRule="auto"/>
        <w:rPr>
          <w:rFonts w:hint="eastAsia" w:ascii="宋体" w:hAnsi="宋体" w:eastAsia="宋体" w:cs="宋体"/>
          <w:sz w:val="24"/>
          <w:szCs w:val="24"/>
          <w:highlight w:val="none"/>
        </w:rPr>
      </w:pPr>
      <w:r/>
      <w:bookmarkStart w:id="18" w:name="_Toc35393794"/>
      <w:r/>
      <w:bookmarkStart w:id="19" w:name="_Toc28359084"/>
      <w:r/>
      <w:bookmarkStart w:id="20" w:name="_Toc28359007"/>
      <w:r/>
      <w:bookmarkStart w:id="21" w:name="_Toc35393625"/>
      <w:r>
        <w:rPr>
          <w:rFonts w:hint="eastAsia" w:ascii="宋体" w:hAnsi="宋体" w:eastAsia="宋体" w:cs="宋体"/>
          <w:sz w:val="24"/>
          <w:szCs w:val="24"/>
        </w:rPr>
        <w:t xml:space="preserve">1.提交投标文件截止</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日13点30分</w:t>
      </w:r>
      <w:r>
        <w:rPr>
          <w:rFonts w:hint="eastAsia" w:ascii="宋体" w:hAnsi="宋体" w:eastAsia="宋体" w:cs="宋体"/>
          <w:sz w:val="24"/>
          <w:szCs w:val="24"/>
          <w:highlight w:val="none"/>
        </w:rPr>
        <w:t xml:space="preserve">（北京时间）；</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2.开标时间：</w:t>
      </w:r>
      <w:r>
        <w:rPr>
          <w:rFonts w:hint="eastAsia" w:ascii="宋体" w:hAnsi="宋体" w:eastAsia="宋体" w:cs="宋体"/>
          <w:sz w:val="24"/>
          <w:szCs w:val="24"/>
          <w:highlight w:val="none"/>
          <w:u w:val="single"/>
        </w:rPr>
        <w:t xml:space="preserve">2026年</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日13点30分</w:t>
      </w:r>
      <w:r>
        <w:rPr>
          <w:rFonts w:hint="eastAsia" w:ascii="宋体" w:hAnsi="宋体" w:eastAsia="宋体" w:cs="宋体"/>
          <w:sz w:val="24"/>
          <w:szCs w:val="24"/>
          <w:highlight w:val="none"/>
        </w:rPr>
        <w:t xml:space="preserve">（北</w:t>
      </w:r>
      <w:r>
        <w:rPr>
          <w:rFonts w:hint="eastAsia" w:ascii="宋体" w:hAnsi="宋体" w:eastAsia="宋体" w:cs="宋体"/>
          <w:sz w:val="24"/>
          <w:szCs w:val="24"/>
        </w:rPr>
        <w:t xml:space="preserve">京时间）；</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3.开标地点：“苏采云”系统（网址：http://jszfcg.jsczt.cn/）</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rPr>
        <w:t xml:space="preserve">供应商应充分考虑到网络环境、网络带宽等风险因素，如因供应商自身原因造成的电子投标文件上传不成功由供应商自行承担全部责任。</w:t>
      </w:r>
      <w:r/>
    </w:p>
    <w:p>
      <w:pPr>
        <w:pStyle w:val="993"/>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pStyle w:val="993"/>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spacing w:line="360" w:lineRule="auto"/>
        <w:rPr>
          <w:rFonts w:hint="eastAsia" w:ascii="宋体" w:hAnsi="宋体" w:eastAsia="宋体" w:cs="宋体"/>
          <w:b/>
          <w:sz w:val="24"/>
          <w:szCs w:val="24"/>
        </w:rPr>
      </w:pPr>
      <w:r/>
      <w:bookmarkStart w:id="22" w:name="_Toc35393795"/>
      <w:r/>
      <w:bookmarkStart w:id="23" w:name="_Toc35393626"/>
      <w:r>
        <w:rPr>
          <w:rFonts w:hint="eastAsia" w:ascii="宋体" w:hAnsi="宋体" w:eastAsia="宋体" w:cs="宋体"/>
          <w:b/>
          <w:sz w:val="24"/>
          <w:szCs w:val="24"/>
        </w:rPr>
        <w:t xml:space="preserve">六、其他补充事宜</w:t>
      </w:r>
      <w:bookmarkEnd w:id="22"/>
      <w:r/>
      <w:bookmarkEnd w:id="23"/>
      <w:r/>
      <w:r/>
    </w:p>
    <w:p>
      <w:pPr>
        <w:ind w:firstLine="480"/>
        <w:spacing w:line="360" w:lineRule="auto"/>
        <w:rPr>
          <w:rFonts w:hint="eastAsia" w:ascii="宋体" w:hAnsi="宋体" w:eastAsia="宋体" w:cs="宋体"/>
          <w:sz w:val="24"/>
          <w:szCs w:val="24"/>
        </w:rPr>
      </w:pPr>
      <w:r/>
      <w:bookmarkStart w:id="24" w:name="_Toc35393796"/>
      <w:r/>
      <w:bookmarkStart w:id="25" w:name="_Toc28359085"/>
      <w:r/>
      <w:bookmarkStart w:id="26" w:name="_Toc28359008"/>
      <w:r/>
      <w:bookmarkStart w:id="27" w:name="_Toc35393627"/>
      <w:r>
        <w:rPr>
          <w:rFonts w:hint="eastAsia" w:ascii="宋体" w:hAnsi="宋体" w:eastAsia="宋体" w:cs="宋体"/>
          <w:sz w:val="24"/>
          <w:szCs w:val="24"/>
        </w:rPr>
        <w:t xml:space="preserve">1.本项目获取招标文件截止日期之后仍可以下载招标文件，但截止日期之后下载的招标文件，视为非有效方式且不作为供应商权益受到损害的证明材料和依据。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p>
    <w:p>
      <w:pPr>
        <w:ind w:firstLine="480"/>
        <w:spacing w:line="360" w:lineRule="auto"/>
        <w:rPr>
          <w:rFonts w:hint="eastAsia" w:ascii="宋体" w:hAnsi="宋体" w:eastAsia="楷体_GB2312" w:cs="宋体"/>
          <w:sz w:val="24"/>
          <w:szCs w:val="24"/>
          <w:lang w:eastAsia="zh-CN"/>
        </w:rPr>
      </w:pPr>
      <w:r>
        <w:rPr>
          <w:rFonts w:hint="eastAsia" w:ascii="宋体" w:hAnsi="宋体" w:eastAsia="宋体" w:cs="宋体"/>
          <w:sz w:val="24"/>
          <w:szCs w:val="24"/>
        </w:rPr>
        <w:t xml:space="preserve">3.政府采购管理监督电话：0512-65283947</w:t>
      </w:r>
      <w:r>
        <w:rPr>
          <w:rFonts w:hint="eastAsia" w:ascii="宋体" w:hAnsi="宋体" w:cs="宋体"/>
          <w:sz w:val="24"/>
          <w:szCs w:val="24"/>
          <w:lang w:eastAsia="zh-CN"/>
        </w:rPr>
        <w:t xml:space="preserve">。</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sz w:val="24"/>
          <w:szCs w:val="24"/>
        </w:rPr>
      </w:pPr>
      <w:r/>
      <w:bookmarkStart w:id="28" w:name="_Toc28358998"/>
      <w:r/>
      <w:bookmarkStart w:id="29" w:name="_Toc35393786"/>
      <w:r/>
      <w:bookmarkStart w:id="30" w:name="_Toc35393617"/>
      <w:r/>
      <w:bookmarkStart w:id="31" w:name="_Toc28359075"/>
      <w:r>
        <w:rPr>
          <w:rFonts w:hint="eastAsia" w:ascii="宋体" w:hAnsi="宋体" w:eastAsia="宋体" w:cs="宋体"/>
          <w:sz w:val="24"/>
          <w:szCs w:val="24"/>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苏州市吴中区光福镇综合服务中心</w:t>
      </w:r>
      <w:r/>
    </w:p>
    <w:p>
      <w:pPr>
        <w:ind w:firstLine="480"/>
        <w:jc w:val="left"/>
        <w:spacing w:line="360" w:lineRule="auto"/>
        <w:shd w:val="clear" w:color="auto" w:fill="ffffff"/>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地址：苏州市吴中区光福镇光福路1号</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联系人：金俭</w:t>
      </w:r>
      <w:r/>
    </w:p>
    <w:p>
      <w:pPr>
        <w:ind w:firstLine="480"/>
        <w:jc w:val="left"/>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 话：0512-66950286</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2.代理机构信息</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名称：</w:t>
      </w:r>
      <w:bookmarkStart w:id="32" w:name="XTDLJG_1"/>
      <w:r>
        <w:rPr>
          <w:rFonts w:hint="eastAsia" w:ascii="宋体" w:hAnsi="宋体" w:eastAsia="宋体" w:cs="宋体"/>
          <w:sz w:val="24"/>
          <w:szCs w:val="24"/>
        </w:rPr>
        <w:t xml:space="preserve">苏州鸿鑫工程咨询有限公司</w:t>
      </w:r>
      <w:bookmarkEnd w:id="32"/>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地址：苏州市相城区嘉元路1018号元联大厦10层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联系方式：0512-65981596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赵雷</w:t>
      </w:r>
      <w:r>
        <w:rPr>
          <w:rFonts w:hint="eastAsia" w:ascii="宋体" w:hAnsi="宋体" w:eastAsia="宋体" w:cs="宋体"/>
          <w:sz w:val="24"/>
          <w:szCs w:val="24"/>
        </w:rPr>
        <w:t xml:space="preserve">、于民峰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黄建伟</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rPr>
        <w:t xml:space="preserve">电话：</w:t>
      </w:r>
      <w:r>
        <w:rPr>
          <w:rFonts w:hint="eastAsia" w:ascii="宋体" w:hAnsi="宋体" w:eastAsia="宋体" w:cs="宋体"/>
          <w:color w:val="000000" w:themeColor="text1"/>
          <w:sz w:val="24"/>
          <w:szCs w:val="24"/>
          <w14:textFill>
            <w14:solidFill>
              <w14:schemeClr w14:val="tx1"/>
            </w14:solidFill>
          </w14:textFill>
        </w:rPr>
        <w:t xml:space="preserve">0512-65981596-812</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p>
    <w:p>
      <w:pPr>
        <w:ind w:firstLine="482"/>
        <w:spacing w:line="360" w:lineRule="auto"/>
        <w:rPr>
          <w:rFonts w:hint="eastAsia" w:ascii="宋体" w:hAnsi="宋体" w:eastAsia="宋体"/>
          <w:b/>
          <w:sz w:val="24"/>
        </w:rPr>
      </w:pPr>
      <w:r>
        <w:rPr>
          <w:rFonts w:hint="eastAsia" w:ascii="宋体" w:hAnsi="宋体" w:eastAsia="宋体"/>
          <w:b/>
          <w:sz w:val="24"/>
        </w:rPr>
      </w:r>
      <w:r/>
    </w:p>
    <w:p>
      <w:pPr>
        <w:rPr>
          <w:rFonts w:hint="eastAsia" w:ascii="宋体" w:hAnsi="宋体" w:eastAsia="宋体"/>
          <w:sz w:val="32"/>
          <w:szCs w:val="32"/>
        </w:rPr>
      </w:pPr>
      <w:r>
        <w:rPr>
          <w:rFonts w:ascii="宋体" w:hAnsi="宋体" w:eastAsia="宋体"/>
          <w:sz w:val="24"/>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980"/>
        <w:jc w:val="center"/>
        <w:rPr>
          <w:rFonts w:hint="eastAsia" w:ascii="宋体" w:hAnsi="宋体" w:eastAsia="宋体"/>
          <w:sz w:val="52"/>
        </w:rPr>
      </w:pPr>
      <w:r>
        <w:rPr>
          <w:rFonts w:hint="eastAsia" w:ascii="宋体" w:hAnsi="宋体" w:eastAsia="宋体"/>
          <w:sz w:val="52"/>
        </w:rPr>
      </w:r>
      <w:r/>
    </w:p>
    <w:p>
      <w:pPr>
        <w:pStyle w:val="980"/>
        <w:jc w:val="center"/>
        <w:rPr>
          <w:rFonts w:hint="eastAsia" w:ascii="宋体" w:hAnsi="宋体" w:eastAsia="宋体"/>
          <w:sz w:val="52"/>
        </w:rPr>
      </w:pPr>
      <w:r/>
      <w:bookmarkStart w:id="33" w:name="_Toc26264"/>
      <w:r>
        <w:rPr>
          <w:rFonts w:hint="eastAsia" w:ascii="宋体" w:hAnsi="宋体" w:eastAsia="宋体"/>
          <w:sz w:val="52"/>
        </w:rPr>
        <w:t xml:space="preserve">第二章</w:t>
      </w:r>
      <w:r>
        <w:rPr>
          <w:rFonts w:hint="eastAsia" w:ascii="宋体" w:hAnsi="宋体" w:eastAsia="宋体"/>
          <w:sz w:val="52"/>
          <w:lang w:val="en-US" w:eastAsia="zh-CN"/>
        </w:rPr>
        <w:t xml:space="preserve"> </w:t>
      </w:r>
      <w:r>
        <w:rPr>
          <w:rFonts w:hint="eastAsia" w:ascii="宋体" w:hAnsi="宋体" w:eastAsia="宋体"/>
          <w:sz w:val="52"/>
        </w:rPr>
        <w:t xml:space="preserve">投标人须知</w:t>
      </w:r>
      <w:bookmarkEnd w:id="33"/>
      <w:r/>
      <w:r/>
    </w:p>
    <w:p>
      <w:pPr>
        <w:spacing w:line="360" w:lineRule="auto"/>
        <w:rPr>
          <w:rFonts w:hint="eastAsia" w:ascii="宋体" w:hAnsi="宋体" w:eastAsia="宋体" w:cs="宋体"/>
          <w:b/>
          <w:sz w:val="24"/>
          <w:szCs w:val="24"/>
        </w:rPr>
      </w:pPr>
      <w:r>
        <w:rPr>
          <w:rFonts w:ascii="宋体" w:hAnsi="宋体" w:eastAsia="宋体"/>
          <w:sz w:val="24"/>
        </w:rPr>
        <w:br w:type="page" w:clear="all"/>
      </w:r>
      <w:r>
        <w:rPr>
          <w:rFonts w:hint="eastAsia" w:ascii="宋体" w:hAnsi="宋体" w:eastAsia="宋体" w:cs="宋体"/>
          <w:b/>
          <w:sz w:val="24"/>
          <w:szCs w:val="24"/>
        </w:rPr>
        <w:t xml:space="preserve">A说明和释义</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1.1本招标文件仅适用于苏州鸿鑫工程咨询有限公司组织的招标活动。</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1.2本次招标活动及因本次招标产生的合同受中国法律制约和保护。</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1.3本招标文件的解释权属于苏州鸿鑫工程咨询有限公司。</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2.1采购人：指依法进行政府采购的国家机关、事业单位、团体组织。</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2.2采购代理机构：指依法接受采购人委托，从事货物、工程和服务等政府采购代理业务的社会中介机构。</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2.3投标人：</w:t>
      </w:r>
      <w:r>
        <w:rPr>
          <w:rFonts w:hint="eastAsia" w:ascii="宋体" w:hAnsi="宋体" w:eastAsia="宋体" w:cs="宋体"/>
          <w:sz w:val="24"/>
          <w:szCs w:val="24"/>
        </w:rPr>
        <w:t xml:space="preserve">指响应招标、参加投标竞争的法人、其他组织或者自然人。</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2.4响应：投标人根据采购人或采购代理机构发布的招标文件，编制投标文件并按规定投标的行为。</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2.6甲方（采购人）：合同中明确规定的实际购买货物和服务的法人或其他组织和自然人。</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2.8货物：系指乙方按招标采购文件规定，应向甲方提供的一切设备、备品、备件、工具、手册及其它有关技术资料和材料。</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2.11天：日历日。</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2.12时间：除特别说明，均指北京时间。</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2.13交货地点：合同中明确约定的乙方提交的货物和服务最终到达地点。</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2.14合同价款：根据合同规定，乙方在正确地履行合同义务后甲方应支付乙方的价款。</w:t>
      </w:r>
      <w:r/>
    </w:p>
    <w:p>
      <w:pPr>
        <w:pStyle w:val="993"/>
        <w:jc w:val="both"/>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2.15产地：货物开采、生长、生产、最终制造、加工或提供服务的来源地。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2.16不可抗力：不能预见、不能避免并且不能克服的客观情况。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2.19书面形式：指书面文字、合同书、信件和传真等可以有形地表现所载内容的形式。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B投标人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3.合格投标人的资格条件：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3.1满足《中华人民共和国政府采购法》第二十二条规定：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3.2落实政府</w:t>
      </w:r>
      <w:r>
        <w:rPr>
          <w:rFonts w:hint="eastAsia" w:ascii="宋体" w:hAnsi="宋体" w:eastAsia="宋体" w:cs="宋体"/>
          <w:sz w:val="24"/>
          <w:szCs w:val="24"/>
          <w:highlight w:val="none"/>
        </w:rPr>
        <w:t xml:space="preserve">采购政策需满足的资格要求：本项目非专门面向中小企业，所属行业为</w:t>
      </w:r>
      <w:r>
        <w:rPr>
          <w:rFonts w:hint="eastAsia" w:ascii="宋体" w:hAnsi="宋体" w:eastAsia="宋体" w:cs="宋体"/>
          <w:sz w:val="24"/>
          <w:szCs w:val="24"/>
          <w:highlight w:val="none"/>
          <w:lang w:eastAsia="zh-CN"/>
        </w:rPr>
        <w:t xml:space="preserve">工业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3.3本项目的特定资格要求：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）未被列入失信被执行人、重大税收违法案件当事人名单、政府采购严重失信行为记录名单；</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lang w:eastAsia="zh-CN"/>
        </w:rPr>
        <w:t xml:space="preserve">。</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4.投标人代表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4.1指全权代表投标人参加投标活动并签署投标文件的人，如果投标人代表不是法人代表，须持有《法人代表授权委托书》（详见统一格式）。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5.投标费用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5.1无论投标过程中的做法和结果如何，投标人自行承担所有与参加投标有关的全部费用。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6.联合投标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C招标文件的说明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8.招标文件的澄清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8.4招标文件的澄清、修改、补充等内容均以苏州政府采购网上发布的内容为准。</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9.勘察现场（不涉及此条的忽略）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10.投标质疑</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10.2本次招标文件要求供应商在法定质疑期内一次性提出针对同一采购程序环节的质疑，否则不予受理。</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10.3供应商提出质疑应当提交质疑函和必要的证明材料，质疑函应当包括下列内容：</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（1）供应商的姓名或者名称（以提供的营业执照副本复印件为准）、地址、邮编、联系人及联系电话；</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4"/>
          <w:szCs w:val="24"/>
        </w:rPr>
        <w:t xml:space="preserve">授权委托书</w:t>
      </w:r>
      <w:r>
        <w:rPr>
          <w:rFonts w:hint="eastAsia" w:ascii="宋体" w:hAnsi="宋体" w:eastAsia="宋体" w:cs="宋体"/>
          <w:sz w:val="24"/>
          <w:szCs w:val="24"/>
        </w:rPr>
        <w:t xml:space="preserve">上应当载明代理人的姓名或者名称、代理事项、具体权限、期限和相关事项。</w:t>
      </w:r>
      <w:r/>
    </w:p>
    <w:p>
      <w:pPr>
        <w:pStyle w:val="993"/>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4"/>
          <w:szCs w:val="24"/>
        </w:rPr>
        <w:t xml:space="preserve">。</w:t>
      </w:r>
      <w:r/>
    </w:p>
    <w:p>
      <w:pPr>
        <w:pStyle w:val="993"/>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）与质疑函一起递交，否则不予受理。</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10.5接收质疑函的方式：书面形式（当场送达或邮寄方式）。</w:t>
      </w:r>
      <w:r/>
    </w:p>
    <w:p>
      <w:pPr>
        <w:pStyle w:val="993"/>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质疑联系人：</w:t>
      </w:r>
      <w:r>
        <w:rPr>
          <w:rFonts w:hint="eastAsia" w:ascii="宋体" w:hAnsi="宋体" w:eastAsia="宋体" w:cs="宋体"/>
          <w:sz w:val="24"/>
          <w:szCs w:val="24"/>
          <w:lang w:val="en-US" w:eastAsia="zh-CN"/>
        </w:rPr>
        <w:t xml:space="preserve">赵雷、于民峰</w:t>
      </w:r>
      <w:r/>
    </w:p>
    <w:p>
      <w:pPr>
        <w:pStyle w:val="993"/>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color w:val="000000"/>
          <w:sz w:val="24"/>
          <w:szCs w:val="24"/>
        </w:rPr>
        <w:t xml:space="preserve">0512-65981596-812</w:t>
      </w:r>
      <w:r>
        <w:rPr>
          <w:rFonts w:hint="eastAsia" w:ascii="宋体" w:hAnsi="宋体" w:eastAsia="宋体" w:cs="宋体"/>
          <w:color w:val="000000"/>
          <w:sz w:val="24"/>
          <w:szCs w:val="24"/>
          <w:lang w:val="en-US" w:eastAsia="zh-CN"/>
        </w:rPr>
        <w:t xml:space="preserve">1</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现场递交地址：苏州市相城区嘉元路1018号元联大厦10层</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邮寄收取地址：苏州市相城区嘉元路1018号元联大厦10层</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D投标文件说明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11.2无论是否递交投标文件，投标人都应将招标文件及以后的所有通知、文件等视为保密文件。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12.投标文件计量单位和使用文字</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13.投标文件的组成</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13.1封面</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13.2开标一览表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13.3投标报价分析表</w:t>
      </w:r>
      <w:r>
        <w:rPr>
          <w:rFonts w:hint="eastAsia" w:ascii="宋体" w:hAnsi="宋体" w:eastAsia="宋体" w:cs="宋体"/>
          <w:sz w:val="24"/>
          <w:szCs w:val="24"/>
        </w:rPr>
        <w:t xml:space="preserve">（格式见第三章）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13.4资格审查文件</w:t>
      </w:r>
      <w:r/>
    </w:p>
    <w:p>
      <w:pPr>
        <w:pStyle w:val="993"/>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合格投标人一般资格证明材料：</w:t>
      </w:r>
      <w:r/>
    </w:p>
    <w:p>
      <w:pPr>
        <w:pStyle w:val="989"/>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（1）具有独立承担民事责任的能力证明。包括法人或者其他组织的营业执照等证明文件，自然人的身份证明；</w:t>
      </w:r>
      <w:r/>
    </w:p>
    <w:p>
      <w:pPr>
        <w:pStyle w:val="989"/>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（2）具有良好的商业信誉和健全的财务会计制度证明</w:t>
      </w:r>
      <w:r>
        <w:rPr>
          <w:rFonts w:hint="eastAsia" w:ascii="宋体" w:hAnsi="宋体" w:eastAsia="宋体" w:cs="宋体"/>
          <w:b/>
          <w:sz w:val="24"/>
          <w:szCs w:val="24"/>
        </w:rPr>
        <w:t xml:space="preserve">（包括但不限于最近一期经会计师事务所审计的财务报告，其他组织、自然人及成立未满一年的法人应提供银行出具的资信证明）；</w:t>
      </w:r>
      <w:r/>
    </w:p>
    <w:p>
      <w:pPr>
        <w:pStyle w:val="989"/>
        <w:ind w:firstLine="480"/>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（3）具备履行合同所必需的设备和专业技术能力的证明材料或承诺；</w:t>
      </w:r>
      <w:r/>
    </w:p>
    <w:p>
      <w:pPr>
        <w:pStyle w:val="993"/>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（4）依法缴纳税收和社会保障资金的相关资料</w:t>
      </w:r>
      <w:r>
        <w:rPr>
          <w:rFonts w:hint="eastAsia" w:ascii="宋体" w:hAnsi="宋体" w:eastAsia="宋体" w:cs="宋体"/>
          <w:b/>
          <w:sz w:val="24"/>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 w:val="24"/>
          <w:szCs w:val="24"/>
        </w:rPr>
        <w:t xml:space="preserve">；</w:t>
      </w:r>
      <w:r/>
    </w:p>
    <w:p>
      <w:pPr>
        <w:pStyle w:val="993"/>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其它有关资格证明文件；</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13.5符合性审查文件</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.1关于资格文件的声明函（格式见第三章）；</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.2投标人基本情况表（格式见第三章）；</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.3投标人法定代表人身份证复印件；</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.4法定代表人授权委托书（如有授权，格式见第三章）；</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.5投标人授权代理人身份证复印件（如有授权）；</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投标函（格式见第三章）；</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《技术响应对照表》、《商务条款偏离表》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售后服务承诺书</w:t>
      </w:r>
      <w:r>
        <w:rPr>
          <w:rFonts w:hint="eastAsia" w:ascii="宋体" w:hAnsi="宋体" w:eastAsia="宋体" w:cs="宋体"/>
          <w:sz w:val="24"/>
          <w:szCs w:val="24"/>
        </w:rPr>
        <w:t xml:space="preserve">》（格式见第三章）；</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13.5.</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其他有关符合性证明的文件；</w:t>
      </w:r>
      <w:r/>
    </w:p>
    <w:p>
      <w:pPr>
        <w:ind w:firstLine="40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13.6综合评审文件</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投标单位</w:t>
      </w:r>
      <w:r>
        <w:rPr>
          <w:rFonts w:hint="eastAsia" w:ascii="宋体" w:hAnsi="宋体" w:eastAsia="宋体" w:cs="宋体"/>
          <w:bCs/>
          <w:sz w:val="24"/>
          <w:szCs w:val="24"/>
        </w:rPr>
        <w:t xml:space="preserve">根据评分标准制作）</w:t>
      </w:r>
      <w:r/>
    </w:p>
    <w:p>
      <w:pPr>
        <w:ind w:firstLine="408"/>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13.7价格折扣文件格式</w:t>
      </w:r>
      <w:r/>
    </w:p>
    <w:p>
      <w:pPr>
        <w:ind w:firstLine="408"/>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13.7.1</w:t>
      </w:r>
      <w:r>
        <w:rPr>
          <w:rFonts w:hint="eastAsia" w:ascii="宋体" w:hAnsi="宋体" w:eastAsia="宋体" w:cs="宋体"/>
          <w:b/>
          <w:bCs/>
          <w:sz w:val="24"/>
          <w:szCs w:val="24"/>
        </w:rPr>
        <w:t xml:space="preserve">《中小企业声明函》或《残疾人福利性单位声明函》或由省级以上监狱管理局、戒毒管理局（含新疆生产建设兵团）出具的属于监狱企业的证明文件（如有）。</w:t>
      </w:r>
      <w:r/>
    </w:p>
    <w:p>
      <w:pPr>
        <w:ind w:firstLine="408"/>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13.7.2</w:t>
      </w:r>
      <w:r>
        <w:rPr>
          <w:rFonts w:hint="eastAsia" w:ascii="宋体" w:hAnsi="宋体" w:eastAsia="宋体" w:cs="宋体"/>
          <w:b/>
          <w:bCs/>
          <w:sz w:val="24"/>
          <w:szCs w:val="24"/>
        </w:rPr>
        <w:t xml:space="preserve">《关于符合本国产品标准的声明函》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《关于本国产品成本占比的声明函（采购项目含有多种产品时适用）》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如有）。</w:t>
      </w:r>
      <w:r/>
    </w:p>
    <w:p>
      <w:pPr>
        <w:ind w:firstLine="408"/>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13.8其他可以证明投标人资质、服务质量的证书、文件等相关资料</w:t>
      </w:r>
      <w:r>
        <w:rPr>
          <w:rFonts w:hint="eastAsia" w:ascii="宋体" w:hAnsi="宋体" w:eastAsia="宋体" w:cs="宋体"/>
          <w:sz w:val="24"/>
          <w:szCs w:val="24"/>
        </w:rPr>
        <w:t xml:space="preserve">。</w:t>
      </w:r>
      <w:r/>
    </w:p>
    <w:p>
      <w:pPr>
        <w:pStyle w:val="1122"/>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注：（1）以上13.4.1为资格审查要求提供的材料，是作为对供应商资格审查、质疑身份认定的依据，投标人必须提供并加盖电子公章。否则，投标文件将被认定为不符合资格审查要求。</w:t>
      </w:r>
      <w:r/>
    </w:p>
    <w:p>
      <w:pPr>
        <w:pStyle w:val="1122"/>
        <w:ind w:firstLine="49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（2）以上13.5.1-13.5.</w:t>
      </w:r>
      <w:r>
        <w:rPr>
          <w:rFonts w:hint="eastAsia" w:ascii="宋体" w:hAnsi="宋体" w:cs="宋体"/>
          <w:b/>
          <w:bCs/>
          <w:sz w:val="24"/>
          <w:szCs w:val="24"/>
          <w:lang w:val="en-US" w:eastAsia="zh-CN"/>
        </w:rPr>
        <w:t xml:space="preserve">7</w:t>
      </w:r>
      <w:r>
        <w:rPr>
          <w:rFonts w:hint="eastAsia" w:ascii="宋体" w:hAnsi="宋体" w:eastAsia="宋体" w:cs="宋体"/>
          <w:b/>
          <w:bCs/>
          <w:sz w:val="24"/>
          <w:szCs w:val="24"/>
        </w:rPr>
        <w:t xml:space="preserve">为符合性审查须提供的资料，投标人必须提供并加盖电子公章。否则，投标文件将被认定为未实质性响应。</w:t>
      </w:r>
      <w:r/>
    </w:p>
    <w:p>
      <w:pPr>
        <w:pStyle w:val="1122"/>
        <w:ind w:firstLine="49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（3）“13.4.1-13.8”中不得出现投标总报价。</w:t>
      </w:r>
      <w:r>
        <w:rPr>
          <w:rFonts w:hint="eastAsia" w:ascii="宋体" w:hAnsi="宋体" w:eastAsia="宋体" w:cs="宋体"/>
          <w:sz w:val="24"/>
          <w:szCs w:val="24"/>
        </w:rPr>
        <w:t xml:space="preserve">投标人所提交的资料的完整与否，将直接影响投标人的评分。</w:t>
      </w:r>
      <w:r/>
    </w:p>
    <w:p>
      <w:pPr>
        <w:pStyle w:val="1122"/>
        <w:ind w:firstLine="492"/>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（4）制作电子投标文件时必须与投标文件制作软件目录一一对应，将相关资料上传至相应模块。</w:t>
      </w:r>
      <w:r/>
    </w:p>
    <w:p>
      <w:pPr>
        <w:pStyle w:val="1122"/>
        <w:ind w:firstLine="49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14.投标文件编制要求</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14.1</w:t>
      </w:r>
      <w:r>
        <w:rPr>
          <w:rFonts w:hint="eastAsia" w:ascii="宋体" w:hAnsi="宋体" w:eastAsia="宋体" w:cs="宋体"/>
          <w:b/>
          <w:bCs/>
          <w:sz w:val="24"/>
          <w:szCs w:val="24"/>
        </w:rPr>
        <w:t xml:space="preserve">投标文件按统一格式、顺序编写。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15.投标报价（编制）要求的说明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15.1投标报价应包括完成该标的物全部内容的一切费用。投标报价为最终报价，投标人所报价格在合同实施期间不因市场变化因素而变动。</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15.2投标人应按《</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》中的全部货物和服务计算单价和总价。《</w:t>
      </w:r>
      <w:r>
        <w:rPr>
          <w:rFonts w:hint="eastAsia" w:ascii="宋体" w:hAnsi="宋体" w:eastAsia="宋体" w:cs="宋体"/>
          <w:sz w:val="24"/>
          <w:szCs w:val="24"/>
          <w:lang w:val="zh-TW" w:eastAsia="zh-TW"/>
        </w:rPr>
        <w:t xml:space="preserve">投标报价组成明细表</w:t>
      </w:r>
      <w:r>
        <w:rPr>
          <w:rFonts w:hint="eastAsia" w:ascii="宋体" w:hAnsi="宋体" w:eastAsia="宋体" w:cs="宋体"/>
          <w:sz w:val="24"/>
          <w:szCs w:val="24"/>
        </w:rPr>
        <w:t xml:space="preserve">》中的每一单项均应计算并填写单价和总价，并由法定代表人或代理人签署。投标人未填单价或合价的项目，在实施后，采购方将不予支付，并视为该项费用已包括在其它有价款的单价或合价内。</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15.4一项投标内容只允许一个报价，采购人或采购代理机构不接受任何有选择性的投标报价。</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15.5投标文件报价中的单价和总价全部采用人民币表示，除非合同的特殊条款另有规定。</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15.6</w:t>
      </w:r>
      <w:r>
        <w:rPr>
          <w:rFonts w:hint="eastAsia" w:ascii="宋体" w:hAnsi="宋体" w:eastAsia="宋体" w:cs="宋体"/>
          <w:b/>
          <w:bCs/>
          <w:sz w:val="24"/>
          <w:szCs w:val="24"/>
        </w:rPr>
        <w:t xml:space="preserve">最低的报价不能作为中标的保证。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16.投标保证金：本项目不收取投标保证金。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17.投标文件的有效期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17.1自投标截止日起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17.2在特殊情况下，采购人或采购代理机构可与投标人协商延长投标书的有效期。这种要求和答复都应以书面形式进行。同意延长有效期的投标人不能修改投标文件。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18.投标文件的制作、签署、上传</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color w:val="000000" w:themeColor="text1"/>
          <w:sz w:val="24"/>
          <w:szCs w:val="24"/>
          <w14:textFill>
            <w14:solidFill>
              <w14:schemeClr w14:val="tx1"/>
            </w14:solidFill>
          </w14:textFill>
        </w:rPr>
        <w:t xml:space="preserve">本项目采用电子招投标形式，请供应商按照</w:t>
      </w:r>
      <w:r>
        <w:rPr>
          <w:rFonts w:hint="eastAsia" w:ascii="宋体" w:hAnsi="宋体" w:eastAsia="宋体" w:cs="宋体"/>
          <w:b/>
          <w:color w:val="000000" w:themeColor="text1"/>
          <w:sz w:val="24"/>
          <w:szCs w:val="24"/>
          <w14:textFill>
            <w14:solidFill>
              <w14:schemeClr w14:val="tx1"/>
            </w14:solidFill>
          </w14:textFill>
        </w:rPr>
        <w:t xml:space="preserve">《苏采云系统供应商操作手册》</w:t>
      </w:r>
      <w:r>
        <w:rPr>
          <w:rFonts w:hint="eastAsia" w:ascii="宋体" w:hAnsi="宋体" w:eastAsia="宋体" w:cs="宋体"/>
          <w:color w:val="000000" w:themeColor="text1"/>
          <w:sz w:val="24"/>
          <w:szCs w:val="24"/>
          <w14:textFill>
            <w14:solidFill>
              <w14:schemeClr w14:val="tx1"/>
            </w14:solidFill>
          </w14:textFill>
        </w:rPr>
        <w:t xml:space="preserve">进行制作、上传电子投标文件。</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18.2制作电子投标文件时，应按照招标文件要求加盖投标人电子公章。</w:t>
      </w:r>
      <w:r/>
    </w:p>
    <w:p>
      <w:pPr>
        <w:pStyle w:val="993"/>
        <w:spacing w:line="360" w:lineRule="auto"/>
        <w:rPr>
          <w:rFonts w:hint="eastAsia" w:ascii="宋体" w:hAnsi="宋体" w:eastAsia="宋体" w:cs="宋体"/>
          <w:sz w:val="24"/>
          <w:szCs w:val="24"/>
        </w:rPr>
      </w:pPr>
      <w:r>
        <w:rPr>
          <w:rFonts w:hint="eastAsia" w:ascii="宋体" w:hAnsi="宋体" w:eastAsia="宋体" w:cs="宋体"/>
          <w:sz w:val="24"/>
          <w:szCs w:val="24"/>
        </w:rPr>
        <w:t xml:space="preserve">18.3</w:t>
      </w:r>
      <w:r>
        <w:rPr>
          <w:rFonts w:hint="eastAsia" w:ascii="宋体" w:hAnsi="宋体" w:eastAsia="宋体" w:cs="宋体"/>
          <w:b/>
          <w:bCs/>
          <w:sz w:val="24"/>
          <w:szCs w:val="24"/>
        </w:rPr>
        <w:t xml:space="preserve">电子投标文件制作完成后请于投标文件网上提交截止时间前成功上传至“苏采云”系统，否则视为放弃参加该采购项目。</w:t>
      </w:r>
      <w:r>
        <w:rPr>
          <w:rFonts w:hint="eastAsia" w:ascii="宋体" w:hAnsi="宋体" w:eastAsia="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E投标文件的递交、补充、修改和撤回</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19.投标文件的递交</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19.1投标人应当在在投标截止时间前制作并上传电子投标文件。</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19.2投标人通过</w:t>
      </w:r>
      <w:r>
        <w:rPr>
          <w:rFonts w:hint="eastAsia" w:ascii="宋体" w:hAnsi="宋体" w:eastAsia="宋体" w:cs="宋体"/>
          <w:b/>
          <w:bCs/>
          <w:sz w:val="24"/>
          <w:szCs w:val="24"/>
        </w:rPr>
        <w:t xml:space="preserve">“苏采云”系统不见面开标大厅在线参与开标活动。（具体操作详见《苏采云系统供应商操作手册》，网址链接https://czju.suzhou.gov.cn/zfcg/html/content/20231220161910031.shtml）</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20.投标截止时间</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20.1投标人应当在招标文件要求投标文件网上提交截止时间前，将投标文件完成提交（上传）。逾期提交（上传）的投标文件，采购人和采购代理机构拒绝接收。</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20.2采购人和采购代理机构推迟投标截止时间时，将按本须知规定的更正公告的方式对外发布。在这种情况下，采购人、采购代理机构和投标人的权利和义务将受到新的截止期的约束。</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20.3在投标截止时间止成功解密的投标文件少于三份，采购代理机构有权宣布本次招标失败。</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21.投标文件的补充、修改和撤回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F开标和评标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22.开标</w:t>
      </w:r>
      <w:r/>
    </w:p>
    <w:p>
      <w:pPr>
        <w:pStyle w:val="1122"/>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22.1开标由采购代理机构</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主持，邀请投标人</w:t>
      </w:r>
      <w:r>
        <w:rPr>
          <w:rFonts w:hint="eastAsia" w:ascii="宋体" w:hAnsi="宋体" w:eastAsia="宋体" w:cs="宋体"/>
          <w:color w:val="000000" w:themeColor="text1"/>
          <w:sz w:val="24"/>
          <w:szCs w:val="24"/>
          <w:lang w:val="en-US"/>
          <w14:textFill>
            <w14:solidFill>
              <w14:schemeClr w14:val="tx1"/>
            </w14:solidFill>
          </w14:textFill>
        </w:rPr>
        <w:t xml:space="preserve">在线</w:t>
      </w:r>
      <w:r>
        <w:rPr>
          <w:rFonts w:hint="eastAsia" w:ascii="宋体" w:hAnsi="宋体" w:eastAsia="宋体" w:cs="宋体"/>
          <w:color w:val="000000" w:themeColor="text1"/>
          <w:sz w:val="24"/>
          <w:szCs w:val="24"/>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14:textFill>
            <w14:solidFill>
              <w14:schemeClr w14:val="tx1"/>
            </w14:solidFill>
          </w14:textFill>
        </w:rPr>
        <w:t xml:space="preserve">。评标委员会成员不得参加开标活动。</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22.3资格审查</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22.3.1公开招标采购项目开标结束后，采购人应当依法对投标人的资格进行审查，未通过资格审查的视为无效投标。</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22.3.2根据政府采购法及相关法规，以及苏州市财政局《关于印发苏州市市级政府采购信用记录查询和使用工作试行办法的通知》（苏财购（2017）11号）文件的规定，采购代理机构将对供应商进行信用查询：</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22.3.2.1查询时间：投标文件递交截止时间。</w:t>
      </w:r>
      <w:r/>
    </w:p>
    <w:p>
      <w:pPr>
        <w:pStyle w:val="1122"/>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22.3.2.2查询渠道</w:t>
      </w:r>
      <w:r>
        <w:rPr>
          <w:rFonts w:hint="eastAsia" w:ascii="宋体" w:hAnsi="宋体" w:eastAsia="宋体" w:cs="宋体"/>
          <w:b/>
          <w:sz w:val="24"/>
          <w:szCs w:val="24"/>
        </w:rPr>
        <w:t xml:space="preserve">：</w:t>
      </w:r>
      <w:r>
        <w:rPr>
          <w:rFonts w:hint="eastAsia" w:ascii="宋体" w:hAnsi="宋体" w:eastAsia="宋体" w:cs="宋体"/>
          <w:color w:val="000000" w:themeColor="text1"/>
          <w:sz w:val="24"/>
          <w:szCs w:val="24"/>
          <w14:textFill>
            <w14:solidFill>
              <w14:schemeClr w14:val="tx1"/>
            </w14:solidFill>
          </w14:textFill>
        </w:rPr>
        <w:t xml:space="preserve">采购代理机构会在接收投标文件截止时间后，登录信用中国网站（www.creditchina.gov.cn）和中国政府采购网（www.ccgp.gov.cn/）查询供应商的信用记录，并将查询结果递交评标委员会。</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122"/>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23.评标委员会或评标小组</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23.1评标委员会由采购人或采购代理机构依法组建。</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23.2评标委员会负责具体的评标事务，并独立履行以下职责：</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23.2.1审查、评价投标文件是否符合招标文件的商务、技术等实质性要求；</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23.2.2要求投标人对投标文件有关事项作出澄清或者说明；</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23.2.3对投标文件进行比较和评价；</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23.2.4确定中标候选人名单，以及根据采购人委托直接确定中标人；</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23.2.5向采购人、采购代理机构或者有关部门报告评标中发现的违法行为。</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23.3评标委员会成员应当履行下列义务：</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23.3.1遵纪守法，客观、公正、廉洁地履行职责；</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23.3.2按照招标文件规定的评标办法和评标标准进行评标，对评审意见承担个人责任；</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23.3.3对评标过程和结果，以及投标人的商业秘密保密；</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23.3.4参与评审报告的起草；</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23.3.5配合相关部门的投诉处理工作；</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23.3.6配合采购人或采购代理机构答复投标供应商提出的质疑。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24.评标内容的保密</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24.1公开开标后，直到宣布授予中标单位合同为止，凡属于审查、澄清、评价和比较投标的所有资料，有关授予合同的信息都不应向投标人或与评标无关的其他人泄露。</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24.2在投标文件的审查、澄清、评价和比较以及授予合同的过程中，投标人对采购人或采购代理机构和评标委员会成员施加影响的任何行为，都将取消其中标资格。</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25.对投标文件初审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25.1开标后，评标委员会在初审过程中有权拒绝有下列情况之一的投标文件：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25.1.1投标人的投标文件未按照本须知规定制作的；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25.1.2与招标文件有重大偏离；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25.1.3投标人拒绝修正错误；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25.1.4投标人的报价是选择性的；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25.1.5投标人的报价只投了部分内容；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25.1.6投标人的投标文件出现了评标委员会认为不应当雷同的情况；</w:t>
      </w:r>
      <w:r/>
    </w:p>
    <w:p>
      <w:pPr>
        <w:ind w:firstLine="480"/>
        <w:spacing w:line="360" w:lineRule="auto"/>
        <w:rPr>
          <w:rFonts w:hint="eastAsia" w:ascii="宋体" w:hAnsi="宋体" w:eastAsia="宋体" w:cs="宋体"/>
          <w:b/>
          <w:sz w:val="24"/>
          <w:szCs w:val="24"/>
          <w:u w:val="single"/>
        </w:rPr>
      </w:pPr>
      <w:r>
        <w:rPr>
          <w:rFonts w:hint="eastAsia" w:ascii="宋体" w:hAnsi="宋体" w:eastAsia="宋体" w:cs="宋体"/>
          <w:sz w:val="24"/>
          <w:szCs w:val="24"/>
        </w:rPr>
        <w:t xml:space="preserve">25.1.7其他被评标委员会认定无效的情况。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25.4评标委员会将拒绝被确定为非实质性响应的投标，投标人不能通过修正或撤销不符之处而使其投标成为实质性响应的投标。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22"/>
        <w:ind w:firstLine="422"/>
        <w:spacing w:line="360" w:lineRule="auto"/>
        <w:rPr>
          <w:rFonts w:hint="eastAsia" w:ascii="宋体" w:hAnsi="宋体" w:eastAsia="宋体" w:cs="宋体"/>
          <w:b/>
          <w:sz w:val="24"/>
          <w:szCs w:val="24"/>
        </w:rPr>
      </w:pPr>
      <w:r/>
      <w:bookmarkStart w:id="34" w:name="OLE_LINK20"/>
      <w:r>
        <w:rPr>
          <w:rFonts w:hint="eastAsia" w:ascii="宋体" w:hAnsi="宋体" w:eastAsia="宋体" w:cs="宋体"/>
          <w:b/>
          <w:sz w:val="24"/>
          <w:szCs w:val="24"/>
        </w:rPr>
        <w:t xml:space="preserve">25.6异常低价投标审查</w:t>
      </w:r>
      <w:bookmarkEnd w:id="34"/>
      <w:r/>
      <w:r/>
    </w:p>
    <w:p>
      <w:pPr>
        <w:pStyle w:val="112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25.6.1评标过程中出现下列情形之一的，</w:t>
      </w:r>
      <w:bookmarkStart w:id="35" w:name="OLE_LINK6"/>
      <w:r/>
      <w:bookmarkStart w:id="36" w:name="OLE_LINK5"/>
      <w:r>
        <w:rPr>
          <w:rFonts w:hint="eastAsia" w:ascii="宋体" w:hAnsi="宋体" w:eastAsia="宋体" w:cs="宋体"/>
          <w:b/>
          <w:sz w:val="24"/>
          <w:szCs w:val="24"/>
          <w:lang w:val="en-US"/>
        </w:rPr>
        <w:t xml:space="preserve">评标</w:t>
      </w:r>
      <w:bookmarkEnd w:id="35"/>
      <w:r/>
      <w:bookmarkEnd w:id="36"/>
      <w:r>
        <w:rPr>
          <w:rFonts w:hint="eastAsia" w:ascii="宋体" w:hAnsi="宋体" w:eastAsia="宋体" w:cs="宋体"/>
          <w:b/>
          <w:sz w:val="24"/>
          <w:szCs w:val="24"/>
          <w:lang w:val="en-US"/>
        </w:rPr>
        <w:t xml:space="preserve">委员会应当启动异常低价投标审查程序：</w:t>
      </w:r>
      <w:r/>
    </w:p>
    <w:p>
      <w:pPr>
        <w:pStyle w:val="112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（一）投标报价低于全部通过符合性审查供应商投标报价平均值50%的，即投标报价&lt;全部通过符合性审查供应商投标报价平均值×50%；</w:t>
      </w:r>
      <w:r/>
    </w:p>
    <w:p>
      <w:pPr>
        <w:pStyle w:val="112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（二）投标报价低于通过符合性审查的次低报价供应商投标报价50%的，即投标报价&lt;通过符合性审查的次低报价供应商投标报价×50%；</w:t>
      </w:r>
      <w:r/>
    </w:p>
    <w:p>
      <w:pPr>
        <w:pStyle w:val="112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（三）投标报价低于采购项目最高限价45%的，即投标报价&lt;采购项目最高限价×45%；</w:t>
      </w:r>
      <w:r/>
    </w:p>
    <w:p>
      <w:pPr>
        <w:pStyle w:val="112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（四）评标委员会基于专业判断，认为供应商报价过低，有可能影响产品质量或者不能诚信履约的其他情形。</w:t>
      </w:r>
      <w:r/>
    </w:p>
    <w:p>
      <w:pPr>
        <w:pStyle w:val="1122"/>
        <w:ind w:firstLine="422"/>
        <w:spacing w:line="360" w:lineRule="auto"/>
        <w:rPr>
          <w:rFonts w:hint="eastAsia" w:ascii="宋体" w:hAnsi="宋体" w:eastAsia="宋体" w:cs="宋体"/>
          <w:sz w:val="24"/>
          <w:szCs w:val="24"/>
          <w:shd w:val="clear" w:color="auto" w:fill="ffffff"/>
        </w:rPr>
      </w:pPr>
      <w:r/>
      <w:bookmarkStart w:id="37" w:name="OLE_LINK3"/>
      <w:r/>
      <w:bookmarkStart w:id="38" w:name="OLE_LINK4"/>
      <w:r>
        <w:rPr>
          <w:rFonts w:hint="eastAsia" w:ascii="宋体" w:hAnsi="宋体" w:eastAsia="宋体" w:cs="宋体"/>
          <w:b/>
          <w:sz w:val="24"/>
          <w:szCs w:val="24"/>
          <w:lang w:val="en-US"/>
        </w:rPr>
        <w:t xml:space="preserve">25.6.</w:t>
      </w:r>
      <w:r>
        <w:rPr>
          <w:rFonts w:hint="eastAsia" w:ascii="宋体" w:hAnsi="宋体" w:eastAsia="宋体" w:cs="宋体"/>
          <w:b/>
          <w:sz w:val="24"/>
          <w:szCs w:val="24"/>
        </w:rPr>
        <w:t xml:space="preserve">2启动异常低价投标审查后，评标委员会应当要求相关供应商在评标现场合理的时间内对投标价格作出解释，提供项目具体成本测算等与报价合理性相关的书面说明及相关证明材料</w:t>
      </w:r>
      <w:bookmarkStart w:id="39" w:name="OLE_LINK9"/>
      <w:r/>
      <w:bookmarkStart w:id="40" w:name="OLE_LINK10"/>
      <w:r>
        <w:rPr>
          <w:rFonts w:hint="eastAsia" w:ascii="宋体" w:hAnsi="宋体" w:eastAsia="宋体" w:cs="宋体"/>
          <w:b/>
          <w:sz w:val="24"/>
          <w:szCs w:val="24"/>
        </w:rPr>
        <w:t xml:space="preserve">，</w:t>
      </w:r>
      <w:bookmarkEnd w:id="39"/>
      <w:r/>
      <w:bookmarkEnd w:id="40"/>
      <w:r>
        <w:rPr>
          <w:rFonts w:hint="eastAsia" w:ascii="宋体" w:hAnsi="宋体" w:eastAsia="宋体" w:cs="宋体"/>
          <w:b/>
          <w:sz w:val="24"/>
          <w:szCs w:val="24"/>
        </w:rPr>
        <w:t xml:space="preserve">包括但不限于原材料成本、人工成本、制造费用等，给予相关供应商的合理时间一般不少于30分钟。其中，属于25.6.1第（三）项情形，供应商已随投标文件一并提交相关书面说明及必要的证明材料的，在评审现场可不再重复提交。</w:t>
      </w:r>
      <w:r/>
    </w:p>
    <w:p>
      <w:pPr>
        <w:pStyle w:val="112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12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25.6.4</w:t>
      </w:r>
      <w:r>
        <w:rPr>
          <w:rFonts w:hint="eastAsia" w:ascii="宋体" w:hAnsi="宋体" w:eastAsia="宋体" w:cs="宋体"/>
          <w:b/>
          <w:sz w:val="24"/>
          <w:szCs w:val="24"/>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22"/>
        <w:ind w:firstLine="422"/>
        <w:spacing w:line="360" w:lineRule="auto"/>
        <w:rPr>
          <w:rFonts w:hint="eastAsia" w:ascii="宋体" w:hAnsi="宋体" w:eastAsia="宋体" w:cs="宋体"/>
          <w:b/>
          <w:sz w:val="24"/>
          <w:szCs w:val="24"/>
          <w:lang w:val="en-US"/>
        </w:rPr>
      </w:pPr>
      <w:r>
        <w:rPr>
          <w:rFonts w:hint="eastAsia" w:ascii="宋体" w:hAnsi="宋体" w:eastAsia="宋体" w:cs="宋体"/>
          <w:b/>
          <w:sz w:val="24"/>
          <w:szCs w:val="24"/>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25.7评标委员会对投标文件的判定，只依据投标内容本身，不依靠开标后的任何外来证明。</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26.投标的澄清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26.1对于投标文件中含义不明确、同类问题表述不一致或者有明显文字和计算错误的内容，评标委员会应当以书面形式要求投标人作出必要的澄清、说明或者补正。</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公章。投标人的澄清、说明或者补正不得超出投标文件的范围或者改变投标文件的实质性内容。</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themeColor="text1"/>
          <w:sz w:val="24"/>
          <w:szCs w:val="24"/>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122"/>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27.投标无效</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27.1投标人存在下列情况之一的，投标无效:</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一</w:t>
      </w:r>
      <w:r>
        <w:rPr>
          <w:rFonts w:hint="eastAsia" w:ascii="宋体" w:hAnsi="宋体" w:eastAsia="宋体" w:cs="宋体"/>
          <w:sz w:val="24"/>
          <w:szCs w:val="24"/>
        </w:rPr>
        <w:t xml:space="preserve">）投标文件未按招标文件要求签署、盖章的；</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二</w:t>
      </w:r>
      <w:r>
        <w:rPr>
          <w:rFonts w:hint="eastAsia" w:ascii="宋体" w:hAnsi="宋体" w:eastAsia="宋体" w:cs="宋体"/>
          <w:sz w:val="24"/>
          <w:szCs w:val="24"/>
        </w:rPr>
        <w:t xml:space="preserve">）不具备招标文件中规定的资格要求的；</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三</w:t>
      </w:r>
      <w:r>
        <w:rPr>
          <w:rFonts w:hint="eastAsia" w:ascii="宋体" w:hAnsi="宋体" w:eastAsia="宋体" w:cs="宋体"/>
          <w:sz w:val="24"/>
          <w:szCs w:val="24"/>
        </w:rPr>
        <w:t xml:space="preserve">）报价超过招标文件中规定的预算金额或者最高限价的；</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）投标文件含有采购人不能接受的附加条件的；</w:t>
      </w:r>
      <w:r/>
    </w:p>
    <w:p>
      <w:pPr>
        <w:pStyle w:val="1122"/>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（五）机器码检查中，出现不同投标人投标文件机器码一致情形的；</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（六）法律、法规和招标文件规定的其他无效情形。</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27.2投标人应当遵循公平竞争的原则，不得恶意串通，不得妨碍其他投标人的竞争行为，不得损害采购人或者其他投标人的合法权益。</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27.3有下列情形之一的，视为投标人串通投标，其投标无效：</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（一）不同投标人的投标文件由同一单位或者个人编制；</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（二）不同投标人委托同一单位或者个人办理投标事宜；</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（三）不同投标人的投标文件载明的项目管理成员或者联系人员为同一人；</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（四）不同投标人的投标文件异常一致或者投标报价呈规律性差异；</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（五）不同投标人的投标文件相互混装。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28.1在招标过程中，出现下列情况之一的，应予废标：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28.1.1符合专业条件的供应商或者对招标文件作实质响应的供应商不足三家的；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28.1.2出现影响采购公正的违法、违规行为的；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28.1.3投标人的报价均超过了采购预算，采购人不能支付的；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28.1.4因重大变故，采购任务取消的；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28.2废标后，采购代理机构将把废标的理由通知所有投标人。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29.投标文件的评价和比较</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993"/>
        <w:ind w:firstLine="482"/>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29.2最低的投标报价是中标的重要条件，但不是唯一条件。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G授予合同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30.中标单位的确认</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31.合同授予标准</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采购人将把合同授予其投标文件在实质上响应招标文件要求和按本须知规定评选出的投标人。确定为中标的投标人必须具有实施本合同的能力和资源。</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32.中标通知书</w:t>
      </w:r>
      <w:r/>
    </w:p>
    <w:p>
      <w:pPr>
        <w:pStyle w:val="1122"/>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32.1确定出中标人后，采购代理机构在法定时间内向中标人发出中标通知书。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32.2中标通知书将成为合同的组成部分，对采购人和中标人具有同等法律效力。</w:t>
      </w:r>
      <w:r/>
    </w:p>
    <w:p>
      <w:pPr>
        <w:pStyle w:val="1122"/>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32.3中标通知书发出后，采购人不得违法改变中标结果，中标人无正当理由不得放弃中标。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33.合同的签订</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33.1中标单位应按中标通知书中规定的时间和地点，由法定代表人或授权代理人与甲方代表签订合同。</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33.2签订合同及合同条款应以招标文件和中标单位的投标文件及其澄清文件为依据。</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H其他事项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34.代理服务费</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34.1中标单位须按前附表的规定计算并支付代理服务费，该费用应在领取中标通知书时付清。</w:t>
      </w:r>
      <w:r/>
    </w:p>
    <w:p>
      <w:pPr>
        <w:pStyle w:val="993"/>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34.2中标单位如果未按规定缴纳代理服务费，采购代理机构将保留诉讼的权利。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34.3缴纳代理服务费时，如供应商为增值税一般纳税人且需增值税专用发票的，则须提供开票信息。</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35.监督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有关监督部门将对招投标全过程进行监督。</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36.未尽事宜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rPr>
          <w:rFonts w:hint="eastAsia" w:ascii="宋体" w:hAnsi="宋体" w:eastAsia="宋体"/>
          <w:sz w:val="32"/>
          <w:szCs w:val="32"/>
        </w:rPr>
      </w:pPr>
      <w:r>
        <w:rPr>
          <w:rFonts w:ascii="宋体" w:hAnsi="宋体" w:eastAsia="宋体"/>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980"/>
        <w:jc w:val="center"/>
        <w:rPr>
          <w:rFonts w:hint="eastAsia" w:ascii="宋体" w:hAnsi="宋体" w:eastAsia="宋体"/>
          <w:b w:val="0"/>
          <w:sz w:val="52"/>
        </w:rPr>
      </w:pPr>
      <w:r/>
      <w:bookmarkStart w:id="41" w:name="_Toc11308"/>
      <w:r>
        <w:rPr>
          <w:rFonts w:hint="eastAsia" w:ascii="宋体" w:hAnsi="宋体" w:eastAsia="宋体"/>
          <w:sz w:val="52"/>
        </w:rPr>
        <w:t xml:space="preserve">第三章</w:t>
      </w:r>
      <w:r>
        <w:rPr>
          <w:rFonts w:hint="eastAsia" w:ascii="宋体" w:hAnsi="宋体" w:eastAsia="宋体"/>
          <w:sz w:val="52"/>
          <w:lang w:val="en-US" w:eastAsia="zh-CN"/>
        </w:rPr>
        <w:t xml:space="preserve"> </w:t>
      </w:r>
      <w:r>
        <w:rPr>
          <w:rFonts w:hint="eastAsia" w:ascii="宋体" w:hAnsi="宋体" w:eastAsia="宋体"/>
          <w:sz w:val="52"/>
        </w:rPr>
        <w:t xml:space="preserve">投标文件格式</w:t>
      </w:r>
      <w:bookmarkEnd w:id="41"/>
      <w:r/>
      <w:r/>
    </w:p>
    <w:p>
      <w:pPr>
        <w:pStyle w:val="993"/>
        <w:ind w:firstLine="0"/>
        <w:spacing w:line="360" w:lineRule="auto"/>
        <w:rPr>
          <w:rFonts w:hint="eastAsia" w:ascii="宋体" w:hAnsi="宋体" w:eastAsia="宋体"/>
          <w:b/>
        </w:rPr>
      </w:pPr>
      <w:r>
        <w:rPr>
          <w:rFonts w:hint="eastAsia" w:ascii="宋体" w:hAnsi="宋体" w:eastAsia="宋体"/>
          <w:b/>
        </w:rPr>
        <w:t xml:space="preserve">说明：</w:t>
      </w:r>
      <w:r/>
    </w:p>
    <w:p>
      <w:pPr>
        <w:pStyle w:val="993"/>
        <w:ind w:firstLine="482"/>
        <w:spacing w:line="360" w:lineRule="auto"/>
        <w:rPr>
          <w:rFonts w:hint="eastAsia" w:ascii="宋体" w:hAnsi="宋体" w:eastAsia="宋体"/>
          <w:b/>
        </w:rPr>
      </w:pPr>
      <w:r>
        <w:rPr>
          <w:rFonts w:hint="eastAsia" w:ascii="宋体" w:hAnsi="宋体" w:eastAsia="宋体"/>
          <w:b/>
        </w:rPr>
        <w:t xml:space="preserve">对本章所有的投标书格式，投标人的补充不得造成与本格式内容有实质性的违背。</w:t>
      </w:r>
      <w:r/>
    </w:p>
    <w:p>
      <w:pPr>
        <w:pStyle w:val="993"/>
        <w:ind w:firstLine="0"/>
        <w:rPr>
          <w:rFonts w:hint="eastAsia" w:ascii="宋体" w:hAnsi="宋体" w:eastAsia="宋体"/>
          <w:b/>
        </w:rPr>
        <w:outlineLvl w:val="1"/>
      </w:pPr>
      <w:r>
        <w:rPr>
          <w:rFonts w:ascii="宋体" w:hAnsi="宋体" w:eastAsia="宋体"/>
          <w:b/>
          <w:sz w:val="28"/>
        </w:rPr>
        <w:br w:type="page" w:clear="all"/>
      </w:r>
      <w:r>
        <w:rPr>
          <w:rFonts w:hint="eastAsia" w:ascii="宋体" w:hAnsi="宋体" w:eastAsia="宋体"/>
          <w:b/>
        </w:rPr>
        <w:t xml:space="preserve">1、授权委托书</w:t>
      </w:r>
      <w:r/>
    </w:p>
    <w:p>
      <w:pPr>
        <w:pStyle w:val="993"/>
        <w:ind w:firstLine="0"/>
        <w:rPr>
          <w:rFonts w:hint="eastAsia" w:ascii="宋体" w:hAnsi="宋体" w:eastAsia="宋体"/>
        </w:rPr>
      </w:pPr>
      <w:r>
        <w:rPr>
          <w:rFonts w:hint="eastAsia" w:ascii="宋体" w:hAnsi="宋体" w:eastAsia="宋体"/>
        </w:rPr>
      </w:r>
      <w:r/>
    </w:p>
    <w:p>
      <w:pPr>
        <w:pStyle w:val="993"/>
        <w:ind w:firstLine="0"/>
        <w:jc w:val="center"/>
        <w:spacing w:line="360" w:lineRule="auto"/>
        <w:rPr>
          <w:rFonts w:hint="eastAsia" w:ascii="宋体" w:hAnsi="宋体" w:eastAsia="宋体"/>
        </w:rPr>
      </w:pPr>
      <w:r>
        <w:rPr>
          <w:rFonts w:hint="eastAsia" w:ascii="宋体" w:hAnsi="宋体" w:eastAsia="宋体"/>
        </w:rPr>
      </w:r>
      <w:r/>
    </w:p>
    <w:p>
      <w:pPr>
        <w:pStyle w:val="1171"/>
        <w:jc w:val="center"/>
        <w:rPr>
          <w:b/>
        </w:rPr>
      </w:pPr>
      <w:r>
        <w:rPr>
          <w:rFonts w:hint="eastAsia"/>
        </w:rPr>
        <w:t xml:space="preserve">授权委托书</w:t>
      </w:r>
      <w:r/>
    </w:p>
    <w:p>
      <w:pPr>
        <w:pStyle w:val="993"/>
        <w:ind w:firstLine="0"/>
        <w:jc w:val="center"/>
        <w:spacing w:line="360" w:lineRule="auto"/>
        <w:rPr>
          <w:rFonts w:hint="eastAsia" w:ascii="宋体" w:hAnsi="宋体" w:eastAsia="宋体"/>
        </w:rPr>
      </w:pPr>
      <w:r>
        <w:rPr>
          <w:rFonts w:hint="eastAsia" w:ascii="宋体" w:hAnsi="宋体" w:eastAsia="宋体"/>
        </w:rPr>
      </w:r>
      <w:r/>
    </w:p>
    <w:p>
      <w:pPr>
        <w:pStyle w:val="993"/>
        <w:ind w:firstLine="0"/>
        <w:jc w:val="center"/>
        <w:spacing w:line="360" w:lineRule="auto"/>
        <w:rPr>
          <w:rFonts w:hint="eastAsia" w:ascii="宋体" w:hAnsi="宋体" w:eastAsia="宋体"/>
        </w:rPr>
      </w:pPr>
      <w:r>
        <w:rPr>
          <w:rFonts w:hint="eastAsia" w:ascii="宋体" w:hAnsi="宋体" w:eastAsia="宋体"/>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（投标单位名称）的法定代表人，现授权委托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（姓名）为我公司代理人，以本公司的名义参加苏州鸿鑫工程咨询有限公司组织实施的编号为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号的招标活动。代理人在开标、评标、合同投标过程中所签署的一切文件和处理与这有关的一切事务，我均予以承认。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993"/>
        <w:ind w:firstLine="480"/>
        <w:jc w:val="both"/>
        <w:spacing w:line="360" w:lineRule="auto"/>
        <w:rPr>
          <w:rFonts w:hint="eastAsia" w:ascii="宋体" w:hAnsi="宋体" w:eastAsia="宋体"/>
        </w:rPr>
      </w:pPr>
      <w:r>
        <w:rPr>
          <w:rFonts w:hint="eastAsia" w:ascii="宋体" w:hAnsi="宋体" w:eastAsia="宋体"/>
        </w:rPr>
      </w:r>
      <w:r/>
    </w:p>
    <w:p>
      <w:pPr>
        <w:pStyle w:val="993"/>
        <w:ind w:firstLine="480"/>
        <w:jc w:val="both"/>
        <w:spacing w:line="360" w:lineRule="auto"/>
        <w:rPr>
          <w:rFonts w:hint="eastAsia" w:ascii="宋体" w:hAnsi="宋体" w:eastAsia="宋体"/>
        </w:rPr>
      </w:pPr>
      <w:r>
        <w:rPr>
          <w:rFonts w:hint="eastAsia" w:ascii="宋体" w:hAnsi="宋体" w:eastAsia="宋体"/>
        </w:rPr>
      </w:r>
      <w:r/>
    </w:p>
    <w:p>
      <w:pPr>
        <w:pStyle w:val="993"/>
        <w:ind w:firstLine="480"/>
        <w:jc w:val="both"/>
        <w:spacing w:line="360" w:lineRule="auto"/>
        <w:rPr>
          <w:rFonts w:hint="eastAsia" w:ascii="宋体" w:hAnsi="宋体" w:eastAsia="宋体"/>
        </w:rPr>
      </w:pPr>
      <w:r>
        <w:rPr>
          <w:rFonts w:hint="eastAsia" w:ascii="宋体" w:hAnsi="宋体" w:eastAsia="宋体"/>
        </w:rPr>
        <w:t xml:space="preserve">投标单位：（盖章）</w:t>
      </w:r>
      <w:r/>
    </w:p>
    <w:p>
      <w:pPr>
        <w:pStyle w:val="993"/>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993"/>
        <w:ind w:firstLine="480"/>
        <w:jc w:val="both"/>
        <w:spacing w:line="360" w:lineRule="auto"/>
        <w:rPr>
          <w:rFonts w:hint="eastAsia" w:ascii="宋体" w:hAnsi="宋体" w:eastAsia="宋体"/>
        </w:rPr>
      </w:pPr>
      <w:r>
        <w:rPr>
          <w:rFonts w:hint="eastAsia" w:ascii="宋体" w:hAnsi="宋体" w:eastAsia="宋体"/>
        </w:rPr>
        <w:t xml:space="preserve">代理人：（签字或盖章）</w:t>
      </w:r>
      <w:r/>
    </w:p>
    <w:p>
      <w:pPr>
        <w:pStyle w:val="1173"/>
        <w:ind w:firstLine="480"/>
        <w:spacing w:line="360" w:lineRule="auto"/>
        <w:rPr>
          <w:rFonts w:hint="eastAsia" w:hAnsi="宋体" w:eastAsia="宋体"/>
          <w:sz w:val="24"/>
        </w:rPr>
      </w:pPr>
      <w:r>
        <w:rPr>
          <w:rFonts w:hint="eastAsia" w:hAnsi="宋体" w:eastAsia="宋体"/>
          <w:sz w:val="24"/>
        </w:rPr>
        <w:t xml:space="preserve">日期：        年   月   日</w:t>
      </w:r>
      <w:r/>
    </w:p>
    <w:p>
      <w:pPr>
        <w:pStyle w:val="993"/>
        <w:jc w:val="right"/>
        <w:rPr>
          <w:rFonts w:hint="eastAsia" w:ascii="宋体" w:hAnsi="宋体" w:eastAsia="宋体"/>
        </w:rPr>
      </w:pPr>
      <w:r>
        <w:rPr>
          <w:rFonts w:hint="eastAsia" w:ascii="宋体" w:hAnsi="宋体" w:eastAsia="宋体"/>
        </w:rPr>
      </w:r>
      <w:r/>
    </w:p>
    <w:p>
      <w:pPr>
        <w:pStyle w:val="993"/>
        <w:jc w:val="right"/>
        <w:rPr>
          <w:rFonts w:hint="eastAsia" w:ascii="宋体" w:hAnsi="宋体" w:eastAsia="宋体"/>
        </w:rPr>
      </w:pPr>
      <w:r>
        <w:rPr>
          <w:rFonts w:hint="eastAsia" w:ascii="宋体" w:hAnsi="宋体" w:eastAsia="宋体"/>
        </w:rPr>
      </w:r>
      <w:r/>
    </w:p>
    <w:p>
      <w:pPr>
        <w:pStyle w:val="993"/>
        <w:jc w:val="right"/>
        <w:rPr>
          <w:rFonts w:hint="eastAsia" w:ascii="宋体" w:hAnsi="宋体" w:eastAsia="宋体"/>
        </w:rPr>
      </w:pPr>
      <w:r>
        <w:rPr>
          <w:rFonts w:hint="eastAsia" w:ascii="宋体" w:hAnsi="宋体" w:eastAsia="宋体"/>
        </w:rPr>
      </w:r>
      <w:r/>
    </w:p>
    <w:p>
      <w:pPr>
        <w:pStyle w:val="993"/>
        <w:jc w:val="center"/>
        <w:rPr>
          <w:rFonts w:hint="eastAsia" w:ascii="宋体" w:hAnsi="宋体" w:eastAsia="宋体"/>
        </w:rPr>
      </w:pPr>
      <w:r>
        <w:rPr>
          <w:rFonts w:hint="eastAsia" w:ascii="宋体" w:hAnsi="宋体" w:eastAsia="宋体"/>
        </w:rPr>
      </w:r>
      <w:r/>
    </w:p>
    <w:p>
      <w:pPr>
        <w:pStyle w:val="993"/>
        <w:jc w:val="center"/>
        <w:rPr>
          <w:rFonts w:hint="eastAsia" w:ascii="宋体" w:hAnsi="宋体" w:eastAsia="宋体"/>
          <w:b/>
        </w:rPr>
      </w:pPr>
      <w:r>
        <w:rPr>
          <w:rFonts w:hAnsi="宋体" w:eastAsia="宋体"/>
          <w:b/>
        </w:rPr>
        <w:br w:type="page" w:clear="all"/>
      </w:r>
      <w:r/>
    </w:p>
    <w:p>
      <w:pPr>
        <w:pStyle w:val="993"/>
        <w:ind w:firstLine="0"/>
        <w:jc w:val="both"/>
        <w:spacing w:line="360" w:lineRule="auto"/>
        <w:rPr>
          <w:rFonts w:hint="eastAsia" w:ascii="宋体" w:hAnsi="宋体" w:eastAsia="宋体"/>
          <w:b/>
        </w:rPr>
        <w:outlineLvl w:val="1"/>
      </w:pPr>
      <w:r>
        <w:rPr>
          <w:rFonts w:hint="eastAsia" w:ascii="宋体" w:hAnsi="宋体" w:eastAsia="宋体"/>
          <w:b/>
        </w:rPr>
        <w:t xml:space="preserve">2、投标函</w:t>
      </w:r>
      <w:r/>
    </w:p>
    <w:p>
      <w:pPr>
        <w:pStyle w:val="1082"/>
        <w:jc w:val="center"/>
        <w:spacing w:line="320" w:lineRule="exact"/>
        <w:rPr>
          <w:rFonts w:hint="eastAsia" w:hAnsi="宋体" w:eastAsia="宋体"/>
          <w:sz w:val="24"/>
          <w:szCs w:val="24"/>
        </w:rPr>
      </w:pPr>
      <w:r>
        <w:rPr>
          <w:rFonts w:hint="eastAsia" w:hAnsi="宋体" w:eastAsia="宋体"/>
          <w:sz w:val="24"/>
          <w:szCs w:val="24"/>
        </w:rPr>
        <w:t xml:space="preserve">投标函</w:t>
      </w:r>
      <w:r/>
    </w:p>
    <w:p>
      <w:pPr>
        <w:pStyle w:val="1082"/>
        <w:jc w:val="center"/>
        <w:spacing w:line="320" w:lineRule="exact"/>
        <w:rPr>
          <w:rFonts w:hint="eastAsia" w:hAnsi="宋体" w:eastAsia="宋体"/>
          <w:sz w:val="24"/>
          <w:szCs w:val="24"/>
        </w:rPr>
      </w:pPr>
      <w:r>
        <w:rPr>
          <w:rFonts w:hint="eastAsia" w:hAnsi="宋体" w:eastAsia="宋体"/>
          <w:sz w:val="24"/>
          <w:szCs w:val="24"/>
        </w:rPr>
      </w:r>
      <w:r/>
    </w:p>
    <w:p>
      <w:pPr>
        <w:pStyle w:val="1082"/>
        <w:spacing w:line="320" w:lineRule="exact"/>
        <w:rPr>
          <w:rFonts w:hint="eastAsia" w:hAnsi="宋体" w:eastAsia="宋体"/>
          <w:sz w:val="24"/>
        </w:rPr>
      </w:pPr>
      <w:r>
        <w:rPr>
          <w:rFonts w:hint="eastAsia" w:hAnsi="宋体" w:eastAsia="宋体"/>
          <w:sz w:val="24"/>
          <w:u w:val="single"/>
        </w:rPr>
        <w:t xml:space="preserve">苏州鸿鑫工程咨询有限公司</w:t>
      </w:r>
      <w:r>
        <w:rPr>
          <w:rFonts w:hint="eastAsia" w:hAnsi="宋体" w:eastAsia="宋体"/>
          <w:sz w:val="24"/>
        </w:rPr>
        <w:t xml:space="preserve">：</w:t>
      </w:r>
      <w:r/>
    </w:p>
    <w:p>
      <w:pPr>
        <w:pStyle w:val="1082"/>
        <w:ind w:firstLine="480"/>
        <w:spacing w:line="320" w:lineRule="exact"/>
        <w:rPr>
          <w:rFonts w:hint="eastAsia" w:hAnsi="宋体" w:eastAsia="宋体"/>
          <w:sz w:val="24"/>
        </w:rPr>
      </w:pPr>
      <w:r>
        <w:rPr>
          <w:rFonts w:hint="eastAsia" w:hAnsi="宋体" w:eastAsia="宋体"/>
          <w:sz w:val="24"/>
        </w:rPr>
        <w:t xml:space="preserve">我们收到贵公司</w:t>
      </w:r>
      <w:r>
        <w:rPr>
          <w:rFonts w:hint="eastAsia" w:hAnsi="宋体" w:eastAsia="宋体"/>
          <w:sz w:val="24"/>
          <w:u w:val="single"/>
          <w:lang w:eastAsia="zh-CN"/>
        </w:rPr>
        <w:t xml:space="preserve">JSZC-320506104-SZHX-G2026-0032</w:t>
      </w:r>
      <w:r>
        <w:rPr>
          <w:rFonts w:hint="eastAsia" w:hAnsi="宋体" w:eastAsia="宋体"/>
          <w:sz w:val="24"/>
        </w:rPr>
        <w:t xml:space="preserve">号招标文件，经仔细阅读和研究，我们决定参加投标。</w:t>
      </w:r>
      <w:r/>
    </w:p>
    <w:p>
      <w:pPr>
        <w:pStyle w:val="1082"/>
        <w:ind w:firstLine="480"/>
        <w:spacing w:line="320" w:lineRule="exact"/>
        <w:rPr>
          <w:rFonts w:hint="eastAsia" w:hAnsi="宋体" w:eastAsia="宋体"/>
          <w:sz w:val="24"/>
          <w:highlight w:val="none"/>
        </w:rPr>
      </w:pPr>
      <w:r>
        <w:rPr>
          <w:rFonts w:hAnsi="宋体" w:eastAsia="宋体"/>
          <w:sz w:val="24"/>
        </w:rPr>
        <w:t xml:space="preserve">1</w:t>
      </w:r>
      <w:r>
        <w:rPr>
          <w:rFonts w:hint="eastAsia" w:hAnsi="宋体" w:eastAsia="宋体"/>
          <w:sz w:val="24"/>
        </w:rPr>
        <w:t xml:space="preserve">、我们愿意按照招标文件的一切要</w:t>
      </w:r>
      <w:r>
        <w:rPr>
          <w:rFonts w:hint="eastAsia" w:hAnsi="宋体" w:eastAsia="宋体"/>
          <w:sz w:val="24"/>
          <w:highlight w:val="none"/>
        </w:rPr>
        <w:t xml:space="preserve">求完成该项目的全部内容，我们的所投总价</w:t>
      </w:r>
      <w:r>
        <w:rPr>
          <w:rFonts w:hint="eastAsia" w:hAnsi="宋体" w:eastAsia="宋体"/>
          <w:sz w:val="24"/>
          <w:highlight w:val="none"/>
          <w:lang w:eastAsia="zh-CN"/>
        </w:rPr>
        <w:t xml:space="preserve">包括产品供货、辅助材料、备品备件、运输、仓储、发货、送货、安装、调试、人工、机械、装卸、培训、保险、运费、各种税费、劳保、专利技术及质保等完成本次项目所需的一切费用</w:t>
      </w:r>
      <w:r>
        <w:rPr>
          <w:rFonts w:hint="eastAsia" w:hAnsi="宋体" w:eastAsia="宋体"/>
          <w:sz w:val="24"/>
          <w:szCs w:val="24"/>
          <w:highlight w:val="none"/>
        </w:rPr>
        <w:t xml:space="preserve">。</w:t>
      </w:r>
      <w:r/>
    </w:p>
    <w:p>
      <w:pPr>
        <w:pStyle w:val="1082"/>
        <w:ind w:firstLine="480"/>
        <w:spacing w:line="320" w:lineRule="exact"/>
        <w:rPr>
          <w:rFonts w:hint="eastAsia" w:hAnsi="宋体" w:eastAsia="宋体"/>
          <w:sz w:val="24"/>
          <w:highlight w:val="none"/>
        </w:rPr>
      </w:pPr>
      <w:r>
        <w:rPr>
          <w:rFonts w:hAnsi="宋体" w:eastAsia="宋体"/>
          <w:sz w:val="24"/>
          <w:highlight w:val="none"/>
        </w:rPr>
        <w:t xml:space="preserve">2</w:t>
      </w:r>
      <w:r>
        <w:rPr>
          <w:rFonts w:hint="eastAsia" w:hAnsi="宋体" w:eastAsia="宋体"/>
          <w:sz w:val="24"/>
          <w:highlight w:val="none"/>
        </w:rPr>
        <w:t xml:space="preserve">、如果我们的投标书被接受，我们将严格履行招标文件中规定的每一项要求，按期、按质、按量履行合同的义务。</w:t>
      </w:r>
      <w:r/>
    </w:p>
    <w:p>
      <w:pPr>
        <w:pStyle w:val="1082"/>
        <w:ind w:firstLine="480"/>
        <w:spacing w:line="320" w:lineRule="exact"/>
        <w:rPr>
          <w:rFonts w:hint="eastAsia" w:hAnsi="宋体" w:eastAsia="宋体"/>
          <w:sz w:val="24"/>
        </w:rPr>
      </w:pPr>
      <w:r>
        <w:rPr>
          <w:rFonts w:hAnsi="宋体" w:eastAsia="宋体"/>
          <w:sz w:val="24"/>
        </w:rPr>
        <w:t xml:space="preserve">3</w:t>
      </w:r>
      <w:r>
        <w:rPr>
          <w:rFonts w:hint="eastAsia" w:hAnsi="宋体" w:eastAsia="宋体"/>
          <w:sz w:val="24"/>
        </w:rPr>
        <w:t xml:space="preserve">、我们已</w:t>
      </w:r>
      <w:r>
        <w:rPr>
          <w:rFonts w:hAnsi="宋体" w:eastAsia="宋体"/>
          <w:sz w:val="24"/>
        </w:rPr>
        <w:t xml:space="preserve">详细审查全部招标文件，包括</w:t>
      </w:r>
      <w:r>
        <w:rPr>
          <w:rFonts w:hint="eastAsia" w:hAnsi="宋体" w:eastAsia="宋体"/>
          <w:sz w:val="24"/>
        </w:rPr>
        <w:t xml:space="preserve">更正公告</w:t>
      </w:r>
      <w:r>
        <w:rPr>
          <w:rFonts w:hAnsi="宋体" w:eastAsia="宋体"/>
          <w:sz w:val="24"/>
        </w:rPr>
        <w:t xml:space="preserve">(如果有)。我们完全理解并同意放弃对这方面有不明及误解的权力。</w:t>
      </w:r>
      <w:r/>
    </w:p>
    <w:p>
      <w:pPr>
        <w:pStyle w:val="1082"/>
        <w:ind w:firstLine="480"/>
        <w:spacing w:line="320" w:lineRule="exact"/>
        <w:rPr>
          <w:rFonts w:hint="eastAsia"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九十</w:t>
      </w:r>
      <w:r>
        <w:rPr>
          <w:rFonts w:hint="eastAsia" w:hAnsi="宋体" w:eastAsia="宋体"/>
          <w:sz w:val="24"/>
        </w:rPr>
        <w:t xml:space="preserve">天。</w:t>
      </w:r>
      <w:r/>
    </w:p>
    <w:p>
      <w:pPr>
        <w:pStyle w:val="1082"/>
        <w:ind w:firstLine="480"/>
        <w:spacing w:line="320" w:lineRule="exact"/>
        <w:rPr>
          <w:rFonts w:hint="eastAsia" w:hAnsi="宋体" w:eastAsia="宋体"/>
          <w:sz w:val="24"/>
        </w:rPr>
      </w:pPr>
      <w:r>
        <w:rPr>
          <w:rFonts w:hint="eastAsia" w:hAnsi="宋体" w:eastAsia="宋体"/>
          <w:sz w:val="24"/>
        </w:rPr>
        <w:t xml:space="preserve">5、我们愿意提供采购人或采购代理机构在招标文件中要求的所有资料。</w:t>
      </w:r>
      <w:r/>
    </w:p>
    <w:p>
      <w:pPr>
        <w:ind w:firstLine="480"/>
        <w:spacing w:line="320" w:lineRule="exact"/>
        <w:rPr>
          <w:rFonts w:hint="eastAsia" w:ascii="宋体" w:hAnsi="宋体" w:eastAsia="宋体" w:cs="宋体"/>
          <w:sz w:val="24"/>
          <w:szCs w:val="24"/>
        </w:rPr>
      </w:pPr>
      <w:r>
        <w:rPr>
          <w:rFonts w:hint="eastAsia" w:ascii="宋体" w:hAnsi="宋体" w:eastAsia="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1082"/>
        <w:ind w:firstLine="480"/>
        <w:spacing w:line="320" w:lineRule="exact"/>
        <w:rPr>
          <w:rFonts w:hint="eastAsia" w:hAnsi="宋体" w:eastAsia="宋体"/>
          <w:sz w:val="24"/>
        </w:rPr>
      </w:pPr>
      <w:r>
        <w:rPr>
          <w:rFonts w:hint="eastAsia" w:hAnsi="宋体" w:eastAsia="宋体"/>
          <w:sz w:val="24"/>
        </w:rPr>
        <w:t xml:space="preserve">7、我们愿意遵守招标公告及招标文件中所列的收费标准。</w:t>
      </w:r>
      <w:r/>
    </w:p>
    <w:p>
      <w:pPr>
        <w:pStyle w:val="1082"/>
        <w:ind w:firstLine="480"/>
        <w:spacing w:line="320" w:lineRule="exact"/>
        <w:rPr>
          <w:rFonts w:hint="eastAsia" w:hAnsi="宋体" w:eastAsia="宋体"/>
          <w:sz w:val="24"/>
        </w:rPr>
      </w:pPr>
      <w:r>
        <w:rPr>
          <w:rFonts w:hint="eastAsia" w:hAnsi="宋体" w:eastAsia="宋体"/>
          <w:sz w:val="24"/>
        </w:rPr>
        <w:t xml:space="preserve">8、我们承诺该项投标在开标后的全过程中保持有效，不作任何更改和变动。</w:t>
      </w:r>
      <w:r/>
    </w:p>
    <w:p>
      <w:pPr>
        <w:pStyle w:val="1082"/>
        <w:ind w:firstLine="480"/>
        <w:spacing w:line="320" w:lineRule="exact"/>
        <w:rPr>
          <w:rFonts w:hint="eastAsia" w:hAnsi="宋体" w:eastAsia="宋体"/>
          <w:sz w:val="24"/>
        </w:rPr>
      </w:pPr>
      <w:r>
        <w:rPr>
          <w:rFonts w:hint="eastAsia" w:hAnsi="宋体" w:eastAsia="宋体"/>
          <w:sz w:val="24"/>
        </w:rPr>
        <w:t xml:space="preserve">9、我们愿意按招标文件的规定交纳投标保证金，并</w:t>
      </w:r>
      <w:r>
        <w:rPr>
          <w:rFonts w:hAnsi="宋体" w:eastAsia="宋体"/>
          <w:sz w:val="24"/>
        </w:rPr>
        <w:t xml:space="preserve">同意投标人须知中关于</w:t>
      </w:r>
      <w:r>
        <w:rPr>
          <w:rFonts w:hint="eastAsia" w:hAnsi="宋体" w:eastAsia="宋体"/>
          <w:sz w:val="24"/>
        </w:rPr>
        <w:t xml:space="preserve">不予退还</w:t>
      </w:r>
      <w:r>
        <w:rPr>
          <w:rFonts w:hAnsi="宋体" w:eastAsia="宋体"/>
          <w:sz w:val="24"/>
        </w:rPr>
        <w:t xml:space="preserve">投标保证金的规定。</w:t>
      </w:r>
      <w:r/>
    </w:p>
    <w:p>
      <w:pPr>
        <w:pStyle w:val="1082"/>
        <w:ind w:firstLine="480"/>
        <w:spacing w:line="320" w:lineRule="exact"/>
        <w:rPr>
          <w:rFonts w:hint="eastAsia" w:hAnsi="宋体" w:eastAsia="宋体"/>
          <w:sz w:val="24"/>
        </w:rPr>
      </w:pPr>
      <w:r>
        <w:rPr>
          <w:rFonts w:hint="eastAsia" w:hAnsi="宋体" w:eastAsia="宋体"/>
          <w:sz w:val="24"/>
        </w:rPr>
        <w:t xml:space="preserve">10、如果我们中标，我们愿意按招标文件规定支付代理服务费；</w:t>
      </w:r>
      <w:r/>
    </w:p>
    <w:p>
      <w:pPr>
        <w:pStyle w:val="1082"/>
        <w:ind w:firstLine="480"/>
        <w:spacing w:line="320" w:lineRule="exact"/>
        <w:rPr>
          <w:rFonts w:hint="eastAsia" w:hAnsi="宋体" w:eastAsia="宋体"/>
          <w:sz w:val="24"/>
        </w:rPr>
      </w:pPr>
      <w:r>
        <w:rPr>
          <w:rFonts w:hAnsi="宋体" w:eastAsia="宋体"/>
          <w:sz w:val="24"/>
        </w:rPr>
        <w:t xml:space="preserve">1</w:t>
      </w:r>
      <w:r>
        <w:rPr>
          <w:rFonts w:hint="eastAsia" w:hAnsi="宋体" w:eastAsia="宋体"/>
          <w:sz w:val="24"/>
        </w:rPr>
        <w:t xml:space="preserve">1、我们承诺我公司符合招标文件投标人须知中“合格投标人的资格条件”的要求，若与真实情况不符，本公司愿意承担由此而产生的一切后果。</w:t>
      </w:r>
      <w:r/>
    </w:p>
    <w:p>
      <w:pPr>
        <w:pStyle w:val="1082"/>
        <w:ind w:firstLine="480"/>
        <w:spacing w:line="320" w:lineRule="exact"/>
        <w:rPr>
          <w:rFonts w:hint="eastAsia" w:hAnsi="宋体" w:eastAsia="宋体"/>
          <w:sz w:val="24"/>
        </w:rPr>
      </w:pPr>
      <w:r>
        <w:rPr>
          <w:rFonts w:hint="eastAsia" w:hAnsi="宋体" w:eastAsia="宋体"/>
          <w:sz w:val="24"/>
        </w:rPr>
        <w:t xml:space="preserve">12、综合说明：</w:t>
      </w:r>
      <w:r/>
    </w:p>
    <w:p>
      <w:pPr>
        <w:pStyle w:val="1082"/>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p>
    <w:p>
      <w:pPr>
        <w:pStyle w:val="1082"/>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p>
    <w:p>
      <w:pPr>
        <w:pStyle w:val="1082"/>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p>
    <w:p>
      <w:pPr>
        <w:pStyle w:val="1082"/>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1082"/>
        <w:ind w:firstLine="480"/>
        <w:spacing w:line="320" w:lineRule="exact"/>
        <w:rPr>
          <w:rFonts w:hint="eastAsia" w:hAnsi="宋体" w:eastAsia="宋体"/>
          <w:sz w:val="24"/>
        </w:rPr>
      </w:pPr>
      <w:r>
        <w:rPr>
          <w:rFonts w:hint="eastAsia" w:hAnsi="宋体" w:eastAsia="宋体"/>
          <w:sz w:val="24"/>
        </w:rPr>
        <w:t xml:space="preserve">所有有关标书的函电，请按下列地址联系：</w:t>
      </w:r>
      <w:r/>
    </w:p>
    <w:p>
      <w:pPr>
        <w:pStyle w:val="1082"/>
        <w:ind w:firstLine="480"/>
        <w:spacing w:line="320" w:lineRule="exact"/>
        <w:rPr>
          <w:rFonts w:hint="eastAsia" w:hAnsi="宋体" w:eastAsia="宋体"/>
          <w:sz w:val="24"/>
        </w:rPr>
      </w:pPr>
      <w:r>
        <w:rPr>
          <w:rFonts w:hint="eastAsia" w:hAnsi="宋体" w:eastAsia="宋体"/>
          <w:sz w:val="24"/>
        </w:rPr>
        <w:t xml:space="preserve">单位：</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联系人：</w:t>
      </w:r>
      <w:r/>
    </w:p>
    <w:p>
      <w:pPr>
        <w:pStyle w:val="1082"/>
        <w:ind w:firstLine="480"/>
        <w:spacing w:line="320" w:lineRule="exact"/>
        <w:rPr>
          <w:rFonts w:hint="eastAsia" w:hAnsi="宋体" w:eastAsia="宋体"/>
          <w:sz w:val="24"/>
        </w:rPr>
      </w:pPr>
      <w:r>
        <w:rPr>
          <w:rFonts w:hint="eastAsia" w:hAnsi="宋体" w:eastAsia="宋体"/>
          <w:sz w:val="24"/>
        </w:rPr>
        <w:t xml:space="preserve">地址：</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邮政编码：</w:t>
      </w:r>
      <w:r/>
    </w:p>
    <w:p>
      <w:pPr>
        <w:pStyle w:val="1082"/>
        <w:ind w:firstLine="480"/>
        <w:spacing w:line="320" w:lineRule="exact"/>
        <w:rPr>
          <w:rFonts w:hint="eastAsia" w:hAnsi="宋体" w:eastAsia="宋体"/>
          <w:sz w:val="24"/>
        </w:rPr>
      </w:pPr>
      <w:r>
        <w:rPr>
          <w:rFonts w:hint="eastAsia" w:hAnsi="宋体" w:eastAsia="宋体"/>
          <w:sz w:val="24"/>
        </w:rPr>
        <w:t xml:space="preserve">联系电话：</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传真：</w:t>
      </w:r>
      <w:r/>
    </w:p>
    <w:p>
      <w:pPr>
        <w:pStyle w:val="1082"/>
        <w:ind w:firstLine="480"/>
        <w:spacing w:line="320" w:lineRule="exact"/>
        <w:rPr>
          <w:rFonts w:hint="eastAsia" w:hAnsi="宋体" w:eastAsia="宋体"/>
          <w:sz w:val="24"/>
        </w:rPr>
      </w:pPr>
      <w:r>
        <w:rPr>
          <w:rFonts w:hint="eastAsia" w:hAnsi="宋体" w:eastAsia="宋体"/>
          <w:sz w:val="24"/>
        </w:rPr>
      </w:r>
      <w:r/>
    </w:p>
    <w:p>
      <w:pPr>
        <w:pStyle w:val="1080"/>
        <w:rPr>
          <w:rFonts w:hint="eastAsia" w:hAnsi="宋体" w:eastAsia="宋体"/>
          <w:sz w:val="24"/>
        </w:rPr>
      </w:pPr>
      <w:r>
        <w:rPr>
          <w:rFonts w:hint="eastAsia" w:hAnsi="宋体" w:eastAsia="宋体"/>
          <w:sz w:val="24"/>
        </w:rPr>
        <w:t xml:space="preserve">投标单位：（单位盖章）</w:t>
      </w:r>
      <w:r/>
    </w:p>
    <w:p>
      <w:pPr>
        <w:pStyle w:val="1080"/>
        <w:rPr>
          <w:rFonts w:hint="eastAsia" w:hAnsi="宋体" w:eastAsia="宋体"/>
          <w:sz w:val="24"/>
        </w:rPr>
      </w:pPr>
      <w:r>
        <w:rPr>
          <w:rFonts w:hint="eastAsia" w:hAnsi="宋体" w:eastAsia="宋体"/>
          <w:sz w:val="24"/>
        </w:rPr>
        <w:t xml:space="preserve">法定代表人或代理人：（签字或盖章）</w:t>
      </w:r>
      <w:r/>
    </w:p>
    <w:p>
      <w:pPr>
        <w:pStyle w:val="1080"/>
        <w:rPr>
          <w:rFonts w:hint="eastAsia" w:hAnsi="宋体" w:eastAsia="宋体"/>
          <w:sz w:val="24"/>
        </w:rPr>
      </w:pPr>
      <w:r>
        <w:rPr>
          <w:rFonts w:hint="eastAsia" w:hAnsi="宋体" w:eastAsia="宋体"/>
          <w:sz w:val="24"/>
        </w:rPr>
        <w:t xml:space="preserve">日期：        年   月   日</w:t>
      </w:r>
      <w:r/>
    </w:p>
    <w:p>
      <w:pPr>
        <w:pStyle w:val="1082"/>
        <w:spacing w:line="360" w:lineRule="auto"/>
        <w:rPr>
          <w:rFonts w:hint="eastAsia" w:hAnsi="宋体" w:eastAsia="宋体"/>
          <w:b/>
          <w:sz w:val="24"/>
          <w:szCs w:val="24"/>
        </w:rPr>
        <w:outlineLvl w:val="1"/>
      </w:pPr>
      <w:r>
        <w:br w:type="page" w:clear="all"/>
      </w:r>
      <w:r>
        <w:rPr>
          <w:rFonts w:hint="eastAsia" w:hAnsi="宋体" w:eastAsia="宋体"/>
          <w:b/>
          <w:sz w:val="24"/>
          <w:szCs w:val="24"/>
        </w:rPr>
        <w:t xml:space="preserve">3、开标一览表</w:t>
      </w:r>
      <w:r/>
    </w:p>
    <w:p>
      <w:pPr>
        <w:pStyle w:val="1080"/>
        <w:jc w:val="center"/>
        <w:spacing w:line="360" w:lineRule="auto"/>
        <w:rPr>
          <w:rFonts w:hint="eastAsia" w:hAnsi="宋体" w:eastAsia="宋体"/>
          <w:sz w:val="24"/>
          <w:szCs w:val="24"/>
        </w:rPr>
      </w:pPr>
      <w:r>
        <w:rPr>
          <w:rFonts w:hint="eastAsia" w:hAnsi="宋体" w:eastAsia="宋体"/>
          <w:sz w:val="24"/>
          <w:szCs w:val="24"/>
        </w:rPr>
        <w:t xml:space="preserve">开标一览表</w:t>
      </w:r>
      <w:r/>
    </w:p>
    <w:p>
      <w:pPr>
        <w:pStyle w:val="1080"/>
        <w:jc w:val="center"/>
        <w:spacing w:line="360" w:lineRule="auto"/>
        <w:rPr>
          <w:rFonts w:hint="eastAsia" w:hAnsi="宋体" w:eastAsia="宋体"/>
          <w:sz w:val="24"/>
          <w:szCs w:val="24"/>
        </w:rPr>
      </w:pPr>
      <w:r>
        <w:rPr>
          <w:rFonts w:hint="eastAsia" w:hAnsi="宋体" w:eastAsia="宋体"/>
          <w:sz w:val="24"/>
          <w:szCs w:val="24"/>
        </w:rPr>
        <w:t xml:space="preserve">（</w:t>
      </w:r>
      <w:r>
        <w:rPr>
          <w:rFonts w:hint="eastAsia" w:hAnsi="宋体" w:eastAsia="宋体"/>
          <w:sz w:val="24"/>
          <w:szCs w:val="24"/>
          <w:lang w:val="en-US" w:eastAsia="zh-CN"/>
        </w:rPr>
        <w:t xml:space="preserve">格式</w:t>
      </w:r>
      <w:r>
        <w:rPr>
          <w:rFonts w:hint="eastAsia" w:hAnsi="宋体" w:eastAsia="宋体"/>
          <w:sz w:val="24"/>
          <w:szCs w:val="24"/>
        </w:rPr>
        <w:t xml:space="preserve">）</w:t>
      </w:r>
      <w:r/>
    </w:p>
    <w:p>
      <w:pPr>
        <w:pStyle w:val="1080"/>
        <w:spacing w:line="360" w:lineRule="auto"/>
        <w:rPr>
          <w:rFonts w:hint="eastAsia" w:hAnsi="宋体" w:eastAsia="宋体"/>
          <w:sz w:val="24"/>
          <w:szCs w:val="24"/>
        </w:rPr>
      </w:pPr>
      <w:r>
        <w:rPr>
          <w:rFonts w:hint="eastAsia" w:hAnsi="宋体" w:eastAsia="宋体"/>
          <w:sz w:val="24"/>
          <w:szCs w:val="24"/>
        </w:rPr>
        <w:t xml:space="preserve">投标人全称（加盖公章）：</w:t>
      </w:r>
      <w:r/>
    </w:p>
    <w:p>
      <w:pPr>
        <w:pStyle w:val="1080"/>
        <w:spacing w:line="360" w:lineRule="auto"/>
        <w:rPr>
          <w:rFonts w:hint="eastAsia" w:hAnsi="宋体" w:eastAsia="宋体"/>
          <w:sz w:val="24"/>
          <w:szCs w:val="24"/>
        </w:rPr>
      </w:pPr>
      <w:r>
        <w:rPr>
          <w:rFonts w:hint="eastAsia" w:hAnsi="宋体" w:eastAsia="宋体"/>
          <w:sz w:val="24"/>
          <w:szCs w:val="24"/>
        </w:rPr>
        <w:t xml:space="preserve">项目编号：</w:t>
      </w:r>
      <w:r/>
    </w:p>
    <w:p>
      <w:pPr>
        <w:pStyle w:val="1080"/>
        <w:spacing w:line="360" w:lineRule="auto"/>
        <w:rPr>
          <w:rFonts w:hint="eastAsia" w:hAnsi="宋体" w:eastAsia="宋体"/>
          <w:sz w:val="24"/>
          <w:szCs w:val="24"/>
        </w:rPr>
      </w:pPr>
      <w:r>
        <w:rPr>
          <w:rFonts w:hint="eastAsia" w:hAnsi="宋体" w:eastAsia="宋体"/>
          <w:sz w:val="24"/>
          <w:szCs w:val="24"/>
        </w:rPr>
        <w:t xml:space="preserve">分包号：</w:t>
      </w:r>
      <w:r/>
    </w:p>
    <w:tbl>
      <w:tblPr>
        <w:tblStyle w:val="9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187"/>
              <w:jc w:val="center"/>
              <w:rPr>
                <w:rFonts w:hAnsi="宋体" w:eastAsia="宋体" w:cs="宋体"/>
                <w:sz w:val="24"/>
                <w:szCs w:val="24"/>
              </w:rPr>
            </w:pPr>
            <w:r>
              <w:rPr>
                <w:rFonts w:hint="eastAsia" w:hAnsi="宋体" w:eastAsia="宋体" w:cs="宋体"/>
                <w:sz w:val="24"/>
                <w:szCs w:val="24"/>
              </w:rPr>
              <w:t xml:space="preserve">序号</w:t>
            </w:r>
            <w:r/>
          </w:p>
        </w:tc>
        <w:tc>
          <w:tcPr>
            <w:tcW w:w="2490" w:type="dxa"/>
            <w:vAlign w:val="center"/>
            <w:textDirection w:val="lrTb"/>
            <w:noWrap w:val="false"/>
          </w:tcPr>
          <w:p>
            <w:pPr>
              <w:pStyle w:val="1187"/>
              <w:jc w:val="center"/>
              <w:rPr>
                <w:rFonts w:hAnsi="宋体" w:eastAsia="宋体" w:cs="宋体"/>
                <w:sz w:val="24"/>
                <w:szCs w:val="24"/>
              </w:rPr>
            </w:pPr>
            <w:r>
              <w:rPr>
                <w:rFonts w:hint="eastAsia" w:hAnsi="宋体" w:eastAsia="宋体" w:cs="宋体"/>
                <w:sz w:val="24"/>
                <w:szCs w:val="24"/>
              </w:rPr>
              <w:t xml:space="preserve">项目名称</w:t>
            </w:r>
            <w:r/>
          </w:p>
        </w:tc>
        <w:tc>
          <w:tcPr>
            <w:tcW w:w="2929" w:type="dxa"/>
            <w:vAlign w:val="center"/>
            <w:textDirection w:val="lrTb"/>
            <w:noWrap w:val="false"/>
          </w:tcPr>
          <w:p>
            <w:pPr>
              <w:pStyle w:val="1187"/>
              <w:jc w:val="center"/>
              <w:rPr>
                <w:rFonts w:hAnsi="宋体" w:eastAsia="宋体" w:cs="宋体"/>
                <w:sz w:val="24"/>
                <w:szCs w:val="24"/>
              </w:rPr>
            </w:pPr>
            <w:r>
              <w:rPr>
                <w:rFonts w:hint="eastAsia" w:hAnsi="宋体" w:eastAsia="宋体" w:cs="宋体"/>
                <w:sz w:val="24"/>
                <w:szCs w:val="24"/>
              </w:rPr>
              <w:t xml:space="preserve">总价（元）</w:t>
            </w:r>
            <w:r/>
          </w:p>
        </w:tc>
        <w:tc>
          <w:tcPr>
            <w:tcW w:w="1855" w:type="dxa"/>
            <w:vAlign w:val="center"/>
            <w:textDirection w:val="lrTb"/>
            <w:noWrap w:val="false"/>
          </w:tcPr>
          <w:p>
            <w:pPr>
              <w:pStyle w:val="1187"/>
              <w:jc w:val="center"/>
              <w:rPr>
                <w:rFonts w:hAnsi="宋体" w:eastAsia="宋体" w:cs="宋体"/>
                <w:sz w:val="24"/>
                <w:szCs w:val="24"/>
              </w:rPr>
            </w:pPr>
            <w:r>
              <w:rPr>
                <w:rFonts w:hint="eastAsia" w:hAnsi="宋体" w:eastAsia="宋体" w:cs="宋体"/>
                <w:sz w:val="24"/>
                <w:szCs w:val="24"/>
              </w:rPr>
              <w:t xml:space="preserve">备注</w:t>
            </w:r>
            <w:r/>
          </w:p>
        </w:tc>
      </w:tr>
      <w:tr>
        <w:trPr>
          <w:jc w:val="center"/>
          <w:trHeight w:val="692"/>
        </w:trPr>
        <w:tc>
          <w:tcPr>
            <w:tcW w:w="1355" w:type="dxa"/>
            <w:vAlign w:val="center"/>
            <w:textDirection w:val="lrTb"/>
            <w:noWrap w:val="false"/>
          </w:tcPr>
          <w:p>
            <w:pPr>
              <w:pStyle w:val="1187"/>
              <w:ind w:firstLine="422"/>
              <w:jc w:val="center"/>
              <w:rPr>
                <w:rFonts w:hAnsi="宋体" w:eastAsia="宋体" w:cs="宋体"/>
                <w:sz w:val="24"/>
                <w:szCs w:val="24"/>
              </w:rPr>
            </w:pPr>
            <w:r>
              <w:rPr>
                <w:rFonts w:hAnsi="宋体" w:eastAsia="宋体" w:cs="宋体"/>
                <w:sz w:val="24"/>
                <w:szCs w:val="24"/>
              </w:rPr>
            </w:r>
            <w:r/>
          </w:p>
        </w:tc>
        <w:tc>
          <w:tcPr>
            <w:tcW w:w="2490" w:type="dxa"/>
            <w:vAlign w:val="center"/>
            <w:textDirection w:val="lrTb"/>
            <w:noWrap w:val="false"/>
          </w:tcPr>
          <w:p>
            <w:pPr>
              <w:pStyle w:val="1187"/>
              <w:jc w:val="center"/>
              <w:rPr>
                <w:rFonts w:hAnsi="宋体" w:eastAsia="宋体" w:cs="宋体"/>
                <w:sz w:val="24"/>
                <w:szCs w:val="24"/>
              </w:rPr>
            </w:pPr>
            <w:r>
              <w:rPr>
                <w:rFonts w:hAnsi="宋体" w:eastAsia="宋体" w:cs="宋体"/>
                <w:sz w:val="24"/>
                <w:szCs w:val="24"/>
              </w:rPr>
            </w:r>
            <w:r/>
          </w:p>
        </w:tc>
        <w:tc>
          <w:tcPr>
            <w:tcW w:w="2929" w:type="dxa"/>
            <w:vAlign w:val="center"/>
            <w:textDirection w:val="lrTb"/>
            <w:noWrap w:val="false"/>
          </w:tcPr>
          <w:p>
            <w:pPr>
              <w:pStyle w:val="1187"/>
              <w:jc w:val="center"/>
              <w:rPr>
                <w:rFonts w:hAnsi="宋体" w:eastAsia="宋体" w:cs="宋体"/>
                <w:sz w:val="24"/>
                <w:szCs w:val="24"/>
              </w:rPr>
            </w:pPr>
            <w:r>
              <w:rPr>
                <w:rFonts w:hAnsi="宋体" w:eastAsia="宋体" w:cs="宋体"/>
                <w:sz w:val="24"/>
                <w:szCs w:val="24"/>
              </w:rPr>
            </w:r>
            <w:r/>
          </w:p>
        </w:tc>
        <w:tc>
          <w:tcPr>
            <w:tcW w:w="1855" w:type="dxa"/>
            <w:vAlign w:val="center"/>
            <w:textDirection w:val="lrTb"/>
            <w:noWrap w:val="false"/>
          </w:tcPr>
          <w:p>
            <w:pPr>
              <w:pStyle w:val="1187"/>
              <w:jc w:val="center"/>
              <w:rPr>
                <w:rFonts w:hAnsi="宋体" w:eastAsia="宋体" w:cs="宋体"/>
                <w:sz w:val="24"/>
                <w:szCs w:val="24"/>
              </w:rPr>
            </w:pPr>
            <w:r>
              <w:rPr>
                <w:rFonts w:hAnsi="宋体" w:eastAsia="宋体" w:cs="宋体"/>
                <w:sz w:val="24"/>
                <w:szCs w:val="24"/>
              </w:rPr>
            </w:r>
            <w:r/>
          </w:p>
        </w:tc>
      </w:tr>
      <w:tr>
        <w:trPr>
          <w:jc w:val="center"/>
          <w:trHeight w:val="692"/>
        </w:trPr>
        <w:tc>
          <w:tcPr>
            <w:gridSpan w:val="4"/>
            <w:tcW w:w="8629" w:type="dxa"/>
            <w:vAlign w:val="center"/>
            <w:textDirection w:val="lrTb"/>
            <w:noWrap w:val="false"/>
          </w:tcPr>
          <w:p>
            <w:pPr>
              <w:pStyle w:val="1187"/>
              <w:ind w:firstLine="422"/>
              <w:jc w:val="center"/>
              <w:rPr>
                <w:rFonts w:hAnsi="宋体" w:eastAsia="宋体" w:cs="宋体"/>
                <w:sz w:val="24"/>
                <w:szCs w:val="24"/>
              </w:rPr>
            </w:pPr>
            <w:r>
              <w:rPr>
                <w:rFonts w:hint="eastAsia" w:hAnsi="宋体" w:eastAsia="宋体" w:cs="宋体"/>
                <w:sz w:val="24"/>
                <w:szCs w:val="24"/>
                <w:lang w:val="zh-CN"/>
              </w:rPr>
              <w:t xml:space="preserve">投标总报价（人民币大写）：                    ￥：</w:t>
            </w:r>
            <w:r/>
          </w:p>
        </w:tc>
      </w:tr>
    </w:tbl>
    <w:p>
      <w:pPr>
        <w:pStyle w:val="1080"/>
        <w:jc w:val="center"/>
        <w:spacing w:line="360" w:lineRule="auto"/>
        <w:rPr>
          <w:rFonts w:hint="eastAsia" w:hAnsi="宋体" w:eastAsia="宋体"/>
          <w:sz w:val="24"/>
          <w:szCs w:val="24"/>
        </w:rPr>
      </w:pPr>
      <w:r>
        <w:rPr>
          <w:rFonts w:hint="eastAsia" w:hAnsi="宋体" w:eastAsia="宋体"/>
          <w:sz w:val="24"/>
          <w:szCs w:val="24"/>
        </w:rPr>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投标人（公章）：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法定代表人或代理人：（签字或盖章）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日期</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1082"/>
        <w:rPr>
          <w:rFonts w:hint="eastAsia" w:asciiTheme="minorEastAsia" w:hAnsiTheme="minorEastAsia" w:eastAsiaTheme="minorEastAsia"/>
          <w:b/>
          <w:sz w:val="21"/>
        </w:rPr>
      </w:pPr>
      <w:r>
        <w:rPr>
          <w:rFonts w:asciiTheme="minorEastAsia" w:hAnsiTheme="minorEastAsia" w:eastAsiaTheme="minorEastAsia"/>
          <w:szCs w:val="24"/>
        </w:rPr>
        <w:br w:type="page" w:clear="all"/>
      </w:r>
      <w:r/>
    </w:p>
    <w:p>
      <w:pPr>
        <w:pStyle w:val="1082"/>
        <w:spacing w:line="360" w:lineRule="auto"/>
        <w:rPr>
          <w:rFonts w:hint="eastAsia" w:hAnsi="宋体" w:eastAsia="宋体"/>
          <w:b/>
          <w:sz w:val="24"/>
          <w:szCs w:val="24"/>
        </w:rPr>
        <w:outlineLvl w:val="1"/>
      </w:pPr>
      <w:r>
        <w:rPr>
          <w:rFonts w:hint="eastAsia" w:hAnsi="宋体" w:eastAsia="宋体"/>
          <w:b/>
          <w:sz w:val="24"/>
          <w:szCs w:val="24"/>
        </w:rPr>
        <w:t xml:space="preserve">4、投标报价分析表</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投标报价分析表</w:t>
      </w:r>
      <w:r/>
    </w:p>
    <w:p>
      <w:pPr>
        <w:ind w:firstLine="42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招标编号：号                             项目名称：</w:t>
      </w:r>
      <w:r/>
    </w:p>
    <w:tbl>
      <w:tblPr>
        <w:tblStyle w:val="987"/>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316"/>
        <w:gridCol w:w="1298"/>
        <w:gridCol w:w="1359"/>
        <w:gridCol w:w="741"/>
        <w:gridCol w:w="778"/>
        <w:gridCol w:w="881"/>
        <w:gridCol w:w="1013"/>
        <w:gridCol w:w="1438"/>
      </w:tblGrid>
      <w:tr>
        <w:trPr>
          <w:jc w:val="center"/>
          <w:trHeight w:val="20"/>
        </w:trPr>
        <w:tc>
          <w:tcPr>
            <w:tcW w:w="638"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tcW w:w="1316"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标的物名称</w:t>
            </w:r>
            <w:r/>
          </w:p>
        </w:tc>
        <w:tc>
          <w:tcPr>
            <w:tcW w:w="129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zh-CN"/>
              </w:rPr>
              <w:t xml:space="preserve">品牌、</w:t>
            </w:r>
            <w:r>
              <w:rPr>
                <w:rFonts w:hint="eastAsia" w:ascii="宋体" w:hAnsi="宋体" w:eastAsia="宋体" w:cs="宋体"/>
                <w:sz w:val="24"/>
                <w:szCs w:val="24"/>
              </w:rPr>
              <w:t xml:space="preserve">规格、型号</w:t>
            </w:r>
            <w:r/>
          </w:p>
        </w:tc>
        <w:tc>
          <w:tcPr>
            <w:tcW w:w="13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741"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单位</w:t>
            </w:r>
            <w:r/>
          </w:p>
        </w:tc>
        <w:tc>
          <w:tcPr>
            <w:tcW w:w="778"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数量</w:t>
            </w:r>
            <w:r/>
          </w:p>
        </w:tc>
        <w:tc>
          <w:tcPr>
            <w:tcW w:w="881"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单价</w:t>
            </w:r>
            <w:r/>
          </w:p>
        </w:tc>
        <w:tc>
          <w:tcPr>
            <w:tcW w:w="1013" w:type="dxa"/>
            <w:vAlign w:val="center"/>
            <w:textDirection w:val="lrTb"/>
            <w:noWrap w:val="false"/>
          </w:tcPr>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总价</w:t>
            </w:r>
            <w:r/>
          </w:p>
        </w:tc>
        <w:tc>
          <w:tcPr>
            <w:tcW w:w="14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16"/>
        </w:trPr>
        <w:tc>
          <w:tcPr>
            <w:tcW w:w="63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16"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29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359"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c>
          <w:tcPr>
            <w:tcW w:w="74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778"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881"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013" w:type="dxa"/>
            <w:vAlign w:val="center"/>
            <w:textDirection w:val="lrTb"/>
            <w:noWrap w:val="false"/>
          </w:tcPr>
          <w:p>
            <w:pPr>
              <w:ind w:firstLine="422"/>
              <w:jc w:val="center"/>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438" w:type="dxa"/>
            <w:vAlign w:val="center"/>
            <w:textDirection w:val="lrTb"/>
            <w:noWrap w:val="false"/>
          </w:tcPr>
          <w:p>
            <w:pPr>
              <w:ind w:firstLine="422"/>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
        </w:trPr>
        <w:tc>
          <w:tcPr>
            <w:gridSpan w:val="2"/>
            <w:tcW w:w="1954" w:type="dxa"/>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投标总报价</w:t>
            </w:r>
            <w:r/>
          </w:p>
        </w:tc>
        <w:tc>
          <w:tcPr>
            <w:gridSpan w:val="7"/>
            <w:tcW w:w="7508"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zh-CN"/>
              </w:rPr>
              <w:t xml:space="preserve">大写：元</w:t>
            </w:r>
            <w:r/>
          </w:p>
        </w:tc>
      </w:tr>
      <w:tr>
        <w:trPr>
          <w:jc w:val="center"/>
          <w:trHeight w:val="20"/>
        </w:trPr>
        <w:tc>
          <w:tcPr>
            <w:gridSpan w:val="9"/>
            <w:tcW w:w="9462" w:type="dxa"/>
            <w:vAlign w:val="center"/>
            <w:textDirection w:val="lrTb"/>
            <w:noWrap w:val="false"/>
          </w:tcPr>
          <w:p>
            <w:pPr>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注：本采购包中提供的符合本国产品标准的产品成本之和占该采购包提供的全部产品成本之和的比例为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 xml:space="preserve">%。</w:t>
            </w:r>
            <w:r/>
          </w:p>
        </w:tc>
      </w:tr>
    </w:tbl>
    <w:p>
      <w:pPr>
        <w:pStyle w:val="1185"/>
        <w:ind w:firstLine="402"/>
        <w:tabs>
          <w:tab w:val="center" w:pos="4201" w:leader="none"/>
          <w:tab w:val="right" w:pos="9298" w:leader="dot"/>
        </w:tabs>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备注：</w:t>
      </w:r>
      <w:r>
        <w:rPr>
          <w:rFonts w:hint="eastAsia" w:ascii="宋体" w:hAnsi="宋体" w:eastAsia="宋体" w:cs="宋体"/>
          <w:b/>
          <w:bCs/>
          <w:sz w:val="24"/>
          <w:szCs w:val="24"/>
          <w:lang w:val="zh-CN"/>
        </w:rPr>
        <w:t xml:space="preserve">1、请投标单位按照上述格式分析投标总报价，本项投标总报价需与开标一览表投标总报价一致。</w:t>
      </w:r>
      <w:r/>
    </w:p>
    <w:p>
      <w:pPr>
        <w:numPr>
          <w:ilvl w:val="0"/>
          <w:numId w:val="4"/>
        </w:numPr>
        <w:ind w:firstLine="42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eastAsia="宋体"/>
          <w:szCs w:val="24"/>
        </w:rPr>
      </w:pPr>
      <w:r>
        <w:rPr>
          <w:rFonts w:hint="eastAsia" w:ascii="宋体" w:hAnsi="宋体" w:eastAsia="宋体"/>
          <w:szCs w:val="24"/>
        </w:rPr>
      </w:r>
      <w:r/>
    </w:p>
    <w:p>
      <w:pPr>
        <w:pStyle w:val="1080"/>
        <w:ind w:firstLine="480"/>
        <w:spacing w:line="360" w:lineRule="auto"/>
        <w:rPr>
          <w:rFonts w:hint="eastAsia" w:hAnsi="宋体" w:eastAsia="宋体"/>
          <w:sz w:val="24"/>
        </w:rPr>
      </w:pPr>
      <w:r>
        <w:rPr>
          <w:rFonts w:hint="eastAsia" w:hAnsi="宋体" w:eastAsia="宋体"/>
          <w:sz w:val="24"/>
        </w:rPr>
        <w:t xml:space="preserve">投标人：（盖章）</w:t>
      </w:r>
      <w:r/>
    </w:p>
    <w:p>
      <w:pPr>
        <w:pStyle w:val="1080"/>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1080"/>
        <w:ind w:firstLine="480"/>
        <w:spacing w:line="360" w:lineRule="auto"/>
        <w:rPr>
          <w:rFonts w:hint="eastAsia" w:hAnsi="宋体" w:eastAsia="宋体"/>
          <w:b/>
          <w:sz w:val="24"/>
        </w:rPr>
      </w:pPr>
      <w:r>
        <w:rPr>
          <w:rFonts w:hint="eastAsia" w:hAnsi="宋体" w:eastAsia="宋体"/>
          <w:sz w:val="24"/>
        </w:rPr>
        <w:t xml:space="preserve">日期：        年   月   日</w:t>
      </w:r>
      <w:r/>
    </w:p>
    <w:p>
      <w:pPr>
        <w:pageBreakBefore/>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5、</w:t>
      </w:r>
      <w:bookmarkStart w:id="42" w:name="_Toc7888"/>
      <w:r/>
      <w:bookmarkStart w:id="43" w:name="_Toc532452113"/>
      <w:r/>
      <w:bookmarkStart w:id="44" w:name="_Toc2583142"/>
      <w:r/>
      <w:bookmarkStart w:id="45" w:name="_Toc532444506"/>
      <w:r/>
      <w:bookmarkStart w:id="46" w:name="_Toc518926909"/>
      <w:r/>
      <w:bookmarkStart w:id="47" w:name="_Toc532444344"/>
      <w:r>
        <w:rPr>
          <w:rFonts w:hint="eastAsia" w:ascii="宋体" w:hAnsi="宋体" w:eastAsia="宋体" w:cs="宋体"/>
          <w:b/>
          <w:bCs/>
          <w:sz w:val="24"/>
          <w:szCs w:val="24"/>
        </w:rPr>
        <w:t xml:space="preserve">技术响应对照表</w:t>
      </w:r>
      <w:r/>
    </w:p>
    <w:p>
      <w:pPr>
        <w:ind w:firstLine="420"/>
        <w:jc w:val="center"/>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r>
      <w:r/>
    </w:p>
    <w:p>
      <w:pPr>
        <w:jc w:val="center"/>
        <w:spacing w:line="360" w:lineRule="auto"/>
        <w:rPr>
          <w:rFonts w:hint="eastAsia" w:ascii="宋体" w:hAnsi="宋体" w:eastAsia="宋体" w:cs="宋体"/>
          <w:b/>
          <w:bCs w:val="0"/>
          <w:sz w:val="24"/>
          <w:szCs w:val="24"/>
          <w:lang w:val="zh-CN"/>
        </w:rPr>
      </w:pPr>
      <w:r>
        <w:rPr>
          <w:rFonts w:hint="eastAsia" w:ascii="宋体" w:hAnsi="宋体" w:eastAsia="宋体" w:cs="宋体"/>
          <w:b/>
          <w:bCs w:val="0"/>
          <w:sz w:val="24"/>
          <w:szCs w:val="24"/>
        </w:rPr>
        <w:t xml:space="preserve">技术响应对照表</w:t>
      </w:r>
      <w:r/>
    </w:p>
    <w:p>
      <w:pPr>
        <w:ind w:firstLine="422"/>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招标编号：             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项目名称：</w:t>
      </w:r>
      <w:r/>
    </w:p>
    <w:tbl>
      <w:tblPr>
        <w:tblStyle w:val="987"/>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779"/>
        <w:gridCol w:w="1602"/>
        <w:gridCol w:w="1424"/>
        <w:gridCol w:w="1681"/>
        <w:gridCol w:w="1737"/>
      </w:tblGrid>
      <w:tr>
        <w:trPr>
          <w:jc w:val="center"/>
        </w:trPr>
        <w:tc>
          <w:tcPr>
            <w:tcW w:w="841" w:type="dxa"/>
            <w:vAlign w:val="center"/>
            <w:textDirection w:val="lrTb"/>
            <w:noWrap w:val="false"/>
          </w:tcPr>
          <w:p>
            <w:pPr>
              <w:jc w:val="center"/>
              <w:spacing w:before="240" w:after="240"/>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82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164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招标要求</w:t>
            </w:r>
            <w:r/>
          </w:p>
        </w:tc>
        <w:tc>
          <w:tcPr>
            <w:tcW w:w="1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投标要求</w:t>
            </w:r>
            <w:r/>
          </w:p>
        </w:tc>
        <w:tc>
          <w:tcPr>
            <w:tcW w:w="17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偏离/响应</w:t>
            </w:r>
            <w:r/>
          </w:p>
        </w:tc>
        <w:tc>
          <w:tcPr>
            <w:tcW w:w="178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841"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28"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4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26"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84" w:type="dxa"/>
            <w:vAlign w:val="center"/>
            <w:textDirection w:val="lrTb"/>
            <w:noWrap w:val="false"/>
          </w:tcPr>
          <w:p>
            <w:pPr>
              <w:ind w:firstLine="42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注：1.投标人应对照招标文件技术要求等要求，所投标的物与招标文件的规定有偏离的，应在此表中申明与技术要求条文的偏差和例外。</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bookmarkEnd w:id="42"/>
      <w:r/>
      <w:bookmarkEnd w:id="43"/>
      <w:r/>
      <w:bookmarkEnd w:id="44"/>
      <w:r/>
      <w:bookmarkEnd w:id="45"/>
      <w:r/>
      <w:bookmarkEnd w:id="46"/>
      <w:r/>
      <w:bookmarkEnd w:id="47"/>
      <w:r/>
      <w:r/>
    </w:p>
    <w:p>
      <w:pPr>
        <w:pStyle w:val="1080"/>
        <w:ind w:firstLine="480"/>
        <w:spacing w:line="360" w:lineRule="auto"/>
        <w:rPr>
          <w:rFonts w:hint="eastAsia" w:hAnsi="宋体" w:eastAsia="宋体"/>
          <w:sz w:val="24"/>
        </w:rPr>
      </w:pPr>
      <w:r>
        <w:rPr>
          <w:rFonts w:hint="eastAsia" w:hAnsi="宋体" w:eastAsia="宋体"/>
          <w:sz w:val="24"/>
        </w:rPr>
        <w:t xml:space="preserve">投标人：（盖章）</w:t>
      </w:r>
      <w:r/>
    </w:p>
    <w:p>
      <w:pPr>
        <w:pStyle w:val="1080"/>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1080"/>
        <w:ind w:firstLine="480"/>
        <w:spacing w:line="360" w:lineRule="auto"/>
        <w:rPr>
          <w:rFonts w:hint="eastAsia" w:hAnsi="宋体" w:eastAsia="宋体"/>
          <w:b/>
          <w:sz w:val="24"/>
        </w:rPr>
      </w:pPr>
      <w:r>
        <w:rPr>
          <w:rFonts w:hint="eastAsia" w:hAnsi="宋体" w:eastAsia="宋体"/>
          <w:sz w:val="24"/>
        </w:rPr>
        <w:t xml:space="preserve">日期：        年   月   日</w:t>
      </w:r>
      <w:r/>
    </w:p>
    <w:p>
      <w:pPr>
        <w:pStyle w:val="1080"/>
        <w:rPr>
          <w:rFonts w:hint="eastAsia" w:hAnsi="宋体" w:eastAsia="宋体"/>
          <w:sz w:val="24"/>
        </w:rPr>
      </w:pPr>
      <w:r>
        <w:rPr>
          <w:rFonts w:hint="eastAsia" w:hAnsi="宋体" w:eastAsia="宋体"/>
          <w:sz w:val="24"/>
        </w:rPr>
      </w:r>
      <w:r/>
    </w:p>
    <w:p>
      <w:pPr>
        <w:pStyle w:val="993"/>
        <w:ind w:firstLine="0"/>
        <w:jc w:val="both"/>
        <w:spacing w:line="360" w:lineRule="auto"/>
        <w:rPr>
          <w:rFonts w:hint="eastAsia" w:ascii="宋体" w:hAnsi="宋体" w:eastAsia="宋体"/>
          <w:b/>
        </w:rPr>
        <w:outlineLvl w:val="1"/>
      </w:pPr>
      <w:r>
        <w:rPr>
          <w:rFonts w:ascii="宋体" w:hAnsi="宋体" w:eastAsia="宋体"/>
          <w:b/>
          <w:szCs w:val="24"/>
        </w:rPr>
        <w:br w:type="page" w:clear="all"/>
      </w:r>
      <w:r>
        <w:rPr>
          <w:rFonts w:ascii="宋体" w:hAnsi="宋体" w:eastAsia="宋体"/>
          <w:b/>
        </w:rPr>
        <w:t xml:space="preserve">6</w:t>
      </w:r>
      <w:r>
        <w:rPr>
          <w:rFonts w:hint="eastAsia" w:ascii="宋体" w:hAnsi="宋体" w:eastAsia="宋体"/>
          <w:b/>
        </w:rPr>
        <w:t xml:space="preserve">、商务条款偏离表</w:t>
      </w:r>
      <w:r/>
    </w:p>
    <w:p>
      <w:pPr>
        <w:pStyle w:val="993"/>
        <w:ind w:firstLine="0"/>
        <w:jc w:val="center"/>
        <w:spacing w:line="360" w:lineRule="auto"/>
        <w:rPr>
          <w:rFonts w:hint="eastAsia" w:ascii="宋体" w:hAnsi="宋体" w:eastAsia="宋体"/>
        </w:rPr>
      </w:pPr>
      <w:r>
        <w:rPr>
          <w:rFonts w:hint="eastAsia" w:ascii="宋体" w:hAnsi="宋体" w:eastAsia="宋体"/>
        </w:rPr>
      </w:r>
      <w:r/>
    </w:p>
    <w:p>
      <w:pPr>
        <w:pStyle w:val="993"/>
        <w:ind w:firstLine="0"/>
        <w:jc w:val="center"/>
        <w:spacing w:line="360" w:lineRule="auto"/>
        <w:rPr>
          <w:rFonts w:hint="eastAsia" w:ascii="宋体" w:hAnsi="宋体" w:eastAsia="宋体"/>
          <w:b/>
          <w:bCs/>
        </w:rPr>
      </w:pPr>
      <w:r>
        <w:rPr>
          <w:rFonts w:hint="eastAsia" w:ascii="宋体" w:hAnsi="宋体" w:eastAsia="宋体"/>
          <w:b/>
          <w:bCs/>
        </w:rPr>
        <w:t xml:space="preserve">商务条款偏离表</w:t>
      </w:r>
      <w:r/>
    </w:p>
    <w:tbl>
      <w:tblPr>
        <w:tblStyle w:val="987"/>
        <w:tblW w:w="98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2552"/>
        <w:gridCol w:w="2551"/>
        <w:gridCol w:w="1738"/>
      </w:tblGrid>
      <w:tr>
        <w:trPr/>
        <w:tc>
          <w:tcPr>
            <w:tcW w:w="8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126"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552"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招标文件的商务条款</w:t>
            </w:r>
            <w:r/>
          </w:p>
        </w:tc>
        <w:tc>
          <w:tcPr>
            <w:tcW w:w="25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投标文件的商务条款</w:t>
            </w:r>
            <w:r/>
          </w:p>
        </w:tc>
        <w:tc>
          <w:tcPr>
            <w:tcW w:w="1738"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注：投标人的投标文件（除服务要求部分）与招标文件规定的有偏离的，应在此表中说明。未在上表中说明的，</w:t>
      </w:r>
      <w:r>
        <w:rPr>
          <w:rFonts w:hint="eastAsia" w:cs="宋体" w:asciiTheme="minorEastAsia" w:hAnsiTheme="minorEastAsia" w:eastAsiaTheme="minorEastAsia"/>
          <w:sz w:val="24"/>
          <w:szCs w:val="24"/>
          <w:lang w:val="zh-CN"/>
        </w:rPr>
        <w:t xml:space="preserve">如在投标文件其他内容中已有文字说明的，则以已有文字说明为准，否则，将被认为完全响应采购文件的规定。但该表不作为投标人对所投标的物关于商务条款等详细描述和说明的替代。</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1080"/>
        <w:rPr>
          <w:rFonts w:hint="eastAsia" w:hAnsi="宋体" w:eastAsia="宋体"/>
          <w:sz w:val="24"/>
        </w:rPr>
      </w:pPr>
      <w:r>
        <w:rPr>
          <w:rFonts w:hint="eastAsia" w:hAnsi="宋体" w:eastAsia="宋体"/>
          <w:sz w:val="24"/>
        </w:rPr>
        <w:t xml:space="preserve">投标人：（单位盖章）</w:t>
      </w:r>
      <w:r/>
    </w:p>
    <w:p>
      <w:pPr>
        <w:pStyle w:val="1080"/>
        <w:rPr>
          <w:rFonts w:hint="eastAsia" w:hAnsi="宋体" w:eastAsia="宋体"/>
          <w:sz w:val="24"/>
        </w:rPr>
      </w:pPr>
      <w:r>
        <w:rPr>
          <w:rFonts w:hint="eastAsia" w:hAnsi="宋体" w:eastAsia="宋体"/>
          <w:sz w:val="24"/>
        </w:rPr>
        <w:t xml:space="preserve">法定代表人或代理人：（签字或盖章）</w:t>
      </w:r>
      <w:r/>
    </w:p>
    <w:p>
      <w:pPr>
        <w:pStyle w:val="1080"/>
        <w:rPr>
          <w:rFonts w:hint="eastAsia" w:hAnsi="宋体" w:eastAsia="宋体"/>
          <w:sz w:val="24"/>
        </w:rPr>
      </w:pPr>
      <w:r>
        <w:rPr>
          <w:rFonts w:hint="eastAsia" w:hAnsi="宋体" w:eastAsia="宋体"/>
          <w:sz w:val="24"/>
        </w:rPr>
        <w:t xml:space="preserve">日期：        年   月   日</w:t>
      </w:r>
      <w:r/>
    </w:p>
    <w:p>
      <w:pPr>
        <w:spacing w:line="360" w:lineRule="auto"/>
        <w:rPr>
          <w:rFonts w:hint="eastAsia" w:ascii="宋体" w:hAnsi="宋体" w:eastAsia="宋体"/>
          <w:b/>
        </w:rPr>
        <w:outlineLvl w:val="1"/>
      </w:pPr>
      <w:r>
        <w:rPr>
          <w:rFonts w:ascii="宋体" w:hAnsi="宋体" w:eastAsia="宋体"/>
          <w:b/>
        </w:rPr>
        <w:br w:type="page" w:clear="all"/>
      </w:r>
      <w:r/>
    </w:p>
    <w:p>
      <w:pPr>
        <w:pageBreakBefore/>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售后服务承诺书</w:t>
      </w:r>
      <w:r/>
    </w:p>
    <w:p>
      <w:pPr>
        <w:pStyle w:val="998"/>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998"/>
        <w:jc w:val="center"/>
        <w:rPr>
          <w:rFonts w:hint="eastAsia" w:ascii="宋体" w:hAnsi="宋体" w:eastAsia="宋体" w:cs="宋体"/>
          <w:b/>
          <w:bCs/>
          <w:sz w:val="24"/>
          <w:szCs w:val="24"/>
        </w:rPr>
      </w:pPr>
      <w:r>
        <w:rPr>
          <w:rFonts w:hint="eastAsia" w:ascii="宋体" w:hAnsi="宋体" w:eastAsia="宋体" w:cs="宋体"/>
          <w:b/>
          <w:bCs/>
          <w:sz w:val="24"/>
          <w:szCs w:val="24"/>
        </w:rPr>
        <w:t xml:space="preserve">售后服务承诺书</w:t>
      </w:r>
      <w:r/>
    </w:p>
    <w:p>
      <w:pPr>
        <w:pStyle w:val="998"/>
        <w:jc w:val="center"/>
        <w:rPr>
          <w:rFonts w:hint="eastAsia" w:ascii="宋体" w:hAnsi="宋体" w:eastAsia="宋体" w:cs="宋体"/>
          <w:b/>
          <w:bCs/>
          <w:sz w:val="24"/>
          <w:szCs w:val="24"/>
        </w:rPr>
      </w:pPr>
      <w:r>
        <w:rPr>
          <w:rFonts w:hint="eastAsia" w:ascii="宋体" w:hAnsi="宋体" w:eastAsia="宋体" w:cs="宋体"/>
          <w:b/>
          <w:bCs/>
          <w:sz w:val="24"/>
          <w:szCs w:val="24"/>
        </w:rPr>
      </w:r>
      <w:r/>
    </w:p>
    <w:p>
      <w:pPr>
        <w:ind w:firstLine="630"/>
        <w:rPr>
          <w:rFonts w:hint="eastAsia" w:ascii="宋体" w:hAnsi="宋体" w:eastAsia="宋体" w:cs="宋体"/>
          <w:sz w:val="24"/>
          <w:szCs w:val="24"/>
        </w:rPr>
      </w:pPr>
      <w:r>
        <w:rPr>
          <w:rFonts w:hint="eastAsia" w:ascii="宋体" w:hAnsi="宋体" w:eastAsia="宋体" w:cs="宋体"/>
          <w:sz w:val="24"/>
          <w:szCs w:val="24"/>
          <w:lang w:val="zh-CN"/>
        </w:rPr>
        <w:t xml:space="preserve">招标编号：             号</w:t>
      </w:r>
      <w:r>
        <w:rPr>
          <w:rFonts w:hint="eastAsia" w:ascii="宋体" w:hAnsi="宋体" w:eastAsia="宋体" w:cs="宋体"/>
          <w:sz w:val="24"/>
          <w:szCs w:val="24"/>
        </w:rPr>
        <w:t xml:space="preserve">                    项目名称</w:t>
      </w:r>
      <w:r/>
    </w:p>
    <w:tbl>
      <w:tblPr>
        <w:tblStyle w:val="987"/>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2799"/>
        <w:gridCol w:w="2452"/>
        <w:gridCol w:w="2375"/>
      </w:tblGrid>
      <w:tr>
        <w:trPr>
          <w:trHeight w:val="853"/>
        </w:trPr>
        <w:tc>
          <w:tcPr>
            <w:tcW w:w="869"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p>
        </w:tc>
        <w:tc>
          <w:tcPr>
            <w:tcW w:w="2799"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售后服务内容</w:t>
            </w:r>
            <w:r/>
          </w:p>
        </w:tc>
        <w:tc>
          <w:tcPr>
            <w:tcW w:w="2452"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期限（时间）</w:t>
            </w:r>
            <w:r/>
          </w:p>
        </w:tc>
        <w:tc>
          <w:tcPr>
            <w:tcW w:w="2375"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备注</w:t>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质保期</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服务响应</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到达现场</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4"/>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解决问题</w:t>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853"/>
        </w:trPr>
        <w:tc>
          <w:tcPr>
            <w:tcW w:w="86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799"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452"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375" w:type="dxa"/>
            <w:vAlign w:val="center"/>
            <w:textDirection w:val="lrTb"/>
            <w:noWrap/>
          </w:tcPr>
          <w:p>
            <w:pPr>
              <w:jc w:val="center"/>
              <w:spacing w:before="25" w:after="25"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b w:val="0"/>
          <w:bCs/>
          <w:sz w:val="24"/>
          <w:szCs w:val="24"/>
        </w:rPr>
        <w:outlineLvl w:val="1"/>
      </w:pPr>
      <w:r>
        <w:rPr>
          <w:rFonts w:hint="eastAsia" w:ascii="宋体" w:hAnsi="宋体" w:eastAsia="宋体"/>
          <w:b w:val="0"/>
          <w:bCs/>
          <w:sz w:val="24"/>
          <w:szCs w:val="24"/>
        </w:rPr>
        <w:t xml:space="preserve">投标人：（单位盖章）</w:t>
      </w:r>
      <w:r/>
    </w:p>
    <w:p>
      <w:pPr>
        <w:spacing w:line="360" w:lineRule="auto"/>
        <w:rPr>
          <w:rFonts w:hint="eastAsia" w:ascii="宋体" w:hAnsi="宋体" w:eastAsia="宋体"/>
          <w:b w:val="0"/>
          <w:bCs/>
          <w:sz w:val="24"/>
          <w:szCs w:val="24"/>
        </w:rPr>
        <w:outlineLvl w:val="1"/>
      </w:pPr>
      <w:r>
        <w:rPr>
          <w:rFonts w:hint="eastAsia" w:ascii="宋体" w:hAnsi="宋体" w:eastAsia="宋体"/>
          <w:b w:val="0"/>
          <w:bCs/>
          <w:sz w:val="24"/>
          <w:szCs w:val="24"/>
        </w:rPr>
        <w:t xml:space="preserve">法定代表人或代理人：（签字或盖章）</w:t>
      </w:r>
      <w:r/>
    </w:p>
    <w:p>
      <w:pPr>
        <w:spacing w:line="360" w:lineRule="auto"/>
        <w:rPr>
          <w:rFonts w:hint="eastAsia" w:ascii="宋体" w:hAnsi="宋体" w:eastAsia="宋体"/>
          <w:b w:val="0"/>
          <w:bCs/>
          <w:sz w:val="24"/>
          <w:szCs w:val="24"/>
        </w:rPr>
        <w:outlineLvl w:val="1"/>
      </w:pPr>
      <w:r>
        <w:rPr>
          <w:rFonts w:hint="eastAsia" w:ascii="宋体" w:hAnsi="宋体" w:eastAsia="宋体"/>
          <w:b w:val="0"/>
          <w:bCs/>
          <w:sz w:val="24"/>
          <w:szCs w:val="24"/>
        </w:rPr>
        <w:t xml:space="preserve">日期：        年   月   日</w:t>
      </w:r>
      <w:r/>
    </w:p>
    <w:p>
      <w:pPr>
        <w:spacing w:line="360" w:lineRule="auto"/>
        <w:rPr>
          <w:rFonts w:hint="eastAsia" w:ascii="宋体" w:hAnsi="宋体" w:eastAsia="宋体"/>
          <w:b/>
          <w:sz w:val="24"/>
          <w:szCs w:val="24"/>
        </w:rPr>
        <w:outlineLvl w:val="1"/>
      </w:pPr>
      <w:r>
        <w:rPr>
          <w:rFonts w:ascii="宋体" w:hAnsi="宋体" w:eastAsia="宋体"/>
          <w:b/>
          <w:sz w:val="24"/>
          <w:szCs w:val="24"/>
        </w:rPr>
        <w:br w:type="page" w:clear="all"/>
      </w:r>
      <w:r/>
    </w:p>
    <w:p>
      <w:pPr>
        <w:spacing w:line="360" w:lineRule="auto"/>
        <w:rPr>
          <w:rFonts w:hint="eastAsia" w:ascii="宋体" w:hAnsi="宋体"/>
          <w:b/>
          <w:bCs/>
          <w:sz w:val="24"/>
          <w:szCs w:val="24"/>
        </w:rPr>
        <w:outlineLvl w:val="1"/>
      </w:pPr>
      <w:r>
        <w:rPr>
          <w:rFonts w:hint="eastAsia" w:ascii="宋体" w:hAnsi="宋体" w:eastAsia="宋体"/>
          <w:b/>
          <w:sz w:val="24"/>
          <w:szCs w:val="24"/>
          <w:lang w:val="en-US" w:eastAsia="zh-CN"/>
        </w:rPr>
        <w:t xml:space="preserve">8</w:t>
      </w:r>
      <w:r>
        <w:rPr>
          <w:rFonts w:hint="eastAsia" w:ascii="宋体" w:hAnsi="宋体" w:eastAsia="宋体"/>
          <w:b/>
          <w:sz w:val="24"/>
          <w:szCs w:val="24"/>
        </w:rPr>
        <w:t xml:space="preserve">、配备人员一览表</w:t>
      </w:r>
      <w:r/>
    </w:p>
    <w:p>
      <w:pPr>
        <w:jc w:val="center"/>
        <w:spacing w:line="360" w:lineRule="auto"/>
        <w:rPr>
          <w:rFonts w:hint="eastAsia" w:ascii="宋体" w:hAnsi="宋体"/>
          <w:sz w:val="32"/>
          <w:szCs w:val="28"/>
        </w:rPr>
      </w:pPr>
      <w:r>
        <w:rPr>
          <w:rFonts w:hint="eastAsia" w:ascii="宋体" w:hAnsi="宋体"/>
          <w:sz w:val="32"/>
          <w:szCs w:val="28"/>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配备人员一览表</w:t>
      </w:r>
      <w:r/>
    </w:p>
    <w:tbl>
      <w:tblPr>
        <w:tblStyle w:val="987"/>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84"/>
        <w:gridCol w:w="1303"/>
        <w:gridCol w:w="918"/>
        <w:gridCol w:w="918"/>
        <w:gridCol w:w="918"/>
        <w:gridCol w:w="918"/>
        <w:gridCol w:w="1713"/>
      </w:tblGrid>
      <w:tr>
        <w:trPr>
          <w:jc w:val="center"/>
          <w:trHeight w:val="74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项目所任职务</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学历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专业/资格</w:t>
            </w:r>
            <w:r/>
          </w:p>
        </w:tc>
      </w:tr>
      <w:tr>
        <w:trPr>
          <w:jc w:val="center"/>
          <w:trHeight w:val="49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注：表格不够填写可添加。</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1082"/>
        <w:spacing w:line="360" w:lineRule="auto"/>
        <w:rPr>
          <w:rFonts w:hint="eastAsia" w:hAnsi="宋体" w:eastAsia="宋体"/>
          <w:sz w:val="24"/>
          <w:szCs w:val="24"/>
        </w:rPr>
      </w:pPr>
      <w:r>
        <w:rPr>
          <w:rFonts w:hint="eastAsia" w:hAnsi="宋体" w:eastAsia="宋体"/>
          <w:sz w:val="24"/>
          <w:szCs w:val="24"/>
        </w:rPr>
        <w:t xml:space="preserve">投标人：（单位盖章）</w:t>
      </w:r>
      <w:r/>
    </w:p>
    <w:p>
      <w:pPr>
        <w:pStyle w:val="1082"/>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993"/>
        <w:ind w:firstLine="0"/>
        <w:jc w:val="both"/>
        <w:spacing w:line="360" w:lineRule="auto"/>
        <w:rPr>
          <w:rFonts w:hint="eastAsia" w:ascii="宋体" w:hAnsi="宋体" w:eastAsia="宋体"/>
          <w:b/>
          <w:szCs w:val="24"/>
        </w:rPr>
        <w:outlineLvl w:val="1"/>
      </w:pPr>
      <w:r>
        <w:rPr>
          <w:rFonts w:hint="eastAsia" w:ascii="宋体" w:hAnsi="宋体" w:eastAsia="宋体" w:cs="宋体"/>
          <w:b/>
          <w:szCs w:val="24"/>
          <w:lang w:val="en-US" w:eastAsia="zh-CN"/>
        </w:rPr>
        <w:t xml:space="preserve">9</w:t>
      </w:r>
      <w:r>
        <w:rPr>
          <w:rFonts w:hint="eastAsia" w:ascii="宋体" w:hAnsi="宋体" w:eastAsia="宋体" w:cs="宋体"/>
          <w:b/>
          <w:szCs w:val="24"/>
        </w:rPr>
        <w:t xml:space="preserve">、类似业绩一览表</w:t>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p>
    <w:tbl>
      <w:tblPr>
        <w:tblStyle w:val="987"/>
        <w:tblW w:w="919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jc w:val="center"/>
          <w:trHeight w:val="612"/>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采购单位</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合同金额（万元）</w:t>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tbRlV"/>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ind w:firstLine="420"/>
        <w:spacing w:line="360" w:lineRule="auto"/>
        <w:rPr>
          <w:rFonts w:hint="eastAsia" w:ascii="宋体" w:hAnsi="宋体" w:eastAsia="宋体" w:cs="Arial"/>
          <w:sz w:val="21"/>
          <w:szCs w:val="21"/>
          <w:lang w:val="zh-CN"/>
        </w:rPr>
      </w:pPr>
      <w:r>
        <w:rPr>
          <w:rFonts w:hint="eastAsia" w:ascii="宋体" w:hAnsi="宋体" w:eastAsia="宋体" w:cs="Arial"/>
          <w:sz w:val="21"/>
          <w:szCs w:val="21"/>
          <w:lang w:val="zh-CN"/>
        </w:rPr>
        <w:t xml:space="preserve">注：投标人应提供双方签订合同的复印件并加盖投标人公章（公章），否则将不作为评标的依据。</w:t>
      </w:r>
      <w:r/>
    </w:p>
    <w:p>
      <w:pPr>
        <w:ind w:firstLine="420"/>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171"/>
        <w:rPr>
          <w:rFonts w:hint="eastAsia" w:ascii="宋体" w:hAnsi="宋体"/>
        </w:rPr>
      </w:pPr>
      <w:r/>
      <w:bookmarkStart w:id="48" w:name="_Hlk107408152"/>
      <w:r>
        <w:rPr>
          <w:rFonts w:hint="eastAsia" w:ascii="宋体" w:hAnsi="宋体"/>
        </w:rPr>
        <w:t xml:space="preserve">投标人：</w:t>
      </w:r>
      <w:bookmarkEnd w:id="48"/>
      <w:r>
        <w:rPr>
          <w:rFonts w:hint="eastAsia" w:ascii="宋体" w:hAnsi="宋体"/>
        </w:rPr>
        <w:t xml:space="preserve">（盖章）</w:t>
      </w:r>
      <w:r/>
    </w:p>
    <w:p>
      <w:pPr>
        <w:pStyle w:val="1171"/>
        <w:rPr>
          <w:rFonts w:hint="eastAsia" w:ascii="宋体" w:hAnsi="宋体"/>
        </w:rPr>
      </w:pPr>
      <w:r>
        <w:rPr>
          <w:rFonts w:hint="eastAsia" w:ascii="宋体" w:hAnsi="宋体"/>
        </w:rPr>
        <w:t xml:space="preserve">法定代表人或代理人：（签字或盖章）</w:t>
      </w:r>
      <w:r/>
    </w:p>
    <w:p>
      <w:pPr>
        <w:pStyle w:val="1005"/>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993"/>
        <w:ind w:firstLine="0"/>
        <w:jc w:val="both"/>
        <w:spacing w:line="360" w:lineRule="auto"/>
        <w:rPr>
          <w:rFonts w:hint="eastAsia" w:ascii="宋体" w:hAnsi="宋体" w:eastAsia="宋体"/>
          <w:b/>
        </w:rPr>
        <w:outlineLvl w:val="1"/>
      </w:pPr>
      <w:r>
        <w:rPr>
          <w:rFonts w:hint="eastAsia" w:ascii="宋体" w:hAnsi="宋体" w:eastAsia="宋体"/>
          <w:b/>
          <w:lang w:val="en-US" w:eastAsia="zh-CN"/>
        </w:rPr>
        <w:t xml:space="preserve">10</w:t>
      </w:r>
      <w:r>
        <w:rPr>
          <w:rFonts w:hint="eastAsia" w:ascii="宋体" w:hAnsi="宋体" w:eastAsia="宋体"/>
          <w:b/>
        </w:rPr>
        <w:t xml:space="preserve">、资格证明文件</w:t>
      </w:r>
      <w:r/>
    </w:p>
    <w:p>
      <w:pPr>
        <w:pStyle w:val="993"/>
        <w:ind w:firstLine="0"/>
        <w:jc w:val="both"/>
        <w:spacing w:line="360" w:lineRule="auto"/>
        <w:rPr>
          <w:rFonts w:hint="eastAsia" w:ascii="宋体" w:hAnsi="宋体" w:eastAsia="宋体"/>
          <w:b/>
        </w:rPr>
      </w:pPr>
      <w:r>
        <w:rPr>
          <w:rFonts w:hint="eastAsia" w:ascii="宋体" w:hAnsi="宋体" w:eastAsia="宋体"/>
          <w:b/>
        </w:rPr>
      </w:r>
      <w:r/>
    </w:p>
    <w:p>
      <w:pPr>
        <w:pStyle w:val="993"/>
        <w:ind w:firstLine="0"/>
        <w:jc w:val="both"/>
        <w:spacing w:line="360" w:lineRule="auto"/>
        <w:rPr>
          <w:rFonts w:hint="eastAsia" w:ascii="宋体" w:hAnsi="宋体" w:eastAsia="宋体"/>
          <w:b/>
        </w:rPr>
        <w:outlineLvl w:val="2"/>
      </w:pPr>
      <w:r>
        <w:rPr>
          <w:rFonts w:hint="eastAsia" w:ascii="宋体" w:hAnsi="宋体" w:eastAsia="宋体"/>
          <w:b/>
        </w:rPr>
        <w:t xml:space="preserve">（1）关于资格文件的声明函</w:t>
      </w:r>
      <w:r/>
    </w:p>
    <w:p>
      <w:pPr>
        <w:pStyle w:val="993"/>
        <w:ind w:firstLine="0"/>
        <w:jc w:val="center"/>
        <w:spacing w:line="360" w:lineRule="auto"/>
        <w:rPr>
          <w:rFonts w:hint="eastAsia" w:ascii="宋体" w:hAnsi="宋体" w:eastAsia="宋体"/>
          <w:b/>
        </w:rPr>
      </w:pPr>
      <w:r>
        <w:rPr>
          <w:rFonts w:hint="eastAsia" w:ascii="宋体" w:hAnsi="宋体" w:eastAsia="宋体"/>
          <w:b/>
        </w:rPr>
      </w:r>
      <w:r/>
    </w:p>
    <w:p>
      <w:pPr>
        <w:pStyle w:val="993"/>
        <w:ind w:firstLine="0"/>
        <w:jc w:val="center"/>
        <w:spacing w:line="360" w:lineRule="auto"/>
        <w:rPr>
          <w:rFonts w:hint="eastAsia" w:ascii="宋体" w:hAnsi="宋体" w:eastAsia="宋体"/>
        </w:rPr>
      </w:pPr>
      <w:r>
        <w:rPr>
          <w:rFonts w:hint="eastAsia" w:ascii="宋体" w:hAnsi="宋体" w:eastAsia="宋体"/>
        </w:rPr>
        <w:t xml:space="preserve">关于资格文件的声明函</w:t>
      </w:r>
      <w:r/>
    </w:p>
    <w:p>
      <w:pPr>
        <w:pStyle w:val="993"/>
        <w:ind w:firstLine="0"/>
        <w:jc w:val="center"/>
        <w:spacing w:line="360" w:lineRule="auto"/>
        <w:rPr>
          <w:rFonts w:hint="eastAsia" w:ascii="宋体" w:hAnsi="宋体" w:eastAsia="宋体"/>
        </w:rPr>
      </w:pPr>
      <w:r>
        <w:rPr>
          <w:rFonts w:hint="eastAsia" w:ascii="宋体" w:hAnsi="宋体" w:eastAsia="宋体"/>
        </w:rPr>
      </w:r>
      <w:r/>
    </w:p>
    <w:p>
      <w:pPr>
        <w:pStyle w:val="993"/>
        <w:ind w:firstLine="0"/>
        <w:jc w:val="both"/>
        <w:spacing w:line="360" w:lineRule="auto"/>
        <w:rPr>
          <w:rFonts w:hint="eastAsia" w:ascii="宋体" w:hAnsi="宋体" w:eastAsia="宋体"/>
        </w:rPr>
      </w:pPr>
      <w:r>
        <w:rPr>
          <w:rFonts w:hint="eastAsia" w:ascii="宋体" w:hAnsi="宋体" w:eastAsia="宋体"/>
          <w:u w:val="single"/>
        </w:rPr>
        <w:t xml:space="preserve">苏州鸿鑫工程咨询有限公司</w:t>
      </w:r>
      <w:r>
        <w:rPr>
          <w:rFonts w:hint="eastAsia" w:ascii="宋体" w:hAnsi="宋体" w:eastAsia="宋体"/>
        </w:rPr>
        <w:t xml:space="preserve">：</w:t>
      </w:r>
      <w:r/>
    </w:p>
    <w:p>
      <w:pPr>
        <w:pStyle w:val="993"/>
        <w:ind w:firstLine="480"/>
        <w:jc w:val="both"/>
        <w:spacing w:line="360" w:lineRule="auto"/>
        <w:rPr>
          <w:rFonts w:hint="eastAsia" w:ascii="宋体" w:hAnsi="宋体" w:eastAsia="宋体"/>
        </w:rPr>
      </w:pPr>
      <w:r>
        <w:rPr>
          <w:rFonts w:hint="eastAsia" w:ascii="宋体" w:hAnsi="宋体" w:eastAsia="宋体"/>
        </w:rPr>
        <w:t xml:space="preserve">本公司愿就由贵公司组织实施的编号为</w:t>
      </w:r>
      <w:r>
        <w:rPr>
          <w:rFonts w:hint="eastAsia" w:ascii="宋体" w:hAnsi="宋体" w:eastAsia="宋体"/>
          <w:u w:val="single"/>
          <w:lang w:eastAsia="zh-CN"/>
        </w:rPr>
        <w:t xml:space="preserve">JSZC-320506104-SZHX-G2026-0032</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993"/>
        <w:ind w:firstLine="480"/>
        <w:jc w:val="both"/>
        <w:spacing w:line="360" w:lineRule="auto"/>
        <w:rPr>
          <w:rFonts w:hint="eastAsia" w:ascii="宋体" w:hAnsi="宋体" w:eastAsia="宋体"/>
        </w:rPr>
      </w:pPr>
      <w:r>
        <w:rPr>
          <w:rFonts w:hint="eastAsia" w:ascii="宋体" w:hAnsi="宋体" w:eastAsia="宋体"/>
        </w:rPr>
      </w:r>
      <w:r/>
    </w:p>
    <w:p>
      <w:pPr>
        <w:pStyle w:val="993"/>
        <w:ind w:firstLine="480"/>
        <w:jc w:val="both"/>
        <w:spacing w:line="360" w:lineRule="auto"/>
        <w:rPr>
          <w:rFonts w:hint="eastAsia" w:ascii="宋体" w:hAnsi="宋体" w:eastAsia="宋体"/>
        </w:rPr>
      </w:pPr>
      <w:r>
        <w:rPr>
          <w:rFonts w:hint="eastAsia" w:ascii="宋体" w:hAnsi="宋体" w:eastAsia="宋体"/>
        </w:rPr>
      </w:r>
      <w:r/>
    </w:p>
    <w:p>
      <w:pPr>
        <w:pStyle w:val="1080"/>
        <w:rPr>
          <w:rFonts w:hint="eastAsia" w:hAnsi="宋体" w:eastAsia="宋体"/>
          <w:sz w:val="24"/>
        </w:rPr>
      </w:pPr>
      <w:r>
        <w:rPr>
          <w:rFonts w:hint="eastAsia" w:hAnsi="宋体" w:eastAsia="宋体"/>
          <w:sz w:val="24"/>
        </w:rPr>
        <w:t xml:space="preserve">投标方：（单位盖章）</w:t>
      </w:r>
      <w:r/>
    </w:p>
    <w:p>
      <w:pPr>
        <w:pStyle w:val="1080"/>
        <w:rPr>
          <w:rFonts w:hint="eastAsia" w:hAnsi="宋体" w:eastAsia="宋体"/>
          <w:sz w:val="24"/>
        </w:rPr>
      </w:pPr>
      <w:r>
        <w:rPr>
          <w:rFonts w:hint="eastAsia" w:hAnsi="宋体" w:eastAsia="宋体"/>
          <w:sz w:val="24"/>
        </w:rPr>
        <w:t xml:space="preserve">法定代表人或代理人：（签字或盖章）</w:t>
      </w:r>
      <w:r/>
    </w:p>
    <w:p>
      <w:pPr>
        <w:pStyle w:val="1080"/>
        <w:rPr>
          <w:rFonts w:hint="eastAsia" w:hAnsi="宋体" w:eastAsia="宋体"/>
          <w:sz w:val="24"/>
        </w:rPr>
      </w:pPr>
      <w:r>
        <w:rPr>
          <w:rFonts w:hint="eastAsia" w:hAnsi="宋体" w:eastAsia="宋体"/>
          <w:sz w:val="24"/>
        </w:rPr>
        <w:t xml:space="preserve">日期：        年   月   日</w:t>
      </w:r>
      <w:r/>
    </w:p>
    <w:p>
      <w:pPr>
        <w:pStyle w:val="993"/>
        <w:ind w:firstLine="0"/>
        <w:jc w:val="both"/>
        <w:rPr>
          <w:rFonts w:hint="eastAsia" w:asciiTheme="minorEastAsia" w:hAnsiTheme="minorEastAsia" w:eastAsiaTheme="minorEastAsia"/>
          <w:b/>
          <w:szCs w:val="24"/>
        </w:rPr>
        <w:outlineLvl w:val="2"/>
      </w:pPr>
      <w:r>
        <w:rPr>
          <w:rFonts w:ascii="宋体" w:hAnsi="宋体" w:eastAsia="宋体"/>
        </w:rPr>
        <w:br w:type="page" w:clear="all"/>
      </w:r>
      <w:r>
        <w:rPr>
          <w:rFonts w:hint="eastAsia" w:asciiTheme="minorEastAsia" w:hAnsiTheme="minorEastAsia" w:eastAsiaTheme="minorEastAsia"/>
          <w:b/>
          <w:szCs w:val="24"/>
        </w:rPr>
        <w:t xml:space="preserve">（2）投标人情况表</w:t>
      </w:r>
      <w:r/>
    </w:p>
    <w:p>
      <w:pPr>
        <w:pStyle w:val="993"/>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993"/>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投标人情况表</w:t>
      </w:r>
      <w:r/>
    </w:p>
    <w:p>
      <w:pPr>
        <w:pStyle w:val="993"/>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993"/>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单位名称（盖章）</w:t>
      </w:r>
      <w:r/>
    </w:p>
    <w:tbl>
      <w:tblPr>
        <w:tblStyle w:val="987"/>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238"/>
        <w:gridCol w:w="1054"/>
      </w:tblGrid>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tcW w:w="2005"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3292"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企业地址</w:t>
            </w:r>
            <w:r/>
          </w:p>
        </w:tc>
        <w:tc>
          <w:tcPr>
            <w:tcW w:w="2005"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461"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注册资本</w:t>
            </w:r>
            <w:r/>
          </w:p>
        </w:tc>
        <w:tc>
          <w:tcPr>
            <w:gridSpan w:val="2"/>
            <w:tcW w:w="3292" w:type="dxa"/>
            <w:vAlign w:val="center"/>
            <w:textDirection w:val="lrTb"/>
            <w:noWrap w:val="false"/>
          </w:tcPr>
          <w:p>
            <w:pPr>
              <w:pStyle w:val="993"/>
              <w:ind w:firstLine="2160"/>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经营范围</w:t>
            </w:r>
            <w:r/>
          </w:p>
        </w:tc>
        <w:tc>
          <w:tcPr>
            <w:gridSpan w:val="4"/>
            <w:tcW w:w="6758"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职工人数</w:t>
            </w:r>
            <w:r/>
          </w:p>
        </w:tc>
        <w:tc>
          <w:tcPr>
            <w:tcW w:w="2005"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699"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其中：有中高级以上职称的人数</w:t>
            </w:r>
            <w:r/>
          </w:p>
        </w:tc>
        <w:tc>
          <w:tcPr>
            <w:tcW w:w="1054"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3"/>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资产总计</w:t>
            </w:r>
            <w:r/>
          </w:p>
        </w:tc>
        <w:tc>
          <w:tcPr>
            <w:tcW w:w="2005" w:type="dxa"/>
            <w:vAlign w:val="center"/>
            <w:textDirection w:val="lrTb"/>
            <w:noWrap w:val="false"/>
          </w:tcPr>
          <w:p>
            <w:pPr>
              <w:pStyle w:val="993"/>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993"/>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净资产</w:t>
            </w:r>
            <w:r/>
          </w:p>
        </w:tc>
        <w:tc>
          <w:tcPr>
            <w:gridSpan w:val="2"/>
            <w:tcW w:w="3292" w:type="dxa"/>
            <w:vAlign w:val="center"/>
            <w:textDirection w:val="lrTb"/>
            <w:noWrap w:val="false"/>
          </w:tcPr>
          <w:p>
            <w:pPr>
              <w:pStyle w:val="993"/>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r>
      <w:tr>
        <w:trPr>
          <w:cantSplit/>
          <w:jc w:val="center"/>
        </w:trPr>
        <w:tc>
          <w:tcPr>
            <w:tcW w:w="2510" w:type="dxa"/>
            <w:vAlign w:val="center"/>
            <w:textDirection w:val="lrTb"/>
            <w:noWrap w:val="false"/>
          </w:tcPr>
          <w:p>
            <w:pPr>
              <w:pStyle w:val="993"/>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股东权益</w:t>
            </w:r>
            <w:r/>
          </w:p>
        </w:tc>
        <w:tc>
          <w:tcPr>
            <w:tcW w:w="2005" w:type="dxa"/>
            <w:vAlign w:val="center"/>
            <w:textDirection w:val="lrTb"/>
            <w:noWrap w:val="false"/>
          </w:tcPr>
          <w:p>
            <w:pPr>
              <w:pStyle w:val="993"/>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万元</w:t>
            </w:r>
            <w:r/>
          </w:p>
        </w:tc>
        <w:tc>
          <w:tcPr>
            <w:tcW w:w="1461" w:type="dxa"/>
            <w:vAlign w:val="center"/>
            <w:textDirection w:val="lrTb"/>
            <w:noWrap w:val="false"/>
          </w:tcPr>
          <w:p>
            <w:pPr>
              <w:pStyle w:val="993"/>
              <w:ind w:firstLine="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销售收入</w:t>
            </w:r>
            <w:r/>
          </w:p>
        </w:tc>
        <w:tc>
          <w:tcPr>
            <w:gridSpan w:val="2"/>
            <w:tcW w:w="3292" w:type="dxa"/>
            <w:vAlign w:val="center"/>
            <w:textDirection w:val="lrTb"/>
            <w:noWrap w:val="false"/>
          </w:tcPr>
          <w:p>
            <w:pPr>
              <w:pStyle w:val="993"/>
              <w:ind w:firstLine="960"/>
              <w:rPr>
                <w:rFonts w:hint="eastAsia" w:asciiTheme="minorEastAsia" w:hAnsiTheme="minorEastAsia" w:eastAsiaTheme="minorEastAsia"/>
                <w:szCs w:val="24"/>
              </w:rPr>
            </w:pPr>
            <w:r>
              <w:rPr>
                <w:rFonts w:hint="eastAsia" w:asciiTheme="minorEastAsia" w:hAnsiTheme="minorEastAsia" w:eastAsiaTheme="minorEastAsia"/>
                <w:szCs w:val="24"/>
              </w:rPr>
              <w:t xml:space="preserve">年    万元</w:t>
            </w:r>
            <w:r/>
          </w:p>
        </w:tc>
      </w:tr>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实现利润</w:t>
            </w:r>
            <w:r/>
          </w:p>
        </w:tc>
        <w:tc>
          <w:tcPr>
            <w:tcW w:w="2005" w:type="dxa"/>
            <w:vAlign w:val="center"/>
            <w:textDirection w:val="lrTb"/>
            <w:noWrap w:val="false"/>
          </w:tcPr>
          <w:p>
            <w:pPr>
              <w:pStyle w:val="993"/>
              <w:ind w:firstLine="480"/>
              <w:rPr>
                <w:rFonts w:hint="eastAsia" w:asciiTheme="minorEastAsia" w:hAnsiTheme="minorEastAsia" w:eastAsiaTheme="minorEastAsia"/>
                <w:szCs w:val="24"/>
              </w:rPr>
            </w:pPr>
            <w:r>
              <w:rPr>
                <w:rFonts w:hint="eastAsia" w:asciiTheme="minorEastAsia" w:hAnsiTheme="minorEastAsia" w:eastAsiaTheme="minorEastAsia"/>
                <w:szCs w:val="24"/>
              </w:rPr>
              <w:t xml:space="preserve">年    万元</w:t>
            </w:r>
            <w:r/>
          </w:p>
        </w:tc>
        <w:tc>
          <w:tcPr>
            <w:tcW w:w="1461"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c>
          <w:tcPr>
            <w:gridSpan w:val="2"/>
            <w:tcW w:w="3292"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营业面积（含厂房面积）</w:t>
            </w:r>
            <w:r/>
          </w:p>
        </w:tc>
        <w:tc>
          <w:tcPr>
            <w:tcW w:w="2005" w:type="dxa"/>
            <w:vAlign w:val="center"/>
            <w:textDirection w:val="lrTb"/>
            <w:noWrap w:val="false"/>
          </w:tcPr>
          <w:p>
            <w:pPr>
              <w:pStyle w:val="993"/>
              <w:ind w:firstLine="720"/>
              <w:jc w:val="both"/>
              <w:rPr>
                <w:rFonts w:hint="eastAsia" w:asciiTheme="minorEastAsia" w:hAnsiTheme="minorEastAsia" w:eastAsiaTheme="minorEastAsia"/>
                <w:szCs w:val="24"/>
              </w:rPr>
            </w:pPr>
            <w:r>
              <w:rPr>
                <w:rFonts w:hint="eastAsia" w:asciiTheme="minorEastAsia" w:hAnsiTheme="minorEastAsia" w:eastAsiaTheme="minorEastAsia"/>
                <w:szCs w:val="24"/>
              </w:rPr>
              <w:t xml:space="preserve">平方米</w:t>
            </w:r>
            <w:r/>
          </w:p>
        </w:tc>
        <w:tc>
          <w:tcPr>
            <w:tcW w:w="1461"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其中：</w:t>
            </w:r>
            <w:r/>
          </w:p>
        </w:tc>
        <w:tc>
          <w:tcPr>
            <w:gridSpan w:val="2"/>
            <w:tcW w:w="3292"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自有面积    平方米</w:t>
            </w:r>
            <w:r/>
          </w:p>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承租面积    平方米</w:t>
            </w:r>
            <w:r/>
          </w:p>
        </w:tc>
      </w:tr>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单位简历及内设机构情况</w:t>
            </w:r>
            <w:r/>
          </w:p>
        </w:tc>
        <w:tc>
          <w:tcPr>
            <w:gridSpan w:val="4"/>
            <w:tcW w:w="6758"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单位优势及特长</w:t>
            </w:r>
            <w:r/>
          </w:p>
        </w:tc>
        <w:tc>
          <w:tcPr>
            <w:gridSpan w:val="4"/>
            <w:tcW w:w="6758"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近三年来完成或正在履行的重大合同情况</w:t>
            </w:r>
            <w:r/>
          </w:p>
        </w:tc>
        <w:tc>
          <w:tcPr>
            <w:gridSpan w:val="4"/>
            <w:tcW w:w="6758"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年内在经营过程中受到何种奖励或处分（包括情况和结果）</w:t>
            </w:r>
            <w:r/>
          </w:p>
        </w:tc>
        <w:tc>
          <w:tcPr>
            <w:gridSpan w:val="4"/>
            <w:tcW w:w="6758"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最近</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年内主要负责人有无因经济犯罪被司法机关追究的情况及说明</w:t>
            </w:r>
            <w:r/>
          </w:p>
        </w:tc>
        <w:tc>
          <w:tcPr>
            <w:gridSpan w:val="4"/>
            <w:tcW w:w="6758"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获得技术认证的工程师及简介</w:t>
            </w:r>
            <w:r/>
          </w:p>
        </w:tc>
        <w:tc>
          <w:tcPr>
            <w:gridSpan w:val="4"/>
            <w:tcW w:w="6758"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cantSplit/>
          <w:jc w:val="center"/>
        </w:trPr>
        <w:tc>
          <w:tcPr>
            <w:tcW w:w="2510"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t xml:space="preserve">其他需要说明的情况</w:t>
            </w:r>
            <w:r/>
          </w:p>
        </w:tc>
        <w:tc>
          <w:tcPr>
            <w:gridSpan w:val="4"/>
            <w:tcW w:w="6758" w:type="dxa"/>
            <w:vAlign w:val="center"/>
            <w:textDirection w:val="lrTb"/>
            <w:noWrap w:val="false"/>
          </w:tcPr>
          <w:p>
            <w:pPr>
              <w:pStyle w:val="993"/>
              <w:ind w:firstLine="0"/>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pStyle w:val="993"/>
        <w:ind w:firstLine="0"/>
        <w:jc w:val="both"/>
        <w:rPr>
          <w:rFonts w:hint="eastAsia" w:ascii="宋体" w:hAnsi="宋体" w:eastAsia="宋体"/>
        </w:rPr>
      </w:pPr>
      <w:r>
        <w:rPr>
          <w:rFonts w:hint="eastAsia" w:ascii="宋体" w:hAnsi="宋体" w:eastAsia="宋体"/>
        </w:rPr>
      </w:r>
      <w:r/>
    </w:p>
    <w:p>
      <w:pPr>
        <w:pStyle w:val="993"/>
        <w:ind w:firstLine="0"/>
        <w:jc w:val="both"/>
        <w:rPr>
          <w:rFonts w:hint="eastAsia" w:ascii="宋体" w:hAnsi="宋体" w:eastAsia="宋体"/>
        </w:rPr>
      </w:pPr>
      <w:r>
        <w:rPr>
          <w:rFonts w:hint="eastAsia" w:ascii="宋体" w:hAnsi="宋体" w:eastAsia="宋体"/>
        </w:rPr>
      </w:r>
      <w:r/>
    </w:p>
    <w:p>
      <w:pPr>
        <w:pStyle w:val="993"/>
        <w:ind w:firstLine="0"/>
        <w:jc w:val="both"/>
        <w:rPr>
          <w:rFonts w:hint="eastAsia" w:ascii="宋体" w:hAnsi="宋体" w:eastAsia="宋体"/>
        </w:rPr>
      </w:pPr>
      <w:r>
        <w:rPr>
          <w:rFonts w:hint="eastAsia" w:ascii="宋体" w:hAnsi="宋体" w:eastAsia="宋体"/>
        </w:rPr>
      </w:r>
      <w:r/>
    </w:p>
    <w:p>
      <w:pPr>
        <w:pStyle w:val="982"/>
        <w:rPr>
          <w:rFonts w:hint="eastAsia" w:ascii="宋体" w:hAnsi="宋体" w:eastAsia="宋体"/>
          <w:bCs/>
          <w:sz w:val="24"/>
          <w:szCs w:val="24"/>
        </w:rPr>
      </w:pPr>
      <w:r>
        <w:rPr>
          <w:rFonts w:ascii="宋体" w:hAnsi="宋体" w:eastAsia="宋体"/>
        </w:rPr>
        <w:br w:type="page" w:clear="all"/>
      </w:r>
      <w:r>
        <w:rPr>
          <w:rFonts w:hint="eastAsia" w:ascii="宋体" w:hAnsi="宋体" w:eastAsia="宋体"/>
          <w:bCs/>
          <w:sz w:val="24"/>
          <w:szCs w:val="24"/>
        </w:rPr>
        <w:t xml:space="preserve">（3）中小企业声明函</w:t>
      </w:r>
      <w:r/>
    </w:p>
    <w:p>
      <w:pPr>
        <w:ind w:firstLine="480"/>
        <w:jc w:val="center"/>
        <w:pageBreakBefore w:val="0"/>
        <w:spacing w:line="360" w:lineRule="auto"/>
        <w:widowControl w:val="off"/>
        <w:rPr>
          <w:rFonts w:hint="eastAsia" w:ascii="宋体" w:hAnsi="宋体" w:eastAsia="宋体" w:cs="宋体"/>
          <w:sz w:val="24"/>
          <w:szCs w:val="24"/>
        </w:rPr>
      </w:pPr>
      <w:r/>
      <w:bookmarkStart w:id="49" w:name="_Toc4028"/>
      <w:r/>
      <w:bookmarkStart w:id="50" w:name="_Toc1077"/>
      <w:r/>
      <w:r/>
    </w:p>
    <w:p>
      <w:pPr>
        <w:ind w:firstLine="480"/>
        <w:jc w:val="center"/>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中小企业声明函（货物）</w:t>
      </w:r>
      <w:bookmarkEnd w:id="49"/>
      <w:r/>
      <w:bookmarkEnd w:id="50"/>
      <w:r/>
      <w:r/>
    </w:p>
    <w:p>
      <w:pPr>
        <w:pStyle w:val="998"/>
        <w:ind w:firstLine="472"/>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本公司</w:t>
      </w:r>
      <w:r>
        <w:rPr>
          <w:rFonts w:hint="eastAsia" w:ascii="宋体" w:hAnsi="宋体" w:eastAsia="宋体" w:cs="宋体"/>
          <w:sz w:val="24"/>
          <w:szCs w:val="24"/>
        </w:rPr>
        <w:t xml:space="preserve">（联合体</w:t>
      </w:r>
      <w:r>
        <w:rPr>
          <w:rFonts w:hint="eastAsia" w:ascii="宋体" w:hAnsi="宋体" w:eastAsia="宋体" w:cs="宋体"/>
          <w:spacing w:val="-5"/>
          <w:sz w:val="24"/>
          <w:szCs w:val="24"/>
        </w:rPr>
        <w:t xml:space="preserve">）</w:t>
      </w:r>
      <w:r>
        <w:rPr>
          <w:rFonts w:hint="eastAsia" w:ascii="宋体" w:hAnsi="宋体" w:eastAsia="宋体" w:cs="宋体"/>
          <w:spacing w:val="-2"/>
          <w:sz w:val="24"/>
          <w:szCs w:val="24"/>
        </w:rPr>
        <w:t xml:space="preserve">郑重声明，根据《政府采购促进中小</w:t>
      </w:r>
      <w:r>
        <w:rPr>
          <w:rFonts w:hint="eastAsia" w:ascii="宋体" w:hAnsi="宋体" w:eastAsia="宋体" w:cs="宋体"/>
          <w:spacing w:val="-18"/>
          <w:sz w:val="24"/>
          <w:szCs w:val="24"/>
        </w:rPr>
        <w:t xml:space="preserve">企业发展管理办法》</w:t>
      </w:r>
      <w:r>
        <w:rPr>
          <w:rFonts w:hint="eastAsia" w:ascii="宋体" w:hAnsi="宋体" w:eastAsia="宋体" w:cs="宋体"/>
          <w:sz w:val="24"/>
          <w:szCs w:val="24"/>
        </w:rPr>
        <w:t xml:space="preserve">（</w:t>
      </w:r>
      <w:r>
        <w:rPr>
          <w:rFonts w:hint="eastAsia" w:ascii="宋体" w:hAnsi="宋体" w:eastAsia="宋体" w:cs="宋体"/>
          <w:spacing w:val="5"/>
          <w:sz w:val="24"/>
          <w:szCs w:val="24"/>
        </w:rPr>
        <w:t xml:space="preserve">财库</w:t>
      </w:r>
      <w:r>
        <w:rPr>
          <w:rFonts w:hint="eastAsia" w:ascii="宋体" w:hAnsi="宋体" w:eastAsia="宋体" w:cs="宋体"/>
          <w:sz w:val="24"/>
          <w:szCs w:val="24"/>
        </w:rPr>
        <w:t xml:space="preserve">﹝2020﹞46</w:t>
      </w:r>
      <w:r>
        <w:rPr>
          <w:rFonts w:hint="eastAsia" w:ascii="宋体" w:hAnsi="宋体" w:eastAsia="宋体" w:cs="宋体"/>
          <w:spacing w:val="-38"/>
          <w:sz w:val="24"/>
          <w:szCs w:val="24"/>
        </w:rPr>
        <w:t xml:space="preserve"> 号</w:t>
      </w:r>
      <w:r>
        <w:rPr>
          <w:rFonts w:hint="eastAsia" w:ascii="宋体" w:hAnsi="宋体" w:eastAsia="宋体" w:cs="宋体"/>
          <w:spacing w:val="5"/>
          <w:sz w:val="24"/>
          <w:szCs w:val="24"/>
        </w:rPr>
        <w:t xml:space="preserve">）</w:t>
      </w:r>
      <w:r>
        <w:rPr>
          <w:rFonts w:hint="eastAsia" w:ascii="宋体" w:hAnsi="宋体" w:eastAsia="宋体" w:cs="宋体"/>
          <w:sz w:val="24"/>
          <w:szCs w:val="24"/>
        </w:rPr>
        <w:t xml:space="preserve">的规定，本公司（联合体）</w:t>
      </w:r>
      <w:r>
        <w:rPr>
          <w:rFonts w:hint="eastAsia" w:ascii="宋体" w:hAnsi="宋体" w:eastAsia="宋体" w:cs="宋体"/>
          <w:spacing w:val="-8"/>
          <w:sz w:val="24"/>
          <w:szCs w:val="24"/>
        </w:rPr>
        <w:t xml:space="preserve">参</w:t>
      </w:r>
      <w:r>
        <w:rPr>
          <w:rFonts w:hint="eastAsia" w:ascii="宋体" w:hAnsi="宋体" w:eastAsia="宋体" w:cs="宋体"/>
          <w:spacing w:val="-2"/>
          <w:sz w:val="24"/>
          <w:szCs w:val="24"/>
        </w:rPr>
        <w:t xml:space="preserve">加</w:t>
      </w:r>
      <w:r>
        <w:rPr>
          <w:rFonts w:hint="eastAsia" w:ascii="宋体" w:hAnsi="宋体" w:eastAsia="宋体" w:cs="宋体"/>
          <w:spacing w:val="-2"/>
          <w:sz w:val="24"/>
          <w:szCs w:val="24"/>
          <w:u w:val="single"/>
        </w:rPr>
        <w:t xml:space="preserve">（</w:t>
      </w:r>
      <w:r>
        <w:rPr>
          <w:rFonts w:hint="eastAsia" w:ascii="宋体" w:hAnsi="宋体" w:eastAsia="宋体" w:cs="宋体"/>
          <w:b/>
          <w:bCs/>
          <w:spacing w:val="-2"/>
          <w:sz w:val="24"/>
          <w:szCs w:val="24"/>
          <w:u w:val="single"/>
        </w:rPr>
        <w:t xml:space="preserve">单位名称</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w:t>
      </w:r>
      <w:r>
        <w:rPr>
          <w:rFonts w:hint="eastAsia" w:ascii="宋体" w:hAnsi="宋体" w:eastAsia="宋体" w:cs="宋体"/>
          <w:b/>
          <w:bCs/>
          <w:spacing w:val="-2"/>
          <w:sz w:val="24"/>
          <w:szCs w:val="24"/>
          <w:u w:val="single"/>
        </w:rPr>
        <w:t xml:space="preserve">项目名称</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采购活</w:t>
      </w:r>
      <w:r>
        <w:rPr>
          <w:rFonts w:hint="eastAsia" w:ascii="宋体" w:hAnsi="宋体" w:eastAsia="宋体" w:cs="宋体"/>
          <w:spacing w:val="-1"/>
          <w:sz w:val="24"/>
          <w:szCs w:val="24"/>
        </w:rPr>
        <w:t xml:space="preserve">动，</w:t>
      </w:r>
      <w:r>
        <w:rPr>
          <w:rFonts w:hint="eastAsia" w:ascii="宋体" w:hAnsi="宋体" w:eastAsia="宋体" w:cs="宋体"/>
          <w:spacing w:val="-2"/>
          <w:sz w:val="24"/>
          <w:szCs w:val="24"/>
        </w:rPr>
        <w:t xml:space="preserve">提供的货物全部由符合政策要求的中小企业制造。相关企业（含联合体中的中小企业、签订分包</w:t>
      </w:r>
      <w:r>
        <w:rPr>
          <w:rFonts w:hint="eastAsia" w:ascii="宋体" w:hAnsi="宋体" w:eastAsia="宋体" w:cs="宋体"/>
          <w:sz w:val="24"/>
          <w:szCs w:val="24"/>
        </w:rPr>
        <w:t xml:space="preserve">意向协议的中小企业） 的具体情况如下：</w:t>
      </w:r>
      <w:r/>
    </w:p>
    <w:p>
      <w:pPr>
        <w:pStyle w:val="1087"/>
        <w:ind w:firstLine="472"/>
        <w:jc w:val="left"/>
        <w:pageBreakBefore w:val="0"/>
        <w:spacing w:line="360" w:lineRule="auto"/>
        <w:widowControl w:val="off"/>
        <w:tabs>
          <w:tab w:val="left" w:pos="1183" w:leader="none"/>
          <w:tab w:val="left" w:pos="1484" w:leader="none"/>
          <w:tab w:val="left" w:pos="4662" w:leader="none"/>
          <w:tab w:val="left" w:pos="6903" w:leader="none"/>
        </w:tabs>
        <w:rPr>
          <w:rFonts w:hint="eastAsia" w:ascii="宋体" w:hAnsi="宋体" w:eastAsia="宋体" w:cs="宋体"/>
          <w:spacing w:val="-2"/>
          <w:sz w:val="24"/>
          <w:szCs w:val="24"/>
        </w:rPr>
      </w:pPr>
      <w:r>
        <w:rPr>
          <w:rFonts w:hint="eastAsia" w:ascii="宋体" w:hAnsi="宋体" w:eastAsia="宋体" w:cs="宋体"/>
          <w:spacing w:val="-2"/>
          <w:sz w:val="24"/>
          <w:szCs w:val="24"/>
        </w:rPr>
        <w:t xml:space="preserve">1、</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u w:val="single"/>
          <w:lang w:val="en-US" w:eastAsia="zh-CN"/>
        </w:rPr>
        <w:t xml:space="preserve">工业</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行业；制造商为（企业名称），从业人员【</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】人，营业收入为【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】万元，属于</w:t>
      </w:r>
      <w:r>
        <w:rPr>
          <w:rFonts w:hint="eastAsia" w:ascii="宋体" w:hAnsi="宋体" w:eastAsia="宋体" w:cs="宋体"/>
          <w:spacing w:val="-2"/>
          <w:sz w:val="24"/>
          <w:szCs w:val="24"/>
          <w:u w:val="single"/>
        </w:rPr>
        <w:t xml:space="preserve">（中型企业、小型企业、微型企业）</w:t>
      </w:r>
      <w:r>
        <w:rPr>
          <w:rFonts w:hint="eastAsia" w:ascii="宋体" w:hAnsi="宋体" w:eastAsia="宋体" w:cs="宋体"/>
          <w:spacing w:val="-2"/>
          <w:sz w:val="24"/>
          <w:szCs w:val="24"/>
        </w:rPr>
        <w:t xml:space="preserve">；</w:t>
      </w:r>
      <w:r/>
    </w:p>
    <w:p>
      <w:pPr>
        <w:pStyle w:val="1087"/>
        <w:ind w:firstLine="472"/>
        <w:jc w:val="left"/>
        <w:pageBreakBefore w:val="0"/>
        <w:spacing w:line="360" w:lineRule="auto"/>
        <w:widowControl w:val="off"/>
        <w:tabs>
          <w:tab w:val="left" w:pos="1183" w:leader="none"/>
          <w:tab w:val="left" w:pos="1484" w:leader="none"/>
          <w:tab w:val="left" w:pos="4662" w:leader="none"/>
          <w:tab w:val="left" w:pos="6903" w:leader="none"/>
        </w:tabs>
        <w:rPr>
          <w:rFonts w:hint="eastAsia" w:ascii="宋体" w:hAnsi="宋体" w:eastAsia="宋体" w:cs="宋体"/>
          <w:spacing w:val="-2"/>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u w:val="single"/>
          <w:lang w:val="en-US" w:eastAsia="zh-CN"/>
        </w:rPr>
        <w:t xml:space="preserve">工业</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行业；制造商为（企业名称），从业人员【</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】人，营业收入为【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 xml:space="preserve">】万元，属于</w:t>
      </w:r>
      <w:r>
        <w:rPr>
          <w:rFonts w:hint="eastAsia" w:ascii="宋体" w:hAnsi="宋体" w:eastAsia="宋体" w:cs="宋体"/>
          <w:spacing w:val="-2"/>
          <w:sz w:val="24"/>
          <w:szCs w:val="24"/>
          <w:u w:val="single"/>
        </w:rPr>
        <w:t xml:space="preserve">（中型企业、小型企业、微型企业）</w:t>
      </w:r>
      <w:r>
        <w:rPr>
          <w:rFonts w:hint="eastAsia" w:ascii="宋体" w:hAnsi="宋体" w:eastAsia="宋体" w:cs="宋体"/>
          <w:spacing w:val="-2"/>
          <w:sz w:val="24"/>
          <w:szCs w:val="24"/>
        </w:rPr>
        <w:t xml:space="preserve">；</w:t>
      </w:r>
      <w:r/>
    </w:p>
    <w:p>
      <w:pPr>
        <w:pStyle w:val="998"/>
        <w:ind w:firstLine="472"/>
        <w:pageBreakBefore w:val="0"/>
        <w:spacing w:after="0"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w:t>
      </w:r>
      <w:r/>
    </w:p>
    <w:p>
      <w:pPr>
        <w:pStyle w:val="998"/>
        <w:ind w:firstLine="468"/>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以上企业，不属于大企业的分支机构，不存在控股股东</w:t>
      </w:r>
      <w:r>
        <w:rPr>
          <w:rFonts w:hint="eastAsia" w:ascii="宋体" w:hAnsi="宋体" w:eastAsia="宋体" w:cs="宋体"/>
          <w:spacing w:val="-5"/>
          <w:sz w:val="24"/>
          <w:szCs w:val="24"/>
        </w:rPr>
        <w:t xml:space="preserve">为大企业的情形，也不存在与大企业的负责人为同一人的情形。</w:t>
      </w:r>
      <w:r/>
    </w:p>
    <w:p>
      <w:pPr>
        <w:pStyle w:val="998"/>
        <w:ind w:firstLine="48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企业名称（盖章）：</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lang w:val="zh-CN"/>
        </w:rPr>
        <w:t xml:space="preserve">：</w:t>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备注：</w:t>
      </w:r>
      <w:r/>
    </w:p>
    <w:p>
      <w:pPr>
        <w:ind w:firstLine="48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1.从业人员、营业收入、资产总额填报上一年度数据，无上一年度数据的新成立企业可不填报。</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2.在货物采购项目中，货物由中小企业制造，即货物由中小企业生产且使用该中小企业商号或者注册商标。</w:t>
      </w:r>
      <w:r>
        <w:rPr>
          <w:rFonts w:hint="eastAsia" w:ascii="宋体" w:hAnsi="宋体" w:eastAsia="宋体" w:cs="宋体"/>
          <w:sz w:val="24"/>
          <w:szCs w:val="24"/>
        </w:rPr>
        <w:t xml:space="preserve">供应商提供的货物既有中小企业制造货物，也有大型企业制造货物的，不享受相应扶持政策。</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3.《中小企业声明函》中所填的行业应与本采购标的对应的中小企业划分标准所属行业一致，不一致的不可享受相应政策优惠。</w:t>
      </w:r>
      <w:r>
        <w:rPr>
          <w:rFonts w:hint="eastAsia" w:ascii="宋体" w:hAnsi="宋体" w:eastAsia="宋体" w:cs="宋体"/>
          <w:sz w:val="24"/>
          <w:szCs w:val="24"/>
        </w:rPr>
        <w:t xml:space="preserve">本采购标的对应的中小企业划分标准所属行业，以采购文件中具体规定为准。</w:t>
      </w:r>
      <w:r/>
    </w:p>
    <w:p>
      <w:pPr>
        <w:ind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4.如未对（中型企业、小型企业、微型企业）进行勾选，视同非中小微企业，不可享受相应扶持政策。</w:t>
      </w:r>
      <w:r/>
    </w:p>
    <w:p>
      <w:pPr>
        <w:ind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rPr>
        <w:t xml:space="preserve">5.中标单位为中小企业的，《中小企业声明函》将随中标结果同时公告</w:t>
      </w:r>
      <w:r>
        <w:rPr>
          <w:rFonts w:hint="eastAsia" w:ascii="宋体" w:hAnsi="宋体" w:eastAsia="宋体" w:cs="宋体"/>
          <w:sz w:val="24"/>
          <w:szCs w:val="24"/>
          <w:lang w:val="zh-CN"/>
        </w:rPr>
        <w:t xml:space="preserve">。</w:t>
      </w:r>
      <w:r/>
    </w:p>
    <w:p>
      <w:pPr>
        <w:pStyle w:val="1080"/>
        <w:ind w:left="84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2"/>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附：中小企业划型标准规定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（四）</w:t>
      </w:r>
      <w:r>
        <w:rPr>
          <w:rFonts w:hint="eastAsia" w:ascii="宋体" w:hAnsi="宋体" w:eastAsia="宋体" w:cs="宋体"/>
          <w:b/>
          <w:sz w:val="24"/>
          <w:szCs w:val="24"/>
          <w:lang w:eastAsia="zh-CN"/>
        </w:rPr>
        <w:t xml:space="preserve">工业</w:t>
      </w:r>
      <w:r>
        <w:rPr>
          <w:rFonts w:hint="eastAsia" w:ascii="宋体" w:hAnsi="宋体" w:eastAsia="宋体" w:cs="宋体"/>
          <w:b/>
          <w:sz w:val="24"/>
          <w:szCs w:val="24"/>
        </w:rPr>
        <w:t xml:space="preserve">。</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80"/>
        <w:ind w:firstLine="482"/>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b/>
          <w:szCs w:val="21"/>
        </w:rPr>
      </w:pPr>
      <w:r>
        <w:rPr>
          <w:rFonts w:ascii="宋体" w:hAnsi="宋体" w:cs="宋体"/>
          <w:b/>
          <w:szCs w:val="21"/>
        </w:rPr>
      </w:r>
      <w:r/>
    </w:p>
    <w:p>
      <w:pPr>
        <w:pStyle w:val="993"/>
        <w:ind w:firstLine="0"/>
        <w:rPr>
          <w:rFonts w:hint="eastAsia" w:ascii="宋体" w:hAnsi="宋体" w:eastAsia="宋体"/>
          <w:b/>
        </w:rPr>
        <w:outlineLvl w:val="2"/>
      </w:pPr>
      <w:r>
        <w:rPr>
          <w:rFonts w:hAnsi="宋体" w:eastAsia="宋体"/>
        </w:rPr>
        <w:br w:type="page" w:clear="all"/>
      </w:r>
      <w:r>
        <w:rPr>
          <w:rFonts w:hint="eastAsia" w:ascii="宋体" w:hAnsi="宋体" w:eastAsia="宋体"/>
          <w:b/>
        </w:rPr>
        <w:t xml:space="preserve">（4）残疾人福利性单位声明函</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单位名称（盖章）：</w:t>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日 期            </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hint="eastAsia" w:ascii="宋体" w:hAnsi="宋体" w:eastAsia="宋体" w:cs="宋体"/>
          <w:b/>
          <w:sz w:val="24"/>
          <w:shd w:val="clear" w:color="auto" w:fill="ffffff"/>
        </w:rPr>
        <w:outlineLvl w:val="2"/>
      </w:pPr>
      <w:r/>
      <w:bookmarkStart w:id="51" w:name="_Toc165274519"/>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5</w:t>
      </w:r>
      <w:r>
        <w:rPr>
          <w:rFonts w:hint="eastAsia" w:ascii="宋体" w:hAnsi="宋体" w:eastAsia="宋体" w:cs="宋体"/>
          <w:b/>
          <w:sz w:val="24"/>
          <w:shd w:val="clear" w:color="auto" w:fill="ffffff"/>
        </w:rPr>
        <w:t xml:space="preserve">）关于符合本国产品标准的声明函</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r/>
    </w:p>
    <w:p>
      <w:pPr>
        <w:rPr>
          <w:rFonts w:hint="eastAsia" w:ascii="宋体" w:hAnsi="宋体" w:eastAsia="宋体" w:cs="宋体"/>
          <w:sz w:val="24"/>
          <w:szCs w:val="24"/>
        </w:rPr>
      </w:pPr>
      <w:r>
        <w:rPr>
          <w:rFonts w:hint="eastAsia" w:ascii="宋体" w:hAnsi="宋体" w:eastAsia="宋体" w:cs="宋体"/>
          <w:sz w:val="24"/>
          <w:szCs w:val="24"/>
        </w:rPr>
      </w:r>
      <w:r/>
    </w:p>
    <w:p>
      <w:pPr>
        <w:pStyle w:val="989"/>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9"/>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1.</w:t>
      </w:r>
      <w:r>
        <w:rPr>
          <w:rStyle w:val="1036"/>
          <w:rFonts w:hint="eastAsia" w:ascii="宋体" w:hAnsi="宋体" w:eastAsia="宋体" w:cs="宋体"/>
          <w:i w:val="0"/>
          <w:color w:val="000000"/>
          <w:szCs w:val="24"/>
          <w:u w:val="single"/>
          <w:shd w:val="clear" w:color="auto" w:fill="ffffff"/>
        </w:rPr>
        <w:t xml:space="preserve">（产品名称1）</w:t>
      </w:r>
      <w:r>
        <w:rPr>
          <w:rStyle w:val="1036"/>
          <w:rFonts w:hint="eastAsia" w:ascii="宋体" w:hAnsi="宋体" w:eastAsia="宋体" w:cs="宋体"/>
          <w:i w:val="0"/>
          <w:color w:val="000000"/>
          <w:szCs w:val="24"/>
          <w:shd w:val="clear" w:color="auto" w:fill="ffffff"/>
          <w:vertAlign w:val="superscript"/>
        </w:rPr>
        <w:t xml:space="preserve">1</w:t>
      </w:r>
      <w:r>
        <w:rPr>
          <w:rFonts w:hint="eastAsia" w:ascii="宋体" w:hAnsi="宋体" w:eastAsia="宋体" w:cs="宋体"/>
          <w:color w:val="000000"/>
          <w:szCs w:val="24"/>
          <w:shd w:val="clear" w:color="auto" w:fill="ffffff"/>
        </w:rPr>
        <w:t xml:space="preserve">，生产厂为</w:t>
      </w:r>
      <w:r>
        <w:rPr>
          <w:rStyle w:val="1036"/>
          <w:rFonts w:hint="eastAsia" w:ascii="宋体" w:hAnsi="宋体" w:eastAsia="宋体" w:cs="宋体"/>
          <w:i w:val="0"/>
          <w:color w:val="000000"/>
          <w:szCs w:val="24"/>
          <w:u w:val="single"/>
          <w:shd w:val="clear" w:color="auto" w:fill="ffffff"/>
        </w:rPr>
        <w:t xml:space="preserve">（厂名）</w:t>
      </w:r>
      <w:r>
        <w:rPr>
          <w:rStyle w:val="1036"/>
          <w:rFonts w:hint="eastAsia" w:ascii="宋体" w:hAnsi="宋体" w:eastAsia="宋体" w:cs="宋体"/>
          <w:i w:val="0"/>
          <w:color w:val="000000"/>
          <w:szCs w:val="24"/>
          <w:shd w:val="clear" w:color="auto" w:fill="ffffff"/>
          <w:vertAlign w:val="superscript"/>
        </w:rPr>
        <w:t xml:space="preserve">2</w:t>
      </w:r>
      <w:r>
        <w:rPr>
          <w:rFonts w:hint="eastAsia" w:ascii="宋体" w:hAnsi="宋体" w:eastAsia="宋体" w:cs="宋体"/>
          <w:color w:val="000000"/>
          <w:szCs w:val="24"/>
          <w:shd w:val="clear" w:color="auto" w:fill="ffffff"/>
        </w:rPr>
        <w:t xml:space="preserve">，厂址为</w:t>
      </w:r>
      <w:r>
        <w:rPr>
          <w:rStyle w:val="1036"/>
          <w:rFonts w:hint="eastAsia" w:ascii="宋体" w:hAnsi="宋体" w:eastAsia="宋体" w:cs="宋体"/>
          <w:i w:val="0"/>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 </w:t>
      </w:r>
      <w:r>
        <w:rPr>
          <w:rStyle w:val="1036"/>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 xml:space="preserve">的中国境内生产的组件成本占比≥</w:t>
      </w:r>
      <w:r>
        <w:rPr>
          <w:rStyle w:val="1036"/>
          <w:rFonts w:hint="eastAsia" w:ascii="宋体" w:hAnsi="宋体" w:eastAsia="宋体" w:cs="宋体"/>
          <w:i w:val="0"/>
          <w:color w:val="000000"/>
          <w:szCs w:val="24"/>
          <w:u w:val="single"/>
          <w:shd w:val="clear" w:color="auto" w:fill="ffffff"/>
        </w:rPr>
        <w:t xml:space="preserve">（规定比例）</w:t>
      </w:r>
      <w:r>
        <w:rPr>
          <w:rStyle w:val="1036"/>
          <w:rFonts w:hint="eastAsia" w:ascii="宋体" w:hAnsi="宋体" w:eastAsia="宋体" w:cs="宋体"/>
          <w:i w:val="0"/>
          <w:color w:val="000000"/>
          <w:szCs w:val="24"/>
          <w:shd w:val="clear" w:color="auto" w:fill="ffffff"/>
          <w:vertAlign w:val="superscript"/>
        </w:rPr>
        <w:t xml:space="preserve">3</w:t>
      </w:r>
      <w:r>
        <w:rPr>
          <w:rFonts w:hint="eastAsia" w:ascii="宋体" w:hAnsi="宋体" w:eastAsia="宋体" w:cs="宋体"/>
          <w:color w:val="000000"/>
          <w:szCs w:val="24"/>
          <w:shd w:val="clear" w:color="auto" w:fill="ffffff"/>
        </w:rPr>
        <w:t xml:space="preserve">。</w:t>
      </w:r>
      <w:r>
        <w:rPr>
          <w:rStyle w:val="1036"/>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1036"/>
          <w:rFonts w:hint="eastAsia" w:ascii="宋体" w:hAnsi="宋体" w:eastAsia="宋体" w:cs="宋体"/>
          <w:i w:val="0"/>
          <w:color w:val="000000"/>
          <w:szCs w:val="24"/>
          <w:u w:val="single"/>
          <w:shd w:val="clear" w:color="auto" w:fill="ffffff"/>
        </w:rPr>
        <w:t xml:space="preserve">（关键组件）</w:t>
      </w:r>
      <w:r>
        <w:rPr>
          <w:rStyle w:val="1036"/>
          <w:rFonts w:hint="eastAsia" w:ascii="宋体" w:hAnsi="宋体" w:eastAsia="宋体" w:cs="宋体"/>
          <w:i w:val="0"/>
          <w:color w:val="000000"/>
          <w:szCs w:val="24"/>
          <w:shd w:val="clear" w:color="auto" w:fill="ffffff"/>
          <w:vertAlign w:val="superscript"/>
        </w:rPr>
        <w:t xml:space="preserve">4</w:t>
      </w:r>
      <w:r>
        <w:rPr>
          <w:rFonts w:hint="eastAsia" w:ascii="宋体" w:hAnsi="宋体" w:eastAsia="宋体" w:cs="宋体"/>
          <w:color w:val="000000"/>
          <w:szCs w:val="24"/>
          <w:shd w:val="clear" w:color="auto" w:fill="ffffff"/>
        </w:rPr>
        <w:t xml:space="preserve">在中国境内生产。</w:t>
      </w:r>
      <w:r>
        <w:rPr>
          <w:rStyle w:val="1036"/>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1036"/>
          <w:rFonts w:hint="eastAsia" w:ascii="宋体" w:hAnsi="宋体" w:eastAsia="宋体" w:cs="宋体"/>
          <w:i w:val="0"/>
          <w:color w:val="000000"/>
          <w:szCs w:val="24"/>
          <w:u w:val="single"/>
          <w:shd w:val="clear" w:color="auto" w:fill="ffffff"/>
        </w:rPr>
        <w:t xml:space="preserve">（关键工序）</w:t>
      </w:r>
      <w:r>
        <w:rPr>
          <w:rStyle w:val="1036"/>
          <w:rFonts w:hint="eastAsia" w:ascii="宋体" w:hAnsi="宋体" w:eastAsia="宋体" w:cs="宋体"/>
          <w:i w:val="0"/>
          <w:color w:val="000000"/>
          <w:szCs w:val="24"/>
          <w:shd w:val="clear" w:color="auto" w:fill="ffffff"/>
          <w:vertAlign w:val="superscript"/>
        </w:rPr>
        <w:t xml:space="preserve">5</w:t>
      </w:r>
      <w:r>
        <w:rPr>
          <w:rFonts w:hint="eastAsia" w:ascii="宋体" w:hAnsi="宋体" w:eastAsia="宋体" w:cs="宋体"/>
          <w:color w:val="000000"/>
          <w:szCs w:val="24"/>
          <w:shd w:val="clear" w:color="auto" w:fill="ffffff"/>
        </w:rPr>
        <w:t xml:space="preserve">在中国境内完成。</w:t>
      </w:r>
      <w:r/>
    </w:p>
    <w:p>
      <w:pPr>
        <w:pStyle w:val="989"/>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1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a:effectLst/>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szCs w:val="24"/>
          <w:shd w:val="clear" w:color="auto" w:fill="ffffff"/>
        </w:rPr>
        <w:t xml:space="preserve">2.</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，生产厂为</w:t>
      </w:r>
      <w:r>
        <w:rPr>
          <w:rFonts w:hint="eastAsia" w:ascii="宋体" w:hAnsi="宋体" w:eastAsia="宋体" w:cs="宋体"/>
          <w:color w:val="000000"/>
          <w:szCs w:val="24"/>
          <w:u w:val="single"/>
          <w:shd w:val="clear" w:color="auto" w:fill="ffffff"/>
        </w:rPr>
        <w:t xml:space="preserve">（厂名）</w:t>
      </w:r>
      <w:r>
        <w:rPr>
          <w:rFonts w:hint="eastAsia" w:ascii="宋体" w:hAnsi="宋体" w:eastAsia="宋体" w:cs="宋体"/>
          <w:color w:val="000000"/>
          <w:szCs w:val="24"/>
          <w:shd w:val="clear" w:color="auto" w:fill="ffffff"/>
        </w:rPr>
        <w:t xml:space="preserve">，厂址为</w:t>
      </w:r>
      <w:r>
        <w:rPr>
          <w:rFonts w:hint="eastAsia" w:ascii="宋体" w:hAnsi="宋体" w:eastAsia="宋体" w:cs="宋体"/>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的中国境内生产的组件成本占比≥</w:t>
      </w:r>
      <w:r>
        <w:rPr>
          <w:rFonts w:hint="eastAsia" w:ascii="宋体" w:hAnsi="宋体" w:eastAsia="宋体" w:cs="宋体"/>
          <w:color w:val="000000"/>
          <w:szCs w:val="24"/>
          <w:u w:val="single"/>
          <w:shd w:val="clear" w:color="auto" w:fill="ffffff"/>
        </w:rPr>
        <w:t xml:space="preserve">（规定比例）</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（关键组件）</w:t>
      </w:r>
      <w:r>
        <w:rPr>
          <w:rFonts w:hint="eastAsia" w:ascii="宋体" w:hAnsi="宋体" w:eastAsia="宋体" w:cs="宋体"/>
          <w:color w:val="000000"/>
          <w:szCs w:val="24"/>
          <w:shd w:val="clear" w:color="auto" w:fill="ffffff"/>
        </w:rPr>
        <w:t xml:space="preserve">在中国境内生产。</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（关键工序）</w:t>
      </w:r>
      <w:r>
        <w:rPr>
          <w:rFonts w:hint="eastAsia" w:ascii="宋体" w:hAnsi="宋体" w:eastAsia="宋体" w:cs="宋体"/>
          <w:color w:val="000000"/>
          <w:szCs w:val="24"/>
          <w:shd w:val="clear" w:color="auto" w:fill="ffffff"/>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2"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2"/>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989"/>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6.用斜线划除的地方无需填写。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r/>
    </w:p>
    <w:p>
      <w:pPr>
        <w:pStyle w:val="998"/>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6</w:t>
      </w:r>
      <w:r>
        <w:rPr>
          <w:rFonts w:hint="eastAsia" w:ascii="宋体" w:hAnsi="宋体" w:eastAsia="宋体" w:cs="宋体"/>
          <w:b/>
          <w:sz w:val="24"/>
          <w:shd w:val="clear" w:color="auto" w:fill="ffffff"/>
        </w:rPr>
        <w:t xml:space="preserve">）关于本国产品成本占比的声明函（采购项目含有多种产品时适用）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rPr>
      </w:pPr>
      <w:r>
        <w:rPr>
          <w:rFonts w:hint="eastAsia"/>
        </w:rPr>
        <w:br w:type="page" w:clear="all"/>
      </w:r>
      <w:r/>
    </w:p>
    <w:p>
      <w:pPr>
        <w:pStyle w:val="981"/>
        <w:rPr>
          <w:rFonts w:hint="eastAsia"/>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w:t>
      </w:r>
      <w:r>
        <w:rPr>
          <w:sz w:val="24"/>
          <w:szCs w:val="24"/>
        </w:rPr>
        <w:t xml:space="preserve">关于</w:t>
      </w:r>
      <w:r>
        <w:rPr>
          <w:rFonts w:hint="eastAsia"/>
          <w:sz w:val="24"/>
          <w:szCs w:val="24"/>
        </w:rPr>
        <w:t xml:space="preserve">投标报价合理性</w:t>
      </w:r>
      <w:r>
        <w:rPr>
          <w:sz w:val="24"/>
          <w:szCs w:val="24"/>
        </w:rPr>
        <w:t xml:space="preserve">的</w:t>
      </w:r>
      <w:r>
        <w:rPr>
          <w:rFonts w:hint="eastAsia"/>
          <w:sz w:val="24"/>
          <w:szCs w:val="24"/>
        </w:rPr>
        <w:t xml:space="preserve">澄清说明</w:t>
      </w:r>
      <w:bookmarkEnd w:id="51"/>
      <w:r/>
      <w:r/>
    </w:p>
    <w:p>
      <w:pPr>
        <w:ind w:firstLine="420"/>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关于</w:t>
      </w:r>
      <w:r>
        <w:rPr>
          <w:rFonts w:hint="eastAsia" w:asciiTheme="minorEastAsia" w:hAnsiTheme="minorEastAsia" w:eastAsiaTheme="minorEastAsia"/>
          <w:b/>
          <w:sz w:val="24"/>
          <w:szCs w:val="24"/>
        </w:rPr>
        <w:t xml:space="preserve">投标报价合理性</w:t>
      </w:r>
      <w:r>
        <w:rPr>
          <w:rFonts w:asciiTheme="minorEastAsia" w:hAnsiTheme="minorEastAsia" w:eastAsiaTheme="minorEastAsia"/>
          <w:b/>
          <w:sz w:val="24"/>
          <w:szCs w:val="24"/>
        </w:rPr>
        <w:t xml:space="preserve">的</w:t>
      </w:r>
      <w:r>
        <w:rPr>
          <w:rFonts w:hint="eastAsia" w:asciiTheme="minorEastAsia" w:hAnsiTheme="minorEastAsia" w:eastAsiaTheme="minorEastAsia"/>
          <w:b/>
          <w:sz w:val="24"/>
          <w:szCs w:val="24"/>
        </w:rPr>
        <w:t xml:space="preserve">澄清说明</w:t>
      </w:r>
      <w:r/>
    </w:p>
    <w:p>
      <w:pPr>
        <w:jc w:val="left"/>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p>
      <w:pPr>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苏州鸿鑫工程咨询有限公司</w:t>
      </w:r>
      <w:r>
        <w:rPr>
          <w:rFonts w:asciiTheme="minorEastAsia" w:hAnsiTheme="minorEastAsia" w:eastAsiaTheme="minorEastAsia"/>
          <w:sz w:val="24"/>
          <w:szCs w:val="24"/>
        </w:rPr>
        <w:t xml:space="preserve">：</w:t>
      </w:r>
      <w:r/>
    </w:p>
    <w:p>
      <w:pPr>
        <w:pStyle w:val="999"/>
        <w:ind w:left="0" w:firstLine="42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本公司愿就由贵</w:t>
      </w:r>
      <w:r>
        <w:rPr>
          <w:rFonts w:hint="eastAsia" w:asciiTheme="minorEastAsia" w:hAnsiTheme="minorEastAsia" w:eastAsiaTheme="minorEastAsia"/>
          <w:sz w:val="24"/>
          <w:szCs w:val="24"/>
        </w:rPr>
        <w:t xml:space="preserve">公司</w:t>
      </w:r>
      <w:r>
        <w:rPr>
          <w:rFonts w:asciiTheme="minorEastAsia" w:hAnsiTheme="minorEastAsia" w:eastAsiaTheme="minorEastAsia"/>
          <w:sz w:val="24"/>
          <w:szCs w:val="24"/>
        </w:rPr>
        <w:t xml:space="preserve">组织实施的编号为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号（</w:t>
      </w:r>
      <w:r>
        <w:rPr>
          <w:rFonts w:hint="eastAsia" w:asciiTheme="minorEastAsia" w:hAnsiTheme="minorEastAsia" w:eastAsiaTheme="minorEastAsia"/>
          <w:sz w:val="24"/>
          <w:szCs w:val="24"/>
        </w:rPr>
        <w:t xml:space="preserve">项目</w:t>
      </w:r>
      <w:r>
        <w:rPr>
          <w:rFonts w:asciiTheme="minorEastAsia" w:hAnsiTheme="minorEastAsia" w:eastAsiaTheme="minorEastAsia"/>
          <w:sz w:val="24"/>
          <w:szCs w:val="24"/>
        </w:rPr>
        <w:t xml:space="preserve">编号）的招标活动进行投标</w:t>
      </w:r>
      <w:r>
        <w:rPr>
          <w:rFonts w:hint="eastAsia" w:asciiTheme="minorEastAsia" w:hAnsiTheme="minorEastAsia" w:eastAsiaTheme="minorEastAsia"/>
          <w:sz w:val="24"/>
          <w:szCs w:val="24"/>
        </w:rPr>
        <w:t xml:space="preserve">，对于本公司的投标报价合理性作出说明如下：</w:t>
      </w:r>
      <w:r/>
    </w:p>
    <w:tbl>
      <w:tblPr>
        <w:tblStyle w:val="9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hint="eastAsia" w:asciiTheme="minorEastAsia" w:hAnsiTheme="minorEastAsia" w:eastAsiaTheme="minorEastAsia"/>
                <w:b/>
                <w:sz w:val="24"/>
                <w:szCs w:val="24"/>
                <w:shd w:val="pct10" w:color="auto" w:fill="ffffff"/>
              </w:rPr>
            </w:pPr>
            <w:r>
              <w:rPr>
                <w:rFonts w:hint="eastAsia" w:asciiTheme="minorEastAsia" w:hAnsiTheme="minorEastAsia" w:eastAsiaTheme="minorEastAsia"/>
                <w:b/>
                <w:sz w:val="24"/>
                <w:szCs w:val="24"/>
              </w:rPr>
              <w:t xml:space="preserve">投标人应当根据实际情况自拟答复并根据评标委员会关于澄清的要求提供相关证明材料作为附件。</w:t>
            </w:r>
            <w:r/>
          </w:p>
        </w:tc>
      </w:tr>
    </w:tbl>
    <w:p>
      <w:pPr>
        <w:ind w:firstLine="422"/>
        <w:spacing w:line="360" w:lineRule="auto"/>
        <w:rPr>
          <w:rFonts w:hint="eastAsia" w:asciiTheme="minorEastAsia" w:hAnsiTheme="minorEastAsia" w:eastAsiaTheme="minorEastAsia"/>
          <w:b/>
          <w:sz w:val="24"/>
          <w:szCs w:val="24"/>
          <w:lang w:val="zh-CN"/>
        </w:rPr>
      </w:pPr>
      <w:r>
        <w:rPr>
          <w:rFonts w:hint="eastAsia" w:asciiTheme="minorEastAsia" w:hAnsiTheme="minorEastAsia" w:eastAsiaTheme="minorEastAsia"/>
          <w:b/>
          <w:sz w:val="24"/>
          <w:szCs w:val="24"/>
          <w:lang w:val="zh-CN"/>
        </w:rPr>
        <w:t xml:space="preserve">备注：根据招标文件第二章“投标人须知”第25.</w:t>
      </w:r>
      <w:bookmarkStart w:id="53" w:name="OLE_LINK12"/>
      <w:r>
        <w:rPr>
          <w:rFonts w:hint="eastAsia" w:asciiTheme="minorEastAsia" w:hAnsiTheme="minorEastAsia" w:eastAsiaTheme="minorEastAsia"/>
          <w:b/>
          <w:sz w:val="24"/>
          <w:szCs w:val="24"/>
          <w:lang w:val="zh-CN"/>
        </w:rPr>
        <w:t xml:space="preserve">6条要求，当政府采购评审中出现供应商“投标报价低于全部通过符合性审查供应商投标报价平均值50%的”或者“投标报价低于通过符合性审查的次低报价供应商投标报价50%的”或者“投标</w:t>
      </w:r>
      <w:r>
        <w:rPr>
          <w:rFonts w:asciiTheme="minorEastAsia" w:hAnsiTheme="minorEastAsia" w:eastAsiaTheme="minorEastAsia"/>
          <w:b/>
          <w:sz w:val="24"/>
          <w:szCs w:val="24"/>
          <w:lang w:val="zh-CN"/>
        </w:rPr>
        <w:t xml:space="preserve">报价</w:t>
      </w:r>
      <w:r>
        <w:rPr>
          <w:rFonts w:hint="eastAsia" w:asciiTheme="minorEastAsia" w:hAnsiTheme="minorEastAsia" w:eastAsiaTheme="minorEastAsia"/>
          <w:b/>
          <w:sz w:val="24"/>
          <w:szCs w:val="24"/>
          <w:lang w:val="zh-CN"/>
        </w:rPr>
        <w:t xml:space="preserve">低于</w:t>
      </w:r>
      <w:r>
        <w:rPr>
          <w:rFonts w:asciiTheme="minorEastAsia" w:hAnsiTheme="minorEastAsia" w:eastAsiaTheme="minorEastAsia"/>
          <w:b/>
          <w:sz w:val="24"/>
          <w:szCs w:val="24"/>
          <w:lang w:val="zh-CN"/>
        </w:rPr>
        <w:t xml:space="preserve">采购项目最高</w:t>
      </w:r>
      <w:r>
        <w:rPr>
          <w:rFonts w:hint="eastAsia" w:asciiTheme="minorEastAsia" w:hAnsiTheme="minorEastAsia" w:eastAsiaTheme="minorEastAsia"/>
          <w:b/>
          <w:sz w:val="24"/>
          <w:szCs w:val="24"/>
          <w:lang w:val="zh-CN"/>
        </w:rPr>
        <w:t xml:space="preserve">限价</w:t>
      </w:r>
      <w:r>
        <w:rPr>
          <w:rFonts w:asciiTheme="minorEastAsia" w:hAnsiTheme="minorEastAsia" w:eastAsiaTheme="minorEastAsia"/>
          <w:b/>
          <w:sz w:val="24"/>
          <w:szCs w:val="24"/>
          <w:lang w:val="zh-CN"/>
        </w:rPr>
        <w:t xml:space="preserve">45%</w:t>
      </w:r>
      <w:bookmarkStart w:id="54" w:name="OLE_LINK16"/>
      <w:r>
        <w:rPr>
          <w:rFonts w:hint="eastAsia" w:asciiTheme="minorEastAsia" w:hAnsiTheme="minorEastAsia" w:eastAsiaTheme="minorEastAsia"/>
          <w:b/>
          <w:sz w:val="24"/>
          <w:szCs w:val="24"/>
          <w:lang w:val="zh-CN"/>
        </w:rPr>
        <w:t xml:space="preserve">的</w:t>
      </w:r>
      <w:bookmarkEnd w:id="53"/>
      <w:r/>
      <w:bookmarkEnd w:id="54"/>
      <w:r>
        <w:rPr>
          <w:rFonts w:hint="eastAsia" w:asciiTheme="minorEastAsia" w:hAnsiTheme="minorEastAsia" w:eastAsiaTheme="minorEastAsia"/>
          <w:b/>
          <w:sz w:val="24"/>
          <w:szCs w:val="24"/>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投标人（盖章）： </w:t>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法定代表人或代理人（签字或盖章）：</w:t>
      </w:r>
      <w:r/>
    </w:p>
    <w:p>
      <w:pPr>
        <w:ind w:firstLine="4830"/>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日期:       </w:t>
      </w:r>
      <w:r>
        <w:rPr>
          <w:rFonts w:hint="eastAsia" w:asciiTheme="minorEastAsia" w:hAnsiTheme="minorEastAsia" w:eastAsiaTheme="minorEastAsia"/>
          <w:sz w:val="24"/>
          <w:szCs w:val="24"/>
        </w:rPr>
        <w:t xml:space="preserve">年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月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日</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br w:type="page" w:clear="all"/>
      </w:r>
      <w:r/>
    </w:p>
    <w:p>
      <w:pPr>
        <w:jc w:val="left"/>
        <w:spacing w:line="360" w:lineRule="auto"/>
        <w:rPr>
          <w:rFonts w:hint="eastAsia" w:ascii="宋体" w:hAnsi="宋体" w:eastAsia="宋体" w:cs="宋体"/>
          <w:b/>
          <w:bCs/>
          <w:sz w:val="24"/>
          <w:szCs w:val="24"/>
        </w:rPr>
      </w:pPr>
      <w:r>
        <w:rPr>
          <w:rFonts w:hint="eastAsia" w:ascii="宋体" w:hAnsi="宋体" w:eastAsia="宋体" w:cs="宋体"/>
          <w:b/>
          <w:bCs/>
          <w:spacing w:val="6"/>
          <w:sz w:val="24"/>
          <w:szCs w:val="24"/>
          <w:lang w:val="en-US" w:eastAsia="zh-CN"/>
        </w:rPr>
        <w:t xml:space="preserve">12、</w:t>
      </w:r>
      <w:r>
        <w:rPr>
          <w:rFonts w:hint="eastAsia" w:ascii="宋体" w:hAnsi="宋体" w:eastAsia="宋体" w:cs="宋体"/>
          <w:b/>
          <w:bCs/>
          <w:spacing w:val="6"/>
          <w:sz w:val="24"/>
          <w:szCs w:val="24"/>
        </w:rPr>
        <w:t xml:space="preserve">政府采购合同信用融资政策告知函（本附件无需签章放置投标文件中）</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bCs/>
          <w:spacing w:val="6"/>
          <w:sz w:val="24"/>
          <w:szCs w:val="24"/>
        </w:rPr>
        <w:t xml:space="preserve">政府采购合同信用融资政策告知函</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各政府采购供应商: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pStyle w:val="998"/>
        <w:rPr>
          <w:rFonts w:hint="eastAsia" w:ascii="宋体" w:hAnsi="宋体" w:eastAsia="宋体" w:cs="宋体"/>
          <w:sz w:val="24"/>
          <w:szCs w:val="24"/>
        </w:rPr>
        <w:sectPr>
          <w:footerReference w:type="default" r:id="rId12"/>
          <w:footnotePr/>
          <w:endnotePr/>
          <w:type w:val="nextPage"/>
          <w:pgSz w:w="11906" w:h="16838" w:orient="portrait"/>
          <w:pgMar w:top="1440" w:right="1417" w:bottom="1440" w:left="1417" w:header="964" w:footer="1077" w:gutter="0"/>
          <w:pgNumType w:start="1"/>
          <w:cols w:num="1" w:sep="0" w:space="720" w:equalWidth="1"/>
          <w:docGrid w:linePitch="360"/>
        </w:sect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993"/>
        <w:ind w:firstLine="0"/>
        <w:jc w:val="both"/>
        <w:rPr>
          <w:rFonts w:hint="eastAsia" w:ascii="宋体" w:hAnsi="宋体" w:eastAsia="宋体"/>
          <w:sz w:val="32"/>
          <w:szCs w:val="32"/>
        </w:rPr>
      </w:pPr>
      <w:r>
        <w:rPr>
          <w:rFonts w:hint="eastAsia" w:ascii="宋体" w:hAnsi="宋体" w:eastAsia="宋体"/>
          <w:sz w:val="32"/>
          <w:szCs w:val="32"/>
        </w:rPr>
      </w:r>
      <w:r/>
    </w:p>
    <w:p>
      <w:pPr>
        <w:pStyle w:val="993"/>
        <w:ind w:firstLine="0"/>
        <w:jc w:val="both"/>
        <w:rPr>
          <w:rFonts w:hint="eastAsia" w:ascii="宋体" w:hAnsi="宋体" w:eastAsia="宋体"/>
          <w:sz w:val="32"/>
          <w:szCs w:val="32"/>
        </w:rPr>
      </w:pPr>
      <w:r>
        <w:rPr>
          <w:rFonts w:hint="eastAsia" w:ascii="宋体" w:hAnsi="宋体" w:eastAsia="宋体"/>
          <w:sz w:val="32"/>
          <w:szCs w:val="32"/>
        </w:rPr>
      </w:r>
      <w:r/>
    </w:p>
    <w:p>
      <w:pPr>
        <w:pStyle w:val="993"/>
        <w:ind w:firstLine="0"/>
        <w:jc w:val="both"/>
        <w:rPr>
          <w:rFonts w:hint="eastAsia" w:ascii="宋体" w:hAnsi="宋体" w:eastAsia="宋体"/>
          <w:sz w:val="32"/>
          <w:szCs w:val="32"/>
        </w:rPr>
      </w:pPr>
      <w:r>
        <w:rPr>
          <w:rFonts w:hint="eastAsia" w:ascii="宋体" w:hAnsi="宋体" w:eastAsia="宋体"/>
          <w:sz w:val="32"/>
          <w:szCs w:val="32"/>
        </w:rPr>
      </w:r>
      <w:r/>
    </w:p>
    <w:p>
      <w:pPr>
        <w:pStyle w:val="993"/>
        <w:ind w:firstLine="0"/>
        <w:jc w:val="both"/>
        <w:rPr>
          <w:rFonts w:hint="eastAsia" w:ascii="宋体" w:hAnsi="宋体" w:eastAsia="宋体"/>
          <w:sz w:val="32"/>
          <w:szCs w:val="32"/>
        </w:rPr>
      </w:pPr>
      <w:r>
        <w:rPr>
          <w:rFonts w:hint="eastAsia" w:ascii="宋体" w:hAnsi="宋体" w:eastAsia="宋体"/>
          <w:sz w:val="32"/>
          <w:szCs w:val="32"/>
        </w:rPr>
      </w:r>
      <w:r/>
    </w:p>
    <w:p>
      <w:pPr>
        <w:pStyle w:val="993"/>
        <w:ind w:firstLine="0"/>
        <w:jc w:val="both"/>
        <w:rPr>
          <w:rFonts w:hint="eastAsia" w:ascii="宋体" w:hAnsi="宋体" w:eastAsia="宋体"/>
          <w:sz w:val="32"/>
          <w:szCs w:val="32"/>
        </w:rPr>
      </w:pPr>
      <w:r>
        <w:rPr>
          <w:rFonts w:hint="eastAsia" w:ascii="宋体" w:hAnsi="宋体" w:eastAsia="宋体"/>
          <w:sz w:val="32"/>
          <w:szCs w:val="32"/>
        </w:rPr>
      </w:r>
      <w:r/>
    </w:p>
    <w:p>
      <w:pPr>
        <w:pStyle w:val="993"/>
        <w:ind w:firstLine="0"/>
        <w:jc w:val="both"/>
        <w:rPr>
          <w:rFonts w:hint="eastAsia" w:ascii="宋体" w:hAnsi="宋体" w:eastAsia="宋体"/>
          <w:sz w:val="32"/>
          <w:szCs w:val="32"/>
        </w:rPr>
      </w:pPr>
      <w:r>
        <w:rPr>
          <w:rFonts w:hint="eastAsia" w:ascii="宋体" w:hAnsi="宋体" w:eastAsia="宋体"/>
          <w:sz w:val="32"/>
          <w:szCs w:val="32"/>
        </w:rPr>
      </w:r>
      <w:r/>
    </w:p>
    <w:p>
      <w:pPr>
        <w:pStyle w:val="993"/>
        <w:ind w:firstLine="0"/>
        <w:jc w:val="both"/>
        <w:rPr>
          <w:rFonts w:hint="eastAsia" w:ascii="宋体" w:hAnsi="宋体" w:eastAsia="宋体"/>
          <w:sz w:val="32"/>
          <w:szCs w:val="32"/>
        </w:rPr>
      </w:pPr>
      <w:r>
        <w:rPr>
          <w:rFonts w:hint="eastAsia" w:ascii="宋体" w:hAnsi="宋体" w:eastAsia="宋体"/>
          <w:sz w:val="32"/>
          <w:szCs w:val="32"/>
        </w:rPr>
      </w:r>
      <w:r/>
    </w:p>
    <w:p>
      <w:pPr>
        <w:pStyle w:val="993"/>
        <w:ind w:firstLine="0"/>
        <w:jc w:val="both"/>
        <w:rPr>
          <w:rFonts w:hint="eastAsia" w:ascii="宋体" w:hAnsi="宋体" w:eastAsia="宋体"/>
          <w:sz w:val="32"/>
          <w:szCs w:val="32"/>
        </w:rPr>
      </w:pPr>
      <w:r>
        <w:rPr>
          <w:rFonts w:hint="eastAsia" w:ascii="宋体" w:hAnsi="宋体" w:eastAsia="宋体"/>
          <w:sz w:val="32"/>
          <w:szCs w:val="32"/>
        </w:rPr>
      </w:r>
      <w:r/>
    </w:p>
    <w:p>
      <w:pPr>
        <w:pStyle w:val="993"/>
        <w:ind w:firstLine="0"/>
        <w:jc w:val="both"/>
        <w:rPr>
          <w:rFonts w:hint="eastAsia" w:ascii="宋体" w:hAnsi="宋体" w:eastAsia="宋体"/>
          <w:sz w:val="32"/>
          <w:szCs w:val="32"/>
        </w:rPr>
      </w:pPr>
      <w:r>
        <w:rPr>
          <w:rFonts w:hint="eastAsia" w:ascii="宋体" w:hAnsi="宋体" w:eastAsia="宋体"/>
          <w:sz w:val="32"/>
          <w:szCs w:val="32"/>
        </w:rPr>
      </w:r>
      <w:r/>
    </w:p>
    <w:p>
      <w:pPr>
        <w:pStyle w:val="980"/>
        <w:jc w:val="center"/>
        <w:rPr>
          <w:rFonts w:hint="eastAsia" w:ascii="宋体" w:hAnsi="宋体" w:eastAsia="宋体"/>
          <w:sz w:val="52"/>
        </w:rPr>
      </w:pPr>
      <w:r/>
      <w:bookmarkStart w:id="55" w:name="_Toc13642115"/>
      <w:r/>
      <w:bookmarkStart w:id="56" w:name="_Toc488137108"/>
      <w:r/>
      <w:bookmarkStart w:id="57" w:name="_Toc19016"/>
      <w:r>
        <w:rPr>
          <w:rFonts w:hint="eastAsia" w:ascii="宋体" w:hAnsi="宋体" w:eastAsia="宋体"/>
          <w:sz w:val="52"/>
        </w:rPr>
        <w:t xml:space="preserve">第四章</w:t>
      </w:r>
      <w:r>
        <w:rPr>
          <w:rFonts w:hint="eastAsia" w:ascii="宋体" w:hAnsi="宋体" w:eastAsia="宋体"/>
          <w:sz w:val="52"/>
          <w:lang w:val="en-US" w:eastAsia="zh-CN"/>
        </w:rPr>
        <w:t xml:space="preserve"> </w:t>
      </w:r>
      <w:r>
        <w:rPr>
          <w:rFonts w:hint="eastAsia" w:ascii="宋体" w:hAnsi="宋体" w:eastAsia="宋体"/>
          <w:sz w:val="52"/>
        </w:rPr>
        <w:t xml:space="preserve">招标书</w:t>
      </w:r>
      <w:bookmarkEnd w:id="55"/>
      <w:r/>
      <w:bookmarkEnd w:id="56"/>
      <w:r/>
      <w:bookmarkEnd w:id="57"/>
      <w:r/>
      <w:r/>
    </w:p>
    <w:p>
      <w:pPr>
        <w:jc w:val="center"/>
        <w:spacing w:line="360" w:lineRule="auto"/>
        <w:rPr>
          <w:rFonts w:hint="eastAsia" w:ascii="宋体" w:hAnsi="宋体" w:eastAsia="宋体"/>
          <w:b/>
          <w:sz w:val="44"/>
          <w:szCs w:val="44"/>
        </w:rPr>
      </w:pPr>
      <w:r/>
      <w:bookmarkStart w:id="58" w:name="_Toc13543212"/>
      <w:r>
        <w:rPr>
          <w:rFonts w:ascii="宋体" w:hAnsi="宋体" w:eastAsia="宋体"/>
          <w:b/>
          <w:sz w:val="44"/>
        </w:rPr>
        <w:br w:type="page" w:clear="all"/>
      </w:r>
      <w:r>
        <w:rPr>
          <w:rFonts w:hint="eastAsia" w:ascii="宋体" w:hAnsi="宋体" w:eastAsia="宋体"/>
          <w:b/>
          <w:sz w:val="44"/>
          <w:szCs w:val="44"/>
        </w:rPr>
        <w:t xml:space="preserve">招标书</w:t>
      </w:r>
      <w:bookmarkEnd w:id="58"/>
      <w:r/>
      <w:r/>
    </w:p>
    <w:p>
      <w:pPr>
        <w:ind w:firstLine="480"/>
        <w:spacing w:line="360" w:lineRule="auto"/>
        <w:rPr>
          <w:rFonts w:hint="eastAsia" w:ascii="宋体" w:hAnsi="宋体" w:eastAsia="宋体"/>
          <w:sz w:val="24"/>
          <w:szCs w:val="24"/>
          <w:highlight w:val="none"/>
        </w:rPr>
      </w:pPr>
      <w:r/>
      <w:bookmarkStart w:id="59" w:name="OLE_LINK1"/>
      <w:r>
        <w:rPr>
          <w:rFonts w:hint="eastAsia" w:ascii="宋体" w:hAnsi="宋体" w:eastAsia="宋体"/>
          <w:sz w:val="24"/>
          <w:szCs w:val="24"/>
          <w:highlight w:val="none"/>
        </w:rPr>
        <w:t xml:space="preserve">苏州鸿鑫工程咨询有限公司受</w:t>
      </w:r>
      <w:r>
        <w:rPr>
          <w:rFonts w:hint="eastAsia" w:ascii="宋体" w:hAnsi="宋体" w:eastAsia="宋体"/>
          <w:sz w:val="24"/>
          <w:szCs w:val="24"/>
          <w:highlight w:val="none"/>
          <w:lang w:eastAsia="zh-CN"/>
        </w:rPr>
        <w:t xml:space="preserve">苏州市吴中区光福镇综合服务中心</w:t>
      </w:r>
      <w:r>
        <w:rPr>
          <w:rFonts w:hint="eastAsia" w:ascii="宋体" w:hAnsi="宋体" w:eastAsia="宋体"/>
          <w:sz w:val="24"/>
          <w:szCs w:val="24"/>
          <w:highlight w:val="none"/>
        </w:rPr>
        <w:t xml:space="preserve">的委托，就</w:t>
      </w:r>
      <w:r>
        <w:rPr>
          <w:rFonts w:hint="eastAsia" w:ascii="宋体" w:hAnsi="宋体" w:eastAsia="宋体"/>
          <w:sz w:val="24"/>
          <w:szCs w:val="24"/>
          <w:highlight w:val="none"/>
          <w:lang w:eastAsia="zh-CN"/>
        </w:rPr>
        <w:t xml:space="preserve">度假区产业园消救援装备采购项目</w:t>
      </w:r>
      <w:r>
        <w:rPr>
          <w:rFonts w:hint="eastAsia" w:ascii="宋体" w:hAnsi="宋体" w:eastAsia="宋体"/>
          <w:sz w:val="24"/>
          <w:szCs w:val="24"/>
          <w:highlight w:val="none"/>
        </w:rPr>
        <w:t xml:space="preserve">进行公开招标，欢迎有资格的供应商前来参加投标。</w:t>
      </w:r>
      <w:r/>
    </w:p>
    <w:p>
      <w:pPr>
        <w:ind w:firstLine="482"/>
        <w:spacing w:line="360" w:lineRule="auto"/>
        <w:rPr>
          <w:rFonts w:hint="eastAsia" w:ascii="宋体" w:hAnsi="宋体" w:eastAsia="宋体"/>
          <w:b/>
          <w:sz w:val="24"/>
          <w:szCs w:val="24"/>
          <w:highlight w:val="none"/>
          <w:lang w:eastAsia="zh-CN"/>
        </w:rPr>
      </w:pPr>
      <w:r>
        <w:rPr>
          <w:rFonts w:hint="eastAsia" w:ascii="宋体" w:hAnsi="宋体" w:eastAsia="宋体"/>
          <w:b/>
          <w:sz w:val="24"/>
          <w:szCs w:val="24"/>
          <w:highlight w:val="none"/>
        </w:rPr>
        <w:t xml:space="preserve">一</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采购编号：</w:t>
      </w:r>
      <w:r>
        <w:rPr>
          <w:rFonts w:hint="eastAsia" w:ascii="宋体" w:hAnsi="宋体" w:eastAsia="宋体"/>
          <w:b/>
          <w:sz w:val="24"/>
          <w:szCs w:val="24"/>
          <w:highlight w:val="none"/>
          <w:lang w:eastAsia="zh-CN"/>
        </w:rPr>
        <w:t xml:space="preserve">JSZC-320506104-SZHX-G2026-0032</w:t>
      </w:r>
      <w:r/>
    </w:p>
    <w:p>
      <w:pPr>
        <w:ind w:firstLine="482"/>
        <w:spacing w:line="360" w:lineRule="auto"/>
        <w:rPr>
          <w:rFonts w:hint="eastAsia" w:ascii="宋体" w:hAnsi="宋体" w:eastAsia="宋体"/>
          <w:b/>
          <w:bCs/>
          <w:sz w:val="24"/>
          <w:szCs w:val="24"/>
          <w:lang w:eastAsia="zh-CN"/>
        </w:rPr>
      </w:pPr>
      <w:r>
        <w:rPr>
          <w:rFonts w:hint="eastAsia" w:ascii="宋体" w:hAnsi="宋体" w:eastAsia="宋体"/>
          <w:b/>
          <w:sz w:val="24"/>
          <w:szCs w:val="24"/>
        </w:rPr>
        <w:t xml:space="preserve">二</w:t>
      </w:r>
      <w:r>
        <w:rPr>
          <w:rFonts w:ascii="宋体" w:hAnsi="宋体" w:eastAsia="宋体"/>
          <w:b/>
          <w:sz w:val="24"/>
          <w:szCs w:val="24"/>
        </w:rPr>
        <w:t xml:space="preserve">、</w:t>
      </w:r>
      <w:r>
        <w:rPr>
          <w:rFonts w:hint="eastAsia" w:ascii="宋体" w:hAnsi="宋体" w:eastAsia="宋体"/>
          <w:b/>
          <w:sz w:val="24"/>
          <w:szCs w:val="24"/>
        </w:rPr>
        <w:t xml:space="preserve">项目名称：</w:t>
      </w:r>
      <w:r>
        <w:rPr>
          <w:rFonts w:hint="eastAsia" w:ascii="宋体" w:hAnsi="宋体" w:eastAsia="宋体"/>
          <w:b/>
          <w:bCs/>
          <w:sz w:val="24"/>
          <w:szCs w:val="24"/>
          <w:lang w:eastAsia="zh-CN"/>
        </w:rPr>
        <w:t xml:space="preserve">度假区产业园消救援装备采购项目</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三、采购清单及产品具体技术要求：</w:t>
      </w:r>
      <w:r/>
    </w:p>
    <w:tbl>
      <w:tblPr>
        <w:tblStyle w:val="987"/>
        <w:tblW w:w="8990" w:type="dxa"/>
        <w:jc w:val="center"/>
        <w:tblLayout w:type="fixed"/>
        <w:tblCellMar>
          <w:left w:w="108" w:type="dxa"/>
          <w:top w:w="0" w:type="dxa"/>
          <w:right w:w="108" w:type="dxa"/>
          <w:bottom w:w="0" w:type="dxa"/>
        </w:tblCellMar>
        <w:tblLook w:val="04A0" w:firstRow="1" w:lastRow="0" w:firstColumn="1" w:lastColumn="0" w:noHBand="0" w:noVBand="1"/>
      </w:tblPr>
      <w:tblGrid>
        <w:gridCol w:w="495"/>
        <w:gridCol w:w="765"/>
        <w:gridCol w:w="1164"/>
        <w:gridCol w:w="457"/>
        <w:gridCol w:w="576"/>
        <w:gridCol w:w="5533"/>
      </w:tblGrid>
      <w:tr>
        <w:trPr>
          <w:jc w:val="center"/>
          <w:trHeight w:val="822"/>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b/>
                <w:bCs/>
                <w:color w:val="000000"/>
                <w:sz w:val="24"/>
                <w:szCs w:val="24"/>
                <w:lang w:bidi="ar"/>
              </w:rPr>
              <w:t xml:space="preserve">技术性能</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技术要求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消防头盔（半盔）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1、头盔需符合XF44-2015消防头盔标准。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2、由帽壳、缓冲层、帽衬、可调节帽箍、舒适衬垫、下颏带、防护面屏、披肩等组成。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3、头围可调范围广，最大可调节范围达到67cm。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4、专属热绝缘帽壳，帽壳主体含有不小于5cm加长帽沿，采用玻纤复合型热塑材料，含有耐高温抗火焰抗刮擦的树脂涂层，采用橡胶内嵌金属包边。内衬抗冲击隔热的泡沫衬垫。</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5、帽壳采用双层结构，提供多重防护，除了抗冲击，耐穿刺外，还能提供额外的耐高温隔热的效果。同时双层帽壳采用安全松脱结构设计，在受到意外绊挂时帽壳会自行脱落，以免使用者颈部受到伤害。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6、具备独特的冲击力吸收系统，将抗冲击帽壳，帽衬，缓冲弹性管有机的设计成一个系统，提供优越的抗冲击性能。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7、冲击吸收性能测试：高温预处理最大冲击力小于3200N，辐射热预处理最大冲击力小于3200N，低温预处理最大冲击力小于3200N，浸水预处理最大冲击力小于3200N。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8、头盔所配面屏应采用高性能耐冲击材料，面屏应带有浅色防护涂层，以提高使用者在火场的舒适性，且面屏的透光率应超过75%。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9、头盔的后部带有D形环，以便日常使用方便挂持。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10、头盔抗冲击加速度性能：在最大冲击加速度≤400gn时，头帽顶部冲击力小于130N，头盔前部小于310N，头盔侧面冲击力小于320N， 头盔后部冲击力小于310N。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11、头盔采用带大旋风旋钮的头箍，方便轻松调节到位并锁定，采用六点式顶带，以确保冲击均匀分布至头部四周，确保舒适性。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12、下颏带采用防火阻燃材料，配有快速调节搭扣。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13、头盔内部头围贴合部分带有软衬垫，采用防火芳纶材料。要求易拆卸。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14、配有可拆卸铝箔防火披肩，要求防水、耐高温火焰。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15、帽壳的泄漏电量小于1.2mA。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16、下颏带拉伸实验时，下颏带不发生断裂和滑脱，且实验后下颏带延伸不超过13mm。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17、侧向刚性试验后，帽壳最大变形量小于23mm，卸载后变形量小于3.5mm。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18、头盔整体重量小于1500克。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19、投标产品标识、包装满足XF44-2015标准要求，每顶头盔上应有清晰的永久性标识，执行标准、型号，规格，生产厂的名称和商标，生产厂的头盔识别编号或制造年月，检验合格标记等。</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消防头盔披肩（半盔）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1、可拆卸铝箔防火披肩，要求防水、耐高温火焰。</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 员灭火防护 服》</w:t>
            </w:r>
            <w:r>
              <w:rPr>
                <w:rStyle w:val="1188"/>
                <w:rFonts w:hint="default"/>
                <w:color w:val="auto"/>
                <w:sz w:val="24"/>
                <w:szCs w:val="24"/>
                <w:highlight w:val="none"/>
                <w:lang w:bidi="ar"/>
              </w:rPr>
              <w:t xml:space="preserve">XF 10-2014</w:t>
            </w:r>
            <w:r>
              <w:rPr>
                <w:rFonts w:hint="eastAsia" w:ascii="宋体" w:hAnsi="宋体" w:eastAsia="宋体" w:cs="宋体"/>
                <w:color w:val="auto"/>
                <w:sz w:val="24"/>
                <w:szCs w:val="24"/>
                <w:highlight w:val="none"/>
                <w:lang w:bidi="ar"/>
              </w:rPr>
              <w:t xml:space="preserve"> 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188"/>
                <w:rFonts w:hint="default"/>
                <w:color w:val="auto"/>
                <w:sz w:val="24"/>
                <w:szCs w:val="24"/>
                <w:highlight w:val="none"/>
                <w:lang w:bidi="ar"/>
              </w:rPr>
              <w:t xml:space="preserve">1、符合XF 10-2014《消防员灭火防护服》标准要求。</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2、服装款式、号型、标识应符合应急管理部消防局统型要求。</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3、整体防护性能：热防护能力TPP值≥40.0（cal/cm2）。</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4、整套服装重量：≤2.60kg。</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5、外层性能指标：</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▲5.1外层阻燃性能：</w:t>
            </w:r>
            <w:r>
              <w:rPr>
                <w:rStyle w:val="1189"/>
                <w:rFonts w:hint="default"/>
                <w:color w:val="auto"/>
                <w:sz w:val="24"/>
                <w:szCs w:val="24"/>
                <w:highlight w:val="none"/>
                <w:lang w:bidi="ar"/>
              </w:rPr>
              <w:t xml:space="preserve">经、纬向损毁长度≤20mm</w:t>
            </w:r>
            <w:r>
              <w:rPr>
                <w:rStyle w:val="1188"/>
                <w:rFonts w:hint="default"/>
                <w:color w:val="auto"/>
                <w:sz w:val="24"/>
                <w:szCs w:val="24"/>
                <w:highlight w:val="none"/>
                <w:lang w:bidi="ar"/>
              </w:rPr>
              <w:t xml:space="preserve">，续燃时间为0s，无熔融，滴落现象。热稳定性能：经热稳定性能试验后，沿经、纬方向尺寸变化率≤1％，试样表面无明显变化。</w:t>
            </w:r>
            <w:r>
              <w:rPr>
                <w:rStyle w:val="1189"/>
                <w:rFonts w:hint="default"/>
                <w:color w:val="auto"/>
                <w:sz w:val="24"/>
                <w:szCs w:val="24"/>
                <w:highlight w:val="none"/>
                <w:lang w:bidi="ar"/>
              </w:rPr>
              <w:t xml:space="preserve">缩水率：沿经、纬向缩水率≤1.0％。表面抗湿性能：≥4级。断裂强力：经向断裂强力≥2200N、纬向断裂强力≥2300N、撕破强力：经向撕破强力≥750N、纬向撕破强力≥730N</w:t>
            </w:r>
            <w:r>
              <w:rPr>
                <w:rStyle w:val="1188"/>
                <w:rFonts w:hint="default"/>
                <w:color w:val="auto"/>
                <w:sz w:val="24"/>
                <w:szCs w:val="24"/>
                <w:highlight w:val="none"/>
                <w:lang w:bidi="ar"/>
              </w:rPr>
              <w:t xml:space="preserve">。色牢度：耐洗沾色≥4级，耐水摩擦≥4级，耐光色牢度≥4级。</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6、防水透气层性能指标：</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6.1阻燃性能：</w:t>
            </w:r>
            <w:r>
              <w:rPr>
                <w:rStyle w:val="1189"/>
                <w:rFonts w:hint="default"/>
                <w:color w:val="auto"/>
                <w:sz w:val="24"/>
                <w:szCs w:val="24"/>
                <w:highlight w:val="none"/>
                <w:lang w:bidi="ar"/>
              </w:rPr>
              <w:t xml:space="preserve">经、纬向损毁长度≤30mm</w:t>
            </w:r>
            <w:r>
              <w:rPr>
                <w:rStyle w:val="1188"/>
                <w:rFonts w:hint="default"/>
                <w:color w:val="auto"/>
                <w:sz w:val="24"/>
                <w:szCs w:val="24"/>
                <w:highlight w:val="none"/>
                <w:lang w:bidi="ar"/>
              </w:rPr>
              <w:t xml:space="preserve">，续燃时间为0s，无熔融，滴落现象；</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6.2热稳定性能：经热稳定性能试验后，</w:t>
            </w:r>
            <w:r>
              <w:rPr>
                <w:rStyle w:val="1189"/>
                <w:rFonts w:hint="default"/>
                <w:color w:val="auto"/>
                <w:sz w:val="24"/>
                <w:szCs w:val="24"/>
                <w:highlight w:val="none"/>
                <w:lang w:bidi="ar"/>
              </w:rPr>
              <w:t xml:space="preserve">沿经、纬方向尺寸变化率≤1％</w:t>
            </w:r>
            <w:r>
              <w:rPr>
                <w:rStyle w:val="1188"/>
                <w:rFonts w:hint="default"/>
                <w:color w:val="auto"/>
                <w:sz w:val="24"/>
                <w:szCs w:val="24"/>
                <w:highlight w:val="none"/>
                <w:lang w:bidi="ar"/>
              </w:rPr>
              <w:t xml:space="preserve">，试样表面无明显变化；</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6.3缩水率：经洗涤后，沿经、纬向缩水率≤2％；</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6.4耐静水压性能：洗涤后，耐静水压≥50kPa；</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6.5透湿率性能：</w:t>
            </w:r>
            <w:r>
              <w:rPr>
                <w:rStyle w:val="1189"/>
                <w:rFonts w:hint="default"/>
                <w:color w:val="auto"/>
                <w:sz w:val="24"/>
                <w:szCs w:val="24"/>
                <w:highlight w:val="none"/>
                <w:lang w:bidi="ar"/>
              </w:rPr>
              <w:t xml:space="preserve">透湿率性能≥8700g/（m2•24h）；</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6.6拒油性能：洗涤后，拒油性能≥4级。</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7、舒适层性能指标：</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7.1阻燃性能：经、纬向损毁长度≤30mm，续燃时间为0s，无熔融，滴落现象；</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7.2断裂强力：经向断裂强力≥630N、纬向断裂强力≥550N；</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7.3热稳定性能：经热稳定性能试验后，</w:t>
            </w:r>
            <w:r>
              <w:rPr>
                <w:rStyle w:val="1189"/>
                <w:rFonts w:hint="default"/>
                <w:color w:val="auto"/>
                <w:sz w:val="24"/>
                <w:szCs w:val="24"/>
                <w:highlight w:val="none"/>
                <w:lang w:bidi="ar"/>
              </w:rPr>
              <w:t xml:space="preserve">沿经、纬方向尺寸变化率≤1％</w:t>
            </w:r>
            <w:r>
              <w:rPr>
                <w:rStyle w:val="1188"/>
                <w:rFonts w:hint="default"/>
                <w:color w:val="auto"/>
                <w:sz w:val="24"/>
                <w:szCs w:val="24"/>
                <w:highlight w:val="none"/>
                <w:lang w:bidi="ar"/>
              </w:rPr>
              <w:t xml:space="preserve">，试样表面无明显变化；</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7.4缩水率：经洗涤后，沿经、纬向缩水率≤2％。</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 符合《消防手套》</w:t>
            </w:r>
            <w:r>
              <w:rPr>
                <w:rStyle w:val="1188"/>
                <w:rFonts w:hint="default"/>
                <w:color w:val="auto"/>
                <w:sz w:val="24"/>
                <w:szCs w:val="24"/>
                <w:highlight w:val="none"/>
                <w:lang w:bidi="ar"/>
              </w:rPr>
              <w:t xml:space="preserve">XF</w:t>
            </w:r>
            <w:r>
              <w:rPr>
                <w:rStyle w:val="1189"/>
                <w:rFonts w:hint="default"/>
                <w:color w:val="auto"/>
                <w:sz w:val="24"/>
                <w:szCs w:val="24"/>
                <w:highlight w:val="none"/>
                <w:lang w:bidi="ar"/>
              </w:rPr>
              <w:t xml:space="preserve"> </w:t>
            </w:r>
            <w:r>
              <w:rPr>
                <w:rStyle w:val="1188"/>
                <w:rFonts w:hint="default"/>
                <w:color w:val="auto"/>
                <w:sz w:val="24"/>
                <w:szCs w:val="24"/>
                <w:highlight w:val="none"/>
                <w:lang w:bidi="ar"/>
              </w:rPr>
              <w:t xml:space="preserve">7-2004</w:t>
            </w:r>
            <w:r>
              <w:rPr>
                <w:rFonts w:hint="eastAsia" w:ascii="宋体" w:hAnsi="宋体" w:eastAsia="宋体" w:cs="宋体"/>
                <w:color w:val="auto"/>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188"/>
                <w:rFonts w:hint="default"/>
                <w:color w:val="auto"/>
                <w:sz w:val="24"/>
                <w:szCs w:val="24"/>
                <w:highlight w:val="none"/>
                <w:lang w:bidi="ar"/>
              </w:rPr>
              <w:t xml:space="preserve">1、符合XF</w:t>
            </w:r>
            <w:r>
              <w:rPr>
                <w:rStyle w:val="1189"/>
                <w:rFonts w:hint="default"/>
                <w:color w:val="auto"/>
                <w:sz w:val="24"/>
                <w:szCs w:val="24"/>
                <w:highlight w:val="none"/>
                <w:lang w:bidi="ar"/>
              </w:rPr>
              <w:t xml:space="preserve"> </w:t>
            </w:r>
            <w:r>
              <w:rPr>
                <w:rStyle w:val="1188"/>
                <w:rFonts w:hint="default"/>
                <w:color w:val="auto"/>
                <w:sz w:val="24"/>
                <w:szCs w:val="24"/>
                <w:highlight w:val="none"/>
                <w:lang w:bidi="ar"/>
              </w:rPr>
              <w:t xml:space="preserve">7-2004《消防手套》；</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2、消防用灭火防护手套形状手指部分自然弯曲，符合人体工程学。手套腕部具有阻燃腕带设计，方便携带。</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3、</w:t>
            </w:r>
            <w:r>
              <w:rPr>
                <w:rStyle w:val="1189"/>
                <w:rFonts w:hint="default"/>
                <w:color w:val="auto"/>
                <w:sz w:val="24"/>
                <w:szCs w:val="24"/>
                <w:highlight w:val="none"/>
                <w:lang w:bidi="ar"/>
              </w:rPr>
              <w:t xml:space="preserve">手背采用芳纶双层格子材料，设有黄银黄反光条；手套外层掌心面采用黑色牛二层磨沙皮，具有阻燃，耐磨，耐切割功能。防水层采用TPU低透防水袋，隔热层采用芳纶隔热层。</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4、阻燃性能：手掌、手背和手套本体阴燃和续燃时间≤0秒，手套外层掌心面经向和纬向的损</w:t>
            </w:r>
            <w:r>
              <w:rPr>
                <w:rStyle w:val="1189"/>
                <w:rFonts w:hint="default"/>
                <w:color w:val="auto"/>
                <w:sz w:val="24"/>
                <w:szCs w:val="24"/>
                <w:highlight w:val="none"/>
                <w:lang w:bidi="ar"/>
              </w:rPr>
              <w:t xml:space="preserve">毁长度均≤45mm</w:t>
            </w:r>
            <w:r>
              <w:rPr>
                <w:rStyle w:val="1188"/>
                <w:rFonts w:hint="default"/>
                <w:color w:val="auto"/>
                <w:sz w:val="24"/>
                <w:szCs w:val="24"/>
                <w:highlight w:val="none"/>
                <w:lang w:bidi="ar"/>
              </w:rPr>
              <w:t xml:space="preserve">；手套外层手背经向和纬向的损毁长度均≤15mm；隔热层经向和纬向的损毁长度均≤17mm。</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5、手套隔热性能：手套的整体热防护性能≥50cal/cm2。手套外层热收缩率≤1%，</w:t>
            </w:r>
            <w:r>
              <w:rPr>
                <w:rStyle w:val="1189"/>
                <w:rFonts w:hint="default"/>
                <w:color w:val="auto"/>
                <w:sz w:val="24"/>
                <w:szCs w:val="24"/>
                <w:highlight w:val="none"/>
                <w:lang w:bidi="ar"/>
              </w:rPr>
              <w:t xml:space="preserve">衬里热收缩率≤3%。</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6、手套外层掌</w:t>
            </w:r>
            <w:r>
              <w:rPr>
                <w:rStyle w:val="1189"/>
                <w:rFonts w:hint="default"/>
                <w:color w:val="auto"/>
                <w:sz w:val="24"/>
                <w:szCs w:val="24"/>
                <w:highlight w:val="none"/>
                <w:lang w:bidi="ar"/>
              </w:rPr>
              <w:t xml:space="preserve">心面采用黑色牛二层磨沙皮。</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7、力学防护性能：手掌和手背撕破强力：均≥120N，手掌和手背穿刺力均≥70N；手掌和手背割破力均＞15N,耐磨性能（循环次数）：掌心和背面均＞2000。</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8、人体工效要求：</w:t>
            </w:r>
            <w:r>
              <w:rPr>
                <w:rStyle w:val="1189"/>
                <w:rFonts w:hint="default"/>
                <w:color w:val="auto"/>
                <w:sz w:val="24"/>
                <w:szCs w:val="24"/>
                <w:highlight w:val="none"/>
                <w:lang w:bidi="ar"/>
              </w:rPr>
              <w:t xml:space="preserve">灵巧性能：≥3级</w:t>
            </w:r>
            <w:r>
              <w:rPr>
                <w:rStyle w:val="1188"/>
                <w:rFonts w:hint="default"/>
                <w:color w:val="auto"/>
                <w:sz w:val="24"/>
                <w:szCs w:val="24"/>
                <w:highlight w:val="none"/>
                <w:lang w:bidi="ar"/>
              </w:rPr>
              <w:t xml:space="preserve">；握紧性能：拉重比≥80%；穿戴性能：穿戴时间≤2s。</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 用防坠落装备》</w:t>
            </w:r>
            <w:r>
              <w:rPr>
                <w:rStyle w:val="1188"/>
                <w:rFonts w:hint="default"/>
                <w:color w:val="auto"/>
                <w:sz w:val="24"/>
                <w:szCs w:val="24"/>
                <w:highlight w:val="none"/>
                <w:lang w:bidi="ar"/>
              </w:rPr>
              <w:t xml:space="preserve">XF494-2023</w:t>
            </w:r>
            <w:r>
              <w:rPr>
                <w:rFonts w:hint="eastAsia" w:ascii="宋体" w:hAnsi="宋体" w:eastAsia="宋体" w:cs="宋体"/>
                <w:color w:val="auto"/>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188"/>
                <w:rFonts w:hint="default"/>
                <w:color w:val="auto"/>
                <w:sz w:val="24"/>
                <w:szCs w:val="24"/>
                <w:highlight w:val="none"/>
                <w:lang w:bidi="ar"/>
              </w:rPr>
              <w:t xml:space="preserve">1、符合XF494-2023《消防用防坠落装备》标准要求。</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2、由织带、环扣、2个D型环、双排插杆外带扣、带双排插孔的带尾等组成。</w:t>
            </w:r>
            <w:r>
              <w:rPr>
                <w:rStyle w:val="1189"/>
                <w:rFonts w:hint="default"/>
                <w:color w:val="auto"/>
                <w:sz w:val="24"/>
                <w:szCs w:val="24"/>
                <w:highlight w:val="none"/>
                <w:lang w:bidi="ar"/>
              </w:rPr>
              <w:t xml:space="preserve">织带应由100%尼龙 66 纤维</w:t>
            </w:r>
            <w:r>
              <w:rPr>
                <w:rStyle w:val="1189"/>
                <w:rFonts w:hint="default"/>
                <w:color w:val="auto"/>
                <w:sz w:val="24"/>
                <w:szCs w:val="24"/>
                <w:highlight w:val="none"/>
                <w:lang w:bidi="ar"/>
              </w:rPr>
              <w:br/>
            </w:r>
            <w:r>
              <w:rPr>
                <w:rStyle w:val="1189"/>
                <w:rFonts w:hint="default"/>
                <w:color w:val="auto"/>
                <w:sz w:val="24"/>
                <w:szCs w:val="24"/>
                <w:highlight w:val="none"/>
                <w:lang w:bidi="ar"/>
              </w:rPr>
              <w:t xml:space="preserve">制成</w:t>
            </w:r>
            <w:r>
              <w:rPr>
                <w:rStyle w:val="1188"/>
                <w:rFonts w:hint="default"/>
                <w:color w:val="auto"/>
                <w:sz w:val="24"/>
                <w:szCs w:val="24"/>
                <w:highlight w:val="none"/>
                <w:lang w:bidi="ar"/>
              </w:rPr>
              <w:t xml:space="preserve">，金属拉环材质为铝合金，应具有强度高、耐冲击、重量轻、耐磨损、阻燃性能好、耐腐蚀等特点，安全带长短可调。</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3 、织带为一整根，没有接缝。缝线与织带匹配，用肉眼易于检查。缝合接口及缝合末端回缝不少于13MM，线路、针迹顺直、整齐，无明显弯曲或堆砌，无跳针、开线、断线。</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4、带扣的边角半径不小于6mm，拉环无焊接，拉环与带扣无棱角、毛刺。</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5、带宽≥65mm ；腰带设计负荷为1.33KN。</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静负荷性能：安全腰带上所有拉环经正立方向静拉力实验和水平方向静拉力实验后，安全腰带应未从人体模型上脱落，安全腰带上的带扣和调节装置滑移距离不超过25mm，且安全腰带应未出现影响其安全性能的明显损伤，各项指标符合标准要求。</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7、金属零件的耐腐蚀性能：金属配件经GB/T 10125 规定的48h中性盐雾试验后，外观符合 GB/T 6461 外观等级评定轻微级的要求。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消防员灭火防护靴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 员灭火防护靴》</w:t>
            </w:r>
            <w:r>
              <w:rPr>
                <w:rFonts w:ascii="宋体" w:hAnsi="宋体" w:eastAsia="宋体" w:cs="宋体"/>
                <w:color w:val="auto"/>
                <w:sz w:val="24"/>
                <w:szCs w:val="24"/>
                <w:highlight w:val="none"/>
                <w:lang w:bidi="ar"/>
              </w:rPr>
              <w:t xml:space="preserve">XF6-2004</w:t>
            </w:r>
            <w:r>
              <w:rPr>
                <w:rFonts w:hint="eastAsia" w:ascii="宋体" w:hAnsi="宋体" w:eastAsia="宋体" w:cs="宋体"/>
                <w:color w:val="auto"/>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188"/>
                <w:rFonts w:hint="default"/>
                <w:color w:val="auto"/>
                <w:sz w:val="24"/>
                <w:szCs w:val="24"/>
                <w:highlight w:val="none"/>
                <w:lang w:bidi="ar"/>
              </w:rPr>
              <w:t xml:space="preserve">1、 符合XF 6-2004《消防员灭火防护靴》标准要求。</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2、整体结构。靴帮由外到里分为帮面、防切割层和隔热舒适层三层结构，靴底由上到下分为隔热舒适层、防穿刺层和靴大底三层结构，靴头部位应设有保护包头。</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3、反光标识。靴后跟应设有三角形反光标识，采用在耐高温阻燃耐酸碱橡胶块上复合银色阻燃反光标志带。</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4、防砸性能：</w:t>
            </w:r>
            <w:r>
              <w:rPr>
                <w:rStyle w:val="1189"/>
                <w:rFonts w:hint="default"/>
                <w:color w:val="auto"/>
                <w:sz w:val="24"/>
                <w:szCs w:val="24"/>
                <w:highlight w:val="none"/>
                <w:lang w:bidi="ar"/>
              </w:rPr>
              <w:t xml:space="preserve">≥15mm</w:t>
            </w:r>
            <w:r>
              <w:rPr>
                <w:rStyle w:val="1188"/>
                <w:rFonts w:hint="default"/>
                <w:color w:val="auto"/>
                <w:sz w:val="24"/>
                <w:szCs w:val="24"/>
                <w:highlight w:val="none"/>
                <w:lang w:bidi="ar"/>
              </w:rPr>
              <w:t xml:space="preserve">。</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5、防水性能：符合标准要求，无渗水现象。</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6、防滑性能：始滑角≥15°。</w:t>
            </w:r>
            <w:r>
              <w:rPr>
                <w:rStyle w:val="1188"/>
                <w:rFonts w:hint="default"/>
                <w:color w:val="auto"/>
                <w:sz w:val="24"/>
                <w:szCs w:val="24"/>
                <w:highlight w:val="none"/>
                <w:lang w:bidi="ar"/>
              </w:rPr>
              <w:br/>
            </w:r>
            <w:r>
              <w:rPr>
                <w:rStyle w:val="1189"/>
                <w:rFonts w:hint="default"/>
                <w:color w:val="auto"/>
                <w:sz w:val="24"/>
                <w:szCs w:val="24"/>
                <w:highlight w:val="none"/>
                <w:lang w:bidi="ar"/>
              </w:rPr>
              <w:t xml:space="preserve">7、靴底抗刺穿性能：≥2200N、隔热性能：≤10.0℃、重量：≤2.3KG。</w:t>
            </w:r>
            <w:r>
              <w:rPr>
                <w:rStyle w:val="1189"/>
                <w:rFonts w:hint="default"/>
                <w:color w:val="auto"/>
                <w:sz w:val="24"/>
                <w:szCs w:val="24"/>
                <w:highlight w:val="none"/>
                <w:lang w:bidi="ar"/>
              </w:rPr>
              <w:br/>
            </w:r>
            <w:r>
              <w:rPr>
                <w:rStyle w:val="1189"/>
                <w:rFonts w:hint="default"/>
                <w:color w:val="auto"/>
                <w:sz w:val="24"/>
                <w:szCs w:val="24"/>
                <w:highlight w:val="none"/>
                <w:lang w:bidi="ar"/>
              </w:rPr>
              <w:t xml:space="preserve">8、靴面抗切割性能：符合标准要求，不被割穿。</w:t>
            </w:r>
            <w:r>
              <w:rPr>
                <w:rStyle w:val="1189"/>
                <w:rFonts w:hint="default"/>
                <w:color w:val="auto"/>
                <w:sz w:val="24"/>
                <w:szCs w:val="24"/>
                <w:highlight w:val="none"/>
                <w:lang w:bidi="ar"/>
              </w:rPr>
              <w:br/>
            </w:r>
            <w:r>
              <w:rPr>
                <w:rStyle w:val="1189"/>
                <w:rFonts w:hint="default"/>
                <w:color w:val="auto"/>
                <w:sz w:val="24"/>
                <w:szCs w:val="24"/>
                <w:highlight w:val="none"/>
                <w:lang w:bidi="ar"/>
              </w:rPr>
              <w:t xml:space="preserve">9、电绝缘性能：击穿电压≥5000V,泄漏电流≤1.0mA。</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正压式消防空气呼吸器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技术性能 符合《正压 式消防空气 呼吸器》XF 124-2013的规定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具</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1、符合XF 124-2013《正压式消防空气呼吸器》、CCCF-CPRZ-27：2019《消防类产品认证实施规则 消防装备产品 消防员个人防护装备产品》标准要求。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2、工作压力 30MPa；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3、起始报警压力5.5±0.5MPa；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4、一级调压阀输出压力 ≤0.7MPa；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5、供气流量≥ 500L/min；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6、呼吸阻力 ≥4.4mbar；</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7、气瓶水容积 6.8L；</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8、供气量≥2040升；</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9、使用时间&gt;60分钟（按耗气量 30 升/分计算）；</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动态呼吸阻力，在气瓶压力30MPa~2MPa，以呼吸频率40次/min，呼吸流量100L/min，呼吸器全面罩内应始终保持正压；吸气阻力≤250Pa，呼气阻力≤650Pa；在气瓶压力2MPa~1MPa，以呼吸频率25次/min，呼吸流量50L/min，呼吸器全面罩内应始终保持正压；吸气阻力≤220Pa，呼气阻力≤550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经耐高温试验后，呼气阻力≤650Pa；在耐低温试验后，呼气阻力≤580Pa；在耐辐射热性能试验后，进行整机气密性试验，压力下降值在1min内下降≤0.5MPa；在耐辐射热性能试验后，吸气阻力≤150Pa，呼气阻力≤600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12、全面罩：</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12.1需具备快速连接接口，直通环境空气；</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12.2 橡胶头带；需可选配专用眼镜架，方便近视者使用；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12.3面置体需可选大、中、小号；</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12.4需耐 950±50℃高温火焰燃烧，能承受严酷使用条件使用；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12.5全面罩总视野保留率≥80%，双目视野保留率≥70%，镜面透光率≥90%，吸入空气中二氧化碳含量≤0.88%；</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13、供气阀：</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13.1供气阀需可根据用户呼吸量自动调整供气量，吸气自动供气，无需辅助按钮，最大供气量≥500L/min；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13.2供气阀上需带有二维码，可用设备识别，方便记录日常的维护和管理；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13.3供气阀需可免工具拆解清洗，便于日常清洁保养维护；</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14、减压阀及报警哨：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14.1供气量：≥500L/min；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14.2报警压力：5.5±0.5MPa；</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14.3报警声响 ：&gt;90dB；</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14.4低压报警装置需采用哨声报警；</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14.5中压管的接头需可 360 度旋转；</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14.6中压管与供气阀的联接为活动式（需可360 度旋转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15、背架组件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15.1背板需采用阻燃纤维增强材料，背带需采用防火聚酯材料，兼具防水性，能提升表面对水和油的抗性能，避免脏污和化学物质渗透；</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15.2背板需符合人体工程学原理，设计用于固定救生绳的连接，需可承受≥150kg的人体重量；</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15.3肩带需有反光条，能便于黑暗中识别。供气管需可以实现左右互换，以满足不同操作者的使用习惯；</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15.4腰带采用可旋转设计，角度可自由调节，可随使用者运动而自行旋转，调整重心，有效避免奔跑时气瓶晃动，降低体能消耗；</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15.5腰带采用纵向收紧，更适合在消防车等受限空间环境下佩戴，同时腰带上有供气阀固定座；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15.6气瓶固定带便于伸缩，带有快调锁止机构，可轻松调整，适应不同容积的气瓶使用；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16、碳纤维复合气瓶碳纤维复合气瓶：</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16.1全缠绕式碳纤维复合材料：内胆需采用高强度、耐腐蚀、 重量轻的铝合金材料；</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16.2工作压力≥30MPa，水压试验压力≥50Mpa。</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空气呼吸器气瓶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1、6.8L/30MPa碳纤维全缠绕式铝制内胆气瓶。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2、气瓶水容积为6.8升，额定工作压力30MPa，瓶阀螺纹长度≥18mm。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3、瓶头阀接口螺纹为G5/8。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4、瓶阀体上应配有安全防爆装置，当气瓶内压力超过工作压力的20%时，气瓶安全膜片将自动爆破卸压，以保证气瓶在意外情况下的安全。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5、瓶阀体配内置式双面显示压力表，能在任何时候显示气瓶内部压力，无需打开瓶阀就可观察瓶内压力。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6、气瓶应附有夜光标贴，便于在黑暗及低能见度环境识别。</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佩戴式防爆照明灯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符合现行国家标准《消防 员照</w:t>
            </w:r>
            <w:r>
              <w:rPr>
                <w:rFonts w:hint="eastAsia" w:ascii="宋体" w:hAnsi="宋体" w:eastAsia="宋体" w:cs="宋体"/>
                <w:color w:val="000000"/>
                <w:sz w:val="24"/>
                <w:szCs w:val="24"/>
                <w:highlight w:val="none"/>
                <w:lang w:bidi="ar"/>
              </w:rPr>
              <w:t xml:space="preserve">明灯具》GB 30734-2014的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1、符合GB30734-2014《消防员照明灯具》标准对应要求。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▲2、连续放电时间：强光≥4h；弱光（工作光）≥8h；外壳防护等级为IP66/IP68、可在5米水深处使用1小时。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▲3、照度：佩戴式强光平均值≥2000Lx，佩戴式强光最小值≥1000Lx；佩戴式弱光平均值≥1200Lx；佩戴式弱光最小值≥1000Lx。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4、佩戴式灯具应具有与消防头盔匹配的固定连接件，可提供8种以上（采购方选择1种）不同类型的头盔支架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5、抗跌落性能：佩戴式跌落高度 1.5m，跌落方向 X、Y、Z，每个轴向跌落次数 1 次，试验后，灯具应能正常进行开、关和强、弱光切换。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6、灯具尾部需有大开关设计，可满足佩戴手套进行灯具的开关操作和强弱爆闪光的切换。尾部开关同时具有信号指示作用，当灯具打开时，尾部开关为红色信号指示灯，可视距离需大于 100m，可为后方人员提供警示。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7、灯具电量可视化显示，可直观确认灯具电量等信息。</w:t>
            </w:r>
            <w:r>
              <w:rPr>
                <w:rFonts w:hint="eastAsia" w:ascii="宋体" w:hAnsi="宋体" w:eastAsia="宋体" w:cs="宋体"/>
                <w:color w:val="000000"/>
                <w:sz w:val="24"/>
                <w:szCs w:val="24"/>
                <w:lang w:bidi="ar"/>
              </w:rPr>
              <w:br/>
            </w:r>
            <w:r>
              <w:rPr>
                <w:rFonts w:hint="eastAsia" w:ascii="宋体" w:hAnsi="宋体" w:eastAsia="宋体" w:cs="宋体"/>
                <w:b/>
                <w:bCs/>
                <w:color w:val="000000"/>
                <w:sz w:val="24"/>
                <w:szCs w:val="24"/>
                <w:lang w:bidi="ar"/>
              </w:rPr>
              <w:t xml:space="preserve">8、具有国家认可的第三方检测检验机构出具的防爆合格证</w:t>
            </w:r>
            <w:r>
              <w:rPr>
                <w:rFonts w:hint="eastAsia" w:ascii="宋体" w:hAnsi="宋体" w:eastAsia="宋体" w:cs="宋体"/>
                <w:color w:val="000000"/>
                <w:sz w:val="24"/>
                <w:szCs w:val="24"/>
                <w:lang w:bidi="ar"/>
              </w:rPr>
              <w:t xml:space="preserve">；</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佩戴式防爆照明灯架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1、适配消防头盔使用。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消防员呼救器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技术性能符合现行国家标准《消防 员呼救器 》</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1、符合GB27900-2011《消防员呼救器》标准要求。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2、壳体采用防静电橡胶包胶艺，坚固耐用，应具备防水、防爆、耐挤压、耐高温等性能。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3、使用可标注姓名的钥匙开、关机，开机后钥匙保存于后场，可代替现场身份登记。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4、标的物上应有产品名称、生产厂名、生产日期、防爆标志、执行标准代号等标志。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5、使用免维护高能防爆充电锂电池。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6、应具有预报警、自动报警、手动报警、低电压报警等功能。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7、允许静止时间：30s±2s，预报警声级强度≥100dB、预报警时间：15s±2s，报警声级强度≥100dB；低电压告警声级强度≥70dB、连续开机时间≥24h，连续报警时间≥1000min。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8、发光亮度0°时：≥800cd/㎡。</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9、具备显示屏，实时显示当前温度、开机时间、电池电量等信息，环境温度高于设定阈值后自动报警提示。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10、具备开机计时提醒功能，开机15分钟后开始提醒，之后每5分钟提醒一次。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11、防水性能：置于水深为1.5m的容器内2h，应无水渗入呼救器内，呼救器应能正常工作。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12、防爆性能：不低于Exia IIB T3 Ga。</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消防员方位灯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技术性能符合现行国家标准《消防员 方位</w:t>
            </w:r>
            <w:r>
              <w:rPr>
                <w:rFonts w:hint="eastAsia" w:ascii="宋体" w:hAnsi="宋体" w:eastAsia="宋体" w:cs="宋体"/>
                <w:color w:val="000000"/>
                <w:sz w:val="24"/>
                <w:szCs w:val="24"/>
                <w:highlight w:val="none"/>
                <w:lang w:bidi="ar"/>
              </w:rPr>
              <w:t xml:space="preserve">灯》</w:t>
            </w:r>
            <w:r>
              <w:rPr>
                <w:rStyle w:val="1188"/>
                <w:rFonts w:hint="default"/>
                <w:sz w:val="24"/>
                <w:szCs w:val="24"/>
                <w:highlight w:val="none"/>
                <w:lang w:bidi="ar"/>
              </w:rPr>
              <w:t xml:space="preserve">GB27899-2011</w:t>
            </w:r>
            <w:r>
              <w:rPr>
                <w:rFonts w:hint="eastAsia" w:ascii="宋体" w:hAnsi="宋体" w:eastAsia="宋体" w:cs="宋体"/>
                <w:color w:val="000000"/>
                <w:sz w:val="24"/>
                <w:szCs w:val="24"/>
                <w:highlight w:val="none"/>
                <w:lang w:bidi="ar"/>
              </w:rPr>
              <w:t xml:space="preserve">的</w:t>
            </w:r>
            <w:r>
              <w:rPr>
                <w:rFonts w:hint="eastAsia" w:ascii="宋体" w:hAnsi="宋体" w:eastAsia="宋体" w:cs="宋体"/>
                <w:color w:val="000000"/>
                <w:sz w:val="24"/>
                <w:szCs w:val="24"/>
                <w:lang w:bidi="ar"/>
              </w:rPr>
              <w:t xml:space="preserve">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1、符合GB27899-2011标准要求。</w:t>
            </w:r>
            <w:r>
              <w:rPr>
                <w:rStyle w:val="1188"/>
                <w:rFonts w:hint="default"/>
                <w:sz w:val="24"/>
                <w:szCs w:val="24"/>
                <w:lang w:bidi="ar"/>
              </w:rPr>
              <w:br/>
            </w:r>
            <w:r>
              <w:rPr>
                <w:rStyle w:val="1188"/>
                <w:rFonts w:hint="default"/>
                <w:sz w:val="24"/>
                <w:szCs w:val="24"/>
                <w:lang w:bidi="ar"/>
              </w:rPr>
              <w:t xml:space="preserve">2、采用LED光源，对水及雨雾的穿透能力为300～500米</w:t>
            </w:r>
            <w:r>
              <w:rPr>
                <w:rStyle w:val="1188"/>
                <w:rFonts w:hint="default"/>
                <w:sz w:val="24"/>
                <w:szCs w:val="24"/>
                <w:lang w:bidi="ar"/>
              </w:rPr>
              <w:br/>
            </w:r>
            <w:r>
              <w:rPr>
                <w:rStyle w:val="1188"/>
                <w:rFonts w:hint="default"/>
                <w:sz w:val="24"/>
                <w:szCs w:val="24"/>
                <w:lang w:bidi="ar"/>
              </w:rPr>
              <w:t xml:space="preserve">3、配装两节7号高能电池，频闪连续工作时间达100小时以上，常亮≥40h。</w:t>
            </w:r>
            <w:r>
              <w:rPr>
                <w:rStyle w:val="1188"/>
                <w:rFonts w:hint="default"/>
                <w:sz w:val="24"/>
                <w:szCs w:val="24"/>
                <w:lang w:bidi="ar"/>
              </w:rPr>
              <w:br/>
            </w:r>
            <w:r>
              <w:rPr>
                <w:rStyle w:val="1188"/>
                <w:rFonts w:hint="default"/>
                <w:sz w:val="24"/>
                <w:szCs w:val="24"/>
                <w:lang w:bidi="ar"/>
              </w:rPr>
              <w:t xml:space="preserve">4、以防弹胶材料精制，确保产品能经受强力碰撞和冲击。</w:t>
            </w:r>
            <w:r>
              <w:rPr>
                <w:rStyle w:val="1188"/>
                <w:rFonts w:hint="default"/>
                <w:sz w:val="24"/>
                <w:szCs w:val="24"/>
                <w:lang w:bidi="ar"/>
              </w:rPr>
              <w:br/>
            </w:r>
            <w:r>
              <w:rPr>
                <w:rStyle w:val="1188"/>
                <w:rFonts w:hint="default"/>
                <w:sz w:val="24"/>
                <w:szCs w:val="24"/>
                <w:lang w:bidi="ar"/>
              </w:rPr>
              <w:t xml:space="preserve">5、发光亮度：≥300cd/㎡，闪光频率0.5Hz-2.5Hz。</w:t>
            </w:r>
            <w:r>
              <w:rPr>
                <w:rStyle w:val="1188"/>
                <w:rFonts w:hint="default"/>
                <w:sz w:val="24"/>
                <w:szCs w:val="24"/>
                <w:lang w:bidi="ar"/>
              </w:rPr>
              <w:br/>
            </w:r>
            <w:r>
              <w:rPr>
                <w:rStyle w:val="1188"/>
                <w:rFonts w:hint="default"/>
                <w:sz w:val="24"/>
                <w:szCs w:val="24"/>
                <w:lang w:bidi="ar"/>
              </w:rPr>
              <w:t xml:space="preserve">6、电池最高开路电压≥DC3V，电池最大短路电流≤4.0A。</w:t>
            </w:r>
            <w:r>
              <w:rPr>
                <w:rStyle w:val="1188"/>
                <w:rFonts w:hint="default"/>
                <w:sz w:val="24"/>
                <w:szCs w:val="24"/>
                <w:lang w:bidi="ar"/>
              </w:rPr>
              <w:br/>
            </w:r>
            <w:r>
              <w:rPr>
                <w:rStyle w:val="1188"/>
                <w:rFonts w:hint="default"/>
                <w:sz w:val="24"/>
                <w:szCs w:val="24"/>
                <w:lang w:bidi="ar"/>
              </w:rPr>
              <w:t xml:space="preserve">7、本安电路端子与非本安电路端子之间的电气间隙：电气间隙：≥2，爬电距离：≥2。</w:t>
            </w:r>
            <w:r>
              <w:rPr>
                <w:rStyle w:val="1188"/>
                <w:rFonts w:hint="default"/>
                <w:sz w:val="24"/>
                <w:szCs w:val="24"/>
                <w:lang w:bidi="ar"/>
              </w:rPr>
              <w:br/>
            </w:r>
            <w:r>
              <w:rPr>
                <w:rStyle w:val="1188"/>
                <w:rFonts w:hint="default"/>
                <w:sz w:val="24"/>
                <w:szCs w:val="24"/>
                <w:lang w:bidi="ar"/>
              </w:rPr>
              <w:t xml:space="preserve">8、下限温度：≤-25℃，跌落高度≥ 1M，跌落次数：≥4。</w:t>
            </w:r>
            <w:r>
              <w:rPr>
                <w:rStyle w:val="1188"/>
                <w:rFonts w:hint="default"/>
                <w:sz w:val="24"/>
                <w:szCs w:val="24"/>
                <w:lang w:bidi="ar"/>
              </w:rPr>
              <w:br/>
            </w:r>
            <w:r>
              <w:rPr>
                <w:rStyle w:val="1188"/>
                <w:rFonts w:hint="default"/>
                <w:sz w:val="24"/>
                <w:szCs w:val="24"/>
                <w:lang w:bidi="ar"/>
              </w:rPr>
              <w:t xml:space="preserve">9、火花点燃：任何一选定故障点均不会出现点燃；介电强度：未发生介电击穿；电池和电池组电解液：未发生电解液痕迹。</w:t>
            </w:r>
            <w:r>
              <w:rPr>
                <w:rStyle w:val="1188"/>
                <w:rFonts w:hint="default"/>
                <w:sz w:val="24"/>
                <w:szCs w:val="24"/>
                <w:lang w:bidi="ar"/>
              </w:rPr>
              <w:br/>
            </w:r>
            <w:r>
              <w:rPr>
                <w:rStyle w:val="1188"/>
                <w:rFonts w:hint="default"/>
                <w:sz w:val="24"/>
                <w:szCs w:val="24"/>
                <w:lang w:bidi="ar"/>
              </w:rPr>
              <w:t xml:space="preserve">10、电池和电池组的火花点燃和表面温度：最高表面温度：≤130℃。</w:t>
            </w:r>
            <w:r>
              <w:rPr>
                <w:rStyle w:val="1188"/>
                <w:rFonts w:hint="default"/>
                <w:sz w:val="24"/>
                <w:szCs w:val="24"/>
                <w:lang w:bidi="ar"/>
              </w:rPr>
              <w:br/>
            </w:r>
            <w:r>
              <w:rPr>
                <w:rStyle w:val="1188"/>
                <w:rFonts w:hint="default"/>
                <w:sz w:val="24"/>
                <w:szCs w:val="24"/>
                <w:lang w:bidi="ar"/>
              </w:rPr>
              <w:t xml:space="preserve">11、选用材料经过特殊的表面保护处理，可在强腐蚀环境下正常工作。</w:t>
            </w:r>
            <w:r>
              <w:rPr>
                <w:rStyle w:val="1188"/>
                <w:rFonts w:hint="default"/>
                <w:sz w:val="24"/>
                <w:szCs w:val="24"/>
                <w:lang w:bidi="ar"/>
              </w:rPr>
              <w:br/>
            </w:r>
            <w:r>
              <w:rPr>
                <w:rStyle w:val="1188"/>
                <w:rFonts w:hint="default"/>
                <w:sz w:val="24"/>
                <w:szCs w:val="24"/>
                <w:lang w:bidi="ar"/>
              </w:rPr>
              <w:t xml:space="preserve">12、可在-20～＋50°C 温度下正常工作。</w:t>
            </w:r>
            <w:r>
              <w:rPr>
                <w:rStyle w:val="1188"/>
                <w:rFonts w:hint="default"/>
                <w:sz w:val="24"/>
                <w:szCs w:val="24"/>
                <w:lang w:bidi="ar"/>
              </w:rPr>
              <w:br/>
            </w:r>
            <w:r>
              <w:rPr>
                <w:rStyle w:val="1188"/>
                <w:rFonts w:hint="default"/>
                <w:sz w:val="24"/>
                <w:szCs w:val="24"/>
                <w:lang w:bidi="ar"/>
              </w:rPr>
              <w:t xml:space="preserve">13、体积小，重量轻，操作简单，可采用吊挂、夹扣、捆绑和磁力吸附等多种携带方式。</w:t>
            </w:r>
            <w:r>
              <w:rPr>
                <w:rStyle w:val="1188"/>
                <w:rFonts w:hint="default"/>
                <w:sz w:val="24"/>
                <w:szCs w:val="24"/>
                <w:lang w:bidi="ar"/>
              </w:rPr>
              <w:br/>
            </w:r>
            <w:r>
              <w:rPr>
                <w:rStyle w:val="1188"/>
                <w:rFonts w:hint="default"/>
                <w:sz w:val="24"/>
                <w:szCs w:val="24"/>
                <w:lang w:bidi="ar"/>
              </w:rPr>
              <w:t xml:space="preserve">14、防爆等级：≥EX ia IICT4Gb。</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应急逃生自救安全绳包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 符合《消防用防坠落装 备》XF 494-2023的规定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188"/>
                <w:rFonts w:hint="default"/>
                <w:color w:val="auto"/>
                <w:sz w:val="24"/>
                <w:szCs w:val="24"/>
                <w:highlight w:val="none"/>
                <w:lang w:bidi="ar"/>
              </w:rPr>
              <w:t xml:space="preserve">1、符合</w:t>
            </w:r>
            <w:r>
              <w:rPr>
                <w:rFonts w:hint="eastAsia" w:ascii="宋体" w:hAnsi="宋体" w:eastAsia="宋体" w:cs="宋体"/>
                <w:color w:val="auto"/>
                <w:sz w:val="24"/>
                <w:szCs w:val="24"/>
                <w:highlight w:val="none"/>
                <w:lang w:bidi="ar"/>
              </w:rPr>
              <w:t xml:space="preserve">XF 494-2023</w:t>
            </w:r>
            <w:r>
              <w:rPr>
                <w:rStyle w:val="1188"/>
                <w:rFonts w:hint="default"/>
                <w:color w:val="auto"/>
                <w:sz w:val="24"/>
                <w:szCs w:val="24"/>
                <w:highlight w:val="none"/>
                <w:lang w:bidi="ar"/>
              </w:rPr>
              <w:t xml:space="preserve">《消防用防坠落装备》标准要求。是消防员个人自救逃生用安全绳套组。</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2、组成：多功能绳包、安全绳、轻型安全钩、可调节下降器、连接扁绳、排绳器等。</w:t>
            </w:r>
            <w:r>
              <w:rPr>
                <w:rStyle w:val="1188"/>
                <w:rFonts w:hint="default"/>
                <w:color w:val="auto"/>
                <w:sz w:val="24"/>
                <w:szCs w:val="24"/>
                <w:highlight w:val="none"/>
                <w:lang w:bidi="ar"/>
              </w:rPr>
              <w:br/>
            </w:r>
            <w:r>
              <w:rPr>
                <w:rStyle w:val="1189"/>
                <w:rFonts w:hint="default"/>
                <w:color w:val="auto"/>
                <w:sz w:val="24"/>
                <w:szCs w:val="24"/>
                <w:highlight w:val="none"/>
                <w:lang w:bidi="ar"/>
              </w:rPr>
              <w:t xml:space="preserve">3、整套套装质量≤1.8Kg。</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4、自救安全绳：</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4.1直径7.5-10mm之间，长度≥16m；</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4.2破断强度≥30KN；</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4.3延伸率≤6.5%；</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4.4经204（±5）℃的耐高温性能试验后，未出现融熔、焦化现象；</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4.5在600（±5）℃、1.33kN负荷环境下的承载45s，在400（±5）℃、1.33kN负荷环境下承载300s，应未出现断裂现象；</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5、轻型安全钩：</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5.1开口距离≥20mm；</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5.2长轴破断强度≥27KN；</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5.3短轴破断强度≥7KN；</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5.4自动保护三锁装置（即提起、转动和开锁）；</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5.5有永久性标识。</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6、下降器：</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6.1为防慌乱设计，四孔设计孔径8-11mm之间；</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6.2破断强度≥5KN；</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6.3适用绳索直径范围为8-11 mm。</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7、扁绳：</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7.1扁绳长度≥1000mm；</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7.2破断强度≥35KN。</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8、绳包：</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8.1绳包为阻燃面料，经260℃高温试验后无明显变化；</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8.2绳包两端设计放置安全钩，取出便捷；</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8.3绳包盖内设计绳夹，方便在绳索上快速定位和拆收。</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9、排绳器：</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9.1单人操作，可方便快捷将使用过安全绳环绕排列放入绳包；</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9.2排绳器的尺寸满足绳子捆绑2-3层，不易脱落且美观。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消防腰斧</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技术性能符合《消防</w:t>
            </w:r>
            <w:r>
              <w:rPr>
                <w:rFonts w:hint="eastAsia" w:ascii="宋体" w:hAnsi="宋体" w:eastAsia="宋体" w:cs="宋体"/>
                <w:color w:val="000000"/>
                <w:sz w:val="24"/>
                <w:szCs w:val="24"/>
                <w:highlight w:val="none"/>
                <w:lang w:bidi="ar"/>
              </w:rPr>
              <w:t xml:space="preserve">腰斧》XF 630-2023  </w:t>
            </w:r>
            <w:r>
              <w:rPr>
                <w:rFonts w:hint="eastAsia" w:ascii="宋体" w:hAnsi="宋体" w:eastAsia="宋体" w:cs="宋体"/>
                <w:color w:val="000000"/>
                <w:sz w:val="24"/>
                <w:szCs w:val="24"/>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1、符合XF630-2023《消防腰斧》标准要求。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消防腰斧主要是消防员随身佩带的、在抢险救援事故现场用于手动破拆和自救的装备。腰斧平刃能砍断直径5mm的Q235A圆钢，并无明显缺刃、卷边和裂缝等影响使用功能的损伤。腰斧的尖刃和柄刃能凿击Q235A钢平板，无明显缺刃、卷边和裂缝等影响使用功能的损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3、技术性能：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3.1全长mm： 285±2.5；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3.2斧头长度mm：160±2.5；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3.3斧头厚度mm：10±1；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3.4平刃宽度mm：56±1.5；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3.5柄刃宽度mm：22±1；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3.6撬口宽度mm：30±1；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3.7撬口深度mm：25±1；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3.8质量kg：≤1kg。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技术性能符合《消防员 灭火防护头  套》XF 869的规定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188"/>
                <w:rFonts w:hint="default"/>
                <w:color w:val="auto"/>
                <w:sz w:val="24"/>
                <w:szCs w:val="24"/>
                <w:highlight w:val="none"/>
                <w:lang w:bidi="ar"/>
              </w:rPr>
              <w:t xml:space="preserve">1、符合XF869-2010《消防员灭火防护头套》标准要求，出具国家级检测报告。</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2、消防员灭火防护头套具有防热、防火、防爆燃等性能，采用双层面料设计。</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3、外观为开口套筒式、面部开口设计，完整覆盖头部、颈部、胸上部及肩膀。</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4、外部颜色为黑色</w:t>
            </w:r>
            <w:r>
              <w:rPr>
                <w:rStyle w:val="1189"/>
                <w:rFonts w:hint="default"/>
                <w:color w:val="auto"/>
                <w:sz w:val="24"/>
                <w:szCs w:val="24"/>
                <w:highlight w:val="none"/>
                <w:lang w:bidi="ar"/>
              </w:rPr>
              <w:t xml:space="preserve">芳纶针织布，内层材料为芳纶针织布。</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5、缝线采用黑色防火阻燃线。</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6、保护区域：头套前、后部与防护服领口的内重叠长度均≥200mm；头套侧部与防护服领口内的重叠长度≥130mm；面部开口 边缘与呼吸防护装具面罩重叠长度≥10mm。</w:t>
            </w:r>
            <w:r>
              <w:rPr>
                <w:rStyle w:val="1188"/>
                <w:rFonts w:hint="default"/>
                <w:color w:val="auto"/>
                <w:sz w:val="24"/>
                <w:szCs w:val="24"/>
                <w:highlight w:val="none"/>
                <w:lang w:bidi="ar"/>
              </w:rPr>
              <w:br/>
            </w:r>
            <w:r>
              <w:rPr>
                <w:rStyle w:val="1189"/>
                <w:rFonts w:hint="default"/>
                <w:color w:val="auto"/>
                <w:sz w:val="24"/>
                <w:szCs w:val="24"/>
                <w:highlight w:val="none"/>
                <w:lang w:bidi="ar"/>
              </w:rPr>
              <w:t xml:space="preserve">7、阻燃性能：外层及内层经向纬向续燃时间≤0s，外层损毁长度经向≤17mm、纬向≤17mm，内层损毁长度经向≤17mm、纬向≤17mm。</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8、热稳定性能：外层、内层尺寸变化率均≤2.5%；水洗尺寸变化率直向横向均≤2.0%。</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9、单位面积质量：外层、内层，两层或两层以上均≥220g/㎡。</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10、面料抗起球性能不应低于4级。</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11、甲醛含量：外层、内层：未检出；应无异味 。</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12、PH值：4.0～7.5。</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13、质量：≤170g。</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14、接缝强力：≥1000N。</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15、针距密度：缝制明暗线每3cm不应小于12针。</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消防员抢险救援头盔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1、符合XF 633-2006《消防员抢险救援防护服装》标准抢险救援时头部防护。</w:t>
            </w:r>
            <w:r>
              <w:rPr>
                <w:rStyle w:val="1188"/>
                <w:rFonts w:hint="default"/>
                <w:sz w:val="24"/>
                <w:szCs w:val="24"/>
                <w:lang w:bidi="ar"/>
              </w:rPr>
              <w:br/>
            </w:r>
            <w:r>
              <w:rPr>
                <w:rStyle w:val="1188"/>
                <w:rFonts w:hint="default"/>
                <w:sz w:val="24"/>
                <w:szCs w:val="24"/>
                <w:lang w:bidi="ar"/>
              </w:rPr>
              <w:t xml:space="preserve">2、半盔型，头盔应由帽壳、可调节帽箍、泡沫缓冲层、下颏带、护目镜等部件组成。</w:t>
            </w:r>
            <w:r>
              <w:rPr>
                <w:rStyle w:val="1188"/>
                <w:rFonts w:hint="default"/>
                <w:sz w:val="24"/>
                <w:szCs w:val="24"/>
                <w:lang w:bidi="ar"/>
              </w:rPr>
              <w:br/>
            </w:r>
            <w:r>
              <w:rPr>
                <w:rStyle w:val="1188"/>
                <w:rFonts w:hint="default"/>
                <w:sz w:val="24"/>
                <w:szCs w:val="24"/>
                <w:lang w:bidi="ar"/>
              </w:rPr>
              <w:t xml:space="preserve">3、帽壳为耐高温热塑材料，具有透气、耐冲击、耐穿刺，可提供头部和侧翼冲击保护，配备醒目反光条。</w:t>
            </w:r>
            <w:r>
              <w:rPr>
                <w:rStyle w:val="1188"/>
                <w:rFonts w:hint="default"/>
                <w:sz w:val="24"/>
                <w:szCs w:val="24"/>
                <w:lang w:bidi="ar"/>
              </w:rPr>
              <w:br/>
            </w:r>
            <w:r>
              <w:rPr>
                <w:rStyle w:val="1188"/>
                <w:rFonts w:hint="default"/>
                <w:sz w:val="24"/>
                <w:szCs w:val="24"/>
                <w:lang w:bidi="ar"/>
              </w:rPr>
              <w:t xml:space="preserve">4、护目镜为隔热镜片，应带超硬防刮防雾涂层。</w:t>
            </w:r>
            <w:r>
              <w:rPr>
                <w:rStyle w:val="1188"/>
                <w:rFonts w:hint="default"/>
                <w:sz w:val="24"/>
                <w:szCs w:val="24"/>
                <w:lang w:bidi="ar"/>
              </w:rPr>
              <w:br/>
            </w:r>
            <w:r>
              <w:rPr>
                <w:rStyle w:val="1188"/>
                <w:rFonts w:hint="default"/>
                <w:sz w:val="24"/>
                <w:szCs w:val="24"/>
                <w:lang w:bidi="ar"/>
              </w:rPr>
              <w:t xml:space="preserve">5、下颌带：三点式下颌带，并带有下颌托和快速脱卸扣。</w:t>
            </w:r>
            <w:r>
              <w:rPr>
                <w:rStyle w:val="1188"/>
                <w:rFonts w:hint="default"/>
                <w:sz w:val="24"/>
                <w:szCs w:val="24"/>
                <w:lang w:bidi="ar"/>
              </w:rPr>
              <w:br/>
            </w:r>
            <w:r>
              <w:rPr>
                <w:rStyle w:val="1188"/>
                <w:rFonts w:hint="default"/>
                <w:sz w:val="24"/>
                <w:szCs w:val="24"/>
                <w:lang w:bidi="ar"/>
              </w:rPr>
              <w:t xml:space="preserve">6、缓冲层：采用软泡沫。</w:t>
            </w:r>
            <w:r>
              <w:rPr>
                <w:rStyle w:val="1188"/>
                <w:rFonts w:hint="default"/>
                <w:sz w:val="24"/>
                <w:szCs w:val="24"/>
                <w:lang w:bidi="ar"/>
              </w:rPr>
              <w:br/>
            </w:r>
            <w:r>
              <w:rPr>
                <w:rStyle w:val="1188"/>
                <w:rFonts w:hint="default"/>
                <w:sz w:val="24"/>
                <w:szCs w:val="24"/>
                <w:lang w:bidi="ar"/>
              </w:rPr>
              <w:t xml:space="preserve">7、帽箍：用软皮或织物包裹，中间衬舒适衬垫；在帽箍后部设头围调节旋钮，帽箍可调节尺寸大小。</w:t>
            </w:r>
            <w:r>
              <w:rPr>
                <w:rStyle w:val="1188"/>
                <w:rFonts w:hint="default"/>
                <w:sz w:val="24"/>
                <w:szCs w:val="24"/>
                <w:lang w:bidi="ar"/>
              </w:rPr>
              <w:br/>
            </w:r>
            <w:r>
              <w:rPr>
                <w:rStyle w:val="1188"/>
                <w:rFonts w:hint="default"/>
                <w:sz w:val="24"/>
                <w:szCs w:val="24"/>
                <w:lang w:bidi="ar"/>
              </w:rPr>
              <w:t xml:space="preserve">8</w:t>
            </w:r>
            <w:r>
              <w:rPr>
                <w:rStyle w:val="1188"/>
                <w:rFonts w:hint="default"/>
                <w:color w:val="auto"/>
                <w:sz w:val="24"/>
                <w:szCs w:val="24"/>
                <w:lang w:bidi="ar"/>
              </w:rPr>
              <w:t xml:space="preserve">、重量（不含护目镜及附件）≤800克。</w:t>
            </w:r>
            <w:r>
              <w:rPr>
                <w:rStyle w:val="1188"/>
                <w:rFonts w:hint="default"/>
                <w:color w:val="auto"/>
                <w:sz w:val="24"/>
                <w:szCs w:val="24"/>
                <w:lang w:bidi="ar"/>
              </w:rPr>
              <w:br/>
            </w:r>
            <w:r>
              <w:rPr>
                <w:rStyle w:val="1189"/>
                <w:rFonts w:hint="default"/>
                <w:color w:val="auto"/>
                <w:sz w:val="24"/>
                <w:szCs w:val="24"/>
                <w:lang w:bidi="ar"/>
              </w:rPr>
              <w:t xml:space="preserve">▲9、冲击吸收性能高温预处理头模所受冲击力≤2150N，低温预处理头模所受冲击力≤2300N，浸水预处理头模所受冲击力≤2150N。阻燃性能（火源离开帽壳后）≤1秒、侧向刚性：帽壳变形值≤25mm、缷载后变形≤1mm。</w:t>
            </w:r>
            <w:r>
              <w:rPr>
                <w:rStyle w:val="1188"/>
                <w:rFonts w:hint="default"/>
                <w:sz w:val="24"/>
                <w:szCs w:val="24"/>
                <w:lang w:bidi="ar"/>
              </w:rPr>
              <w:br/>
            </w:r>
            <w:r>
              <w:rPr>
                <w:rStyle w:val="1188"/>
                <w:rFonts w:hint="default"/>
                <w:sz w:val="24"/>
                <w:szCs w:val="24"/>
                <w:lang w:bidi="ar"/>
              </w:rPr>
              <w:t xml:space="preserve">10、头盔配备佩戴式照明灯支架。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消防员抢险救援手套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符合《消防 员抢险救援 防</w:t>
            </w:r>
            <w:r>
              <w:rPr>
                <w:rFonts w:hint="eastAsia" w:ascii="宋体" w:hAnsi="宋体" w:eastAsia="宋体" w:cs="宋体"/>
                <w:color w:val="000000"/>
                <w:sz w:val="24"/>
                <w:szCs w:val="24"/>
                <w:highlight w:val="none"/>
                <w:lang w:bidi="ar"/>
              </w:rPr>
              <w:t xml:space="preserve">护服装XF 633-2006的</w:t>
            </w:r>
            <w:r>
              <w:rPr>
                <w:rFonts w:hint="eastAsia" w:ascii="宋体" w:hAnsi="宋体" w:eastAsia="宋体" w:cs="宋体"/>
                <w:color w:val="000000"/>
                <w:sz w:val="24"/>
                <w:szCs w:val="24"/>
                <w:lang w:bidi="ar"/>
              </w:rPr>
              <w:t xml:space="preserve">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 633-2006《消防员抢险救援防护服装》标准；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2、手套采用立体剪裁，符合人体工程学，更加贴合手部，增加灵活性和舒适性。手背采用橘红色材料，与抢险救援服搭配。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3、指尖采用翻转式设计，增加指尖的贴合度。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4、手背关节处及除大拇指以外其他四指指背采用有凸起的防护硬壳设计，增强抗冲击防护性，具有手骨保护功能。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5、阻燃性能：续燃时间：经向≤0s；纬向≤0s；损毁长度：经向≤15mm；纬向≤15mm；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6、热稳定性能：手套尺寸变化率：长方向≤1.2%；宽方向≤1.7%；手套经180℃温度5min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后，试样表面无明显变化，且无熔融、熔滴和剥离现象。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7、耐磨性能：≥8000次。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▲8、耐撕破性能：掌心面：经向≥300N；纬向≥200N；背面外层：经向≥280N；纬向≥200N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9、抗切割性能：≥15N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10、抗机械刺穿性能：掌心面≥320N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11、灵巧性能：≤105%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12、抓握性能：≥105%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13、穿戴性能：≤6s。</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夏款消防员抢险救 援防护服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技术性能符合《消防 员抢险救援 防</w:t>
            </w:r>
            <w:r>
              <w:rPr>
                <w:rFonts w:hint="eastAsia" w:ascii="宋体" w:hAnsi="宋体" w:eastAsia="宋体" w:cs="宋体"/>
                <w:color w:val="000000"/>
                <w:sz w:val="24"/>
                <w:szCs w:val="24"/>
                <w:highlight w:val="none"/>
                <w:lang w:bidi="ar"/>
              </w:rPr>
              <w:t xml:space="preserve">护服装》</w:t>
            </w:r>
            <w:r>
              <w:rPr>
                <w:rStyle w:val="1189"/>
                <w:rFonts w:hint="default"/>
                <w:color w:val="auto"/>
                <w:sz w:val="24"/>
                <w:szCs w:val="24"/>
                <w:highlight w:val="none"/>
                <w:lang w:bidi="ar"/>
              </w:rPr>
              <w:t xml:space="preserve">XF 633-2006</w:t>
            </w:r>
            <w:r>
              <w:rPr>
                <w:rFonts w:hint="eastAsia" w:ascii="宋体" w:hAnsi="宋体" w:eastAsia="宋体" w:cs="宋体"/>
                <w:color w:val="000000"/>
                <w:sz w:val="24"/>
                <w:szCs w:val="24"/>
                <w:highlight w:val="none"/>
                <w:lang w:bidi="ar"/>
              </w:rPr>
              <w:t xml:space="preserve">的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9"/>
                <w:rFonts w:hint="default"/>
                <w:color w:val="auto"/>
                <w:sz w:val="24"/>
                <w:szCs w:val="24"/>
                <w:lang w:bidi="ar"/>
              </w:rPr>
              <w:t xml:space="preserve">1、符合XF 633-2006《消防员抢险救援防护服装》标准</w:t>
            </w:r>
            <w:r>
              <w:rPr>
                <w:rStyle w:val="1188"/>
                <w:rFonts w:hint="default"/>
                <w:color w:val="auto"/>
                <w:sz w:val="24"/>
                <w:szCs w:val="24"/>
                <w:lang w:bidi="ar"/>
              </w:rPr>
              <w:t xml:space="preserve">，服装款式、号型、标识应符合应急管理部消防局统型要求。</w:t>
            </w:r>
            <w:r>
              <w:rPr>
                <w:rStyle w:val="1188"/>
                <w:rFonts w:hint="default"/>
                <w:color w:val="auto"/>
                <w:sz w:val="24"/>
                <w:szCs w:val="24"/>
                <w:lang w:bidi="ar"/>
              </w:rPr>
              <w:br/>
            </w:r>
            <w:r>
              <w:rPr>
                <w:rStyle w:val="1188"/>
                <w:rFonts w:hint="default"/>
                <w:color w:val="auto"/>
                <w:sz w:val="24"/>
                <w:szCs w:val="24"/>
                <w:lang w:bidi="ar"/>
              </w:rPr>
              <w:t xml:space="preserve">2、服装面料采用单层织物，为原液染色芳纶、阻燃粘胶纤维等交织而成的双重组织。应具有防静电、阻燃、轻便、柔软、弹性、抗拉力强，外层防水拒油里层吸湿排汗等性能。克重：≥克重190g/m2。</w:t>
            </w:r>
            <w:r>
              <w:rPr>
                <w:rStyle w:val="1188"/>
                <w:rFonts w:hint="default"/>
                <w:color w:val="auto"/>
                <w:sz w:val="24"/>
                <w:szCs w:val="24"/>
                <w:lang w:bidi="ar"/>
              </w:rPr>
              <w:br/>
            </w:r>
            <w:r>
              <w:rPr>
                <w:rStyle w:val="1189"/>
                <w:rFonts w:hint="default"/>
                <w:color w:val="auto"/>
                <w:sz w:val="24"/>
                <w:szCs w:val="24"/>
                <w:lang w:bidi="ar"/>
              </w:rPr>
              <w:t xml:space="preserve">3、阻燃性能： 经向损毁长度≤45mm，纬向损毁长度≤45mm，续燃时间为0s，且无熔融、滴落现象。</w:t>
            </w:r>
            <w:r>
              <w:rPr>
                <w:rStyle w:val="1189"/>
                <w:rFonts w:hint="default"/>
                <w:color w:val="auto"/>
                <w:sz w:val="24"/>
                <w:szCs w:val="24"/>
                <w:lang w:bidi="ar"/>
              </w:rPr>
              <w:br/>
            </w:r>
            <w:r>
              <w:rPr>
                <w:rStyle w:val="1189"/>
                <w:rFonts w:hint="default"/>
                <w:color w:val="auto"/>
                <w:sz w:val="24"/>
                <w:szCs w:val="24"/>
                <w:lang w:bidi="ar"/>
              </w:rPr>
              <w:t xml:space="preserve">4、桔红断裂强力：经向断裂强力≥820N；纬向断裂强力≥750N；火焰蓝断裂强力经纬向≥750N。</w:t>
            </w:r>
            <w:r>
              <w:rPr>
                <w:rStyle w:val="1189"/>
                <w:rFonts w:hint="default"/>
                <w:color w:val="auto"/>
                <w:sz w:val="24"/>
                <w:szCs w:val="24"/>
                <w:lang w:bidi="ar"/>
              </w:rPr>
              <w:br/>
            </w:r>
            <w:r>
              <w:rPr>
                <w:rStyle w:val="1189"/>
                <w:rFonts w:hint="default"/>
                <w:color w:val="auto"/>
                <w:sz w:val="24"/>
                <w:szCs w:val="24"/>
                <w:lang w:bidi="ar"/>
              </w:rPr>
              <w:t xml:space="preserve">5、桔红撕破强力：面料经向撕破强力≥160N、纬向撕破强力≥160N；火焰蓝撕破强力经纬向≥200N。</w:t>
            </w:r>
            <w:r>
              <w:rPr>
                <w:rStyle w:val="1189"/>
                <w:rFonts w:hint="default"/>
                <w:color w:val="auto"/>
                <w:sz w:val="24"/>
                <w:szCs w:val="24"/>
                <w:lang w:bidi="ar"/>
              </w:rPr>
              <w:br/>
            </w:r>
            <w:r>
              <w:rPr>
                <w:rStyle w:val="1189"/>
                <w:rFonts w:hint="default"/>
                <w:color w:val="auto"/>
                <w:sz w:val="24"/>
                <w:szCs w:val="24"/>
                <w:lang w:bidi="ar"/>
              </w:rPr>
              <w:t xml:space="preserve">6、接缝强力：径向≥800N，纬向≥730N。</w:t>
            </w:r>
            <w:r>
              <w:rPr>
                <w:rStyle w:val="1188"/>
                <w:rFonts w:hint="default"/>
                <w:color w:val="auto"/>
                <w:sz w:val="24"/>
                <w:szCs w:val="24"/>
                <w:lang w:bidi="ar"/>
              </w:rPr>
              <w:br/>
            </w:r>
            <w:r>
              <w:rPr>
                <w:rStyle w:val="1188"/>
                <w:rFonts w:hint="default"/>
                <w:color w:val="auto"/>
                <w:sz w:val="24"/>
                <w:szCs w:val="24"/>
                <w:lang w:bidi="ar"/>
              </w:rPr>
              <w:t xml:space="preserve">7、热稳定性能：经（180±5）°C热稳定性能试验后，沿经、纬方向尺寸变化率≤1.5%，且试样表面应无明显变化。</w:t>
            </w:r>
            <w:r>
              <w:rPr>
                <w:rStyle w:val="1188"/>
                <w:rFonts w:hint="default"/>
                <w:sz w:val="24"/>
                <w:szCs w:val="24"/>
                <w:lang w:bidi="ar"/>
              </w:rPr>
              <w:br/>
            </w:r>
            <w:r>
              <w:rPr>
                <w:rStyle w:val="1188"/>
                <w:rFonts w:hint="default"/>
                <w:sz w:val="24"/>
                <w:szCs w:val="24"/>
                <w:lang w:bidi="ar"/>
              </w:rPr>
              <w:t xml:space="preserve">8、橘红和火焰蓝两种面料色牢度：面料的耐水摩擦色牢度、耐洗沾色色牢度、耐光色牢度应不小于4级。</w:t>
            </w:r>
            <w:r>
              <w:rPr>
                <w:rStyle w:val="1188"/>
                <w:rFonts w:hint="default"/>
                <w:sz w:val="24"/>
                <w:szCs w:val="24"/>
                <w:lang w:bidi="ar"/>
              </w:rPr>
              <w:br/>
            </w:r>
            <w:r>
              <w:rPr>
                <w:rStyle w:val="1188"/>
                <w:rFonts w:hint="default"/>
                <w:sz w:val="24"/>
                <w:szCs w:val="24"/>
                <w:lang w:bidi="ar"/>
              </w:rPr>
              <w:t xml:space="preserve">9、针距密度：明暗线≥12针/3cm，包缝线≥9针/3cm。</w:t>
            </w:r>
            <w:r>
              <w:rPr>
                <w:rStyle w:val="1188"/>
                <w:rFonts w:hint="default"/>
                <w:sz w:val="24"/>
                <w:szCs w:val="24"/>
                <w:lang w:bidi="ar"/>
              </w:rPr>
              <w:br/>
            </w:r>
            <w:r>
              <w:rPr>
                <w:rStyle w:val="1188"/>
                <w:rFonts w:hint="default"/>
                <w:sz w:val="24"/>
                <w:szCs w:val="24"/>
                <w:lang w:bidi="ar"/>
              </w:rPr>
              <w:t xml:space="preserve">10、防静电性能：整套服装为≤0.4μC。</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冬款消防员抢险救 援防护服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 员抢险救援 防护服装》</w:t>
            </w:r>
            <w:r>
              <w:rPr>
                <w:rStyle w:val="1189"/>
                <w:rFonts w:hint="default"/>
                <w:color w:val="auto"/>
                <w:sz w:val="24"/>
                <w:szCs w:val="24"/>
                <w:highlight w:val="none"/>
                <w:lang w:bidi="ar"/>
              </w:rPr>
              <w:t xml:space="preserve">XF 633-2006</w:t>
            </w:r>
            <w:r>
              <w:rPr>
                <w:rFonts w:hint="eastAsia" w:ascii="宋体" w:hAnsi="宋体" w:eastAsia="宋体" w:cs="宋体"/>
                <w:color w:val="auto"/>
                <w:sz w:val="24"/>
                <w:szCs w:val="24"/>
                <w:highlight w:val="none"/>
                <w:lang w:bidi="ar"/>
              </w:rPr>
              <w:t xml:space="preserve">的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189"/>
                <w:rFonts w:hint="default"/>
                <w:color w:val="auto"/>
                <w:sz w:val="24"/>
                <w:szCs w:val="24"/>
                <w:highlight w:val="none"/>
                <w:lang w:bidi="ar"/>
              </w:rPr>
              <w:t xml:space="preserve">1、符合XF 633-2006《消防员抢险救援防护服装》标准</w:t>
            </w:r>
            <w:r>
              <w:rPr>
                <w:rStyle w:val="1188"/>
                <w:rFonts w:hint="default"/>
                <w:color w:val="auto"/>
                <w:sz w:val="24"/>
                <w:szCs w:val="24"/>
                <w:highlight w:val="none"/>
                <w:lang w:bidi="ar"/>
              </w:rPr>
              <w:t xml:space="preserve">，服装款式、号型、标识应符合应急管理部消防局统型要求。</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2、颜色：抢险救援防护服主体颜色为橘红色，肩背部、口袋袋盖为火焰蓝色。</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3、采用三层结构，含外层、防水透气层和舒适层。</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4、外层为芳纶阻燃面料，≥克重190g/m2。</w:t>
            </w:r>
            <w:r>
              <w:rPr>
                <w:rStyle w:val="1188"/>
                <w:rFonts w:hint="default"/>
                <w:color w:val="auto"/>
                <w:sz w:val="24"/>
                <w:szCs w:val="24"/>
                <w:highlight w:val="none"/>
                <w:lang w:bidi="ar"/>
              </w:rPr>
              <w:br/>
            </w:r>
            <w:r>
              <w:rPr>
                <w:rStyle w:val="1189"/>
                <w:rFonts w:hint="default"/>
                <w:color w:val="auto"/>
                <w:sz w:val="24"/>
                <w:szCs w:val="24"/>
                <w:highlight w:val="none"/>
                <w:lang w:bidi="ar"/>
              </w:rPr>
              <w:t xml:space="preserve">5、外层面料：桔红及火焰蓝阻燃性能：经向损毁长度≤40mm，纬向损毁长度≤43mm，续燃时间0s，且不应有熔融、滴落现象。桔红及火焰蓝断裂强力：经向≥1200N、纬向≥970N。撕破强力：桔红及火焰蓝经向撕破强力≥230N，纬向撕破强力≥190N。热稳定性能：经纬向变化率≤0.5％。接缝断裂强力：经向≥1000N，纬向≥890N。</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6、防水透气层面料：耐静水压≥50KPa。透湿率：≥5400 g/(㎡•24h)。热稳定性能：经纬向变化率≤2％。缩水率：经向≤1.5%，纬向≤2.0%。</w:t>
            </w:r>
            <w:r>
              <w:rPr>
                <w:rStyle w:val="1188"/>
                <w:rFonts w:hint="default"/>
                <w:color w:val="auto"/>
                <w:sz w:val="24"/>
                <w:szCs w:val="24"/>
                <w:highlight w:val="none"/>
                <w:lang w:bidi="ar"/>
              </w:rPr>
              <w:br/>
            </w:r>
            <w:r>
              <w:rPr>
                <w:rStyle w:val="1189"/>
                <w:rFonts w:hint="default"/>
                <w:color w:val="auto"/>
                <w:sz w:val="24"/>
                <w:szCs w:val="24"/>
                <w:highlight w:val="none"/>
                <w:lang w:bidi="ar"/>
              </w:rPr>
              <w:t xml:space="preserve">7、舒适层面料：阻燃性能：不应有熔融、滴落现象。断裂强力：经向≥480N、纬向≥320N。热稳定性能：经纬向变化率≤2.5％。缩水率：经向≤3.2%，纬向≤3.2%。</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8、防静电性能：≤0.4μC。</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消防员抢险救援靴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技术性能符合《消防员抢险救援  防护服装】</w:t>
            </w:r>
            <w:r>
              <w:rPr>
                <w:rStyle w:val="1189"/>
                <w:rFonts w:hint="default"/>
                <w:color w:val="auto"/>
                <w:sz w:val="24"/>
                <w:szCs w:val="24"/>
                <w:highlight w:val="none"/>
                <w:lang w:bidi="ar"/>
              </w:rPr>
              <w:t xml:space="preserve">XF 633-2006</w:t>
            </w:r>
            <w:r>
              <w:rPr>
                <w:rFonts w:hint="eastAsia" w:ascii="宋体" w:hAnsi="宋体" w:eastAsia="宋体" w:cs="宋体"/>
                <w:color w:val="auto"/>
                <w:sz w:val="24"/>
                <w:szCs w:val="24"/>
                <w:highlight w:val="none"/>
                <w:lang w:bidi="ar"/>
              </w:rPr>
              <w:t xml:space="preserve">的  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188"/>
                <w:rFonts w:hint="default"/>
                <w:color w:val="auto"/>
                <w:sz w:val="24"/>
                <w:szCs w:val="24"/>
                <w:highlight w:val="none"/>
                <w:lang w:bidi="ar"/>
              </w:rPr>
              <w:t xml:space="preserve">1</w:t>
            </w:r>
            <w:r>
              <w:rPr>
                <w:rStyle w:val="1189"/>
                <w:rFonts w:hint="default"/>
                <w:color w:val="auto"/>
                <w:sz w:val="24"/>
                <w:szCs w:val="24"/>
                <w:highlight w:val="none"/>
                <w:lang w:bidi="ar"/>
              </w:rPr>
              <w:t xml:space="preserve">、符合XF 633-2006《消防员抢险救援防护服装》标准。</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2、由靴底、带舒适层的靴帮、带防穿刺层的靴内底、鞋垫和靴头等组成，靴头材料为树脂。</w:t>
            </w:r>
            <w:r>
              <w:rPr>
                <w:rStyle w:val="1188"/>
                <w:rFonts w:hint="default"/>
                <w:color w:val="auto"/>
                <w:sz w:val="24"/>
                <w:szCs w:val="24"/>
                <w:highlight w:val="none"/>
                <w:lang w:bidi="ar"/>
              </w:rPr>
              <w:br/>
            </w:r>
            <w:r>
              <w:rPr>
                <w:rStyle w:val="1189"/>
                <w:rFonts w:hint="default"/>
                <w:color w:val="auto"/>
                <w:sz w:val="24"/>
                <w:szCs w:val="24"/>
                <w:highlight w:val="none"/>
                <w:lang w:bidi="ar"/>
              </w:rPr>
              <w:t xml:space="preserve">5、靴帮抗穿刺性能：≥160N，隔热性能隔热试验中加热30分钟，靴底升温：≤8℃、靴底抗刺穿性能：≥1950N。</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6、防滑性能：始滑角＞15°。</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7、电绝缘性能：测试电压为5000V，泄漏电流≤0.5mA。</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8、阻燃性能：离火自熄时间0S，损毁长度≤40mm。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消防员抢险救腰带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1.材质为织带材料。</w:t>
            </w:r>
            <w:r>
              <w:rPr>
                <w:rStyle w:val="1188"/>
                <w:rFonts w:hint="default"/>
                <w:sz w:val="24"/>
                <w:szCs w:val="24"/>
                <w:lang w:bidi="ar"/>
              </w:rPr>
              <w:br/>
            </w:r>
            <w:r>
              <w:rPr>
                <w:rStyle w:val="1188"/>
                <w:rFonts w:hint="default"/>
                <w:sz w:val="24"/>
                <w:szCs w:val="24"/>
                <w:lang w:bidi="ar"/>
              </w:rPr>
              <w:t xml:space="preserve">2.为</w:t>
            </w:r>
            <w:r>
              <w:rPr>
                <w:rStyle w:val="1188"/>
                <w:rFonts w:hint="default"/>
                <w:color w:val="auto"/>
                <w:sz w:val="24"/>
                <w:szCs w:val="24"/>
                <w:lang w:bidi="ar"/>
              </w:rPr>
              <w:t xml:space="preserve">插扣式腰带，规格长度*宽度*厚度为</w:t>
            </w:r>
            <w:r>
              <w:rPr>
                <w:rStyle w:val="1189"/>
                <w:rFonts w:hint="default"/>
                <w:color w:val="auto"/>
                <w:sz w:val="24"/>
                <w:szCs w:val="24"/>
                <w:lang w:bidi="ar"/>
              </w:rPr>
              <w:t xml:space="preserve">≥1200*50*2.6 mm。</w:t>
            </w:r>
            <w:r>
              <w:rPr>
                <w:rStyle w:val="1188"/>
                <w:rFonts w:hint="default"/>
                <w:color w:val="auto"/>
                <w:sz w:val="24"/>
                <w:szCs w:val="24"/>
                <w:lang w:bidi="ar"/>
              </w:rPr>
              <w:br/>
            </w:r>
            <w:r>
              <w:rPr>
                <w:rStyle w:val="1188"/>
                <w:rFonts w:hint="default"/>
                <w:color w:val="auto"/>
                <w:sz w:val="24"/>
                <w:szCs w:val="24"/>
                <w:lang w:bidi="ar"/>
              </w:rPr>
              <w:t xml:space="preserve">3.与</w:t>
            </w:r>
            <w:r>
              <w:rPr>
                <w:rStyle w:val="1189"/>
                <w:rFonts w:hint="default"/>
                <w:color w:val="auto"/>
                <w:sz w:val="24"/>
                <w:szCs w:val="24"/>
                <w:lang w:bidi="ar"/>
              </w:rPr>
              <w:t xml:space="preserve">24式</w:t>
            </w:r>
            <w:r>
              <w:rPr>
                <w:rStyle w:val="1188"/>
                <w:rFonts w:hint="default"/>
                <w:color w:val="auto"/>
                <w:sz w:val="24"/>
                <w:szCs w:val="24"/>
                <w:lang w:bidi="ar"/>
              </w:rPr>
              <w:t xml:space="preserve">消防员</w:t>
            </w:r>
            <w:r>
              <w:rPr>
                <w:rStyle w:val="1188"/>
                <w:rFonts w:hint="default"/>
                <w:sz w:val="24"/>
                <w:szCs w:val="24"/>
                <w:lang w:bidi="ar"/>
              </w:rPr>
              <w:t xml:space="preserve">抢险救援防护服款式配套使用。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消防员避火防护服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rPr>
            </w:pPr>
            <w:r>
              <w:rPr>
                <w:rStyle w:val="1188"/>
                <w:rFonts w:hint="default"/>
                <w:color w:val="auto"/>
                <w:sz w:val="24"/>
                <w:szCs w:val="24"/>
                <w:lang w:bidi="ar"/>
              </w:rPr>
              <w:t xml:space="preserve">1、消防员避火服由头罩、上衣、裤子、手套和靴子五个部分组成。</w:t>
            </w:r>
            <w:r>
              <w:rPr>
                <w:rStyle w:val="1188"/>
                <w:rFonts w:hint="default"/>
                <w:color w:val="auto"/>
                <w:sz w:val="24"/>
                <w:szCs w:val="24"/>
                <w:lang w:bidi="ar"/>
              </w:rPr>
              <w:br/>
            </w:r>
            <w:r>
              <w:rPr>
                <w:rStyle w:val="1188"/>
                <w:rFonts w:hint="default"/>
                <w:color w:val="auto"/>
                <w:sz w:val="24"/>
                <w:szCs w:val="24"/>
                <w:lang w:bidi="ar"/>
              </w:rPr>
              <w:t xml:space="preserve">2、外层面料为复合芳纶铝箔材料，整套服装应由防辐射层、防火外层、防火内层、防水透气层、隔热层、高温保护层、舒适层共七层材料组成，应具有良好的耐火、隔热性能，同时在避火服内置空气呼吸器背囊。</w:t>
            </w:r>
            <w:r>
              <w:rPr>
                <w:rStyle w:val="1188"/>
                <w:rFonts w:hint="default"/>
                <w:color w:val="auto"/>
                <w:sz w:val="24"/>
                <w:szCs w:val="24"/>
                <w:lang w:bidi="ar"/>
              </w:rPr>
              <w:br/>
            </w:r>
            <w:r>
              <w:rPr>
                <w:rStyle w:val="1189"/>
                <w:rFonts w:hint="default"/>
                <w:color w:val="auto"/>
                <w:sz w:val="24"/>
                <w:szCs w:val="24"/>
                <w:lang w:bidi="ar"/>
              </w:rPr>
              <w:t xml:space="preserve">▲3、外层面料性能：阻燃性能：续燃时间为≤1s，经向损毁≤9mm，纬向≤9mm。断裂强力经向≥1900N、纬向≥1400N，撕破强力经向≥120N，纬向≥120N。抗辐射热渗透性能：内表面温升达到24℃的时间≥70s。</w:t>
            </w:r>
            <w:r>
              <w:rPr>
                <w:rStyle w:val="1189"/>
                <w:rFonts w:hint="default"/>
                <w:color w:val="auto"/>
                <w:sz w:val="24"/>
                <w:szCs w:val="24"/>
                <w:lang w:bidi="ar"/>
              </w:rPr>
              <w:br/>
            </w:r>
            <w:r>
              <w:rPr>
                <w:rStyle w:val="1189"/>
                <w:rFonts w:hint="default"/>
                <w:color w:val="auto"/>
                <w:sz w:val="24"/>
                <w:szCs w:val="24"/>
                <w:lang w:bidi="ar"/>
              </w:rPr>
              <w:t xml:space="preserve">4、舒适层面料性能：阻燃性能：续燃时间为≤0.5s，经向损毁≤46mm，纬向损毁≤46mm。无熔融、滴落。舒适层断裂强力经向≥300N，纬向≥350N。</w:t>
            </w:r>
            <w:r>
              <w:rPr>
                <w:rStyle w:val="1189"/>
                <w:rFonts w:hint="default"/>
                <w:color w:val="auto"/>
                <w:sz w:val="24"/>
                <w:szCs w:val="24"/>
                <w:lang w:bidi="ar"/>
              </w:rPr>
              <w:br/>
            </w:r>
            <w:r>
              <w:rPr>
                <w:rStyle w:val="1189"/>
                <w:rFonts w:hint="default"/>
                <w:color w:val="auto"/>
                <w:sz w:val="24"/>
                <w:szCs w:val="24"/>
                <w:lang w:bidi="ar"/>
              </w:rPr>
              <w:t xml:space="preserve">5、隔热头罩的耐高温性能：经高温后隔热头罩无碳化、熔融和滴落现象，视窗无明显变形和损坏现象。</w:t>
            </w:r>
            <w:r>
              <w:rPr>
                <w:rStyle w:val="1189"/>
                <w:rFonts w:hint="default"/>
                <w:color w:val="auto"/>
                <w:sz w:val="24"/>
                <w:szCs w:val="24"/>
                <w:lang w:bidi="ar"/>
              </w:rPr>
              <w:br/>
            </w:r>
            <w:r>
              <w:rPr>
                <w:rStyle w:val="1189"/>
                <w:rFonts w:hint="default"/>
                <w:color w:val="auto"/>
                <w:sz w:val="24"/>
                <w:szCs w:val="24"/>
                <w:lang w:bidi="ar"/>
              </w:rPr>
              <w:t xml:space="preserve">6、热防护性能：TPP: ≥40cal/c㎡。</w:t>
            </w:r>
            <w:r>
              <w:rPr>
                <w:rStyle w:val="1189"/>
                <w:rFonts w:hint="default"/>
                <w:color w:val="auto"/>
                <w:sz w:val="24"/>
                <w:szCs w:val="24"/>
                <w:lang w:bidi="ar"/>
              </w:rPr>
              <w:br/>
            </w:r>
            <w:r>
              <w:rPr>
                <w:rStyle w:val="1189"/>
                <w:rFonts w:hint="default"/>
                <w:color w:val="auto"/>
                <w:sz w:val="24"/>
                <w:szCs w:val="24"/>
                <w:lang w:bidi="ar"/>
              </w:rPr>
              <w:t xml:space="preserve">7、重量≤8.9kg。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消防员隔热防护服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  符合《消防 员隔热防护 服》</w:t>
            </w:r>
            <w:r>
              <w:rPr>
                <w:rFonts w:ascii="宋体" w:hAnsi="宋体" w:eastAsia="宋体" w:cs="宋体"/>
                <w:color w:val="auto"/>
                <w:sz w:val="24"/>
                <w:szCs w:val="24"/>
                <w:highlight w:val="none"/>
                <w:lang w:bidi="ar"/>
              </w:rPr>
              <w:t xml:space="preserve">XF 634-2015</w:t>
            </w:r>
            <w:r>
              <w:rPr>
                <w:rFonts w:hint="eastAsia" w:ascii="宋体" w:hAnsi="宋体" w:eastAsia="宋体" w:cs="宋体"/>
                <w:color w:val="auto"/>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188"/>
                <w:rFonts w:hint="default"/>
                <w:color w:val="auto"/>
                <w:sz w:val="24"/>
                <w:szCs w:val="24"/>
                <w:highlight w:val="none"/>
                <w:lang w:bidi="ar"/>
              </w:rPr>
              <w:t xml:space="preserve">1、符合XF 634-2015《消防员隔热防护服》要求。</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2、</w:t>
            </w:r>
            <w:r>
              <w:rPr>
                <w:rStyle w:val="1189"/>
                <w:rFonts w:hint="default"/>
                <w:color w:val="auto"/>
                <w:sz w:val="24"/>
                <w:szCs w:val="24"/>
                <w:highlight w:val="none"/>
                <w:lang w:bidi="ar"/>
              </w:rPr>
              <w:t xml:space="preserve">服装由覆铝膜涂层、阻燃毡隔热层、舒适层三层组成，</w:t>
            </w:r>
            <w:r>
              <w:rPr>
                <w:rStyle w:val="1188"/>
                <w:rFonts w:hint="default"/>
                <w:color w:val="auto"/>
                <w:sz w:val="24"/>
                <w:szCs w:val="24"/>
                <w:highlight w:val="none"/>
                <w:lang w:bidi="ar"/>
              </w:rPr>
              <w:t xml:space="preserve">是消防员在高温事故现场进行抢险作业防护服装。</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3、由隔热上衣、隔热裤、隔热头罩(内含消防头盔)、隔热手套以及隔热脚盖组成。上衣应有空气呼吸器包囊。</w:t>
            </w:r>
            <w:r>
              <w:rPr>
                <w:rStyle w:val="1188"/>
                <w:rFonts w:hint="default"/>
                <w:color w:val="auto"/>
                <w:sz w:val="24"/>
                <w:szCs w:val="24"/>
                <w:highlight w:val="none"/>
                <w:lang w:bidi="ar"/>
              </w:rPr>
              <w:br/>
            </w:r>
            <w:r>
              <w:rPr>
                <w:rStyle w:val="1189"/>
                <w:rFonts w:hint="default"/>
                <w:color w:val="auto"/>
                <w:sz w:val="24"/>
                <w:szCs w:val="24"/>
                <w:highlight w:val="none"/>
                <w:lang w:bidi="ar"/>
              </w:rPr>
              <w:t xml:space="preserve">4、隔热头罩视窗为镀金阻燃面屏。</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5、外层面料性能：</w:t>
            </w:r>
            <w:r>
              <w:rPr>
                <w:rStyle w:val="1188"/>
                <w:rFonts w:hint="default"/>
                <w:color w:val="auto"/>
                <w:sz w:val="24"/>
                <w:szCs w:val="24"/>
                <w:highlight w:val="none"/>
                <w:lang w:bidi="ar"/>
              </w:rPr>
              <w:br/>
            </w:r>
            <w:r>
              <w:rPr>
                <w:rStyle w:val="1189"/>
                <w:rFonts w:hint="default"/>
                <w:color w:val="auto"/>
                <w:sz w:val="24"/>
                <w:szCs w:val="24"/>
                <w:highlight w:val="none"/>
                <w:lang w:bidi="ar"/>
              </w:rPr>
              <w:t xml:space="preserve">5.1阻燃性能：续燃时间0S，经纬向损毁长度≤15 mm；</w:t>
            </w:r>
            <w:r>
              <w:rPr>
                <w:rStyle w:val="1189"/>
                <w:rFonts w:hint="default"/>
                <w:color w:val="auto"/>
                <w:sz w:val="24"/>
                <w:szCs w:val="24"/>
                <w:highlight w:val="none"/>
                <w:lang w:bidi="ar"/>
              </w:rPr>
              <w:br/>
            </w:r>
            <w:r>
              <w:rPr>
                <w:rStyle w:val="1189"/>
                <w:rFonts w:hint="default"/>
                <w:color w:val="auto"/>
                <w:sz w:val="24"/>
                <w:szCs w:val="24"/>
                <w:highlight w:val="none"/>
                <w:lang w:bidi="ar"/>
              </w:rPr>
              <w:t xml:space="preserve">▲5.2断裂强力：经向≥4600N，纬向≥4600N、撕破强力：经向≥900N，纬向≥700N；</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5.3热稳定性能：尺寸变化率经、纬向≤1%；</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5.4抗辐射热渗透性能：内表面温升达到24℃的时间≥65秒。</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6、隔热层面料性能：</w:t>
            </w:r>
            <w:r>
              <w:rPr>
                <w:rStyle w:val="1188"/>
                <w:rFonts w:hint="default"/>
                <w:color w:val="auto"/>
                <w:sz w:val="24"/>
                <w:szCs w:val="24"/>
                <w:highlight w:val="none"/>
                <w:lang w:bidi="ar"/>
              </w:rPr>
              <w:br/>
            </w:r>
            <w:r>
              <w:rPr>
                <w:rStyle w:val="1189"/>
                <w:rFonts w:hint="default"/>
                <w:color w:val="auto"/>
                <w:sz w:val="24"/>
                <w:szCs w:val="24"/>
                <w:highlight w:val="none"/>
                <w:lang w:bidi="ar"/>
              </w:rPr>
              <w:t xml:space="preserve">6.1阻燃性能：续燃时间0S，经纬向损毁长度≤45mm；</w:t>
            </w:r>
            <w:r>
              <w:rPr>
                <w:rStyle w:val="1189"/>
                <w:rFonts w:hint="default"/>
                <w:color w:val="auto"/>
                <w:sz w:val="24"/>
                <w:szCs w:val="24"/>
                <w:highlight w:val="none"/>
                <w:lang w:bidi="ar"/>
              </w:rPr>
              <w:br/>
            </w:r>
            <w:r>
              <w:rPr>
                <w:rStyle w:val="1189"/>
                <w:rFonts w:hint="default"/>
                <w:color w:val="auto"/>
                <w:sz w:val="24"/>
                <w:szCs w:val="24"/>
                <w:highlight w:val="none"/>
                <w:lang w:bidi="ar"/>
              </w:rPr>
              <w:t xml:space="preserve">6.2热稳定性能：尺寸变化率经、纬向≤2%。</w:t>
            </w:r>
            <w:r>
              <w:rPr>
                <w:rStyle w:val="1189"/>
                <w:rFonts w:hint="default"/>
                <w:color w:val="auto"/>
                <w:sz w:val="24"/>
                <w:szCs w:val="24"/>
                <w:highlight w:val="none"/>
                <w:lang w:bidi="ar"/>
              </w:rPr>
              <w:br/>
            </w:r>
            <w:r>
              <w:rPr>
                <w:rStyle w:val="1189"/>
                <w:rFonts w:hint="default"/>
                <w:color w:val="auto"/>
                <w:sz w:val="24"/>
                <w:szCs w:val="24"/>
                <w:highlight w:val="none"/>
                <w:lang w:bidi="ar"/>
              </w:rPr>
              <w:t xml:space="preserve">7、舒适层性能： </w:t>
            </w:r>
            <w:r>
              <w:rPr>
                <w:rStyle w:val="1189"/>
                <w:rFonts w:hint="default"/>
                <w:color w:val="auto"/>
                <w:sz w:val="24"/>
                <w:szCs w:val="24"/>
                <w:highlight w:val="none"/>
                <w:lang w:bidi="ar"/>
              </w:rPr>
              <w:br/>
            </w:r>
            <w:r>
              <w:rPr>
                <w:rStyle w:val="1189"/>
                <w:rFonts w:hint="default"/>
                <w:color w:val="auto"/>
                <w:sz w:val="24"/>
                <w:szCs w:val="24"/>
                <w:highlight w:val="none"/>
                <w:lang w:bidi="ar"/>
              </w:rPr>
              <w:t xml:space="preserve">7.1续燃时间0S, 经向损毁长度≤45mm，纬向损毁长度≤45mm；</w:t>
            </w:r>
            <w:r>
              <w:rPr>
                <w:rStyle w:val="1189"/>
                <w:rFonts w:hint="default"/>
                <w:color w:val="auto"/>
                <w:sz w:val="24"/>
                <w:szCs w:val="24"/>
                <w:highlight w:val="none"/>
                <w:lang w:bidi="ar"/>
              </w:rPr>
              <w:br/>
            </w:r>
            <w:r>
              <w:rPr>
                <w:rStyle w:val="1189"/>
                <w:rFonts w:hint="default"/>
                <w:color w:val="auto"/>
                <w:sz w:val="24"/>
                <w:szCs w:val="24"/>
                <w:highlight w:val="none"/>
                <w:lang w:bidi="ar"/>
              </w:rPr>
              <w:t xml:space="preserve">7.2断裂强力：经向≥500N，纬向≥400N。</w:t>
            </w:r>
            <w:r>
              <w:rPr>
                <w:rStyle w:val="1189"/>
                <w:rFonts w:hint="default"/>
                <w:color w:val="auto"/>
                <w:sz w:val="24"/>
                <w:szCs w:val="24"/>
                <w:highlight w:val="none"/>
                <w:lang w:bidi="ar"/>
              </w:rPr>
              <w:br/>
            </w:r>
            <w:r>
              <w:rPr>
                <w:rStyle w:val="1189"/>
                <w:rFonts w:hint="default"/>
                <w:color w:val="auto"/>
                <w:sz w:val="24"/>
                <w:szCs w:val="24"/>
                <w:highlight w:val="none"/>
                <w:lang w:bidi="ar"/>
              </w:rPr>
              <w:t xml:space="preserve">8、隔热头罩性能：</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8.1耐高温性能：经180℃高温5分钟后，无碳化、熔融和滴落现象，视窗无明显变形和损坏；</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8.2透光率≥70%。</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9、隔热手套灵巧性能：性能等级≥3级。</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10、整体性能：</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10.1热防护性能：TPP≥28cal/c㎡；</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10.2接缝强力≥600N；</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10.3质量≤4.5kg。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一级化学防护服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技术性能 符合《消防 员化学防护 服 装 》</w:t>
            </w:r>
            <w:r>
              <w:rPr>
                <w:rFonts w:ascii="宋体" w:hAnsi="宋体" w:eastAsia="宋体" w:cs="宋体"/>
                <w:color w:val="000000"/>
                <w:sz w:val="24"/>
                <w:szCs w:val="24"/>
                <w:highlight w:val="none"/>
                <w:lang w:bidi="ar"/>
              </w:rPr>
              <w:t xml:space="preserve">XF 770-2008</w:t>
            </w:r>
            <w:r>
              <w:rPr>
                <w:rFonts w:hint="eastAsia" w:ascii="宋体" w:hAnsi="宋体" w:eastAsia="宋体" w:cs="宋体"/>
                <w:color w:val="000000"/>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1、符合</w:t>
            </w:r>
            <w:r>
              <w:rPr>
                <w:rFonts w:ascii="宋体" w:hAnsi="宋体" w:eastAsia="宋体" w:cs="宋体"/>
                <w:color w:val="000000"/>
                <w:sz w:val="24"/>
                <w:szCs w:val="24"/>
                <w:highlight w:val="none"/>
                <w:lang w:bidi="ar"/>
              </w:rPr>
              <w:t xml:space="preserve">XF 770-2008</w:t>
            </w:r>
            <w:r>
              <w:rPr>
                <w:rFonts w:hint="eastAsia" w:ascii="宋体" w:hAnsi="宋体" w:eastAsia="宋体" w:cs="宋体"/>
                <w:color w:val="000000"/>
                <w:sz w:val="24"/>
                <w:szCs w:val="24"/>
                <w:highlight w:val="none"/>
                <w:lang w:bidi="ar"/>
              </w:rPr>
              <w:t xml:space="preserve">《消防员化学防护服装》要求。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专业用于危化事故处理的气密性化学防护服。即便处于易燃易爆区域，仍可对气体、液体、气溶胶和固体有害物质起到极好的防护作用。全套服装采用全密封连体式结构，由大视窗的连体头罩、化学防护服、呼吸器背囊、空呼保护垫、防护手套、防护靴、排气阀、通风系统分配阀及通气管路等部分组成。</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面料采用内外对称结构、高阻隔多元共混橡胶制作而成，具有广谱高效的化学防化性能和耐热老化、低温柔软等性能。阻燃性能好，遇火只产生炭化，不熔滴。防化服接缝处采用与面料相同材料的防化贴条，超声波焊接及热风加强型接缝设计，界面无缝贴附融为一体，有效提高防护性能。内部设计通风排湿系统，有效降低消防救援人员产生热负荷，提高作业效率。</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4、整体气密性/Pa：≤300；贴条的粘附强度/kN/m：≥0.8；超压排气阀：气密性/s：≥15；通气阻力/Pa：78-118之间；通风系统分配阀：定量供气量5±1L/min，手控最大供气量≥30L/min；整套重量≤8kg。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5、面料性能：阻燃性能，有焰燃烧时间≤3s，无焰燃烧时间≤1s，经纬向损毁长度≤8cm；经纬向拉伸强度≥13.5kN/m；经纬向撕裂强力≥110N；接缝强力≥800N；耐热老化性能（125℃×24h）不粘、不脆。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6、化学防护手套耐热老化性能（125℃×24h）：不粘、不脆；耐寒性能：无裂纹；耐刺穿力≥25N；手套灵巧性能≥3级。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7、化学防护靴采用航空铝包头结构，具有抗砸、防穿刺性能，可拆卸更换。靴底抗刺穿力≥1200N。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8、面料及其接缝部位、化学防护手套、化学防护靴、大视窗连体头罩抗化学品渗透性能：渗透时间/min：二甲基硫酸盐≥70min、氨气≥70min、氯气≥70min、氰氯化物≥70min、羰基氯化物≥70min、氢氰化物≥70min。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9、大视窗面屏采用高强耐冲击透明工程材料制作，三层结构防雾保明设计，同时采用改性纳米技术，实现永久性防雾保明，方便救援工作。</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技术性能 符合《消防 员化学防护 服 装 》</w:t>
            </w:r>
            <w:r>
              <w:rPr>
                <w:rFonts w:ascii="宋体" w:hAnsi="宋体" w:eastAsia="宋体" w:cs="宋体"/>
                <w:color w:val="000000"/>
                <w:sz w:val="24"/>
                <w:szCs w:val="24"/>
                <w:highlight w:val="none"/>
                <w:lang w:bidi="ar"/>
              </w:rPr>
              <w:t xml:space="preserve">XF 770-2008</w:t>
            </w:r>
            <w:r>
              <w:rPr>
                <w:rFonts w:hint="eastAsia" w:ascii="宋体" w:hAnsi="宋体" w:eastAsia="宋体" w:cs="宋体"/>
                <w:color w:val="000000"/>
                <w:sz w:val="24"/>
                <w:szCs w:val="24"/>
                <w:highlight w:val="none"/>
                <w:lang w:bidi="ar"/>
              </w:rPr>
              <w:t xml:space="preserve">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1、符合</w:t>
            </w:r>
            <w:r>
              <w:rPr>
                <w:rFonts w:ascii="宋体" w:hAnsi="宋体" w:eastAsia="宋体" w:cs="宋体"/>
                <w:color w:val="000000"/>
                <w:sz w:val="24"/>
                <w:szCs w:val="24"/>
                <w:highlight w:val="none"/>
                <w:lang w:bidi="ar"/>
              </w:rPr>
              <w:t xml:space="preserve">XF 770-2008</w:t>
            </w:r>
            <w:r>
              <w:rPr>
                <w:rFonts w:hint="eastAsia" w:ascii="宋体" w:hAnsi="宋体" w:eastAsia="宋体" w:cs="宋体"/>
                <w:color w:val="000000"/>
                <w:sz w:val="24"/>
                <w:szCs w:val="24"/>
                <w:highlight w:val="none"/>
                <w:lang w:bidi="ar"/>
              </w:rPr>
              <w:t xml:space="preserve">《消防员化学防护服装》要求。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2、半封闭式结构，由连体帽、化学防护服、防护靴、防护手套等部分组成，可与空气呼吸器等设备配合使用。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3、面料采用高级材料制作而成，防化服接缝处内外采用与面料相同材料的防化贴条。</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4、整体抗水渗透性：20min无渗漏；贴条的粘附强度≥2kN/m；整套重量≤5kg。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5、面料及其接缝部位、化学防护手套、化学防护靴抗化学品渗透性能：渗透时间/min：90%硫酸≥480min、40%氢氧化钠≥480min、65%硝酸≥480min、30%盐酸≥480min。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6、面料性能：经纬向拉伸强度≥17kN/m；经纬向撕裂强力≥200N；接缝强力≥600N。经纬向有焰燃烧时间≤1s，经纬向无焰燃烧时间≤1s，经纬向损毁长度≤8cm；耐热老化性能（125℃×24h）不粘、不脆。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7、防化手套耐刺穿力≥25N；灵巧性≥1级。</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脚部为一体防化靴。防护靴应采用钢包头结构，具有抗砸、防穿刺性能；靴底抗刺穿力≥1400N；电绝缘性能：击穿电压≥6000V，泄露电流≤3mA；防滑性能：始滑角≥15°；防砸性能：静压力试验和冲击试验后间隙高度≥15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化学防护手套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符合《消防 员化学防护 服 装 》</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1、抗化学品渗透：二甲基硫酸盐、氨气、氯气≥70min；。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2、手套抗刺穿力≥25N。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3、灵巧性能：能够随着指关节的弯曲而灵活地弯曲，手套灵巧性能≥1级。</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内置劳动保护手套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纯棉质地， 技术性能符   合现行国家   标准《手部防</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1、纯棉手套。</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防高温手套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符合《消防手 套》GA 7的  规定，耐接触热≥600℃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1、材料：外层掌部为芳纶斜纹布，外层背部为复合铝箔。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2、外层阻燃性能：续燃时间≤1S，经向损毁长度≤5 mm，纬向损毁长度≤5 mm。外层断裂强力：经向≥3500N，纬向≥1500N。外层撕破强力：经向≥130N，纬向≥130N。外层热稳定性能：尺寸变化率≤1%。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3、隔热层阻燃性能：续燃时间≤1S，经向损毁长度≤6mm，纬向损毁长度≤6 mm；隔热层热稳定性能：尺寸变化率≤1%%。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4、舒适层阻燃性能：续燃时间≤1S。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5、整体热防护性能：TPP≥28cal/cm2。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6、抗切割性能：≥13N。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消防员防蜂服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技术性能  符合公安行 业标准《消 防 员 防 蜂 服》XF3008-2020的规定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188"/>
                <w:rFonts w:hint="default"/>
                <w:color w:val="auto"/>
                <w:sz w:val="24"/>
                <w:szCs w:val="24"/>
                <w:highlight w:val="none"/>
                <w:lang w:bidi="ar"/>
              </w:rPr>
              <w:t xml:space="preserve">1、</w:t>
            </w:r>
            <w:r>
              <w:rPr>
                <w:rFonts w:hint="eastAsia" w:ascii="宋体" w:hAnsi="宋体" w:eastAsia="宋体" w:cs="宋体"/>
                <w:color w:val="auto"/>
                <w:sz w:val="24"/>
                <w:szCs w:val="24"/>
                <w:highlight w:val="none"/>
                <w:lang w:bidi="ar"/>
              </w:rPr>
              <w:t xml:space="preserve">符合《消防员防蜂服》XF3008-2020的规定</w:t>
            </w:r>
            <w:r>
              <w:rPr>
                <w:rStyle w:val="1188"/>
                <w:rFonts w:hint="default"/>
                <w:color w:val="auto"/>
                <w:sz w:val="24"/>
                <w:szCs w:val="24"/>
                <w:highlight w:val="none"/>
                <w:lang w:bidi="ar"/>
              </w:rPr>
              <w:t xml:space="preserve">衣服整体为白色。</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2、连体式：由网状外凸头罩，衣、裤、手套、靴组成。</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3、面罩由加密不锈钢网制作，具有透气性好，视野清晰。</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4、腋下、裆部设计有透气孔。</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5、手套灵巧，防蛰刺效果好。</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6、运动式防蜂靴，轻便合脚舒适。</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7、为提高工作人员的舒适性，降低内部温度，在服装背部配备风扇。</w:t>
            </w:r>
            <w:r>
              <w:rPr>
                <w:rStyle w:val="1188"/>
                <w:rFonts w:hint="default"/>
                <w:color w:val="auto"/>
                <w:sz w:val="24"/>
                <w:szCs w:val="24"/>
                <w:highlight w:val="none"/>
                <w:lang w:bidi="ar"/>
              </w:rPr>
              <w:br/>
            </w:r>
            <w:r>
              <w:rPr>
                <w:rStyle w:val="1189"/>
                <w:rFonts w:hint="default"/>
                <w:color w:val="auto"/>
                <w:sz w:val="24"/>
                <w:szCs w:val="24"/>
                <w:highlight w:val="none"/>
                <w:lang w:bidi="ar"/>
              </w:rPr>
              <w:t xml:space="preserve">8、外层面料撕破强力：经向≥200N，纬向≥80N、外层面料断裂强力经向≥1300N，纬向≥830N。</w:t>
            </w:r>
            <w:r>
              <w:rPr>
                <w:rStyle w:val="1189"/>
                <w:rFonts w:hint="default"/>
                <w:color w:val="auto"/>
                <w:sz w:val="24"/>
                <w:szCs w:val="24"/>
                <w:highlight w:val="none"/>
                <w:lang w:bidi="ar"/>
              </w:rPr>
              <w:br/>
            </w:r>
            <w:r>
              <w:rPr>
                <w:rStyle w:val="1189"/>
                <w:rFonts w:hint="default"/>
                <w:color w:val="auto"/>
                <w:sz w:val="24"/>
                <w:szCs w:val="24"/>
                <w:highlight w:val="none"/>
                <w:lang w:bidi="ar"/>
              </w:rPr>
              <w:t xml:space="preserve">9、甲醛含量mg/KG：≤40。</w:t>
            </w:r>
            <w:r>
              <w:rPr>
                <w:rStyle w:val="1189"/>
                <w:rFonts w:hint="default"/>
                <w:color w:val="auto"/>
                <w:sz w:val="24"/>
                <w:szCs w:val="24"/>
                <w:highlight w:val="none"/>
                <w:lang w:bidi="ar"/>
              </w:rPr>
              <w:br/>
            </w:r>
            <w:r>
              <w:rPr>
                <w:rStyle w:val="1189"/>
                <w:rFonts w:hint="default"/>
                <w:color w:val="auto"/>
                <w:sz w:val="24"/>
                <w:szCs w:val="24"/>
                <w:highlight w:val="none"/>
                <w:lang w:bidi="ar"/>
              </w:rPr>
              <w:t xml:space="preserve">10、手套耐切割性能N ：割破力≥2。</w:t>
            </w:r>
            <w:r>
              <w:rPr>
                <w:rStyle w:val="1189"/>
                <w:rFonts w:hint="default"/>
                <w:color w:val="auto"/>
                <w:sz w:val="24"/>
                <w:szCs w:val="24"/>
                <w:highlight w:val="none"/>
                <w:lang w:bidi="ar"/>
              </w:rPr>
              <w:br/>
            </w:r>
            <w:r>
              <w:rPr>
                <w:rStyle w:val="1189"/>
                <w:rFonts w:hint="default"/>
                <w:color w:val="auto"/>
                <w:sz w:val="24"/>
                <w:szCs w:val="24"/>
                <w:highlight w:val="none"/>
                <w:lang w:bidi="ar"/>
              </w:rPr>
              <w:t xml:space="preserve">11、鞋子电绝缘性能：泄漏电流≤0.5mA。 </w:t>
            </w:r>
            <w:r>
              <w:rPr>
                <w:rStyle w:val="1188"/>
                <w:rFonts w:hint="default"/>
                <w:color w:val="auto"/>
                <w:sz w:val="24"/>
                <w:szCs w:val="24"/>
                <w:highlight w:val="none"/>
                <w:lang w:bidi="ar"/>
              </w:rPr>
              <w:t xml:space="preserve">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消防员降温背心</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技术性能符合相关标 准的规定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1、对消防员的上身躯干提供保护，在灭火及应急救援作业中降低体温防止中暑，有效增强散热能力。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2、应采用化学制冷方式，降温袋无需冰箱冷冻，无需预先充冷，轻轻一掰，能瞬间制冷，立刻使用。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3、降温剂应符合标准，无毒无害，对环境友好。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4、降温幅度≥15℃。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5、灭火作业时连续使用时间大于60分钟。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6、每件降温背心标配8只降温袋，每只降温袋重量≤200克，方便接续降温使用。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80cm扁带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1.材质：涤纶</w:t>
            </w:r>
            <w:r>
              <w:rPr>
                <w:rStyle w:val="1188"/>
                <w:rFonts w:hint="default"/>
                <w:sz w:val="24"/>
                <w:szCs w:val="24"/>
                <w:lang w:bidi="ar"/>
              </w:rPr>
              <w:br/>
            </w:r>
            <w:r>
              <w:rPr>
                <w:rStyle w:val="1188"/>
                <w:rFonts w:hint="default"/>
                <w:sz w:val="24"/>
                <w:szCs w:val="24"/>
                <w:lang w:bidi="ar"/>
              </w:rPr>
              <w:t xml:space="preserve">2.工作负荷：≥5kN</w:t>
            </w:r>
            <w:r>
              <w:rPr>
                <w:rStyle w:val="1188"/>
                <w:rFonts w:hint="default"/>
                <w:sz w:val="24"/>
                <w:szCs w:val="24"/>
                <w:lang w:bidi="ar"/>
              </w:rPr>
              <w:br/>
            </w:r>
            <w:r>
              <w:rPr>
                <w:rStyle w:val="1188"/>
                <w:rFonts w:hint="default"/>
                <w:sz w:val="24"/>
                <w:szCs w:val="24"/>
                <w:lang w:bidi="ar"/>
              </w:rPr>
              <w:t xml:space="preserve">3.极限负荷：≥22kN</w:t>
            </w:r>
            <w:r>
              <w:rPr>
                <w:rStyle w:val="1188"/>
                <w:rFonts w:hint="default"/>
                <w:sz w:val="24"/>
                <w:szCs w:val="24"/>
                <w:lang w:bidi="ar"/>
              </w:rPr>
              <w:br/>
            </w:r>
            <w:r>
              <w:rPr>
                <w:rStyle w:val="1188"/>
                <w:rFonts w:hint="default"/>
                <w:sz w:val="24"/>
                <w:szCs w:val="24"/>
                <w:lang w:bidi="ar"/>
              </w:rPr>
              <w:t xml:space="preserve">4.长度：≥80cm</w:t>
            </w:r>
            <w:r>
              <w:rPr>
                <w:rStyle w:val="1188"/>
                <w:rFonts w:hint="default"/>
                <w:sz w:val="24"/>
                <w:szCs w:val="24"/>
                <w:lang w:bidi="ar"/>
              </w:rPr>
              <w:br/>
            </w:r>
            <w:r>
              <w:rPr>
                <w:rStyle w:val="1188"/>
                <w:rFonts w:hint="default"/>
                <w:sz w:val="24"/>
                <w:szCs w:val="24"/>
                <w:lang w:bidi="ar"/>
              </w:rPr>
              <w:t xml:space="preserve">5.宽度(20士0.5)mm，厚度(2士0.2)mm；</w:t>
            </w:r>
            <w:r>
              <w:rPr>
                <w:rStyle w:val="1188"/>
                <w:rFonts w:hint="default"/>
                <w:sz w:val="24"/>
                <w:szCs w:val="24"/>
                <w:lang w:bidi="ar"/>
              </w:rPr>
              <w:br/>
            </w:r>
            <w:r>
              <w:rPr>
                <w:rStyle w:val="1188"/>
                <w:rFonts w:hint="default"/>
                <w:sz w:val="24"/>
                <w:szCs w:val="24"/>
                <w:lang w:bidi="ar"/>
              </w:rPr>
              <w:t xml:space="preserve">7.执行标准：XF 494-2023《消防用防坠落装备》标准；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120cm扁带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1.材质：涤纶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2.工作负荷：≥5kN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3.极限负荷：≥22kN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4.长度：≥120cm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5.宽度(20士0.5)mm，厚度(2士0.2)mm；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7.执行标准：XF 494-2023《消防用防坠落装备》标准；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有毒气体探测仪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1、仪器可同时检测可燃气体EX、氧气O2、一氧化碳CO、硫化氢H2S四种气体。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2、显示屏:高清彩色屏≥2.4寸,可查看报警记录、实时曲线图。</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3、仪器带有声光报警，震动报警，声音≥80dB。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4、泵吸式采样。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5、产品符合《多组分有害气体检测报警器》和《爆炸性环境用气体探测器第1 部分：可燃气体探测器性能要求》。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6、气体量程：硫化氢H2S≥0~100ppm，分辨率≥0.1ppm；一氧化碳CO≥0~1000ppm，分辨率≥1ppm；可燃气EX≥0~100%LEL，分辨率≥0.1%LEL；氧气O2≥0~30%VOL，分辨率≥0.1%VOL。</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7、防爆标志不低于Exia ⅡC T4 Ga。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8、防护等级≥IP66。</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9、充电聚合物电池，电池容量≥5000mA，工作电压≤DC5V。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10、预热时间：≤60S；响应时间：≤20S。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11、中英文显示。</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消防用红外热像仪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性能符合《消防用红外热像</w:t>
            </w:r>
            <w:r>
              <w:rPr>
                <w:rFonts w:hint="eastAsia" w:ascii="宋体" w:hAnsi="宋体" w:eastAsia="宋体" w:cs="宋体"/>
                <w:color w:val="000000"/>
                <w:sz w:val="24"/>
                <w:szCs w:val="24"/>
                <w:highlight w:val="none"/>
                <w:lang w:bidi="ar"/>
              </w:rPr>
              <w:t xml:space="preserve">仪》</w:t>
            </w:r>
            <w:r>
              <w:rPr>
                <w:rFonts w:ascii="宋体" w:hAnsi="宋体" w:eastAsia="宋体" w:cs="宋体"/>
                <w:color w:val="000000"/>
                <w:sz w:val="24"/>
                <w:szCs w:val="24"/>
                <w:highlight w:val="none"/>
                <w:lang w:bidi="ar"/>
              </w:rPr>
              <w:t xml:space="preserve">XF/T635-2023</w:t>
            </w:r>
            <w:r>
              <w:rPr>
                <w:rFonts w:hint="eastAsia" w:ascii="宋体" w:hAnsi="宋体" w:eastAsia="宋体" w:cs="宋体"/>
                <w:color w:val="000000"/>
                <w:sz w:val="24"/>
                <w:szCs w:val="24"/>
                <w:lang w:bidi="ar"/>
              </w:rPr>
              <w:t xml:space="preserve">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1、热像仪应符合XF/T635-2023《消防用红外热像仪》标准</w:t>
            </w:r>
            <w:r>
              <w:rPr>
                <w:rFonts w:hint="eastAsia" w:ascii="宋体" w:hAnsi="宋体" w:eastAsia="宋体" w:cs="宋体"/>
                <w:color w:val="auto"/>
                <w:sz w:val="24"/>
                <w:szCs w:val="24"/>
                <w:lang w:eastAsia="zh-CN" w:bidi="ar"/>
              </w:rPr>
              <w:t xml:space="preserve">；</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▲2、具备可见光和热成像双光融合功能，热成像分辨率应≥384×288，工作波段7-14μm，NETD≤40mk，视场角≥56°×42°；</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3、具备黑热、白热、彩虹、热点区域标红、融合、画中画、可见光模式等不少于12种成像模式，并可通过单个按键快速切换图像模式；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4、具备1x、2x、3x、4x数字放大功能；</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▲5、具备温度测量功能，测温范围-40℃～+2000℃、具备指南针定向功能、激光指示器，内置激光定位器十字分化功能，可发射激光，指示危险区域及被测目标位置功能，支持多模定位；</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6、显示屏幕应≥3.5寸，分辨率≥800×600；</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7、具备无线双向WiFi功能，可实时传输图像，可在手机app上显示实时画面，可连接MESH自组网电台；</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8、具备正常自检及无故障（绿色常亮）和故障提示（黄色常亮）和充电提示（红色常亮）功能，在低电量时可闪烁黄色与红色呼吸灯提示；</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9、支持远程实时监测温度，支持设置报警阈值，超过设定报警温度值时可发出图像提示警告；</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10、具备拍照和录像功能，屏幕可显示存储卡剩余容量；</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11、特定环境温度持续工作时间：+85℃连续工作≥50min；+150℃连续工作≥20min；+260℃连续工作≥10min；</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12、具备火场中全屏高温、低温，冷热点指针自动搜索功能，并能同时显示高温、低温、中心点实际温度值，将实时测量温度数值显示在屏幕上；</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▲13、超轻设计重量应≤650g（含电池），防护等级应≥IP68，2 米高度跌落，试验后样机应能正常工作；</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14、电池可充电次数≥5000次，电池具备USB Type-C接口，电池耗电量比例可在屏幕上显示；</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15、按键设计：≥5个实体按键，所有主要功能可通过按键直接控制，无需进入二级菜单。</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测温仪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测 温 范 围 ： -50℃~1000℃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auto"/>
                <w:sz w:val="24"/>
                <w:szCs w:val="24"/>
                <w:highlight w:val="none"/>
              </w:rPr>
            </w:pPr>
            <w:r>
              <w:rPr>
                <w:rStyle w:val="1188"/>
                <w:rFonts w:hint="default"/>
                <w:color w:val="auto"/>
                <w:sz w:val="24"/>
                <w:szCs w:val="24"/>
                <w:highlight w:val="none"/>
                <w:lang w:bidi="ar"/>
              </w:rPr>
              <w:t xml:space="preserve">1. 功能：检测数据保持显示，具有LED背光开、关选择、定位激光开/关选择、低电提示、自动关机功能</w:t>
            </w:r>
            <w:r>
              <w:rPr>
                <w:rStyle w:val="1188"/>
                <w:rFonts w:hint="default"/>
                <w:color w:val="auto"/>
                <w:sz w:val="24"/>
                <w:szCs w:val="24"/>
                <w:highlight w:val="none"/>
                <w:lang w:bidi="ar"/>
              </w:rPr>
              <w:br/>
            </w:r>
            <w:r>
              <w:rPr>
                <w:rStyle w:val="1189"/>
                <w:rFonts w:hint="default"/>
                <w:color w:val="auto"/>
                <w:sz w:val="24"/>
                <w:szCs w:val="24"/>
                <w:highlight w:val="none"/>
                <w:lang w:bidi="ar"/>
              </w:rPr>
              <w:t xml:space="preserve">2. 测量范围：-50℃~1000℃</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3. 精确度：0~1350°±3°；</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4. 分辨率：0.1°C/°F；</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5. 发射率：0.10-1.00可调</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6. 物距比：50:1</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7. 响应时间：500毫秒，95%响应；</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8. 检测值：最大值/最小值/平均值；</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9. 报警功能：支持预设高、低温危险报警；</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10. 定位激光：支持开/关选择；</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11. 存储功能：测量数据具有存储功能</w:t>
            </w:r>
            <w:r>
              <w:rPr>
                <w:rStyle w:val="1188"/>
                <w:rFonts w:hint="default"/>
                <w:color w:val="auto"/>
                <w:sz w:val="24"/>
                <w:szCs w:val="24"/>
                <w:highlight w:val="none"/>
                <w:lang w:bidi="ar"/>
              </w:rPr>
              <w:br/>
            </w:r>
            <w:r>
              <w:rPr>
                <w:rStyle w:val="1189"/>
                <w:rFonts w:hint="default"/>
                <w:color w:val="auto"/>
                <w:sz w:val="24"/>
                <w:szCs w:val="24"/>
                <w:highlight w:val="none"/>
                <w:lang w:bidi="ar"/>
              </w:rPr>
              <w:t xml:space="preserve">12. 产品净重量：≤275克；</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测风仪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液晶屏幕:≥3.5英寸，可显示风速、风向、平均风速、温度、湿度、大气压、海拔、热力指数、湿球温度、浪高、露点温度、风寒指数。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风速：≥0-60m/s；精度：≤±0.3m/s；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风向：≥0-360°；精度：≤±3°；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温度：≥-40-125℃；精度：≤±0.2℃；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湿度：0-100%RH；精度：≤±2%RH；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大气压力：≥30-110kPa；精度≤：±0.1kPa；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 海拔：0-9165m；精度：±1m；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 热力指数：-40-140℃；精度：±0.2℃；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 湿球温度：-29-70℃；精度：±0.2℃；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 浪高：0-14m；精度：±0.2m；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 露点温度：0-70℃；精度：±1℃；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 风寒指数：0-5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 内置电子罗盘，实现风向的360度监测，并增加风向自动读取和手动读取的切换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 大容量数据存储，最存储：≥40000条气象数据（数据记录间隔可在1~60分钟之间设置）。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 工作时间：≥18小时。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 重量:≤400g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测距仪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符合GB/T 14267-2009《光电测距仪》、JJF 1704-2018《望远镜式测距仪校准规范》、JJG 966-2010《手持式激光测距仪》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测量内容：距离、角度、高度、速度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对焦方式：目镜手动调焦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测量单位：米(m)、码(Yd)、度（°）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测量距离：≥1500m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测距误差：≤0.3m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 测角误差：≤0.1°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 测角范围值：90°~90°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 准确率：95%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 物镜孔径：26mm；发射镜孔径20mm；出瞳直径：3.6mm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 倍率：≥8倍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 激光类型:人眼安全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 工作温度：-30℃一50℃</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手持漏电检测棒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1、用于确定泄漏电源具体位置，具有声光报警功能，具有自我测试功能、绝缘机身。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2、可探知3米以内，120-220伏线路的漏电情况。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3、声光报警，警报频率会随着探测到的讯号强弱而自动改变。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4、测试模式：高敏度、低敏度、聚焦。</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1、放大倍率：≥10x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2、镜体材料：铝合金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3、胶皮材料：橡胶(NBR+PVC)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4、物镜口径: ≥Φ50 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5、目镜口径: ≥Φ24.5 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6、出瞳直径:Φ5mm ± 10%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7、出瞳距离: ≥17mm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8、视场范围: ≥6.5°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9、视场范围: ≥110m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10、瞳距可调范围 : 58～72mm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11、调焦透镜:目镜调焦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12、视度可调范围: ≥-4 To +4 Diopter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13、调焦范围: ≥ -4 To +8 Diopter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14、光学组成: 物镜组成 2E1G(即2片1组)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15、目镜组成: 4E3G(即4片3组)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16、透镜类型: (球面)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17、光学材料:光学玻璃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各类警示牌</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rPr>
            </w:pPr>
            <w:r>
              <w:rPr>
                <w:rStyle w:val="1188"/>
                <w:rFonts w:hint="default"/>
                <w:color w:val="auto"/>
                <w:sz w:val="24"/>
                <w:szCs w:val="24"/>
                <w:lang w:bidi="ar"/>
              </w:rPr>
              <w:t xml:space="preserve">1、用于危险场所或环境警示。</w:t>
            </w:r>
            <w:r>
              <w:rPr>
                <w:rStyle w:val="1188"/>
                <w:rFonts w:hint="default"/>
                <w:color w:val="auto"/>
                <w:sz w:val="24"/>
                <w:szCs w:val="24"/>
                <w:lang w:bidi="ar"/>
              </w:rPr>
              <w:br/>
            </w:r>
            <w:r>
              <w:rPr>
                <w:rStyle w:val="1188"/>
                <w:rFonts w:hint="default"/>
                <w:color w:val="auto"/>
                <w:sz w:val="24"/>
                <w:szCs w:val="24"/>
                <w:lang w:bidi="ar"/>
              </w:rPr>
              <w:t xml:space="preserve">2、规格分三角形状，金属制成，边长≥400mm，表面红、黑、黄反光漆，分为有毒、易燃、泄漏、爆炸、危险等五种标志，图案为反光漆，与标志杆配套使用。</w:t>
            </w:r>
            <w:r>
              <w:rPr>
                <w:rStyle w:val="1188"/>
                <w:rFonts w:hint="default"/>
                <w:color w:val="auto"/>
                <w:sz w:val="24"/>
                <w:szCs w:val="24"/>
                <w:lang w:bidi="ar"/>
              </w:rPr>
              <w:br/>
            </w:r>
            <w:r>
              <w:rPr>
                <w:rStyle w:val="1189"/>
                <w:rFonts w:hint="default"/>
                <w:color w:val="auto"/>
                <w:sz w:val="24"/>
                <w:szCs w:val="24"/>
                <w:lang w:bidi="ar"/>
              </w:rPr>
              <w:t xml:space="preserve">3、质量：≤4500g（5种）。</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闪光警示灯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1、用于道路或特定场所警示。有三个调节档位，光线暗时自动闪光，有频闪型、光线暗时自动闪亮，频闪型透烟雾性强。</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70cm伸缩式警戒锥桶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rPr>
            </w:pPr>
            <w:r>
              <w:rPr>
                <w:rStyle w:val="1188"/>
                <w:rFonts w:hint="default"/>
                <w:color w:val="auto"/>
                <w:sz w:val="24"/>
                <w:szCs w:val="24"/>
                <w:lang w:bidi="ar"/>
              </w:rPr>
              <w:t xml:space="preserve">1、用于灾害事故现场。为红白反光膜，底座大小适当，便于立放。</w:t>
            </w:r>
            <w:r>
              <w:rPr>
                <w:rStyle w:val="1188"/>
                <w:rFonts w:hint="default"/>
                <w:color w:val="auto"/>
                <w:sz w:val="24"/>
                <w:szCs w:val="24"/>
                <w:lang w:bidi="ar"/>
              </w:rPr>
              <w:br/>
            </w:r>
            <w:r>
              <w:rPr>
                <w:rStyle w:val="1189"/>
                <w:rFonts w:hint="default"/>
                <w:color w:val="auto"/>
                <w:sz w:val="24"/>
                <w:szCs w:val="24"/>
                <w:lang w:bidi="ar"/>
              </w:rPr>
              <w:t xml:space="preserve">2、质量：≥1000g。</w:t>
            </w:r>
            <w:r>
              <w:rPr>
                <w:rStyle w:val="1188"/>
                <w:rFonts w:hint="default"/>
                <w:color w:val="auto"/>
                <w:sz w:val="24"/>
                <w:szCs w:val="24"/>
                <w:lang w:bidi="ar"/>
              </w:rPr>
              <w:br/>
            </w:r>
            <w:r>
              <w:rPr>
                <w:rStyle w:val="1189"/>
                <w:rFonts w:hint="default"/>
                <w:color w:val="auto"/>
                <w:sz w:val="24"/>
                <w:szCs w:val="24"/>
                <w:lang w:bidi="ar"/>
              </w:rPr>
              <w:t xml:space="preserve">3、高度≥70cm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隔离警示带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1、用于灾害或事故现场的警戒。为卷状，塑料加工而成。</w:t>
            </w:r>
            <w:r>
              <w:rPr>
                <w:rStyle w:val="1188"/>
                <w:rFonts w:hint="default"/>
                <w:sz w:val="24"/>
                <w:szCs w:val="24"/>
                <w:lang w:bidi="ar"/>
              </w:rPr>
              <w:br/>
            </w:r>
            <w:r>
              <w:rPr>
                <w:rStyle w:val="1188"/>
                <w:rFonts w:hint="default"/>
                <w:sz w:val="24"/>
                <w:szCs w:val="24"/>
                <w:lang w:bidi="ar"/>
              </w:rPr>
              <w:t xml:space="preserve">2、长度≥100m，宽≥4.5cm,双面反光，可反复使用。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手持扩音器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Style w:val="1188"/>
                <w:rFonts w:hint="default"/>
                <w:sz w:val="24"/>
                <w:szCs w:val="24"/>
                <w:lang w:bidi="ar"/>
              </w:rPr>
              <w:t xml:space="preserve">1.工作电压：12V</w:t>
            </w:r>
            <w:r>
              <w:rPr>
                <w:rStyle w:val="1188"/>
                <w:rFonts w:hint="default"/>
                <w:sz w:val="24"/>
                <w:szCs w:val="24"/>
                <w:lang w:bidi="ar"/>
              </w:rPr>
              <w:br/>
            </w:r>
            <w:r>
              <w:rPr>
                <w:rStyle w:val="1188"/>
                <w:rFonts w:hint="default"/>
                <w:sz w:val="24"/>
                <w:szCs w:val="24"/>
                <w:lang w:bidi="ar"/>
              </w:rPr>
              <w:t xml:space="preserve">2.充电时间：3-10小时</w:t>
            </w:r>
            <w:r>
              <w:rPr>
                <w:rStyle w:val="1188"/>
                <w:rFonts w:hint="default"/>
                <w:sz w:val="24"/>
                <w:szCs w:val="24"/>
                <w:lang w:bidi="ar"/>
              </w:rPr>
              <w:br/>
            </w:r>
            <w:r>
              <w:rPr>
                <w:rStyle w:val="1188"/>
                <w:rFonts w:hint="default"/>
                <w:sz w:val="24"/>
                <w:szCs w:val="24"/>
                <w:lang w:bidi="ar"/>
              </w:rPr>
              <w:t xml:space="preserve">3.充电锂电池：DC 12V/2600mA</w:t>
            </w:r>
            <w:r>
              <w:rPr>
                <w:rStyle w:val="1188"/>
                <w:rFonts w:hint="default"/>
                <w:sz w:val="24"/>
                <w:szCs w:val="24"/>
                <w:lang w:bidi="ar"/>
              </w:rPr>
              <w:br/>
            </w:r>
            <w:r>
              <w:rPr>
                <w:rStyle w:val="1188"/>
                <w:rFonts w:hint="default"/>
                <w:sz w:val="24"/>
                <w:szCs w:val="24"/>
                <w:lang w:bidi="ar"/>
              </w:rPr>
              <w:t xml:space="preserve">4.频率响应：500Hz-20kHz</w:t>
            </w:r>
            <w:r>
              <w:rPr>
                <w:rStyle w:val="1188"/>
                <w:rFonts w:hint="default"/>
                <w:sz w:val="24"/>
                <w:szCs w:val="24"/>
                <w:lang w:bidi="ar"/>
              </w:rPr>
              <w:br/>
            </w:r>
            <w:r>
              <w:rPr>
                <w:rStyle w:val="1188"/>
                <w:rFonts w:hint="default"/>
                <w:sz w:val="24"/>
                <w:szCs w:val="24"/>
                <w:lang w:bidi="ar"/>
              </w:rPr>
              <w:t xml:space="preserve">5.最大输出功率：50W</w:t>
            </w:r>
            <w:r>
              <w:rPr>
                <w:rStyle w:val="1188"/>
                <w:rFonts w:hint="default"/>
                <w:sz w:val="24"/>
                <w:szCs w:val="24"/>
                <w:lang w:bidi="ar"/>
              </w:rPr>
              <w:br/>
            </w:r>
            <w:r>
              <w:rPr>
                <w:rStyle w:val="1188"/>
                <w:rFonts w:hint="default"/>
                <w:sz w:val="24"/>
                <w:szCs w:val="24"/>
                <w:lang w:bidi="ar"/>
              </w:rPr>
              <w:t xml:space="preserve">6.具有喊话/USB音乐播放/警报（119防空预警声）功能</w:t>
            </w:r>
            <w:r>
              <w:rPr>
                <w:rStyle w:val="1188"/>
                <w:rFonts w:hint="default"/>
                <w:sz w:val="24"/>
                <w:szCs w:val="24"/>
                <w:lang w:bidi="ar"/>
              </w:rPr>
              <w:br/>
            </w:r>
            <w:r>
              <w:rPr>
                <w:rStyle w:val="1188"/>
                <w:rFonts w:hint="default"/>
                <w:sz w:val="24"/>
                <w:szCs w:val="24"/>
                <w:lang w:bidi="ar"/>
              </w:rPr>
              <w:t xml:space="preserve">7.传播距离：顺风 800M（具体适环境而定）</w:t>
            </w:r>
            <w:r>
              <w:rPr>
                <w:rStyle w:val="1188"/>
                <w:rFonts w:hint="default"/>
                <w:sz w:val="24"/>
                <w:szCs w:val="24"/>
                <w:lang w:bidi="ar"/>
              </w:rPr>
              <w:br/>
            </w:r>
            <w:r>
              <w:rPr>
                <w:rStyle w:val="1189"/>
                <w:rFonts w:hint="default"/>
                <w:color w:val="auto"/>
                <w:sz w:val="24"/>
                <w:szCs w:val="24"/>
                <w:lang w:bidi="ar"/>
              </w:rPr>
              <w:t xml:space="preserve">8.电池使用时间：可连续使用6-8小时（喊话）</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手提式强光照明灯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1、结构组成：方位灯、充电口、灯具、提手、液晶电量显示、按键开关、红蓝警示模块组成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2、主要应用场景：适合于消防行业日常灭火、救援强光手提照明及指挥现场工作照明。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3、符合GB30734-2014《消防员照明灯具》标准要求。                                                                                     4、提供防爆合格证，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5、灯具的供电电源应采用可充电电池；灯具的充电器应采用插头与交直流转换器分离式结构，灯具或充电器应设置充点电保护电路；灯具的防爆性能应符合GB3836.1-2021的要求。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6、灯具应具备超强光、强光、工作光切换，具备闪烁方式的低电压警告功能。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7、外观应清洁、光滑、整齐、无污损、腐蚀、划伤、毛刺、裂痕、变形现象。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8、质量≦1.5kg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▲9、照度：5米处超强光≧5000lx，强光≧4000lx；工作光≧1800lx.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10、连续稳定工作时间：超强光≧300min，弱光≧600min。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11、低电压报警时间：≤20s。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12、低电压状态下连续工作时间：超强光≧15min，强光≧30min。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13、绝缘性能：在常温环境下，灯具带电端子与外壳间的绝缘电阻应不小于20MΩ，交变湿热试验后应不小于5MΩ。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14、耐电压性能：灯具应耐受频率为50Hz±0.5Hz，交流电压为500V±50V，历时60s±5s的耐电压试验，试验过程中，灯具不应出现表面飞弧和击穿现象、试验结束后，灯具应能正常进行开、关和强、弱光切换。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15、开关经50000次可靠性试验后应保持完好，且灯具应能正常点亮并实现强、弱光切换。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16、外壳防护等级为IP66/IP68，潜水深度不小于1.5m，持续时间1h。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灯具标志：灯具明显位置处应有清晰且与灯具为一体的标志，包括以下内容：a）产品名称；b）产品型号：c）防护等级（等级为IP66/IP68时，需标注潜水深度和持续时间）；d）防爆标志；e）生产日期；f）产品编号；g）生产厂名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18、充电器的明显位置处应有清晰、耐久的标志，包括以下内容：a）产品名称；b）产品型号：c）适用灯具型号；d）生产日期；e）产品编号；f）生产厂名称。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19、额定电压：≥DC7.4V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20、额定容量≥5Ah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21、光源功率：2*12W（聚光），6W（泛光）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22、充电时间：≤3h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23、外形尺寸：≤230*80*120.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24、超强光≥4h，强光≥8h，工作光≥100h,侧面光≥10h.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25、灯具需采用双光型光源配置，需同时具有暖白光源及冷白光源可通过开关控制实现冷暖色光线的转换。                                                                              ▲26、灯具需具有聚光（灯头）、泛光（灯体两侧）、红蓝警示（灯体两侧），侧光灯可展开≥90度，水平旋转≥180度等多种工作模式适用于救援作业照明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27、灯具可满足手提、肩挎.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28、灯具具有LCD液晶显示装置，可直观查看电池电量、剩余工作时间及灯具工作状态（强光、工作光、节能光、爆闪、SOS）。同时显示屏设置后可以显示所属单位、人员信息。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29、灯具需采用快充设计，整体充电时间不大于3h。                                                                                                                          30、防爆要求：防爆等级达到Ex db ia mb IIC T6 Gb级别。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 、防护等级：≥IP66/68(达到水下1.5米1h)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32 、提供国家强制性产品认证3C证书                            </w:t>
            </w:r>
            <w:r>
              <w:rPr>
                <w:rFonts w:hint="eastAsia" w:ascii="宋体" w:hAnsi="宋体" w:eastAsia="宋体" w:cs="宋体"/>
                <w:color w:val="000000"/>
                <w:sz w:val="24"/>
                <w:szCs w:val="24"/>
                <w:lang w:bidi="ar"/>
              </w:rPr>
              <w:t xml:space="preserve">                                                                                                                                                                                                                                                                </w:t>
            </w:r>
            <w:r>
              <w:rPr>
                <w:rFonts w:hint="eastAsia" w:ascii="宋体" w:hAnsi="宋体" w:eastAsia="宋体" w:cs="宋体"/>
                <w:color w:val="000000"/>
                <w:sz w:val="24"/>
                <w:szCs w:val="24"/>
                <w:lang w:bidi="ar"/>
              </w:rPr>
              <w:t xml:space="preserve">                                                                                                                                                                                                                33、该灯具底部配备标准三脚架螺丝接口，并随附可拆卸三脚架组件及磁吸式安装配件，支持多种固定方式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1、符合GB26783-2011《消防救生照明线》要求。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2、照明线采用分体式结构设计，线体材质柔软，具有防水、耐拉、抗折、可反复360°弯曲，随意打结、剪接，其折角小于5°，不会影响发光性能。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▲3、发光亮度：≥30cd/㎡、闪烁频率：1Hz-2Hz、绝缘电阻：≥500兆欧、带对讲机中继功能。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4、常亮工作时间：≥8h。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5、闪亮工作时间：≥16h。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6、表面最高温度：≤26℃。</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7、单条线体拉力：≥300N。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双光无人机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1、裸机重量：≤1300克，最大起飞重量:≥1400克，尺寸展开：≤长 320毫米，宽390 毫米，高155毫米，轴距对角线：≤450 毫米，最大上升速度≥6米/秒，最大下降速度≥6米/秒，最大水平飞行速度(海平面附近无风)21 米/秒，最大抗风速度≥12米/秒，最大起飞海拔高度≥6000 米；</w:t>
            </w:r>
            <w:r>
              <w:rPr>
                <w:rStyle w:val="1188"/>
                <w:rFonts w:hint="default"/>
                <w:sz w:val="24"/>
                <w:szCs w:val="24"/>
                <w:lang w:bidi="ar"/>
              </w:rPr>
              <w:br/>
            </w:r>
            <w:r>
              <w:rPr>
                <w:rStyle w:val="1188"/>
                <w:rFonts w:hint="default"/>
                <w:sz w:val="24"/>
                <w:szCs w:val="24"/>
                <w:lang w:bidi="ar"/>
              </w:rPr>
              <w:t xml:space="preserve">2、最长飞行时间≥45分钟，最大续航里程≥30公里，支持GPS+Galileo +BeiDou+GLONASS，支持单北斗定位模式，垂直：±0.1米(视觉定位正常工作时)；±0.5米(GNSS正常工作时)；±0.1米(RTK正常工作时),水平：±0.3米(视觉定位正常工作时)；±0.5米(高精度定位系统正常工作时)；±0.1米(RTK正常工作时)；</w:t>
            </w:r>
            <w:r>
              <w:rPr>
                <w:rStyle w:val="1188"/>
                <w:rFonts w:hint="default"/>
                <w:sz w:val="24"/>
                <w:szCs w:val="24"/>
                <w:lang w:bidi="ar"/>
              </w:rPr>
              <w:br/>
            </w:r>
            <w:r>
              <w:rPr>
                <w:rStyle w:val="1188"/>
                <w:rFonts w:hint="default"/>
                <w:sz w:val="24"/>
                <w:szCs w:val="24"/>
                <w:lang w:bidi="ar"/>
              </w:rPr>
              <w:t xml:space="preserve">3、具有长焦可见光、中长焦可见光、广角可见光和红外热成像相机，具备广角相机，有效像素不低于4800万，具备中长焦相机，相机CMOS不低于1/1.3英寸，像素数不低于4800万，具备长焦相机，相机CMOS不低于1/1.5英寸，变焦倍数不低于112倍；</w:t>
            </w:r>
            <w:r>
              <w:rPr>
                <w:rStyle w:val="1188"/>
                <w:rFonts w:hint="default"/>
                <w:sz w:val="24"/>
                <w:szCs w:val="24"/>
                <w:lang w:bidi="ar"/>
              </w:rPr>
              <w:br/>
            </w:r>
            <w:r>
              <w:rPr>
                <w:rStyle w:val="1188"/>
                <w:rFonts w:hint="default"/>
                <w:sz w:val="24"/>
                <w:szCs w:val="24"/>
                <w:lang w:bidi="ar"/>
              </w:rPr>
              <w:t xml:space="preserve">4、红外传感器分辨率≥640*512，超分模式≥1280*1024，可见光相机支持4k30p视频录制，激光测距模块最远正入射量程≥1800m，支持近红外补光灯，天线≥8，采用2发4收天线方案；</w:t>
            </w:r>
            <w:r>
              <w:rPr>
                <w:rStyle w:val="1188"/>
                <w:rFonts w:hint="default"/>
                <w:sz w:val="24"/>
                <w:szCs w:val="24"/>
                <w:lang w:bidi="ar"/>
              </w:rPr>
              <w:br/>
            </w:r>
            <w:r>
              <w:rPr>
                <w:rStyle w:val="1188"/>
                <w:rFonts w:hint="default"/>
                <w:sz w:val="24"/>
                <w:szCs w:val="24"/>
                <w:lang w:bidi="ar"/>
              </w:rPr>
              <w:t xml:space="preserve">5、支持2.4G、5.8G图传，地面站显示器应采用触摸屏，屏幕显示分辨率≥1920*1080p，要控制支持4G增强图传模块，支持eSIM卡，重量小于1.2kg，支持HDMI，SD，Type-C，PD，USB-A，支持IP54防护等级；</w:t>
            </w:r>
            <w:r>
              <w:rPr>
                <w:rStyle w:val="1188"/>
                <w:rFonts w:hint="default"/>
                <w:sz w:val="24"/>
                <w:szCs w:val="24"/>
                <w:lang w:bidi="ar"/>
              </w:rPr>
              <w:br/>
            </w:r>
            <w:r>
              <w:rPr>
                <w:rStyle w:val="1188"/>
                <w:rFonts w:hint="default"/>
                <w:sz w:val="24"/>
                <w:szCs w:val="24"/>
                <w:lang w:bidi="ar"/>
              </w:rPr>
              <w:t xml:space="preserve">6、电池容量≥5000毫安时，电池共须4块，含充电器1套；</w:t>
            </w:r>
            <w:r>
              <w:rPr>
                <w:rStyle w:val="1188"/>
                <w:rFonts w:hint="default"/>
                <w:sz w:val="24"/>
                <w:szCs w:val="24"/>
                <w:lang w:bidi="ar"/>
              </w:rPr>
              <w:br/>
            </w:r>
            <w:r>
              <w:rPr>
                <w:rStyle w:val="1188"/>
                <w:rFonts w:hint="default"/>
                <w:sz w:val="24"/>
                <w:szCs w:val="24"/>
                <w:lang w:bidi="ar"/>
              </w:rPr>
              <w:t xml:space="preserve">7、AS1喊话器尺寸≤长75毫米，宽75毫米，高60毫米，最大功率≥15 瓦；</w:t>
            </w:r>
            <w:r>
              <w:rPr>
                <w:rStyle w:val="1188"/>
                <w:rFonts w:hint="default"/>
                <w:sz w:val="24"/>
                <w:szCs w:val="24"/>
                <w:lang w:bidi="ar"/>
              </w:rPr>
              <w:br/>
            </w:r>
            <w:r>
              <w:rPr>
                <w:rStyle w:val="1188"/>
                <w:rFonts w:hint="default"/>
                <w:sz w:val="24"/>
                <w:szCs w:val="24"/>
                <w:lang w:bidi="ar"/>
              </w:rPr>
              <w:t xml:space="preserve">8、AL1探照灯有效照明角度≥20°(10% 相对照度)，有效照明面积≥2000平方米@100米(10%相对照度，广视野模式)；</w:t>
            </w:r>
            <w:r>
              <w:rPr>
                <w:rStyle w:val="1188"/>
                <w:rFonts w:hint="default"/>
                <w:sz w:val="24"/>
                <w:szCs w:val="24"/>
                <w:lang w:bidi="ar"/>
              </w:rPr>
              <w:br/>
            </w:r>
            <w:r>
              <w:rPr>
                <w:rStyle w:val="1188"/>
                <w:rFonts w:hint="default"/>
                <w:sz w:val="24"/>
                <w:szCs w:val="24"/>
                <w:lang w:bidi="ar"/>
              </w:rPr>
              <w:t xml:space="preserve">9、含1年100万第三者责任险。</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5G球机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lang w:bidi="ar"/>
              </w:rPr>
              <w:t xml:space="preserve">1、结构组成：布控球主机、防护箱、三脚支架、蓝牙耳机、充电线、球机安全绳、有线手咪和车载充电器。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2、主要应用场景：用于消防员灭火救援作业现场图像实施传输。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3、产品要求具备双电源接口，报警输入和报警输出接口，双SD卡，4G+5G卡位，双扬声器、具备接口及复位按钮。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▲4、支持近距离红外补光，夜视距离≥100m。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5、支持内置拾音器，支持通过语音智能控制样机向左转、向右转、向上转、向下转、停止转动、变倍、热点/无线，功能。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6、设备外壳防护≥IP66，带包装跌落高度1.5m跌落后，设备能正常工作。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7、要求支持视频双码流，双码流规格均支持≥1080P/720P，帧率≥25帧/秒可调。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8、支持图片抓拍，抓拍图片支持保存到本地或上传到服务器，且可在本地检索回放，图片有效像素≥200万。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9、支持在输出的图像中叠加中文文字和符号信息，信息至少包括：时间、日期等。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10、网络通信功能：支持5G、4G通信。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11、设备应内置北斗定位模块，内置定位天线，仅北斗定位模式，支持将定位数据上传至服务器，同</w:t>
            </w:r>
            <w:r>
              <w:rPr>
                <w:rFonts w:hint="eastAsia" w:ascii="宋体" w:hAnsi="宋体" w:eastAsia="宋体" w:cs="宋体"/>
                <w:color w:val="000000"/>
                <w:sz w:val="24"/>
                <w:szCs w:val="24"/>
                <w:highlight w:val="none"/>
                <w:lang w:bidi="ar"/>
              </w:rPr>
              <w:t xml:space="preserve">时支持可离线补传定位数据。</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★12、可接入部局及江苏消防总队图像综合管理平台</w:t>
            </w:r>
            <w:r>
              <w:rPr>
                <w:rFonts w:hint="eastAsia" w:ascii="宋体" w:hAnsi="宋体" w:eastAsia="宋体" w:cs="宋体"/>
                <w:b/>
                <w:bCs/>
                <w:color w:val="000000"/>
                <w:sz w:val="24"/>
                <w:szCs w:val="24"/>
                <w:highlight w:val="none"/>
                <w:lang w:bidi="ar"/>
              </w:rPr>
              <w:t xml:space="preserve">（投标时需提供承诺函并加盖公章）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5G单兵图传传输设备</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1、结构组成：主机、电池、背夹、数据线、安全箱。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2、主要应用场景：用于消防员灭火救援作业中移动过程中的视频传输。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3、支持摄像头采集、双MIC输入、双TF卡存储、双SIM卡传输。</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▲4、视频压缩支持H.264或H.265，摄像头分辨率要求支持1080P、720、640P，摄像头帧率可调。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5、支持接入中国移动、中国电信、中国联通；4G、5G网络。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6、设备应内置北斗定位模块，内置定位天线，仅北斗定位模式，支持将定位数据上传至服务器，同时支持可离线补传定位数据。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7、设备工作温度-20℃至60℃。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8、持续工作时间不低于6h。</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★9、可接入部局及江苏消防总队图像综合管理平台</w:t>
            </w:r>
            <w:r>
              <w:rPr>
                <w:rFonts w:hint="eastAsia" w:ascii="宋体" w:hAnsi="宋体" w:eastAsia="宋体" w:cs="宋体"/>
                <w:b/>
                <w:bCs/>
                <w:color w:val="000000"/>
                <w:sz w:val="24"/>
                <w:szCs w:val="24"/>
                <w:highlight w:val="none"/>
                <w:lang w:bidi="ar"/>
              </w:rPr>
              <w:t xml:space="preserve">（投标时需提供承诺函并加盖公章）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骨传导通话装置</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与手持电台连接使用</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1、采用骨传导技术体制，通过感知震动拾取话音，可安装在消防头盔内部。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2、应具备高噪声环境下的噪声抑制功能，在90dB噪声环境下可辨识通话。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3、PTT按钮单元集成度高：具有肩咪功能、近距离扩音功能、数字声控功能、辅助照明功能。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4、肩咪功能：不佩戴面罩时可方便切换为肩咪使用；使用双麦克风数字降噪技术，消除环境噪音。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5、近距离扩音功能： 适用于使用呼吸面罩时，与人面对面直接交流，音量大小可拨档键调节，确保声音宏亮清晰。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6、数字声控功能：该设备作为PTT按钮使用或肩咪使用时，均可以选择手动和数字声控两种模式激活对讲机，选择声控模式时，只识别人类声带发出的声音、无需按压PTT按钮，直接讲话即可以激活对讲机。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7、辅助照明功能：具有高亮LED照明灯，可在黑暗环境下提供辅助照明。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8、PTT按钮单元具有兼容电路，在不拆卸PTT情况下，可通过更换不同接头线来适配不同对讲机。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 PTT按钮单元具备360度旋转式背夹，内部卡口处有防滑、防刮伤橡胶垫；背夹设有D型挂环，方便固定，避免使用时脱落。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10、耳机与PTT按钮单元采用音频防水连接器，支持快速盲插，支持危险情况线缆受力自动脱落功能。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11、防爆等级不低于 Ex ia IIC T3 Ga。</w:t>
            </w:r>
            <w:r/>
          </w:p>
        </w:tc>
      </w:tr>
      <w:tr>
        <w:trPr>
          <w:jc w:val="center"/>
          <w:trHeight w:val="799"/>
        </w:trPr>
        <w:tc>
          <w:tcPr>
            <w:shd w:val="clear" w:color="auto" w:fill="auto"/>
            <w:tcBorders>
              <w:top w:val="single" w:color="000000" w:sz="4" w:space="0"/>
              <w:left w:val="single" w:color="000000" w:sz="4" w:space="0"/>
              <w:bottom w:val="single" w:color="auto"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51</w:t>
            </w:r>
            <w:r/>
          </w:p>
        </w:tc>
        <w:tc>
          <w:tcPr>
            <w:shd w:val="clear" w:color="auto" w:fill="auto"/>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350M手持电台（配加密卡）</w:t>
            </w:r>
            <w:r/>
          </w:p>
        </w:tc>
        <w:tc>
          <w:tcPr>
            <w:shd w:val="clear" w:color="auto" w:fill="auto"/>
            <w:tcBorders>
              <w:top w:val="single" w:color="000000" w:sz="4" w:space="0"/>
              <w:left w:val="single" w:color="000000" w:sz="4" w:space="0"/>
              <w:bottom w:val="single" w:color="auto"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通信距离 ≥1000m,具 有一定的防水、防爆、防尘。</w:t>
            </w:r>
            <w:r/>
          </w:p>
        </w:tc>
        <w:tc>
          <w:tcPr>
            <w:shd w:val="clear" w:color="auto" w:fill="auto"/>
            <w:tcBorders>
              <w:top w:val="single" w:color="000000"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auto"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auto"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1、符合《公安部警用数字集群（PDT）通信系统射频设备技术要求和测试方法》要求。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2、符合中华人民共和国工业和信息化部颁发的《无线电发射设备型号核准证》。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3、达到电气产品防爆认证达到“Ex ib IIB T4 Gb（气体防爆）”和 “Ex ib D21 T130”要求。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4、具备良好的防水防尘能力，防尘防水等级达到IP68。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5、支持不少于四种工作模式，包括数字常规、模拟常规、模拟集群、PDT数字集群，支持手动切换模式，切换过程中无需重启对讲机。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6、支持双声码器：AMBE++和NVOC，本机切换声码器过程中无需重启或升级对讲机。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7、屏幕尺寸不小于1.8英寸彩色显示屏和全数字键盘。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8、支持内置北斗定位模式。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9、支持单频中继功能。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10、支持中文短信收发功能，短信息文本内容支持不少于300个汉字，具备短消息单发、群发功能。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11、支持降噪功能，噪声抑制能力≥30dB。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12、工作频段满足350-400MHz，电池容量≥2800mAh。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13、配备加密卡一张。</w:t>
            </w:r>
            <w:r/>
          </w:p>
        </w:tc>
      </w:tr>
      <w:tr>
        <w:trPr>
          <w:jc w:val="center"/>
          <w:trHeight w:val="799"/>
        </w:trPr>
        <w:tc>
          <w:tcPr>
            <w:shd w:val="clear" w:color="auto" w:fill="auto"/>
            <w:tcBorders>
              <w:top w:val="single" w:color="auto" w:sz="4" w:space="0"/>
              <w:left w:val="single" w:color="auto" w:sz="4" w:space="0"/>
              <w:bottom w:val="single" w:color="auto"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52</w:t>
            </w:r>
            <w:r/>
          </w:p>
        </w:tc>
        <w:tc>
          <w:tcPr>
            <w:shd w:val="clear" w:color="auto" w:fill="auto"/>
            <w:tcBorders>
              <w:top w:val="single" w:color="auto" w:sz="4" w:space="0"/>
              <w:left w:val="single" w:color="000000" w:sz="4" w:space="0"/>
              <w:bottom w:val="single" w:color="auto"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电台充电器</w:t>
            </w:r>
            <w:r/>
          </w:p>
        </w:tc>
        <w:tc>
          <w:tcPr>
            <w:shd w:val="clear" w:color="auto" w:fill="auto"/>
            <w:tcBorders>
              <w:top w:val="single" w:color="auto" w:sz="4" w:space="0"/>
              <w:left w:val="single" w:color="000000" w:sz="4" w:space="0"/>
              <w:bottom w:val="single" w:color="auto"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与手持电台匹配</w:t>
            </w:r>
            <w:r/>
          </w:p>
        </w:tc>
        <w:tc>
          <w:tcPr>
            <w:shd w:val="clear" w:color="auto" w:fill="auto"/>
            <w:tcBorders>
              <w:top w:val="single" w:color="auto" w:sz="4" w:space="0"/>
              <w:left w:val="single" w:color="000000" w:sz="4" w:space="0"/>
              <w:bottom w:val="single" w:color="auto"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组</w:t>
            </w:r>
            <w:r/>
          </w:p>
        </w:tc>
        <w:tc>
          <w:tcPr>
            <w:shd w:val="clear" w:color="auto" w:fill="auto"/>
            <w:tcBorders>
              <w:top w:val="single" w:color="auto" w:sz="4" w:space="0"/>
              <w:left w:val="single" w:color="000000" w:sz="4" w:space="0"/>
              <w:bottom w:val="single" w:color="auto"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1、满足同时对六台对讲机或六块电池进行快速充电；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2、可自动识别电池类型，选择相应的充电模式；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3、带主机充电和单充电池都可以兼容配薄电和厚电；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4、充电电流：≥1000ma；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5、与中队现有电台匹配。</w:t>
            </w:r>
            <w:r/>
          </w:p>
        </w:tc>
      </w:tr>
      <w:tr>
        <w:trPr>
          <w:jc w:val="center"/>
          <w:trHeight w:val="799"/>
        </w:trPr>
        <w:tc>
          <w:tcPr>
            <w:shd w:val="clear" w:color="auto" w:fill="auto"/>
            <w:tcBorders>
              <w:top w:val="single" w:color="auto"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53</w:t>
            </w:r>
            <w:r/>
          </w:p>
        </w:tc>
        <w:tc>
          <w:tcPr>
            <w:shd w:val="clear" w:color="auto" w:fill="auto"/>
            <w:tcBorders>
              <w:top w:val="single" w:color="auto"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防水运动相机</w:t>
            </w:r>
            <w:r/>
          </w:p>
        </w:tc>
        <w:tc>
          <w:tcPr>
            <w:shd w:val="clear" w:color="auto" w:fill="auto"/>
            <w:tcBorders>
              <w:top w:val="single" w:color="auto"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大翼</w:t>
            </w:r>
            <w:r/>
          </w:p>
        </w:tc>
        <w:tc>
          <w:tcPr>
            <w:shd w:val="clear" w:color="auto" w:fill="auto"/>
            <w:tcBorders>
              <w:top w:val="single" w:color="auto"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auto"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1、裸机 20 米，加防水壳 60 米                                                        2、OLED 可触控彩屏1.46 英寸 331 ppi 342 × 342</w:t>
            </w:r>
            <w:r>
              <w:rPr>
                <w:rStyle w:val="1188"/>
                <w:rFonts w:hint="default"/>
                <w:sz w:val="24"/>
                <w:szCs w:val="24"/>
                <w:lang w:bidi="ar"/>
              </w:rPr>
              <w:br/>
            </w:r>
            <w:r>
              <w:rPr>
                <w:rStyle w:val="1188"/>
                <w:rFonts w:hint="default"/>
                <w:sz w:val="24"/>
                <w:szCs w:val="24"/>
                <w:lang w:bidi="ar"/>
              </w:rPr>
              <w:t xml:space="preserve">800 cd/㎡ 最大亮度（典型）                                                          3、影像传感器</w:t>
            </w:r>
            <w:r>
              <w:rPr>
                <w:rStyle w:val="1188"/>
                <w:rFonts w:hint="default"/>
                <w:sz w:val="24"/>
                <w:szCs w:val="24"/>
                <w:lang w:bidi="ar"/>
              </w:rPr>
              <w:br/>
            </w:r>
            <w:r>
              <w:rPr>
                <w:rStyle w:val="1188"/>
                <w:rFonts w:hint="default"/>
                <w:sz w:val="24"/>
                <w:szCs w:val="24"/>
                <w:lang w:bidi="ar"/>
              </w:rPr>
              <w:t xml:space="preserve">1/1.1 英寸 CMOS                                                                   4、镜头视角：155°光圈：f/2.0~f/4.0</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执法记录仪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1、相机像素：≥3000万像素；显示屏幕：≥2.0英寸高清彩色显示屏。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2、放大缩小：≥128倍数字变倍；摄中拍照：录像过程中，将重要事件画面进行截取。</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3、具有强光照明以及SOS求救功能。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ff0000"/>
                <w:sz w:val="24"/>
                <w:szCs w:val="24"/>
              </w:rPr>
            </w:pPr>
            <w:r>
              <w:rPr>
                <w:rFonts w:hint="eastAsia" w:ascii="宋体" w:hAnsi="宋体" w:eastAsia="宋体" w:cs="宋体"/>
                <w:color w:val="auto"/>
                <w:sz w:val="24"/>
                <w:szCs w:val="24"/>
                <w:lang w:bidi="ar"/>
              </w:rPr>
              <w:t xml:space="preserve">指挥平板设备</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1、屏幕尺寸：13-13.9英寸，分辨率≥2880*1920；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2、运行内存≥16GB，容量≥1TB；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3、可插卡，支持全网通。</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3、装配火场指挥系统。</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户外电源</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1、功率≥2800W    2、容量≥6000.0Wh  3、重量小于60KG。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通信员马甲</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1、材质：荧光黄涤纶网眼布，具有夜间反光条。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2、整件包边采用高亮反光材料包边。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3、胸前可放对讲机和执法记录仪。</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三轴稳定器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大翼</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1、三轴稳定器，简易调平，专业防抖云台；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2、安装孔RSS相机快门控制接口；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3、电池：锂离子电池容量：≥2400毫安时；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4、负载重量≥1.5千克；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5、最大可控转速平移方向：≥320°/s，俯仰方向：≥320°/s，横滚方向：≥320°/s，机械限位范围平移轴：无限位横滚轴：-100°至240°，俯仰轴：-120°至 200°；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6、机械与电子特性工作频率2.4GHz至2.5GHz蓝牙发射功率&lt;4dBm工作环境温度-10℃至45℃；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7、重量云台：竖拍模式净重≤900克，横拍模式净重≤900克(均为含快装板、不含脚架的重量)；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8、手柄延长脚架：≤200克；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9、尺寸工作状态约：长200毫米，宽180毫米,高300毫米。</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DV摄像机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1、可触控彩屏≥1.3 英寸，最大亮度                            ≥800 cd/㎡                                 2、影像传感器≥1/1.1 英寸 CMOS                                                                   3、镜头视角：≥150°光圈：f/2.0~f/4.0</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通讯背包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1、由三个部分组成，肩带，挂带，无线电斜挎包。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2、肩带总长≥1.5米，全阻燃织带添加有反光条，挂点≥10个。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3、配有可调节位置的减震防护垫，防护垫具有固定防滑的作用，并可自由拆卸。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4、无线电斜挎包材料采用芳纶阻燃材质，半定型工艺，软而不榻，底部配有排水孔，透气排水，方便去除底部灰尘，挂点≥7个。</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电池保温箱</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Style w:val="1188"/>
                <w:rFonts w:hint="default"/>
                <w:sz w:val="24"/>
                <w:szCs w:val="24"/>
                <w:highlight w:val="none"/>
                <w:lang w:bidi="ar"/>
              </w:rPr>
            </w:pPr>
            <w:r>
              <w:rPr>
                <w:rStyle w:val="1188"/>
                <w:rFonts w:hint="default"/>
                <w:sz w:val="24"/>
                <w:szCs w:val="24"/>
                <w:highlight w:val="none"/>
                <w:lang w:bidi="ar"/>
              </w:rPr>
              <w:t xml:space="preserve">1、 腐蚀性气体自动排放：箱体经过特殊设计，腐蚀性气体超过预设浓度，则自动排出。</w:t>
            </w:r>
            <w:r>
              <w:rPr>
                <w:rStyle w:val="1188"/>
                <w:rFonts w:hint="default"/>
                <w:sz w:val="24"/>
                <w:szCs w:val="24"/>
                <w:highlight w:val="none"/>
                <w:lang w:bidi="ar"/>
              </w:rPr>
              <w:br/>
            </w:r>
            <w:r>
              <w:rPr>
                <w:rStyle w:val="1188"/>
                <w:rFonts w:hint="default"/>
                <w:sz w:val="24"/>
                <w:szCs w:val="24"/>
                <w:highlight w:val="none"/>
                <w:lang w:bidi="ar"/>
              </w:rPr>
              <w:t xml:space="preserve">2、 防火性能：蓄电池保温箱箱体使用不燃或难燃等级材料。</w:t>
            </w:r>
            <w:r>
              <w:rPr>
                <w:rStyle w:val="1188"/>
                <w:rFonts w:hint="default"/>
                <w:sz w:val="24"/>
                <w:szCs w:val="24"/>
                <w:highlight w:val="none"/>
                <w:lang w:bidi="ar"/>
              </w:rPr>
              <w:br/>
            </w:r>
            <w:r>
              <w:rPr>
                <w:rStyle w:val="1188"/>
                <w:rFonts w:hint="default"/>
                <w:sz w:val="24"/>
                <w:szCs w:val="24"/>
                <w:highlight w:val="none"/>
                <w:lang w:bidi="ar"/>
              </w:rPr>
              <w:t xml:space="preserve">3、防雷性能：集成防浪涌保护电路。</w:t>
            </w:r>
            <w:r>
              <w:rPr>
                <w:rStyle w:val="1188"/>
                <w:rFonts w:hint="default"/>
                <w:sz w:val="24"/>
                <w:szCs w:val="24"/>
                <w:highlight w:val="none"/>
                <w:lang w:bidi="ar"/>
              </w:rPr>
              <w:br/>
            </w:r>
            <w:r>
              <w:rPr>
                <w:rStyle w:val="1188"/>
                <w:rFonts w:hint="default"/>
                <w:sz w:val="24"/>
                <w:szCs w:val="24"/>
                <w:highlight w:val="none"/>
                <w:lang w:bidi="ar"/>
              </w:rPr>
              <w:t xml:space="preserve">4、 防护等级：防护等级满足IP55。</w:t>
            </w:r>
            <w:r>
              <w:rPr>
                <w:rStyle w:val="1188"/>
                <w:rFonts w:hint="default"/>
                <w:sz w:val="24"/>
                <w:szCs w:val="24"/>
                <w:highlight w:val="none"/>
                <w:lang w:bidi="ar"/>
              </w:rPr>
              <w:br/>
            </w:r>
            <w:r>
              <w:rPr>
                <w:rStyle w:val="1188"/>
                <w:rFonts w:hint="default"/>
                <w:sz w:val="24"/>
                <w:szCs w:val="24"/>
                <w:highlight w:val="none"/>
                <w:lang w:bidi="ar"/>
              </w:rPr>
              <w:t xml:space="preserve">5、易安装、易维护：HIW-E5蓄电池保温箱可安装于地面或铁塔架，不用建专用机房或深挖深埋;并且，可在蓄电池正常供电的条件下对蓄电池进行维护。</w:t>
            </w:r>
            <w:r/>
          </w:p>
          <w:p>
            <w:pPr>
              <w:jc w:val="left"/>
              <w:widowControl/>
              <w:rPr>
                <w:rFonts w:ascii="宋体" w:hAnsi="宋体" w:eastAsia="宋体" w:cs="宋体"/>
                <w:color w:val="000000"/>
                <w:sz w:val="24"/>
                <w:szCs w:val="24"/>
                <w:highlight w:val="none"/>
              </w:rPr>
            </w:pPr>
            <w:r>
              <w:rPr>
                <w:rStyle w:val="1188"/>
                <w:rFonts w:hint="default"/>
                <w:sz w:val="24"/>
                <w:szCs w:val="24"/>
                <w:highlight w:val="none"/>
                <w:lang w:bidi="ar"/>
              </w:rPr>
              <w:t xml:space="preserve">6、双重保温性能：物理保温和智能温控系统相结合，确保蓄电池在适宜的温度范围内运行。</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5G全网通对讲机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1、公网对讲平台：电信、联通、移动均通用。       2、电池≥5200mah                             3、音频功率≥2W                             4、待机时间约80小时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消防便携指挥箱</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一、灭火救援指挥箱针对灭火救援指挥特点，将火灾现场需要的灭火救援预案、各类火灾扑救对策等辅助决策信息集成于指挥箱内的笔记本电脑中，按照作战指挥流程，提供信息关联查询、语音提示、作战部署标绘等功能，面向基层消防指挥员，致力于现场指挥的实时性、针对性、有效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二、整套设备包括：笔记本电脑、红外测温仪、多功能风速仪、GPS模块、加密存储器、立体声音箱、无线路由器、车载充电器、移动电源、操作台、防水袋、整套外包装箱。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三、笔记本电脑、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1、笔记本电脑采用INTEL I5双核处理器(主频达到2.5GHZ，二级缓存2×256KB，三级缓存3MB)，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2、安全的锂聚合物电池，电脑使用时长可达10小时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3、防眩光液晶屏，标准分辨率达到1920×1080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四、红外测温仪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1、温度范围：-32～980℃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2、准确度：±1%×读数（100℃到980℃）；±1℃（0℃到100℃）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±1℃±0.07℃/℃（-32℃到0℃）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3、光学分辨率（D:S）：40:1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五、多功能风速仪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1、测量范围：风速：0.4～30.0 m/s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2、照度：0～20000 Lux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3、相对湿度：10﹪～95﹪RH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4、准确度：温度：±1.2℃、相对湿度：＜70﹪RH ±4%RH；风速：≦20 m/s ±3% F.S、照度：±5%rdg  ±8dgt</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六、GPS模块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1、外型尺寸： (43x74x9.9)mm；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2、支持蓝牙2.0协议，连接更加稳定；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3、信道数：最大同时接收及追踪66颗卫星信号，内建WAAS/EGNOS/MSAS解调器；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4、内置高容量锂聚合物电池，连续工作时间达20小时；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5、采用66通道MTK2代超高感度接收芯片，接收灵敏度高达-165dBm；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6、高通用性的NMEA-0183数据协议输出格式；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七、加密存储器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1、具有密码保护功能，加密管理重要文件；外形纤薄，即插即用。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2、容量：1TB；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3、外形尺寸：(107.2x75x11.2)mm；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4、工作温度：-10℃~+70℃；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5、重量：120g。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八、立体声音箱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1、大音量4D音效，支持蓝牙播放、插卡播放、AUX播放和FM收音机播放四种模式；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2、内置大容量电池，强劲续航；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3、内置麦克风，可进入免提通话模式；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4、喇叭规格：40mm 4Ω 3W；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5、信噪比： 95DB；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6、失真度：≤1%。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九、无线路由器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1、10000mAh电池，低功耗，长待机；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2、额定电压：3.8V；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3、额定输入：5V=1A；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4、全网通4G网络，网速可达150Mbps。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十、车载充电器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1、输入电压：DC11-15V；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2、输出电压：AC220V，USB5V；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3、过温保护：≥60℃；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4、欠压保护：10-11V；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5、过压保护：15-16V；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6、150W额定功率；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7、过流、过载、低压、高压保护功能；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十一、移动电源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1、支持Micro/Type-c多选择输入；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2、具有电量格显示，可随时关注电量变化；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3、电池容量：10000mAh；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4、输入：5V=2.1A；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5、输出：5V=2.1A 5V=1A；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6、净重：202g。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十二、操作台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1、材料：铝合金框架 MDF面板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2、款式：折叠款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3、重量：2.6KGS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4、桌面尺寸：60*45*56CM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5、承重：把桌子支撑好， 放在平地上，可以支撑四个体重为100公斤左右的成人</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卫星电话</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具备天通卫星移动网络语音、短信、低数据传输速率功能；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具备地面全网通移动网络语音、短信、4G数据传输功能；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具备北斗和GPS定位双系统快速定位；具备辅助搜星功能，支持加密，以及开机位置上报功能；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卫星话音速率：1.2kbps/2.4kbps/4kbps；支持数据业务最高可达9.6kbps；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双卡双待：天通卡槽+全网通卡槽；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CUP:2.0Ghz 八核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 操作系统:Android 8.1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 外观尺寸：165.1*83*19.3mm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 屏幕:5.5英寸，操作便捷；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 配置不低于4GB RAM+64GB ROM；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 USB： Type-C 防水接口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 TF卡:支持扩展，最大128GB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 网络通讯: 蓝牙、WIFI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 高电池容量：6000mAh，支持快充，待机时长不小于168小时，卫星通话时长不小于10小时，充电接口为Type-C与手机通用；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 摄像头:前置800万，后置1600万，支持自动对焦，支持闪光灯；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 网络传输协议：支持IPv4/IPv6协议；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 支持终端远程在线升级功能；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18. 采用折叠天通天线，天通天线可拆卸，可外接手持宽波束全向天线和车载吸顶式全向天线；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 支持紧急呼叫和具备SOS一键呼救功能；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 支持与应急管理部应急救援信息服务互通；</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 带强光手电筒按键功能，便于应急照明；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22. 工作温度可满足零下30摄氏度至55摄氏度；使用湿度：5%~95%；存储温度：-40℃~+70℃；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23. 传感器:环境光度感应、红外距离感应、重力感应、陀螺仪、电子罗盘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24. 配件包括充电器、数据线、耳机、螺丝刀等；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25. 防护等级：IP68（1米水深45分钟浸泡，防尘）。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26、含一年入网费。</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机动液压破拆工具组（机动泵1台、扩张器1台、剪切钳1台、剪扩钳1台、液压顶杆1台）</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性能符合《液  压破拆工具通用 技术条件》GB/T 17906规定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一、基本配置</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全套配置：双输出液压机动泵1台、10米液压管2根、液压扩张器1台、液压剪切钳1台、液压剪扩钳1台、液压顶杆1台、多功能液压破拆撬棍1台。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二、标准规范符合GB/T 17906-2021标准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三、具体参数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▲1.双输出液压机动泵：</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1.1质量：≤23kg；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1.2额定工作压力：≥72MPa，额定流量：≥0.5L/min；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1.3低压工作压力：≥5MPa，低压流量：≥2.9L/min；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▲2.液压扩张器：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2.1质量：≤15kg；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2.2扩张力（测力点距扩张臂顶端垂直距离为25mm）：最小扩张力≥40KN，最大扩张力≥90KN；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2.3扩张距离：≥720mm；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▲3.液压剪切钳：</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3.1质量：≤14kg；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3.2开口距离：≥170mm；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3.3剪切能力：直径≥36mm的Q235A圆钢；</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4.液压剪扩钳：</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4.1质量：≤15kg；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4.2扩张力（测力点距扩张臂顶端垂直距离为25mm）：最小扩张力≥40KN，最大扩张力≥70KN；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4.3剪切能力：直径≥36mm的Q235A圆钢；</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4.4扩张距离：≥380mm；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4.5剪切开口：≥320mm；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▲5.液压顶杆：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5.1收拢长度：≤560mm；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5.2第一级撑顶行程：≥370mm，第二级撑顶行程：≥350mm，伸展总长：≥1250mm；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5.3质量：≤15kg；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5.4第一级撑顶力：≥210KN，第二级撑顶力：≥100KN；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6.多功能液压破拆撬棍：</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6.1液压撬棍应集成手动泵功能并装有不可拆卸的加压手柄，能直接驱动液压撬棍的扩张臂和剪切刃，无须外接其他动力源；</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6.2具备剪切、开缝、楔入、扩张、撞击、锤击和顶升功能；</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6.3剪切开口距离：≥27mm；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6.4剪切能力：≥能一次剪断直径≥18mm的Q235A圆钢；</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6.5扩张距离：≥125mm；</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6.6扩张力（测力点距扩张臂顶端的垂直距离为25mm）：≥30KN；</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6.7质量：≤8kg；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四、非检验报告内参数：</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1.液压管重量：≤5kg；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2.液压剪切钳：宜采用倾斜型刀头设计，为操作者从侧面剪切时创造更多的空间。</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电动液压剪扩器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1、锂电池动力，工具上应配有电量显示功能，电池电压：≤36V,电池容量≥5.0Ah、配二块电池；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2、工具上须带LED夜间照明系统；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3、工作压力：≥70MPa；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▲4、最大剪断力：≥380kN；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5、剪切能力：圆钢≥φ32mm；厚度板材≥φ22mm；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▲6、最大扩张力：≥80kN，最大扩张距离：≥380mm；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▲7、最大牵拉力：≥48kN、牵拉距离：≥340mm；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8、电池续航能力：连续剪切φ29mmQ235A材质25次，设备电量未耗尽；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9、重量≤20kg；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10、应配军工滚轮款工程箱一个、方便工具搬运储存。</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电动电锤</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1、钻孔直径：≥30mm；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2、空转速度：≤1800r/min；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3、锂电池使用时间：≥1小时；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4、充电时间：≤30min；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5、工作模式：多种工作模式:能根据不同的需求,提供不同的工作模式；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6、具备锤、镐、铲三种钻头,钻头更换简单，无特殊要求。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电动手持式电钻</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充电钻的技术参数包括电压18.0V。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锂电2000mAh，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最大扭矩18-25N.m，钻头直径13 m 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空载转速:一档0-460次/分、0-1800次/分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重量≤1.2kg。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1、无须动力，单人即可操作，可快速有效打通砖和混凝土阻隔墙。整套工具应包括：多功能手柄1个，各类工具头8个，消防平斧1把。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2、手动破拆手柄部份浸水2H后绝缘电阻≤12GΩ。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3、消防斧平刃应以能砍断10mm的Q235A圆钢，且刃口无明显卷刃、崩刃和开裂等现象。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4、冲击式破拆器尖刃能凿裂等级为C20的混凝土试块，且刃口无明显卷刃、崩刃和开裂等现象。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5、撬斧尖刃能凿穿厚度1.5mm的Q235A钢平板，且刃口无明显卷刃、崩刃和开裂等现象、撬斧起撬部位能切割厚度1.5mm的Q235A钢平板，且刃口无明显卷刃、崩刃和开裂等现象。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6、手动破拆工具的金属部份经GB/T10125-2012规定的48小时中性盐雾试验后，外观应符合GB 6461-2002外观等级评定轻微伤级的要求。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7、多功能冲击手柄：冲击行程≥320mm、消防平斧：收缩长度≤800mm，最大展开尺寸：≥1000mm、多功能手柄连接撬斧拔钉器后总长度≥1000mm、多功能手柄连接金属切割器后总长度≥1000mm。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1、适用于切割各类物质结构障碍物，可切割木头、石膏板。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2、发动机功率≥2.2KW。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3、导板长度≥30厘米。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4、含导板链条时全重≤7公斤。</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金属切割机+锯片10个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1、汽缸排量(CC)≥118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2、功率(kw)≥5.6</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3、燃油箱体积(L)≥1.25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4、空转速度（rpm）≥ 2700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5、质量(无燃油、润滑油、锯片)(kg)≤13.5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6、噪音水平(dB)≤104</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7、锯片规格(mm)≥400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8、切割深度(mm)≥145</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电动金属切割机+锯片10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1.使用电压≥60V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2.空载转速≥6800rpm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3.锯片直径≥230mm，切割深度≥85mm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▲4.穿刺4mm厚钢板时间≤7S，切断28号国标螺纹钢时间≤8.5s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5.声噪≤88dB</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电池仓有独立的仓盖封闭保护，防水防尘。机身自带标准接水口用于混凝土切割。带有负载指示灯便于显示工作负荷。自带六角扳手无需任何外界工具进行锯片安装拆卸。机身带有合金深度计，可根据作业需求，精确改变切割深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7.净重重量≤6kg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8.防水防尘等级为IP54</w:t>
            </w:r>
            <w:r/>
          </w:p>
          <w:p>
            <w:pPr>
              <w:jc w:val="lef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9、符合GB/T3883.1-2014《手持式、可移式电动工具和园林工具的安全第1部分：通用要求》。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电动金属往复锯+锯片10+2块电池</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1.具有切割钢管130mm,木材300mm,钢板19mm的能力；行程长度≥28mm;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2.采用便携式锂电池提供动力，电池容量≥4Ah；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3.空载转速0-2800转/min，输入功率≥1000w，重量≤3.5kg;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双轮异向切割机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1、转速(rpm)：≥8000。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2、功率(kw)：≥3。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3、机油泵供油：自动供油。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4、质量(无燃油、润滑油、锯片)(kg)：≤15。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5、锯片规格(mm)：≥315。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6、切割深度(mm)：≥115。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7、标准配置：锯片2付/4片,专用工具箱，护目镜、防护手套、专用工具、比例加油桶。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气动起重气垫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1、应用于各种交通事故救援，地震等灾害救援，建筑物坍塌救援；有爆炸危险场合及崎岖不平地形救援。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2、气垫的额定工作压力为12巴，安全系数≥4:1；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3、气垫采用特殊材质，可以阻燃防静电；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4、表层的特殊设计可提高在草地、泥沙等光滑地面上的抗滑性；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5、2.5厘米的插入高度，适用于狭小空间等特殊场所的救援；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6、表面互锁结构设计，边缘倒角设计更易于插入；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7、反光中心和四角标记，保证在光线不好的地方依然有良好的可视性；"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气垫参数 8、起重力≥7.5吨的气垫1个，举升高度≥15cm，结构高度≤2.5cm，气垫面积≤28*28cm，重量≤2.5kg；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9、▲起重力≥12吨的气垫1个，举升高度≥19cm，结构高度≤2.5cm，气垫面积≤35*35cm，重量≤3.5g；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10、▲起重力≥25吨的气垫1个，举升高度≥27cm，结构高度≤2.5cm，气垫面积≤47*52cm，重量≤6.5kg；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11、▲起重力≥34吨的气垫1个，举升高度≥28cm，结构高度≤2.5cm，气垫面积≤52*62cm，重量≤8.5kg；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12、▲起重力≥59吨的气垫1个，举升高度≥39cm，结构高度≤2.5cm，气垫面积≤78*70cm，重量≤14.5kg；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减压器 最大输出压力可达14巴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12巴带灯带安全开关复式操纵仪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"12巴10米黄色</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充气软管"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"12巴10米红色</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充气软管"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截流阀 带0.3米红色软管/黄色软管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充气式救生气垫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1.产品表面平整无折痕,各接缝处采用先进封烫技术,加强筋全部密封,结构规格精确合理。</w:t>
            </w:r>
            <w:r>
              <w:rPr>
                <w:rStyle w:val="1188"/>
                <w:rFonts w:hint="default"/>
                <w:sz w:val="24"/>
                <w:szCs w:val="24"/>
                <w:lang w:bidi="ar"/>
              </w:rPr>
              <w:br/>
            </w:r>
            <w:r>
              <w:rPr>
                <w:rStyle w:val="1188"/>
                <w:rFonts w:hint="default"/>
                <w:sz w:val="24"/>
                <w:szCs w:val="24"/>
                <w:lang w:bidi="ar"/>
              </w:rPr>
              <w:t xml:space="preserve">2.自由跳下人员落在气垫承接面上不反弹、不触地！</w:t>
            </w:r>
            <w:r>
              <w:rPr>
                <w:rStyle w:val="1188"/>
                <w:rFonts w:hint="default"/>
                <w:sz w:val="24"/>
                <w:szCs w:val="24"/>
                <w:lang w:bidi="ar"/>
              </w:rPr>
              <w:br/>
            </w:r>
            <w:r>
              <w:rPr>
                <w:rStyle w:val="1188"/>
                <w:rFonts w:hint="default"/>
                <w:sz w:val="24"/>
                <w:szCs w:val="24"/>
                <w:lang w:bidi="ar"/>
              </w:rPr>
              <w:t xml:space="preserve">3.人员跳落在气垫上面时，气垫不倾倒、不侧翻！</w:t>
            </w:r>
            <w:r>
              <w:rPr>
                <w:rStyle w:val="1188"/>
                <w:rFonts w:hint="default"/>
                <w:sz w:val="24"/>
                <w:szCs w:val="24"/>
                <w:lang w:bidi="ar"/>
              </w:rPr>
              <w:br/>
            </w:r>
            <w:r>
              <w:rPr>
                <w:rStyle w:val="1188"/>
                <w:rFonts w:hint="default"/>
                <w:sz w:val="24"/>
                <w:szCs w:val="24"/>
                <w:lang w:bidi="ar"/>
              </w:rPr>
              <w:t xml:space="preserve">技术参数：</w:t>
            </w:r>
            <w:r>
              <w:rPr>
                <w:rStyle w:val="1188"/>
                <w:rFonts w:hint="default"/>
                <w:sz w:val="24"/>
                <w:szCs w:val="24"/>
                <w:lang w:bidi="ar"/>
              </w:rPr>
              <w:br/>
            </w:r>
            <w:r>
              <w:rPr>
                <w:rStyle w:val="1189"/>
                <w:rFonts w:hint="default"/>
                <w:color w:val="auto"/>
                <w:sz w:val="24"/>
                <w:szCs w:val="24"/>
                <w:lang w:bidi="ar"/>
              </w:rPr>
              <w:t xml:space="preserve">展开尺寸：8×6×2.4m</w:t>
            </w:r>
            <w:r>
              <w:rPr>
                <w:rStyle w:val="1188"/>
                <w:rFonts w:hint="default"/>
                <w:color w:val="auto"/>
                <w:sz w:val="24"/>
                <w:szCs w:val="24"/>
                <w:lang w:bidi="ar"/>
              </w:rPr>
              <w:t xml:space="preserve">，配</w:t>
            </w:r>
            <w:r>
              <w:rPr>
                <w:rStyle w:val="1188"/>
                <w:rFonts w:hint="default"/>
                <w:sz w:val="24"/>
                <w:szCs w:val="24"/>
                <w:lang w:bidi="ar"/>
              </w:rPr>
              <w:t xml:space="preserve">大风量风机，充气速度更快。特性：由特殊抗拉力纤维制造。气垫顶面有明显的靶心图案，方便逃生者对准目标。 快速而实用，只需两人即可完成充气工作，迅速投入使用。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绝缘剪断钳</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w:t>
            </w:r>
            <w:r>
              <w:rPr>
                <w:rStyle w:val="1189"/>
                <w:rFonts w:hint="default"/>
                <w:sz w:val="24"/>
                <w:szCs w:val="24"/>
                <w:lang w:bidi="ar"/>
              </w:rPr>
              <w:t xml:space="preserve">、</w:t>
            </w:r>
            <w:r>
              <w:rPr>
                <w:rStyle w:val="1188"/>
                <w:rFonts w:hint="default"/>
                <w:sz w:val="24"/>
                <w:szCs w:val="24"/>
                <w:lang w:bidi="ar"/>
              </w:rPr>
              <w:t xml:space="preserve">符合DL/T1476-2023《电力安全工器具预防性试验规程》标准。</w:t>
            </w:r>
            <w:r>
              <w:rPr>
                <w:rStyle w:val="1188"/>
                <w:rFonts w:hint="default"/>
                <w:sz w:val="24"/>
                <w:szCs w:val="24"/>
                <w:lang w:bidi="ar"/>
              </w:rPr>
              <w:br/>
            </w:r>
            <w:r>
              <w:rPr>
                <w:rStyle w:val="1188"/>
                <w:rFonts w:hint="default"/>
                <w:sz w:val="24"/>
                <w:szCs w:val="24"/>
                <w:lang w:bidi="ar"/>
              </w:rPr>
              <w:t xml:space="preserve">2、刀头硬度：≥80HRA，耐高压≥5000V。</w:t>
            </w:r>
            <w:r>
              <w:rPr>
                <w:rStyle w:val="1188"/>
                <w:rFonts w:hint="default"/>
                <w:sz w:val="24"/>
                <w:szCs w:val="24"/>
                <w:lang w:bidi="ar"/>
              </w:rPr>
              <w:br/>
            </w:r>
            <w:r>
              <w:rPr>
                <w:rStyle w:val="1188"/>
                <w:rFonts w:hint="default"/>
                <w:sz w:val="24"/>
                <w:szCs w:val="24"/>
                <w:lang w:bidi="ar"/>
              </w:rPr>
              <w:t xml:space="preserve">3、尺寸≥80CM。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缓降器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性能符合《缓 降 器 》</w:t>
            </w:r>
            <w:r>
              <w:rPr>
                <w:rFonts w:ascii="宋体" w:hAnsi="宋体" w:eastAsia="宋体" w:cs="宋体"/>
                <w:color w:val="000000"/>
                <w:sz w:val="24"/>
                <w:szCs w:val="24"/>
                <w:highlight w:val="none"/>
                <w:lang w:bidi="ar"/>
              </w:rPr>
              <w:t xml:space="preserve">GB 21976.2-2012</w:t>
            </w:r>
            <w:r>
              <w:rPr>
                <w:rFonts w:hint="eastAsia" w:ascii="宋体" w:hAnsi="宋体" w:eastAsia="宋体" w:cs="宋体"/>
                <w:color w:val="000000"/>
                <w:sz w:val="24"/>
                <w:szCs w:val="24"/>
                <w:highlight w:val="none"/>
                <w:lang w:bidi="ar"/>
              </w:rPr>
              <w:t xml:space="preserve">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1、适合救援、高层逃生等用途.</w:t>
            </w:r>
            <w:r>
              <w:rPr>
                <w:rStyle w:val="1188"/>
                <w:rFonts w:hint="default"/>
                <w:sz w:val="24"/>
                <w:szCs w:val="24"/>
                <w:lang w:bidi="ar"/>
              </w:rPr>
              <w:br/>
            </w:r>
            <w:r>
              <w:rPr>
                <w:rStyle w:val="1188"/>
                <w:rFonts w:hint="default"/>
                <w:sz w:val="24"/>
                <w:szCs w:val="24"/>
                <w:lang w:bidi="ar"/>
              </w:rPr>
              <w:t xml:space="preserve">2、结构组件：调速器，绳索，安全带，安全钩、卷绳盘、备用绳套。</w:t>
            </w:r>
            <w:r>
              <w:rPr>
                <w:rStyle w:val="1188"/>
                <w:rFonts w:hint="default"/>
                <w:sz w:val="24"/>
                <w:szCs w:val="24"/>
                <w:lang w:bidi="ar"/>
              </w:rPr>
              <w:br/>
            </w:r>
            <w:r>
              <w:rPr>
                <w:rStyle w:val="1188"/>
                <w:rFonts w:hint="default"/>
                <w:sz w:val="24"/>
                <w:szCs w:val="24"/>
                <w:lang w:bidi="ar"/>
              </w:rPr>
              <w:t xml:space="preserve">3、参数：主机重量：≤4kg； 钢丝绳索直径：≥4mm；安全带周长：≥1400mm，宽：≥50mm,厚：≥1mm； 使用高度：</w:t>
            </w:r>
            <w:r>
              <w:rPr>
                <w:rStyle w:val="1188"/>
                <w:rFonts w:hint="default"/>
                <w:color w:val="auto"/>
                <w:sz w:val="24"/>
                <w:szCs w:val="24"/>
                <w:lang w:bidi="ar"/>
              </w:rPr>
              <w:t xml:space="preserve">≥30m ，使用负荷</w:t>
            </w:r>
            <w:r>
              <w:rPr>
                <w:rStyle w:val="1189"/>
                <w:rFonts w:hint="default"/>
                <w:color w:val="auto"/>
                <w:sz w:val="24"/>
                <w:szCs w:val="24"/>
                <w:lang w:bidi="ar"/>
              </w:rPr>
              <w:t xml:space="preserve">重量：30-100kg</w:t>
            </w:r>
            <w:r>
              <w:rPr>
                <w:rStyle w:val="1188"/>
                <w:rFonts w:hint="default"/>
                <w:color w:val="auto"/>
                <w:sz w:val="24"/>
                <w:szCs w:val="24"/>
                <w:lang w:bidi="ar"/>
              </w:rPr>
              <w:t xml:space="preserve"> 每次限载人数：1</w:t>
            </w:r>
            <w:r>
              <w:rPr>
                <w:rStyle w:val="1188"/>
                <w:rFonts w:hint="default"/>
                <w:sz w:val="24"/>
                <w:szCs w:val="24"/>
                <w:lang w:bidi="ar"/>
              </w:rPr>
              <w:t xml:space="preserve"> 个；缓降速度：0.16-1．5m/s之间。</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过滤式消防自救呼吸器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性能符合《消防过滤式自救呼吸器》GB 21976.7-2012规定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1、过滤式消防自救呼吸器由全头罩和滤毒罐组成。</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2、防护时间：≥30分钟。</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3、防毒对象：氰氢酸、氯化氢、一氧化碳（煤气）、毒烟、毒雾等。</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4、全面罩：</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（1）漏气系数＜18%；</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（2）视野：总视野＞70％　双目视野＞60％　下方视野度＞35％。</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1、符合纤维绳索 有关物理和机械性能的测定。</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2、多功能担架，可水平抬运、可垂直或水平吊运、可在光滑地面拖拉。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3、多功能担架载重≥150Kg。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4、每件多功能担架应配备一个可背的防水包装袋。</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救援支架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金属框架，牵 引滑轮最大承载 ≥2.5kN,绿索长度≥30m</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1、救援三脚架顶端设有不少于4个固定描点，且均能安装通用型滑轮装置。救援三脚架的各条支撑脚完全展开后，各支撑脚之间的最大长度差不大于5 mm。救援三脚架的每条支撑脚均能安装并固定绞盘。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2、携行质量（含部件及携行箱／包(kg)：≤30。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3、三脚架最大工作状态高度 （m)：≥2.2。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4、三脚架最小 工作状态高度 （m)：≤1.4。</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5、负载质量 (kg)：≥250.0。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6、提升高 度 (m)：≥30.0。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7、绞盘配用绳索直径 (mm）：≥5.0。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8、绞盘配用绳索破断强度(kN)：≥15.0。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9、三脚架收拢长度 ( m)：≤1.8。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10、绞盘手柄操作力 ( N)：≤85。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11、耐腐蚀性能：救援三脚架的金属部件经48 h的中性盐雾试验后，无明显的腐蚀损坏，并能正常工作。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12、安全性能：救援三脚架的绞盘具备自锁功能，绞盘停止升降操作时，手柄未出现自行旋转，且绳索未发生超过10 cm的滑动。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13、强度性能：救援三脚架经额定负载质量3 倍的强度试验后，各部件无明显变形或损坏，在额定负载质量下仍能正常工作。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14、可靠性：救援三脚架经可靠性试验后，各部件无明显变形或损坏。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射绳枪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w:t>
            </w:r>
            <w:r>
              <w:rPr>
                <w:rFonts w:hint="eastAsia" w:ascii="宋体" w:hAnsi="宋体" w:eastAsia="宋体" w:cs="宋体"/>
                <w:color w:val="000000"/>
                <w:sz w:val="24"/>
                <w:szCs w:val="24"/>
                <w:highlight w:val="none"/>
                <w:lang w:bidi="ar"/>
              </w:rPr>
              <w:t xml:space="preserve">合BG/T27906-2011《</w:t>
            </w:r>
            <w:r>
              <w:rPr>
                <w:rFonts w:hint="eastAsia" w:ascii="宋体" w:hAnsi="宋体" w:eastAsia="宋体" w:cs="宋体"/>
                <w:color w:val="000000"/>
                <w:sz w:val="24"/>
                <w:szCs w:val="24"/>
                <w:lang w:bidi="ar"/>
              </w:rPr>
              <w:t xml:space="preserve">救生抛投器》标准。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2、发射主机（含折叠枪托）：工作压力 ≥7.0MPA ；发射主机重量≤3KG，配可折叠枪托。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3、动力源标配普通压缩空气充气装置及便携式 CO2 气瓶充气装置，CO2 气瓶容量≥24g。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陆地救援弹及水用救援弹：陆地救援弹与水用救援弹由高强度工程塑料为主材，弹体颜色与发射主机均采用醒目、易于识别的颜色。固定尾翼内置铝合金骨架，固定尾翼确保弹头飞行姿态稳定，具备抗风性能。陆用救援弹、水用救援弹和自动充气救生圈可重复使用，救援弹入水8 秒内自动充气成为救生圈，救生圈浮力 ≥8kg。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5、发射枪体与压缩气瓶导气管采用快接方式，配有压力表，可实时监控、调整发射体内的发射压力。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6、救援绳尺寸 ≥120 米，最大破断拉力≥2000N。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7、抛射性能：发射抛绳抛投距离≥110米，抛射偏差角≤2.50°；发射水用抛绳抛投距离≥100米，偏差角≤1.80°；抛绳拉力≥2.5KN，水用抛绳拉力≥6.5KN。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8、整套救生抛投器包括：发射主机（含折叠枪托及收绳器）1套； CO2气瓶12只；陆地救援弹及水用救援弹各2套；训练弹头1个；水溶药片触发剂4个，水用保护套1个，外接救生绳包1个，吹绳器1个，外接充气接头1个，铝合金手提箱1个，配减压充气接头1个（与6.8升气瓶相接）。</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医药急救箱</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1、外箱尺寸约：310*200*200mm；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2、外箱材质：铝板/铝合金、肩背/手提式、重量：≤2.8kg。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无火花工具</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1、用于易燃易爆的场合，采用优质合金铝青铜材料制造，工作时无火花、无磁性、耐腐蚀，由多种开启、关闭、清理和其他无火花工具组成。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2、工具硬度HRC≥35。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3、全套：管钳、克丝钳、锤子、防爆铲、F型扳手、活动扳手、梅花扳手、开口扳手、螺丝刀、錾子等不少于21件。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4、各种工具须通过绝缘处理。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移车器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1、优质国标碳钢材料组成。</w:t>
            </w:r>
            <w:r>
              <w:rPr>
                <w:rStyle w:val="1188"/>
                <w:rFonts w:hint="default"/>
                <w:sz w:val="24"/>
                <w:szCs w:val="24"/>
                <w:lang w:bidi="ar"/>
              </w:rPr>
              <w:br/>
            </w:r>
            <w:r>
              <w:rPr>
                <w:rStyle w:val="1188"/>
                <w:rFonts w:hint="default"/>
                <w:sz w:val="24"/>
                <w:szCs w:val="24"/>
                <w:lang w:bidi="ar"/>
              </w:rPr>
              <w:t xml:space="preserve">2、单个承重≥600KG。</w:t>
            </w:r>
            <w:r>
              <w:rPr>
                <w:rStyle w:val="1188"/>
                <w:rFonts w:hint="default"/>
                <w:sz w:val="24"/>
                <w:szCs w:val="24"/>
                <w:lang w:bidi="ar"/>
              </w:rPr>
              <w:br/>
            </w:r>
            <w:r>
              <w:rPr>
                <w:rStyle w:val="1188"/>
                <w:rFonts w:hint="default"/>
                <w:sz w:val="24"/>
                <w:szCs w:val="24"/>
                <w:lang w:bidi="ar"/>
              </w:rPr>
              <w:t xml:space="preserve">3、液压油缸型。</w:t>
            </w:r>
            <w:r>
              <w:rPr>
                <w:rStyle w:val="1188"/>
                <w:rFonts w:hint="default"/>
                <w:sz w:val="24"/>
                <w:szCs w:val="24"/>
                <w:lang w:bidi="ar"/>
              </w:rPr>
              <w:br/>
            </w:r>
            <w:r>
              <w:rPr>
                <w:rStyle w:val="1188"/>
                <w:rFonts w:hint="default"/>
                <w:sz w:val="24"/>
                <w:szCs w:val="24"/>
                <w:lang w:bidi="ar"/>
              </w:rPr>
              <w:t xml:space="preserve">4、单轮直径≥10cm。</w:t>
            </w:r>
            <w:r>
              <w:rPr>
                <w:rStyle w:val="1188"/>
                <w:rFonts w:hint="default"/>
                <w:sz w:val="24"/>
                <w:szCs w:val="24"/>
                <w:lang w:bidi="ar"/>
              </w:rPr>
              <w:br/>
            </w:r>
            <w:r>
              <w:rPr>
                <w:rStyle w:val="1188"/>
                <w:rFonts w:hint="default"/>
                <w:sz w:val="24"/>
                <w:szCs w:val="24"/>
                <w:lang w:bidi="ar"/>
              </w:rPr>
              <w:t xml:space="preserve">5</w:t>
            </w:r>
            <w:r>
              <w:rPr>
                <w:rStyle w:val="1188"/>
                <w:rFonts w:hint="default"/>
                <w:color w:val="auto"/>
                <w:sz w:val="24"/>
                <w:szCs w:val="24"/>
                <w:lang w:bidi="ar"/>
              </w:rPr>
              <w:t xml:space="preserve">、</w:t>
            </w:r>
            <w:r>
              <w:rPr>
                <w:rStyle w:val="1189"/>
                <w:rFonts w:hint="default"/>
                <w:color w:val="auto"/>
                <w:sz w:val="24"/>
                <w:szCs w:val="24"/>
                <w:lang w:bidi="ar"/>
              </w:rPr>
              <w:t xml:space="preserve">每个自重：≤18KG</w:t>
            </w:r>
            <w:r>
              <w:rPr>
                <w:rStyle w:val="1188"/>
                <w:rFonts w:hint="default"/>
                <w:sz w:val="24"/>
                <w:szCs w:val="24"/>
                <w:lang w:bidi="ar"/>
              </w:rPr>
              <w:t xml:space="preserve">，1套4只。</w:t>
            </w:r>
            <w:r>
              <w:rPr>
                <w:rStyle w:val="1188"/>
                <w:rFonts w:hint="default"/>
                <w:sz w:val="24"/>
                <w:szCs w:val="24"/>
                <w:lang w:bidi="ar"/>
              </w:rPr>
              <w:br/>
            </w:r>
            <w:r>
              <w:rPr>
                <w:rStyle w:val="1188"/>
                <w:rFonts w:hint="default"/>
                <w:sz w:val="24"/>
                <w:szCs w:val="24"/>
                <w:lang w:bidi="ar"/>
              </w:rPr>
              <w:t xml:space="preserve">6、安全、方便、快捷的移车工具。</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绝缘手套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1、绝缘手套耐电压≥12KV。</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绝缘靴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1、绝缘靴耐电压≥12KV。</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绝缘令克棒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1、挠杆柄应采用高强度的绝缘材料，防高压，可多节组合。耐电压≥12KV，长度不低于6米。</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移动供气源</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技术性能 符合《长管空气呼吸</w:t>
            </w:r>
            <w:r>
              <w:rPr>
                <w:rFonts w:hint="eastAsia" w:ascii="宋体" w:hAnsi="宋体" w:eastAsia="宋体" w:cs="宋体"/>
                <w:color w:val="000000"/>
                <w:sz w:val="24"/>
                <w:szCs w:val="24"/>
                <w:highlight w:val="none"/>
                <w:lang w:bidi="ar"/>
              </w:rPr>
              <w:t xml:space="preserve">器》XF1261-2015 的规定</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1、符合XF1261-2015《长管空气呼吸器》要求。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由全面罩、供气阀、减压阀、气源分配器、高压表、中压表、低气压气动报警器、不锈钢移动小推车、不锈钢管盘、存储箱、呼吸软管、Y型三通、逃生应急气瓶、救援腰带、6.8L碳纤维气瓶、瓶阀组件等部件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3、气瓶工作压力：30MPa。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4、气瓶水容积：4×6.8L；备用应急救援气瓶不少于 1 个，气瓶水容积不小于 2L。</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5、背具、背具带、带扣、腰带、气瓶防护套经阻燃性能试验后，不应出现熔融现象，续燃时间≤0秒。</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6、整机气密性（MPa）：在气密性能试验后，其压力表的压力指示值在 1min 内的下降≤1MPa。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7、静态压力：≤400Pa。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8、全面罩总视野保留率≥70%，双目视野保留率≥55%，下方视野≥35°，吸入空气中二氧化碳含量＜1%。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9、长管长度：≥30M 一根，≥10M 二根。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10、可同时使用人数：2人。</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1.2米六棱起钉器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1、采用90度角设计，2、长度≥1200mm。3双头硬度：≥HRC46</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1.5米六棱起钉器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1、采用90度角设计，2、长度≥1500mm。3双头硬度：≥HRC46</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0.72米六棱起钉器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1、采用90度角设计，2、长度≥720mm。3双头硬度：≥HRC46</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36寸哈利根铁挺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1、规格不低于36英寸，拔钉器单根净重≤5.2kg，割绳器(切割撬)重量≤5kg；工具撬口、刀口、镐头、切割头载荷≥600KG；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2、优质碳钢材质杆体，工具头为45号碳钢，经锻打成型，刃口做热处理，硬度在≥45HRC；</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3、杆体一端设置有羊角撬头；另一端为尖扁镐头，扁镐头，尖镐头和扁镐头固接为一体；另一根一头为隔绳器(切割撬)另一端为尖扁镐头，扁镐头；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▲4、抗拉离性能N：≥12000N。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防盗门破拆工具组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1、配备专用特种钻头螺丝，锁芯拔除器、锁芯切断器、换向扳手、专用电钻、电池、充电器、锁舌转动器、除锈润滑剂、定位器、辅助工具、可锁防水防尘工程塑料箱。1、不锈钢材质。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2、在不破坏防盗门主体结构的同时，可以实现多种门锁的开启。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3、单人就可操作，在保险和天地锁同时上锁的条件下，2-3分钟以内就能将防盗门打开，而且不破坏防盗门主体结构。能够打开90%以上的各种常见的防盗门锁。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4、体积小，重量轻，携带方便，整套工具重量小于11KG。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防盗窗破拆器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1、用于破拆不锈钢防盗窗，开辟救生通道和内攻入口。                                     2、结构组成：由合金工具钢制作的横档破拆头、碳钢制作的竖档破拆头及连接杠杆焊接而成。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3、实施破拆作业时破拆点承受的压力为破拆者施加在杠杆另一端力量的25倍以上，可以快速完成不锈钢防盗窗的破拆作业。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4、性能参数：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4.1优质材料构成，经久耐用无腐蚀现象出现；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4.2主体硬度：维氏硬度（HV）≥200 HV；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4.3外层涂料附着力：≥1级；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4.4撬棒总重量≤4kg；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4.5撬棒总长度≥80CM。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木制堵漏楔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1、用于各类孔洞状较低压力的堵漏作业。</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2、圆台形、方楔形和棱台形三类木楔共计不少于28件木楔、1把木锤。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3、方楔形（10种规格）尺寸mm：≥80*70*160、≥70*60*160、≥60*50*160、≥50*50*160、≥50*40*160、≥40*40*160、≥40*30*160、≥30*30*160、≥30*20*160、≥20*20*80。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4、棱台形（7种规格）尺寸mm：≥100*80*70*60*160、≥90*70*60*50*160、≥80*60*50*40*160、≥70*50*40*30*160、≥60*40*30*20*160、≥50*30*20*10*160、≥40*20*10*5*160。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5、圆台形（10种规格）尺寸mm：≥110*70*160、≥100*60*160、≥90*50*160、≥80*40*160、≥70*30*160、≥60*20*160、≥50*10*160、≥40*10*160、≥30*5*160、≥20*3*80。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6、木锤一把、铝合金工具箱1个。</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金属堵漏套管</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1、材质：无火花材料制成。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2、适用管道直径：12～100mm，最大封堵压力不小于2.5MPa。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3、10种不同的套管的尺寸（分别为：12，19，25，32，38，51，64，76，89，100mm）。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注入式堵漏工具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1、高压注胶枪1把，材质：合金钢。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2、堵漏胶（10支/盒）3盒。</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3、手动高压油泵（含100MPa压力表 + 表座接头）1台。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4、专用高压油管（附快速接头）1根。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5、旋塞阀（M12）4只，材质：合金钢。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6、角向接头（45°、90°）各1只，材质：合金钢。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7、注射弯头（M12）1只，材质：合金钢。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8、注胶螺母（M12、M14、M16、M18、M20、M22、M24各1只），材质：合金钢。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9、注胶螺杆（M12、M14、M16、M18、M20、M22、M24各1只），材质：不锈钢材质。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10、专用润滑松动喷剂一罐。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11、专用扳手1把。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12、便携式铝合金工具箱1只。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13、适用于化工、化肥、炼油、煤气、发电、冶金等装置管道上的各种静密封点堵漏密封，适用介质温度在-200至750℃、压力大于30MPa的泄漏。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多功能消防锤</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1、材质：不锈钢 + 高强度工程塑料，橡胶套手柄</w:t>
            </w:r>
            <w:r>
              <w:rPr>
                <w:rStyle w:val="1188"/>
                <w:rFonts w:hint="default"/>
                <w:sz w:val="24"/>
                <w:szCs w:val="24"/>
                <w:lang w:bidi="ar"/>
              </w:rPr>
              <w:br/>
            </w:r>
            <w:r>
              <w:rPr>
                <w:rStyle w:val="1188"/>
                <w:rFonts w:hint="default"/>
                <w:sz w:val="24"/>
                <w:szCs w:val="24"/>
                <w:lang w:bidi="ar"/>
              </w:rPr>
              <w:t xml:space="preserve">2、重量：≤ 1.0kg</w:t>
            </w:r>
            <w:r>
              <w:rPr>
                <w:rStyle w:val="1188"/>
                <w:rFonts w:hint="default"/>
                <w:sz w:val="24"/>
                <w:szCs w:val="24"/>
                <w:lang w:bidi="ar"/>
              </w:rPr>
              <w:br/>
            </w:r>
            <w:r>
              <w:rPr>
                <w:rStyle w:val="1188"/>
                <w:rFonts w:hint="default"/>
                <w:sz w:val="24"/>
                <w:szCs w:val="24"/>
                <w:lang w:bidi="ar"/>
              </w:rPr>
              <w:t xml:space="preserve">3</w:t>
            </w:r>
            <w:r>
              <w:rPr>
                <w:rStyle w:val="1188"/>
                <w:rFonts w:hint="default"/>
                <w:color w:val="auto"/>
                <w:sz w:val="24"/>
                <w:szCs w:val="24"/>
                <w:lang w:bidi="ar"/>
              </w:rPr>
              <w:t xml:space="preserve">、</w:t>
            </w:r>
            <w:r>
              <w:rPr>
                <w:rStyle w:val="1189"/>
                <w:rFonts w:hint="default"/>
                <w:color w:val="auto"/>
                <w:sz w:val="24"/>
                <w:szCs w:val="24"/>
                <w:lang w:bidi="ar"/>
              </w:rPr>
              <w:t xml:space="preserve">斧头长度：140mm ±3mm</w:t>
            </w:r>
            <w:r>
              <w:rPr>
                <w:rStyle w:val="1188"/>
                <w:rFonts w:hint="default"/>
                <w:sz w:val="24"/>
                <w:szCs w:val="24"/>
                <w:lang w:bidi="ar"/>
              </w:rPr>
              <w:br/>
            </w:r>
            <w:r>
              <w:rPr>
                <w:rStyle w:val="1188"/>
                <w:rFonts w:hint="default"/>
                <w:sz w:val="24"/>
                <w:szCs w:val="24"/>
                <w:lang w:bidi="ar"/>
              </w:rPr>
              <w:t xml:space="preserve">4、功能集成：斧头：可切断Φ6.5mm圆钢，锯条：木材/金属/玻璃切割</w:t>
            </w:r>
            <w:r>
              <w:rPr>
                <w:rStyle w:val="1188"/>
                <w:rFonts w:hint="default"/>
                <w:sz w:val="24"/>
                <w:szCs w:val="24"/>
                <w:lang w:bidi="ar"/>
              </w:rPr>
              <w:br/>
            </w:r>
            <w:r>
              <w:rPr>
                <w:rStyle w:val="1188"/>
                <w:rFonts w:hint="default"/>
                <w:sz w:val="24"/>
                <w:szCs w:val="24"/>
                <w:lang w:bidi="ar"/>
              </w:rPr>
              <w:t xml:space="preserve">5、抗拉强度 ≥ 12.5kN，手柄绝缘电阻 &gt; 10MΩ，刃部硬度：48–56 HRC，经 48小时中性盐雾试验 无腐蚀</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消防板斧</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 138-2010《消防斧》标准要求。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2、斧全长910mm。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3、整个产品重量≤3kg。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4、类型：消防平斧。</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消防尖斧</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 138-2010《消防斧》标准要求。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2、全长≥800mm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3、头部长≥280mm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4、斧头质量≤3.5kg。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大力剪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1、符合符合DL/T1476-2023《电力安全工器具预防性试验规程》标准。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2、刀头硬度：≥80HRA，耐高压≥5000V。</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3、尺寸≥120CM。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安全绳包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1、4L短绳包1个： </w:t>
            </w:r>
            <w:r>
              <w:rPr>
                <w:rStyle w:val="1188"/>
                <w:rFonts w:hint="default"/>
                <w:sz w:val="24"/>
                <w:szCs w:val="24"/>
                <w:lang w:bidi="ar"/>
              </w:rPr>
              <w:br/>
            </w:r>
            <w:r>
              <w:rPr>
                <w:rStyle w:val="1188"/>
                <w:rFonts w:hint="default"/>
                <w:sz w:val="24"/>
                <w:szCs w:val="24"/>
                <w:lang w:bidi="ar"/>
              </w:rPr>
              <w:t xml:space="preserve">2、聚氯⼄烯(pvc)夹⽹布、织物，坚固耐用，体积小易清洗、包身备有多个挂点，可挂或套在安全带上；弹力收口绳，放取物方便。重量：≤200g。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绳索保护垫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救援时，铺垫于地面，有效保护器材与地面的直接磨擦。100%纯棉，耐高温；双层料结构坚固耐磨，充份保护。304不锈钢气眼，垫与垫可拼接；约17MM气眼，可直接穿主锁；保护面积大，特别适合不规则的环境使用。尺寸约：70cm*85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丁子镐</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1、用于灾害现场破拆作业材，由镐头及木柄组成。长度≥0.9米。</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铁锹</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1、全长≥1000mm。钢制锹头，满足消防破拆使用需求。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木锤</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1.全长范围：≥ 260 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2.锤头直径：≥ 25 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3.锤头长度：部分产品标注为 ≥50mm。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4.重量：常见规格：≥300 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橡皮锤</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尺寸：250 × 100 × 100 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重量：0.5 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材质：橡胶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指环切割机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Style w:val="1189"/>
                <w:rFonts w:hint="default"/>
                <w:color w:val="auto"/>
                <w:sz w:val="24"/>
                <w:szCs w:val="24"/>
                <w:lang w:bidi="ar"/>
              </w:rPr>
            </w:pPr>
            <w:r>
              <w:rPr>
                <w:rStyle w:val="1188"/>
                <w:rFonts w:hint="default"/>
                <w:sz w:val="24"/>
                <w:szCs w:val="24"/>
                <w:lang w:bidi="ar"/>
              </w:rPr>
              <w:t xml:space="preserve">                                                                               </w:t>
            </w:r>
            <w:r>
              <w:rPr>
                <w:rStyle w:val="1188"/>
                <w:rFonts w:hint="default"/>
                <w:sz w:val="24"/>
                <w:szCs w:val="24"/>
                <w:lang w:bidi="ar"/>
              </w:rPr>
              <w:br/>
            </w:r>
            <w:r>
              <w:rPr>
                <w:rStyle w:val="1188"/>
                <w:rFonts w:hint="default"/>
                <w:sz w:val="24"/>
                <w:szCs w:val="24"/>
                <w:lang w:bidi="ar"/>
              </w:rPr>
              <w:t xml:space="preserve">1.可切割包括塑料、黄金、白银、钛等材料</w:t>
            </w:r>
            <w:r>
              <w:rPr>
                <w:rStyle w:val="1188"/>
                <w:rFonts w:hint="default"/>
                <w:sz w:val="24"/>
                <w:szCs w:val="24"/>
                <w:lang w:bidi="ar"/>
              </w:rPr>
              <w:br/>
            </w:r>
            <w:r>
              <w:rPr>
                <w:rStyle w:val="1188"/>
                <w:rFonts w:hint="default"/>
                <w:sz w:val="24"/>
                <w:szCs w:val="24"/>
                <w:lang w:bidi="ar"/>
              </w:rPr>
              <w:t xml:space="preserve">2.切割厚度≥6mm；</w:t>
            </w:r>
            <w:r>
              <w:rPr>
                <w:rStyle w:val="1188"/>
                <w:rFonts w:hint="default"/>
                <w:sz w:val="24"/>
                <w:szCs w:val="24"/>
                <w:lang w:bidi="ar"/>
              </w:rPr>
              <w:br/>
            </w:r>
            <w:r>
              <w:rPr>
                <w:rStyle w:val="1188"/>
                <w:rFonts w:hint="default"/>
                <w:sz w:val="24"/>
                <w:szCs w:val="24"/>
                <w:lang w:bidi="ar"/>
              </w:rPr>
              <w:t xml:space="preserve">3.声压：≤62dB(A)         </w:t>
            </w:r>
            <w:r>
              <w:rPr>
                <w:rStyle w:val="1188"/>
                <w:rFonts w:hint="default"/>
                <w:sz w:val="24"/>
                <w:szCs w:val="24"/>
                <w:lang w:bidi="ar"/>
              </w:rPr>
              <w:br/>
            </w:r>
            <w:r>
              <w:rPr>
                <w:rStyle w:val="1188"/>
                <w:rFonts w:hint="default"/>
                <w:sz w:val="24"/>
                <w:szCs w:val="24"/>
                <w:lang w:bidi="ar"/>
              </w:rPr>
              <w:t xml:space="preserve">4.</w:t>
            </w:r>
            <w:r>
              <w:rPr>
                <w:rStyle w:val="1188"/>
                <w:rFonts w:hint="default"/>
                <w:color w:val="auto"/>
                <w:sz w:val="24"/>
                <w:szCs w:val="24"/>
                <w:lang w:bidi="ar"/>
              </w:rPr>
              <w:t xml:space="preserve">由标准AA电池驱动；</w:t>
            </w:r>
            <w:r>
              <w:rPr>
                <w:rStyle w:val="1188"/>
                <w:rFonts w:hint="default"/>
                <w:color w:val="auto"/>
                <w:sz w:val="24"/>
                <w:szCs w:val="24"/>
                <w:lang w:bidi="ar"/>
              </w:rPr>
              <w:br/>
            </w:r>
            <w:r>
              <w:rPr>
                <w:rStyle w:val="1189"/>
                <w:rFonts w:hint="default"/>
                <w:color w:val="auto"/>
                <w:sz w:val="24"/>
                <w:szCs w:val="24"/>
                <w:lang w:bidi="ar"/>
              </w:rPr>
              <w:t xml:space="preserve">▲5.空转速度≥8800rpm</w:t>
            </w:r>
            <w:r/>
          </w:p>
          <w:p>
            <w:pPr>
              <w:jc w:val="left"/>
              <w:widowControl/>
              <w:rPr>
                <w:rFonts w:ascii="宋体" w:hAnsi="宋体" w:eastAsia="宋体" w:cs="宋体"/>
                <w:color w:val="000000"/>
                <w:sz w:val="24"/>
                <w:szCs w:val="24"/>
              </w:rPr>
            </w:pPr>
            <w:r>
              <w:rPr>
                <w:rStyle w:val="1189"/>
                <w:rFonts w:hint="default"/>
                <w:color w:val="auto"/>
                <w:sz w:val="24"/>
                <w:szCs w:val="24"/>
                <w:lang w:bidi="ar"/>
              </w:rPr>
              <w:t xml:space="preserve">6、指环切割器 ：配备电动切割器1个，负载电池盒1个，手指保护器1个，金刚石切割片1个，树脂锯片4个，辅助螺丝刀1个，冷却液1包，尖嘴钳1个，练习光盘1张，使用说明书一套、产品合格证、检测报告复印件、保修卡。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三角木垫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1、常用材质：木质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2、规格（mm）：100×100×100、150×150×150、200×200×200各二块。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3、开锯角度： 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4、产品型式：三角状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三角塑料阻车器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1、规格</w:t>
            </w:r>
            <w:r>
              <w:rPr>
                <w:rFonts w:hint="eastAsia" w:ascii="宋体" w:hAnsi="宋体" w:eastAsia="宋体" w:cs="宋体"/>
                <w:color w:val="000000"/>
                <w:sz w:val="24"/>
                <w:szCs w:val="24"/>
                <w:highlight w:val="none"/>
                <w:lang w:bidi="ar"/>
              </w:rPr>
              <w:t xml:space="preserve">：约45</w:t>
            </w:r>
            <w:r>
              <w:rPr>
                <w:rFonts w:hint="eastAsia" w:ascii="宋体" w:hAnsi="宋体" w:eastAsia="宋体" w:cs="宋体"/>
                <w:color w:val="000000"/>
                <w:sz w:val="24"/>
                <w:szCs w:val="24"/>
                <w:lang w:bidi="ar"/>
              </w:rPr>
              <w:t xml:space="preserve">×20×25cm3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2、材质：主要为高密度聚乙烯（HDPE） 或 聚丙烯（PP） 等工程塑料</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3、结构类型：包括实心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4、中号塑料阻车器重量通常在≥ 1.5kg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铝合金安全钩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1、符合XF494-2023《消防用防坠落装备》要求。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2、材料为高强度铝合金，形状为D型。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3、有自动保护二锁装置（转动和开锁）。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4、外观应无棱角、毛刺、裂纹，无明显压痕和划伤等缺陷，边缘呈弧形。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5、在开口闭合状态时，安全钩长轴破裂强度≥30KN。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6、在开口打开状态时，安全钩长轴破裂强度≥8KN。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7、安全钩短轴破裂强度≥10KN。。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8、安全钩经GB/T 10125规定的48小时中性盐雾试验后，外观符合 GB/T 6461外观等级评定轻微级的要求，并保持原有性能。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9、开口距离：：≥20mm。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10、应具有生产厂家、生产日期、型号等永久性标识。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全身吊带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1、安全吊带，固定于上身、腰部、大腿或臀部以下部位，适用于救援与紧急逃生。根据人体工程学设计应加宽腰部和腿部衬垫，使得更加透气，应具有优秀的悬吊承托功能；可以进行操作人员的倒置作业。</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2、总体性</w:t>
            </w:r>
            <w:r>
              <w:rPr>
                <w:rFonts w:hint="eastAsia" w:ascii="宋体" w:hAnsi="宋体" w:eastAsia="宋体" w:cs="宋体"/>
                <w:color w:val="000000"/>
                <w:sz w:val="24"/>
                <w:szCs w:val="24"/>
                <w:highlight w:val="none"/>
                <w:lang w:bidi="ar"/>
              </w:rPr>
              <w:t xml:space="preserve">能符合XF494-2023</w:t>
            </w:r>
            <w:r>
              <w:rPr>
                <w:rFonts w:hint="eastAsia" w:ascii="宋体" w:hAnsi="宋体" w:eastAsia="宋体" w:cs="宋体"/>
                <w:color w:val="000000"/>
                <w:sz w:val="24"/>
                <w:szCs w:val="24"/>
                <w:lang w:bidi="ar"/>
              </w:rPr>
              <w:t xml:space="preserve">《消防用防坠落装备》要求。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3、全身吊带由高强尼龙织带、高发泡衬垫的腰带和腿环、胸式上升器、调节钢扣、金属拉环等组成。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安全吊带的织带和缝线由原纤维制成。承重织带，材质：涤纶丝，宽度：45±1mm，。织带为一整根，无接缝，边缘无松脱、割口或磨损。能调节尺寸大小，吊带的织带边缘通过热封措施来防止织线松脱。经204℃±5℃的耐高温性能试验后，安全带的织带和缝线不会出现融熔、焦化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5、安全吊带不少于6个铝合金材质的金属拉环。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6、金属部件应无棱角、毛刺，无裂纹、无明显压痕和划伤等缺陷，其边缘呈弧形。零部件安装端正，整带平直、整洁，没有污油渍、缺损及其他外观缺陷。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安全吊带通过静负荷性能（正立方向静拉力≥22kN）和抗冲击性能试验，试验后，不会从人体模型上松脱，安全吊带上的带扣和调节装置滑移距离不会超过10mm，而且安全吊带不会出现影响其安全性能的明显损伤。</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高空绳索救援套装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1、头灯1个：</w:t>
            </w:r>
            <w:r>
              <w:rPr>
                <w:rStyle w:val="1188"/>
                <w:rFonts w:hint="default"/>
                <w:sz w:val="24"/>
                <w:szCs w:val="24"/>
                <w:lang w:bidi="ar"/>
              </w:rPr>
              <w:br/>
            </w:r>
            <w:r>
              <w:rPr>
                <w:rStyle w:val="1188"/>
                <w:rFonts w:hint="default"/>
                <w:sz w:val="24"/>
                <w:szCs w:val="24"/>
                <w:lang w:bidi="ar"/>
              </w:rPr>
              <w:t xml:space="preserve">1.1恒定照明；</w:t>
            </w:r>
            <w:r>
              <w:rPr>
                <w:rStyle w:val="1188"/>
                <w:rFonts w:hint="default"/>
                <w:sz w:val="24"/>
                <w:szCs w:val="24"/>
                <w:lang w:bidi="ar"/>
              </w:rPr>
              <w:br/>
            </w:r>
            <w:r>
              <w:rPr>
                <w:rStyle w:val="1188"/>
                <w:rFonts w:hint="default"/>
                <w:sz w:val="24"/>
                <w:szCs w:val="24"/>
                <w:lang w:bidi="ar"/>
              </w:rPr>
              <w:t xml:space="preserve">1.2聚光、泛光，红光；</w:t>
            </w:r>
            <w:r>
              <w:rPr>
                <w:rStyle w:val="1188"/>
                <w:rFonts w:hint="default"/>
                <w:sz w:val="24"/>
                <w:szCs w:val="24"/>
                <w:lang w:bidi="ar"/>
              </w:rPr>
              <w:br/>
            </w:r>
            <w:r>
              <w:rPr>
                <w:rStyle w:val="1188"/>
                <w:rFonts w:hint="default"/>
                <w:sz w:val="24"/>
                <w:szCs w:val="24"/>
                <w:lang w:bidi="ar"/>
              </w:rPr>
              <w:t xml:space="preserve">1.3能源：电池≥18000mA；</w:t>
            </w:r>
            <w:r>
              <w:rPr>
                <w:rStyle w:val="1188"/>
                <w:rFonts w:hint="default"/>
                <w:sz w:val="24"/>
                <w:szCs w:val="24"/>
                <w:lang w:bidi="ar"/>
              </w:rPr>
              <w:br/>
            </w:r>
            <w:r>
              <w:rPr>
                <w:rStyle w:val="1188"/>
                <w:rFonts w:hint="default"/>
                <w:sz w:val="24"/>
                <w:szCs w:val="24"/>
                <w:lang w:bidi="ar"/>
              </w:rPr>
              <w:t xml:space="preserve">1.4电池兼容性：电池供电，Type-C 充电接口可充电；</w:t>
            </w:r>
            <w:r>
              <w:rPr>
                <w:rStyle w:val="1188"/>
                <w:rFonts w:hint="default"/>
                <w:sz w:val="24"/>
                <w:szCs w:val="24"/>
                <w:lang w:bidi="ar"/>
              </w:rPr>
              <w:br/>
            </w:r>
            <w:r>
              <w:rPr>
                <w:rStyle w:val="1188"/>
                <w:rFonts w:hint="default"/>
                <w:sz w:val="24"/>
                <w:szCs w:val="24"/>
                <w:lang w:bidi="ar"/>
              </w:rPr>
              <w:t xml:space="preserve">1.5水密性：达到IP68（水下2米）。</w:t>
            </w:r>
            <w:r>
              <w:rPr>
                <w:rStyle w:val="1188"/>
                <w:rFonts w:hint="default"/>
                <w:sz w:val="24"/>
                <w:szCs w:val="24"/>
                <w:lang w:bidi="ar"/>
              </w:rPr>
              <w:br/>
            </w:r>
            <w:r>
              <w:rPr>
                <w:rStyle w:val="1188"/>
                <w:rFonts w:hint="default"/>
                <w:sz w:val="24"/>
                <w:szCs w:val="24"/>
                <w:lang w:bidi="ar"/>
              </w:rPr>
              <w:t xml:space="preserve">2、护目镜1个：</w:t>
            </w:r>
            <w:r>
              <w:rPr>
                <w:rStyle w:val="1188"/>
                <w:rFonts w:hint="default"/>
                <w:sz w:val="24"/>
                <w:szCs w:val="24"/>
                <w:lang w:bidi="ar"/>
              </w:rPr>
              <w:br/>
            </w:r>
            <w:r>
              <w:rPr>
                <w:rStyle w:val="1188"/>
                <w:rFonts w:hint="default"/>
                <w:sz w:val="24"/>
                <w:szCs w:val="24"/>
                <w:lang w:bidi="ar"/>
              </w:rPr>
              <w:t xml:space="preserve">2.1护⽬镜需与头盔配合使⽤，用于人员⼯作时预防⻜屑、外物⼊眼，紫外线伤害，⼭岳搜救时预防树技刮眼等。</w:t>
            </w:r>
            <w:r>
              <w:rPr>
                <w:rStyle w:val="1188"/>
                <w:rFonts w:hint="default"/>
                <w:sz w:val="24"/>
                <w:szCs w:val="24"/>
                <w:lang w:bidi="ar"/>
              </w:rPr>
              <w:br/>
            </w:r>
            <w:r>
              <w:rPr>
                <w:rStyle w:val="1188"/>
                <w:rFonts w:hint="default"/>
                <w:sz w:val="24"/>
                <w:szCs w:val="24"/>
                <w:lang w:bidi="ar"/>
              </w:rPr>
              <w:t xml:space="preserve">3、救援头盔1个：</w:t>
            </w:r>
            <w:r>
              <w:rPr>
                <w:rStyle w:val="1188"/>
                <w:rFonts w:hint="default"/>
                <w:sz w:val="24"/>
                <w:szCs w:val="24"/>
                <w:lang w:bidi="ar"/>
              </w:rPr>
              <w:br/>
            </w:r>
            <w:r>
              <w:rPr>
                <w:rStyle w:val="1188"/>
                <w:rFonts w:hint="default"/>
                <w:sz w:val="24"/>
                <w:szCs w:val="24"/>
                <w:lang w:bidi="ar"/>
              </w:rPr>
              <w:t xml:space="preserve">3.1 聚丙烯、ABS、聚苯⼄烯，头围：头围可调节大小，重量：≤450g； 可⽤于⾼空作业及⼭岳救援，对救援⼈员的防护。头盔四向有反光标。顶部有≥12个透⽓孔。≥5个外置卡扣，可装置头灯，防晒帽檐。两侧应预留有护⽬镜专⽤孔位及防噪⾳⽿机孔。头盔后部有轮式调节系统，可调节头围⼤⼩，两侧调节扣可调节头盔的前后左右，确保佩戴的稳定性和舒适性。多⾊选择，可满⾜团队不同岗位⼈员的区分需求。</w:t>
            </w:r>
            <w:r>
              <w:rPr>
                <w:rStyle w:val="1188"/>
                <w:rFonts w:hint="default"/>
                <w:sz w:val="24"/>
                <w:szCs w:val="24"/>
                <w:lang w:bidi="ar"/>
              </w:rPr>
              <w:br/>
            </w:r>
            <w:r>
              <w:rPr>
                <w:rStyle w:val="1188"/>
                <w:rFonts w:hint="default"/>
                <w:sz w:val="24"/>
                <w:szCs w:val="24"/>
                <w:lang w:bidi="ar"/>
              </w:rPr>
              <w:t xml:space="preserve">4、全身型安全吊带1副：</w:t>
            </w:r>
            <w:r>
              <w:rPr>
                <w:rStyle w:val="1188"/>
                <w:rFonts w:hint="default"/>
                <w:sz w:val="24"/>
                <w:szCs w:val="24"/>
                <w:lang w:bidi="ar"/>
              </w:rPr>
              <w:br/>
            </w:r>
            <w:r>
              <w:rPr>
                <w:rStyle w:val="1188"/>
                <w:rFonts w:hint="default"/>
                <w:sz w:val="24"/>
                <w:szCs w:val="24"/>
                <w:lang w:bidi="ar"/>
              </w:rPr>
              <w:t xml:space="preserve">4.1锦纶、涤纶、铝合⾦、钢；可调节的宽厚腿环，配置双重防脱调节快扣，便于⽤⼾在绳上作业时调整腿环松紧度，保证坐姿舒适性，并增加穿脱便利性；</w:t>
            </w:r>
            <w:r>
              <w:rPr>
                <w:rStyle w:val="1188"/>
                <w:rFonts w:hint="default"/>
                <w:sz w:val="24"/>
                <w:szCs w:val="24"/>
                <w:lang w:bidi="ar"/>
              </w:rPr>
              <w:br/>
            </w:r>
            <w:r>
              <w:rPr>
                <w:rStyle w:val="1188"/>
                <w:rFonts w:hint="default"/>
                <w:sz w:val="24"/>
                <w:szCs w:val="24"/>
                <w:lang w:bidi="ar"/>
              </w:rPr>
              <w:t xml:space="preserve">4.</w:t>
            </w:r>
            <w:r>
              <w:rPr>
                <w:rStyle w:val="1188"/>
                <w:rFonts w:hint="default"/>
                <w:color w:val="auto"/>
                <w:sz w:val="24"/>
                <w:szCs w:val="24"/>
                <w:lang w:bidi="ar"/>
              </w:rPr>
              <w:t xml:space="preserve">2胸式上升器使⽤多向受⼒圆环锁固定在安全带上；</w:t>
            </w:r>
            <w:r>
              <w:rPr>
                <w:rStyle w:val="1188"/>
                <w:rFonts w:hint="default"/>
                <w:color w:val="auto"/>
                <w:sz w:val="24"/>
                <w:szCs w:val="24"/>
                <w:lang w:bidi="ar"/>
              </w:rPr>
              <w:br/>
            </w:r>
            <w:r>
              <w:rPr>
                <w:rStyle w:val="1189"/>
                <w:rFonts w:hint="default"/>
                <w:color w:val="auto"/>
                <w:sz w:val="24"/>
                <w:szCs w:val="24"/>
                <w:lang w:bidi="ar"/>
              </w:rPr>
              <w:t xml:space="preserve">4.3应有4个挂点以上，腰护上有5个装备环，护腰带两侧⾸个为硬质定型材质。腹部铝合⾦挂点两侧有坐板连接挂⽿；</w:t>
            </w:r>
            <w:r>
              <w:rPr>
                <w:rStyle w:val="1188"/>
                <w:rFonts w:hint="default"/>
                <w:color w:val="auto"/>
                <w:sz w:val="24"/>
                <w:szCs w:val="24"/>
                <w:lang w:bidi="ar"/>
              </w:rPr>
              <w:br/>
            </w:r>
            <w:r>
              <w:rPr>
                <w:rStyle w:val="1188"/>
                <w:rFonts w:hint="default"/>
                <w:color w:val="auto"/>
                <w:sz w:val="24"/>
                <w:szCs w:val="24"/>
                <w:lang w:bidi="ar"/>
              </w:rPr>
              <w:t xml:space="preserve">4.4护腰带两侧⾸个</w:t>
            </w:r>
            <w:r>
              <w:rPr>
                <w:rStyle w:val="1188"/>
                <w:rFonts w:hint="default"/>
                <w:sz w:val="24"/>
                <w:szCs w:val="24"/>
                <w:lang w:bidi="ar"/>
              </w:rPr>
              <w:t xml:space="preserve">装备环应为硬质定型材质，以提供充⾜的装备携带能⼒；</w:t>
            </w:r>
            <w:r>
              <w:rPr>
                <w:rStyle w:val="1188"/>
                <w:rFonts w:hint="default"/>
                <w:sz w:val="24"/>
                <w:szCs w:val="24"/>
                <w:lang w:bidi="ar"/>
              </w:rPr>
              <w:br/>
            </w:r>
            <w:r>
              <w:rPr>
                <w:rStyle w:val="1188"/>
                <w:rFonts w:hint="default"/>
                <w:sz w:val="24"/>
                <w:szCs w:val="24"/>
                <w:lang w:bidi="ar"/>
              </w:rPr>
              <w:t xml:space="preserve">4.5腹部护腰带正中的铝合⾦挂点两侧有坐板连接挂⽿；可链接⾼空作业坐板；</w:t>
            </w:r>
            <w:r>
              <w:rPr>
                <w:rStyle w:val="1188"/>
                <w:rFonts w:hint="default"/>
                <w:sz w:val="24"/>
                <w:szCs w:val="24"/>
                <w:lang w:bidi="ar"/>
              </w:rPr>
              <w:br/>
            </w:r>
            <w:r>
              <w:rPr>
                <w:rStyle w:val="1188"/>
                <w:rFonts w:hint="default"/>
                <w:sz w:val="24"/>
                <w:szCs w:val="24"/>
                <w:lang w:bidi="ar"/>
              </w:rPr>
              <w:t xml:space="preserve">4.6双肩前部有安全绳挂钩安置挂点。</w:t>
            </w:r>
            <w:r>
              <w:rPr>
                <w:rStyle w:val="1188"/>
                <w:rFonts w:hint="default"/>
                <w:sz w:val="24"/>
                <w:szCs w:val="24"/>
                <w:lang w:bidi="ar"/>
              </w:rPr>
              <w:br/>
            </w:r>
            <w:r>
              <w:rPr>
                <w:rStyle w:val="1188"/>
                <w:rFonts w:hint="default"/>
                <w:sz w:val="24"/>
                <w:szCs w:val="24"/>
                <w:lang w:bidi="ar"/>
              </w:rPr>
              <w:t xml:space="preserve">5、止坠器套件1套：</w:t>
            </w:r>
            <w:r>
              <w:rPr>
                <w:rStyle w:val="1188"/>
                <w:rFonts w:hint="default"/>
                <w:sz w:val="24"/>
                <w:szCs w:val="24"/>
                <w:lang w:bidi="ar"/>
              </w:rPr>
              <w:br/>
            </w:r>
            <w:r>
              <w:rPr>
                <w:rStyle w:val="1188"/>
                <w:rFonts w:hint="default"/>
                <w:sz w:val="24"/>
                <w:szCs w:val="24"/>
                <w:lang w:bidi="ar"/>
              </w:rPr>
              <w:t xml:space="preserve">5.1止坠器用于简化使用者沿绳索上升时的操作，一般使用时，装备不需要人为干预，可跟随使用者在绳索上自由移动。如遇坠落冲击或突然加速，移动止坠器将在绳索上制动并制止使用者的下坠。，负重≥250kg 可双人救援用。</w:t>
            </w:r>
            <w:r>
              <w:rPr>
                <w:rStyle w:val="1188"/>
                <w:rFonts w:hint="default"/>
                <w:sz w:val="24"/>
                <w:szCs w:val="24"/>
                <w:lang w:bidi="ar"/>
              </w:rPr>
              <w:br/>
            </w:r>
            <w:r>
              <w:rPr>
                <w:rStyle w:val="1188"/>
                <w:rFonts w:hint="default"/>
                <w:sz w:val="24"/>
                <w:szCs w:val="24"/>
                <w:lang w:bidi="ar"/>
              </w:rPr>
              <w:t xml:space="preserve">5.2救援缓冲带与移动止坠器配合使用，能保持绳索与作业人员的距离，在工作阶段能起到保护绳索的作用。配有撕裂式扁带，装在一个防磨损的带拉链的袋子里。负重≥250kg可双人救援用。</w:t>
            </w:r>
            <w:r>
              <w:rPr>
                <w:rStyle w:val="1188"/>
                <w:rFonts w:hint="default"/>
                <w:sz w:val="24"/>
                <w:szCs w:val="24"/>
                <w:lang w:bidi="ar"/>
              </w:rPr>
              <w:br/>
            </w:r>
            <w:r>
              <w:rPr>
                <w:rStyle w:val="1188"/>
                <w:rFonts w:hint="default"/>
                <w:sz w:val="24"/>
                <w:szCs w:val="24"/>
                <w:lang w:bidi="ar"/>
              </w:rPr>
              <w:t xml:space="preserve">6、自动制停下降器1个：</w:t>
            </w:r>
            <w:r>
              <w:rPr>
                <w:rStyle w:val="1188"/>
                <w:rFonts w:hint="default"/>
                <w:sz w:val="24"/>
                <w:szCs w:val="24"/>
                <w:lang w:bidi="ar"/>
              </w:rPr>
              <w:br/>
            </w:r>
            <w:r>
              <w:rPr>
                <w:rStyle w:val="1188"/>
                <w:rFonts w:hint="default"/>
                <w:sz w:val="24"/>
                <w:szCs w:val="24"/>
                <w:lang w:bidi="ar"/>
              </w:rPr>
              <w:t xml:space="preserve">6.1防恐慌自动制停下降保护器和手动自锁功能，绳索反向误装自锁功能；</w:t>
            </w:r>
            <w:r>
              <w:rPr>
                <w:rStyle w:val="1188"/>
                <w:rFonts w:hint="default"/>
                <w:sz w:val="24"/>
                <w:szCs w:val="24"/>
                <w:lang w:bidi="ar"/>
              </w:rPr>
              <w:br/>
            </w:r>
            <w:r>
              <w:rPr>
                <w:rStyle w:val="1188"/>
                <w:rFonts w:hint="default"/>
                <w:sz w:val="24"/>
                <w:szCs w:val="24"/>
                <w:lang w:bidi="ar"/>
              </w:rPr>
              <w:t xml:space="preserve">7、ID专用摩擦块1块：</w:t>
            </w:r>
            <w:r>
              <w:rPr>
                <w:rStyle w:val="1188"/>
                <w:rFonts w:hint="default"/>
                <w:sz w:val="24"/>
                <w:szCs w:val="24"/>
                <w:lang w:bidi="ar"/>
              </w:rPr>
              <w:br/>
            </w:r>
            <w:r>
              <w:rPr>
                <w:rStyle w:val="1188"/>
                <w:rFonts w:hint="default"/>
                <w:sz w:val="24"/>
                <w:szCs w:val="24"/>
                <w:lang w:bidi="ar"/>
              </w:rPr>
              <w:t xml:space="preserve">7.1开启型辅助制动块用于自动制停下降器。可以根据负重以及绳索直径增加摩擦，并可随时安装或取下绳索。</w:t>
            </w:r>
            <w:r>
              <w:rPr>
                <w:rStyle w:val="1188"/>
                <w:rFonts w:hint="default"/>
                <w:sz w:val="24"/>
                <w:szCs w:val="24"/>
                <w:lang w:bidi="ar"/>
              </w:rPr>
              <w:br/>
            </w:r>
            <w:r>
              <w:rPr>
                <w:rStyle w:val="1188"/>
                <w:rFonts w:hint="default"/>
                <w:sz w:val="24"/>
                <w:szCs w:val="24"/>
                <w:lang w:bidi="ar"/>
              </w:rPr>
              <w:t xml:space="preserve">8、绳索手式上升器1副：</w:t>
            </w:r>
            <w:r>
              <w:rPr>
                <w:rStyle w:val="1188"/>
                <w:rFonts w:hint="default"/>
                <w:sz w:val="24"/>
                <w:szCs w:val="24"/>
                <w:lang w:bidi="ar"/>
              </w:rPr>
              <w:br/>
            </w:r>
            <w:r>
              <w:rPr>
                <w:rStyle w:val="1188"/>
                <w:rFonts w:hint="default"/>
                <w:sz w:val="24"/>
                <w:szCs w:val="24"/>
                <w:lang w:bidi="ar"/>
              </w:rPr>
              <w:t xml:space="preserve">8.1铝合⾦，不锈钢，塑料；适⽤绳径：8-13mm，⼯作负荷：≥5kN。</w:t>
            </w:r>
            <w:r>
              <w:rPr>
                <w:rStyle w:val="1188"/>
                <w:rFonts w:hint="default"/>
                <w:sz w:val="24"/>
                <w:szCs w:val="24"/>
                <w:lang w:bidi="ar"/>
              </w:rPr>
              <w:br/>
            </w:r>
            <w:r>
              <w:rPr>
                <w:rStyle w:val="1188"/>
                <w:rFonts w:hint="default"/>
                <w:sz w:val="24"/>
                <w:szCs w:val="24"/>
                <w:lang w:bidi="ar"/>
              </w:rPr>
              <w:t xml:space="preserve">9、脚踏圈2条：</w:t>
            </w:r>
            <w:r>
              <w:rPr>
                <w:rStyle w:val="1188"/>
                <w:rFonts w:hint="default"/>
                <w:sz w:val="24"/>
                <w:szCs w:val="24"/>
                <w:lang w:bidi="ar"/>
              </w:rPr>
              <w:br/>
            </w:r>
            <w:r>
              <w:rPr>
                <w:rStyle w:val="1188"/>
                <w:rFonts w:hint="default"/>
                <w:sz w:val="24"/>
                <w:szCs w:val="24"/>
                <w:lang w:bidi="ar"/>
              </w:rPr>
              <w:t xml:space="preserve">9.1速调式脚蹬绳，应用于救援，登山，攀岩等高空作业活动，大力马绳与扁带的结合，拉力大，轻便；打组缝合，绳芯不滑动；不锈钢二孔调节扣，快速调节绳索长度。长度：35-150±3cm、 直径：5.3±2mm、破断⼒：≥4KN。</w:t>
            </w:r>
            <w:r>
              <w:rPr>
                <w:rStyle w:val="1188"/>
                <w:rFonts w:hint="default"/>
                <w:sz w:val="24"/>
                <w:szCs w:val="24"/>
                <w:lang w:bidi="ar"/>
              </w:rPr>
              <w:br/>
            </w:r>
            <w:r>
              <w:rPr>
                <w:rStyle w:val="1188"/>
                <w:rFonts w:hint="default"/>
                <w:sz w:val="24"/>
                <w:szCs w:val="24"/>
                <w:lang w:bidi="ar"/>
              </w:rPr>
              <w:t xml:space="preserve">10、快挂扁带（11cm±3mm）1根：</w:t>
            </w:r>
            <w:r>
              <w:rPr>
                <w:rStyle w:val="1188"/>
                <w:rFonts w:hint="default"/>
                <w:sz w:val="24"/>
                <w:szCs w:val="24"/>
                <w:lang w:bidi="ar"/>
              </w:rPr>
              <w:br/>
            </w:r>
            <w:r>
              <w:rPr>
                <w:rStyle w:val="1188"/>
                <w:rFonts w:hint="default"/>
                <w:sz w:val="24"/>
                <w:szCs w:val="24"/>
                <w:lang w:bidi="ar"/>
              </w:rPr>
              <w:t xml:space="preserve">10.1符合人体工程学的形状更容易抓握，以保持登山扣的正确方向，并有助于保护登山扣连接环免受磨损，长度:11cm±3mm、承受拉力≥22kN。</w:t>
            </w:r>
            <w:r>
              <w:rPr>
                <w:rStyle w:val="1188"/>
                <w:rFonts w:hint="default"/>
                <w:sz w:val="24"/>
                <w:szCs w:val="24"/>
                <w:lang w:bidi="ar"/>
              </w:rPr>
              <w:br/>
            </w:r>
            <w:r>
              <w:rPr>
                <w:rStyle w:val="1188"/>
                <w:rFonts w:hint="default"/>
                <w:sz w:val="24"/>
                <w:szCs w:val="24"/>
                <w:lang w:bidi="ar"/>
              </w:rPr>
              <w:t xml:space="preserve">11、快挂扁带（17cm±3mm）1根：</w:t>
            </w:r>
            <w:r>
              <w:rPr>
                <w:rStyle w:val="1188"/>
                <w:rFonts w:hint="default"/>
                <w:sz w:val="24"/>
                <w:szCs w:val="24"/>
                <w:lang w:bidi="ar"/>
              </w:rPr>
              <w:br/>
            </w:r>
            <w:r>
              <w:rPr>
                <w:rStyle w:val="1188"/>
                <w:rFonts w:hint="default"/>
                <w:sz w:val="24"/>
                <w:szCs w:val="24"/>
                <w:lang w:bidi="ar"/>
              </w:rPr>
              <w:t xml:space="preserve">11.1符合人体工程学的形状更容易抓握，以保持登山扣的正确方向，并有助于保护登山扣连接环免受磨损，长度:17cm±3mm、承受拉力≥20kN。</w:t>
            </w:r>
            <w:r>
              <w:rPr>
                <w:rStyle w:val="1188"/>
                <w:rFonts w:hint="default"/>
                <w:sz w:val="24"/>
                <w:szCs w:val="24"/>
                <w:lang w:bidi="ar"/>
              </w:rPr>
              <w:br/>
            </w:r>
            <w:r>
              <w:rPr>
                <w:rStyle w:val="1188"/>
                <w:rFonts w:hint="default"/>
                <w:sz w:val="24"/>
                <w:szCs w:val="24"/>
                <w:lang w:bidi="ar"/>
              </w:rPr>
              <w:t xml:space="preserve">12、单条可调挽索1根：</w:t>
            </w:r>
            <w:r>
              <w:rPr>
                <w:rStyle w:val="1188"/>
                <w:rFonts w:hint="default"/>
                <w:sz w:val="24"/>
                <w:szCs w:val="24"/>
                <w:lang w:bidi="ar"/>
              </w:rPr>
              <w:br/>
            </w:r>
            <w:r>
              <w:rPr>
                <w:rStyle w:val="1188"/>
                <w:rFonts w:hint="default"/>
                <w:sz w:val="24"/>
                <w:szCs w:val="24"/>
                <w:lang w:bidi="ar"/>
              </w:rPr>
              <w:t xml:space="preserve">12.1可调式行进单挽索，单臂可调节至1m。 </w:t>
            </w:r>
            <w:r>
              <w:rPr>
                <w:rStyle w:val="1188"/>
                <w:rFonts w:hint="default"/>
                <w:sz w:val="24"/>
                <w:szCs w:val="24"/>
                <w:lang w:bidi="ar"/>
              </w:rPr>
              <w:br/>
            </w:r>
            <w:r>
              <w:rPr>
                <w:rStyle w:val="1188"/>
                <w:rFonts w:hint="default"/>
                <w:sz w:val="24"/>
                <w:szCs w:val="24"/>
                <w:lang w:bidi="ar"/>
              </w:rPr>
              <w:t xml:space="preserve">13、成型牛尾1根：</w:t>
            </w:r>
            <w:r>
              <w:rPr>
                <w:rStyle w:val="1188"/>
                <w:rFonts w:hint="default"/>
                <w:sz w:val="24"/>
                <w:szCs w:val="24"/>
                <w:lang w:bidi="ar"/>
              </w:rPr>
              <w:br/>
            </w:r>
            <w:r>
              <w:rPr>
                <w:rStyle w:val="1188"/>
                <w:rFonts w:hint="default"/>
                <w:sz w:val="24"/>
                <w:szCs w:val="24"/>
                <w:lang w:bidi="ar"/>
              </w:rPr>
              <w:t xml:space="preserve">13.1材质：绳皮涤纶，绳心尼龙；长度：70cm(±2cm) ；直径：10.5±1mm；最小破断强度：≥15kN；不可调节动力挽索（安全绳），它也可设置成临时锚点。两端有塑料保护套能固定锁扣位置，使用更方便，亦可保护终端降低绳索磨损。</w:t>
            </w:r>
            <w:r>
              <w:rPr>
                <w:rStyle w:val="1188"/>
                <w:rFonts w:hint="default"/>
                <w:sz w:val="24"/>
                <w:szCs w:val="24"/>
                <w:lang w:bidi="ar"/>
              </w:rPr>
              <w:br/>
            </w:r>
            <w:r>
              <w:rPr>
                <w:rStyle w:val="1188"/>
                <w:rFonts w:hint="default"/>
                <w:sz w:val="24"/>
                <w:szCs w:val="24"/>
                <w:lang w:bidi="ar"/>
              </w:rPr>
              <w:t xml:space="preserve">14、1.5米牛尾绳1根：</w:t>
            </w:r>
            <w:r>
              <w:rPr>
                <w:rStyle w:val="1188"/>
                <w:rFonts w:hint="default"/>
                <w:sz w:val="24"/>
                <w:szCs w:val="24"/>
                <w:lang w:bidi="ar"/>
              </w:rPr>
              <w:br/>
            </w:r>
            <w:r>
              <w:rPr>
                <w:rStyle w:val="1188"/>
                <w:rFonts w:hint="default"/>
                <w:sz w:val="24"/>
                <w:szCs w:val="24"/>
                <w:lang w:bidi="ar"/>
              </w:rPr>
              <w:t xml:space="preserve">14.1材质：绳皮涤纶，绳心尼龙；长度：150cm(±2cm) ；直径：10.5mm；最小破断强度：≥15kN ；不可调节动力挽索（安全绳），它也可设置成临时锚点。两端有塑料保护套能固定锁扣位置，使用更方便，亦可保护终端降低绳索磨损。</w:t>
            </w:r>
            <w:r>
              <w:rPr>
                <w:rStyle w:val="1188"/>
                <w:rFonts w:hint="default"/>
                <w:sz w:val="24"/>
                <w:szCs w:val="24"/>
                <w:lang w:bidi="ar"/>
              </w:rPr>
              <w:br/>
            </w:r>
            <w:r>
              <w:rPr>
                <w:rStyle w:val="1188"/>
                <w:rFonts w:hint="default"/>
                <w:sz w:val="24"/>
                <w:szCs w:val="24"/>
                <w:lang w:bidi="ar"/>
              </w:rPr>
              <w:t xml:space="preserve">15、1.7米牛尾1根：</w:t>
            </w:r>
            <w:r>
              <w:rPr>
                <w:rStyle w:val="1188"/>
                <w:rFonts w:hint="default"/>
                <w:sz w:val="24"/>
                <w:szCs w:val="24"/>
                <w:lang w:bidi="ar"/>
              </w:rPr>
              <w:br/>
            </w:r>
            <w:r>
              <w:rPr>
                <w:rStyle w:val="1188"/>
                <w:rFonts w:hint="default"/>
                <w:sz w:val="24"/>
                <w:szCs w:val="24"/>
                <w:lang w:bidi="ar"/>
              </w:rPr>
              <w:t xml:space="preserve">15.1单绳的大直径适合在室内岩馆和在岩石上都能通用。这款单绳的加厚表皮增加了更好耐用性和控制度。直径：≤10.5mm 长度1.5米±2CM。</w:t>
            </w:r>
            <w:r>
              <w:rPr>
                <w:rStyle w:val="1188"/>
                <w:rFonts w:hint="default"/>
                <w:sz w:val="24"/>
                <w:szCs w:val="24"/>
                <w:lang w:bidi="ar"/>
              </w:rPr>
              <w:br/>
            </w:r>
            <w:r>
              <w:rPr>
                <w:rStyle w:val="1188"/>
                <w:rFonts w:hint="default"/>
                <w:sz w:val="24"/>
                <w:szCs w:val="24"/>
                <w:lang w:bidi="ar"/>
              </w:rPr>
              <w:t xml:space="preserve">16、D型自动锁（三段）5个：</w:t>
            </w:r>
            <w:r>
              <w:rPr>
                <w:rStyle w:val="1188"/>
                <w:rFonts w:hint="default"/>
                <w:sz w:val="24"/>
                <w:szCs w:val="24"/>
                <w:lang w:bidi="ar"/>
              </w:rPr>
              <w:br/>
            </w:r>
            <w:r>
              <w:rPr>
                <w:rStyle w:val="1188"/>
                <w:rFonts w:hint="default"/>
                <w:sz w:val="24"/>
                <w:szCs w:val="24"/>
                <w:lang w:bidi="ar"/>
              </w:rPr>
              <w:t xml:space="preserve">16.1不对称铝制锁扣是由铝合金制成；D形的外形特别适合连接下降器或定位挽索之类的装备；流畅的内部设计让使用更为简便；三段自动锁门结构；可与固定杆配合使用，能使主锁在主轴受力，减少翻转的风险，并保持与装备的连接.   纵向拉力≥27KN， 横向拉力≥8KN，开口拉力：≥7KN  。</w:t>
            </w:r>
            <w:r>
              <w:rPr>
                <w:rStyle w:val="1188"/>
                <w:rFonts w:hint="default"/>
                <w:sz w:val="24"/>
                <w:szCs w:val="24"/>
                <w:lang w:bidi="ar"/>
              </w:rPr>
              <w:br/>
            </w:r>
            <w:r>
              <w:rPr>
                <w:rStyle w:val="1188"/>
                <w:rFonts w:hint="default"/>
                <w:sz w:val="24"/>
                <w:szCs w:val="24"/>
                <w:lang w:bidi="ar"/>
              </w:rPr>
              <w:t xml:space="preserve">17、锁扣固定杆（10个）：</w:t>
            </w:r>
            <w:r>
              <w:rPr>
                <w:rStyle w:val="1188"/>
                <w:rFonts w:hint="default"/>
                <w:sz w:val="24"/>
                <w:szCs w:val="24"/>
                <w:lang w:bidi="ar"/>
              </w:rPr>
              <w:br/>
            </w:r>
            <w:r>
              <w:rPr>
                <w:rStyle w:val="1188"/>
                <w:rFonts w:hint="default"/>
                <w:sz w:val="24"/>
                <w:szCs w:val="24"/>
                <w:lang w:bidi="ar"/>
              </w:rPr>
              <w:t xml:space="preserve">17.1固定杆可以将锁扣与挽索固定在一起，保持锁扣位于主轴位置并降低翻转的风险锁扣固定杆。</w:t>
            </w:r>
            <w:r>
              <w:rPr>
                <w:rStyle w:val="1188"/>
                <w:rFonts w:hint="default"/>
                <w:sz w:val="24"/>
                <w:szCs w:val="24"/>
                <w:lang w:bidi="ar"/>
              </w:rPr>
              <w:br/>
            </w:r>
            <w:r>
              <w:rPr>
                <w:rStyle w:val="1188"/>
                <w:rFonts w:hint="default"/>
                <w:sz w:val="24"/>
                <w:szCs w:val="24"/>
                <w:lang w:bidi="ar"/>
              </w:rPr>
              <w:t xml:space="preserve">18、牛尾专用锁1个：</w:t>
            </w:r>
            <w:r>
              <w:rPr>
                <w:rStyle w:val="1188"/>
                <w:rFonts w:hint="default"/>
                <w:sz w:val="24"/>
                <w:szCs w:val="24"/>
                <w:lang w:bidi="ar"/>
              </w:rPr>
              <w:br/>
            </w:r>
            <w:r>
              <w:rPr>
                <w:rStyle w:val="1188"/>
                <w:rFonts w:hint="default"/>
                <w:sz w:val="24"/>
                <w:szCs w:val="24"/>
                <w:lang w:bidi="ar"/>
              </w:rPr>
              <w:t xml:space="preserve">18.1设计用于挂绳的末端可以与定位杆一起使用，以方便沿长轴方向装载登山扣，以限制其翻转的风险并使其与设备保持一体通过中间锚时，便于搬运：符合人体工程学的形状，可实现出色的抓地力自动锁定系统易于使用。通过简单的旋转即可将其解锁宽口可轻松连接连接器-钥匙锁系统，可避免连接器被非自愿卡住， 纵向拉力≥25KN， 横向拉力≥7KN，开口拉力：≥7KN。</w:t>
            </w:r>
            <w:r>
              <w:rPr>
                <w:rStyle w:val="1188"/>
                <w:rFonts w:hint="default"/>
                <w:sz w:val="24"/>
                <w:szCs w:val="24"/>
                <w:lang w:bidi="ar"/>
              </w:rPr>
              <w:br/>
            </w:r>
            <w:r>
              <w:rPr>
                <w:rStyle w:val="1188"/>
                <w:rFonts w:hint="default"/>
                <w:sz w:val="24"/>
                <w:szCs w:val="24"/>
                <w:lang w:bidi="ar"/>
              </w:rPr>
              <w:t xml:space="preserve">19、O型自动锁（三段）2个：</w:t>
            </w:r>
            <w:r>
              <w:rPr>
                <w:rStyle w:val="1188"/>
                <w:rFonts w:hint="default"/>
                <w:sz w:val="24"/>
                <w:szCs w:val="24"/>
                <w:lang w:bidi="ar"/>
              </w:rPr>
              <w:br/>
            </w:r>
            <w:r>
              <w:rPr>
                <w:rStyle w:val="1188"/>
                <w:rFonts w:hint="default"/>
                <w:sz w:val="24"/>
                <w:szCs w:val="24"/>
                <w:lang w:bidi="ar"/>
              </w:rPr>
              <w:t xml:space="preserve">19.1材质：铝合⾦；纵向最⼩破断强度：≥25kN；横向最⼩破断强度：≥8kN；开⼝拉⼒：≥7kN。</w:t>
            </w:r>
            <w:r>
              <w:rPr>
                <w:rStyle w:val="1188"/>
                <w:rFonts w:hint="default"/>
                <w:sz w:val="24"/>
                <w:szCs w:val="24"/>
                <w:lang w:bidi="ar"/>
              </w:rPr>
              <w:br/>
            </w:r>
            <w:r>
              <w:rPr>
                <w:rStyle w:val="1188"/>
                <w:rFonts w:hint="default"/>
                <w:sz w:val="24"/>
                <w:szCs w:val="24"/>
                <w:lang w:bidi="ar"/>
              </w:rPr>
              <w:t xml:space="preserve">20、45L背包1个：</w:t>
            </w:r>
            <w:r>
              <w:rPr>
                <w:rStyle w:val="1188"/>
                <w:rFonts w:hint="default"/>
                <w:sz w:val="24"/>
                <w:szCs w:val="24"/>
                <w:lang w:bidi="ar"/>
              </w:rPr>
              <w:br/>
            </w:r>
            <w:r>
              <w:rPr>
                <w:rStyle w:val="1188"/>
                <w:rFonts w:hint="default"/>
                <w:sz w:val="24"/>
                <w:szCs w:val="24"/>
                <w:lang w:bidi="ar"/>
              </w:rPr>
              <w:t xml:space="preserve">20.1材质:聚氯乙烯夹网布+织物、尺寸约：34*24*67cm、容量：≥45L 、能装入100米/10.5MM绳。</w:t>
            </w:r>
            <w:r>
              <w:rPr>
                <w:rStyle w:val="1188"/>
                <w:rFonts w:hint="default"/>
                <w:sz w:val="24"/>
                <w:szCs w:val="24"/>
                <w:lang w:bidi="ar"/>
              </w:rPr>
              <w:br/>
            </w:r>
            <w:r>
              <w:rPr>
                <w:rStyle w:val="1188"/>
                <w:rFonts w:hint="default"/>
                <w:sz w:val="24"/>
                <w:szCs w:val="24"/>
                <w:lang w:bidi="ar"/>
              </w:rPr>
              <w:t xml:space="preserve">21、膝式攀爬绳1根：</w:t>
            </w:r>
            <w:r>
              <w:rPr>
                <w:rStyle w:val="1188"/>
                <w:rFonts w:hint="default"/>
                <w:sz w:val="24"/>
                <w:szCs w:val="24"/>
                <w:lang w:bidi="ar"/>
              </w:rPr>
              <w:br/>
            </w:r>
            <w:r>
              <w:rPr>
                <w:rStyle w:val="1188"/>
                <w:rFonts w:hint="default"/>
                <w:sz w:val="24"/>
                <w:szCs w:val="24"/>
                <w:lang w:bidi="ar"/>
              </w:rPr>
              <w:t xml:space="preserve">21.1攀爬绳，运用于绳索长距离攀爬比赛，节省体力，提高速度。大力马扁带的与橡筋结合，轻巧便携。不锈钢日字调节扣，可配合个人身高调节长度；打组缝合，结实美观；脚蹬扁带上的防脱橡筋可紧紧的固定鞋子。材质：大力马纤维 、脚踏长度：55cm±3cm、直径：10-20mm。</w:t>
            </w:r>
            <w:r>
              <w:rPr>
                <w:rStyle w:val="1188"/>
                <w:rFonts w:hint="default"/>
                <w:sz w:val="24"/>
                <w:szCs w:val="24"/>
                <w:lang w:bidi="ar"/>
              </w:rPr>
              <w:br/>
            </w:r>
            <w:r>
              <w:rPr>
                <w:rStyle w:val="1188"/>
                <w:rFonts w:hint="default"/>
                <w:sz w:val="24"/>
                <w:szCs w:val="24"/>
                <w:lang w:bidi="ar"/>
              </w:rPr>
              <w:t xml:space="preserve">22、胸式上升器1个：</w:t>
            </w:r>
            <w:r>
              <w:rPr>
                <w:rStyle w:val="1188"/>
                <w:rFonts w:hint="default"/>
                <w:sz w:val="24"/>
                <w:szCs w:val="24"/>
                <w:lang w:bidi="ar"/>
              </w:rPr>
              <w:br/>
            </w:r>
            <w:r>
              <w:rPr>
                <w:rStyle w:val="1188"/>
                <w:rFonts w:hint="default"/>
                <w:sz w:val="24"/>
                <w:szCs w:val="24"/>
                <w:lang w:bidi="ar"/>
              </w:rPr>
              <w:t xml:space="preserve">22.1绳索上升和专业救援。材料：铝、不锈钢和尼龙，可兼容8-13mm直径绳索，负重≥100公斤。</w:t>
            </w:r>
            <w:r>
              <w:rPr>
                <w:rStyle w:val="1188"/>
                <w:rFonts w:hint="default"/>
                <w:sz w:val="24"/>
                <w:szCs w:val="24"/>
                <w:lang w:bidi="ar"/>
              </w:rPr>
              <w:br/>
            </w:r>
            <w:r>
              <w:rPr>
                <w:rStyle w:val="1188"/>
                <w:rFonts w:hint="default"/>
                <w:sz w:val="24"/>
                <w:szCs w:val="24"/>
                <w:lang w:bidi="ar"/>
              </w:rPr>
              <w:t xml:space="preserve">23、帆布保护垫1块：</w:t>
            </w:r>
            <w:r>
              <w:rPr>
                <w:rStyle w:val="1188"/>
                <w:rFonts w:hint="default"/>
                <w:sz w:val="24"/>
                <w:szCs w:val="24"/>
                <w:lang w:bidi="ar"/>
              </w:rPr>
              <w:br/>
            </w:r>
            <w:r>
              <w:rPr>
                <w:rStyle w:val="1188"/>
                <w:rFonts w:hint="default"/>
                <w:sz w:val="24"/>
                <w:szCs w:val="24"/>
                <w:lang w:bidi="ar"/>
              </w:rPr>
              <w:t xml:space="preserve">23.1用于救援时，铺垫于地面，有效保护器材与地面的直接磨擦。100%纯棉，耐高温；双层料结构坚固耐磨，充份保护。304不锈钢气眼，垫与垫可拼接；约17MM气眼，可直接穿主锁；保护面积大，特别适合不规则的环境使用。尺寸约：69cm*83cm。</w:t>
            </w:r>
            <w:r>
              <w:rPr>
                <w:rStyle w:val="1188"/>
                <w:rFonts w:hint="default"/>
                <w:sz w:val="24"/>
                <w:szCs w:val="24"/>
                <w:lang w:bidi="ar"/>
              </w:rPr>
              <w:br/>
            </w:r>
            <w:r>
              <w:rPr>
                <w:rStyle w:val="1188"/>
                <w:rFonts w:hint="default"/>
                <w:sz w:val="24"/>
                <w:szCs w:val="24"/>
                <w:lang w:bidi="ar"/>
              </w:rPr>
              <w:t xml:space="preserve">24、脚式上升器（右脚）1个：</w:t>
            </w:r>
            <w:r>
              <w:rPr>
                <w:rStyle w:val="1188"/>
                <w:rFonts w:hint="default"/>
                <w:sz w:val="24"/>
                <w:szCs w:val="24"/>
                <w:lang w:bidi="ar"/>
              </w:rPr>
              <w:br/>
            </w:r>
            <w:r>
              <w:rPr>
                <w:rStyle w:val="1188"/>
                <w:rFonts w:hint="default"/>
                <w:sz w:val="24"/>
                <w:szCs w:val="24"/>
                <w:lang w:bidi="ar"/>
              </w:rPr>
              <w:t xml:space="preserve">24.1材质：⼤⼒⻢纤维、涤纶、尼⻰、铝、不锈钢、硅胶；成品静态⻓ 度约：90-100cm（可调节）；重量：≤240g。</w:t>
            </w:r>
            <w:r>
              <w:rPr>
                <w:rStyle w:val="1188"/>
                <w:rFonts w:hint="default"/>
                <w:sz w:val="24"/>
                <w:szCs w:val="24"/>
                <w:lang w:bidi="ar"/>
              </w:rPr>
              <w:br/>
            </w:r>
            <w:r>
              <w:rPr>
                <w:rStyle w:val="1188"/>
                <w:rFonts w:hint="default"/>
                <w:sz w:val="24"/>
                <w:szCs w:val="24"/>
                <w:lang w:bidi="ar"/>
              </w:rPr>
              <w:t xml:space="preserve">25、右脚上升器防脱开关1个：</w:t>
            </w:r>
            <w:r>
              <w:rPr>
                <w:rStyle w:val="1188"/>
                <w:rFonts w:hint="default"/>
                <w:sz w:val="24"/>
                <w:szCs w:val="24"/>
                <w:lang w:bidi="ar"/>
              </w:rPr>
              <w:br/>
            </w:r>
            <w:r>
              <w:rPr>
                <w:rStyle w:val="1188"/>
                <w:rFonts w:hint="default"/>
                <w:sz w:val="24"/>
                <w:szCs w:val="24"/>
                <w:lang w:bidi="ar"/>
              </w:rPr>
              <w:t xml:space="preserve">25.1脚式上升器的防脱块，有助于在绳索上升期间将绳索保持在脚式上升器里面，防止绳索脱出。</w:t>
            </w:r>
            <w:r>
              <w:rPr>
                <w:rStyle w:val="1188"/>
                <w:rFonts w:hint="default"/>
                <w:sz w:val="24"/>
                <w:szCs w:val="24"/>
                <w:lang w:bidi="ar"/>
              </w:rPr>
              <w:br/>
            </w:r>
            <w:r>
              <w:rPr>
                <w:rStyle w:val="1188"/>
                <w:rFonts w:hint="default"/>
                <w:sz w:val="24"/>
                <w:szCs w:val="24"/>
                <w:lang w:bidi="ar"/>
              </w:rPr>
              <w:t xml:space="preserve">26、救援小辅绳1根：</w:t>
            </w:r>
            <w:r>
              <w:rPr>
                <w:rStyle w:val="1188"/>
                <w:rFonts w:hint="default"/>
                <w:sz w:val="24"/>
                <w:szCs w:val="24"/>
                <w:lang w:bidi="ar"/>
              </w:rPr>
              <w:br/>
            </w:r>
            <w:r>
              <w:rPr>
                <w:rStyle w:val="1188"/>
                <w:rFonts w:hint="default"/>
                <w:sz w:val="24"/>
                <w:szCs w:val="24"/>
                <w:lang w:bidi="ar"/>
              </w:rPr>
              <w:t xml:space="preserve">26.1长度：300±5cm、直径：5mm。</w:t>
            </w:r>
            <w:r>
              <w:rPr>
                <w:rStyle w:val="1188"/>
                <w:rFonts w:hint="default"/>
                <w:sz w:val="24"/>
                <w:szCs w:val="24"/>
                <w:lang w:bidi="ar"/>
              </w:rPr>
              <w:br/>
            </w:r>
            <w:r>
              <w:rPr>
                <w:rStyle w:val="1188"/>
                <w:rFonts w:hint="default"/>
                <w:sz w:val="24"/>
                <w:szCs w:val="24"/>
                <w:lang w:bidi="ar"/>
              </w:rPr>
              <w:t xml:space="preserve">27、工具架2个： </w:t>
            </w:r>
            <w:r>
              <w:rPr>
                <w:rStyle w:val="1188"/>
                <w:rFonts w:hint="default"/>
                <w:sz w:val="24"/>
                <w:szCs w:val="24"/>
                <w:lang w:bidi="ar"/>
              </w:rPr>
              <w:br/>
            </w:r>
            <w:r>
              <w:rPr>
                <w:rStyle w:val="1188"/>
                <w:rFonts w:hint="default"/>
                <w:sz w:val="24"/>
                <w:szCs w:val="24"/>
                <w:lang w:bidi="ar"/>
              </w:rPr>
              <w:t xml:space="preserve">27.1工具架允许用户仅用一只手选择挂入与取出工具， 最大允许载荷：25公斤、重量≤80g。</w:t>
            </w:r>
            <w:r>
              <w:rPr>
                <w:rStyle w:val="1188"/>
                <w:rFonts w:hint="default"/>
                <w:sz w:val="24"/>
                <w:szCs w:val="24"/>
                <w:lang w:bidi="ar"/>
              </w:rPr>
              <w:br/>
            </w:r>
            <w:r>
              <w:rPr>
                <w:rStyle w:val="1188"/>
                <w:rFonts w:hint="default"/>
                <w:sz w:val="24"/>
                <w:szCs w:val="24"/>
                <w:lang w:bidi="ar"/>
              </w:rPr>
              <w:t xml:space="preserve">28、4L短绳包1个： </w:t>
            </w:r>
            <w:r>
              <w:rPr>
                <w:rStyle w:val="1188"/>
                <w:rFonts w:hint="default"/>
                <w:sz w:val="24"/>
                <w:szCs w:val="24"/>
                <w:lang w:bidi="ar"/>
              </w:rPr>
              <w:br/>
            </w:r>
            <w:r>
              <w:rPr>
                <w:rStyle w:val="1188"/>
                <w:rFonts w:hint="default"/>
                <w:sz w:val="24"/>
                <w:szCs w:val="24"/>
                <w:lang w:bidi="ar"/>
              </w:rPr>
              <w:t xml:space="preserve">28.1 1、聚氯⼄烯(pvc)夹⽹布、织物，坚固耐用，体积小易清洗、包身备有多个挂点，可挂或套在安全带上；弹力收口绳，放取物方便。重量：≤190g。</w:t>
            </w:r>
            <w:r>
              <w:rPr>
                <w:rStyle w:val="1188"/>
                <w:rFonts w:hint="default"/>
                <w:sz w:val="24"/>
                <w:szCs w:val="24"/>
                <w:lang w:bidi="ar"/>
              </w:rPr>
              <w:br/>
            </w:r>
            <w:r>
              <w:rPr>
                <w:rStyle w:val="1188"/>
                <w:rFonts w:hint="default"/>
                <w:sz w:val="24"/>
                <w:szCs w:val="24"/>
                <w:lang w:bidi="ar"/>
              </w:rPr>
              <w:t xml:space="preserve">29、静力绳1根100米：</w:t>
            </w:r>
            <w:r>
              <w:rPr>
                <w:rStyle w:val="1188"/>
                <w:rFonts w:hint="default"/>
                <w:sz w:val="24"/>
                <w:szCs w:val="24"/>
                <w:lang w:bidi="ar"/>
              </w:rPr>
              <w:br/>
            </w:r>
            <w:r>
              <w:rPr>
                <w:rStyle w:val="1188"/>
                <w:rFonts w:hint="default"/>
                <w:sz w:val="24"/>
                <w:szCs w:val="24"/>
                <w:lang w:bidi="ar"/>
              </w:rPr>
              <w:t xml:space="preserve">29.1材质：绳皮涤纶，绳芯尼龙；直径：10.5mm±0.5 mm；长度：≥100米；克重：≤80g/m；绳皮占比：≤42%；静态延伸率：≤8%；缝合终端强力：≥22kN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1.05cm静力绳50m</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auto"/>
                <w:sz w:val="24"/>
                <w:szCs w:val="24"/>
                <w:highlight w:val="none"/>
              </w:rPr>
            </w:pPr>
            <w:r>
              <w:rPr>
                <w:rStyle w:val="1189"/>
                <w:rFonts w:hint="default"/>
                <w:color w:val="auto"/>
                <w:sz w:val="24"/>
                <w:szCs w:val="24"/>
                <w:highlight w:val="none"/>
                <w:lang w:bidi="ar"/>
              </w:rPr>
              <w:t xml:space="preserve">1、静力绳长度50米：</w:t>
            </w:r>
            <w:r>
              <w:rPr>
                <w:rStyle w:val="1188"/>
                <w:rFonts w:hint="default"/>
                <w:color w:val="auto"/>
                <w:sz w:val="24"/>
                <w:szCs w:val="24"/>
                <w:highlight w:val="none"/>
                <w:lang w:bidi="ar"/>
              </w:rPr>
              <w:br/>
            </w:r>
            <w:r>
              <w:rPr>
                <w:rStyle w:val="1188"/>
                <w:rFonts w:hint="default"/>
                <w:color w:val="auto"/>
                <w:sz w:val="24"/>
                <w:szCs w:val="24"/>
                <w:highlight w:val="none"/>
                <w:lang w:bidi="ar"/>
              </w:rPr>
              <w:t xml:space="preserve">2、材质：绳皮涤纶，绳芯尼龙；</w:t>
            </w:r>
            <w:r>
              <w:rPr>
                <w:rStyle w:val="1189"/>
                <w:rFonts w:hint="default"/>
                <w:color w:val="auto"/>
                <w:sz w:val="24"/>
                <w:szCs w:val="24"/>
                <w:highlight w:val="none"/>
                <w:lang w:bidi="ar"/>
              </w:rPr>
              <w:t xml:space="preserve">直径：10mm±0.5 mm</w:t>
            </w:r>
            <w:r>
              <w:rPr>
                <w:rStyle w:val="1188"/>
                <w:rFonts w:hint="default"/>
                <w:color w:val="auto"/>
                <w:sz w:val="24"/>
                <w:szCs w:val="24"/>
                <w:highlight w:val="none"/>
                <w:lang w:bidi="ar"/>
              </w:rPr>
              <w:t xml:space="preserve">；长度：≥50米；克重：≤80g/m；绳皮占比：≤42%；静态延伸率：≤8%；破断强度：≥33kN 。</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折叠担架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1、框架采用优质铝合金材料制成，担架面采用涂层牛津布。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2、支脚配有2个万向轮和2个定向轮。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3、担架支撑脚及脚轮可折叠收纳。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4、产品应配备两根安全绑带，保证送医途中病人的安全。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5、承重≥150Kg。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灭蜂枪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1、主要用于配备消防救援队伍，供处置户外马蜂窝使用，对快速高效进行蜂窝处置、保护消防员和群众生命安全。用快速打气和储气装置，将蘸有灭蜂药剂的箭杆射入蜂窝，起到毒杀和熏离马蜂的作用。</w:t>
            </w:r>
            <w:r>
              <w:rPr>
                <w:rStyle w:val="1188"/>
                <w:rFonts w:hint="default"/>
                <w:sz w:val="24"/>
                <w:szCs w:val="24"/>
                <w:lang w:bidi="ar"/>
              </w:rPr>
              <w:br/>
            </w:r>
            <w:r>
              <w:rPr>
                <w:rStyle w:val="1188"/>
                <w:rFonts w:hint="default"/>
                <w:sz w:val="24"/>
                <w:szCs w:val="24"/>
                <w:lang w:bidi="ar"/>
              </w:rPr>
              <w:t xml:space="preserve">2</w:t>
            </w:r>
            <w:r>
              <w:rPr>
                <w:rStyle w:val="1188"/>
                <w:rFonts w:hint="default"/>
                <w:color w:val="auto"/>
                <w:sz w:val="24"/>
                <w:szCs w:val="24"/>
                <w:lang w:bidi="ar"/>
              </w:rPr>
              <w:t xml:space="preserve">、技术参数：</w:t>
            </w:r>
            <w:r>
              <w:rPr>
                <w:rStyle w:val="1188"/>
                <w:rFonts w:hint="default"/>
                <w:color w:val="auto"/>
                <w:sz w:val="24"/>
                <w:szCs w:val="24"/>
                <w:lang w:bidi="ar"/>
              </w:rPr>
              <w:br/>
            </w:r>
            <w:r>
              <w:rPr>
                <w:rStyle w:val="1188"/>
                <w:rFonts w:hint="default"/>
                <w:color w:val="auto"/>
                <w:sz w:val="24"/>
                <w:szCs w:val="24"/>
                <w:lang w:bidi="ar"/>
              </w:rPr>
              <w:t xml:space="preserve">打气方式：手动打气；</w:t>
            </w:r>
            <w:r>
              <w:rPr>
                <w:rStyle w:val="1188"/>
                <w:rFonts w:hint="default"/>
                <w:color w:val="auto"/>
                <w:sz w:val="24"/>
                <w:szCs w:val="24"/>
                <w:lang w:bidi="ar"/>
              </w:rPr>
              <w:br/>
            </w:r>
            <w:r>
              <w:rPr>
                <w:rStyle w:val="1189"/>
                <w:rFonts w:hint="default"/>
                <w:color w:val="auto"/>
                <w:sz w:val="24"/>
                <w:szCs w:val="24"/>
                <w:lang w:bidi="ar"/>
              </w:rPr>
              <w:t xml:space="preserve">最大压力：</w:t>
            </w:r>
            <w:r>
              <w:rPr>
                <w:rStyle w:val="1189"/>
                <w:rFonts w:hint="default"/>
                <w:color w:val="auto"/>
                <w:sz w:val="24"/>
                <w:szCs w:val="24"/>
                <w:highlight w:val="none"/>
                <w:lang w:bidi="ar"/>
              </w:rPr>
              <w:t xml:space="preserve">达到4B</w:t>
            </w:r>
            <w:r>
              <w:rPr>
                <w:rStyle w:val="1189"/>
                <w:rFonts w:hint="default"/>
                <w:color w:val="auto"/>
                <w:sz w:val="24"/>
                <w:szCs w:val="24"/>
                <w:lang w:bidi="ar"/>
              </w:rPr>
              <w:t xml:space="preserve">AR；</w:t>
            </w:r>
            <w:r>
              <w:rPr>
                <w:rStyle w:val="1189"/>
                <w:rFonts w:hint="default"/>
                <w:color w:val="auto"/>
                <w:sz w:val="24"/>
                <w:szCs w:val="24"/>
                <w:lang w:bidi="ar"/>
              </w:rPr>
              <w:br/>
            </w:r>
            <w:r>
              <w:rPr>
                <w:rStyle w:val="1189"/>
                <w:rFonts w:hint="default"/>
                <w:color w:val="auto"/>
                <w:sz w:val="24"/>
                <w:szCs w:val="24"/>
                <w:lang w:bidi="ar"/>
              </w:rPr>
              <w:t xml:space="preserve">产品重量：整体含箱子重量≤8kg</w:t>
            </w:r>
            <w:r>
              <w:rPr>
                <w:rStyle w:val="1188"/>
                <w:rFonts w:hint="default"/>
                <w:color w:val="auto"/>
                <w:sz w:val="24"/>
                <w:szCs w:val="24"/>
                <w:lang w:bidi="ar"/>
              </w:rPr>
              <w:br/>
            </w:r>
            <w:r>
              <w:rPr>
                <w:rStyle w:val="1188"/>
                <w:rFonts w:hint="default"/>
                <w:color w:val="auto"/>
                <w:sz w:val="24"/>
                <w:szCs w:val="24"/>
                <w:lang w:bidi="ar"/>
              </w:rPr>
              <w:t xml:space="preserve">灭蜂器重量≤2kg；</w:t>
            </w:r>
            <w:r>
              <w:rPr>
                <w:rStyle w:val="1188"/>
                <w:rFonts w:hint="default"/>
                <w:color w:val="auto"/>
                <w:sz w:val="24"/>
                <w:szCs w:val="24"/>
                <w:lang w:bidi="ar"/>
              </w:rPr>
              <w:br/>
            </w:r>
            <w:r>
              <w:rPr>
                <w:rStyle w:val="1188"/>
                <w:rFonts w:hint="default"/>
                <w:color w:val="auto"/>
                <w:sz w:val="24"/>
                <w:szCs w:val="24"/>
                <w:lang w:bidi="ar"/>
              </w:rPr>
              <w:t xml:space="preserve">3、灭蜂器包含内容：</w:t>
            </w:r>
            <w:r>
              <w:rPr>
                <w:rStyle w:val="1188"/>
                <w:rFonts w:hint="default"/>
                <w:color w:val="auto"/>
                <w:sz w:val="24"/>
                <w:szCs w:val="24"/>
                <w:lang w:bidi="ar"/>
              </w:rPr>
              <w:br/>
            </w:r>
            <w:r>
              <w:rPr>
                <w:rStyle w:val="1189"/>
                <w:rFonts w:hint="default"/>
                <w:color w:val="auto"/>
                <w:sz w:val="24"/>
                <w:szCs w:val="24"/>
                <w:lang w:bidi="ar"/>
              </w:rPr>
              <w:t xml:space="preserve">灭蜂器 1 把，灭蜂箭 1000 支，灭蜂药剂2 瓶（可以浸泡约 500 根灭蜂箭/瓶）</w:t>
            </w:r>
            <w:r>
              <w:rPr>
                <w:rStyle w:val="1188"/>
                <w:rFonts w:hint="default"/>
                <w:color w:val="auto"/>
                <w:sz w:val="24"/>
                <w:szCs w:val="24"/>
                <w:lang w:bidi="ar"/>
              </w:rPr>
              <w:t xml:space="preserve">，箭杆收纳盒 1 个，橡胶手套 10 双，3M 口罩 1</w:t>
            </w:r>
            <w:r>
              <w:rPr>
                <w:rStyle w:val="1188"/>
                <w:rFonts w:hint="default"/>
                <w:sz w:val="24"/>
                <w:szCs w:val="24"/>
                <w:lang w:bidi="ar"/>
              </w:rPr>
              <w:t xml:space="preserve">0 个，激光瞄准器 1 个，电池充电器 1 个，使用说明书 1 份，报警人危险告知书模板 1 份，器材箱 1 个（带锁）。</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道路救援反光安全马甲</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 面料：120克经遍布</w:t>
            </w:r>
            <w:r>
              <w:rPr>
                <w:rStyle w:val="1188"/>
                <w:rFonts w:hint="default"/>
                <w:sz w:val="24"/>
                <w:szCs w:val="24"/>
                <w:lang w:bidi="ar"/>
              </w:rPr>
              <w:br/>
            </w:r>
            <w:r>
              <w:rPr>
                <w:rStyle w:val="1188"/>
                <w:rFonts w:hint="default"/>
                <w:sz w:val="24"/>
                <w:szCs w:val="24"/>
                <w:lang w:bidi="ar"/>
              </w:rPr>
              <w:t xml:space="preserve">2、 反光条：高亮反光条</w:t>
            </w:r>
            <w:r>
              <w:rPr>
                <w:rStyle w:val="1188"/>
                <w:rFonts w:hint="default"/>
                <w:sz w:val="24"/>
                <w:szCs w:val="24"/>
                <w:lang w:bidi="ar"/>
              </w:rPr>
              <w:br/>
            </w:r>
            <w:r>
              <w:rPr>
                <w:rStyle w:val="1188"/>
                <w:rFonts w:hint="default"/>
                <w:sz w:val="24"/>
                <w:szCs w:val="24"/>
                <w:lang w:bidi="ar"/>
              </w:rPr>
              <w:t xml:space="preserve">3、 包边布：高亮反光包边布</w:t>
            </w:r>
            <w:r>
              <w:rPr>
                <w:rStyle w:val="1188"/>
                <w:rFonts w:hint="default"/>
                <w:sz w:val="24"/>
                <w:szCs w:val="24"/>
                <w:lang w:bidi="ar"/>
              </w:rPr>
              <w:br/>
            </w:r>
            <w:r>
              <w:rPr>
                <w:rStyle w:val="1188"/>
                <w:rFonts w:hint="default"/>
                <w:sz w:val="24"/>
                <w:szCs w:val="24"/>
                <w:lang w:bidi="ar"/>
              </w:rPr>
              <w:t xml:space="preserve">4、 拉链：≥25CM树脂拉链</w:t>
            </w:r>
            <w:r>
              <w:rPr>
                <w:rStyle w:val="1188"/>
                <w:rFonts w:hint="default"/>
                <w:sz w:val="24"/>
                <w:szCs w:val="24"/>
                <w:lang w:bidi="ar"/>
              </w:rPr>
              <w:br/>
            </w:r>
            <w:r>
              <w:rPr>
                <w:rStyle w:val="1188"/>
                <w:rFonts w:hint="default"/>
                <w:sz w:val="24"/>
                <w:szCs w:val="24"/>
                <w:lang w:bidi="ar"/>
              </w:rPr>
              <w:t xml:space="preserve">5、 颜色：荧光黄</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手抬消防泵（小）</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符</w:t>
            </w:r>
            <w:r>
              <w:rPr>
                <w:rFonts w:hint="eastAsia" w:ascii="宋体" w:hAnsi="宋体" w:eastAsia="宋体" w:cs="宋体"/>
                <w:color w:val="000000"/>
                <w:sz w:val="24"/>
                <w:szCs w:val="24"/>
                <w:highlight w:val="none"/>
                <w:lang w:bidi="ar"/>
              </w:rPr>
              <w:t xml:space="preserve">合GB6245-2025《消防泵》的标准要求。</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1.发动机类型：</w:t>
            </w:r>
            <w:r>
              <w:rPr>
                <w:rFonts w:hint="eastAsia" w:ascii="宋体" w:hAnsi="宋体" w:eastAsia="宋体" w:cs="宋体"/>
                <w:color w:val="000000"/>
                <w:sz w:val="24"/>
                <w:szCs w:val="24"/>
                <w:lang w:bidi="ar"/>
              </w:rPr>
              <w:t xml:space="preserve">立式、单缸、手动、电动、风冷、二冲程；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2.最大输出功率≥12KW；</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3.水泵类型：单泵单程离心泵；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▲4.真空泵：碳纤维活片无油式（最大吸程≥9m）；抽真空时间：1m吸程≤0.8s），7m吸程（≤12s；）；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5.吸程3m流量/压力≥520L/min/0.5Mpa ，≥250L/min/0.8Mpa；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6.吸水口：ф65mm；出水口：ф65mm（可转动90度）；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7.油箱容量≥3.5L；</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8.润滑供应：无需预先混合，分离吸油；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9.启动系统：电力启动，自动反冲系统，绳拉式；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10.转速≥6000转/分钟；</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手抬消防泵（大）</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1、符</w:t>
            </w:r>
            <w:r>
              <w:rPr>
                <w:rStyle w:val="1188"/>
                <w:rFonts w:hint="default"/>
                <w:sz w:val="24"/>
                <w:szCs w:val="24"/>
                <w:highlight w:val="none"/>
                <w:lang w:bidi="ar"/>
              </w:rPr>
              <w:t xml:space="preserve">合</w:t>
            </w:r>
            <w:r>
              <w:rPr>
                <w:rFonts w:hint="eastAsia" w:ascii="宋体" w:hAnsi="宋体" w:eastAsia="宋体" w:cs="宋体"/>
                <w:color w:val="000000"/>
                <w:sz w:val="24"/>
                <w:szCs w:val="24"/>
                <w:highlight w:val="none"/>
                <w:lang w:bidi="ar"/>
              </w:rPr>
              <w:t xml:space="preserve">GB6245-2025</w:t>
            </w:r>
            <w:r>
              <w:rPr>
                <w:rStyle w:val="1188"/>
                <w:rFonts w:hint="default"/>
                <w:sz w:val="24"/>
                <w:szCs w:val="24"/>
                <w:highlight w:val="none"/>
                <w:lang w:bidi="ar"/>
              </w:rPr>
              <w:t xml:space="preserve">《消防</w:t>
            </w:r>
            <w:r>
              <w:rPr>
                <w:rStyle w:val="1188"/>
                <w:rFonts w:hint="default"/>
                <w:sz w:val="24"/>
                <w:szCs w:val="24"/>
                <w:lang w:bidi="ar"/>
              </w:rPr>
              <w:t xml:space="preserve">泵》标准要求；</w:t>
            </w:r>
            <w:r>
              <w:rPr>
                <w:rStyle w:val="1188"/>
                <w:rFonts w:hint="default"/>
                <w:sz w:val="24"/>
                <w:szCs w:val="24"/>
                <w:lang w:bidi="ar"/>
              </w:rPr>
              <w:br/>
            </w:r>
            <w:r>
              <w:rPr>
                <w:rStyle w:val="1188"/>
                <w:rFonts w:hint="default"/>
                <w:sz w:val="24"/>
                <w:szCs w:val="24"/>
                <w:lang w:bidi="ar"/>
              </w:rPr>
              <w:t xml:space="preserve">2、发动机类型：卧式，双缸，电动，水冷，二冲程汽油机；</w:t>
            </w:r>
            <w:r>
              <w:rPr>
                <w:rStyle w:val="1188"/>
                <w:rFonts w:hint="default"/>
                <w:sz w:val="24"/>
                <w:szCs w:val="24"/>
                <w:lang w:bidi="ar"/>
              </w:rPr>
              <w:br/>
            </w:r>
            <w:r>
              <w:rPr>
                <w:rStyle w:val="1188"/>
                <w:rFonts w:hint="default"/>
                <w:sz w:val="24"/>
                <w:szCs w:val="24"/>
                <w:lang w:bidi="ar"/>
              </w:rPr>
              <w:t xml:space="preserve">3、发动机需带有过热保护功能，燃油应采用自动混合比例供应；</w:t>
            </w:r>
            <w:r>
              <w:rPr>
                <w:rStyle w:val="1188"/>
                <w:rFonts w:hint="default"/>
                <w:sz w:val="24"/>
                <w:szCs w:val="24"/>
                <w:lang w:bidi="ar"/>
              </w:rPr>
              <w:br/>
            </w:r>
            <w:r>
              <w:rPr>
                <w:rStyle w:val="1188"/>
                <w:rFonts w:hint="default"/>
                <w:sz w:val="24"/>
                <w:szCs w:val="24"/>
                <w:lang w:bidi="ar"/>
              </w:rPr>
              <w:t xml:space="preserve">4、启动方式：电启动/自回式手拉绳启动随意切换；</w:t>
            </w:r>
            <w:r>
              <w:rPr>
                <w:rStyle w:val="1188"/>
                <w:rFonts w:hint="default"/>
                <w:sz w:val="24"/>
                <w:szCs w:val="24"/>
                <w:lang w:bidi="ar"/>
              </w:rPr>
              <w:br/>
            </w:r>
            <w:r>
              <w:rPr>
                <w:rStyle w:val="1188"/>
                <w:rFonts w:hint="default"/>
                <w:sz w:val="24"/>
                <w:szCs w:val="24"/>
                <w:lang w:bidi="ar"/>
              </w:rPr>
              <w:t xml:space="preserve">5、水泵类型：单泵单程离心泵，碳纤维活片无油式真空泵；</w:t>
            </w:r>
            <w:r>
              <w:rPr>
                <w:rStyle w:val="1188"/>
                <w:rFonts w:hint="default"/>
                <w:sz w:val="24"/>
                <w:szCs w:val="24"/>
                <w:lang w:bidi="ar"/>
              </w:rPr>
              <w:br/>
            </w:r>
            <w:r>
              <w:rPr>
                <w:rStyle w:val="1188"/>
                <w:rFonts w:hint="default"/>
                <w:sz w:val="24"/>
                <w:szCs w:val="24"/>
                <w:lang w:bidi="ar"/>
              </w:rPr>
              <w:t xml:space="preserve">6、手动操作吸水，最大吸程≥9米；</w:t>
            </w:r>
            <w:r>
              <w:rPr>
                <w:rStyle w:val="1188"/>
                <w:rFonts w:hint="default"/>
                <w:sz w:val="24"/>
                <w:szCs w:val="24"/>
                <w:lang w:bidi="ar"/>
              </w:rPr>
              <w:br/>
            </w:r>
            <w:r>
              <w:rPr>
                <w:rStyle w:val="1188"/>
                <w:rFonts w:hint="default"/>
                <w:sz w:val="24"/>
                <w:szCs w:val="24"/>
                <w:lang w:bidi="ar"/>
              </w:rPr>
              <w:t xml:space="preserve">7、输出功率：≥33KW;</w:t>
            </w:r>
            <w:r>
              <w:rPr>
                <w:rStyle w:val="1188"/>
                <w:rFonts w:hint="default"/>
                <w:sz w:val="24"/>
                <w:szCs w:val="24"/>
                <w:lang w:bidi="ar"/>
              </w:rPr>
              <w:br/>
            </w:r>
            <w:r>
              <w:rPr>
                <w:rStyle w:val="1188"/>
                <w:rFonts w:hint="default"/>
                <w:sz w:val="24"/>
                <w:szCs w:val="24"/>
                <w:lang w:bidi="ar"/>
              </w:rPr>
              <w:t xml:space="preserve">8、转速：≥5200转/分钟；</w:t>
            </w:r>
            <w:r>
              <w:rPr>
                <w:rStyle w:val="1188"/>
                <w:rFonts w:hint="default"/>
                <w:sz w:val="24"/>
                <w:szCs w:val="24"/>
                <w:lang w:bidi="ar"/>
              </w:rPr>
              <w:br/>
            </w:r>
            <w:r>
              <w:rPr>
                <w:rStyle w:val="1188"/>
                <w:rFonts w:hint="default"/>
                <w:sz w:val="24"/>
                <w:szCs w:val="24"/>
                <w:lang w:bidi="ar"/>
              </w:rPr>
              <w:t xml:space="preserve">9、油箱容积：≥17L；</w:t>
            </w:r>
            <w:r>
              <w:rPr>
                <w:rStyle w:val="1188"/>
                <w:rFonts w:hint="default"/>
                <w:sz w:val="24"/>
                <w:szCs w:val="24"/>
                <w:lang w:bidi="ar"/>
              </w:rPr>
              <w:br/>
            </w:r>
            <w:r>
              <w:rPr>
                <w:rStyle w:val="1188"/>
                <w:rFonts w:hint="default"/>
                <w:sz w:val="24"/>
                <w:szCs w:val="24"/>
                <w:lang w:bidi="ar"/>
              </w:rPr>
              <w:t xml:space="preserve">10、额定流量：≥20L/S（吸深3米）;</w:t>
            </w:r>
            <w:r>
              <w:rPr>
                <w:rStyle w:val="1188"/>
                <w:rFonts w:hint="default"/>
                <w:sz w:val="24"/>
                <w:szCs w:val="24"/>
                <w:lang w:bidi="ar"/>
              </w:rPr>
              <w:br/>
            </w:r>
            <w:r>
              <w:rPr>
                <w:rStyle w:val="1188"/>
                <w:rFonts w:hint="default"/>
                <w:sz w:val="24"/>
                <w:szCs w:val="24"/>
                <w:lang w:bidi="ar"/>
              </w:rPr>
              <w:t xml:space="preserve">11、额定压力：≥0.6MPA;</w:t>
            </w:r>
            <w:r>
              <w:rPr>
                <w:rStyle w:val="1188"/>
                <w:rFonts w:hint="default"/>
                <w:sz w:val="24"/>
                <w:szCs w:val="24"/>
                <w:lang w:bidi="ar"/>
              </w:rPr>
              <w:br/>
            </w:r>
            <w:r>
              <w:rPr>
                <w:rStyle w:val="1188"/>
                <w:rFonts w:hint="default"/>
                <w:sz w:val="24"/>
                <w:szCs w:val="24"/>
                <w:lang w:bidi="ar"/>
              </w:rPr>
              <w:t xml:space="preserve">12、进水口≧Ø80mm；</w:t>
            </w:r>
            <w:r>
              <w:rPr>
                <w:rStyle w:val="1188"/>
                <w:rFonts w:hint="default"/>
                <w:sz w:val="24"/>
                <w:szCs w:val="24"/>
                <w:lang w:bidi="ar"/>
              </w:rPr>
              <w:br/>
            </w:r>
            <w:r>
              <w:rPr>
                <w:rStyle w:val="1188"/>
                <w:rFonts w:hint="default"/>
                <w:sz w:val="24"/>
                <w:szCs w:val="24"/>
                <w:lang w:bidi="ar"/>
              </w:rPr>
              <w:t xml:space="preserve">13、出</w:t>
            </w:r>
            <w:r>
              <w:rPr>
                <w:rStyle w:val="1188"/>
                <w:rFonts w:hint="default"/>
                <w:color w:val="auto"/>
                <w:sz w:val="24"/>
                <w:szCs w:val="24"/>
                <w:lang w:bidi="ar"/>
              </w:rPr>
              <w:t xml:space="preserve">水口≧Ø65mm，可转动180度；</w:t>
            </w:r>
            <w:r>
              <w:rPr>
                <w:rStyle w:val="1188"/>
                <w:rFonts w:hint="default"/>
                <w:color w:val="auto"/>
                <w:sz w:val="24"/>
                <w:szCs w:val="24"/>
                <w:lang w:bidi="ar"/>
              </w:rPr>
              <w:br/>
            </w:r>
            <w:r>
              <w:rPr>
                <w:rStyle w:val="1189"/>
                <w:rFonts w:hint="default"/>
                <w:color w:val="auto"/>
                <w:sz w:val="24"/>
                <w:szCs w:val="24"/>
                <w:lang w:bidi="ar"/>
              </w:rPr>
              <w:t xml:space="preserve">▲14、引水时间≦11秒</w:t>
            </w:r>
            <w:r>
              <w:rPr>
                <w:rStyle w:val="1189"/>
                <w:rFonts w:hint="default"/>
                <w:sz w:val="24"/>
                <w:szCs w:val="24"/>
                <w:lang w:bidi="ar"/>
              </w:rPr>
              <w:t xml:space="preserve">；</w:t>
            </w:r>
            <w:r>
              <w:rPr>
                <w:rStyle w:val="1188"/>
                <w:rFonts w:hint="default"/>
                <w:sz w:val="24"/>
                <w:szCs w:val="24"/>
                <w:lang w:bidi="ar"/>
              </w:rPr>
              <w:br/>
            </w:r>
            <w:r>
              <w:rPr>
                <w:rStyle w:val="1188"/>
                <w:rFonts w:hint="default"/>
                <w:sz w:val="24"/>
                <w:szCs w:val="24"/>
                <w:lang w:bidi="ar"/>
              </w:rPr>
              <w:t xml:space="preserve">15、整机体积为≦705mm×625mm×735mm；</w:t>
            </w:r>
            <w:r>
              <w:rPr>
                <w:rStyle w:val="1188"/>
                <w:rFonts w:hint="default"/>
                <w:sz w:val="24"/>
                <w:szCs w:val="24"/>
                <w:lang w:bidi="ar"/>
              </w:rPr>
              <w:br/>
            </w:r>
            <w:r>
              <w:rPr>
                <w:rStyle w:val="1188"/>
                <w:rFonts w:hint="default"/>
                <w:sz w:val="24"/>
                <w:szCs w:val="24"/>
                <w:lang w:bidi="ar"/>
              </w:rPr>
              <w:t xml:space="preserve">16、重量：≤100KG。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异型接口手抬泵接消防栓</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Style w:val="1188"/>
                <w:rFonts w:hint="default"/>
                <w:sz w:val="24"/>
                <w:szCs w:val="24"/>
                <w:lang w:bidi="ar"/>
              </w:rPr>
              <w:t xml:space="preserve">1、转换接口是两头异型、异径的接口，表面经阳极氧化处理，应具有强度高、耐腐蚀性。</w:t>
            </w:r>
            <w:r>
              <w:rPr>
                <w:rStyle w:val="1188"/>
                <w:rFonts w:hint="default"/>
                <w:sz w:val="24"/>
                <w:szCs w:val="24"/>
                <w:lang w:bidi="ar"/>
              </w:rPr>
              <w:br/>
            </w:r>
            <w:r>
              <w:rPr>
                <w:rStyle w:val="1188"/>
                <w:rFonts w:hint="default"/>
                <w:sz w:val="24"/>
                <w:szCs w:val="24"/>
                <w:lang w:bidi="ar"/>
              </w:rPr>
              <w:t xml:space="preserve">2、工作压力：≥1.0mpa。</w:t>
            </w:r>
            <w:r>
              <w:rPr>
                <w:rStyle w:val="1188"/>
                <w:rFonts w:hint="default"/>
                <w:sz w:val="24"/>
                <w:szCs w:val="24"/>
                <w:lang w:bidi="ar"/>
              </w:rPr>
              <w:br/>
            </w:r>
            <w:r>
              <w:rPr>
                <w:rStyle w:val="1188"/>
                <w:rFonts w:hint="default"/>
                <w:sz w:val="24"/>
                <w:szCs w:val="24"/>
                <w:lang w:bidi="ar"/>
              </w:rPr>
              <w:t xml:space="preserve">3、接口公称通径：150 mm 雌口/80mm内雌口。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无后坐力多功能消防水枪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1、水枪枪体：选用铝合金工艺铝型材，采用精密加工工艺，表面阳极氧化防腐处理；接口：进水口采用锻造快速雄接口；产品符合《消防水枪》要求。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2、流量挡位不少于4档：流量不低于13L/S。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3、射程：≥37米、喷雾角度为0-120度。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4、含锻造快速接口的重量为：≤2.5公斤。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5、入水口应带有不锈钢过滤网，防止杂物进入枪体。</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多功能开花直流水枪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1、防缠绕进水接口，工作压力≥10公斤，快速球阀开关。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2、产品结构：枪体T5铝合金结构，坚固且重量轻，表面阳极氧化层可以防止化学腐蚀和机械破坏，额定流量8升/秒@0.6MPa。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3、旋动通径调节环可以设定水枪出水流量，至少有有四档可以选择。</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4、旋转消防接口，不锈钢球阀，直流/开花/喷雾/冲洗功能快速转换，金属固定雾化齿，金属表面硬质阳极氧化处理涂层。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5、直流射程：≥33米。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6、喷雾流量：≥8L/s。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7、重量：≤2.5kg。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泡沫枪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1、工作压力：≤0.8MPa。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2、混合液体流量：≥8L/s。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3、射程：≥24m。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4、接口形式：65mm快速式雄口。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刺穿式破拆水枪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w:t>
            </w:r>
            <w:r>
              <w:rPr>
                <w:rFonts w:hint="eastAsia" w:ascii="宋体" w:hAnsi="宋体" w:eastAsia="宋体" w:cs="宋体"/>
                <w:color w:val="000000"/>
                <w:sz w:val="24"/>
                <w:szCs w:val="24"/>
                <w:highlight w:val="none"/>
                <w:lang w:bidi="ar"/>
              </w:rPr>
              <w:t xml:space="preserve">合GB8181-2025《消</w:t>
            </w:r>
            <w:r>
              <w:rPr>
                <w:rFonts w:hint="eastAsia" w:ascii="宋体" w:hAnsi="宋体" w:eastAsia="宋体" w:cs="宋体"/>
                <w:color w:val="000000"/>
                <w:sz w:val="24"/>
                <w:szCs w:val="24"/>
                <w:lang w:bidi="ar"/>
              </w:rPr>
              <w:t xml:space="preserve">防水枪》要求。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2、水枪枪体：应采用铝合金制造，热处理和阳极氧化防腐处理，枪管采用304不锈钢管和铜质枪头组成.接口：进水口采用锻造快速雄接口。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3、在喷射压力0.6Mpa下，直流流量≥9L/S、阀门通孔直径：≥45mm、含锻造快速接口的重量为：≤2.5公斤、枪管长度≥1米。</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带架水枪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1.折叠式多功能带架水枪，可上下、左右操作。;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2.材质为全铝合金表面红色涂层。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3.额定压力≥0.9 MPa。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4.流量:≥1900L/min;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5.射程：≥45m。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伯努利消防排烟水枪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1.排烟灭火装置由多功能枪柄、延长杆、能量引导装置枪头组合:装置弯头处配有玻璃破碎器;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2.挂耙齿数量:5 个，长度:≤16cm;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3.延长杆:3 支，直径:≥35mm，每支长度:≥550mm，可适用于不同的高度，重量:≤0.6kg: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4.装置末端可连接多功能枪头，喷雾角度:0-120° ;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5.顶部配有细水雾喷射装置，可进行室内的灭火、降温和 除尘: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6.装置为水驱动设计，最大排烟量:≥36500m³/h;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7.流量:≥600L/min;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测压水枪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1、直流测压消防水枪是消防队员在灭火时用的主要器材，也可以用于测试消火栓等产品的出水压力。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2、重量：0.9kg.测压0-20kg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水幕水带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1、织物层原材料采用涤纶长丝，内衬聚氨酯材料，水带口径公称尺寸65.5mm，工作压力≥1.6Mpa。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2、水带编织层与衬里之间的附着强度≥30N/25MM；轴向延伸率≤5%，直径膨胀率≤5%，每卷长度为20米。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3、配快速接口，带口缠绕铁丝不低于3道。</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消防水带80mm（含接口）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1、符合GB6246-2011《消防水带》标准要求。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2、水带外层采用优质材料编制而成，水带的织物层应均匀，表面整洁，无跳双经、断双经、跳纬及划伤。内衬聚氨酯材料，水带衬里的厚度应均匀，表面应光滑平整、无折皱一幅幅缺陷。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3、水带标准工作压力≥1.6MPa，内径：76±2mm，每盘长度≥20米。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▲4、单位长度质量：≤320g/m，爆破压力≥10MPa，延伸率≤2.0%，膨胀率≤2.5%，附着强度（织物层与衬里）≥40N/25mm。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5、水带两端有捆扎好的卡式快速接口。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消防水带65mm（含接口）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1、符合GB6246-2011《消防水带》标准要求。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2、水带外层采用优质材料编制而成，水带的织物层应均匀，表面整洁，无跳双经、断双经、跳纬及划伤。内衬聚氨酯材料，水带衬里的厚度应均匀，表面应光滑平整、无折皱等缺陷。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3、水带标准工作压力≥1.6MPa，内径：63.5±2mm，每盘长度≥20米。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▲4、单位长度质量：≤240g/m，爆破压力≥8.0MPa，延伸率≤2.0%，膨胀率≤2.0%，附着强度（织物层与衬里）≥33N/25mm。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5、水带两端有捆扎好的卡式快速接口。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65mm消防水带墙角保护器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1.采用模块化链式结构，可自由扩展。四角设有锚固点，便于系绳固定。收合后小巧易携，展开后防护面积大；并能通过组合适应圆柱、转角及斜坡等多种复杂场景。</w:t>
            </w:r>
            <w:r>
              <w:rPr>
                <w:rStyle w:val="1188"/>
                <w:rFonts w:hint="default"/>
                <w:sz w:val="24"/>
                <w:szCs w:val="24"/>
                <w:lang w:bidi="ar"/>
              </w:rPr>
              <w:br/>
            </w:r>
            <w:r>
              <w:rPr>
                <w:rStyle w:val="1188"/>
                <w:rFonts w:hint="default"/>
                <w:sz w:val="24"/>
                <w:szCs w:val="24"/>
                <w:lang w:bidi="ar"/>
              </w:rPr>
              <w:t xml:space="preserve">2.装有4轴4道共16个滚珠轴承轮均能独立传动，支持对向与差速滚动。拖拉过程顺滑流畅，并能轻松</w:t>
            </w:r>
            <w:r>
              <w:rPr>
                <w:rStyle w:val="1188"/>
                <w:rFonts w:hint="default"/>
                <w:color w:val="auto"/>
                <w:sz w:val="24"/>
                <w:szCs w:val="24"/>
                <w:lang w:bidi="ar"/>
              </w:rPr>
              <w:t xml:space="preserve">实现多绳精准控制；</w:t>
            </w:r>
            <w:r>
              <w:rPr>
                <w:rStyle w:val="1188"/>
                <w:rFonts w:hint="default"/>
                <w:color w:val="auto"/>
                <w:sz w:val="24"/>
                <w:szCs w:val="24"/>
                <w:lang w:bidi="ar"/>
              </w:rPr>
              <w:br/>
            </w:r>
            <w:r>
              <w:rPr>
                <w:rStyle w:val="1189"/>
                <w:rFonts w:hint="default"/>
                <w:color w:val="auto"/>
                <w:sz w:val="24"/>
                <w:szCs w:val="24"/>
                <w:lang w:bidi="ar"/>
              </w:rPr>
              <w:t xml:space="preserve">3.工作负荷：≥3.5kN；</w:t>
            </w:r>
            <w:r>
              <w:rPr>
                <w:rStyle w:val="1189"/>
                <w:rFonts w:hint="default"/>
                <w:color w:val="auto"/>
                <w:sz w:val="24"/>
                <w:szCs w:val="24"/>
                <w:lang w:bidi="ar"/>
              </w:rPr>
              <w:br/>
            </w:r>
            <w:r>
              <w:rPr>
                <w:rStyle w:val="1189"/>
                <w:rFonts w:hint="default"/>
                <w:color w:val="auto"/>
                <w:sz w:val="24"/>
                <w:szCs w:val="24"/>
                <w:lang w:bidi="ar"/>
              </w:rPr>
              <w:t xml:space="preserve">4.极限负荷：≥3.5kN；</w:t>
            </w:r>
            <w:r>
              <w:rPr>
                <w:rStyle w:val="1189"/>
                <w:rFonts w:hint="default"/>
                <w:color w:val="auto"/>
                <w:sz w:val="24"/>
                <w:szCs w:val="24"/>
                <w:lang w:bidi="ar"/>
              </w:rPr>
              <w:br/>
            </w:r>
            <w:r>
              <w:rPr>
                <w:rStyle w:val="1189"/>
                <w:rFonts w:hint="default"/>
                <w:color w:val="auto"/>
                <w:sz w:val="24"/>
                <w:szCs w:val="24"/>
                <w:lang w:bidi="ar"/>
              </w:rPr>
              <w:t xml:space="preserve">5.材质：7075铝合金；</w:t>
            </w:r>
            <w:r>
              <w:rPr>
                <w:rStyle w:val="1189"/>
                <w:rFonts w:hint="default"/>
                <w:color w:val="auto"/>
                <w:sz w:val="24"/>
                <w:szCs w:val="24"/>
                <w:lang w:bidi="ar"/>
              </w:rPr>
              <w:br/>
            </w:r>
            <w:r>
              <w:rPr>
                <w:rStyle w:val="1189"/>
                <w:rFonts w:hint="default"/>
                <w:color w:val="auto"/>
                <w:sz w:val="24"/>
                <w:szCs w:val="24"/>
                <w:lang w:bidi="ar"/>
              </w:rPr>
              <w:t xml:space="preserve">6.重量：1300±100g；</w:t>
            </w:r>
            <w:r>
              <w:rPr>
                <w:rStyle w:val="1188"/>
                <w:rFonts w:hint="default"/>
                <w:color w:val="auto"/>
                <w:sz w:val="24"/>
                <w:szCs w:val="24"/>
                <w:lang w:bidi="ar"/>
              </w:rPr>
              <w:br/>
            </w:r>
            <w:r>
              <w:rPr>
                <w:rStyle w:val="1188"/>
                <w:rFonts w:hint="default"/>
                <w:color w:val="auto"/>
                <w:sz w:val="24"/>
                <w:szCs w:val="24"/>
                <w:lang w:bidi="ar"/>
              </w:rPr>
              <w:t xml:space="preserve">7.执行XF 494-2023《</w:t>
            </w:r>
            <w:r>
              <w:rPr>
                <w:rStyle w:val="1188"/>
                <w:rFonts w:hint="default"/>
                <w:sz w:val="24"/>
                <w:szCs w:val="24"/>
                <w:lang w:bidi="ar"/>
              </w:rPr>
              <w:t xml:space="preserve">消防用防坠落装备》标准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中压三出水分水器（80公65母）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1、分水器符合XF868-2010《分水器和集水器》标准进水口采用80mm锻造快速雄接口，3个出水口采用65mm锻造快速雌接口、标准工作压力≥2.5MPa。</w:t>
            </w:r>
            <w:r>
              <w:rPr>
                <w:rStyle w:val="1188"/>
                <w:rFonts w:hint="default"/>
                <w:sz w:val="24"/>
                <w:szCs w:val="24"/>
                <w:lang w:bidi="ar"/>
              </w:rPr>
              <w:br/>
            </w:r>
            <w:r>
              <w:rPr>
                <w:rStyle w:val="1188"/>
                <w:rFonts w:hint="default"/>
                <w:sz w:val="24"/>
                <w:szCs w:val="24"/>
                <w:lang w:bidi="ar"/>
              </w:rPr>
              <w:t xml:space="preserve">2、阀门开启力（N）≤120。</w:t>
            </w:r>
            <w:r>
              <w:rPr>
                <w:rStyle w:val="1188"/>
                <w:rFonts w:hint="default"/>
                <w:sz w:val="24"/>
                <w:szCs w:val="24"/>
                <w:lang w:bidi="ar"/>
              </w:rPr>
              <w:br/>
            </w:r>
            <w:r>
              <w:rPr>
                <w:rStyle w:val="1188"/>
                <w:rFonts w:hint="default"/>
                <w:sz w:val="24"/>
                <w:szCs w:val="24"/>
                <w:lang w:bidi="ar"/>
              </w:rPr>
              <w:t xml:space="preserve">3、 自带T型塑胶把手，方便携带。</w:t>
            </w:r>
            <w:r>
              <w:rPr>
                <w:rStyle w:val="1188"/>
                <w:rFonts w:hint="default"/>
                <w:sz w:val="24"/>
                <w:szCs w:val="24"/>
                <w:lang w:bidi="ar"/>
              </w:rPr>
              <w:br/>
            </w:r>
            <w:r>
              <w:rPr>
                <w:rStyle w:val="1188"/>
                <w:rFonts w:hint="default"/>
                <w:sz w:val="24"/>
                <w:szCs w:val="24"/>
                <w:lang w:bidi="ar"/>
              </w:rPr>
              <w:t xml:space="preserve">4、出水口密封圈采用防脱结构设计，空排水时有效防止密封圈脱落。</w:t>
            </w:r>
            <w:r>
              <w:rPr>
                <w:rStyle w:val="1188"/>
                <w:rFonts w:hint="default"/>
                <w:sz w:val="24"/>
                <w:szCs w:val="24"/>
                <w:lang w:bidi="ar"/>
              </w:rPr>
              <w:br/>
            </w:r>
            <w:r>
              <w:rPr>
                <w:rStyle w:val="1188"/>
                <w:rFonts w:hint="default"/>
                <w:sz w:val="24"/>
                <w:szCs w:val="24"/>
                <w:lang w:bidi="ar"/>
              </w:rPr>
              <w:t xml:space="preserve">5、应附带防水锤装置。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三出水分水器（80公65母）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符合XF868-2010《分水器和集水器》标准进水口采用80mm锻造快速雄接口，3个出水口采用65mm锻造快速雌接口、标准工作压力≥2.5MPa。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2、阀门开启力（N）≤120。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3、自带T型塑胶把手，方便携带。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4、出水口密封圈采用防脱结构设计，空排水时有效防止密封圈脱落。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二出水分水器（80公65母）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 符合XF868-2010《分水器和集水器》标准进水口采用80mm锻造快速雄接口，2个出水口采用65mm锻造快速雌接口、标准工作压力≥2.5MPa。</w:t>
            </w:r>
            <w:r>
              <w:rPr>
                <w:rStyle w:val="1188"/>
                <w:rFonts w:hint="default"/>
                <w:sz w:val="24"/>
                <w:szCs w:val="24"/>
                <w:lang w:bidi="ar"/>
              </w:rPr>
              <w:br/>
            </w:r>
            <w:r>
              <w:rPr>
                <w:rStyle w:val="1188"/>
                <w:rFonts w:hint="default"/>
                <w:sz w:val="24"/>
                <w:szCs w:val="24"/>
                <w:lang w:bidi="ar"/>
              </w:rPr>
              <w:t xml:space="preserve">2、阀门开启力（N）≤120。</w:t>
            </w:r>
            <w:r>
              <w:rPr>
                <w:rStyle w:val="1188"/>
                <w:rFonts w:hint="default"/>
                <w:sz w:val="24"/>
                <w:szCs w:val="24"/>
                <w:lang w:bidi="ar"/>
              </w:rPr>
              <w:br/>
            </w:r>
            <w:r>
              <w:rPr>
                <w:rStyle w:val="1188"/>
                <w:rFonts w:hint="default"/>
                <w:sz w:val="24"/>
                <w:szCs w:val="24"/>
                <w:lang w:bidi="ar"/>
              </w:rPr>
              <w:t xml:space="preserve">3、自带T型塑胶把手，方便携带。</w:t>
            </w:r>
            <w:r>
              <w:rPr>
                <w:rStyle w:val="1188"/>
                <w:rFonts w:hint="default"/>
                <w:sz w:val="24"/>
                <w:szCs w:val="24"/>
                <w:lang w:bidi="ar"/>
              </w:rPr>
              <w:br/>
            </w:r>
            <w:r>
              <w:rPr>
                <w:rStyle w:val="1188"/>
                <w:rFonts w:hint="default"/>
                <w:sz w:val="24"/>
                <w:szCs w:val="24"/>
                <w:lang w:bidi="ar"/>
              </w:rPr>
              <w:t xml:space="preserve">4、出水口密封圈采用防脱结构设计，空排水时有效防止密封圈脱落。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转换接口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1、转换接口是两头异型、异径的接口，表面经阳极氧化处理，应具有强度高、耐腐蚀性。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2、工作压力：≥2.0mpa。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3、接口公称通径：卡80转母80、 卡80转母65；卡80转公80、卡80转公65、卡65转公80、卡65转公65、卡65转母65、 卡65转母80、母80转母80；公80转公80、母80转公65、公80转公65、公80转母65；1组13个。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4、适用介质：水、水和泡沫混合液。</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移动式消防炮（快速攻击炮）</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1、体积小重量轻，结构紧凑，操作简单，便于快速</w:t>
            </w:r>
            <w:r>
              <w:rPr>
                <w:rStyle w:val="1188"/>
                <w:rFonts w:hint="default"/>
                <w:color w:val="auto"/>
                <w:sz w:val="24"/>
                <w:szCs w:val="24"/>
                <w:lang w:bidi="ar"/>
              </w:rPr>
              <w:t xml:space="preserve">布置。</w:t>
            </w:r>
            <w:r>
              <w:rPr>
                <w:rStyle w:val="1188"/>
                <w:rFonts w:hint="default"/>
                <w:color w:val="auto"/>
                <w:sz w:val="24"/>
                <w:szCs w:val="24"/>
                <w:lang w:bidi="ar"/>
              </w:rPr>
              <w:br/>
            </w:r>
            <w:r>
              <w:rPr>
                <w:rStyle w:val="1189"/>
                <w:rFonts w:hint="default"/>
                <w:color w:val="auto"/>
                <w:sz w:val="24"/>
                <w:szCs w:val="24"/>
                <w:lang w:bidi="ar"/>
              </w:rPr>
              <w:t xml:space="preserve">2、重量≤19公斤，支腿可折叠。</w:t>
            </w:r>
            <w:r>
              <w:rPr>
                <w:rStyle w:val="1188"/>
                <w:rFonts w:hint="default"/>
                <w:color w:val="auto"/>
                <w:sz w:val="24"/>
                <w:szCs w:val="24"/>
                <w:lang w:bidi="ar"/>
              </w:rPr>
              <w:br/>
            </w:r>
            <w:r>
              <w:rPr>
                <w:rStyle w:val="1188"/>
                <w:rFonts w:hint="default"/>
                <w:color w:val="auto"/>
                <w:sz w:val="24"/>
                <w:szCs w:val="24"/>
                <w:lang w:bidi="ar"/>
              </w:rPr>
              <w:t xml:space="preserve">3、阻尼定位手把；可提便于搬运、可定位喷射角度。</w:t>
            </w:r>
            <w:r>
              <w:rPr>
                <w:rStyle w:val="1188"/>
                <w:rFonts w:hint="default"/>
                <w:sz w:val="24"/>
                <w:szCs w:val="24"/>
                <w:lang w:bidi="ar"/>
              </w:rPr>
              <w:br/>
            </w:r>
            <w:r>
              <w:rPr>
                <w:rStyle w:val="1188"/>
                <w:rFonts w:hint="default"/>
                <w:sz w:val="24"/>
                <w:szCs w:val="24"/>
                <w:lang w:bidi="ar"/>
              </w:rPr>
              <w:t xml:space="preserve">4、炮头可加装发泡管喷射泡沫，适用于扑灭流淌火，应配置泡沫发泡管一个。</w:t>
            </w:r>
            <w:r>
              <w:rPr>
                <w:rStyle w:val="1188"/>
                <w:rFonts w:hint="default"/>
                <w:sz w:val="24"/>
                <w:szCs w:val="24"/>
                <w:lang w:bidi="ar"/>
              </w:rPr>
              <w:br/>
            </w:r>
            <w:r>
              <w:rPr>
                <w:rStyle w:val="1188"/>
                <w:rFonts w:hint="default"/>
                <w:sz w:val="24"/>
                <w:szCs w:val="24"/>
                <w:lang w:bidi="ar"/>
              </w:rPr>
              <w:t xml:space="preserve">▲5、流量：20/30/40 L/S 三档流量可调，压力 0.8Mpa时、射程：20L/S≥50米、30L/S≥60米、40L/S≥65米,炮头可直流和开花喷雾，角度≥0°～120°。</w:t>
            </w:r>
            <w:r>
              <w:rPr>
                <w:rStyle w:val="1188"/>
                <w:rFonts w:hint="default"/>
                <w:sz w:val="24"/>
                <w:szCs w:val="24"/>
                <w:lang w:bidi="ar"/>
              </w:rPr>
              <w:br/>
            </w:r>
            <w:r>
              <w:rPr>
                <w:rStyle w:val="1188"/>
                <w:rFonts w:hint="default"/>
                <w:sz w:val="24"/>
                <w:szCs w:val="24"/>
                <w:lang w:bidi="ar"/>
              </w:rPr>
              <w:t xml:space="preserve">6、旋转角度：水平回转角度：≥30°；俯仰角度：+30°～+70°。</w:t>
            </w:r>
            <w:r>
              <w:rPr>
                <w:rStyle w:val="1188"/>
                <w:rFonts w:hint="default"/>
                <w:sz w:val="24"/>
                <w:szCs w:val="24"/>
                <w:lang w:bidi="ar"/>
              </w:rPr>
              <w:br/>
            </w:r>
            <w:r>
              <w:rPr>
                <w:rStyle w:val="1188"/>
                <w:rFonts w:hint="default"/>
                <w:sz w:val="24"/>
                <w:szCs w:val="24"/>
                <w:lang w:bidi="ar"/>
              </w:rPr>
              <w:t xml:space="preserve">7、支腿可折叠带有锁紧定位机构，安全可靠。</w:t>
            </w:r>
            <w:r>
              <w:rPr>
                <w:rStyle w:val="1188"/>
                <w:rFonts w:hint="default"/>
                <w:sz w:val="24"/>
                <w:szCs w:val="24"/>
                <w:lang w:bidi="ar"/>
              </w:rPr>
              <w:br/>
            </w:r>
            <w:r>
              <w:rPr>
                <w:rStyle w:val="1188"/>
                <w:rFonts w:hint="default"/>
                <w:sz w:val="24"/>
                <w:szCs w:val="24"/>
                <w:lang w:bidi="ar"/>
              </w:rPr>
              <w:t xml:space="preserve">8、不锈钢前端支腿带安全绳扣环，和打开的两个后支腿形成三个支撑点，建立起一个稳定的支撑面。三个支腿安装高强度耐磨地钉。</w:t>
            </w:r>
            <w:r>
              <w:rPr>
                <w:rStyle w:val="1188"/>
                <w:rFonts w:hint="default"/>
                <w:sz w:val="24"/>
                <w:szCs w:val="24"/>
                <w:lang w:bidi="ar"/>
              </w:rPr>
              <w:br/>
            </w:r>
            <w:r>
              <w:rPr>
                <w:rStyle w:val="1188"/>
                <w:rFonts w:hint="default"/>
                <w:sz w:val="24"/>
                <w:szCs w:val="24"/>
                <w:lang w:bidi="ar"/>
              </w:rPr>
              <w:t xml:space="preserve">9、水炮前端应配置一条固定带， 使用水炮时可起到固定作用，移动时, 此安全带应可以连接到手柄处，作为背带使用，便于携带。三个支腿高强度耐磨地钉</w:t>
            </w:r>
            <w:r>
              <w:rPr>
                <w:rStyle w:val="1188"/>
                <w:rFonts w:hint="default"/>
                <w:sz w:val="24"/>
                <w:szCs w:val="24"/>
                <w:highlight w:val="none"/>
                <w:lang w:bidi="ar"/>
              </w:rPr>
              <w:t xml:space="preserve">，便于及时更换。</w:t>
            </w:r>
            <w:r>
              <w:rPr>
                <w:rStyle w:val="1188"/>
                <w:rFonts w:hint="default"/>
                <w:sz w:val="24"/>
                <w:szCs w:val="24"/>
                <w:highlight w:val="none"/>
                <w:lang w:bidi="ar"/>
              </w:rPr>
              <w:br/>
            </w:r>
            <w:r>
              <w:rPr>
                <w:rStyle w:val="1188"/>
                <w:rFonts w:hint="default"/>
                <w:sz w:val="24"/>
                <w:szCs w:val="24"/>
                <w:highlight w:val="none"/>
                <w:lang w:bidi="ar"/>
              </w:rPr>
              <w:t xml:space="preserve">10、进水口尺</w:t>
            </w:r>
            <w:r>
              <w:rPr>
                <w:rStyle w:val="1188"/>
                <w:rFonts w:hint="default"/>
                <w:sz w:val="24"/>
                <w:szCs w:val="24"/>
                <w:lang w:bidi="ar"/>
              </w:rPr>
              <w:t xml:space="preserve">寸 DN65m</w:t>
            </w:r>
            <w:r>
              <w:rPr>
                <w:rStyle w:val="1188"/>
                <w:rFonts w:hint="default"/>
                <w:sz w:val="24"/>
                <w:szCs w:val="24"/>
                <w:highlight w:val="none"/>
                <w:lang w:bidi="ar"/>
              </w:rPr>
              <w:t xml:space="preserve">m快速式雄口；可旋转, 避免水带扭结,引起水炮侧移。</w:t>
            </w:r>
            <w:r>
              <w:rPr>
                <w:rStyle w:val="1188"/>
                <w:rFonts w:hint="default"/>
                <w:sz w:val="24"/>
                <w:szCs w:val="24"/>
                <w:highlight w:val="none"/>
                <w:lang w:bidi="ar"/>
              </w:rPr>
              <w:br/>
            </w:r>
            <w:r>
              <w:rPr>
                <w:rStyle w:val="1188"/>
                <w:rFonts w:hint="default"/>
                <w:sz w:val="24"/>
                <w:szCs w:val="24"/>
                <w:highlight w:val="none"/>
                <w:lang w:bidi="ar"/>
              </w:rPr>
              <w:t xml:space="preserve">11、产品符合</w:t>
            </w:r>
            <w:r>
              <w:rPr>
                <w:rFonts w:hint="eastAsia" w:ascii="宋体" w:hAnsi="宋体" w:eastAsia="宋体" w:cs="宋体"/>
                <w:color w:val="000000"/>
                <w:sz w:val="24"/>
                <w:szCs w:val="24"/>
                <w:highlight w:val="none"/>
                <w:lang w:bidi="ar"/>
              </w:rPr>
              <w:t xml:space="preserve">GB 19156-2019</w:t>
            </w:r>
            <w:r>
              <w:rPr>
                <w:rStyle w:val="1188"/>
                <w:rFonts w:hint="default"/>
                <w:sz w:val="24"/>
                <w:szCs w:val="24"/>
                <w:highlight w:val="none"/>
                <w:lang w:bidi="ar"/>
              </w:rPr>
              <w:t xml:space="preserve">《消防炮》要求。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高倍数泡沫发生器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ff0000"/>
                <w:sz w:val="24"/>
                <w:szCs w:val="24"/>
              </w:rPr>
            </w:pPr>
            <w:r>
              <w:rPr>
                <w:rFonts w:hint="eastAsia" w:ascii="宋体" w:hAnsi="宋体" w:eastAsia="宋体" w:cs="宋体"/>
                <w:color w:val="auto"/>
                <w:sz w:val="24"/>
                <w:szCs w:val="24"/>
                <w:lang w:bidi="ar"/>
              </w:rPr>
              <w:t xml:space="preserve">1.产品性能符合GB20031-2024《泡沫灭火设备》标准</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2.无风轮机发泡设计，不受风流影响，结构更简单，操作更便捷。</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3.工作压力范围：0.4~0.8MPa</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4.流量：≥4L/s</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5.在0.4MPa下发泡倍数:≥400，发泡量:≥80m³/min，50%析液时间:≥20min;</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6.在0.6MPa下发泡倍数:≥580，发泡量:≥150m³/min，50%析液时间:≥22min;</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7.在0.8MPa下发泡倍数:≥600，发泡量:≥170m³/min,50%析液时间:≥25min。</w:t>
            </w:r>
            <w:r>
              <w:rPr>
                <w:rFonts w:hint="eastAsia" w:ascii="宋体" w:hAnsi="宋体" w:eastAsia="宋体" w:cs="宋体"/>
                <w:color w:val="auto"/>
                <w:sz w:val="24"/>
                <w:szCs w:val="24"/>
                <w:lang w:bidi="ar"/>
              </w:rPr>
              <w:br/>
            </w:r>
            <w:r>
              <w:rPr>
                <w:rFonts w:hint="eastAsia" w:ascii="宋体" w:hAnsi="宋体" w:eastAsia="宋体" w:cs="宋体"/>
                <w:color w:val="auto"/>
                <w:sz w:val="24"/>
                <w:szCs w:val="24"/>
                <w:lang w:bidi="ar"/>
              </w:rPr>
              <w:t xml:space="preserve">8.重量：≤8kg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水带包布</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1、水带包布用于包裹消防水带破漏处，它由帆布带和金属夹钳等零件组成。使用时只要将包布一端穿入夹钳中，夹牢即可。</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水带护桥</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1、水带护桥用于保护水带横铺交通要道上时，不影响正常车辆行驶的器材，强度大、抗压耐用、收拾方便。护桥槽：宽度≥90mm，深度≥75mm。高度≥80mm，底板厚度≥5mm。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水带挂钩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带挂钩是悬挂消防水带的工具，是在灭火战斗中，向高处垂直铺设水带时，为了减少水带下坠力，用水带挂钩将水带挂在梯子上或其它物体上。产品由帆布带、金属钩和金属半环组成。使用时将半环一端缠绕水带，另一端穿入半环中并提起金属钩，即可将水带悬挂起来。</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地下消火栓扳手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1、长度：常见为 1.0米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2、开口形状： 四角</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3、开口尺寸： 内径3.6cm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4、材质： 铸铁表面有 防锈涂层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1、材质：铸铁。适用范围：地上消火栓。产品重量：≤1.2kg。长度：≤40cm。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6米竹制拉梯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2、侧板、梯蹬材质为生长期长的竹料并需经防腐、防蛀、干燥处理。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3、工作长度6±0.2m 最小梯宽300±3mm。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4、梯蹬间距280±2mm。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5、整梯质量≤30kg。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6、水平弯曲残余变形比值≤0.3%。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7、拉梯进行单撑脚载荷试验后，撑脚及联接件不出现松动、损伤及变形。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8、抗冲击性能试验时，撑脚支撑功能始终正常，撑脚及梯蹬无明显变形和损坏。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9、消防梯右侧板上铭牌标有“执行标准、名称、规格型号、梯蹬间距、整梯质量；商标、厂名、厂址、生产日期或批号、使用须知”等规定。</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9米金属拉梯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2、拉梯侧板、梯蹬、撑脚材质使用铝型材。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3、工作长度9±0.2m。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4、最小梯宽300±3mm。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5、梯蹬间距340±2mm。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6、整梯质量≤30kg。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7、水平弯曲残余变形比值≤0.2%、梯蹬弯曲残余变形比值≤0.2%。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8、梯蹬剪切强度：梯蹬与侧板的连接处和梯蹬本身无任何断裂迹象。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9、翘曲试验时，任一梯脚均不离地。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10、梯节扭转角为：α顺：≤9.0°、α逆：≤9.0°。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11、滑移试验时，各梯脚在整个试验表面不出现位移。</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12、单撑脚载荷试验后，撑脚及联接件不出现松动、损伤及变形。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13、侧板悬臂弯曲最大变形值：内弯曲≤1mm、外弯曲≤1mm。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14、侧摇摆试验残余变形比值≤0.2%。</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15米金属拉梯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1、符合XF137-2007《消防梯》要求、高强度铝合金材质组成。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2、工作长度15±0.3m。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3、最小梯宽350±4mm。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4、梯蹬间距340±2mm。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5、整梯质量≤60kg。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6、水平弯曲残余变形比值≤0.3%。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7、梯蹬弯曲残余变形比值≤0.3%。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8、梯蹬剪切强度：梯蹬与侧板的连接处和梯蹬本身无任何断裂迹象。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9、翘曲试验时，任一梯脚均不离地。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10、梯节扭转角为：α顺：≤11°、α逆：≤11°。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11、滑移试验进，各梯脚在整个试验表面应无位移现象。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12、单撑脚载荷试验后，撑脚及联接件不出现松动、损伤及变形。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13、侧板悬臂弯曲最大变形值：内弯曲≤2mm、外弯曲≤2mm。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14、侧摇摆试验残余变形比值≤0.3%。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15、三节拉梯的两侧撑脚能同时可靠地将第二、第三梯节支撑在工作高度及以下的任何一级梯蹬上。在撑脚安全性试验时，不出现向梯蹬外侧面移动的现象。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16、抗冲击性能试验时撑脚支撑功能始终正常，试验后撑脚及梯蹬无明显变形或损坏。</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移动式机动排烟机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1、结构组成：排烟机（燃油发动机式）、脚轮、风扇。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2、应用于现场的正压排烟及送风。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3、发动机功率≥2.0KW、排烟量≥1.0万立方米/小时。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4、风扇直径≥40cm、加固型合成树脂叶片；金属防护架环绕整个机器，即坚固耐用、又可对排烟机任何方向的倒落起到完全防护。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5、工作时间可连续运行≥2小时。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6、重量≤40kg。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7、配有脚轮，方便移动。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火钩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1.主要用于火灾救援现场，掘开燃烧物、障碍物、覆盖物等。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2.也可根据灭火救援现场的实际情况使用，如救援、牵引等。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采用四年生优质小毛竹主杆材料，配套钢制拉钩制作铁钩，与竹杆是嵌入式连接。</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工作长≥3m，最小直径30mm，整体质量≤3.5kg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水带提篮</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1、用于放置消防水带3盘65或2盘80水带，材质不锈钢，重量小于5KG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折叠拖车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1、主体材质：建议采用高强度、耐腐蚀材料，冷轧钢。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2、结构强度：车体结构应稳固，能承受额定载荷，在动态使用中无变形、异响。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表面处理：表面应光滑平整，无毛刺、锐角，进行防锈、防腐处理（如抛光、喷塑等）。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3、展开状态尺寸长×宽×高）： 900×600mm，允许尺寸偏差±10mm。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4、最小离地间隙：≥50mm，确保通过性。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5、轮子类型与数量：通常配置2个万向轮。2个定向轮，轮子规格：≥8寸。</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折叠与锁定机构折叠功能：必须配备高效、可靠的折叠机构，实现快速展开与收折。</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移动式车底盘灭火装置</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lang w:bidi="ar"/>
              </w:rPr>
              <w:t xml:space="preserve">1、尺寸（不含接口）：106.5*69*12 (cm)；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2、重量：≤6.4kg；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3、水喷雾喷射高度：≥1.5m(水压不低于0.6MPa)；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4、进水口：1个65mm消防接口；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5、万向轮：≥4个；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highlight w:val="none"/>
                <w:lang w:bidi="ar"/>
              </w:rPr>
              <w:t xml:space="preserve">喷头数量：≥22个。</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rPr>
              <w:t xml:space="preserve">7、移动式车底盘灭火装置是灭火的射水工具，用其与水带连接会喷射密集充实的水流，在车辆发燃烧情况下，车辆需要用底盘降温装置进行降温作业（新能源汽车，底部电池发生燃烧）。</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移动式水带卷盘</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移动式水带卷盘机是专用于消防水带盘卷之用。以往水带是靠人工盘卷既费力又费工。使用该设置后提高功效数倍。对生产水带的厂家、以及带子的盘卷都可使用。该设置结构紧凑、小巧玲珑、操作安全简便，使用场所更广范。组成部分：1、万向轮，2、摇臂，3、支架，4、链条，5、卡具，6、可折叠支架，7、导套，8、橡胶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消防移动储水装置（水囊1吨）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1、符合XF1204-2014《移动式消防储水装置》标准，储水容积：≥1T。</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2、储水装置主体材质采用高强度聚酯纤维夹网布。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3、撕裂强度：纵向≥60kN/m，横向≥60kN/m；拉伸性能：纵向≥30/MPa，横向≥30/MPa。 4、储水装置的所有阀门、开关、操纵手柄等应设置功能说明及位置指示，出水口≥40mm，所配的管路接口应符合GB12514的规定，充气圈进气口处应设置压力显示装置。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森林高压增压泵</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1、泵体：四级防腐铝合金离心泵，可手动拆卸。</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2、接口：进水口50mm（2英寸），出水口38mm（1.5英寸）。</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3、性能：最大扬程≥260米，最大流量≥360升/分。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4、可手提、背负，电子超速保护，启动有减压阀，操作便捷。</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二出水分水器（65公40卡）</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 符合XF868-2010《分水器和集水器》标准进水口采用65mm锻造快速雄接口，2个出水口采用40mm牙式接口、标准工作压力≥2.5MPa。</w:t>
            </w:r>
            <w:r>
              <w:rPr>
                <w:rStyle w:val="1188"/>
                <w:rFonts w:hint="default"/>
                <w:sz w:val="24"/>
                <w:szCs w:val="24"/>
                <w:lang w:bidi="ar"/>
              </w:rPr>
              <w:br/>
            </w:r>
            <w:r>
              <w:rPr>
                <w:rStyle w:val="1188"/>
                <w:rFonts w:hint="default"/>
                <w:sz w:val="24"/>
                <w:szCs w:val="24"/>
                <w:lang w:bidi="ar"/>
              </w:rPr>
              <w:t xml:space="preserve">2、阀门开启力（N）≤120。</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3孔40mm分水器卡口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材质：接口：铝镁合金、阀体：ADC12。</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2、表面防腐处理工艺：接口：阳极氧化、阀体：喷塑。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3、制造工艺：接口：锻造工艺、阀体：压铸工艺、接口型式 ：森林牙式接口、阀门型式 ：快开式。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4、规格：40mm、公称压力(MPa)：≥2.5。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5、一进二分水器。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6、进出口均为森林40mm牙式接口。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40mm水枪卡口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1、水枪枪体：选用铝合金工艺铝型材，采用精密加工工艺，表面阳极氧化防腐处理，为开花、喷雾多功能水枪.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2、接口：进水口森林40mm牙式接口.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3、手柄：选用尼龙材质，注塑一体成型。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4、在喷射压力为0.6MPa时流量挡位为2档：2.5-4.0L/S、射程为：≥25米。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5、喷雾角度为0-120度。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6、含接口的重量：≤1.2公斤。</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7、入水口带有不锈钢过滤网，防止杂物进入枪体。</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40mm水带30米</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1、水带口径为40mm。</w:t>
            </w:r>
            <w:r>
              <w:rPr>
                <w:rStyle w:val="1188"/>
                <w:rFonts w:hint="default"/>
                <w:sz w:val="24"/>
                <w:szCs w:val="24"/>
                <w:lang w:bidi="ar"/>
              </w:rPr>
              <w:br/>
            </w:r>
            <w:r>
              <w:rPr>
                <w:rStyle w:val="1188"/>
                <w:rFonts w:hint="default"/>
                <w:sz w:val="24"/>
                <w:szCs w:val="24"/>
                <w:lang w:bidi="ar"/>
              </w:rPr>
              <w:t xml:space="preserve">2、标</w:t>
            </w:r>
            <w:r>
              <w:rPr>
                <w:rStyle w:val="1188"/>
                <w:rFonts w:hint="default"/>
                <w:color w:val="auto"/>
                <w:sz w:val="24"/>
                <w:szCs w:val="24"/>
                <w:lang w:bidi="ar"/>
              </w:rPr>
              <w:t xml:space="preserve">准工作压力≥2.0MPa，每盘长度30米。</w:t>
            </w:r>
            <w:r>
              <w:rPr>
                <w:rStyle w:val="1188"/>
                <w:rFonts w:hint="default"/>
                <w:color w:val="auto"/>
                <w:sz w:val="24"/>
                <w:szCs w:val="24"/>
                <w:lang w:bidi="ar"/>
              </w:rPr>
              <w:br/>
            </w:r>
            <w:r>
              <w:rPr>
                <w:rStyle w:val="1189"/>
                <w:rFonts w:hint="default"/>
                <w:color w:val="auto"/>
                <w:sz w:val="24"/>
                <w:szCs w:val="24"/>
                <w:lang w:bidi="ar"/>
              </w:rPr>
              <w:t xml:space="preserve">▲3、单位长度质量：≤130g/m、爆破压力≥16MPa、延伸率为≤1.0%，膨胀率为≤3.0%、附着力强度为≥70.0N/25MM。</w:t>
            </w:r>
            <w:r>
              <w:rPr>
                <w:rStyle w:val="1188"/>
                <w:rFonts w:hint="default"/>
                <w:color w:val="auto"/>
                <w:sz w:val="24"/>
                <w:szCs w:val="24"/>
                <w:lang w:bidi="ar"/>
              </w:rPr>
              <w:br/>
            </w:r>
            <w:r>
              <w:rPr>
                <w:rStyle w:val="1188"/>
                <w:rFonts w:hint="default"/>
                <w:color w:val="auto"/>
                <w:sz w:val="24"/>
                <w:szCs w:val="24"/>
                <w:lang w:bidi="ar"/>
              </w:rPr>
              <w:t xml:space="preserve">4、水带两头均有40口径的森</w:t>
            </w:r>
            <w:r>
              <w:rPr>
                <w:rStyle w:val="1188"/>
                <w:rFonts w:hint="default"/>
                <w:sz w:val="24"/>
                <w:szCs w:val="24"/>
                <w:lang w:bidi="ar"/>
              </w:rPr>
              <w:t xml:space="preserve">林牙式接口扎好。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空气呼吸器充气泵</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▲1.流量：大于315升。压力：≥300bar 充2只瓶6.8升气瓶时间小于14分钟。噪声：≤75分贝。振动烈度：≤12mm/s。排气温升：≤150摄氏度。压力检测和控制功能：设备具有一级，二级，三级气缸压力表，实时显示各个气缸工作压力。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2.充气泵功率≥7.5KW;箱体型设计，降低噪音的同时也更加安全；箱铠有铰链可以打开。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3.充气泵尺寸≤94cm*65cm*86cm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控制功能：压缩机具有自动停机功能，可根据压力设定自动停机，应配有带运行计时器，具有自动排污、污水收集功能，可选手动或自动运行模式。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保护功能：具有转向保护，低油压保护，过载保护，防频繁启动保护功能，并配有指示灯。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保养提醒功能：设备应具有保养提醒功能，在达到保养时间时，应有提醒操作员保养功能。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质量可靠，可连续运行大于8小时</w:t>
            </w:r>
            <w:r>
              <w:rPr>
                <w:rFonts w:hint="eastAsia" w:ascii="宋体" w:hAnsi="宋体" w:eastAsia="宋体" w:cs="宋体"/>
                <w:color w:val="000000"/>
                <w:sz w:val="24"/>
                <w:szCs w:val="24"/>
                <w:lang w:eastAsia="zh-CN" w:bidi="ar"/>
              </w:rPr>
              <w:t xml:space="preserve">。</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空呼充气防爆箱</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材质≥5mm钢板，焊接牢固；增加安全性。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充气箱最底下为卸压舱，设有泄压孔，气瓶爆破时，膨胀的压缩空气能通过内、外箱之间的空间和箱体底部泄压孔排出，防止对操作人员的伤害。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3、可同时充装1-4只气瓶，可充2-12L气瓶。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压力表采用双压力表，其中一只为电触点压力表另一只压力表显被充气瓶内压力。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每只充气瓶充气管路上都装有开关控制阀，可单独进行充气过程控制。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6、瓶充满时报警功能，防止气瓶充装压力过高。</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 4根充气高压胶管错位排布，使操作空间增大，符合人机工程原理。</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水成膜泡沫灭火剂（吨）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1、符合《泡沫灭火剂》要求；类型为抗溶性水成膜</w:t>
            </w:r>
            <w:r>
              <w:rPr>
                <w:rStyle w:val="1188"/>
                <w:rFonts w:hint="default"/>
                <w:color w:val="auto"/>
                <w:sz w:val="24"/>
                <w:szCs w:val="24"/>
                <w:lang w:bidi="ar"/>
              </w:rPr>
              <w:t xml:space="preserve">泡沫灭火剂；比例6：94。</w:t>
            </w:r>
            <w:r>
              <w:rPr>
                <w:rStyle w:val="1188"/>
                <w:rFonts w:hint="default"/>
                <w:color w:val="auto"/>
                <w:sz w:val="24"/>
                <w:szCs w:val="24"/>
                <w:lang w:bidi="ar"/>
              </w:rPr>
              <w:br/>
            </w:r>
            <w:r>
              <w:rPr>
                <w:rStyle w:val="1189"/>
                <w:rFonts w:hint="default"/>
                <w:color w:val="auto"/>
                <w:sz w:val="24"/>
                <w:szCs w:val="24"/>
                <w:lang w:bidi="ar"/>
              </w:rPr>
              <w:t xml:space="preserve">2、凝固点：≥-38℃。 </w:t>
            </w:r>
            <w:r>
              <w:rPr>
                <w:rStyle w:val="1189"/>
                <w:rFonts w:hint="default"/>
                <w:color w:val="auto"/>
                <w:sz w:val="24"/>
                <w:szCs w:val="24"/>
                <w:lang w:bidi="ar"/>
              </w:rPr>
              <w:br/>
            </w:r>
            <w:r>
              <w:rPr>
                <w:rStyle w:val="1189"/>
                <w:rFonts w:hint="default"/>
                <w:color w:val="auto"/>
                <w:sz w:val="24"/>
                <w:szCs w:val="24"/>
                <w:lang w:bidi="ar"/>
              </w:rPr>
              <w:t xml:space="preserve">3、抗冻结、融化性能：无可见分层和非均相。</w:t>
            </w:r>
            <w:r>
              <w:rPr>
                <w:rStyle w:val="1189"/>
                <w:rFonts w:hint="default"/>
                <w:color w:val="auto"/>
                <w:sz w:val="24"/>
                <w:szCs w:val="24"/>
                <w:lang w:bidi="ar"/>
              </w:rPr>
              <w:br/>
            </w:r>
            <w:r>
              <w:rPr>
                <w:rStyle w:val="1189"/>
                <w:rFonts w:hint="default"/>
                <w:color w:val="auto"/>
                <w:sz w:val="24"/>
                <w:szCs w:val="24"/>
                <w:lang w:bidi="ar"/>
              </w:rPr>
              <w:t xml:space="preserve">▲4、PH值：温度处理前后：6.0-9.5、表面张力：≤19mN/m、界面张力：≤2.0mN/m。</w:t>
            </w:r>
            <w:r>
              <w:rPr>
                <w:rStyle w:val="1189"/>
                <w:rFonts w:hint="default"/>
                <w:color w:val="auto"/>
                <w:sz w:val="24"/>
                <w:szCs w:val="24"/>
                <w:lang w:bidi="ar"/>
              </w:rPr>
              <w:br/>
            </w:r>
            <w:r>
              <w:rPr>
                <w:rStyle w:val="1189"/>
                <w:rFonts w:hint="default"/>
                <w:color w:val="auto"/>
                <w:sz w:val="24"/>
                <w:szCs w:val="24"/>
                <w:lang w:bidi="ar"/>
              </w:rPr>
              <w:t xml:space="preserve">5、扩散系数：温度处理前后：4-6mN/m。</w:t>
            </w:r>
            <w:r>
              <w:rPr>
                <w:rStyle w:val="1188"/>
                <w:rFonts w:hint="default"/>
                <w:color w:val="auto"/>
                <w:sz w:val="24"/>
                <w:szCs w:val="24"/>
                <w:lang w:bidi="ar"/>
              </w:rPr>
              <w:br/>
            </w:r>
            <w:r>
              <w:rPr>
                <w:rStyle w:val="1188"/>
                <w:rFonts w:hint="default"/>
                <w:color w:val="auto"/>
                <w:sz w:val="24"/>
                <w:szCs w:val="24"/>
                <w:lang w:bidi="ar"/>
              </w:rPr>
              <w:t xml:space="preserve">6、腐蚀率mg/（d.dm²）：Q235A钢片：≤4.0，3A21铝片：≤0.</w:t>
            </w:r>
            <w:r>
              <w:rPr>
                <w:rStyle w:val="1188"/>
                <w:rFonts w:hint="default"/>
                <w:sz w:val="24"/>
                <w:szCs w:val="24"/>
                <w:lang w:bidi="ar"/>
              </w:rPr>
              <w:t xml:space="preserve">3。</w:t>
            </w:r>
            <w:r>
              <w:rPr>
                <w:rStyle w:val="1188"/>
                <w:rFonts w:hint="default"/>
                <w:sz w:val="24"/>
                <w:szCs w:val="24"/>
                <w:lang w:bidi="ar"/>
              </w:rPr>
              <w:br/>
            </w:r>
            <w:r>
              <w:rPr>
                <w:rStyle w:val="1188"/>
                <w:rFonts w:hint="default"/>
                <w:sz w:val="24"/>
                <w:szCs w:val="24"/>
                <w:lang w:bidi="ar"/>
              </w:rPr>
              <w:t xml:space="preserve">7、发泡倍数：温度处理前≥6.0 倍。</w:t>
            </w:r>
            <w:r>
              <w:rPr>
                <w:rStyle w:val="1188"/>
                <w:rFonts w:hint="default"/>
                <w:sz w:val="24"/>
                <w:szCs w:val="24"/>
                <w:lang w:bidi="ar"/>
              </w:rPr>
              <w:br/>
            </w:r>
            <w:r>
              <w:rPr>
                <w:rStyle w:val="1188"/>
                <w:rFonts w:hint="default"/>
                <w:sz w:val="24"/>
                <w:szCs w:val="24"/>
                <w:lang w:bidi="ar"/>
              </w:rPr>
              <w:t xml:space="preserve">8、25%析液时间：温度处理前≥19 min。</w:t>
            </w:r>
            <w:r>
              <w:rPr>
                <w:rStyle w:val="1188"/>
                <w:rFonts w:hint="default"/>
                <w:sz w:val="24"/>
                <w:szCs w:val="24"/>
                <w:lang w:bidi="ar"/>
              </w:rPr>
              <w:br/>
            </w:r>
            <w:r>
              <w:rPr>
                <w:rStyle w:val="1188"/>
                <w:rFonts w:hint="default"/>
                <w:sz w:val="24"/>
                <w:szCs w:val="24"/>
                <w:lang w:bidi="ar"/>
              </w:rPr>
              <w:t xml:space="preserve">9、灭火性能：级别IA；灭火时间≤2min，抗烧时间≥16min；级别ARIA；灭火时间：≤3min，抗烧时间≥20min。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ff0000"/>
                <w:sz w:val="24"/>
                <w:szCs w:val="24"/>
              </w:rPr>
            </w:pPr>
            <w:r>
              <w:rPr>
                <w:rFonts w:hint="eastAsia" w:ascii="宋体" w:hAnsi="宋体" w:eastAsia="宋体" w:cs="宋体"/>
                <w:color w:val="auto"/>
                <w:sz w:val="24"/>
                <w:szCs w:val="24"/>
                <w:lang w:bidi="ar"/>
              </w:rPr>
              <w:t xml:space="preserve">公专网电台</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1、通信模式</w:t>
            </w:r>
            <w:r>
              <w:rPr>
                <w:rStyle w:val="1190"/>
                <w:rFonts w:hint="eastAsia" w:ascii="宋体" w:hAnsi="宋体" w:eastAsia="宋体" w:cs="宋体"/>
                <w:sz w:val="24"/>
                <w:szCs w:val="24"/>
                <w:lang w:bidi="ar"/>
              </w:rPr>
              <w:t xml:space="preserve">‌</w:t>
            </w:r>
            <w:r>
              <w:rPr>
                <w:rStyle w:val="1188"/>
                <w:rFonts w:hint="default"/>
                <w:sz w:val="24"/>
                <w:szCs w:val="24"/>
                <w:lang w:bidi="ar"/>
              </w:rPr>
              <w:t xml:space="preserve">：支持电话、数字、模拟、公网（4G/WLAN）等多种模式无缝切换，兼容PDT集群业务。</w:t>
            </w:r>
            <w:r>
              <w:rPr>
                <w:rStyle w:val="1190"/>
                <w:rFonts w:hint="eastAsia" w:ascii="宋体" w:hAnsi="宋体" w:eastAsia="宋体" w:cs="宋体"/>
                <w:sz w:val="24"/>
                <w:szCs w:val="24"/>
                <w:lang w:bidi="ar"/>
              </w:rPr>
              <w:t xml:space="preserve">‌</w:t>
            </w:r>
            <w:r>
              <w:rPr>
                <w:rStyle w:val="1190"/>
                <w:rFonts w:hint="eastAsia" w:ascii="宋体" w:hAnsi="宋体" w:eastAsia="宋体" w:cs="宋体"/>
                <w:sz w:val="24"/>
                <w:szCs w:val="24"/>
                <w:lang w:bidi="ar"/>
              </w:rPr>
              <w:br/>
            </w:r>
            <w:r>
              <w:rPr>
                <w:rStyle w:val="1188"/>
                <w:rFonts w:hint="default"/>
                <w:sz w:val="24"/>
                <w:szCs w:val="24"/>
                <w:lang w:bidi="ar"/>
              </w:rPr>
              <w:t xml:space="preserve">2、</w:t>
            </w:r>
            <w:r>
              <w:rPr>
                <w:rStyle w:val="1190"/>
                <w:rFonts w:hint="eastAsia" w:ascii="宋体" w:hAnsi="宋体" w:eastAsia="宋体" w:cs="宋体"/>
                <w:sz w:val="24"/>
                <w:szCs w:val="24"/>
                <w:lang w:bidi="ar"/>
              </w:rPr>
              <w:t xml:space="preserve">‌</w:t>
            </w:r>
            <w:r>
              <w:rPr>
                <w:rStyle w:val="1188"/>
                <w:rFonts w:hint="default"/>
                <w:sz w:val="24"/>
                <w:szCs w:val="24"/>
                <w:lang w:bidi="ar"/>
              </w:rPr>
              <w:t xml:space="preserve">电池与续航</w:t>
            </w:r>
            <w:r>
              <w:rPr>
                <w:rStyle w:val="1190"/>
                <w:rFonts w:hint="eastAsia" w:ascii="宋体" w:hAnsi="宋体" w:eastAsia="宋体" w:cs="宋体"/>
                <w:sz w:val="24"/>
                <w:szCs w:val="24"/>
                <w:lang w:bidi="ar"/>
              </w:rPr>
              <w:t xml:space="preserve">‌</w:t>
            </w:r>
            <w:r>
              <w:rPr>
                <w:rStyle w:val="1188"/>
                <w:rFonts w:hint="default"/>
                <w:sz w:val="24"/>
                <w:szCs w:val="24"/>
                <w:lang w:bidi="ar"/>
              </w:rPr>
              <w:t xml:space="preserve">：标配电池容量为2400mAh（智能聚合物锂电池）。</w:t>
            </w:r>
            <w:r>
              <w:rPr>
                <w:rStyle w:val="1190"/>
                <w:rFonts w:hint="eastAsia" w:ascii="宋体" w:hAnsi="宋体" w:eastAsia="宋体" w:cs="宋体"/>
                <w:sz w:val="24"/>
                <w:szCs w:val="24"/>
                <w:lang w:bidi="ar"/>
              </w:rPr>
              <w:t xml:space="preserve">‌</w:t>
            </w:r>
            <w:r>
              <w:rPr>
                <w:rStyle w:val="1190"/>
                <w:rFonts w:hint="eastAsia" w:ascii="宋体" w:hAnsi="宋体" w:eastAsia="宋体" w:cs="宋体"/>
                <w:sz w:val="24"/>
                <w:szCs w:val="24"/>
                <w:lang w:bidi="ar"/>
              </w:rPr>
              <w:br/>
            </w:r>
            <w:r>
              <w:rPr>
                <w:rStyle w:val="1188"/>
                <w:rFonts w:hint="default"/>
                <w:sz w:val="24"/>
                <w:szCs w:val="24"/>
                <w:lang w:bidi="ar"/>
              </w:rPr>
              <w:t xml:space="preserve">3、</w:t>
            </w:r>
            <w:r>
              <w:rPr>
                <w:rStyle w:val="1190"/>
                <w:rFonts w:hint="eastAsia" w:ascii="宋体" w:hAnsi="宋体" w:eastAsia="宋体" w:cs="宋体"/>
                <w:sz w:val="24"/>
                <w:szCs w:val="24"/>
                <w:lang w:bidi="ar"/>
              </w:rPr>
              <w:t xml:space="preserve">‌</w:t>
            </w:r>
            <w:r>
              <w:rPr>
                <w:rStyle w:val="1188"/>
                <w:rFonts w:hint="default"/>
                <w:sz w:val="24"/>
                <w:szCs w:val="24"/>
                <w:lang w:bidi="ar"/>
              </w:rPr>
              <w:t xml:space="preserve">频段范围</w:t>
            </w:r>
            <w:r>
              <w:rPr>
                <w:rStyle w:val="1190"/>
                <w:rFonts w:hint="eastAsia" w:ascii="宋体" w:hAnsi="宋体" w:eastAsia="宋体" w:cs="宋体"/>
                <w:sz w:val="24"/>
                <w:szCs w:val="24"/>
                <w:lang w:bidi="ar"/>
              </w:rPr>
              <w:t xml:space="preserve">‌</w:t>
            </w:r>
            <w:r>
              <w:rPr>
                <w:rStyle w:val="1188"/>
                <w:rFonts w:hint="default"/>
                <w:sz w:val="24"/>
                <w:szCs w:val="24"/>
                <w:lang w:bidi="ar"/>
              </w:rPr>
              <w:t xml:space="preserve">：UHF频段：350-400MHz。</w:t>
            </w:r>
            <w:r>
              <w:rPr>
                <w:rStyle w:val="1190"/>
                <w:rFonts w:hint="eastAsia" w:ascii="宋体" w:hAnsi="宋体" w:eastAsia="宋体" w:cs="宋体"/>
                <w:sz w:val="24"/>
                <w:szCs w:val="24"/>
                <w:lang w:bidi="ar"/>
              </w:rPr>
              <w:t xml:space="preserve">‌</w:t>
            </w:r>
            <w:r>
              <w:rPr>
                <w:rStyle w:val="1190"/>
                <w:rFonts w:hint="eastAsia" w:ascii="宋体" w:hAnsi="宋体" w:eastAsia="宋体" w:cs="宋体"/>
                <w:sz w:val="24"/>
                <w:szCs w:val="24"/>
                <w:lang w:bidi="ar"/>
              </w:rPr>
              <w:br/>
            </w:r>
            <w:r>
              <w:rPr>
                <w:rStyle w:val="1188"/>
                <w:rFonts w:hint="default"/>
                <w:sz w:val="24"/>
                <w:szCs w:val="24"/>
                <w:lang w:bidi="ar"/>
              </w:rPr>
              <w:t xml:space="preserve">4、</w:t>
            </w:r>
            <w:r>
              <w:rPr>
                <w:rStyle w:val="1190"/>
                <w:rFonts w:hint="eastAsia" w:ascii="宋体" w:hAnsi="宋体" w:eastAsia="宋体" w:cs="宋体"/>
                <w:sz w:val="24"/>
                <w:szCs w:val="24"/>
                <w:lang w:bidi="ar"/>
              </w:rPr>
              <w:t xml:space="preserve">‌</w:t>
            </w:r>
            <w:r>
              <w:rPr>
                <w:rStyle w:val="1188"/>
                <w:rFonts w:hint="default"/>
                <w:sz w:val="24"/>
                <w:szCs w:val="24"/>
                <w:lang w:bidi="ar"/>
              </w:rPr>
              <w:t xml:space="preserve">功能特性</w:t>
            </w:r>
            <w:r>
              <w:rPr>
                <w:rStyle w:val="1190"/>
                <w:rFonts w:hint="eastAsia" w:ascii="宋体" w:hAnsi="宋体" w:eastAsia="宋体" w:cs="宋体"/>
                <w:sz w:val="24"/>
                <w:szCs w:val="24"/>
                <w:lang w:bidi="ar"/>
              </w:rPr>
              <w:t xml:space="preserve">‌</w:t>
            </w:r>
            <w:r>
              <w:rPr>
                <w:rStyle w:val="1188"/>
                <w:rFonts w:hint="default"/>
                <w:sz w:val="24"/>
                <w:szCs w:val="24"/>
                <w:lang w:bidi="ar"/>
              </w:rPr>
              <w:t xml:space="preserve">：支持高清视频通话、室内外精准定位（北斗）、执法记录仪功能、NFC打卡、音视频调度等。</w:t>
            </w:r>
            <w:r>
              <w:rPr>
                <w:rStyle w:val="1190"/>
                <w:rFonts w:hint="eastAsia" w:ascii="宋体" w:hAnsi="宋体" w:eastAsia="宋体" w:cs="宋体"/>
                <w:sz w:val="24"/>
                <w:szCs w:val="24"/>
                <w:lang w:bidi="ar"/>
              </w:rPr>
              <w:t xml:space="preserve">‌</w:t>
            </w:r>
            <w:r>
              <w:rPr>
                <w:rStyle w:val="1190"/>
                <w:rFonts w:hint="eastAsia" w:ascii="宋体" w:hAnsi="宋体" w:eastAsia="宋体" w:cs="宋体"/>
                <w:sz w:val="24"/>
                <w:szCs w:val="24"/>
                <w:lang w:bidi="ar"/>
              </w:rPr>
              <w:br/>
            </w:r>
            <w:r>
              <w:rPr>
                <w:rStyle w:val="1188"/>
                <w:rFonts w:hint="default"/>
                <w:sz w:val="24"/>
                <w:szCs w:val="24"/>
                <w:lang w:bidi="ar"/>
              </w:rPr>
              <w:t xml:space="preserve">5、防护等级达IP68。</w:t>
            </w:r>
            <w:r>
              <w:rPr>
                <w:rStyle w:val="1190"/>
                <w:rFonts w:hint="eastAsia" w:ascii="宋体" w:hAnsi="宋体" w:eastAsia="宋体" w:cs="宋体"/>
                <w:sz w:val="24"/>
                <w:szCs w:val="24"/>
                <w:lang w:bidi="ar"/>
              </w:rPr>
              <w:t xml:space="preserve">‌</w:t>
            </w:r>
            <w:r>
              <w:rPr>
                <w:rStyle w:val="1190"/>
                <w:rFonts w:hint="eastAsia" w:ascii="宋体" w:hAnsi="宋体" w:eastAsia="宋体" w:cs="宋体"/>
                <w:sz w:val="24"/>
                <w:szCs w:val="24"/>
                <w:lang w:bidi="ar"/>
              </w:rPr>
              <w:br/>
            </w:r>
            <w:r>
              <w:rPr>
                <w:rStyle w:val="1188"/>
                <w:rFonts w:hint="default"/>
                <w:sz w:val="24"/>
                <w:szCs w:val="24"/>
                <w:lang w:bidi="ar"/>
              </w:rPr>
              <w:t xml:space="preserve">6、接入江苏省消防总队自组网。                               7、带公网加密卡1张。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水带背包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1、防水牛津布制成:内有铝合金框架;重量:≤2KG。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2、可装载森林消防水带不少于3条（40毫米口径、30米长）水带。</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软梯（绳梯）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1、用于遇险人员的救援。可收藏于包内，携带方便。外形完整，构件光滑平整。展开救生梯，梯子不会扭曲、变形、踏板平稳、牢靠，紧固件不会有锈蚀现象。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2、梯宽: ≥300mm；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3、撑脚长度: ≥100mm；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4、梯蹬间距: ≥300mm；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最大高度: ≥15000mm；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5、梯档截面尺寸：≥Ф25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6、最大承载人数：≥8人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7、单节梯档最大负荷：≥980N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8、整体最大负荷：≥9800N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9、悬索织带为整根没有接头的织带，织带的厚度≥3mm；织带的宽度为≥38mm；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10、逃生梯展开时间：≤25s；</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11、装箱配置清单，逃生梯主体，活动扳手，挂钩主架，安全钩。</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消防雨衣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1、制式：分体式雨衣。颜色：橄榄绿。面料：环保，高密度防水面料。</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水域救援头盔</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1、外壳采用高强度塑料材质。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2、内置加厚泡沫垫，颈部绑带使其固定后不会移位，绑带有快速卡扣，可调节大小。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3、应有特殊设计的带通气孔的耳部可以确保听觉不受干扰，又能提供良好的缓冲性能。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4、头盔有不低于8个排水通风孔，头盔顶部的透气孔可以确保在天气炎热的情况下依然感到凉爽；左右两边应设置多孔通气孔，在长时间佩戴下，头部内部透气孔均有散热和通风。</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5、头盔头围可调节大小。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6、耐穿透性能：钢锥未穿透头盔与头模产生接触。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7、两边带导轨。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8、冲击吸收性能：头模受到冲击力的最大值≤3300N。顶部抗冲击加速度性能：最大加速度≤150g。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9、漂浮性能：经过24h的漂浮性能实验，头盔能始终漂浮在水面上。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10、耐穿透性能：钢锥未穿透头盔与头模产生接触。</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水域救援手套</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产品结构：消防员水域救援手套由外层、防护保暖复合层组合制成。具有良好的保暖性：在手套的背面氯丁橡胶层和缓冲垫层，提供良好的保暖性和抗冲击性；掌部和手指应具有出色的耐磨性，耐腐蚀性和抗切割性能。手掌和手指覆盖区应经过橡胶涂层的加固处理,手指处合成纤维加强，方便抓握绳索；腕处采用弹性搭扣设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2、质量（g）：≤120g。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3、灵巧性： 人员双手穿戴消防员水域救援手套后，能对直径≤10mm的绳索进行结绳作业。</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1、水域救援靴由靴头、靴外底、靴跟、靴帮、靴内底等组成。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2、双层结构，内部≥5mm 氯丁橡胶与外部皮革一体合成，提供良好的防护和保暖性、凹凸纹的加强型大底，防滑且防止刚性损害，可以适应水面和陆地的各种地形、脚掌侧面带有排水孔。</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3、防水性能：无渗漏现象。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水域救援服（湿式）</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1、款式为连体式水域救援服；材质为钛涂层的氯丁橡胶材质。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2、湿式服的面料应经150 N、持续10s的拉伸强度试验,试样的经向、纬向均未出现断裂现象。接缝强度：湿式服的接缝径100N、持续10S的接缝强度试验，试样未出现断裂现象。耐磨性能:湿式服的面料经2000次循环摩擦后,试样应未被磨穿。湿式服的补强材料经6000次循环摩擦后,试样应未被磨穿。</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3、耐静水压性能:湿式服的面料在静水压100 kPa下5min后,试样应未出现水滴渗漏。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4、湿式服穿着时间(s)≤22S，穿着者可活动性：穿着湿式服的人员能行走、爬行、游泳。</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干式水域救援服</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1、采用复合尼龙布，可应用于寒冷水域救援工作。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2、面料断裂强力：经向≥1500N，纬向≥1000N，透气蒸汽性能≥1500g/（每平方米、24小时）。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高亮反光带，两手臂应都有水平竖直反光条，反光条宽度≥25mm，以便提高昏暗和有雾环境可见性；膝盖和臀部位置耐磨应采用杜邦考杜拉的加厚层，耐磨性能：面料应经过≥2000次循环摩擦后未破损，加强成层经过≥6000次循环摩擦后未破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4、保温性能：试验人员穿好防护服在常温静水中浸泡≥1h,体温下降≤2摄氏度，且试验人员能捡起直径8mm的铅笔并书写、防渗漏性能：水中浸泡1小时后服装进水量≤250g。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5、温度适用性能：高低温循环后，产品应无皱缩、破裂、胀大、分解等现象。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1、款式：背心式设计，救生衣主色为红色。整体缝制≥10条海事标准高亮反光条，可在夜间或者光线黑暗的地方提高救援者的可视性。</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面料：应采用可提拉面料，具有良好的耐磨性、耐撕裂性、耐久性等特性。四个前置方块挂点和胸前≥25个战术挂点，不低于6个D型扣，可固定潜水刀、频闪灯、定位灯等装备。领部：松紧带设计，使得穿着人员更紧贴于颈部，领部后方扁平拖拽把手（橡胶材质），确保救援过程中使用者被施救时的紧急安全拖拽作用力。</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3、采用高性能浮材，浮力≥170N、撕破强力：经向≥100N,纬向≥100N。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4、强度（救生衣衣身）：救生衣浮力损失≤3%。</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5、强度（救生衣肩部）：救生衣浸入水中浸置2min，然后取出按实际人员穿着的方式系紧在拟人模型上，在救生衣的肩部施加900N的作用力，保持5分钟后卸载，试样应未出现损坏现象。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6、强度（救生衣裆带与衣体之间）：以100mm/ min 的速度拉至900N，保持30min，卸载后观察试样应未出现脱离和损坏现象。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7、水中姿态：人员穿着试样，以任意方式下水后，在自由漂浮直立状态下，测得人嘴高出水面：≥200mm。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8、水中解开快脱带时间：人员穿着下水，能在水中解开快脱带，在受力状态下用时10s以内能完全脱开。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9、救生衣配备：可拆卸救生高音口哨（非滚珠类）1 只。</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10、配备牛尾绳一根，静态长度≥60cm。</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救生圈</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1、救生圈外壳应为塑料材质，内心泡沫材质。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2、漂浮性能：能在淡水中支承≥14kg的铁块达24h之久，仍漂浮于水中。</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水域救援刀</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1、采用钝头设计,具备切、锯、勾、敲等功能。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2、整长度：≥18.0cm。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3、刀刃长度：≥6cm。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4、护套材料：增强尼龙玻璃纤维具有耐磨，弹性性能。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5、硬度：≥50HRC。</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水域救援伸缩杆</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1、直径：≥5cm。壁厚：≥1.5mm。收缩长度：≤2m。伸长长度：≥10m（带套环），套环最大拉伸度：≥50cm。拉动重量（水中浮动状态）：≤180kg。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2、材质：高韧度玻璃钢材质，铝合金材质指环限位扣。</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水域救援抛绳包（30m）</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1、款式为桶型包。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2、绳索长度≥30米。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3、绳索断裂负荷≥12kN。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绳包外壳应采用尼龙面料材质，良好的耐磨性、绳包中间应带有网布，可以加速排水和晾干、网布两边带有反光带设计,便于低可视条件下识别、内部应带有浮力棉,绳包在水上可以漂浮起来、侧边带有固定位可放置荧光棒。</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hint="eastAsia" w:ascii="宋体" w:hAnsi="宋体" w:eastAsia="宋体" w:cs="宋体"/>
                <w:color w:val="auto"/>
                <w:sz w:val="24"/>
                <w:szCs w:val="24"/>
                <w:lang w:val="en-US" w:eastAsia="zh-CN"/>
              </w:rPr>
            </w:pPr>
            <w:r>
              <w:rPr>
                <w:rStyle w:val="1188"/>
                <w:rFonts w:hint="default"/>
                <w:color w:val="auto"/>
                <w:sz w:val="24"/>
                <w:szCs w:val="24"/>
                <w:lang w:bidi="ar"/>
              </w:rPr>
              <w:t xml:space="preserve">水域发光漂浮绳</w:t>
            </w:r>
            <w:r>
              <w:rPr>
                <w:rStyle w:val="1188"/>
                <w:rFonts w:hint="eastAsia" w:eastAsia="宋体"/>
                <w:color w:val="auto"/>
                <w:sz w:val="24"/>
                <w:szCs w:val="24"/>
                <w:lang w:eastAsia="zh-CN" w:bidi="ar"/>
              </w:rPr>
              <w:t xml:space="preserve">（</w:t>
            </w:r>
            <w:r>
              <w:rPr>
                <w:rStyle w:val="1189"/>
                <w:rFonts w:hint="default"/>
                <w:color w:val="auto"/>
                <w:sz w:val="24"/>
                <w:szCs w:val="24"/>
                <w:lang w:bidi="ar"/>
              </w:rPr>
              <w:t xml:space="preserve">100</w:t>
            </w:r>
            <w:r>
              <w:rPr>
                <w:rStyle w:val="1189"/>
                <w:rFonts w:hint="eastAsia" w:eastAsia="宋体"/>
                <w:color w:val="auto"/>
                <w:sz w:val="24"/>
                <w:szCs w:val="24"/>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100/米</w:t>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Style w:val="1188"/>
                <w:rFonts w:hint="default"/>
                <w:sz w:val="24"/>
                <w:szCs w:val="24"/>
                <w:lang w:bidi="ar"/>
              </w:rPr>
              <w:t xml:space="preserve">1、应具</w:t>
            </w:r>
            <w:r>
              <w:rPr>
                <w:rStyle w:val="1188"/>
                <w:rFonts w:hint="default"/>
                <w:color w:val="auto"/>
                <w:sz w:val="24"/>
                <w:szCs w:val="24"/>
                <w:lang w:bidi="ar"/>
              </w:rPr>
              <w:t xml:space="preserve">有反光荧光功能，陆地、水面均可用；</w:t>
            </w:r>
            <w:r>
              <w:rPr>
                <w:rStyle w:val="1188"/>
                <w:rFonts w:hint="default"/>
                <w:color w:val="auto"/>
                <w:sz w:val="24"/>
                <w:szCs w:val="24"/>
                <w:lang w:bidi="ar"/>
              </w:rPr>
              <w:br/>
            </w:r>
            <w:r>
              <w:rPr>
                <w:rStyle w:val="1188"/>
                <w:rFonts w:hint="default"/>
                <w:color w:val="auto"/>
                <w:sz w:val="24"/>
                <w:szCs w:val="24"/>
                <w:lang w:bidi="ar"/>
              </w:rPr>
              <w:t xml:space="preserve">2、直径：10-14mm之间。</w:t>
            </w:r>
            <w:r>
              <w:rPr>
                <w:rStyle w:val="1188"/>
                <w:rFonts w:hint="default"/>
                <w:color w:val="auto"/>
                <w:sz w:val="24"/>
                <w:szCs w:val="24"/>
                <w:lang w:bidi="ar"/>
              </w:rPr>
              <w:br/>
            </w:r>
            <w:r>
              <w:rPr>
                <w:rStyle w:val="1189"/>
                <w:rFonts w:hint="default"/>
                <w:color w:val="auto"/>
                <w:sz w:val="24"/>
                <w:szCs w:val="24"/>
                <w:lang w:bidi="ar"/>
              </w:rPr>
              <w:t xml:space="preserve">3、长度：≥100M。</w:t>
            </w:r>
            <w:r>
              <w:rPr>
                <w:rStyle w:val="1188"/>
                <w:rFonts w:hint="default"/>
                <w:color w:val="auto"/>
                <w:sz w:val="24"/>
                <w:szCs w:val="24"/>
                <w:lang w:bidi="ar"/>
              </w:rPr>
              <w:br/>
            </w:r>
            <w:r>
              <w:rPr>
                <w:rStyle w:val="1188"/>
                <w:rFonts w:hint="default"/>
                <w:color w:val="auto"/>
                <w:sz w:val="24"/>
                <w:szCs w:val="24"/>
                <w:lang w:bidi="ar"/>
              </w:rPr>
              <w:t xml:space="preserve">4、破断强力：≥45KN、承重达到最小破断强度的10%时救生绳延</w:t>
            </w:r>
            <w:r>
              <w:rPr>
                <w:rStyle w:val="1188"/>
                <w:rFonts w:hint="default"/>
                <w:sz w:val="24"/>
                <w:szCs w:val="24"/>
                <w:lang w:bidi="ar"/>
              </w:rPr>
              <w:t xml:space="preserve">伸率：≤3%。</w:t>
            </w:r>
            <w:r>
              <w:rPr>
                <w:rStyle w:val="1188"/>
                <w:rFonts w:hint="default"/>
                <w:sz w:val="24"/>
                <w:szCs w:val="24"/>
                <w:lang w:bidi="ar"/>
              </w:rPr>
              <w:br/>
            </w:r>
            <w:r>
              <w:rPr>
                <w:rStyle w:val="1188"/>
                <w:rFonts w:hint="default"/>
                <w:sz w:val="24"/>
                <w:szCs w:val="24"/>
                <w:lang w:bidi="ar"/>
              </w:rPr>
              <w:t xml:space="preserve">5、绳体内嵌一条反光丝和两条荧光丝，在弱光或黑暗环境中具有反光和荧光双重功能。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橡皮艇</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速度高，行驶平稳，适合急流救援。适合快速救援、机动救援动作及训练，广泛用于消防、应急灯专业领域。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2、总长：≥380cm，总宽: ≥170cm，荷载重量：≥700KG。气密性浮筒、底板空载时静置60分仲压力损失：≤0.5MPA。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艇身橡胶涂覆织物材质：经向拉伸强度≥80KN/m 、纬向拉伸强度≥65KN/m 经向梯形撕裂强度≥460N。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4、舷身气囊数：≥6个，承载人数：≥7人。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5、铝合金划桨 4支，高压充气泵 1 个，船包1个，维修工具1套（专用胶水1支、气阀扳手1个、维修材料3张），安全绳索2根20米，可拆卸工具包，使用说明书1本，合格证1张。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舷外机40匹</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1、推荐艉板高度（毫米）：≥550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2、启动系统：手动启动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3、重量（千克）：≤80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4、发动机类型：2冲程2缸</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5、排量（cm3）：≥700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6、缸径×冲程 毫米：≥80x70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7、最大输出（千瓦）：≥29</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8、全节气门工作范围（ rpm）：4500-5500</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9、油箱容量（升，汽油）：≥24</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10、点火系统：CDI</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11、操控方式：舵柄</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12、调整方式：手动倾角和倾斜调整</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13、燃油/润滑油混合比：50:1</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14、换档：F-N-R</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15、所有螺旋桨均为3叶片型</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浮漂</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1、工作电压：≤6V。光色：白色光。闪光频率：≥50次/min。发光强度及时间：保持≥0.70cd/㎡发光强度的持续时间不少于12小时。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水域救援头灯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1、采用三颗光源一体式设计，泛，聚光，信号灯，三种模式搭配。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2、聚光、泛光、聚光渐暗、闪烁、红色信号光、蓝色信号光、绿色信号光七种照明模式，聚光具有10%-100%无极调光功能。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3、灯具应具有触摸感应功能，当聚光亮时可通过触摸感应区控制泛光开关，当泛光亮时可通过触摸感应区控制聚光开关。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4、三种信号光源波长：蓝色：波长范围为400～500nm。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5、电池采用三节7号电池,强光连续照明时间≥2h,节能光续航模式≥20h。</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6、灯具应具有四波段式蓝色电量显示功能，可以随时直观的查询电量剩余情况。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7、聚光强光、泛光同时开启情况下，1m处照度应Lx≥1500，2m处照度应Lx≥450。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8、灯具的外壳防水等级达到IP68。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9、灯具可配夹扣卡在头盔上使用，也可选配头带直接戴头上或套在头盔上使用。</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指南针</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1、产品为深色。</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2、克重：≤200g。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3、材质：高强度锌合金，钢化玻璃。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4、精准度：±1°。</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高音哨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1、材质：ABS食品级环保塑料。</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2、音量：高音哨与普通带珠口哨大小相近，不带珠，可以减少水分残留，三气室设计，音量≥100分贝。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3、无内核高频口哨,无滚珠声音，渗透性强声音浑厚，用于野外自救呼救。</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4、防护：沾水后可以正常发声。</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水域救援拦截网</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1、材质:涤纶织带+包</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2、宽度≥125cm，长度≥500cm，网孔：≥25*25cm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橘黄色黑条纹织带宽度≥5cm，破断强度≥4吨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3、救援绳：直径≥12.5mm≥长度20m破断拉力≥4吨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4、高分子漂浮绳：直径≥10mm长度≥20米破断强度4吨</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5、安全钩：铝合金轻型安全钩，≥27kN</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6米铝合金伸缩梯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spacing w:after="220"/>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1、梯子展开后≥6米，收拢后≤1.2米，高强度铝合金制成，配有消防背袋。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2、梯外宽≥0.60米，梯蹬间距≥350 mm，额定负载150kg，</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安全员马甲</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面料：120克经遍布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反光条：高亮反光条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包边布：高亮反光包边布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拉链：30CM树脂拉链</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颜色：荧光黄</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灭火毯（新能源汽车）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1、尺寸：毯面整体尺寸(长×宽)应≥ 8m×6m;</w:t>
            </w:r>
            <w:r/>
          </w:p>
          <w:p>
            <w:pPr>
              <w:jc w:val="left"/>
              <w:widowControl/>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2、控火毯拼接所用的单体面料，其宽度应≥1m;厚度应&gt;0.5mm.；</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highlight w:val="none"/>
                <w:lang w:bidi="ar"/>
              </w:rPr>
              <w:t xml:space="preserve">3、对于手持件为拉带的.控火毯， 拉带的宽度应≥4cm,可握部分长度≥49cm,在毯面边缘以内部分的长度应≥33cm。厚度:≥0.5毫米。</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4、重    量：≤38公斤</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5、单位面积质    量: ≤756g/㎡</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6、材    质：高硅氧材质复合材料</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7、二氧化硅含量:≥96%</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8、耐高温性能:＞1000°C，</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9、适用于：电动/混动/燃油轿车循环使用次数  ≥5次</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9、控火毯原布面基材经耐高温性能试验后，不应出现明显的变形、破.损、粘附等异常现象。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10、控火毯毯面原布材料的经纬向拉伸断裂强力径向不小于1259N, 纬向不小于1050N。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11、控火毯毯面原布材料二氧化硅含量≥96%。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12、火灾控制性能：控火毯应能控制新能源电动汽车火灾，火灾.控制至少1小时， 在试验过程中，火焰不应透出毯面，且试验后.控火毯应保持完整不被烧穿。</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捕蛇器</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1、材质不锈钢   2、长度不低于1.5米  3、还锁装置。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消防拉梯（单杠梯）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2.材料</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2.1侧板、梯蹬材质为生长期四年以上的竹料并经防腐、防蛀、干燥处理。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技术性能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3.1工作长度3±0.1m。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3.2最小梯宽250±2mm。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3.3梯蹬间距340±2mm。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3.4整梯质量≤9.0kg。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3.5水平弯曲残余变形比值≤0.10%。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3.6梯蹬弯曲残余变形比值≤0.20%。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3.7梯节扭转角为：α顺：≤10°、α逆：≤10.5°。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3.8侧板悬臂弯曲最大变形值：内弯曲≤1.1mm、外弯曲≤1.1mm。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3.9侧摇摆试验残余变形比值≤0.10%。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3.10粘牢合度试验时，通过浸泡、恒温、低温试验后无脱胶现象。</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消防拉梯（挂钩梯）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1.符合XF137-2007《消防梯》标准要求。</w:t>
            </w:r>
            <w:r>
              <w:rPr>
                <w:rFonts w:hint="eastAsia" w:ascii="宋体" w:hAnsi="宋体" w:eastAsia="宋体" w:cs="宋体"/>
                <w:b/>
                <w:bCs/>
                <w:color w:val="000000"/>
                <w:sz w:val="24"/>
                <w:szCs w:val="24"/>
                <w:lang w:bidi="ar"/>
              </w:rPr>
              <w:br/>
            </w:r>
            <w:r>
              <w:rPr>
                <w:rFonts w:hint="eastAsia" w:ascii="宋体" w:hAnsi="宋体" w:eastAsia="宋体" w:cs="宋体"/>
                <w:color w:val="000000"/>
                <w:sz w:val="24"/>
                <w:szCs w:val="24"/>
                <w:lang w:bidi="ar"/>
              </w:rPr>
              <w:t xml:space="preserve">2.材料</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2.1侧板、梯蹬材质使用6005-T5铝型材。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技术性能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3.1工作长度4±0.1m。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3.2最小梯宽250±2mm。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3.3梯蹬间距340±2mm。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3.4整梯质量于≤7.5kg。</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3.5水平弯曲残余变形比值≤0.07%。</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3.6梯蹬弯曲残余变形比值≤0.10%。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3.7梯蹬剪切强度：梯蹬与侧板的连接处和梯蹬本身无任何断裂迹象。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3.8挂钩强度试验后，不出现任何损伤、变形和裂纹。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3.9梯节扭转角为：α顺：≤8°、α逆：≤8°。</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3.10侧摇摆试验残余变形比值≤0.05%。</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吸附垫</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 吸液棉100%的聚丙烯材料，经化学惰性处理，可吸收大部份酸性、碱性和其他未知的液体。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具备抗撕扯和摩擦性，即使吸收饱和后也不会掉渣。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较强的耐久性和吸附性，可吸附水、油、冷却剂及其他不明各类化学品。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表面特有的涡点设计能在较短的时间内吸收大量的油液体。可吸收自身重量十余倍之液体；即使当吸附产品处于饱　和状态下，也不会留下任何残留液体。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耐酸碱、耐高温、不同化、不变质，不含化学物质，不会造成二次公害，环保型材料，可进行焚烧处理，灰烬残留物不超过0.2%。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吸液棉条在紧急情况下，还可作为控制化学品渗漏的良好提坝。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产品尺寸：48×52cm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包装尺寸：51X43X27cm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包装数量：100片</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舷外机推车</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1、挂机板：235*400*40MM，载重：不小于180KG，三孔位可调高低位，10寸大前轮。</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面罩式红外热像仪</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 技术性能符合XF/T 635-2023 消防用红外热像仪标准要求。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 主机及其各种配件的壳体不应出现明显的划伤、凹陷、变形、脱漆、壳体应清洁无污迹。装饰件文字、数字、符合标志应正确、易辩、清晰。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 开关、按键、旋钮的操作应灵活可靠，外接附件的接入应接触良好，紧固不易松脱。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 外置成像模组为免手持式，安装于视力水平位置，可固定牢固。内置HUD与近眼显示模组安装在面罩内部、成像清晰、不阻挡视野、不影响正常面罩使用，显示器角度可调节。采用无线连接，外部结构没有冗余的外露线束。</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 ▲具备红外热成像、可见光成像、激光指示、正压式呼吸器HUD功能、时间显示和电量显示功能，有低电量报警功能，具有高温报警功能。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 一键开启，自动连接功能，外置成像模组开机即可自动连接内置HUD与近眼显示模组，可通过外置成像模组可一键关机，即开即用、即关即停(外置成像模组关机后，内置HUD与近眼显示模组显示器自动关机。</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 红外热成像应具有彩虹模式、白热模式、黑热模式、热点模式，铁红模式、融合模式，具有中心固定点测量与三点测量功能。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 支持电子压力表无线连接，显示空呼当前压力数值。</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 具有可见光与热成像双光融合功能，增强热成像显示效果。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 近眼显示器亮度支持自动调节功能，可根据周边环境白动调节亮度。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 热成像画面具有人或物边缘描绘功能，增强人或物的辨识度。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 ▲防护等级：IP68。防爆标志：Ex ia llC T3 Ga。</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 ▲使用环境温度≥35~+70℃。热成像测温范围≥－20℃～1600℃。</w:t>
            </w:r>
            <w:r/>
          </w:p>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14. 运行时间≥3.5小时。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 ▲近眼显示器：OLED屏。显示器分辨率≥1920*1080。可见光摄像头分辨率≥800万像素</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 ▲热灵敏度≤40mK,工作波段: 8~14um,空间分辨率≤1.8mrad。</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 热成像摄像头分辨率≥384*288像素。</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空气呼吸器面罩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1、面罩的漏气系数：≤0.005%；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2、面罩的视野:总视野保留率：≥75%；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3、面罩的视野：双目视野保留率：≥65%，下方视野：≥35%；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4、面罩镜片的透光率：≥95%；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5、面罩的二氧化碳含量：≤1%；</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6、全封闭型，主要材料采用优质特种胶；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7、透镜采用聚碳酸脂；</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40mm水带20米</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1、水带口径为40mm。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w:t>
            </w:r>
            <w:r>
              <w:rPr>
                <w:rFonts w:hint="eastAsia" w:ascii="宋体" w:hAnsi="宋体" w:eastAsia="宋体" w:cs="宋体"/>
                <w:color w:val="auto"/>
                <w:sz w:val="24"/>
                <w:szCs w:val="24"/>
                <w:lang w:bidi="ar"/>
              </w:rPr>
              <w:t xml:space="preserve">、标准工作压力≥2.0MPa，每盘长度20米。</w:t>
            </w:r>
            <w:r>
              <w:rPr>
                <w:rFonts w:hint="eastAsia" w:ascii="宋体" w:hAnsi="宋体" w:eastAsia="宋体" w:cs="宋体"/>
                <w:color w:val="auto"/>
                <w:sz w:val="24"/>
                <w:szCs w:val="24"/>
                <w:lang w:bidi="ar"/>
              </w:rPr>
              <w:br/>
            </w:r>
            <w:r>
              <w:rPr>
                <w:rStyle w:val="1189"/>
                <w:rFonts w:hint="default"/>
                <w:color w:val="auto"/>
                <w:sz w:val="24"/>
                <w:szCs w:val="24"/>
                <w:lang w:bidi="ar"/>
              </w:rPr>
              <w:t xml:space="preserve">▲3、单位长度质量：≤125g/m、爆破压力≥16MPa、延伸率为≤1.0%，膨胀率为≤3.0%、附着力强度为≥70.0N/25MM。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4、水带两头均有40口径的森林牙式接口扎好。</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水域救援滚钩</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1.用于搜寻打捞落水失踪者， 特别是在一些透明度不十分好的水域，原先只能依赖专业潜水员下潜搜寻落水失踪者。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2.该救生滚钩由三角拉杆，不锈钢锁链，三爪锚钩，搭扣连接器，不小于10m双层尼龙编织绳组成。</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水域救援方位灯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1、工作电压：3.6V直流电</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2、光色：白色光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3、闪光频率：50~70 次/min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4、发光强度及时间：保持 0.75cd 发光强度的持续时间不少于 8 小时。</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专业水肺深潜潜水套装</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1、浮力背心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1.1.气囊布： 高强840D尼龙耐磨布；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 气囊布涂层：单键高稳定性耐水解TPU涂层（不含易水解双键）；</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 口袋布高强1689D PU 涂层布；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 背板：高强PP+矿物增强剂；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 塑胶插扣：多耐福；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1.6、救生衣肩部强力：浸入水中浸置2min，然后取出按实际人员穿着的方式系紧在拟人模型上，在救生衣的肩部施加900N的作用力，保持30min后卸载，未出现损坏现象。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1.7、符</w:t>
            </w:r>
            <w:r>
              <w:rPr>
                <w:rFonts w:hint="eastAsia" w:ascii="宋体" w:hAnsi="宋体" w:eastAsia="宋体" w:cs="宋体"/>
                <w:color w:val="000000"/>
                <w:sz w:val="24"/>
                <w:szCs w:val="24"/>
                <w:highlight w:val="none"/>
                <w:lang w:bidi="ar"/>
              </w:rPr>
              <w:t xml:space="preserve">合：GB/T 4303-2023《船用救生衣》标准.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2、潜水头套</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2.1厚度≥3mm，潜水头套可防护头部、面部、颈部、为一体式结构。</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3、脚蹼</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3.1符合：相关标准。</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3.2硬度：脚裸蓝色部位：≥36.0（邵氏硬度D)/度"</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4、潜水面镜</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4.1符合：GB 14866-2023《个人</w:t>
            </w:r>
            <w:r>
              <w:rPr>
                <w:rFonts w:hint="eastAsia" w:ascii="宋体" w:hAnsi="宋体" w:eastAsia="宋体" w:cs="宋体"/>
                <w:color w:val="000000"/>
                <w:sz w:val="24"/>
                <w:szCs w:val="24"/>
                <w:lang w:bidi="ar"/>
              </w:rPr>
              <w:t xml:space="preserve">用眼护具技术要求》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4.2可见光透射比：无色透明镜片≥ 0.85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5、呼吸管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5.1符合GB/T 2411-2008《塑料和硬橡胶  使用硬度计测定压痕硬度（邵氏硬度）》。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干式呼吸管设计，强力固定卡扣，高强度卡扣设计，能有效固定呼吸管不滑落，顶部浮力设备：遇水关闭呼吸管，管内不会进水，高弹性的硅胶管腹，可180°弯曲，呼吸不受阻。</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5.2硬度：颜色塑料部分：≥60（邵氏硬度D)/度。"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6、全面罩</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6.1提供潜水员在寒冷或混浊水域，保暖以及保护面部之用。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6.2三叉式镜带，穿戴舒适稳定，鼻子两侧深凹，方便做耳压平衡，嘴部开口设计。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7、呼吸器(一级头）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7.1外观：管身无异色点，无毛边，无裂纹。由一级和二级调节器组成的富氧系统。一级调节器，海事级镀烙黄铜机械加工主体，不锈钢组合活塞，保温系统（TIS），可供应230巴轭式夹头或300巴DIN式螺丝纹接头。二级调节器体积小，结构简单，性能稳定，固定文丘里气阀开关钮，可在下水前预先调整，适合不同潜水员需要。</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7.2.耐弯曲性能：管身弯曲180°后，回正未发生断裂。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8、呼吸器（二级头）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8.1管身无异色点，无毛边，无裂纹。采用双层盖设计，抗击材料，内部设计使人呼吸更自然轻松。简单优越的设计，出色的性能，给维修保养带来极大的方便。体积大小合适，重量轻巧，咬嘴科学设计，减轻了潜水者咬肌的疲劳，防止牙龈过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8.2.耐弯曲性能：管身弯曲180°后，回正未发生断裂。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9、三联表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9.1内含压力计和深度计，方向三种功能。气瓶压力表的范围为0至400巴气压，可检测深度0至60米。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10、潜水衣</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10.1适合用于赤道水域潜水的潜水衣，提供极佳的耐磨保护，同时也能保</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证自由潜水和使用调节器所需的热保护，厚度≥3mm。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10.2产品表面平整、无脱层、割伤、撕裂、无渗胶，不溢胶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11、干式潜水服</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11.1连身设计，后开水密拉链，单层领口，单层袖口，适合水温较低的各种潜水作业，保暖性能优良。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11.2高密度预压缩氯丁橡胶复合面料制作5MM，后开式拉链设计、肩部与膝部补强设计、材质潜水靴≥5mm、360度充气阀，配备可调节排气阀、背包、低压管、拉链润滑油。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11.3硫化橡胶靴，防化花纹鞋底，胸前配有压发充气阀，大臂处有放气阀。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技术参数：</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12、潜水手表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12.1 包括空气（Air）、高氧（Nitrox）和量表（Gauge）</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模式；</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12.2 FO2的调整范围为21% - 50%；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12.3 PO2的调整范围为1.2 - 1.6巴；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12.4中枢神经（CNS）氧气毒性柱状图指标；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12.5单按钮界面（短按翻动功能，长按选择功能）；</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12.6用户可调节的3档保守设置； 用户可选深度停止（Deep Stop）功能； 修改的Haldne和Wienke算法； 上升速度报警（每分钟10 m）；潜水日志（可记录75小时或60次潜水），20秒采样</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12.7 内置日历和时钟； 可进行全面的复位，适合用于装备租用；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13、潜水气瓶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13.1产品为潜水气瓶铝瓶，承压范围是0-20兆帕，。瓶阀为DIN/K两用功能，材质为铜镀镍，配有泄压阀。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14、潜水刀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14.1 高档军事级不锈钢420SS潜水刀，刀刃表面抛光处理</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14.2 刃长：≥11.0CM  刃厚：≥4MM  展开长度：≥26 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14.3平头及尖头款适用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14.4刀背缺口带锯齿设计，双调节带，刀鞘带有自锁装置，可防止刀体的意外滑脱；尾部含可用于紧急救生用撞击螺丝头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15、水下照明灯</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15.1手握式LED潜水照明手电筒,设计轻巧，携带方便，配有有专业照明用的白光LED，超高远射能力，能满足潜水者在水下照出自己想要的聚光效果，大大提高了灯的专业性，使其成为技术潜水及休闲潜水理想的潜水装备.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15.2潜水电筒,采用1*CREE XM-L2 U4 LED 6500K的色温，亮度≥1000流明.最高射程≥250米， 发光角度有8°中心聚光， PWM信号处理+恒流电路,使用可充电锂电池，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16、压铅和腰带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16.1符合：FZ/T 65002-1995 标准，每块2公斤，共6块，包塑配重铅块纯铅铸造，采用高档胶质，全方位包胶，质地柔软耐磨。带金属扣的压铅带。</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16.2腰带长：≥145cm，宽：≥4.5cm。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16.3断裂强力：≥29000N"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17、潜水鞋</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17.1材 质: ≥5MM氯丁橡胶，靴帮无脱齿弹边、脱空、开胶、跳针等现象。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18、潜水浮标</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18.1长1.2m*宽15cm,带泄气阀,有口吹、低压管打气及备用气源充气功能,底端带沉重铅块,顶端正反均有反光条</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19、快速释放绳包</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19.1绳包材质：CORDURA面料、PU防水涂层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19.2绳材质：聚丙烯纤维</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19.3绳长： 20米</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19.4绳径：≤8.0MM，抗拉强度：≥16KN</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19.5浮性：绳包可漂浮于水面上，绳索可漂浮于水面上。"</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20、潜水手套</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20.1、用于水域救援手部防护，手部贴合度高，魔术贴手腕带，便于穿着；</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20.2、手心为合成皮革，芳香尼龙纤维加强，耐磨；</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20.3 抓握性能/%(救援手套)：≥100%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20.4 灵巧性能(救援手套) --  徒手控制百分比≥100%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21、滑轮便携箱</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21.1颜色∶黑色 咖啡色材质∶牛津布</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21.2尽寸∶宽≥40cm 高≥60cm 厚≥30cm里料∶涤纶</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21.3静载荷试验：正立方向悬吊30KG的重物5min，卸载后无破损。"</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灭蜂枪箭支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1、灭蜂箭配套灭蜂枪使用。2、每盒100只。</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消防过滤式综合防毒面具</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1、全防型用于危险场所呼吸保护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2、不锈钢语音膜，使通话更清晰。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3、面罩适合于所有的Rd40 接口的滤罐。</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4、5点式头带：保证快捷简易的佩戴，滑扣和宽条带保证不缠绕头发，轻松应对。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5、滤罐要求：过滤有机蒸气，无机气体或蒸气、二氧化碳，氯化氢、氨气。</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 xml:space="preserve">20</w:t>
            </w:r>
            <w:r>
              <w:rPr>
                <w:rFonts w:hint="eastAsia" w:ascii="宋体" w:hAnsi="宋体" w:eastAsia="宋体" w:cs="宋体"/>
                <w:color w:val="000000"/>
                <w:sz w:val="24"/>
                <w:szCs w:val="24"/>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灯塔（移动应急照明系统）</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33"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1、灯具额定功率≥4000W，额定光通量≥400000lm，在接收到控制信号后可调最小亮度和最大亮度，灯具配光角度≥35°</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2、支持控制面板实体按键、遥控器、智能触控面板和手机 APP 四种控制方式对灯塔进行控制操作，支持 10 档亮度调光。通过调整灯头照射方向，可以实现 60 米远处（12m*10m 范围内）平均照度≥40 Lux、120m 处中心照度≥18 Lux；灯具升至最高，灯头向下倾斜 10°照射，法线方向距灯头 20m 处地面照度≥180 Lux。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3、灯具使用液冷散热技术，通过内部冷媒循环实现散热，液冷散热片数 量≥24 片。设备完全升起时间≦90s 完全降落时间 85s，最大升起高度 ≧10m，收拢状态下高度≦1.4m。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4、具有智能收回功能，当检测到风速大于 8 级（20.7m/s）或设定的其他风速阈值时，升降杆会智能收回复位，确保使用安全。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5、发电机性能：发电机注入一箱 92#汽油可支持 4000W 灯具负载连续稳定工作时间不小于 13h，中途不需添加燃油。发电机油箱最大可支持加注40L 燃油。能通过 4G 智能模块实时传输发电机的位置轨迹、油量和运行功率和运转时间等参数至云服务器，可以在后台远程实时查看以上相关参数。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6、风力预警性能：设备本地显示屏能实时显示风速、风向、温度、湿度和气压数据，同时可以将风力数据传输到后端平台。抗风性能：设备安装防风绳后，顶部施加 8 级风力对应的水平拉力后不倾倒、不产生永久变形。</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▲7、移动照明灯塔具备远程视频模块，该模块支持自动聚焦功能，灯光可根据变倍自动调节灯光的强弱。红外夜视距离≥110 米。照度要求：5 米处强光最大照度≥7000LX，5 米处泛光最大照度≥120LX。</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8、采用 4G 全网通模块，支持中国移动/电信/联通三大运营商及专网接入，支持双卡绑定同传;支持 WIFI 功能。支持北斗和基站定位，支持基站辅助定位功能，能够在画面中叠加经纬度信息;支持蓝牙通讯，能够保存蓝牙配对信息;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9、为确保统一性辅助照明设备：功率≥3*15W；额定电压≥14.8V；额定容量≥5Ah；灯具电量可视化显示，可直观查看电量工作时间（数字显示）及灯具工作状态（强光、工作光、节能光、爆闪、SOS），同时显示屏设 置后可以显示所属单位、人员信息；侧灯翻开角度≥90°，水平旋转角度 ≥180°。10、设备空载状态下整体重量≦760kg，外型尺寸≦1.8m*1.6m*1.5m.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11、灯具灯头防护等级≥ IP66/IP67,车体防护等</w:t>
            </w:r>
            <w:r>
              <w:rPr>
                <w:rFonts w:hint="eastAsia" w:ascii="宋体" w:hAnsi="宋体" w:eastAsia="宋体" w:cs="宋体"/>
                <w:color w:val="000000"/>
                <w:sz w:val="24"/>
                <w:szCs w:val="24"/>
                <w:highlight w:val="none"/>
                <w:lang w:bidi="ar"/>
              </w:rPr>
              <w:t xml:space="preserve">级≥IPX4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★12、可接入江苏省消防救援总队互联网图像管理平台和消防救援局图像综合管理平台</w:t>
            </w:r>
            <w:r>
              <w:rPr>
                <w:rFonts w:hint="eastAsia" w:ascii="宋体" w:hAnsi="宋体" w:eastAsia="宋体" w:cs="宋体"/>
                <w:b/>
                <w:bCs/>
                <w:color w:val="000000"/>
                <w:sz w:val="24"/>
                <w:szCs w:val="24"/>
                <w:highlight w:val="none"/>
                <w:lang w:bidi="ar"/>
              </w:rPr>
              <w:t xml:space="preserve">（投标时需提供承诺函并加盖公章） </w:t>
            </w:r>
            <w:r>
              <w:rPr>
                <w:rFonts w:hint="eastAsia" w:ascii="宋体" w:hAnsi="宋体" w:eastAsia="宋体" w:cs="宋体"/>
                <w:color w:val="000000"/>
                <w:sz w:val="24"/>
                <w:szCs w:val="24"/>
                <w:highlight w:val="none"/>
                <w:lang w:bidi="ar"/>
              </w:rPr>
              <w:br/>
            </w:r>
            <w:r>
              <w:rPr>
                <w:rFonts w:hint="eastAsia" w:ascii="宋体" w:hAnsi="宋体" w:eastAsia="宋体" w:cs="宋体"/>
                <w:color w:val="000000"/>
                <w:sz w:val="24"/>
                <w:szCs w:val="24"/>
                <w:highlight w:val="none"/>
                <w:lang w:bidi="ar"/>
              </w:rPr>
              <w:t xml:space="preserve">★13、及时响应客户需求，如在采购人使用产品时，提</w:t>
            </w:r>
            <w:r>
              <w:rPr>
                <w:rFonts w:hint="eastAsia" w:ascii="宋体" w:hAnsi="宋体" w:eastAsia="宋体" w:cs="宋体"/>
                <w:color w:val="000000"/>
                <w:sz w:val="24"/>
                <w:szCs w:val="24"/>
                <w:lang w:bidi="ar"/>
              </w:rPr>
              <w:t xml:space="preserve">供不少于三年运输保障服务</w:t>
            </w:r>
            <w:r>
              <w:rPr>
                <w:rFonts w:hint="eastAsia" w:ascii="宋体" w:hAnsi="宋体" w:eastAsia="宋体" w:cs="宋体"/>
                <w:b/>
                <w:bCs/>
                <w:color w:val="000000"/>
                <w:sz w:val="24"/>
                <w:szCs w:val="24"/>
                <w:lang w:bidi="ar"/>
              </w:rPr>
              <w:t xml:space="preserve">（投标时需提供承诺函并加盖公章） </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14、所投产品符合 GB 26755-2011《消防移动式照明装置》标准的相关要求</w:t>
            </w:r>
            <w:r>
              <w:rPr>
                <w:rFonts w:hint="eastAsia" w:ascii="宋体" w:hAnsi="宋体" w:eastAsia="宋体" w:cs="宋体"/>
                <w:color w:val="000000"/>
                <w:sz w:val="24"/>
                <w:szCs w:val="24"/>
                <w:lang w:eastAsia="zh-CN" w:bidi="ar"/>
              </w:rPr>
              <w:t xml:space="preserve">。</w:t>
            </w:r>
            <w:r/>
          </w:p>
        </w:tc>
      </w:tr>
    </w:tbl>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注：</w:t>
      </w:r>
      <w:r/>
    </w:p>
    <w:p>
      <w:pPr>
        <w:ind w:firstLine="482"/>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（1）</w:t>
      </w:r>
      <w:r>
        <w:rPr>
          <w:rFonts w:hint="eastAsia" w:ascii="宋体" w:hAnsi="宋体" w:eastAsia="宋体"/>
          <w:b/>
          <w:bCs/>
          <w:sz w:val="24"/>
          <w:szCs w:val="24"/>
        </w:rPr>
        <w:t xml:space="preserve">以上技术参数中</w:t>
      </w:r>
      <w:r>
        <w:rPr>
          <w:rFonts w:hint="eastAsia" w:ascii="宋体" w:hAnsi="宋体" w:eastAsia="宋体"/>
          <w:b/>
          <w:bCs/>
          <w:sz w:val="24"/>
          <w:szCs w:val="24"/>
          <w:highlight w:val="none"/>
        </w:rPr>
        <w:t xml:space="preserve">加“</w:t>
      </w:r>
      <w:r>
        <w:rPr>
          <w:rFonts w:hint="eastAsia" w:ascii="宋体" w:hAnsi="宋体" w:eastAsia="宋体" w:cs="宋体"/>
          <w:color w:val="000000"/>
          <w:sz w:val="24"/>
          <w:szCs w:val="24"/>
          <w:highlight w:val="none"/>
          <w:lang w:bidi="ar"/>
        </w:rPr>
        <w:t xml:space="preserve">★</w:t>
      </w:r>
      <w:r>
        <w:rPr>
          <w:rFonts w:hint="eastAsia" w:ascii="宋体" w:hAnsi="宋体" w:eastAsia="宋体"/>
          <w:b/>
          <w:bCs/>
          <w:sz w:val="24"/>
          <w:szCs w:val="24"/>
          <w:highlight w:val="none"/>
        </w:rPr>
        <w:t xml:space="preserve">”</w:t>
      </w:r>
      <w:r>
        <w:rPr>
          <w:rFonts w:hint="eastAsia" w:ascii="宋体" w:hAnsi="宋体" w:eastAsia="宋体"/>
          <w:b/>
          <w:bCs/>
          <w:sz w:val="24"/>
          <w:szCs w:val="24"/>
        </w:rPr>
        <w:t xml:space="preserve">条款为必须满足项，否则为无效投标。</w:t>
      </w:r>
      <w:r/>
    </w:p>
    <w:p>
      <w:pPr>
        <w:ind w:firstLine="482"/>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rPr>
        <w:t xml:space="preserve">（</w:t>
      </w:r>
      <w:r>
        <w:rPr>
          <w:rFonts w:hint="eastAsia" w:ascii="宋体" w:hAnsi="宋体" w:eastAsia="宋体" w:cs="Times New Roman"/>
          <w:b/>
          <w:bCs/>
          <w:sz w:val="24"/>
          <w:szCs w:val="24"/>
          <w:highlight w:val="none"/>
        </w:rPr>
        <w:t xml:space="preserve">2）上述所有技术参数中涉及的型号仅为参考型号，投标人可以投其他型号，但所投产品的功能及技术参数应等于或高于参考型号的要求。</w:t>
      </w:r>
      <w:r/>
    </w:p>
    <w:p>
      <w:pPr>
        <w:ind w:firstLine="482"/>
        <w:spacing w:line="360" w:lineRule="auto"/>
        <w:rPr>
          <w:rFonts w:hint="eastAsia" w:ascii="宋体" w:hAnsi="宋体" w:eastAsia="宋体"/>
          <w:b/>
          <w:bCs/>
          <w:sz w:val="24"/>
          <w:szCs w:val="24"/>
          <w:highlight w:val="none"/>
          <w:lang w:eastAsia="zh-CN"/>
        </w:rPr>
      </w:pPr>
      <w:r>
        <w:rPr>
          <w:rFonts w:hint="eastAsia" w:ascii="宋体" w:hAnsi="宋体" w:eastAsia="宋体"/>
          <w:b/>
          <w:bCs/>
          <w:sz w:val="24"/>
          <w:szCs w:val="24"/>
          <w:highlight w:val="none"/>
        </w:rPr>
        <w:t xml:space="preserve">（3）本项目核心产品为：序号3 “消防员灭火防护服”</w:t>
      </w:r>
      <w:r>
        <w:rPr>
          <w:rFonts w:hint="eastAsia" w:ascii="宋体" w:hAnsi="宋体" w:eastAsia="宋体"/>
          <w:b/>
          <w:bCs/>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、投标货物要求及相关说明：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（一）货物要求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rPr>
          <w:rFonts w:hint="eastAsia" w:ascii="宋体" w:hAnsi="宋体" w:eastAsia="宋体" w:cs="宋体"/>
          <w:b/>
          <w:bCs/>
          <w:sz w:val="24"/>
          <w:szCs w:val="24"/>
        </w:rPr>
        <w:t xml:space="preserve">注：如有最新标准或规范，按最新标准或规范执行。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单位所供的装备保证是全新的、未使用过的，完全符合合同规定的质量、规格型号和性能要求。并保证所提供的装备经正确安装、正常运转和保养，在其使用寿命期内应符合合同约定的性能，并且确保通过各项检验和测试。在装备质量保证期内，投标单位应对由于设计、工艺、材料和配套件缺陷所产生的任何不足或故障负责。(如因装备质量缺陷等问题导致消防员在使用过程中发生伤亡的，由供应商负责一切后果，并承担法律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3、本次采购的供货范围，除包括上述货物外，还应包括货物使用所必需的配件。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4、消防器材应携带永久性标签或标识，标签或标识内容包含厂家名称、规格型号、执行标准、生产日期等装备主要参数。</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（二）特别说明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1、“采购清单及技术要求”及相关要求是投标单位投标报价的基础，投标单位不得对“采购清单及技术要求”序号进行任何修改。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2、投标单位应对“采购清单及技术要求”中的所有货物进行报价。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3、投标单位根据按照采购文件提供的技术响应表格式对技术指标逐条进行应答，如果以其中某些条款不响应时，应在文件中逐条列出，未列出的视同响应。</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4、投标单位应明确所投货物的型号、规格和外形、尺寸、安装尺寸、重量及一些必须说明的技术参数，以及使用的材料的清单，同时明确生产厂家、型号规格等，并提供详细的技术参数及性能说明书。</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5、采购单位有权不定期对成交标的物的生产过程等进行查看,如果发现中标单位存在违反本次采购标的物要求的,采购单位有权终止合同履行,相关损失由中标单位承担。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（三）包装和装运</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1、包装必须与运输方式相适应，包装方式的确定由中标单位负责；由于不适当的包装而造成货物在运输过程中有任何损坏由中标单位负责。</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2、包装应足以承受整个过程中的运输、转运、装卸、储存等，充分考虑到运输途中的各种情况（如暴露于恶劣气候等）和苏州地区的气候特点。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（四）安装、检验与质量保证</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1、安装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1.1如有需要安装的货物，中标单位必须派技术人员到现场安装，并检查安装质量。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1.2中标单位应负责现场安装人员的安全管理并提供安装中全部所需的工具。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2、验收依据</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2.1招标文件、中标单位的响应文件、双方签订的合同文件及其附件。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2.2中国政府颁布的相关国家标准和行业标准。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3、如双方对验收结果有分歧，则以苏州市技术质量监督局的检验结果为准，检验费用由有过失的一方支付。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4、质量保证</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4.1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4.2 履行中标单位在其响应文件中的服务承诺。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4.3若货物验收时货物质量不能满足要求，采购单位有权要求更换，同时有权提出索赔，所产生的一切费用（含所有检验费用）由中标单位承担。</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（五）售后服务</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1、中标单位货物经过双方检验认可后，签署验收报告，免费质量保证期不低于一年（招标文件具体技术要求另有说明的除外），质量保证期自货物验收合格之日起算，由中标单位提供货物保修文件。</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质保期内出现质量问题，中标单位需在2小时内响应，12小时内赶到现场提供免费服务,并在3天内完成修复或更换，无法修复或经过两次修复仍出现质量问题，予以换货，造成采购单位的损失，由中标单位负责，采购单位应尽快以书面形式或口头通知中标单位，并向中标单位提出索赔。如中标单位在接到通知后3天内没有答复或处理问题，则视为中标单位承认质量问题并承担由此而发生的一切费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3、中标单位须提供全面使用、维护培训。</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4、质保期满以后，卖方应按同类货物的优惠价格提供保修服务。</w:t>
      </w:r>
      <w:r/>
    </w:p>
    <w:p>
      <w:pPr>
        <w:ind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综合说明及其他要求：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1、投标单位所投产品应明确所投产品的品牌、型号、规格和外形、尺寸及一些必须说明的技术参数，以及设备配置清单，同时明确生产厂家、型号规格等，并提供详细的技术参数。</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2、投标单位根据招标文件中提出的全部技术规格与要求选择配置并列出所投设备的技术规格，如果以其中某些条款不响应时，应在投标文件中逐条列出，未列出的视同响应。</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3、投标总报价一次报定，包括所有货物和服务、配件、辅材以及相关的备件、专用工具、运输、装卸、人工、安装、调试、培训、保险、检验检测、专利技术、技术支持、利润、税金、政策性</w:t>
      </w:r>
      <w:r>
        <w:rPr>
          <w:rFonts w:hint="eastAsia" w:ascii="宋体" w:hAnsi="宋体" w:eastAsia="宋体" w:cs="宋体"/>
          <w:sz w:val="24"/>
          <w:szCs w:val="24"/>
          <w:highlight w:val="none"/>
        </w:rPr>
        <w:t xml:space="preserve">文件规定及合同包含的所有风险、责任等各项应有费用。 </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4、交货期：自合同签订生效后45天内完成全部采购内容的供货安装调试并交付正常使用，具体根据采购单位要求。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5、交货地点：具体按照采购单</w:t>
      </w:r>
      <w:r>
        <w:rPr>
          <w:rFonts w:hint="eastAsia" w:ascii="宋体" w:hAnsi="宋体" w:eastAsia="宋体" w:cs="宋体"/>
          <w:sz w:val="24"/>
          <w:szCs w:val="24"/>
        </w:rPr>
        <w:t xml:space="preserve">位要求。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、凡涉及招标文件的补充说明和修改，均以苏州市政府采购网发布信息为准。</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、政府采购政策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小、微企业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服务类项目中供应商若使用退休人员，将不享受相关扶持政策。</w:t>
      </w:r>
      <w:r/>
    </w:p>
    <w:p>
      <w:pPr>
        <w:ind w:firstLine="482"/>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w:t>
      </w:r>
      <w:r>
        <w:rPr>
          <w:rFonts w:hint="eastAsia" w:ascii="宋体" w:hAnsi="宋体" w:eastAsia="宋体" w:cs="宋体"/>
          <w:b/>
          <w:sz w:val="24"/>
          <w:szCs w:val="24"/>
          <w:highlight w:val="none"/>
        </w:rPr>
        <w:t xml:space="preserve">为：</w:t>
      </w:r>
      <w:r>
        <w:rPr>
          <w:rFonts w:hint="eastAsia" w:ascii="宋体" w:hAnsi="宋体" w:eastAsia="宋体" w:cs="宋体"/>
          <w:b/>
          <w:sz w:val="24"/>
          <w:szCs w:val="24"/>
          <w:highlight w:val="none"/>
          <w:lang w:eastAsia="zh-CN"/>
        </w:rPr>
        <w:t xml:space="preserve">工业</w:t>
      </w:r>
      <w:r>
        <w:rPr>
          <w:rFonts w:hint="eastAsia" w:ascii="宋体" w:hAnsi="宋体" w:eastAsia="宋体" w:cs="宋体"/>
          <w:b/>
          <w:sz w:val="24"/>
          <w:szCs w:val="24"/>
          <w:highlight w:val="none"/>
        </w:rPr>
        <w:t xml:space="preserve">。</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残疾人福利性单位</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监狱企业</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针对中小型企业、残疾人福利企业和监狱企业的评审：</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w:t>
      </w:r>
      <w:r>
        <w:rPr>
          <w:rFonts w:hint="eastAsia" w:ascii="宋体" w:hAnsi="宋体" w:eastAsia="宋体" w:cs="宋体"/>
          <w:sz w:val="24"/>
          <w:szCs w:val="24"/>
          <w:highlight w:val="none"/>
        </w:rPr>
        <w:t xml:space="preserve">价给予</w:t>
      </w:r>
      <w:r>
        <w:rPr>
          <w:rFonts w:hint="eastAsia" w:ascii="宋体" w:hAnsi="宋体" w:eastAsia="宋体" w:cs="宋体"/>
          <w:b/>
          <w:sz w:val="24"/>
          <w:szCs w:val="24"/>
          <w:highlight w:val="none"/>
        </w:rPr>
        <w:t xml:space="preserve">20%</w:t>
      </w:r>
      <w:r>
        <w:rPr>
          <w:rFonts w:hint="eastAsia" w:ascii="宋体" w:hAnsi="宋体" w:eastAsia="宋体" w:cs="宋体"/>
          <w:sz w:val="24"/>
          <w:szCs w:val="24"/>
          <w:highlight w:val="none"/>
        </w:rPr>
        <w:t xml:space="preserve">的扣除，</w:t>
      </w:r>
      <w:r>
        <w:rPr>
          <w:rFonts w:hint="eastAsia" w:ascii="宋体" w:hAnsi="宋体" w:eastAsia="宋体" w:cs="宋体"/>
          <w:sz w:val="24"/>
          <w:szCs w:val="24"/>
        </w:rPr>
        <w:t xml:space="preserve">用扣除后的价格参与评审，如扣除后的价格为最低价的，则作为评标基准价，中标金额则以实际投标报价为准。残疾人福利性单位属于小型、微型企业的，不重复享受政策。</w:t>
      </w:r>
      <w:r>
        <w:rPr>
          <w:rFonts w:hint="eastAsia" w:ascii="宋体" w:hAnsi="宋体" w:eastAsia="宋体" w:cs="宋体"/>
          <w:b/>
          <w:sz w:val="24"/>
          <w:szCs w:val="24"/>
        </w:rPr>
        <w:t xml:space="preserve">服务类项目中供应商若使用退休人员，将不享受中小企业扶持政策。</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注：</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①填报“中小企业声明函”需严格按“工信部联企业〔2011〕300号通知中的《中小企业划型标准规定》进行。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②若供应商提供的声明函或认定证明为虚假材料，按“政府采购法”相关规定处理并报请政府监管部门给予行政处罚。</w:t>
      </w:r>
      <w:r/>
    </w:p>
    <w:p>
      <w:pPr>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）支持本国产品政策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60" w:name="OLE_LINK13"/>
      <w:r>
        <w:rPr>
          <w:rFonts w:hint="eastAsia" w:ascii="宋体" w:hAnsi="宋体" w:eastAsia="宋体" w:cs="宋体"/>
          <w:sz w:val="24"/>
          <w:szCs w:val="24"/>
          <w:lang w:val="zh-CN"/>
        </w:rPr>
        <w:t xml:space="preserve">（国办发［2025］34号）</w:t>
      </w:r>
      <w:bookmarkEnd w:id="60"/>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w:t>
      </w:r>
      <w:r>
        <w:rPr>
          <w:rFonts w:hint="eastAsia" w:ascii="宋体" w:hAnsi="宋体" w:eastAsia="宋体" w:cs="宋体"/>
          <w:sz w:val="24"/>
          <w:szCs w:val="24"/>
          <w:highlight w:val="none"/>
        </w:rPr>
        <w:t xml:space="preserve">价</w:t>
      </w:r>
      <w:r>
        <w:rPr>
          <w:rFonts w:hint="eastAsia" w:ascii="宋体" w:hAnsi="宋体" w:eastAsia="宋体" w:cs="宋体"/>
          <w:sz w:val="24"/>
          <w:szCs w:val="24"/>
          <w:highlight w:val="none"/>
        </w:rPr>
        <w:t xml:space="preserve">给予</w:t>
      </w:r>
      <w:r>
        <w:rPr>
          <w:rFonts w:hint="eastAsia" w:ascii="宋体" w:hAnsi="宋体" w:eastAsia="宋体" w:cs="宋体"/>
          <w:b/>
          <w:bCs/>
          <w:sz w:val="24"/>
          <w:szCs w:val="24"/>
          <w:highlight w:val="none"/>
        </w:rPr>
        <w:t xml:space="preserve">20%</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价格扣除</w:t>
      </w:r>
      <w:r>
        <w:rPr>
          <w:rFonts w:hint="eastAsia" w:ascii="宋体" w:hAnsi="宋体" w:eastAsia="宋体" w:cs="宋体"/>
          <w:sz w:val="24"/>
          <w:szCs w:val="24"/>
        </w:rPr>
        <w:t xml:space="preserve">，用扣除后的价格参与评审。供应商应提供《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绿色采购</w:t>
      </w:r>
      <w:r/>
    </w:p>
    <w:p>
      <w:pPr>
        <w:ind w:firstLine="480"/>
        <w:keepLines w:val="0"/>
        <w:keepNext w:val="0"/>
        <w:pageBreakBefore w:val="0"/>
        <w:spacing w:line="360" w:lineRule="auto"/>
        <w:tabs>
          <w:tab w:val="left" w:pos="567" w:leader="none"/>
        </w:tabs>
        <w:rPr>
          <w:rFonts w:hint="eastAsia" w:ascii="宋体" w:hAnsi="宋体" w:eastAsia="宋体" w:cs="宋体"/>
          <w:bCs/>
          <w:sz w:val="24"/>
          <w:szCs w:val="24"/>
        </w:rPr>
      </w:pPr>
      <w:r>
        <w:rPr>
          <w:rFonts w:hint="eastAsia" w:ascii="宋体" w:hAnsi="宋体" w:eastAsia="宋体" w:cs="宋体"/>
          <w:sz w:val="24"/>
          <w:szCs w:val="24"/>
        </w:rPr>
        <w:t xml:space="preserve">（1）根据《关于调整优化节能产品、环境标志产品政府采购执行机制的通知》（财库〔2019〕9号）等相关文件的规定，</w:t>
      </w:r>
      <w:r>
        <w:rPr>
          <w:rFonts w:hint="eastAsia" w:ascii="宋体" w:hAnsi="宋体" w:eastAsia="宋体" w:cs="宋体"/>
          <w:bCs/>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keepLines w:val="0"/>
        <w:keepNext w:val="0"/>
        <w:pageBreakBefore w:val="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1.采购代理机构会在接收投标文件截止时间后，登录信用中国网站（www.creditchina.gov.cn/）和中国政府采购网（www.ccgp.gov.cn/）查询供应商的信用记录，并将查询结果递交评标委员会。</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3.供应商若在经营活动中受到罚款的，请携带相关地方、部门对较大数额认定标准的证明材料，与投标文件一并提交。若无法提供，则可能承担投标无效等相应不利后果。</w:t>
      </w:r>
      <w:r/>
    </w:p>
    <w:p>
      <w:pPr>
        <w:ind w:firstLine="480"/>
        <w:keepLines w:val="0"/>
        <w:keepNext w:val="0"/>
        <w:pageBreakBefore w:val="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4.对存在失信信息的供应商，由失信供应商进行确认。同时，采购代理机构工作人员应根据评标委员会确认的失信信息，登录到相关来源网站页面进行复核并打印，作为证据留存。</w:t>
      </w:r>
      <w:r/>
    </w:p>
    <w:p>
      <w:pPr>
        <w:jc w:val="left"/>
        <w:widowControl/>
        <w:rPr>
          <w:sz w:val="32"/>
          <w:szCs w:val="32"/>
        </w:rPr>
      </w:pPr>
      <w:r>
        <w:rPr>
          <w:sz w:val="32"/>
          <w:szCs w:val="3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980"/>
        <w:jc w:val="center"/>
        <w:spacing w:line="360" w:lineRule="auto"/>
        <w:rPr>
          <w:rFonts w:hint="eastAsia" w:ascii="宋体" w:hAnsi="宋体" w:eastAsia="宋体"/>
          <w:sz w:val="48"/>
          <w:szCs w:val="48"/>
        </w:rPr>
      </w:pPr>
      <w:r/>
      <w:bookmarkStart w:id="61" w:name="_Toc396747046"/>
      <w:r/>
      <w:bookmarkStart w:id="62" w:name="_Toc20253"/>
      <w:r>
        <w:rPr>
          <w:rFonts w:hint="eastAsia" w:ascii="宋体" w:hAnsi="宋体" w:eastAsia="宋体"/>
          <w:sz w:val="48"/>
          <w:szCs w:val="48"/>
        </w:rPr>
        <w:t xml:space="preserve">第五章</w:t>
      </w:r>
      <w:r>
        <w:rPr>
          <w:rFonts w:hint="eastAsia" w:ascii="宋体" w:hAnsi="宋体" w:eastAsia="宋体"/>
          <w:sz w:val="48"/>
          <w:szCs w:val="48"/>
          <w:lang w:val="en-US" w:eastAsia="zh-CN"/>
        </w:rPr>
        <w:t xml:space="preserve"> </w:t>
      </w:r>
      <w:r>
        <w:rPr>
          <w:rFonts w:hint="eastAsia" w:ascii="宋体" w:hAnsi="宋体" w:eastAsia="宋体"/>
          <w:sz w:val="48"/>
          <w:szCs w:val="48"/>
        </w:rPr>
        <w:t xml:space="preserve">合同主要条款</w:t>
      </w:r>
      <w:bookmarkEnd w:id="61"/>
      <w:r/>
      <w:bookmarkEnd w:id="62"/>
      <w:r/>
      <w:r/>
    </w:p>
    <w:p>
      <w:pPr>
        <w:jc w:val="center"/>
        <w:spacing w:line="360" w:lineRule="auto"/>
        <w:rPr>
          <w:rFonts w:hint="eastAsia" w:ascii="宋体" w:hAnsi="宋体" w:eastAsia="宋体"/>
          <w:b/>
          <w:sz w:val="32"/>
          <w:szCs w:val="32"/>
        </w:rPr>
      </w:pPr>
      <w:r>
        <w:rPr>
          <w:rFonts w:hint="eastAsia" w:ascii="宋体" w:hAnsi="宋体" w:eastAsia="宋体"/>
          <w:sz w:val="32"/>
          <w:szCs w:val="32"/>
        </w:rPr>
        <w:br w:type="page" w:clear="all"/>
      </w:r>
      <w:r>
        <w:rPr>
          <w:rFonts w:hint="eastAsia" w:ascii="宋体" w:hAnsi="宋体" w:eastAsia="宋体"/>
          <w:b/>
          <w:sz w:val="32"/>
          <w:szCs w:val="32"/>
        </w:rPr>
        <w:t xml:space="preserve">合同主要条款</w:t>
      </w:r>
      <w:bookmarkEnd w:id="59"/>
      <w:r/>
      <w:r/>
    </w:p>
    <w:p>
      <w:pPr>
        <w:ind w:firstLine="482"/>
        <w:jc w:val="left"/>
        <w:keepLines w:val="0"/>
        <w:keepNext w:val="0"/>
        <w:pageBreakBefore w:val="0"/>
        <w:spacing w:line="360" w:lineRule="auto"/>
        <w:rPr>
          <w:rFonts w:hint="eastAsia" w:ascii="宋体" w:hAnsi="宋体" w:eastAsia="宋体" w:cs="宋体"/>
          <w:b/>
          <w:sz w:val="24"/>
          <w:szCs w:val="24"/>
        </w:rPr>
      </w:pPr>
      <w:r/>
      <w:bookmarkStart w:id="63" w:name="_Toc13642118"/>
      <w:r/>
      <w:bookmarkStart w:id="64" w:name="_Toc13889378"/>
      <w:r>
        <w:rPr>
          <w:rFonts w:hint="eastAsia" w:ascii="宋体" w:hAnsi="宋体" w:eastAsia="宋体" w:cs="宋体"/>
          <w:b/>
          <w:sz w:val="24"/>
          <w:szCs w:val="24"/>
        </w:rPr>
        <w:t xml:space="preserve">甲方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联系人：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联系电话：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地址：  </w:t>
      </w:r>
      <w:r/>
    </w:p>
    <w:p>
      <w:pPr>
        <w:ind w:firstLine="482"/>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乙方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联系人：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联系电话： </w:t>
      </w:r>
      <w:r/>
    </w:p>
    <w:p>
      <w:pPr>
        <w:ind w:right="31"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地址： </w:t>
      </w:r>
      <w:r/>
    </w:p>
    <w:p>
      <w:pPr>
        <w:ind w:right="31"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31"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根据《中华人民共和国政府采购法》、《中华人民共和国民法典》等相关法律法规的规定、</w:t>
      </w:r>
      <w:r>
        <w:rPr>
          <w:rFonts w:hint="eastAsia" w:ascii="宋体" w:hAnsi="宋体" w:eastAsia="宋体" w:cs="宋体"/>
          <w:sz w:val="24"/>
          <w:szCs w:val="24"/>
          <w:lang w:val="en-US" w:eastAsia="zh-CN"/>
        </w:rPr>
        <w:t xml:space="preserve">苏州鸿鑫工程咨询有限公司招标</w:t>
      </w:r>
      <w:r>
        <w:rPr>
          <w:rFonts w:hint="eastAsia" w:ascii="宋体" w:hAnsi="宋体" w:eastAsia="宋体" w:cs="宋体"/>
          <w:sz w:val="24"/>
          <w:szCs w:val="24"/>
        </w:rPr>
        <w:t xml:space="preserve">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号公开招标文件及乙方的投标文件和中标通知书,甲乙双方就此次中标的</w:t>
      </w:r>
      <w:r>
        <w:rPr>
          <w:rFonts w:hint="eastAsia" w:ascii="宋体" w:hAnsi="宋体" w:eastAsia="宋体" w:cs="宋体"/>
          <w:bCs/>
          <w:sz w:val="24"/>
          <w:szCs w:val="24"/>
          <w:u w:val="single"/>
        </w:rPr>
        <w:t xml:space="preserve">    项目</w:t>
      </w:r>
      <w:r>
        <w:rPr>
          <w:rFonts w:hint="eastAsia" w:ascii="宋体" w:hAnsi="宋体" w:eastAsia="宋体" w:cs="宋体"/>
          <w:sz w:val="24"/>
          <w:szCs w:val="24"/>
        </w:rPr>
        <w:t xml:space="preserve">的购销事宜，签订本合同书。</w:t>
      </w:r>
      <w:r/>
    </w:p>
    <w:p>
      <w:pPr>
        <w:numPr>
          <w:ilvl w:val="0"/>
          <w:numId w:val="5"/>
        </w:num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项目内容：</w:t>
      </w:r>
      <w:r/>
    </w:p>
    <w:tbl>
      <w:tblPr>
        <w:tblStyle w:val="9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1053"/>
        <w:gridCol w:w="1077"/>
      </w:tblGrid>
      <w:tr>
        <w:trPr>
          <w:jc w:val="center"/>
          <w:trHeight w:val="389"/>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7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105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W w:w="1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总价（元）</w:t>
            </w:r>
            <w:r/>
          </w:p>
        </w:tc>
      </w:tr>
      <w:tr>
        <w:trPr>
          <w:jc w:val="center"/>
          <w:trHeight w:val="226"/>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96" w:type="dxa"/>
            <w:vAlign w:val="center"/>
            <w:textDirection w:val="lrTb"/>
            <w:noWrap w:val="false"/>
          </w:tcPr>
          <w:p>
            <w:pPr>
              <w:jc w:val="center"/>
              <w:keepLines w:val="0"/>
              <w:keepNext w:val="0"/>
              <w:pageBreakBefore w:val="0"/>
              <w:spacing w:line="360" w:lineRule="auto"/>
              <w:widowControl/>
              <w:tabs>
                <w:tab w:val="left" w:pos="761"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5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77"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6"/>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5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6"/>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5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6"/>
        </w:trPr>
        <w:tc>
          <w:tcPr>
            <w:tcW w:w="76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tc>
        <w:tc>
          <w:tcPr>
            <w:tcW w:w="17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9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11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53"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6"/>
        </w:trPr>
        <w:tc>
          <w:tcPr>
            <w:gridSpan w:val="8"/>
            <w:tcW w:w="8936"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合计金额大写：</w:t>
            </w:r>
            <w:r/>
          </w:p>
        </w:tc>
      </w:tr>
    </w:tbl>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二、下列文件为本合同不可分割部分：</w:t>
      </w:r>
      <w:r/>
    </w:p>
    <w:p>
      <w:pPr>
        <w:pStyle w:val="1008"/>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（一）中标通知书；</w:t>
      </w:r>
      <w:r/>
    </w:p>
    <w:p>
      <w:pPr>
        <w:pStyle w:val="1008"/>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（二）招标文件、技术要求及补充通知（如有）；</w:t>
      </w:r>
      <w:r/>
    </w:p>
    <w:p>
      <w:pPr>
        <w:pStyle w:val="1008"/>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（三）中标文件和其它承诺、书面澄清等；</w:t>
      </w:r>
      <w:r/>
    </w:p>
    <w:p>
      <w:pPr>
        <w:pStyle w:val="1008"/>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（四）技术文件；</w:t>
      </w:r>
      <w:r/>
    </w:p>
    <w:p>
      <w:pPr>
        <w:pStyle w:val="1008"/>
        <w:ind w:firstLine="480"/>
        <w:keepLines w:val="0"/>
        <w:keepNext w:val="0"/>
        <w:pageBreakBefore w:val="0"/>
        <w:spacing w:line="360" w:lineRule="auto"/>
        <w:rPr>
          <w:rFonts w:hint="eastAsia" w:ascii="宋体" w:hAnsi="宋体" w:eastAsia="宋体" w:cs="宋体"/>
          <w:b w:val="0"/>
          <w:spacing w:val="0"/>
          <w:sz w:val="24"/>
          <w:szCs w:val="24"/>
        </w:rPr>
      </w:pPr>
      <w:r>
        <w:rPr>
          <w:rFonts w:hint="eastAsia" w:ascii="宋体" w:hAnsi="宋体" w:eastAsia="宋体" w:cs="宋体"/>
          <w:b w:val="0"/>
          <w:spacing w:val="0"/>
          <w:sz w:val="24"/>
          <w:szCs w:val="24"/>
        </w:rPr>
        <w:t xml:space="preserve">（五）其他约定文件等。</w:t>
      </w:r>
      <w:r/>
    </w:p>
    <w:p>
      <w:pPr>
        <w:pStyle w:val="1008"/>
        <w:ind w:firstLine="480"/>
        <w:keepLines w:val="0"/>
        <w:keepNext w:val="0"/>
        <w:pageBreakBefore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t xml:space="preserve">三、合同价格与支付：  </w:t>
      </w:r>
      <w:r/>
    </w:p>
    <w:p>
      <w:pPr>
        <w:ind w:firstLine="480"/>
        <w:keepLines w:val="0"/>
        <w:keepNext w:val="0"/>
        <w:pageBreakBefore w:val="0"/>
        <w:spacing w:line="360" w:lineRule="auto"/>
        <w:tabs>
          <w:tab w:val="left" w:pos="630" w:leader="none"/>
        </w:tabs>
        <w:rPr>
          <w:rFonts w:hint="eastAsia" w:ascii="宋体" w:hAnsi="宋体" w:eastAsia="宋体" w:cs="宋体"/>
          <w:sz w:val="24"/>
          <w:szCs w:val="24"/>
        </w:rPr>
      </w:pPr>
      <w:r>
        <w:rPr>
          <w:rFonts w:hint="eastAsia" w:ascii="宋体" w:hAnsi="宋体" w:eastAsia="宋体" w:cs="宋体"/>
          <w:sz w:val="24"/>
          <w:szCs w:val="24"/>
        </w:rPr>
        <w:t xml:space="preserve">（一）本合同价格为项目所在地含税价，本合同价格按人民币结算。</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（二）本项目合同总价为：</w:t>
      </w:r>
      <w:r>
        <w:rPr>
          <w:rFonts w:hint="eastAsia" w:ascii="宋体" w:hAnsi="宋体" w:eastAsia="宋体" w:cs="宋体"/>
          <w:b/>
          <w:sz w:val="24"/>
          <w:szCs w:val="24"/>
          <w:u w:val="single"/>
        </w:rPr>
        <w:t xml:space="preserve">         （￥    ）</w:t>
      </w:r>
      <w:r>
        <w:rPr>
          <w:rFonts w:hint="eastAsia" w:ascii="宋体" w:hAnsi="宋体" w:eastAsia="宋体" w:cs="宋体"/>
          <w:sz w:val="24"/>
          <w:szCs w:val="24"/>
        </w:rPr>
        <w:t xml:space="preserve">，合同总价包括全部产品供货、辅助材料、备品备件、运输、仓储、发货、送货、安装、调试、人工、机械、装卸、培训、保险、运费、各种税费、劳保、专利技术及质保等完成本次项目所需的一切费用。 </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（三）付款方式：</w:t>
      </w:r>
      <w:bookmarkStart w:id="65" w:name="_Hlk166669467"/>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1.付</w:t>
      </w:r>
      <w:r>
        <w:rPr>
          <w:rFonts w:hint="eastAsia" w:ascii="宋体" w:hAnsi="宋体" w:eastAsia="宋体" w:cs="宋体"/>
          <w:sz w:val="24"/>
          <w:szCs w:val="24"/>
          <w:highlight w:val="none"/>
        </w:rPr>
        <w:t xml:space="preserve">款步骤：</w:t>
      </w:r>
      <w:bookmarkEnd w:id="65"/>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验收合格后付至合同价(指已扣除未实施部分的合同价）的70%,竣工验收合格之日算起满一年后付清余款。</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highlight w:val="none"/>
        </w:rPr>
        <w:t xml:space="preserve">甲方付款时，乙方需提</w:t>
      </w:r>
      <w:r>
        <w:rPr>
          <w:rFonts w:hint="eastAsia" w:ascii="宋体" w:hAnsi="宋体" w:eastAsia="宋体" w:cs="宋体"/>
          <w:bCs/>
          <w:sz w:val="24"/>
          <w:szCs w:val="24"/>
        </w:rPr>
        <w:t xml:space="preserve">供以下资料：</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A、甲方签收的送货回单。 </w:t>
      </w:r>
      <w:r/>
    </w:p>
    <w:p>
      <w:pPr>
        <w:ind w:firstLine="48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B、正式的发票。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C、由甲乙双方及招标代理机构签章的《</w:t>
      </w:r>
      <w:r>
        <w:rPr>
          <w:rFonts w:hint="eastAsia" w:ascii="宋体" w:hAnsi="宋体" w:eastAsia="宋体" w:cs="宋体"/>
          <w:sz w:val="24"/>
          <w:szCs w:val="24"/>
        </w:rPr>
        <w:t xml:space="preserve">政府采购履约验收书</w:t>
      </w:r>
      <w:r>
        <w:rPr>
          <w:rFonts w:hint="eastAsia" w:ascii="宋体" w:hAnsi="宋体" w:eastAsia="宋体" w:cs="宋体"/>
          <w:bCs/>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2.付款前，乙方应开具正规合格的增值税专用发票原件提交甲方，甲方将支付相应款项。</w:t>
      </w:r>
      <w:r/>
    </w:p>
    <w:p>
      <w:pPr>
        <w:ind w:right="-161"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3.付款方式：银行转账、银行汇票或转帐支票。</w:t>
      </w:r>
      <w:r/>
    </w:p>
    <w:p>
      <w:pPr>
        <w:ind w:right="-161"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4.乙方账户信息如下：</w:t>
      </w:r>
      <w:r/>
    </w:p>
    <w:p>
      <w:pPr>
        <w:ind w:right="-161"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开户名称：</w:t>
      </w:r>
      <w:r/>
    </w:p>
    <w:p>
      <w:pPr>
        <w:ind w:right="-161"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银行账号：</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根据现行税法对甲方征收的与本合同有关的一切税费均由甲方承担；根据现行税法对乙方征收的与本合同有关的一切税费均由乙方承担。</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四、质量保证</w:t>
      </w:r>
      <w:r/>
    </w:p>
    <w:p>
      <w:pPr>
        <w:ind w:firstLine="480"/>
        <w:jc w:val="left"/>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ind w:firstLine="480"/>
        <w:jc w:val="left"/>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二）</w:t>
      </w:r>
      <w:r>
        <w:rPr>
          <w:rFonts w:hint="eastAsia" w:ascii="宋体" w:hAnsi="宋体" w:eastAsia="宋体" w:cs="宋体"/>
          <w:b w:val="0"/>
          <w:bCs/>
          <w:sz w:val="24"/>
          <w:szCs w:val="24"/>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jc w:val="left"/>
        <w:keepLines w:val="0"/>
        <w:keepNext w:val="0"/>
        <w:pageBreakBefore w:val="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三）</w:t>
      </w:r>
      <w:r>
        <w:rPr>
          <w:rFonts w:hint="eastAsia" w:ascii="宋体" w:hAnsi="宋体" w:eastAsia="宋体" w:cs="宋体"/>
          <w:b w:val="0"/>
          <w:bCs/>
          <w:sz w:val="24"/>
          <w:szCs w:val="24"/>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ind w:firstLine="482"/>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包装</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2"/>
        <w:jc w:val="left"/>
        <w:keepLines w:val="0"/>
        <w:keepNext w:val="0"/>
        <w:pageBreakBefore w:val="0"/>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六、伴随服务</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lang w:eastAsia="zh-CN"/>
        </w:rPr>
        <w:t xml:space="preserve">乙方除应履行按期按量交付合格标的物的义务之外，还应提供下列服务。</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1.标的物的现场启动、调试、监督；</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lang w:eastAsia="zh-CN"/>
        </w:rPr>
        <w:t xml:space="preserve">.提供标的物组装和一般维修所必须的工具；</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lang w:eastAsia="zh-CN"/>
        </w:rPr>
        <w:t xml:space="preserve">.在合同规定的期限内对所提供标的物实行运行监督、维修服务的前提条件是该服务并不能免除乙方在质量保证期内所承担的义务；</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4</w:t>
      </w:r>
      <w:r>
        <w:rPr>
          <w:rFonts w:hint="eastAsia" w:ascii="宋体" w:hAnsi="宋体" w:eastAsia="宋体" w:cs="宋体"/>
          <w:b w:val="0"/>
          <w:bCs/>
          <w:sz w:val="24"/>
          <w:szCs w:val="24"/>
          <w:lang w:val="en-US" w:eastAsia="zh-CN"/>
        </w:rPr>
        <w:t xml:space="preserve">.</w:t>
      </w:r>
      <w:r>
        <w:rPr>
          <w:rFonts w:hint="eastAsia" w:ascii="宋体" w:hAnsi="宋体" w:eastAsia="宋体" w:cs="宋体"/>
          <w:b w:val="0"/>
          <w:bCs/>
          <w:sz w:val="24"/>
          <w:szCs w:val="24"/>
          <w:lang w:eastAsia="zh-CN"/>
        </w:rPr>
        <w:t xml:space="preserve">对甲方技术人员的技术指导或培训。</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二）</w:t>
      </w:r>
      <w:r>
        <w:rPr>
          <w:rFonts w:hint="eastAsia" w:ascii="宋体" w:hAnsi="宋体" w:eastAsia="宋体" w:cs="宋体"/>
          <w:b w:val="0"/>
          <w:bCs/>
          <w:sz w:val="24"/>
          <w:szCs w:val="24"/>
          <w:lang w:eastAsia="zh-CN"/>
        </w:rPr>
        <w:t xml:space="preserve">除合同另有规定之外，伴随服务的费用均已含在合同价款中，甲方不再另行进行支付。</w:t>
      </w:r>
      <w:r/>
    </w:p>
    <w:p>
      <w:pPr>
        <w:ind w:firstLine="482"/>
        <w:jc w:val="left"/>
        <w:keepLines w:val="0"/>
        <w:keepNext w:val="0"/>
        <w:pageBreakBefore w:val="0"/>
        <w:spacing w:line="360" w:lineRule="auto"/>
        <w:rPr>
          <w:rFonts w:hint="eastAsia" w:ascii="宋体" w:hAnsi="宋体" w:eastAsia="宋体" w:cs="宋体"/>
          <w:b/>
          <w:sz w:val="24"/>
          <w:szCs w:val="24"/>
          <w:lang w:val="en-US" w:eastAsia="zh-CN"/>
        </w:rPr>
      </w:pPr>
      <w:r/>
      <w:bookmarkStart w:id="66" w:name="_Toc13543215"/>
      <w:r>
        <w:rPr>
          <w:rFonts w:hint="eastAsia" w:ascii="宋体" w:hAnsi="宋体" w:eastAsia="宋体" w:cs="宋体"/>
          <w:b/>
          <w:sz w:val="24"/>
          <w:szCs w:val="24"/>
          <w:lang w:val="en-US" w:eastAsia="zh-CN"/>
        </w:rPr>
        <w:t xml:space="preserve">七、标的物的交付、检验和验收</w:t>
      </w:r>
      <w:bookmarkEnd w:id="66"/>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一）</w:t>
      </w:r>
      <w:r>
        <w:rPr>
          <w:rFonts w:hint="eastAsia" w:ascii="宋体" w:hAnsi="宋体" w:eastAsia="宋体" w:cs="宋体"/>
          <w:b w:val="0"/>
          <w:bCs/>
          <w:sz w:val="24"/>
          <w:szCs w:val="24"/>
          <w:lang w:eastAsia="zh-CN"/>
        </w:rPr>
        <w:t xml:space="preserve">标的物的交付</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1.标的物的所有权自标的物交付时转移。</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 乙方应当按照约定的期限和约定的地点交付标的物。</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 乙方应当按照约定或者交易习惯向甲方交付提取标的物单证以外的有关单证和资料。</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二）</w:t>
      </w:r>
      <w:r>
        <w:rPr>
          <w:rFonts w:hint="eastAsia" w:ascii="宋体" w:hAnsi="宋体" w:eastAsia="宋体" w:cs="宋体"/>
          <w:b w:val="0"/>
          <w:bCs/>
          <w:sz w:val="24"/>
          <w:szCs w:val="24"/>
          <w:lang w:eastAsia="zh-CN"/>
        </w:rPr>
        <w:t xml:space="preserve">检验和验收</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80"/>
        <w:jc w:val="left"/>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2.甲方根据合同规定的内容和验收标准进行验收，同时比较乙方出具的检验证明，经检验无误后出具验收合格证明，该证明作为最终付款所需文件的组成部分。</w:t>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lang w:eastAsia="zh-CN"/>
        </w:rPr>
        <w:t xml:space="preserve">.验收期限自标</w:t>
      </w:r>
      <w:r>
        <w:rPr>
          <w:rFonts w:hint="eastAsia" w:ascii="宋体" w:hAnsi="宋体" w:eastAsia="宋体" w:cs="宋体"/>
          <w:b w:val="0"/>
          <w:bCs/>
          <w:sz w:val="24"/>
          <w:szCs w:val="24"/>
          <w:highlight w:val="none"/>
          <w:lang w:eastAsia="zh-CN"/>
        </w:rPr>
        <w:t xml:space="preserve">的物交付之日起30日内。特殊情况需延长的，双方应在合同的特殊条款中约定。</w:t>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4.如双方对验收结果有分歧，则以苏州市市场监督管理局下属法定检验机构的检验结果为准，检验费用由有过失的一方支付。</w:t>
      </w:r>
      <w:r/>
    </w:p>
    <w:p>
      <w:pPr>
        <w:ind w:firstLine="482"/>
        <w:jc w:val="left"/>
        <w:keepLines w:val="0"/>
        <w:keepNext w:val="0"/>
        <w:pageBreakBefore w:val="0"/>
        <w:spacing w:line="360" w:lineRule="auto"/>
        <w:rPr>
          <w:rFonts w:hint="eastAsia" w:ascii="宋体" w:hAnsi="宋体" w:eastAsia="宋体" w:cs="宋体"/>
          <w:b/>
          <w:sz w:val="24"/>
          <w:szCs w:val="24"/>
          <w:highlight w:val="none"/>
          <w:lang w:val="en-US" w:eastAsia="zh-CN"/>
        </w:rPr>
      </w:pPr>
      <w:r/>
      <w:bookmarkStart w:id="67" w:name="_Toc13543216"/>
      <w:r>
        <w:rPr>
          <w:rFonts w:hint="eastAsia" w:ascii="宋体" w:hAnsi="宋体" w:eastAsia="宋体" w:cs="宋体"/>
          <w:b/>
          <w:sz w:val="24"/>
          <w:szCs w:val="24"/>
          <w:highlight w:val="none"/>
          <w:lang w:val="en-US" w:eastAsia="zh-CN"/>
        </w:rPr>
        <w:t xml:space="preserve">八、对标的物提出异议的时间和办法</w:t>
      </w:r>
      <w:bookmarkEnd w:id="67"/>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1.甲方在验收过程中，应当于双方约定的检验期间内将标的物的数量或质量不符合约定的情形及处理方式以书面形式通知乙方。</w:t>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2.如甲方在验收期满后既不出具验收合格证明又未提出书面异议的视为乙方所交标的物符合合同规定。</w:t>
      </w:r>
      <w:r/>
    </w:p>
    <w:p>
      <w:pPr>
        <w:ind w:firstLine="480"/>
        <w:jc w:val="left"/>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3.乙方应在收到甲方书面异议后2天内（双方在合同特殊条款另行规定的除外）负责处理问题，否则将视为默认甲方提出的异议和处理意见。</w:t>
      </w:r>
      <w:r/>
    </w:p>
    <w:p>
      <w:pPr>
        <w:ind w:firstLine="482"/>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、交付时间、地点、方式： </w:t>
      </w:r>
      <w:r/>
    </w:p>
    <w:p>
      <w:pPr>
        <w:ind w:left="99"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（一）交付方式：所有合同货物均由乙方装运至甲方指定地点，所有货物的包装费用、运输费用及运输安全均由乙方负责。货物装运后由乙方办理保险，费用已含在合同总价中。</w:t>
      </w:r>
      <w:r/>
    </w:p>
    <w:p>
      <w:pPr>
        <w:ind w:left="99"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（二）交货期限：自合同签订生效后45天内完成全部采购内容的供货安装调试并交付正常使用。</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（三）交货地点：甲方指定</w:t>
      </w:r>
      <w:r>
        <w:rPr>
          <w:rFonts w:hint="eastAsia" w:ascii="宋体" w:hAnsi="宋体" w:eastAsia="宋体" w:cs="宋体"/>
          <w:sz w:val="24"/>
          <w:szCs w:val="24"/>
        </w:rPr>
        <w:t xml:space="preserve">地点。</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（五）所有货物的外观、包装、运输应按国家规定或部颁标准执行。任何由于乙方包装及保护措施不足或不当以及其它原因造成的损坏或丢失，均由乙方负责修复或补缺。</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（六）货物交货时，包装须完整无破损，乙方还必须提供以下材料：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A、货物装箱清单                    B、质量检验合格文件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C、中英文技术资料                  D、使用维修保养中文说明书</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E、其它必备材料和必备工具等        F、保修单等其它必须材料</w:t>
      </w:r>
      <w:r/>
    </w:p>
    <w:p>
      <w:pPr>
        <w:ind w:left="9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（七）如因甲方原因货物不能在规定时间内进场，乙方承诺免费提供货物寄存场所，货物寄存于乙方仓库。</w:t>
      </w:r>
      <w:r/>
    </w:p>
    <w:p>
      <w:pPr>
        <w:ind w:firstLine="482"/>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、质量及验收：</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1.产品质量及安装符合国家质量标准和验收规范，供应商应保证所供标的物是全新的，未使用过的，并且是非长期积压的库存商品。</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2.所有产品各项技术应当符合国家（强制性）标准及各项规范要求；国家没有相应标准、规范的，可使用行业标准、规定；非标准设备按招标约定的技术要求和规范。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3.所有设备在到达安装现场时须经采购单位技术人员记录验收后才可进行设备安装，验货时须提交该产品的原厂质量合格证明及服务质保证明文件，且合格证明签发日期不得早于本合同签订日前六个月。</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4.所有设备、附（配）件应具备该类产品的功能要求，无瑕疵和缺陷，质量为合格产品，同时有明确的生产厂商或制造厂商。 </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5.缺陷保修：如果设备交付使用后，缺陷多次反复出现，中标方必须提出分析报告和解决方案，更换该产品，直到最后纠正缺陷、投标人提供质保从纠正之日起重新计算质保期。</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6.如果是超出投标人的责任范围的疏忽、误操作等情况而导致的更换修正，应由投标人进行修理，其额外费用由双方协商承担。</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甲方有权对乙方所供产品随机进行抽样检测（检测机构由甲方指定，相关检测费用全部由乙方承担。），如任何一项不符合投标文件及乙方投标相关承诺货不对板或乙方所供产品质量不合格的，乙方须无条件进行退货、换货，如不配合退换货或退换货后再次不合格的，甲方有权解除合同，并要求乙方退还全部货款同时乙方应当承担合同总金额的30%货款作为违约金，违约金不足以弥补甲方损失的应当补足</w:t>
      </w:r>
      <w:r>
        <w:rPr>
          <w:rFonts w:hint="eastAsia" w:ascii="宋体" w:hAnsi="宋体" w:eastAsia="宋体" w:cs="宋体"/>
          <w:b/>
          <w:bCs/>
          <w:sz w:val="24"/>
          <w:szCs w:val="24"/>
        </w:rPr>
        <w:t xml:space="preserve">。</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8.验收要求：</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8.1.履约验收标准：根据政府采购合同要求、招标文件要求、投标文件、承诺及有关行业规定。</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8.2.履约验收主体：由甲方或委托专家（或第三方机构）组成的验收小组进行验收。</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8.4.其他验收要求按照《江苏省政府采购履约验收管理办法》规定执行。</w:t>
      </w:r>
      <w:r/>
    </w:p>
    <w:p>
      <w:pPr>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8.5甲方验收通过并不免除乙方对提供货物质量的责任，如在验收合格后发现隐蔽质量缺陷的，仍视为乙方产品质量不合格，甲方有权追究其违约责任。</w:t>
      </w:r>
      <w:r/>
    </w:p>
    <w:p>
      <w:pPr>
        <w:ind w:firstLine="480"/>
        <w:jc w:val="left"/>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rPr>
        <w:t xml:space="preserve">8.6如</w:t>
      </w:r>
      <w:r>
        <w:rPr>
          <w:rFonts w:hint="eastAsia" w:ascii="宋体" w:hAnsi="宋体" w:eastAsia="宋体" w:cs="宋体"/>
          <w:bCs/>
          <w:sz w:val="24"/>
          <w:szCs w:val="24"/>
          <w:highlight w:val="none"/>
        </w:rPr>
        <w:t xml:space="preserve">乙方交货不合格从而影响甲方按期正常使用的视为乙方逾期交货。</w:t>
      </w:r>
      <w:r/>
    </w:p>
    <w:p>
      <w:pPr>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十一</w:t>
      </w:r>
      <w:r>
        <w:rPr>
          <w:rFonts w:hint="eastAsia" w:ascii="宋体" w:hAnsi="宋体" w:eastAsia="宋体" w:cs="宋体"/>
          <w:b/>
          <w:sz w:val="24"/>
          <w:szCs w:val="24"/>
          <w:highlight w:val="none"/>
        </w:rPr>
        <w:t xml:space="preserve">、售后服务及其他要求：</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货物经过双方检验认可后，签署验收报告，免费质量保证期</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年（招标文件具体技术要求另有说明的除外），质量保证期自货物验收合格之日起算，由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提供货物保修文件。</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在质保期内出现质量问题，</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需在2小时内响应，12小时内赶到现场提供免费服务,并在3天内完成修复或更换，无法修复或经过两次修复仍出现质量问题，予以换货，造成</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的损失，由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负责，</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应尽快以书面形式或口头通知</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，并向</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提出索赔。如</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在接到通知后3天内没有答复或处理问题，则视为</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承认质量问题并承担由此而发生的一切费用。</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须提供全面使用、维护培训。</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质保期满以后，</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应按</w:t>
      </w:r>
      <w:r>
        <w:rPr>
          <w:rFonts w:hint="eastAsia" w:ascii="宋体" w:hAnsi="宋体" w:eastAsia="宋体" w:cs="宋体"/>
          <w:sz w:val="24"/>
          <w:szCs w:val="24"/>
        </w:rPr>
        <w:t xml:space="preserve">同类货物的优惠价格提供保修服务。</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）其他要求按乙方投标文件承诺的条款执行。</w:t>
      </w:r>
      <w:r/>
    </w:p>
    <w:p>
      <w:pPr>
        <w:ind w:firstLine="482"/>
        <w:jc w:val="left"/>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rPr>
        <w:t xml:space="preserve">、税费：</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（一）根据国家有关税务法律、法规和规定，乙方应该交纳的与本合同有关的所有税费均由乙方承担。</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（二）本合同价格为含税价。乙方提供的所有货物、技术资料、技术服务、进口设备/部件等所有税费，已全部包含在合同价格内，由乙方承担。</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十三</w:t>
      </w:r>
      <w:r>
        <w:rPr>
          <w:rFonts w:hint="eastAsia" w:ascii="宋体" w:hAnsi="宋体" w:eastAsia="宋体" w:cs="宋体"/>
          <w:b/>
          <w:sz w:val="24"/>
          <w:szCs w:val="24"/>
        </w:rPr>
        <w:t xml:space="preserve">、违约责任：</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1、乙方未能按本合同约定的期限交付质量符合本合同约定的货物的，甲方有权选择采取以下一种或多种措施：</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（1）甲方有权要求乙方继续交付符合本合同约定的货物，同时乙方应承担逾期交付违约金，自本合同约定的交付期限届满之日起，每逾期一日，支付本合同总金额万分之四的违约金。</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（2）甲方有权解除本合同，乙方应当立即退回已收取的全部款项并向甲方支付本合同总金额20%的违约金。</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2、因乙方违约导致甲方解除合同的，甲方有权另行采购本合同约定的货物，乙方应当支付甲方因此额外支付的费用和受到的损失，包括但不限于: 采购费用以及因乙方违约导致逾期交付的损失（损失参照合同约定的逾期交付违约金计算方式进行认定）等一切费用和损失。</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未按照本合同约定提供售后服务或提供的售后服务不合格的，甲方有权责令乙方于3日内予以改正，乙方逾期不改正的或者经甲方责令改正后仍不合格的，视为乙方违约，乙方应当向甲方支付本合同总金额20%的违约金并赔偿甲方一切直接、间接损失。</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5、本合同约定的乙方应付违约金不足以弥补甲方一切直接或间接损失的，乙方应当足额赔偿。</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6、乙方应赔偿甲方的损失、支付给甲方的违约金及其他依据本合同应支付给甲方的费用，甲方有权直接从未支付款项中予以扣除，不足部分有权要求乙方予以补足。</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7、乙方对招标文件承诺函中所承诺的内容，未按约定提供的，甲方有权终止合同，且乙方应向甲方支付本合同总金额20%的违约金。</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8、甲方因处理乙方违约或乙方追究甲方违约但不成立所产生的费用应当由乙方予以承担，该费用包括但不限于公证费、诉讼费、保全费、鉴定费、执行费、律师费、差旅费等。</w:t>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rPr>
        <w:t xml:space="preserve">不可抗力</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（一）合同一方因不可抗力不能履行合同的，根据不可抗力的影响，部分或者全部免除责任。但合同一方迟延履行后发生不可抗力的，不能免除责任。</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（二）合同一方因不可抗力不能履行合同的，应当在不可抗力发生后3日内通知对方，以减轻可能给对方造成的损失，并应当</w:t>
      </w:r>
      <w:bookmarkStart w:id="68" w:name="_Hlk62832803"/>
      <w:r>
        <w:rPr>
          <w:rFonts w:hint="eastAsia" w:ascii="宋体" w:hAnsi="宋体" w:eastAsia="宋体" w:cs="宋体"/>
          <w:sz w:val="24"/>
          <w:szCs w:val="24"/>
        </w:rPr>
        <w:t xml:space="preserve">不可抗力通知发出后的7日</w:t>
      </w:r>
      <w:bookmarkEnd w:id="68"/>
      <w:r>
        <w:rPr>
          <w:rFonts w:hint="eastAsia" w:ascii="宋体" w:hAnsi="宋体" w:eastAsia="宋体" w:cs="宋体"/>
          <w:sz w:val="24"/>
          <w:szCs w:val="24"/>
        </w:rPr>
        <w:t xml:space="preserve">内提供书面证明文件。</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w:t>
      </w:r>
      <w:bookmarkStart w:id="69" w:name="_Hlk62832818"/>
      <w:r>
        <w:rPr>
          <w:rFonts w:hint="eastAsia" w:ascii="宋体" w:hAnsi="宋体" w:eastAsia="宋体" w:cs="宋体"/>
          <w:sz w:val="24"/>
          <w:szCs w:val="24"/>
        </w:rPr>
        <w:t xml:space="preserve">不可抗力事由消除后，合同继续履行或解除等相关事宜，由合同双方协商解决。</w:t>
      </w:r>
      <w:bookmarkEnd w:id="69"/>
      <w:r/>
      <w:r/>
    </w:p>
    <w:p>
      <w:pPr>
        <w:ind w:firstLine="482"/>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十五、</w:t>
      </w:r>
      <w:r>
        <w:rPr>
          <w:rFonts w:hint="eastAsia" w:ascii="宋体" w:hAnsi="宋体" w:eastAsia="宋体" w:cs="宋体"/>
          <w:b/>
          <w:bCs/>
          <w:sz w:val="24"/>
          <w:szCs w:val="24"/>
        </w:rPr>
        <w:t xml:space="preserve">合同的解除和转让</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（一）除《政府采购法》第49条、第50条第二款规定的情形及本合同约定的情形外，本合同签订后，甲乙双方不得擅自变更、解除或终止本合同。</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（二）有下列情形之一的，合同一方可以解除合同：</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1、因不可抗力致使不能实现合同目的的，未受不可抗力影响的一方有权解除合同；</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2、因合同一方违约导致合同不能履行的，另一方有权解除合同；</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3、有权解除合同的一方，应当在违约事实或不可抗力发生后30日内书面通知对方以主张解除本合同，本合同在书面通知到达对方时解除。</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（三）乙方违反本合同约定，导致本合同项目运行受到任何不利影响持续超过【48】小时的，甲方有权立即与乙方解除合同，有权向第三方采购设备以保证项目正常运行且采购费用由乙方无异议接受、承担。</w:t>
      </w:r>
      <w:r/>
    </w:p>
    <w:p>
      <w:pPr>
        <w:ind w:firstLine="480"/>
        <w:jc w:val="left"/>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（四）合同的部分和全部都不得转让。</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十六</w:t>
      </w:r>
      <w:r>
        <w:rPr>
          <w:rFonts w:hint="eastAsia" w:ascii="宋体" w:hAnsi="宋体" w:eastAsia="宋体" w:cs="宋体"/>
          <w:b/>
          <w:sz w:val="24"/>
          <w:szCs w:val="24"/>
        </w:rPr>
        <w:t xml:space="preserve">、索赔：</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（一）甲方有权根据产品质量检验机构或其它有权部门出具的检验证书向乙方提出索赔。</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80"/>
        <w:keepLines w:val="0"/>
        <w:keepNext w:val="0"/>
        <w:pageBreakBefore w:val="0"/>
        <w:spacing w:line="360"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（三）在本合同执行过程中，如由于乙方原因造成甲方或第三人人身伤害，或因乙方的故意行为或重大过失致使甲方或第三人财产损失的，乙方应依法承担赔偿责任。</w:t>
      </w:r>
      <w:r/>
    </w:p>
    <w:p>
      <w:pPr>
        <w:ind w:firstLine="482"/>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
          <w:bCs/>
          <w:sz w:val="24"/>
          <w:szCs w:val="24"/>
          <w:lang w:val="zh-CN"/>
        </w:rPr>
        <w:t xml:space="preserve">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zh-CN"/>
        </w:rPr>
        <w:t xml:space="preserve">、</w:t>
      </w:r>
      <w:r>
        <w:rPr>
          <w:rFonts w:hint="eastAsia" w:ascii="宋体" w:hAnsi="宋体" w:eastAsia="宋体" w:cs="宋体"/>
          <w:b/>
          <w:sz w:val="24"/>
          <w:szCs w:val="24"/>
        </w:rPr>
        <w:t xml:space="preserve">合同生效及其它</w:t>
      </w:r>
      <w:r/>
    </w:p>
    <w:p>
      <w:pPr>
        <w:ind w:firstLine="48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 1、</w:t>
      </w:r>
      <w:r>
        <w:rPr>
          <w:rFonts w:hint="eastAsia" w:ascii="宋体" w:hAnsi="宋体" w:eastAsia="宋体" w:cs="宋体"/>
          <w:sz w:val="24"/>
          <w:szCs w:val="24"/>
          <w:lang w:val="zh-CN"/>
        </w:rPr>
        <w:t xml:space="preserve">本合同经甲乙双方法定代表人或其委托代理人签字并加盖公章（或合同章）后生效。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争议的解决：甲乙双方因合同发生争议，应在招标代理机构的主持下进行调解，协商不成，任何一方可以向甲方所在地人民法院起诉。违约方承担由此产生的费用（包括但不限于律师费、诉讼费、保全费、保险费、差旅费等）。</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4、未尽事宜：本合同未尽事宜应按《中华人民共和国民法典》、《中华人民共和国政府采购法》以及其同相关法律、法规之规定解释。</w:t>
      </w:r>
      <w:r/>
    </w:p>
    <w:p>
      <w:pPr>
        <w:ind w:firstLine="480"/>
        <w:keepLines w:val="0"/>
        <w:keepNext w:val="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5、本合同一式</w:t>
      </w:r>
      <w:r>
        <w:rPr>
          <w:rFonts w:hint="eastAsia" w:ascii="宋体" w:hAnsi="宋体" w:eastAsia="宋体" w:cs="宋体"/>
          <w:sz w:val="24"/>
          <w:szCs w:val="24"/>
          <w:lang w:val="en-US" w:eastAsia="zh-CN"/>
        </w:rPr>
        <w:t xml:space="preserve">伍</w:t>
      </w:r>
      <w:r>
        <w:rPr>
          <w:rFonts w:hint="eastAsia" w:ascii="宋体" w:hAnsi="宋体" w:eastAsia="宋体" w:cs="宋体"/>
          <w:sz w:val="24"/>
          <w:szCs w:val="24"/>
        </w:rPr>
        <w:t xml:space="preserve">份，甲方贰份、乙方贰份、招标代理机构执壹份，具备同等法律效力</w:t>
      </w:r>
      <w:r>
        <w:rPr>
          <w:rFonts w:hint="eastAsia" w:ascii="宋体" w:hAnsi="宋体" w:eastAsia="宋体" w:cs="宋体"/>
          <w:sz w:val="24"/>
          <w:szCs w:val="24"/>
          <w:lang w:val="zh-CN"/>
        </w:rPr>
        <w:t xml:space="preserve">。</w:t>
      </w:r>
      <w:r/>
    </w:p>
    <w:p>
      <w:pPr>
        <w:keepLines w:val="0"/>
        <w:keepNext w:val="0"/>
        <w:pageBreakBefore w:val="0"/>
        <w:spacing w:line="360" w:lineRule="auto"/>
        <w:tabs>
          <w:tab w:val="left" w:pos="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zh-CN"/>
        </w:rPr>
        <w:t xml:space="preserve">甲方</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zh-CN"/>
        </w:rPr>
        <w:t xml:space="preserve">公章或合同章</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zh-CN"/>
        </w:rPr>
        <w:t xml:space="preserve">乙方</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zh-CN"/>
        </w:rPr>
        <w:t xml:space="preserve">公章或合同章</w:t>
      </w:r>
      <w:r>
        <w:rPr>
          <w:rFonts w:hint="eastAsia" w:ascii="宋体" w:hAnsi="宋体" w:eastAsia="宋体" w:cs="宋体"/>
          <w:b w:val="0"/>
          <w:bCs w:val="0"/>
          <w:sz w:val="24"/>
          <w:szCs w:val="24"/>
        </w:rPr>
        <w:t xml:space="preserve">）：</w:t>
      </w:r>
      <w:r/>
    </w:p>
    <w:p>
      <w:pPr>
        <w:pStyle w:val="1185"/>
        <w:ind w:firstLine="480"/>
        <w:keepLines w:val="0"/>
        <w:keepNext w:val="0"/>
        <w:pageBreakBefore w:val="0"/>
        <w:spacing w:line="360" w:lineRule="auto"/>
        <w:tabs>
          <w:tab w:val="center" w:pos="4201" w:leader="none"/>
          <w:tab w:val="right" w:pos="9298" w:leader="dot"/>
        </w:tabs>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keepLines w:val="0"/>
        <w:keepNext w:val="0"/>
        <w:pageBreakBefore w:val="0"/>
        <w:spacing w:line="360" w:lineRule="auto"/>
        <w:tabs>
          <w:tab w:val="left" w:pos="0" w:leader="none"/>
        </w:tabs>
        <w:rPr>
          <w:rFonts w:hint="eastAsia" w:ascii="宋体" w:hAnsi="宋体" w:eastAsia="宋体" w:cs="宋体"/>
          <w:b w:val="0"/>
          <w:bCs w:val="0"/>
          <w:sz w:val="24"/>
          <w:szCs w:val="24"/>
          <w:lang w:val="zh-CN"/>
        </w:rPr>
      </w:pPr>
      <w:r>
        <w:rPr>
          <w:rFonts w:hint="eastAsia" w:ascii="宋体" w:hAnsi="宋体" w:eastAsia="宋体" w:cs="宋体"/>
          <w:b w:val="0"/>
          <w:bCs w:val="0"/>
          <w:sz w:val="24"/>
          <w:szCs w:val="24"/>
        </w:rPr>
        <w:t xml:space="preserve">法定代表人或</w:t>
      </w:r>
      <w:r>
        <w:rPr>
          <w:rFonts w:hint="eastAsia" w:ascii="宋体" w:hAnsi="宋体" w:eastAsia="宋体" w:cs="宋体"/>
          <w:b w:val="0"/>
          <w:bCs w:val="0"/>
          <w:sz w:val="24"/>
          <w:szCs w:val="24"/>
          <w:lang w:val="zh-CN"/>
        </w:rPr>
        <w:t xml:space="preserve">授权代理人</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法定代表人或</w:t>
      </w:r>
      <w:r>
        <w:rPr>
          <w:rFonts w:hint="eastAsia" w:ascii="宋体" w:hAnsi="宋体" w:eastAsia="宋体" w:cs="宋体"/>
          <w:b w:val="0"/>
          <w:bCs w:val="0"/>
          <w:sz w:val="24"/>
          <w:szCs w:val="24"/>
          <w:lang w:val="zh-CN"/>
        </w:rPr>
        <w:t xml:space="preserve">授权代理人</w:t>
      </w:r>
      <w:r/>
    </w:p>
    <w:p>
      <w:pPr>
        <w:keepLines w:val="0"/>
        <w:keepNext w:val="0"/>
        <w:pageBreakBefore w:val="0"/>
        <w:spacing w:line="360" w:lineRule="auto"/>
        <w:tabs>
          <w:tab w:val="left" w:pos="0" w:leader="none"/>
        </w:tabs>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（签字或盖章）：</w:t>
      </w:r>
      <w:r>
        <w:rPr>
          <w:rFonts w:hint="eastAsia" w:ascii="宋体" w:hAnsi="宋体" w:eastAsia="宋体" w:cs="宋体"/>
          <w:b w:val="0"/>
          <w:bCs w:val="0"/>
          <w:sz w:val="24"/>
          <w:szCs w:val="24"/>
          <w:lang w:val="zh-CN"/>
        </w:rPr>
        <w:tab/>
      </w:r>
      <w:r>
        <w:rPr>
          <w:rFonts w:hint="eastAsia" w:ascii="宋体" w:hAnsi="宋体" w:eastAsia="宋体" w:cs="宋体"/>
          <w:b w:val="0"/>
          <w:bCs w:val="0"/>
          <w:sz w:val="24"/>
          <w:szCs w:val="24"/>
          <w:lang w:val="zh-CN"/>
        </w:rPr>
        <w:tab/>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val="zh-CN"/>
        </w:rPr>
        <w:t xml:space="preserve">（签字或盖章）：</w:t>
      </w:r>
      <w:r>
        <w:rPr>
          <w:rFonts w:hint="eastAsia" w:ascii="宋体" w:hAnsi="宋体" w:eastAsia="宋体" w:cs="宋体"/>
          <w:b w:val="0"/>
          <w:bCs w:val="0"/>
          <w:sz w:val="24"/>
          <w:szCs w:val="24"/>
          <w:lang w:val="zh-CN"/>
        </w:rPr>
        <w:tab/>
      </w:r>
      <w:r/>
    </w:p>
    <w:p>
      <w:pPr>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合同签订日期： </w:t>
      </w:r>
      <w:r>
        <w:rPr>
          <w:rFonts w:hint="eastAsia" w:ascii="宋体" w:hAnsi="宋体" w:eastAsia="宋体" w:cs="宋体"/>
          <w:b w:val="0"/>
          <w:bCs w:val="0"/>
          <w:sz w:val="24"/>
          <w:szCs w:val="24"/>
          <w:lang w:val="zh-CN"/>
        </w:rPr>
        <w:t xml:space="preserve">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合同签订日期： </w:t>
      </w:r>
      <w:r>
        <w:rPr>
          <w:rFonts w:hint="eastAsia" w:ascii="宋体" w:hAnsi="宋体" w:eastAsia="宋体" w:cs="宋体"/>
          <w:b w:val="0"/>
          <w:bCs w:val="0"/>
          <w:sz w:val="24"/>
          <w:szCs w:val="24"/>
          <w:lang w:val="zh-CN"/>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Ansi="宋体" w:eastAsia="宋体"/>
          <w:sz w:val="32"/>
          <w:szCs w:val="32"/>
        </w:rPr>
      </w:pPr>
      <w:r>
        <w:rPr>
          <w:rFonts w:hAnsi="宋体" w:eastAsia="宋体"/>
          <w:sz w:val="32"/>
          <w:szCs w:val="32"/>
        </w:rPr>
      </w:r>
      <w:r/>
    </w:p>
    <w:p>
      <w:pPr>
        <w:rPr>
          <w:rFonts w:hint="eastAsia" w:hAnsi="宋体" w:eastAsia="宋体"/>
          <w:sz w:val="32"/>
          <w:szCs w:val="32"/>
        </w:rPr>
      </w:pPr>
      <w:r>
        <w:rPr>
          <w:rFonts w:hint="eastAsia" w:hAnsi="宋体" w:eastAsia="宋体"/>
          <w:sz w:val="32"/>
          <w:szCs w:val="32"/>
        </w:rPr>
        <w:br w:type="page" w:clear="all"/>
      </w:r>
      <w:r/>
    </w:p>
    <w:p>
      <w:pPr>
        <w:pStyle w:val="1082"/>
        <w:rPr>
          <w:rFonts w:hint="eastAsia" w:hAnsi="宋体" w:eastAsia="宋体"/>
          <w:sz w:val="32"/>
          <w:szCs w:val="32"/>
        </w:rPr>
      </w:pPr>
      <w:r>
        <w:rPr>
          <w:rFonts w:hint="eastAsia" w:hAnsi="宋体" w:eastAsia="宋体"/>
          <w:sz w:val="32"/>
          <w:szCs w:val="32"/>
        </w:rPr>
      </w:r>
      <w:r/>
    </w:p>
    <w:p>
      <w:pPr>
        <w:pStyle w:val="1082"/>
        <w:rPr>
          <w:rFonts w:hint="eastAsia" w:hAnsi="宋体" w:eastAsia="宋体"/>
          <w:sz w:val="32"/>
          <w:szCs w:val="32"/>
        </w:rPr>
      </w:pPr>
      <w:r>
        <w:rPr>
          <w:rFonts w:hint="eastAsia" w:hAnsi="宋体" w:eastAsia="宋体"/>
          <w:sz w:val="32"/>
          <w:szCs w:val="32"/>
        </w:rPr>
      </w:r>
      <w:r/>
    </w:p>
    <w:p>
      <w:pPr>
        <w:pStyle w:val="1082"/>
        <w:rPr>
          <w:rFonts w:hint="eastAsia" w:hAnsi="宋体" w:eastAsia="宋体"/>
          <w:sz w:val="32"/>
          <w:szCs w:val="32"/>
        </w:rPr>
      </w:pPr>
      <w:r>
        <w:rPr>
          <w:rFonts w:hint="eastAsia" w:hAnsi="宋体" w:eastAsia="宋体"/>
          <w:sz w:val="32"/>
          <w:szCs w:val="32"/>
        </w:rPr>
      </w:r>
      <w:r/>
    </w:p>
    <w:p>
      <w:pPr>
        <w:pStyle w:val="1082"/>
        <w:rPr>
          <w:rFonts w:hint="eastAsia" w:hAnsi="宋体" w:eastAsia="宋体"/>
          <w:sz w:val="32"/>
          <w:szCs w:val="32"/>
        </w:rPr>
      </w:pPr>
      <w:r>
        <w:rPr>
          <w:rFonts w:hint="eastAsia" w:hAnsi="宋体" w:eastAsia="宋体"/>
          <w:sz w:val="32"/>
          <w:szCs w:val="32"/>
        </w:rPr>
      </w:r>
      <w:r/>
    </w:p>
    <w:p>
      <w:pPr>
        <w:pStyle w:val="1082"/>
        <w:rPr>
          <w:rFonts w:hint="eastAsia" w:hAnsi="宋体" w:eastAsia="宋体"/>
          <w:sz w:val="32"/>
          <w:szCs w:val="32"/>
        </w:rPr>
      </w:pPr>
      <w:r>
        <w:rPr>
          <w:rFonts w:hint="eastAsia" w:hAnsi="宋体" w:eastAsia="宋体"/>
          <w:sz w:val="32"/>
          <w:szCs w:val="32"/>
        </w:rPr>
      </w:r>
      <w:r/>
    </w:p>
    <w:p>
      <w:pPr>
        <w:pStyle w:val="1082"/>
        <w:rPr>
          <w:rFonts w:hint="eastAsia" w:hAnsi="宋体" w:eastAsia="宋体"/>
          <w:sz w:val="32"/>
          <w:szCs w:val="32"/>
        </w:rPr>
      </w:pPr>
      <w:r>
        <w:rPr>
          <w:rFonts w:hint="eastAsia" w:hAnsi="宋体" w:eastAsia="宋体"/>
          <w:sz w:val="32"/>
          <w:szCs w:val="32"/>
        </w:rPr>
      </w:r>
      <w:r/>
    </w:p>
    <w:p>
      <w:pPr>
        <w:pStyle w:val="1082"/>
        <w:rPr>
          <w:rFonts w:hint="eastAsia" w:hAnsi="宋体" w:eastAsia="宋体"/>
          <w:sz w:val="32"/>
          <w:szCs w:val="32"/>
        </w:rPr>
      </w:pPr>
      <w:r>
        <w:rPr>
          <w:rFonts w:hint="eastAsia" w:hAnsi="宋体" w:eastAsia="宋体"/>
          <w:sz w:val="32"/>
          <w:szCs w:val="32"/>
        </w:rPr>
      </w:r>
      <w:r/>
    </w:p>
    <w:p>
      <w:pPr>
        <w:pStyle w:val="1082"/>
        <w:rPr>
          <w:rFonts w:hint="eastAsia" w:hAnsi="宋体" w:eastAsia="宋体"/>
          <w:sz w:val="32"/>
          <w:szCs w:val="32"/>
        </w:rPr>
      </w:pPr>
      <w:r>
        <w:rPr>
          <w:rFonts w:hint="eastAsia" w:hAnsi="宋体" w:eastAsia="宋体"/>
          <w:sz w:val="32"/>
          <w:szCs w:val="32"/>
        </w:rPr>
      </w:r>
      <w:r/>
    </w:p>
    <w:p>
      <w:pPr>
        <w:pStyle w:val="1082"/>
        <w:rPr>
          <w:rFonts w:hint="eastAsia" w:hAnsi="宋体" w:eastAsia="宋体"/>
          <w:sz w:val="32"/>
          <w:szCs w:val="32"/>
        </w:rPr>
      </w:pPr>
      <w:r>
        <w:rPr>
          <w:rFonts w:hint="eastAsia" w:hAnsi="宋体" w:eastAsia="宋体"/>
          <w:sz w:val="32"/>
          <w:szCs w:val="32"/>
        </w:rPr>
      </w:r>
      <w:r/>
    </w:p>
    <w:p>
      <w:pPr>
        <w:pStyle w:val="1082"/>
        <w:rPr>
          <w:rFonts w:hint="eastAsia" w:hAnsi="宋体" w:eastAsia="宋体"/>
          <w:sz w:val="32"/>
          <w:szCs w:val="32"/>
        </w:rPr>
      </w:pPr>
      <w:r>
        <w:rPr>
          <w:rFonts w:hint="eastAsia" w:hAnsi="宋体" w:eastAsia="宋体"/>
          <w:sz w:val="32"/>
          <w:szCs w:val="32"/>
        </w:rPr>
      </w:r>
      <w:r/>
    </w:p>
    <w:p>
      <w:pPr>
        <w:pStyle w:val="1082"/>
        <w:rPr>
          <w:rFonts w:hint="eastAsia" w:hAnsi="宋体" w:eastAsia="宋体"/>
          <w:sz w:val="32"/>
          <w:szCs w:val="32"/>
        </w:rPr>
      </w:pPr>
      <w:r>
        <w:rPr>
          <w:rFonts w:hint="eastAsia" w:hAnsi="宋体" w:eastAsia="宋体"/>
          <w:sz w:val="32"/>
          <w:szCs w:val="32"/>
        </w:rPr>
      </w:r>
      <w:r/>
    </w:p>
    <w:p>
      <w:pPr>
        <w:pStyle w:val="1082"/>
        <w:rPr>
          <w:rFonts w:hint="eastAsia" w:hAnsi="宋体" w:eastAsia="宋体"/>
          <w:sz w:val="32"/>
          <w:szCs w:val="32"/>
        </w:rPr>
      </w:pPr>
      <w:r>
        <w:rPr>
          <w:rFonts w:hint="eastAsia" w:hAnsi="宋体" w:eastAsia="宋体"/>
          <w:sz w:val="32"/>
          <w:szCs w:val="32"/>
        </w:rPr>
      </w:r>
      <w:r/>
    </w:p>
    <w:p>
      <w:pPr>
        <w:pStyle w:val="1082"/>
        <w:rPr>
          <w:rFonts w:hint="eastAsia" w:hAnsi="宋体" w:eastAsia="宋体"/>
          <w:sz w:val="32"/>
          <w:szCs w:val="32"/>
        </w:rPr>
      </w:pPr>
      <w:r>
        <w:rPr>
          <w:rFonts w:hint="eastAsia" w:hAnsi="宋体" w:eastAsia="宋体"/>
          <w:sz w:val="32"/>
          <w:szCs w:val="32"/>
        </w:rPr>
      </w:r>
      <w:r/>
    </w:p>
    <w:p>
      <w:pPr>
        <w:pStyle w:val="1082"/>
        <w:rPr>
          <w:rFonts w:hint="eastAsia" w:hAnsi="宋体" w:eastAsia="宋体"/>
          <w:sz w:val="32"/>
          <w:szCs w:val="32"/>
        </w:rPr>
      </w:pPr>
      <w:r>
        <w:rPr>
          <w:rFonts w:hint="eastAsia" w:hAnsi="宋体" w:eastAsia="宋体"/>
          <w:sz w:val="32"/>
          <w:szCs w:val="32"/>
        </w:rPr>
      </w:r>
      <w:r/>
    </w:p>
    <w:p>
      <w:pPr>
        <w:pStyle w:val="1082"/>
        <w:rPr>
          <w:sz w:val="32"/>
          <w:szCs w:val="32"/>
        </w:rPr>
      </w:pPr>
      <w:r>
        <w:rPr>
          <w:sz w:val="32"/>
          <w:szCs w:val="32"/>
        </w:rPr>
      </w:r>
      <w:r/>
    </w:p>
    <w:p>
      <w:pPr>
        <w:pStyle w:val="980"/>
        <w:jc w:val="center"/>
        <w:spacing w:line="360" w:lineRule="auto"/>
        <w:rPr>
          <w:rFonts w:hint="eastAsia" w:ascii="宋体" w:hAnsi="宋体" w:eastAsia="宋体"/>
          <w:sz w:val="52"/>
        </w:rPr>
      </w:pPr>
      <w:r/>
      <w:bookmarkStart w:id="70" w:name="_Toc24590"/>
      <w:r>
        <w:rPr>
          <w:rFonts w:hint="eastAsia" w:ascii="宋体" w:hAnsi="宋体" w:eastAsia="宋体"/>
          <w:sz w:val="52"/>
        </w:rPr>
        <w:t xml:space="preserve">第六章</w:t>
      </w:r>
      <w:r>
        <w:rPr>
          <w:rFonts w:hint="eastAsia" w:ascii="宋体" w:hAnsi="宋体" w:eastAsia="宋体"/>
          <w:sz w:val="52"/>
          <w:lang w:val="en-US" w:eastAsia="zh-CN"/>
        </w:rPr>
        <w:t xml:space="preserve"> </w:t>
      </w:r>
      <w:r>
        <w:rPr>
          <w:rFonts w:hint="eastAsia" w:ascii="宋体" w:hAnsi="宋体" w:eastAsia="宋体"/>
          <w:sz w:val="52"/>
        </w:rPr>
        <w:t xml:space="preserve">评分</w:t>
      </w:r>
      <w:bookmarkEnd w:id="63"/>
      <w:r/>
      <w:bookmarkEnd w:id="64"/>
      <w:r>
        <w:rPr>
          <w:rFonts w:hint="eastAsia" w:ascii="宋体" w:hAnsi="宋体" w:eastAsia="宋体"/>
          <w:sz w:val="52"/>
        </w:rPr>
        <w:t xml:space="preserve">标准</w:t>
      </w:r>
      <w:bookmarkEnd w:id="70"/>
      <w:r/>
      <w:r/>
    </w:p>
    <w:p>
      <w:pPr>
        <w:spacing w:line="360" w:lineRule="auto"/>
        <w:rPr>
          <w:rFonts w:hint="eastAsia" w:ascii="宋体" w:hAnsi="宋体" w:eastAsia="宋体"/>
        </w:rPr>
      </w:pPr>
      <w:r/>
      <w:bookmarkStart w:id="71" w:name="OLE_LINK2"/>
      <w:r>
        <w:rPr>
          <w:rFonts w:ascii="宋体" w:hAnsi="宋体" w:eastAsia="宋体"/>
        </w:rPr>
        <w:br w:type="page" w:clear="all"/>
      </w:r>
      <w:bookmarkEnd w:id="71"/>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1、本次招标评标采用综合评分法。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2、评标委员会应当按照招标文件中规定的评标方法和标准，对符合性审查合格的投标文件进行商务和技术评估，综合比较与评价。 </w:t>
      </w:r>
      <w:r/>
    </w:p>
    <w:p>
      <w:pPr>
        <w:ind w:firstLine="480"/>
        <w:jc w:val="left"/>
        <w:keepLines w:val="0"/>
        <w:keepNext w:val="0"/>
        <w:pageBreakBefore w:val="0"/>
        <w:spacing w:line="360" w:lineRule="auto"/>
        <w:widowControl w:val="off"/>
        <w:tabs>
          <w:tab w:val="left" w:pos="567"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3、对评委的评分(除价格分外)进行统计汇总，直接算术平均计算出每个投标人的得分（计算结果四舍五入，保留两位小数），加上价格得分即为每个投标人的综合得分。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4、如出现评标总得分最高的投标人有两个或两个以上的，以投标报价较低者优先作为中标候选人，如果投标报价也相同的，则由评标委员会组织以抽签方式确定中标候选人。</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二、评分标准：</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zh-CN"/>
        </w:rPr>
        <w:t xml:space="preserve">（一）价格分：最高为30分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第一步：投标总报价低于或等于</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lang w:val="zh-CN"/>
        </w:rPr>
        <w:t xml:space="preserve">预算价格的，为有效投标报价。超采购预算的投标报价为无效投标报价。无效投标报价的投标文件不得中标。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投标报价得分=（评标基准价/投标报价）*价格权值*100，小数点后保留两位（价格权值为30%）</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（二）投标产品技术质量（40分）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1、投标产品的技术参数、功能等符合情况：最高为40分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投标单位所投产品的技术要求完全符合或优于招标文件的技术要求的得最高分40分，产品技术要求中标注“▲”的技术条款每负偏离一条扣</w:t>
      </w:r>
      <w:bookmarkStart w:id="72" w:name="_GoBack"/>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分，扣完为止；</w:t>
      </w:r>
      <w:r>
        <w:rPr>
          <w:rFonts w:hint="eastAsia" w:ascii="宋体" w:hAnsi="宋体" w:eastAsia="宋体" w:cs="宋体"/>
          <w:sz w:val="24"/>
          <w:szCs w:val="24"/>
          <w:highlight w:val="none"/>
          <w:lang w:val="en-US" w:eastAsia="zh-CN"/>
        </w:rPr>
        <w:t xml:space="preserve">无</w:t>
      </w:r>
      <w:bookmarkEnd w:id="72"/>
      <w:r>
        <w:rPr>
          <w:rFonts w:hint="eastAsia" w:ascii="宋体" w:hAnsi="宋体" w:eastAsia="宋体" w:cs="宋体"/>
          <w:sz w:val="24"/>
          <w:szCs w:val="24"/>
          <w:lang w:val="zh-CN"/>
        </w:rPr>
        <w:t xml:space="preserve">“▲”标注的技术条款每负偏离一条扣1分，扣完为止。</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说明：1、投标人需对第四章采购需求中的采购清单内所有技术参数要求进行逐条响应，在《技术条款偏离表》中如实详细填列所投产品的参数，且在偏差表中标明是否响应，招标文件要求提供证明材料的提供相应证明材料；否则评标委员会有权做负偏离处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（1）就采购</w:t>
      </w:r>
      <w:r>
        <w:rPr>
          <w:rFonts w:hint="eastAsia" w:ascii="宋体" w:hAnsi="宋体" w:eastAsia="宋体" w:cs="宋体"/>
          <w:sz w:val="24"/>
          <w:szCs w:val="24"/>
          <w:highlight w:val="none"/>
          <w:lang w:val="zh-CN"/>
        </w:rPr>
        <w:t xml:space="preserve">需求中标注“▲”的技术参</w:t>
      </w:r>
      <w:r>
        <w:rPr>
          <w:rFonts w:hint="eastAsia" w:ascii="宋体" w:hAnsi="宋体" w:eastAsia="宋体" w:cs="宋体"/>
          <w:sz w:val="24"/>
          <w:szCs w:val="24"/>
          <w:lang w:val="zh-CN"/>
        </w:rPr>
        <w:t xml:space="preserve">数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鲜章）。若未提供或所提供技术支持资料不完整、不清晰等问题，即便投标文件中已承诺响应采购需求的，评审时也不予采信。</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3）除特别说明外，采购文件中标注“▲”的条款需要在投标文件内提供技术支持资料（如检测报告、白皮书、设备生产厂家证明原件、彩页、手册等材料）。当出现同一投标人提供的证明材料证明内容不一致的情况，将按照以下顺序认定：检测报告、彩页、设备生产厂家证明、手册、白皮书、其他证明材料。</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（三）项目实施方案及售后服务（28分）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1、针对本项目的项目实施方案（最高为6分）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6分；方案各项内容阐述不够全面有缺漏项、针对性说明较为简单、可行性一般、项目进度及质量保证措施一般的得3分；方案各项内容粗略、有缺漏、缺乏针对性说明、项目进度及质量保证措施较差的得1分；未提供相关说明或存在逻辑错误、前后矛盾的不得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2、针对本项目的售后服务方案（最高为6分）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针对本项目的售后服务方案评定，包括售后服务范围、售后服务点设置、售后服务人员配备、响应时间、售后服务承诺等情况：售后服务各项内容阐述全面无缺项、合理、内容详细，符合项目实际需求情况，可行性高的得6分；售后服务各项内容阐述不全面、有缺项漏项，内容较为简要，针对性、可行性一般的得3分；售后服务各项内容阐述粗略或无阐述，无针对性，可行性较差的得1分；未提供相关说明或或存在逻辑错误、前后矛盾的不得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3、针对本项目的应急和重大故障解决方案（最高为7分）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7分；应急和重大故障解决方案内容阐述不全面、有缺项漏项，内容较为简要，针对性一般，可行性一般的得4分；应急和重大故障解决方案内容阐述粗略或无阐述，无针对性，可行性较差的得1分；未提供相关说明或或存在逻辑错误、前后矛盾的不得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4、针对本项目使用方人员的技术培训方案（最高为6分）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提供的针对本项目使用方人员的技术培训方案评定，包括但不限于使用操作、常规检查、保养内容、日常使用注意事项等方面：技术培训服务方案考虑全面周到，针对性强，实操性强的得6分；技术培训服务方案较为全面，针对性和实操性较好的得3分；技术培训服务方案简略笼统，无针对性或可操作性较差的得1分。未提供相关说明或存在逻辑错误、前后矛盾的不得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5、免费质保期满后维保情况及配件供应情况（3分）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投标单位对本项目免费质保期满后维保情况及配件供应保障情况进行综合评定，维保及配件价格优惠且保障情况较好的得3分；基本满足项目需求的得2分；供应价格相对较高且保障不力的得1分；未作说明的本项不得分。</w:t>
      </w:r>
      <w:r/>
    </w:p>
    <w:p>
      <w:pPr>
        <w:ind w:firstLine="482"/>
        <w:keepLines w:val="0"/>
        <w:keepNext w:val="0"/>
        <w:pageBreakBefore w:val="0"/>
        <w:spacing w:line="360" w:lineRule="auto"/>
        <w:widowControl w:val="off"/>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（四）投标单位综合履约能力（2分）</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投标单位2023年1月1日起至今（以合同签订时间为准）签订的类似项目情况，每提供一个业绩得1分，最高得2分。投标文件中提供完整清晰的合同复印件，否则不得分。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注：1.报价超过采购预算的将不进入综合评审程序，也不得中标。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2.付款步骤、交付时间、服务期如有负偏离的不得中标。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3.针对评分标准中评分的每一条，投标人均应提供相关资料并作出相应说明供评委评判，不提供相关资料的视为不具备该项得分的条件。</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rPr>
        <w:t xml:space="preserve">（全文完）</w:t>
      </w:r>
      <w:r/>
    </w:p>
    <w:sectPr>
      <w:headerReference w:type="default" r:id="rId9"/>
      <w:headerReference w:type="first" r:id="rId10"/>
      <w:footerReference w:type="default" r:id="rId13"/>
      <w:footerReference w:type="first" r:id="rId14"/>
      <w:footnotePr/>
      <w:endnotePr/>
      <w:type w:val="nextPage"/>
      <w:pgSz w:w="11906" w:h="16838" w:orient="portrait"/>
      <w:pgMar w:top="1134" w:right="1366" w:bottom="1134" w:left="150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Batang">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2"/>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2"/>
                    </w:pPr>
                    <w:r>
                      <w:fldChar w:fldCharType="begin"/>
                    </w:r>
                    <w:r>
                      <w:instrText xml:space="preserve"> PAGE  \* MERGEFORMAT </w:instrText>
                    </w:r>
                    <w:r>
                      <w:fldChar w:fldCharType="separate"/>
                    </w:r>
                    <w:r>
                      <w:t xml:space="preserve">46</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2"/>
                            <w:ind w:right="360"/>
                          </w:pPr>
                          <w:r>
                            <w:rPr>
                              <w:rFonts w:hint="eastAsia"/>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2"/>
                      <w:ind w:right="360"/>
                    </w:pPr>
                    <w:r>
                      <w:rPr>
                        <w:rFonts w:hint="eastAsia"/>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2"/>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2"/>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Fonts w:hint="eastAsia" w:ascii="楷体_GB2312" w:eastAsia="楷体_GB2312"/>
        <w:lang w:eastAsia="zh-CN"/>
      </w:rPr>
    </w:pPr>
    <w:r>
      <w:rPr>
        <w:rFonts w:hint="eastAsia" w:ascii="楷体_GB2312"/>
      </w:rPr>
      <w:t xml:space="preserve">政府采购招标文件                                          采购编号：</w:t>
    </w:r>
    <w:r>
      <w:rPr>
        <w:rFonts w:hint="eastAsia" w:ascii="楷体_GB2312"/>
        <w:lang w:eastAsia="zh-CN"/>
      </w:rPr>
      <w:t xml:space="preserve">JSZC-320506104-SZHX-G2026-0032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67"/>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2"/>
      <w:numFmt w:val="decimal"/>
      <w:pStyle w:val="1100"/>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4">
    <w:multiLevelType w:val="hybridMultilevel"/>
    <w:lvl w:ilvl="0">
      <w:start w:val="1"/>
      <w:numFmt w:val="decimal"/>
      <w:pStyle w:val="98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7">
    <w:name w:val="Heading 1 Char"/>
    <w:basedOn w:val="986"/>
    <w:link w:val="980"/>
    <w:uiPriority w:val="9"/>
    <w:rPr>
      <w:rFonts w:ascii="Arial" w:hAnsi="Arial" w:eastAsia="Arial" w:cs="Arial"/>
      <w:sz w:val="40"/>
      <w:szCs w:val="40"/>
    </w:rPr>
  </w:style>
  <w:style w:type="character" w:styleId="828">
    <w:name w:val="Heading 2 Char"/>
    <w:basedOn w:val="986"/>
    <w:link w:val="981"/>
    <w:uiPriority w:val="9"/>
    <w:rPr>
      <w:rFonts w:ascii="Arial" w:hAnsi="Arial" w:eastAsia="Arial" w:cs="Arial"/>
      <w:sz w:val="34"/>
    </w:rPr>
  </w:style>
  <w:style w:type="character" w:styleId="829">
    <w:name w:val="Heading 3 Char"/>
    <w:basedOn w:val="986"/>
    <w:link w:val="982"/>
    <w:uiPriority w:val="9"/>
    <w:rPr>
      <w:rFonts w:ascii="Arial" w:hAnsi="Arial" w:eastAsia="Arial" w:cs="Arial"/>
      <w:sz w:val="30"/>
      <w:szCs w:val="30"/>
    </w:rPr>
  </w:style>
  <w:style w:type="character" w:styleId="830">
    <w:name w:val="Heading 4 Char"/>
    <w:basedOn w:val="986"/>
    <w:link w:val="983"/>
    <w:uiPriority w:val="9"/>
    <w:rPr>
      <w:rFonts w:ascii="Arial" w:hAnsi="Arial" w:eastAsia="Arial" w:cs="Arial"/>
      <w:b/>
      <w:bCs/>
      <w:sz w:val="26"/>
      <w:szCs w:val="26"/>
    </w:rPr>
  </w:style>
  <w:style w:type="character" w:styleId="831">
    <w:name w:val="Heading 5 Char"/>
    <w:basedOn w:val="986"/>
    <w:link w:val="984"/>
    <w:uiPriority w:val="9"/>
    <w:rPr>
      <w:rFonts w:ascii="Arial" w:hAnsi="Arial" w:eastAsia="Arial" w:cs="Arial"/>
      <w:b/>
      <w:bCs/>
      <w:sz w:val="24"/>
      <w:szCs w:val="24"/>
    </w:rPr>
  </w:style>
  <w:style w:type="character" w:styleId="832">
    <w:name w:val="Heading 6 Char"/>
    <w:basedOn w:val="986"/>
    <w:link w:val="985"/>
    <w:uiPriority w:val="9"/>
    <w:rPr>
      <w:rFonts w:ascii="Arial" w:hAnsi="Arial" w:eastAsia="Arial" w:cs="Arial"/>
      <w:b/>
      <w:bCs/>
      <w:sz w:val="22"/>
      <w:szCs w:val="22"/>
    </w:rPr>
  </w:style>
  <w:style w:type="paragraph" w:styleId="833">
    <w:name w:val="Heading 7"/>
    <w:basedOn w:val="979"/>
    <w:next w:val="979"/>
    <w:link w:val="834"/>
    <w:uiPriority w:val="9"/>
    <w:unhideWhenUsed/>
    <w:qFormat/>
    <w:pPr>
      <w:keepLines/>
      <w:keepNext/>
      <w:spacing w:before="320" w:after="200"/>
      <w:outlineLvl w:val="6"/>
    </w:pPr>
    <w:rPr>
      <w:rFonts w:ascii="Arial" w:hAnsi="Arial" w:eastAsia="Arial" w:cs="Arial"/>
      <w:b/>
      <w:bCs/>
      <w:i/>
      <w:iCs/>
      <w:sz w:val="22"/>
      <w:szCs w:val="22"/>
    </w:rPr>
  </w:style>
  <w:style w:type="character" w:styleId="834">
    <w:name w:val="Heading 7 Char"/>
    <w:basedOn w:val="986"/>
    <w:link w:val="833"/>
    <w:uiPriority w:val="9"/>
    <w:rPr>
      <w:rFonts w:ascii="Arial" w:hAnsi="Arial" w:eastAsia="Arial" w:cs="Arial"/>
      <w:b/>
      <w:bCs/>
      <w:i/>
      <w:iCs/>
      <w:sz w:val="22"/>
      <w:szCs w:val="22"/>
    </w:rPr>
  </w:style>
  <w:style w:type="paragraph" w:styleId="835">
    <w:name w:val="Heading 8"/>
    <w:basedOn w:val="979"/>
    <w:next w:val="979"/>
    <w:link w:val="836"/>
    <w:uiPriority w:val="9"/>
    <w:unhideWhenUsed/>
    <w:qFormat/>
    <w:pPr>
      <w:keepLines/>
      <w:keepNext/>
      <w:spacing w:before="320" w:after="200"/>
      <w:outlineLvl w:val="7"/>
    </w:pPr>
    <w:rPr>
      <w:rFonts w:ascii="Arial" w:hAnsi="Arial" w:eastAsia="Arial" w:cs="Arial"/>
      <w:i/>
      <w:iCs/>
      <w:sz w:val="22"/>
      <w:szCs w:val="22"/>
    </w:rPr>
  </w:style>
  <w:style w:type="character" w:styleId="836">
    <w:name w:val="Heading 8 Char"/>
    <w:basedOn w:val="986"/>
    <w:link w:val="835"/>
    <w:uiPriority w:val="9"/>
    <w:rPr>
      <w:rFonts w:ascii="Arial" w:hAnsi="Arial" w:eastAsia="Arial" w:cs="Arial"/>
      <w:i/>
      <w:iCs/>
      <w:sz w:val="22"/>
      <w:szCs w:val="22"/>
    </w:rPr>
  </w:style>
  <w:style w:type="paragraph" w:styleId="837">
    <w:name w:val="Heading 9"/>
    <w:basedOn w:val="979"/>
    <w:next w:val="979"/>
    <w:link w:val="838"/>
    <w:uiPriority w:val="9"/>
    <w:unhideWhenUsed/>
    <w:qFormat/>
    <w:pPr>
      <w:keepLines/>
      <w:keepNext/>
      <w:spacing w:before="320" w:after="200"/>
      <w:outlineLvl w:val="8"/>
    </w:pPr>
    <w:rPr>
      <w:rFonts w:ascii="Arial" w:hAnsi="Arial" w:eastAsia="Arial" w:cs="Arial"/>
      <w:i/>
      <w:iCs/>
      <w:sz w:val="21"/>
      <w:szCs w:val="21"/>
    </w:rPr>
  </w:style>
  <w:style w:type="character" w:styleId="838">
    <w:name w:val="Heading 9 Char"/>
    <w:basedOn w:val="986"/>
    <w:link w:val="837"/>
    <w:uiPriority w:val="9"/>
    <w:rPr>
      <w:rFonts w:ascii="Arial" w:hAnsi="Arial" w:eastAsia="Arial" w:cs="Arial"/>
      <w:i/>
      <w:iCs/>
      <w:sz w:val="21"/>
      <w:szCs w:val="21"/>
    </w:rPr>
  </w:style>
  <w:style w:type="paragraph" w:styleId="839">
    <w:name w:val="No Spacing"/>
    <w:uiPriority w:val="1"/>
    <w:qFormat/>
    <w:pPr>
      <w:spacing w:before="0" w:after="0" w:line="240" w:lineRule="auto"/>
    </w:pPr>
  </w:style>
  <w:style w:type="character" w:styleId="840">
    <w:name w:val="Title Char"/>
    <w:basedOn w:val="986"/>
    <w:link w:val="1029"/>
    <w:uiPriority w:val="10"/>
    <w:rPr>
      <w:sz w:val="48"/>
      <w:szCs w:val="48"/>
    </w:rPr>
  </w:style>
  <w:style w:type="paragraph" w:styleId="841">
    <w:name w:val="Subtitle"/>
    <w:basedOn w:val="979"/>
    <w:next w:val="979"/>
    <w:link w:val="842"/>
    <w:uiPriority w:val="11"/>
    <w:qFormat/>
    <w:pPr>
      <w:spacing w:before="200" w:after="200"/>
    </w:pPr>
    <w:rPr>
      <w:sz w:val="24"/>
      <w:szCs w:val="24"/>
    </w:rPr>
  </w:style>
  <w:style w:type="character" w:styleId="842">
    <w:name w:val="Subtitle Char"/>
    <w:basedOn w:val="986"/>
    <w:link w:val="841"/>
    <w:uiPriority w:val="11"/>
    <w:rPr>
      <w:sz w:val="24"/>
      <w:szCs w:val="24"/>
    </w:rPr>
  </w:style>
  <w:style w:type="paragraph" w:styleId="843">
    <w:name w:val="Quote"/>
    <w:basedOn w:val="979"/>
    <w:next w:val="979"/>
    <w:link w:val="844"/>
    <w:uiPriority w:val="29"/>
    <w:qFormat/>
    <w:pPr>
      <w:ind w:left="720" w:right="720"/>
    </w:pPr>
    <w:rPr>
      <w:i/>
    </w:rPr>
  </w:style>
  <w:style w:type="character" w:styleId="844">
    <w:name w:val="Quote Char"/>
    <w:link w:val="843"/>
    <w:uiPriority w:val="29"/>
    <w:rPr>
      <w:i/>
    </w:rPr>
  </w:style>
  <w:style w:type="paragraph" w:styleId="845">
    <w:name w:val="Intense Quote"/>
    <w:basedOn w:val="979"/>
    <w:next w:val="979"/>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name w:val="Intense Quote Char"/>
    <w:link w:val="845"/>
    <w:uiPriority w:val="30"/>
    <w:rPr>
      <w:i/>
    </w:rPr>
  </w:style>
  <w:style w:type="character" w:styleId="847">
    <w:name w:val="Header Char"/>
    <w:basedOn w:val="986"/>
    <w:link w:val="1013"/>
    <w:uiPriority w:val="99"/>
  </w:style>
  <w:style w:type="character" w:styleId="848">
    <w:name w:val="Footer Char"/>
    <w:basedOn w:val="986"/>
    <w:link w:val="1012"/>
    <w:uiPriority w:val="99"/>
  </w:style>
  <w:style w:type="paragraph" w:styleId="849">
    <w:name w:val="Caption"/>
    <w:basedOn w:val="979"/>
    <w:next w:val="979"/>
    <w:uiPriority w:val="35"/>
    <w:semiHidden/>
    <w:unhideWhenUsed/>
    <w:qFormat/>
    <w:pPr>
      <w:spacing w:line="276" w:lineRule="auto"/>
    </w:pPr>
    <w:rPr>
      <w:b/>
      <w:bCs/>
      <w:color w:val="4f81bd" w:themeColor="accent1"/>
      <w:sz w:val="18"/>
      <w:szCs w:val="18"/>
    </w:rPr>
  </w:style>
  <w:style w:type="character" w:styleId="850">
    <w:name w:val="Caption Char"/>
    <w:basedOn w:val="849"/>
    <w:link w:val="1012"/>
    <w:uiPriority w:val="99"/>
  </w:style>
  <w:style w:type="table" w:styleId="851">
    <w:name w:val="Table Grid Light"/>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basedOn w:val="9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basedOn w:val="9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basedOn w:val="9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basedOn w:val="9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basedOn w:val="9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basedOn w:val="9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basedOn w:val="9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basedOn w:val="9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basedOn w:val="9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7">
    <w:name w:val="Grid Table 5 Dark - Accent 2"/>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8">
    <w:name w:val="Grid Table 5 Dark - Accent 3"/>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9">
    <w:name w:val="Grid Table 5 Dark- Accent 4"/>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0">
    <w:name w:val="Grid Table 5 Dark - Accent 5"/>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1">
    <w:name w:val="Grid Table 5 Dark - Accent 6"/>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2">
    <w:name w:val="Grid Table 6 Colorful"/>
    <w:basedOn w:val="9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basedOn w:val="9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basedOn w:val="9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basedOn w:val="9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6 Colorful - Accent 6"/>
    <w:basedOn w:val="9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7 Colorful"/>
    <w:basedOn w:val="9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basedOn w:val="9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basedOn w:val="9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basedOn w:val="9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basedOn w:val="9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basedOn w:val="9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basedOn w:val="9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basedOn w:val="9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basedOn w:val="9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basedOn w:val="9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basedOn w:val="9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basedOn w:val="9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basedOn w:val="9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basedOn w:val="9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basedOn w:val="9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basedOn w:val="9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basedOn w:val="9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basedOn w:val="9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basedOn w:val="9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basedOn w:val="9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basedOn w:val="9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basedOn w:val="9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3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3">
    <w:name w:val="List Table 3 - Accent 3"/>
    <w:basedOn w:val="9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4">
    <w:name w:val="List Table 3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5">
    <w:name w:val="List Table 3 - Accent 5"/>
    <w:basedOn w:val="9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6">
    <w:name w:val="List Table 3 - Accent 6"/>
    <w:basedOn w:val="9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7">
    <w:name w:val="List Table 4"/>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basedOn w:val="9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4 - Accent 2"/>
    <w:basedOn w:val="9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0">
    <w:name w:val="List Table 4 - Accent 3"/>
    <w:basedOn w:val="9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1">
    <w:name w:val="List Table 4 - Accent 4"/>
    <w:basedOn w:val="9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2">
    <w:name w:val="List Table 4 - Accent 5"/>
    <w:basedOn w:val="9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3">
    <w:name w:val="List Table 4 - Accent 6"/>
    <w:basedOn w:val="9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4">
    <w:name w:val="List Table 5 Dark"/>
    <w:basedOn w:val="9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basedOn w:val="9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basedOn w:val="9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basedOn w:val="9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basedOn w:val="9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basedOn w:val="9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basedOn w:val="9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basedOn w:val="9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basedOn w:val="9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3">
    <w:name w:val="List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4">
    <w:name w:val="List Table 6 Colorful - Accent 3"/>
    <w:basedOn w:val="9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5">
    <w:name w:val="List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6">
    <w:name w:val="List Table 6 Colorful - Accent 5"/>
    <w:basedOn w:val="9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7">
    <w:name w:val="List Table 6 Colorful - Accent 6"/>
    <w:basedOn w:val="9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8">
    <w:name w:val="List Table 7 Colorful"/>
    <w:basedOn w:val="9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basedOn w:val="9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0">
    <w:name w:val="List Table 7 Colorful - Accent 2"/>
    <w:basedOn w:val="9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1">
    <w:name w:val="List Table 7 Colorful - Accent 3"/>
    <w:basedOn w:val="9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2">
    <w:name w:val="List Table 7 Colorful - Accent 4"/>
    <w:basedOn w:val="9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3">
    <w:name w:val="List Table 7 Colorful - Accent 5"/>
    <w:basedOn w:val="9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4">
    <w:name w:val="List Table 7 Colorful - Accent 6"/>
    <w:basedOn w:val="9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5">
    <w:name w:val="Lined - Accent"/>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Lined - Accent 2"/>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Lined - Accent 3"/>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Lined - Accent 4"/>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Lined - Accent 5"/>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Lined - Accent 6"/>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amp; Lined - Accent"/>
    <w:basedOn w:val="9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basedOn w:val="9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Bordered &amp; Lined - Accent 2"/>
    <w:basedOn w:val="9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Bordered &amp; Lined - Accent 3"/>
    <w:basedOn w:val="9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Bordered &amp; Lined - Accent 4"/>
    <w:basedOn w:val="9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Bordered &amp; Lined - Accent 5"/>
    <w:basedOn w:val="9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Bordered &amp; Lined - Accent 6"/>
    <w:basedOn w:val="9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w:basedOn w:val="9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Footnote Text Char"/>
    <w:link w:val="1018"/>
    <w:uiPriority w:val="99"/>
    <w:rPr>
      <w:sz w:val="18"/>
    </w:rPr>
  </w:style>
  <w:style w:type="character" w:styleId="977">
    <w:name w:val="Endnote Text Char"/>
    <w:link w:val="1010"/>
    <w:uiPriority w:val="99"/>
    <w:rPr>
      <w:sz w:val="20"/>
    </w:rPr>
  </w:style>
  <w:style w:type="paragraph" w:styleId="978">
    <w:name w:val="TOC Heading"/>
    <w:uiPriority w:val="39"/>
    <w:unhideWhenUsed/>
  </w:style>
  <w:style w:type="paragraph" w:styleId="979"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80">
    <w:name w:val="Heading 1"/>
    <w:basedOn w:val="979"/>
    <w:next w:val="979"/>
    <w:link w:val="1041"/>
    <w:uiPriority w:val="0"/>
    <w:qFormat/>
    <w:pPr>
      <w:keepLines/>
      <w:keepNext/>
      <w:spacing w:before="340" w:after="330" w:line="578" w:lineRule="auto"/>
      <w:outlineLvl w:val="0"/>
    </w:pPr>
    <w:rPr>
      <w:b/>
      <w:sz w:val="44"/>
    </w:rPr>
  </w:style>
  <w:style w:type="paragraph" w:styleId="981">
    <w:name w:val="Heading 2"/>
    <w:basedOn w:val="979"/>
    <w:next w:val="979"/>
    <w:link w:val="1042"/>
    <w:uiPriority w:val="0"/>
    <w:qFormat/>
    <w:pPr>
      <w:jc w:val="left"/>
      <w:keepLines/>
      <w:keepNext/>
      <w:outlineLvl w:val="1"/>
    </w:pPr>
    <w:rPr>
      <w:rFonts w:asciiTheme="minorEastAsia" w:hAnsiTheme="minorEastAsia" w:eastAsiaTheme="minorEastAsia"/>
      <w:b/>
      <w:bCs/>
      <w:sz w:val="21"/>
      <w:szCs w:val="21"/>
    </w:rPr>
  </w:style>
  <w:style w:type="paragraph" w:styleId="982">
    <w:name w:val="Heading 3"/>
    <w:basedOn w:val="979"/>
    <w:next w:val="979"/>
    <w:link w:val="1043"/>
    <w:uiPriority w:val="0"/>
    <w:qFormat/>
    <w:pPr>
      <w:jc w:val="left"/>
      <w:keepLines/>
      <w:keepNext/>
      <w:outlineLvl w:val="2"/>
    </w:pPr>
    <w:rPr>
      <w:b/>
    </w:rPr>
  </w:style>
  <w:style w:type="paragraph" w:styleId="983">
    <w:name w:val="Heading 4"/>
    <w:basedOn w:val="979"/>
    <w:next w:val="979"/>
    <w:link w:val="1044"/>
    <w:uiPriority w:val="0"/>
    <w:qFormat/>
    <w:pPr>
      <w:keepLines/>
      <w:keepNext/>
      <w:spacing w:before="280" w:after="290" w:line="376" w:lineRule="auto"/>
      <w:outlineLvl w:val="3"/>
    </w:pPr>
    <w:rPr>
      <w:rFonts w:ascii="Arial" w:hAnsi="Arial" w:eastAsia="黑体"/>
      <w:b/>
      <w:bCs/>
      <w:sz w:val="28"/>
      <w:szCs w:val="28"/>
    </w:rPr>
  </w:style>
  <w:style w:type="paragraph" w:styleId="984">
    <w:name w:val="Heading 5"/>
    <w:basedOn w:val="988"/>
    <w:next w:val="989"/>
    <w:link w:val="1045"/>
    <w:uiPriority w:val="0"/>
    <w:unhideWhenUsed/>
    <w:qFormat/>
    <w:pPr>
      <w:keepLines/>
      <w:keepNext/>
      <w:spacing w:before="280" w:after="290" w:line="376" w:lineRule="auto"/>
      <w:tabs>
        <w:tab w:val="left" w:pos="780" w:leader="none"/>
      </w:tabs>
      <w:outlineLvl w:val="4"/>
    </w:pPr>
    <w:rPr>
      <w:b/>
      <w:bCs/>
      <w:sz w:val="28"/>
      <w:szCs w:val="28"/>
    </w:rPr>
  </w:style>
  <w:style w:type="paragraph" w:styleId="985">
    <w:name w:val="Heading 6"/>
    <w:basedOn w:val="979"/>
    <w:next w:val="979"/>
    <w:link w:val="1046"/>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character" w:styleId="986" w:default="1">
    <w:name w:val="Default Paragraph Font"/>
    <w:uiPriority w:val="1"/>
    <w:semiHidden/>
    <w:unhideWhenUsed/>
    <w:qFormat/>
  </w:style>
  <w:style w:type="table" w:styleId="987" w:default="1">
    <w:name w:val="Normal Table"/>
    <w:uiPriority w:val="99"/>
    <w:semiHidden/>
    <w:unhideWhenUsed/>
    <w:qFormat/>
    <w:tblPr>
      <w:tblCellMar>
        <w:left w:w="108" w:type="dxa"/>
        <w:top w:w="0" w:type="dxa"/>
        <w:right w:w="108" w:type="dxa"/>
        <w:bottom w:w="0" w:type="dxa"/>
      </w:tblCellMar>
    </w:tblPr>
  </w:style>
  <w:style w:type="paragraph" w:styleId="988">
    <w:name w:val="List Number 2"/>
    <w:basedOn w:val="979"/>
    <w:uiPriority w:val="0"/>
    <w:semiHidden/>
    <w:unhideWhenUsed/>
    <w:qFormat/>
    <w:pPr>
      <w:numPr>
        <w:ilvl w:val="0"/>
        <w:numId w:val="1"/>
      </w:numPr>
    </w:pPr>
  </w:style>
  <w:style w:type="paragraph" w:styleId="989">
    <w:name w:val="Normal (Web)"/>
    <w:basedOn w:val="979"/>
    <w:uiPriority w:val="0"/>
    <w:qFormat/>
    <w:pPr>
      <w:jc w:val="left"/>
      <w:spacing w:before="100" w:beforeAutospacing="1" w:after="100" w:afterAutospacing="1"/>
    </w:pPr>
    <w:rPr>
      <w:rFonts w:ascii="Calibri" w:hAnsi="Calibri"/>
      <w:sz w:val="24"/>
      <w:szCs w:val="22"/>
    </w:rPr>
  </w:style>
  <w:style w:type="paragraph" w:styleId="990">
    <w:name w:val="toc 7"/>
    <w:basedOn w:val="980"/>
    <w:next w:val="979"/>
    <w:uiPriority w:val="0"/>
    <w:semiHidden/>
    <w:qFormat/>
    <w:pPr>
      <w:ind w:left="2520"/>
    </w:pPr>
  </w:style>
  <w:style w:type="paragraph" w:styleId="991">
    <w:name w:val="index 8"/>
    <w:basedOn w:val="979"/>
    <w:next w:val="979"/>
    <w:uiPriority w:val="0"/>
    <w:semiHidden/>
    <w:qFormat/>
    <w:pPr>
      <w:ind w:left="2940"/>
    </w:pPr>
  </w:style>
  <w:style w:type="paragraph" w:styleId="992">
    <w:name w:val="List Number"/>
    <w:basedOn w:val="979"/>
    <w:uiPriority w:val="0"/>
    <w:qFormat/>
    <w:pPr>
      <w:ind w:left="502" w:hanging="360"/>
      <w:tabs>
        <w:tab w:val="left" w:pos="420" w:leader="none"/>
      </w:tabs>
    </w:pPr>
    <w:rPr>
      <w:rFonts w:eastAsia="宋体"/>
      <w:sz w:val="21"/>
    </w:rPr>
  </w:style>
  <w:style w:type="paragraph" w:styleId="993">
    <w:name w:val="Normal Indent"/>
    <w:basedOn w:val="979"/>
    <w:next w:val="979"/>
    <w:link w:val="1049"/>
    <w:uiPriority w:val="0"/>
    <w:qFormat/>
    <w:pPr>
      <w:ind w:firstLine="420"/>
      <w:jc w:val="left"/>
    </w:pPr>
    <w:rPr>
      <w:sz w:val="24"/>
    </w:rPr>
  </w:style>
  <w:style w:type="paragraph" w:styleId="994">
    <w:name w:val="index 5"/>
    <w:basedOn w:val="979"/>
    <w:next w:val="979"/>
    <w:uiPriority w:val="0"/>
    <w:semiHidden/>
    <w:qFormat/>
    <w:pPr>
      <w:ind w:left="1680"/>
    </w:pPr>
  </w:style>
  <w:style w:type="paragraph" w:styleId="995">
    <w:name w:val="Document Map"/>
    <w:basedOn w:val="979"/>
    <w:link w:val="1050"/>
    <w:uiPriority w:val="0"/>
    <w:qFormat/>
    <w:pPr>
      <w:shd w:val="clear" w:color="auto" w:fill="000080"/>
    </w:pPr>
  </w:style>
  <w:style w:type="paragraph" w:styleId="996">
    <w:name w:val="annotation text"/>
    <w:basedOn w:val="979"/>
    <w:link w:val="1047"/>
    <w:uiPriority w:val="0"/>
    <w:qFormat/>
    <w:pPr>
      <w:jc w:val="left"/>
    </w:pPr>
  </w:style>
  <w:style w:type="paragraph" w:styleId="997">
    <w:name w:val="index 6"/>
    <w:basedOn w:val="979"/>
    <w:next w:val="979"/>
    <w:uiPriority w:val="0"/>
    <w:semiHidden/>
    <w:qFormat/>
    <w:pPr>
      <w:ind w:left="2100"/>
    </w:pPr>
  </w:style>
  <w:style w:type="paragraph" w:styleId="998">
    <w:name w:val="Body Text"/>
    <w:basedOn w:val="979"/>
    <w:link w:val="1051"/>
    <w:uiPriority w:val="0"/>
    <w:qFormat/>
    <w:pPr>
      <w:spacing w:line="400" w:lineRule="exact"/>
    </w:pPr>
    <w:rPr>
      <w:rFonts w:ascii="楷体_GB2312"/>
      <w:sz w:val="28"/>
    </w:rPr>
  </w:style>
  <w:style w:type="paragraph" w:styleId="999">
    <w:name w:val="Body Text Indent"/>
    <w:basedOn w:val="979"/>
    <w:link w:val="1052"/>
    <w:uiPriority w:val="0"/>
    <w:qFormat/>
    <w:pPr>
      <w:ind w:left="570"/>
      <w:spacing w:line="520" w:lineRule="exact"/>
    </w:pPr>
    <w:rPr>
      <w:rFonts w:ascii="方正仿宋简体" w:hAnsi="创艺简仿宋" w:eastAsia="方正仿宋简体"/>
      <w:sz w:val="24"/>
    </w:rPr>
  </w:style>
  <w:style w:type="paragraph" w:styleId="1000">
    <w:name w:val="List 2"/>
    <w:basedOn w:val="980"/>
    <w:next w:val="990"/>
    <w:uiPriority w:val="0"/>
    <w:qFormat/>
    <w:pPr>
      <w:ind w:left="100" w:firstLine="3640"/>
      <w:spacing w:before="0" w:after="0"/>
    </w:pPr>
    <w:rPr>
      <w:rFonts w:ascii="Times New Roman" w:hAnsi="Times New Roman" w:eastAsia="宋体" w:cs="Times New Roman"/>
    </w:rPr>
  </w:style>
  <w:style w:type="paragraph" w:styleId="1001">
    <w:name w:val="Block Text"/>
    <w:basedOn w:val="980"/>
    <w:next w:val="979"/>
    <w:uiPriority w:val="0"/>
    <w:qFormat/>
    <w:pPr>
      <w:ind w:left="630" w:right="-609" w:firstLine="420"/>
      <w:spacing w:line="360" w:lineRule="auto"/>
    </w:pPr>
    <w:rPr>
      <w:rFonts w:hint="eastAsia" w:ascii="仿宋_GB2312" w:eastAsia="仿宋_GB2312"/>
      <w:szCs w:val="20"/>
    </w:rPr>
  </w:style>
  <w:style w:type="paragraph" w:styleId="1002">
    <w:name w:val="index 4"/>
    <w:basedOn w:val="979"/>
    <w:next w:val="979"/>
    <w:uiPriority w:val="0"/>
    <w:semiHidden/>
    <w:qFormat/>
    <w:pPr>
      <w:ind w:left="1260"/>
    </w:pPr>
  </w:style>
  <w:style w:type="paragraph" w:styleId="1003">
    <w:name w:val="toc 5"/>
    <w:basedOn w:val="979"/>
    <w:next w:val="979"/>
    <w:uiPriority w:val="0"/>
    <w:semiHidden/>
    <w:qFormat/>
    <w:pPr>
      <w:ind w:left="1680"/>
    </w:pPr>
  </w:style>
  <w:style w:type="paragraph" w:styleId="1004">
    <w:name w:val="toc 3"/>
    <w:basedOn w:val="979"/>
    <w:next w:val="979"/>
    <w:uiPriority w:val="0"/>
    <w:semiHidden/>
    <w:qFormat/>
    <w:pPr>
      <w:ind w:left="840"/>
    </w:pPr>
  </w:style>
  <w:style w:type="paragraph" w:styleId="1005">
    <w:name w:val="Plain Text"/>
    <w:basedOn w:val="979"/>
    <w:link w:val="1053"/>
    <w:uiPriority w:val="0"/>
    <w:qFormat/>
    <w:rPr>
      <w:rFonts w:ascii="宋体" w:hAnsi="Courier New"/>
    </w:rPr>
  </w:style>
  <w:style w:type="paragraph" w:styleId="1006">
    <w:name w:val="toc 8"/>
    <w:basedOn w:val="979"/>
    <w:next w:val="979"/>
    <w:uiPriority w:val="0"/>
    <w:semiHidden/>
    <w:qFormat/>
    <w:pPr>
      <w:ind w:left="2940"/>
    </w:pPr>
  </w:style>
  <w:style w:type="paragraph" w:styleId="1007">
    <w:name w:val="index 3"/>
    <w:basedOn w:val="979"/>
    <w:next w:val="979"/>
    <w:uiPriority w:val="0"/>
    <w:semiHidden/>
    <w:qFormat/>
    <w:pPr>
      <w:ind w:left="840"/>
    </w:pPr>
  </w:style>
  <w:style w:type="paragraph" w:styleId="1008">
    <w:name w:val="Date"/>
    <w:basedOn w:val="979"/>
    <w:next w:val="979"/>
    <w:link w:val="1054"/>
    <w:uiPriority w:val="0"/>
    <w:qFormat/>
    <w:rPr>
      <w:rFonts w:ascii="宋体" w:hAnsi="宋体"/>
      <w:sz w:val="24"/>
    </w:rPr>
  </w:style>
  <w:style w:type="paragraph" w:styleId="1009">
    <w:name w:val="Body Text Indent 2"/>
    <w:basedOn w:val="979"/>
    <w:link w:val="1055"/>
    <w:uiPriority w:val="0"/>
    <w:qFormat/>
    <w:pPr>
      <w:ind w:firstLine="502"/>
      <w:spacing w:line="360" w:lineRule="auto"/>
      <w:tabs>
        <w:tab w:val="left" w:pos="0" w:leader="none"/>
      </w:tabs>
    </w:pPr>
    <w:rPr>
      <w:rFonts w:ascii="宋体" w:eastAsia="宋体"/>
      <w:b/>
      <w:bCs/>
      <w:sz w:val="24"/>
    </w:rPr>
  </w:style>
  <w:style w:type="paragraph" w:styleId="1010">
    <w:name w:val="endnote text"/>
    <w:basedOn w:val="979"/>
    <w:link w:val="1056"/>
    <w:uiPriority w:val="0"/>
    <w:qFormat/>
    <w:pPr>
      <w:jc w:val="left"/>
    </w:pPr>
  </w:style>
  <w:style w:type="paragraph" w:styleId="1011">
    <w:name w:val="Balloon Text"/>
    <w:basedOn w:val="979"/>
    <w:link w:val="1057"/>
    <w:uiPriority w:val="99"/>
    <w:qFormat/>
    <w:rPr>
      <w:sz w:val="18"/>
      <w:szCs w:val="18"/>
    </w:rPr>
  </w:style>
  <w:style w:type="paragraph" w:styleId="1012">
    <w:name w:val="Footer"/>
    <w:basedOn w:val="979"/>
    <w:link w:val="1058"/>
    <w:uiPriority w:val="99"/>
    <w:qFormat/>
    <w:pPr>
      <w:jc w:val="left"/>
      <w:tabs>
        <w:tab w:val="center" w:pos="4153" w:leader="none"/>
        <w:tab w:val="right" w:pos="8306" w:leader="none"/>
      </w:tabs>
    </w:pPr>
    <w:rPr>
      <w:sz w:val="18"/>
    </w:rPr>
  </w:style>
  <w:style w:type="paragraph" w:styleId="1013">
    <w:name w:val="Header"/>
    <w:basedOn w:val="979"/>
    <w:link w:val="1059"/>
    <w:uiPriority w:val="99"/>
    <w:qFormat/>
    <w:pPr>
      <w:jc w:val="center"/>
      <w:tabs>
        <w:tab w:val="center" w:pos="4153" w:leader="none"/>
        <w:tab w:val="right" w:pos="8306" w:leader="none"/>
      </w:tabs>
      <w:pBdr>
        <w:bottom w:val="single" w:color="auto" w:sz="6" w:space="1"/>
      </w:pBdr>
    </w:pPr>
    <w:rPr>
      <w:sz w:val="18"/>
    </w:rPr>
  </w:style>
  <w:style w:type="paragraph" w:styleId="1014">
    <w:name w:val="toc 1"/>
    <w:basedOn w:val="979"/>
    <w:next w:val="979"/>
    <w:uiPriority w:val="39"/>
    <w:qFormat/>
    <w:pPr>
      <w:jc w:val="left"/>
    </w:pPr>
    <w:rPr>
      <w:sz w:val="24"/>
    </w:rPr>
  </w:style>
  <w:style w:type="paragraph" w:styleId="1015">
    <w:name w:val="toc 4"/>
    <w:basedOn w:val="979"/>
    <w:next w:val="979"/>
    <w:uiPriority w:val="0"/>
    <w:semiHidden/>
    <w:qFormat/>
    <w:pPr>
      <w:ind w:left="1260"/>
    </w:pPr>
  </w:style>
  <w:style w:type="paragraph" w:styleId="1016">
    <w:name w:val="index heading"/>
    <w:basedOn w:val="979"/>
    <w:next w:val="1017"/>
    <w:uiPriority w:val="0"/>
    <w:semiHidden/>
    <w:qFormat/>
  </w:style>
  <w:style w:type="paragraph" w:styleId="1017">
    <w:name w:val="index 1"/>
    <w:basedOn w:val="979"/>
    <w:next w:val="979"/>
    <w:uiPriority w:val="0"/>
    <w:semiHidden/>
    <w:qFormat/>
  </w:style>
  <w:style w:type="paragraph" w:styleId="1018">
    <w:name w:val="footnote text"/>
    <w:basedOn w:val="980"/>
    <w:next w:val="1001"/>
    <w:link w:val="1060"/>
    <w:uiPriority w:val="0"/>
    <w:semiHidden/>
    <w:qFormat/>
    <w:pPr>
      <w:jc w:val="left"/>
    </w:pPr>
    <w:rPr>
      <w:sz w:val="18"/>
    </w:rPr>
  </w:style>
  <w:style w:type="paragraph" w:styleId="1019">
    <w:name w:val="toc 6"/>
    <w:basedOn w:val="979"/>
    <w:next w:val="979"/>
    <w:uiPriority w:val="0"/>
    <w:semiHidden/>
    <w:qFormat/>
    <w:pPr>
      <w:ind w:left="2100"/>
    </w:pPr>
  </w:style>
  <w:style w:type="paragraph" w:styleId="1020">
    <w:name w:val="Body Text Indent 3"/>
    <w:basedOn w:val="979"/>
    <w:link w:val="1061"/>
    <w:uiPriority w:val="0"/>
    <w:qFormat/>
    <w:pPr>
      <w:ind w:firstLine="617"/>
      <w:spacing w:line="360" w:lineRule="auto"/>
    </w:pPr>
    <w:rPr>
      <w:rFonts w:eastAsia="宋体"/>
      <w:sz w:val="24"/>
      <w:szCs w:val="24"/>
    </w:rPr>
  </w:style>
  <w:style w:type="paragraph" w:styleId="1021">
    <w:name w:val="index 7"/>
    <w:basedOn w:val="979"/>
    <w:next w:val="979"/>
    <w:uiPriority w:val="0"/>
    <w:semiHidden/>
    <w:qFormat/>
    <w:pPr>
      <w:ind w:left="2520"/>
    </w:pPr>
  </w:style>
  <w:style w:type="paragraph" w:styleId="1022">
    <w:name w:val="index 9"/>
    <w:basedOn w:val="979"/>
    <w:next w:val="979"/>
    <w:uiPriority w:val="0"/>
    <w:semiHidden/>
    <w:qFormat/>
    <w:pPr>
      <w:ind w:left="3360"/>
    </w:pPr>
  </w:style>
  <w:style w:type="paragraph" w:styleId="1023">
    <w:name w:val="table of figures"/>
    <w:basedOn w:val="979"/>
    <w:next w:val="979"/>
    <w:uiPriority w:val="0"/>
    <w:semiHidden/>
    <w:qFormat/>
    <w:pPr>
      <w:ind w:left="420" w:hanging="420"/>
      <w:jc w:val="left"/>
    </w:pPr>
    <w:rPr>
      <w:smallCaps/>
      <w:sz w:val="24"/>
    </w:rPr>
  </w:style>
  <w:style w:type="paragraph" w:styleId="1024">
    <w:name w:val="toc 2"/>
    <w:basedOn w:val="979"/>
    <w:next w:val="979"/>
    <w:uiPriority w:val="0"/>
    <w:semiHidden/>
    <w:qFormat/>
    <w:pPr>
      <w:ind w:left="420"/>
    </w:pPr>
  </w:style>
  <w:style w:type="paragraph" w:styleId="1025">
    <w:name w:val="toc 9"/>
    <w:basedOn w:val="979"/>
    <w:next w:val="979"/>
    <w:uiPriority w:val="0"/>
    <w:semiHidden/>
    <w:qFormat/>
    <w:pPr>
      <w:ind w:left="3360"/>
    </w:pPr>
  </w:style>
  <w:style w:type="paragraph" w:styleId="1026">
    <w:name w:val="Body Text 2"/>
    <w:basedOn w:val="979"/>
    <w:link w:val="1062"/>
    <w:uiPriority w:val="0"/>
    <w:qFormat/>
    <w:pPr>
      <w:jc w:val="center"/>
      <w:spacing w:line="360" w:lineRule="auto"/>
    </w:pPr>
    <w:rPr>
      <w:rFonts w:eastAsia="宋体"/>
      <w:color w:val="ff00ff"/>
      <w:sz w:val="20"/>
    </w:rPr>
  </w:style>
  <w:style w:type="paragraph" w:styleId="1027">
    <w:name w:val="HTML Preformatted"/>
    <w:basedOn w:val="979"/>
    <w:link w:val="10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28">
    <w:name w:val="index 2"/>
    <w:basedOn w:val="979"/>
    <w:next w:val="979"/>
    <w:uiPriority w:val="0"/>
    <w:semiHidden/>
    <w:qFormat/>
    <w:pPr>
      <w:ind w:left="420"/>
    </w:pPr>
  </w:style>
  <w:style w:type="paragraph" w:styleId="1029">
    <w:name w:val="Title"/>
    <w:basedOn w:val="979"/>
    <w:next w:val="979"/>
    <w:link w:val="1064"/>
    <w:uiPriority w:val="0"/>
    <w:qFormat/>
    <w:pPr>
      <w:jc w:val="center"/>
      <w:spacing w:before="240" w:after="60"/>
      <w:outlineLvl w:val="0"/>
    </w:pPr>
    <w:rPr>
      <w:rFonts w:ascii="Cambria" w:hAnsi="Cambria" w:eastAsia="宋体"/>
      <w:b/>
      <w:bCs/>
      <w:sz w:val="32"/>
      <w:szCs w:val="32"/>
    </w:rPr>
  </w:style>
  <w:style w:type="paragraph" w:styleId="1030">
    <w:name w:val="annotation subject"/>
    <w:basedOn w:val="996"/>
    <w:next w:val="996"/>
    <w:link w:val="1048"/>
    <w:uiPriority w:val="99"/>
    <w:qFormat/>
    <w:rPr>
      <w:b/>
      <w:bCs/>
    </w:rPr>
  </w:style>
  <w:style w:type="paragraph" w:styleId="1031">
    <w:name w:val="Body Text First Indent 2"/>
    <w:basedOn w:val="999"/>
    <w:link w:val="1180"/>
    <w:uiPriority w:val="0"/>
    <w:semiHidden/>
    <w:unhideWhenUsed/>
    <w:qFormat/>
    <w:pPr>
      <w:ind w:left="420" w:firstLine="420"/>
      <w:spacing w:after="120" w:line="240" w:lineRule="auto"/>
    </w:pPr>
    <w:rPr>
      <w:rFonts w:ascii="Times New Roman" w:hAnsi="Times New Roman" w:eastAsia="楷体_GB2312"/>
      <w:sz w:val="26"/>
    </w:rPr>
  </w:style>
  <w:style w:type="table" w:styleId="1032">
    <w:name w:val="Table Grid"/>
    <w:basedOn w:val="98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3">
    <w:name w:val="Strong"/>
    <w:uiPriority w:val="0"/>
    <w:qFormat/>
    <w:rPr>
      <w:b/>
    </w:rPr>
  </w:style>
  <w:style w:type="character" w:styleId="1034">
    <w:name w:val="endnote reference"/>
    <w:uiPriority w:val="0"/>
    <w:qFormat/>
    <w:rPr>
      <w:vertAlign w:val="superscript"/>
    </w:rPr>
  </w:style>
  <w:style w:type="character" w:styleId="1035">
    <w:name w:val="page number"/>
    <w:basedOn w:val="986"/>
    <w:uiPriority w:val="0"/>
    <w:qFormat/>
  </w:style>
  <w:style w:type="character" w:styleId="1036">
    <w:name w:val="Emphasis"/>
    <w:basedOn w:val="986"/>
    <w:uiPriority w:val="20"/>
    <w:qFormat/>
    <w:rPr>
      <w:i/>
      <w:iCs/>
    </w:rPr>
  </w:style>
  <w:style w:type="character" w:styleId="1037">
    <w:name w:val="HTML Typewriter"/>
    <w:uiPriority w:val="0"/>
    <w:qFormat/>
    <w:rPr>
      <w:rFonts w:ascii="黑体" w:hAnsi="Courier New" w:eastAsia="黑体" w:cs="Courier New"/>
      <w:sz w:val="14"/>
      <w:szCs w:val="14"/>
    </w:rPr>
  </w:style>
  <w:style w:type="character" w:styleId="1038">
    <w:name w:val="Hyperlink"/>
    <w:uiPriority w:val="99"/>
    <w:unhideWhenUsed/>
    <w:qFormat/>
    <w:rPr>
      <w:color w:val="0000ff"/>
      <w:u w:val="single"/>
    </w:rPr>
  </w:style>
  <w:style w:type="character" w:styleId="1039">
    <w:name w:val="annotation reference"/>
    <w:basedOn w:val="986"/>
    <w:uiPriority w:val="0"/>
    <w:qFormat/>
    <w:rPr>
      <w:sz w:val="21"/>
      <w:szCs w:val="21"/>
    </w:rPr>
  </w:style>
  <w:style w:type="character" w:styleId="1040">
    <w:name w:val="footnote reference"/>
    <w:uiPriority w:val="0"/>
    <w:semiHidden/>
    <w:qFormat/>
    <w:rPr>
      <w:vertAlign w:val="superscript"/>
    </w:rPr>
  </w:style>
  <w:style w:type="character" w:styleId="1041" w:customStyle="1">
    <w:name w:val="标题 1 字符"/>
    <w:basedOn w:val="986"/>
    <w:link w:val="980"/>
    <w:uiPriority w:val="0"/>
    <w:qFormat/>
    <w:rPr>
      <w:rFonts w:eastAsia="楷体_GB2312"/>
      <w:b/>
      <w:sz w:val="44"/>
    </w:rPr>
  </w:style>
  <w:style w:type="character" w:styleId="1042" w:customStyle="1">
    <w:name w:val="标题 2 字符"/>
    <w:link w:val="981"/>
    <w:uiPriority w:val="0"/>
    <w:qFormat/>
    <w:rPr>
      <w:rFonts w:cs="Times New Roman" w:asciiTheme="minorEastAsia" w:hAnsiTheme="minorEastAsia"/>
      <w:b/>
      <w:bCs/>
      <w:sz w:val="21"/>
      <w:szCs w:val="21"/>
    </w:rPr>
  </w:style>
  <w:style w:type="character" w:styleId="1043" w:customStyle="1">
    <w:name w:val="标题 3 字符"/>
    <w:basedOn w:val="986"/>
    <w:link w:val="982"/>
    <w:uiPriority w:val="0"/>
    <w:qFormat/>
    <w:rPr>
      <w:rFonts w:eastAsia="楷体_GB2312"/>
      <w:b/>
      <w:sz w:val="26"/>
    </w:rPr>
  </w:style>
  <w:style w:type="character" w:styleId="1044" w:customStyle="1">
    <w:name w:val="标题 4 字符"/>
    <w:basedOn w:val="986"/>
    <w:link w:val="983"/>
    <w:uiPriority w:val="0"/>
    <w:qFormat/>
    <w:rPr>
      <w:rFonts w:ascii="Arial" w:hAnsi="Arial" w:eastAsia="黑体"/>
      <w:b/>
      <w:bCs/>
      <w:sz w:val="28"/>
      <w:szCs w:val="28"/>
    </w:rPr>
  </w:style>
  <w:style w:type="character" w:styleId="1045" w:customStyle="1">
    <w:name w:val="标题 5 字符"/>
    <w:link w:val="984"/>
    <w:uiPriority w:val="0"/>
    <w:qFormat/>
    <w:rPr>
      <w:rFonts w:eastAsia="楷体_GB2312"/>
      <w:b/>
      <w:bCs/>
      <w:sz w:val="28"/>
      <w:szCs w:val="28"/>
    </w:rPr>
  </w:style>
  <w:style w:type="character" w:styleId="1046" w:customStyle="1">
    <w:name w:val="标题 6 字符"/>
    <w:basedOn w:val="986"/>
    <w:link w:val="985"/>
    <w:uiPriority w:val="0"/>
    <w:semiHidden/>
    <w:qFormat/>
    <w:rPr>
      <w:rFonts w:asciiTheme="majorHAnsi" w:hAnsiTheme="majorHAnsi" w:eastAsiaTheme="majorEastAsia" w:cstheme="majorBidi"/>
      <w:b/>
      <w:bCs/>
      <w:sz w:val="24"/>
      <w:szCs w:val="24"/>
    </w:rPr>
  </w:style>
  <w:style w:type="character" w:styleId="1047" w:customStyle="1">
    <w:name w:val="批注文字 字符"/>
    <w:basedOn w:val="986"/>
    <w:link w:val="996"/>
    <w:uiPriority w:val="99"/>
    <w:qFormat/>
    <w:rPr>
      <w:rFonts w:eastAsia="楷体_GB2312"/>
      <w:sz w:val="26"/>
    </w:rPr>
  </w:style>
  <w:style w:type="character" w:styleId="1048" w:customStyle="1">
    <w:name w:val="批注主题 字符"/>
    <w:basedOn w:val="1047"/>
    <w:link w:val="1030"/>
    <w:uiPriority w:val="99"/>
    <w:qFormat/>
    <w:rPr>
      <w:rFonts w:eastAsia="楷体_GB2312"/>
      <w:b/>
      <w:bCs/>
      <w:sz w:val="26"/>
    </w:rPr>
  </w:style>
  <w:style w:type="character" w:styleId="1049" w:customStyle="1">
    <w:name w:val="正文缩进 字符"/>
    <w:link w:val="993"/>
    <w:uiPriority w:val="0"/>
    <w:qFormat/>
    <w:rPr>
      <w:rFonts w:eastAsia="楷体_GB2312"/>
      <w:sz w:val="24"/>
      <w:lang w:val="en-US" w:eastAsia="zh-CN" w:bidi="ar-SA"/>
    </w:rPr>
  </w:style>
  <w:style w:type="character" w:styleId="1050" w:customStyle="1">
    <w:name w:val="文档结构图 字符"/>
    <w:basedOn w:val="986"/>
    <w:link w:val="995"/>
    <w:uiPriority w:val="0"/>
    <w:qFormat/>
    <w:rPr>
      <w:rFonts w:eastAsia="楷体_GB2312"/>
      <w:sz w:val="26"/>
      <w:shd w:val="clear" w:color="auto" w:fill="000080"/>
    </w:rPr>
  </w:style>
  <w:style w:type="character" w:styleId="1051" w:customStyle="1">
    <w:name w:val="正文文本 字符"/>
    <w:link w:val="998"/>
    <w:uiPriority w:val="0"/>
    <w:qFormat/>
    <w:rPr>
      <w:rFonts w:ascii="楷体_GB2312" w:eastAsia="楷体_GB2312"/>
      <w:sz w:val="28"/>
    </w:rPr>
  </w:style>
  <w:style w:type="character" w:styleId="1052" w:customStyle="1">
    <w:name w:val="正文文本缩进 字符"/>
    <w:link w:val="999"/>
    <w:uiPriority w:val="0"/>
    <w:qFormat/>
    <w:rPr>
      <w:rFonts w:ascii="方正仿宋简体" w:hAnsi="创艺简仿宋" w:eastAsia="方正仿宋简体"/>
      <w:sz w:val="24"/>
    </w:rPr>
  </w:style>
  <w:style w:type="character" w:styleId="1053" w:customStyle="1">
    <w:name w:val="纯文本 字符"/>
    <w:link w:val="1005"/>
    <w:uiPriority w:val="0"/>
    <w:qFormat/>
    <w:rPr>
      <w:rFonts w:ascii="宋体" w:hAnsi="Courier New" w:eastAsia="楷体_GB2312"/>
      <w:sz w:val="26"/>
    </w:rPr>
  </w:style>
  <w:style w:type="character" w:styleId="1054" w:customStyle="1">
    <w:name w:val="日期 字符"/>
    <w:basedOn w:val="986"/>
    <w:link w:val="1008"/>
    <w:uiPriority w:val="0"/>
    <w:qFormat/>
    <w:rPr>
      <w:rFonts w:ascii="宋体" w:hAnsi="宋体" w:eastAsia="楷体_GB2312"/>
      <w:sz w:val="24"/>
    </w:rPr>
  </w:style>
  <w:style w:type="character" w:styleId="1055" w:customStyle="1">
    <w:name w:val="正文文本缩进 2 字符"/>
    <w:basedOn w:val="986"/>
    <w:link w:val="1009"/>
    <w:uiPriority w:val="0"/>
    <w:qFormat/>
    <w:rPr>
      <w:rFonts w:ascii="宋体"/>
      <w:b/>
      <w:bCs/>
      <w:sz w:val="24"/>
    </w:rPr>
  </w:style>
  <w:style w:type="character" w:styleId="1056" w:customStyle="1">
    <w:name w:val="尾注文本 字符"/>
    <w:link w:val="1010"/>
    <w:uiPriority w:val="0"/>
    <w:qFormat/>
    <w:rPr>
      <w:rFonts w:eastAsia="楷体_GB2312"/>
      <w:sz w:val="26"/>
    </w:rPr>
  </w:style>
  <w:style w:type="character" w:styleId="1057" w:customStyle="1">
    <w:name w:val="批注框文本 字符"/>
    <w:link w:val="1011"/>
    <w:uiPriority w:val="99"/>
    <w:qFormat/>
    <w:rPr>
      <w:rFonts w:eastAsia="楷体_GB2312"/>
      <w:sz w:val="18"/>
      <w:szCs w:val="18"/>
    </w:rPr>
  </w:style>
  <w:style w:type="character" w:styleId="1058" w:customStyle="1">
    <w:name w:val="页脚 字符"/>
    <w:link w:val="1012"/>
    <w:uiPriority w:val="99"/>
    <w:qFormat/>
    <w:rPr>
      <w:rFonts w:eastAsia="楷体_GB2312"/>
      <w:sz w:val="18"/>
    </w:rPr>
  </w:style>
  <w:style w:type="character" w:styleId="1059" w:customStyle="1">
    <w:name w:val="页眉 字符"/>
    <w:link w:val="1013"/>
    <w:uiPriority w:val="99"/>
    <w:qFormat/>
    <w:rPr>
      <w:rFonts w:eastAsia="楷体_GB2312"/>
      <w:sz w:val="18"/>
    </w:rPr>
  </w:style>
  <w:style w:type="character" w:styleId="1060" w:customStyle="1">
    <w:name w:val="脚注文本 字符"/>
    <w:basedOn w:val="986"/>
    <w:link w:val="1018"/>
    <w:uiPriority w:val="0"/>
    <w:semiHidden/>
    <w:qFormat/>
    <w:rPr>
      <w:rFonts w:eastAsia="楷体_GB2312"/>
      <w:sz w:val="18"/>
    </w:rPr>
  </w:style>
  <w:style w:type="character" w:styleId="1061" w:customStyle="1">
    <w:name w:val="正文文本缩进 3 字符"/>
    <w:link w:val="1020"/>
    <w:uiPriority w:val="0"/>
    <w:qFormat/>
    <w:rPr>
      <w:sz w:val="24"/>
      <w:szCs w:val="24"/>
    </w:rPr>
  </w:style>
  <w:style w:type="character" w:styleId="1062" w:customStyle="1">
    <w:name w:val="正文文本 2 字符"/>
    <w:basedOn w:val="986"/>
    <w:link w:val="1026"/>
    <w:uiPriority w:val="99"/>
    <w:qFormat/>
    <w:rPr>
      <w:rFonts w:eastAsia="楷体_GB2312"/>
      <w:sz w:val="26"/>
    </w:rPr>
  </w:style>
  <w:style w:type="character" w:styleId="1063" w:customStyle="1">
    <w:name w:val="HTML 预设格式 字符"/>
    <w:basedOn w:val="986"/>
    <w:link w:val="1027"/>
    <w:uiPriority w:val="0"/>
    <w:qFormat/>
    <w:rPr>
      <w:rFonts w:ascii="黑体" w:hAnsi="Courier New" w:eastAsia="黑体" w:cs="楷体_GB2312"/>
    </w:rPr>
  </w:style>
  <w:style w:type="character" w:styleId="1064" w:customStyle="1">
    <w:name w:val="标题 字符"/>
    <w:basedOn w:val="986"/>
    <w:link w:val="1029"/>
    <w:uiPriority w:val="0"/>
    <w:qFormat/>
    <w:rPr>
      <w:rFonts w:ascii="Cambria" w:hAnsi="Cambria"/>
      <w:b/>
      <w:bCs/>
      <w:sz w:val="32"/>
      <w:szCs w:val="32"/>
    </w:rPr>
  </w:style>
  <w:style w:type="character" w:styleId="1065" w:customStyle="1">
    <w:name w:val="访问过的超链接1"/>
    <w:uiPriority w:val="99"/>
    <w:unhideWhenUsed/>
    <w:qFormat/>
    <w:rPr>
      <w:color w:val="800080"/>
      <w:u w:val="single"/>
    </w:rPr>
  </w:style>
  <w:style w:type="character" w:styleId="1066" w:customStyle="1">
    <w:name w:val="Andy_2级 Char"/>
    <w:link w:val="1067"/>
    <w:uiPriority w:val="0"/>
    <w:qFormat/>
    <w:rPr>
      <w:rFonts w:ascii="Calibri" w:hAnsi="Calibri"/>
      <w:sz w:val="24"/>
    </w:rPr>
  </w:style>
  <w:style w:type="paragraph" w:styleId="1067" w:customStyle="1">
    <w:name w:val="Andy_2级"/>
    <w:basedOn w:val="979"/>
    <w:link w:val="1066"/>
    <w:uiPriority w:val="0"/>
    <w:qFormat/>
    <w:pPr>
      <w:numPr>
        <w:ilvl w:val="1"/>
        <w:numId w:val="2"/>
      </w:numPr>
      <w:spacing w:line="360" w:lineRule="auto"/>
    </w:pPr>
    <w:rPr>
      <w:rFonts w:ascii="Calibri" w:hAnsi="Calibri" w:eastAsia="宋体"/>
      <w:sz w:val="24"/>
    </w:rPr>
  </w:style>
  <w:style w:type="character" w:styleId="1068" w:customStyle="1">
    <w:name w:val="表正文 Char1"/>
    <w:uiPriority w:val="0"/>
    <w:qFormat/>
    <w:rPr>
      <w:rFonts w:eastAsia="楷体_GB2312"/>
      <w:sz w:val="24"/>
      <w:lang w:val="en-US" w:eastAsia="zh-CN" w:bidi="ar-SA"/>
    </w:rPr>
  </w:style>
  <w:style w:type="character" w:styleId="1069" w:customStyle="1">
    <w:name w:val="ca-221"/>
    <w:uiPriority w:val="0"/>
    <w:qFormat/>
    <w:rPr>
      <w:rFonts w:hint="eastAsia" w:ascii="宋体" w:hAnsi="宋体" w:eastAsia="宋体"/>
      <w:color w:val="ff0000"/>
      <w:sz w:val="24"/>
      <w:szCs w:val="24"/>
    </w:rPr>
  </w:style>
  <w:style w:type="paragraph" w:styleId="1070" w:customStyle="1">
    <w:name w:val="xl94"/>
    <w:basedOn w:val="979"/>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71" w:customStyle="1">
    <w:name w:val="xl68"/>
    <w:basedOn w:val="97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72" w:customStyle="1">
    <w:name w:val="xl70"/>
    <w:basedOn w:val="9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73" w:customStyle="1">
    <w:name w:val="xl87"/>
    <w:basedOn w:val="9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74" w:customStyle="1">
    <w:name w:val="xl96"/>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1075" w:customStyle="1">
    <w:name w:val="xl91"/>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6" w:customStyle="1">
    <w:name w:val="xl78"/>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1077"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78" w:customStyle="1">
    <w:name w:val="xl93"/>
    <w:basedOn w:val="97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79" w:customStyle="1">
    <w:name w:val="Char"/>
    <w:basedOn w:val="979"/>
    <w:uiPriority w:val="0"/>
    <w:qFormat/>
    <w:rPr>
      <w:rFonts w:ascii="Tahoma" w:hAnsi="Tahoma" w:eastAsia="宋体"/>
      <w:sz w:val="24"/>
    </w:rPr>
  </w:style>
  <w:style w:type="paragraph" w:styleId="1080" w:customStyle="1">
    <w:name w:val="纯文本1"/>
    <w:basedOn w:val="979"/>
    <w:uiPriority w:val="0"/>
    <w:qFormat/>
    <w:rPr>
      <w:rFonts w:ascii="宋体" w:hAnsi="Courier New"/>
    </w:rPr>
  </w:style>
  <w:style w:type="paragraph" w:styleId="1081" w:customStyle="1">
    <w:name w:val="纯文本2"/>
    <w:basedOn w:val="979"/>
    <w:uiPriority w:val="0"/>
    <w:qFormat/>
    <w:rPr>
      <w:rFonts w:ascii="宋体" w:hAnsi="Courier New"/>
    </w:rPr>
  </w:style>
  <w:style w:type="paragraph" w:styleId="1082" w:customStyle="1">
    <w:name w:val="纯文本3"/>
    <w:basedOn w:val="979"/>
    <w:link w:val="1083"/>
    <w:uiPriority w:val="0"/>
    <w:qFormat/>
    <w:rPr>
      <w:rFonts w:ascii="宋体" w:hAnsi="Courier New"/>
    </w:rPr>
  </w:style>
  <w:style w:type="character" w:styleId="1083" w:customStyle="1">
    <w:name w:val="Plain Text Char Char"/>
    <w:link w:val="1082"/>
    <w:uiPriority w:val="0"/>
    <w:qFormat/>
    <w:rPr>
      <w:rFonts w:ascii="宋体" w:hAnsi="Courier New" w:eastAsia="楷体_GB2312"/>
      <w:sz w:val="26"/>
    </w:rPr>
  </w:style>
  <w:style w:type="paragraph" w:styleId="1084" w:customStyle="1">
    <w:name w:val="xl75"/>
    <w:basedOn w:val="9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85" w:customStyle="1">
    <w:name w:val="xl71"/>
    <w:basedOn w:val="9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86" w:customStyle="1">
    <w:name w:val="xl97"/>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87">
    <w:name w:val="List Paragraph"/>
    <w:basedOn w:val="979"/>
    <w:uiPriority w:val="99"/>
    <w:qFormat/>
    <w:pPr>
      <w:ind w:firstLine="420"/>
    </w:pPr>
  </w:style>
  <w:style w:type="paragraph" w:styleId="1088" w:customStyle="1">
    <w:name w:val="xl80"/>
    <w:basedOn w:val="9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89" w:customStyle="1">
    <w:name w:val="xl72"/>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1090" w:customStyle="1">
    <w:name w:val="xl95"/>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91" w:customStyle="1">
    <w:name w:val="xl85"/>
    <w:basedOn w:val="9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92" w:customStyle="1">
    <w:name w:val="Char Char3"/>
    <w:basedOn w:val="979"/>
    <w:uiPriority w:val="0"/>
    <w:qFormat/>
    <w:pPr>
      <w:jc w:val="left"/>
      <w:spacing w:after="160" w:line="240" w:lineRule="exact"/>
      <w:widowControl/>
    </w:pPr>
    <w:rPr>
      <w:rFonts w:eastAsia="宋体"/>
      <w:sz w:val="24"/>
      <w:szCs w:val="24"/>
    </w:rPr>
  </w:style>
  <w:style w:type="paragraph" w:styleId="1093" w:customStyle="1">
    <w:name w:val="xl89"/>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4" w:customStyle="1">
    <w:name w:val="修订1"/>
    <w:uiPriority w:val="99"/>
    <w:unhideWhenUsed/>
    <w:qFormat/>
    <w:rPr>
      <w:rFonts w:ascii="Times New Roman" w:hAnsi="Times New Roman" w:eastAsia="楷体_GB2312" w:cs="Times New Roman"/>
      <w:sz w:val="26"/>
      <w:lang w:val="en-US" w:eastAsia="zh-CN" w:bidi="ar-SA"/>
    </w:rPr>
  </w:style>
  <w:style w:type="paragraph" w:styleId="1095" w:customStyle="1">
    <w:name w:val="Char1"/>
    <w:basedOn w:val="979"/>
    <w:uiPriority w:val="0"/>
    <w:qFormat/>
    <w:pPr>
      <w:jc w:val="left"/>
      <w:spacing w:after="160" w:line="240" w:lineRule="exact"/>
      <w:widowControl/>
    </w:pPr>
    <w:rPr>
      <w:rFonts w:ascii="Verdana" w:hAnsi="Verdana" w:eastAsia="仿宋_GB2312"/>
      <w:sz w:val="24"/>
      <w:lang w:eastAsia="en-US"/>
    </w:rPr>
  </w:style>
  <w:style w:type="paragraph" w:styleId="1096" w:customStyle="1">
    <w:name w:val="xl67"/>
    <w:basedOn w:val="979"/>
    <w:uiPriority w:val="0"/>
    <w:qFormat/>
    <w:pPr>
      <w:jc w:val="left"/>
      <w:spacing w:before="100" w:beforeAutospacing="1" w:after="100" w:afterAutospacing="1"/>
      <w:widowControl/>
    </w:pPr>
    <w:rPr>
      <w:rFonts w:ascii="仿宋_GB2312" w:hAnsi="宋体" w:eastAsia="仿宋_GB2312" w:cs="宋体"/>
      <w:sz w:val="20"/>
    </w:rPr>
  </w:style>
  <w:style w:type="paragraph" w:styleId="1097" w:customStyle="1">
    <w:name w:val="Char Char Char Char"/>
    <w:basedOn w:val="995"/>
    <w:uiPriority w:val="0"/>
    <w:qFormat/>
    <w:pPr>
      <w:ind w:left="357"/>
      <w:jc w:val="left"/>
      <w:spacing w:line="436" w:lineRule="exact"/>
      <w:outlineLvl w:val="3"/>
    </w:pPr>
    <w:rPr>
      <w:rFonts w:ascii="Tahoma" w:hAnsi="Tahoma" w:eastAsia="宋体"/>
      <w:b/>
      <w:sz w:val="24"/>
      <w:szCs w:val="24"/>
    </w:rPr>
  </w:style>
  <w:style w:type="paragraph" w:styleId="1098" w:customStyle="1">
    <w:name w:val="xl69"/>
    <w:basedOn w:val="9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99" w:customStyle="1">
    <w:name w:val="xl66"/>
    <w:basedOn w:val="97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100" w:customStyle="1">
    <w:name w:val="Char Char Char"/>
    <w:basedOn w:val="979"/>
    <w:uiPriority w:val="0"/>
    <w:qFormat/>
    <w:pPr>
      <w:numPr>
        <w:ilvl w:val="0"/>
        <w:numId w:val="3"/>
      </w:numPr>
    </w:pPr>
    <w:rPr>
      <w:rFonts w:eastAsia="宋体"/>
      <w:sz w:val="24"/>
      <w:szCs w:val="24"/>
    </w:rPr>
  </w:style>
  <w:style w:type="paragraph" w:styleId="1101" w:customStyle="1">
    <w:name w:val="xl76"/>
    <w:basedOn w:val="9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02" w:customStyle="1">
    <w:name w:val="xl74"/>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1103" w:customStyle="1">
    <w:name w:val="xl92"/>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04" w:customStyle="1">
    <w:name w:val="xl86"/>
    <w:basedOn w:val="9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105" w:customStyle="1">
    <w:name w:val="xl77"/>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06" w:customStyle="1">
    <w:name w:val="xl90"/>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107" w:customStyle="1">
    <w:name w:val="xl88"/>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1108" w:customStyle="1">
    <w:name w:val="xl83"/>
    <w:basedOn w:val="9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109" w:customStyle="1">
    <w:name w:val="xl84"/>
    <w:basedOn w:val="9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10" w:customStyle="1">
    <w:name w:val="xl82"/>
    <w:basedOn w:val="9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111" w:customStyle="1">
    <w:name w:val="xl73"/>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2" w:customStyle="1">
    <w:name w:val="xl81"/>
    <w:basedOn w:val="9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13" w:customStyle="1">
    <w:name w:val="xl79"/>
    <w:basedOn w:val="9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table" w:styleId="1114" w:customStyle="1">
    <w:name w:val="Table Grid"/>
    <w:uiPriority w:val="0"/>
    <w:qFormat/>
    <w:rPr>
      <w:rFonts w:ascii="Calibri" w:hAnsi="Calibri"/>
      <w:sz w:val="21"/>
      <w:szCs w:val="22"/>
    </w:rPr>
    <w:tblPr>
      <w:tblCellMar>
        <w:left w:w="0" w:type="dxa"/>
        <w:top w:w="0" w:type="dxa"/>
        <w:right w:w="0" w:type="dxa"/>
        <w:bottom w:w="0" w:type="dxa"/>
      </w:tblCellMar>
    </w:tblPr>
  </w:style>
  <w:style w:type="paragraph" w:styleId="1115" w:customStyle="1">
    <w:name w:val="列出段落1"/>
    <w:basedOn w:val="979"/>
    <w:uiPriority w:val="0"/>
    <w:qFormat/>
    <w:pPr>
      <w:ind w:firstLine="420"/>
    </w:pPr>
    <w:rPr>
      <w:rFonts w:ascii="Calibri" w:hAnsi="Calibri" w:eastAsia="宋体"/>
      <w:sz w:val="21"/>
      <w:szCs w:val="22"/>
    </w:rPr>
  </w:style>
  <w:style w:type="character" w:styleId="1116" w:customStyle="1">
    <w:name w:val="正文2 Char"/>
    <w:link w:val="1117"/>
    <w:uiPriority w:val="0"/>
    <w:qFormat/>
    <w:rPr>
      <w:rFonts w:ascii="Calibri" w:hAnsi="Calibri"/>
      <w:sz w:val="24"/>
    </w:rPr>
  </w:style>
  <w:style w:type="paragraph" w:styleId="1117" w:customStyle="1">
    <w:name w:val="正文2"/>
    <w:basedOn w:val="979"/>
    <w:link w:val="1116"/>
    <w:uiPriority w:val="0"/>
    <w:qFormat/>
    <w:pPr>
      <w:ind w:firstLine="510"/>
      <w:spacing w:before="156" w:line="360" w:lineRule="auto"/>
    </w:pPr>
    <w:rPr>
      <w:rFonts w:ascii="Calibri" w:hAnsi="Calibri" w:eastAsia="宋体"/>
      <w:sz w:val="24"/>
    </w:rPr>
  </w:style>
  <w:style w:type="paragraph" w:styleId="1118" w:customStyle="1">
    <w:name w:val="Andy_二级"/>
    <w:basedOn w:val="1115"/>
    <w:uiPriority w:val="0"/>
    <w:qFormat/>
    <w:pPr>
      <w:ind w:firstLine="510"/>
      <w:spacing w:line="360" w:lineRule="auto"/>
    </w:pPr>
    <w:rPr>
      <w:sz w:val="24"/>
    </w:rPr>
  </w:style>
  <w:style w:type="paragraph" w:styleId="1119" w:customStyle="1">
    <w:name w:val="Andy_4级"/>
    <w:basedOn w:val="1115"/>
    <w:uiPriority w:val="0"/>
    <w:qFormat/>
    <w:pPr>
      <w:ind w:firstLine="510"/>
      <w:spacing w:line="360" w:lineRule="auto"/>
    </w:pPr>
    <w:rPr>
      <w:sz w:val="24"/>
      <w:szCs w:val="20"/>
    </w:rPr>
  </w:style>
  <w:style w:type="paragraph" w:styleId="1120" w:customStyle="1">
    <w:name w:val="Andy_3级"/>
    <w:basedOn w:val="979"/>
    <w:uiPriority w:val="0"/>
    <w:qFormat/>
    <w:pPr>
      <w:ind w:firstLine="510"/>
      <w:spacing w:line="360" w:lineRule="auto"/>
    </w:pPr>
    <w:rPr>
      <w:rFonts w:ascii="Calibri" w:hAnsi="Calibri" w:eastAsia="宋体"/>
      <w:sz w:val="24"/>
    </w:rPr>
  </w:style>
  <w:style w:type="paragraph" w:styleId="1121" w:customStyle="1">
    <w:name w:val="Andy_一级"/>
    <w:basedOn w:val="1115"/>
    <w:uiPriority w:val="0"/>
    <w:qFormat/>
    <w:pPr>
      <w:ind w:firstLine="0"/>
      <w:keepNext/>
      <w:spacing w:line="360" w:lineRule="auto"/>
    </w:pPr>
    <w:rPr>
      <w:b/>
      <w:sz w:val="24"/>
    </w:rPr>
  </w:style>
  <w:style w:type="paragraph" w:styleId="1122" w:customStyle="1">
    <w:name w:val="首行缩进"/>
    <w:basedOn w:val="979"/>
    <w:uiPriority w:val="0"/>
    <w:qFormat/>
    <w:pPr>
      <w:ind w:firstLine="480"/>
    </w:pPr>
    <w:rPr>
      <w:rFonts w:eastAsia="宋体"/>
      <w:sz w:val="21"/>
      <w:lang w:val="zh-CN"/>
    </w:rPr>
  </w:style>
  <w:style w:type="paragraph" w:styleId="1123" w:customStyle="1">
    <w:name w:val="表格"/>
    <w:basedOn w:val="979"/>
    <w:next w:val="1005"/>
    <w:uiPriority w:val="0"/>
    <w:qFormat/>
    <w:rPr>
      <w:rFonts w:ascii="宋体" w:hAnsi="Courier New" w:eastAsia="仿宋_GB2312"/>
      <w:sz w:val="28"/>
      <w:szCs w:val="21"/>
    </w:rPr>
  </w:style>
  <w:style w:type="paragraph" w:styleId="1124" w:customStyle="1">
    <w:name w:val="列出段落5"/>
    <w:basedOn w:val="979"/>
    <w:uiPriority w:val="0"/>
    <w:qFormat/>
    <w:pPr>
      <w:ind w:firstLine="420"/>
      <w:jc w:val="left"/>
      <w:widowControl/>
    </w:pPr>
    <w:rPr>
      <w:rFonts w:ascii="Calibri" w:hAnsi="Calibri" w:eastAsia="宋体" w:cs="Arial"/>
      <w:sz w:val="20"/>
    </w:rPr>
  </w:style>
  <w:style w:type="paragraph" w:styleId="1125" w:customStyle="1">
    <w:name w:val="列出段落3"/>
    <w:basedOn w:val="979"/>
    <w:uiPriority w:val="99"/>
    <w:qFormat/>
    <w:pPr>
      <w:ind w:firstLine="420"/>
    </w:pPr>
    <w:rPr>
      <w:rFonts w:eastAsia="宋体"/>
      <w:sz w:val="21"/>
      <w:szCs w:val="24"/>
    </w:rPr>
  </w:style>
  <w:style w:type="paragraph" w:styleId="1126" w:customStyle="1">
    <w:name w:val="ParaAttribute2"/>
    <w:uiPriority w:val="0"/>
    <w:qFormat/>
    <w:pPr>
      <w:jc w:val="both"/>
      <w:spacing w:line="600" w:lineRule="exact"/>
      <w:widowControl w:val="off"/>
    </w:pPr>
    <w:rPr>
      <w:rFonts w:ascii="Times New Roman" w:hAnsi="Times New Roman" w:eastAsia="Batang" w:cs="Times New Roman"/>
      <w:lang w:val="en-US" w:eastAsia="zh-CN" w:bidi="ar-SA"/>
    </w:rPr>
  </w:style>
  <w:style w:type="character" w:styleId="1127" w:customStyle="1">
    <w:name w:val="CharAttribute3"/>
    <w:uiPriority w:val="0"/>
    <w:qFormat/>
    <w:rPr>
      <w:rFonts w:hint="default" w:ascii="Times New Roman" w:hAnsi="宋体" w:eastAsia="宋体" w:cs="Times New Roman"/>
      <w:sz w:val="32"/>
    </w:rPr>
  </w:style>
  <w:style w:type="paragraph" w:styleId="1128" w:customStyle="1">
    <w:name w:val="List Paragraph1"/>
    <w:basedOn w:val="979"/>
    <w:uiPriority w:val="0"/>
    <w:qFormat/>
    <w:pPr>
      <w:ind w:firstLine="420"/>
    </w:pPr>
    <w:rPr>
      <w:rFonts w:eastAsia="宋体"/>
      <w:sz w:val="21"/>
    </w:rPr>
  </w:style>
  <w:style w:type="paragraph" w:styleId="1129" w:customStyle="1">
    <w:name w:val="纯文本31"/>
    <w:basedOn w:val="979"/>
    <w:uiPriority w:val="0"/>
    <w:qFormat/>
    <w:rPr>
      <w:rFonts w:ascii="宋体" w:hAnsi="Courier New"/>
    </w:rPr>
  </w:style>
  <w:style w:type="paragraph" w:styleId="1130" w:customStyle="1">
    <w:name w:val="Char Char31"/>
    <w:basedOn w:val="979"/>
    <w:uiPriority w:val="0"/>
    <w:qFormat/>
    <w:pPr>
      <w:jc w:val="left"/>
      <w:spacing w:after="160" w:line="240" w:lineRule="exact"/>
      <w:widowControl/>
    </w:pPr>
    <w:rPr>
      <w:rFonts w:eastAsia="宋体"/>
      <w:sz w:val="24"/>
      <w:szCs w:val="24"/>
    </w:rPr>
  </w:style>
  <w:style w:type="paragraph" w:styleId="1131" w:customStyle="1">
    <w:name w:val="Char Char Char Char1"/>
    <w:basedOn w:val="995"/>
    <w:uiPriority w:val="0"/>
    <w:qFormat/>
    <w:pPr>
      <w:ind w:left="357"/>
      <w:jc w:val="left"/>
      <w:spacing w:line="436" w:lineRule="exact"/>
      <w:outlineLvl w:val="3"/>
    </w:pPr>
    <w:rPr>
      <w:rFonts w:ascii="Tahoma" w:hAnsi="Tahoma" w:eastAsia="宋体"/>
      <w:b/>
      <w:sz w:val="24"/>
      <w:szCs w:val="24"/>
    </w:rPr>
  </w:style>
  <w:style w:type="paragraph" w:styleId="1132" w:customStyle="1">
    <w:name w:val="Char Char Char1"/>
    <w:basedOn w:val="979"/>
    <w:uiPriority w:val="0"/>
    <w:qFormat/>
    <w:pPr>
      <w:ind w:left="360" w:hanging="360"/>
      <w:tabs>
        <w:tab w:val="left" w:pos="360" w:leader="none"/>
      </w:tabs>
    </w:pPr>
    <w:rPr>
      <w:rFonts w:eastAsia="宋体"/>
      <w:sz w:val="24"/>
      <w:szCs w:val="24"/>
    </w:rPr>
  </w:style>
  <w:style w:type="paragraph" w:styleId="1133" w:customStyle="1">
    <w:name w:val="列出段落2"/>
    <w:basedOn w:val="979"/>
    <w:uiPriority w:val="0"/>
    <w:qFormat/>
    <w:pPr>
      <w:ind w:firstLine="420"/>
    </w:pPr>
    <w:rPr>
      <w:rFonts w:eastAsia="宋体"/>
      <w:sz w:val="21"/>
    </w:rPr>
  </w:style>
  <w:style w:type="paragraph" w:styleId="1134" w:customStyle="1">
    <w:name w:val="xl27"/>
    <w:basedOn w:val="9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1135" w:customStyle="1">
    <w:name w:val="xl31"/>
    <w:basedOn w:val="9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1136" w:customStyle="1">
    <w:name w:val="正文文本 2 Char"/>
    <w:basedOn w:val="986"/>
    <w:uiPriority w:val="0"/>
    <w:qFormat/>
    <w:rPr>
      <w:color w:val="ff00ff"/>
    </w:rPr>
  </w:style>
  <w:style w:type="character" w:styleId="1137" w:customStyle="1">
    <w:name w:val="+正文 Char3"/>
    <w:link w:val="1138"/>
    <w:uiPriority w:val="0"/>
    <w:qFormat/>
    <w:rPr>
      <w:sz w:val="24"/>
    </w:rPr>
  </w:style>
  <w:style w:type="paragraph" w:styleId="1138" w:customStyle="1">
    <w:name w:val="+正文"/>
    <w:basedOn w:val="979"/>
    <w:link w:val="1137"/>
    <w:uiPriority w:val="0"/>
    <w:qFormat/>
    <w:pPr>
      <w:ind w:firstLine="200"/>
      <w:spacing w:line="360" w:lineRule="auto"/>
    </w:pPr>
    <w:rPr>
      <w:rFonts w:eastAsia="宋体"/>
      <w:sz w:val="24"/>
    </w:rPr>
  </w:style>
  <w:style w:type="character" w:styleId="1139" w:customStyle="1">
    <w:name w:val="Char Char"/>
    <w:basedOn w:val="986"/>
    <w:uiPriority w:val="0"/>
    <w:qFormat/>
    <w:rPr>
      <w:rFonts w:ascii="宋体" w:hAnsi="Courier New" w:eastAsia="楷体_GB2312"/>
      <w:sz w:val="26"/>
      <w:lang w:val="en-US" w:eastAsia="zh-CN" w:bidi="ar-SA"/>
    </w:rPr>
  </w:style>
  <w:style w:type="character" w:styleId="1140" w:customStyle="1">
    <w:name w:val="样式 正文缩进 + 首行缩进:  2 字符 Char Char"/>
    <w:basedOn w:val="986"/>
    <w:link w:val="1141"/>
    <w:uiPriority w:val="0"/>
    <w:qFormat/>
    <w:rPr>
      <w:sz w:val="24"/>
    </w:rPr>
  </w:style>
  <w:style w:type="paragraph" w:styleId="1141" w:customStyle="1">
    <w:name w:val="样式 正文缩进 + 首行缩进:  2 字符"/>
    <w:basedOn w:val="993"/>
    <w:link w:val="1140"/>
    <w:uiPriority w:val="0"/>
    <w:qFormat/>
    <w:pPr>
      <w:ind w:firstLine="480"/>
      <w:jc w:val="both"/>
      <w:spacing w:after="80" w:line="360" w:lineRule="auto"/>
    </w:pPr>
    <w:rPr>
      <w:rFonts w:eastAsia="宋体"/>
    </w:rPr>
  </w:style>
  <w:style w:type="character" w:styleId="1142" w:customStyle="1">
    <w:name w:val="style11"/>
    <w:basedOn w:val="986"/>
    <w:uiPriority w:val="0"/>
    <w:qFormat/>
    <w:rPr>
      <w:rFonts w:hint="default" w:ascii="Verdana" w:hAnsi="Verdana"/>
      <w:sz w:val="21"/>
    </w:rPr>
  </w:style>
  <w:style w:type="character" w:styleId="1143" w:customStyle="1">
    <w:name w:val="Char Char1"/>
    <w:basedOn w:val="986"/>
    <w:uiPriority w:val="0"/>
    <w:qFormat/>
    <w:rPr>
      <w:rFonts w:eastAsia="宋体"/>
      <w:sz w:val="24"/>
      <w:lang w:val="en-US" w:eastAsia="zh-CN" w:bidi="ar-SA"/>
    </w:rPr>
  </w:style>
  <w:style w:type="character" w:styleId="1144" w:customStyle="1">
    <w:name w:val="1.1（特殊） Char Char"/>
    <w:basedOn w:val="986"/>
    <w:link w:val="1145"/>
    <w:uiPriority w:val="0"/>
    <w:qFormat/>
    <w:rPr>
      <w:rFonts w:ascii="微软雅黑" w:hAnsi="微软雅黑" w:eastAsia="微软雅黑"/>
      <w:b/>
      <w:sz w:val="28"/>
      <w:szCs w:val="28"/>
    </w:rPr>
  </w:style>
  <w:style w:type="paragraph" w:styleId="1145" w:customStyle="1">
    <w:name w:val="1.1（特殊）"/>
    <w:basedOn w:val="979"/>
    <w:link w:val="1144"/>
    <w:uiPriority w:val="0"/>
    <w:qFormat/>
    <w:pPr>
      <w:jc w:val="left"/>
      <w:spacing w:before="120"/>
    </w:pPr>
    <w:rPr>
      <w:rFonts w:ascii="微软雅黑" w:hAnsi="微软雅黑" w:eastAsia="微软雅黑"/>
      <w:b/>
      <w:sz w:val="28"/>
      <w:szCs w:val="28"/>
    </w:rPr>
  </w:style>
  <w:style w:type="character" w:styleId="1146" w:customStyle="1">
    <w:name w:val="point_normal1"/>
    <w:basedOn w:val="986"/>
    <w:uiPriority w:val="0"/>
    <w:qFormat/>
    <w:rPr>
      <w:rFonts w:hint="default" w:ascii="Arial" w:hAnsi="Arial"/>
      <w:sz w:val="18"/>
    </w:rPr>
  </w:style>
  <w:style w:type="paragraph" w:styleId="1147" w:customStyle="1">
    <w:name w:val="段落正文 Char Char"/>
    <w:basedOn w:val="979"/>
    <w:uiPriority w:val="0"/>
    <w:qFormat/>
    <w:pPr>
      <w:ind w:firstLine="461"/>
      <w:spacing w:line="360" w:lineRule="auto"/>
    </w:pPr>
    <w:rPr>
      <w:rFonts w:ascii="宋体" w:hAnsi="宋体" w:eastAsia="宋体"/>
      <w:sz w:val="24"/>
      <w:szCs w:val="24"/>
    </w:rPr>
  </w:style>
  <w:style w:type="paragraph" w:styleId="1148" w:customStyle="1">
    <w:name w:val="00"/>
    <w:basedOn w:val="979"/>
    <w:uiPriority w:val="0"/>
    <w:qFormat/>
    <w:pPr>
      <w:jc w:val="left"/>
    </w:pPr>
    <w:rPr>
      <w:rFonts w:ascii="黑体" w:eastAsia="黑体"/>
      <w:b/>
      <w:bCs/>
      <w:sz w:val="20"/>
    </w:rPr>
  </w:style>
  <w:style w:type="paragraph" w:styleId="1149" w:customStyle="1">
    <w:name w:val="第三级"/>
    <w:basedOn w:val="982"/>
    <w:next w:val="979"/>
    <w:uiPriority w:val="0"/>
    <w:qFormat/>
    <w:pPr>
      <w:ind w:left="1259" w:right="210" w:hanging="720"/>
      <w:keepLines w:val="0"/>
      <w:keepNext w:val="0"/>
      <w:widowControl/>
      <w:tabs>
        <w:tab w:val="left" w:pos="900" w:leader="none"/>
      </w:tabs>
    </w:pPr>
    <w:rPr>
      <w:rFonts w:ascii="Arial" w:hAnsi="Arial" w:eastAsia="黑体" w:cs="Arial"/>
      <w:color w:val="000000"/>
      <w:sz w:val="28"/>
      <w:szCs w:val="24"/>
      <w14:textOutline w14:w="9525" w14:cap="flat" w14:cmpd="sng" w14:algn="ctr">
        <w14:solidFill>
          <w14:schemeClr w14:val="bg1">
            <w14:lumMod w14:val="75000"/>
            <w14:alpha w14:val="50000"/>
          </w14:schemeClr>
        </w14:solidFill>
        <w14:prstDash w14:val="solid"/>
        <w14:round/>
      </w14:textOutline>
    </w:rPr>
  </w:style>
  <w:style w:type="paragraph" w:styleId="1150" w:customStyle="1">
    <w:name w:val="无缩进正文"/>
    <w:basedOn w:val="979"/>
    <w:uiPriority w:val="0"/>
    <w:qFormat/>
    <w:rPr>
      <w:rFonts w:eastAsia="宋体"/>
      <w:sz w:val="21"/>
    </w:rPr>
  </w:style>
  <w:style w:type="paragraph" w:styleId="1151" w:customStyle="1">
    <w:name w:val="+正文 Char"/>
    <w:basedOn w:val="979"/>
    <w:uiPriority w:val="0"/>
    <w:qFormat/>
    <w:pPr>
      <w:ind w:firstLine="200"/>
      <w:spacing w:line="360" w:lineRule="auto"/>
    </w:pPr>
    <w:rPr>
      <w:rFonts w:eastAsia="宋体"/>
      <w:sz w:val="24"/>
    </w:rPr>
  </w:style>
  <w:style w:type="paragraph" w:styleId="1152" w:customStyle="1">
    <w:name w:val="Char Char Char Char Char Char Char Char Char Char"/>
    <w:basedOn w:val="979"/>
    <w:uiPriority w:val="0"/>
    <w:qFormat/>
    <w:pPr>
      <w:ind w:left="420" w:hanging="420"/>
      <w:tabs>
        <w:tab w:val="left" w:pos="420" w:leader="none"/>
      </w:tabs>
    </w:pPr>
    <w:rPr>
      <w:rFonts w:eastAsia="宋体"/>
      <w:sz w:val="24"/>
      <w:szCs w:val="24"/>
    </w:rPr>
  </w:style>
  <w:style w:type="paragraph" w:styleId="1153" w:customStyle="1">
    <w:name w:val="Char Char Char1 Char"/>
    <w:basedOn w:val="979"/>
    <w:uiPriority w:val="0"/>
    <w:qFormat/>
    <w:pPr>
      <w:jc w:val="left"/>
      <w:spacing w:after="160" w:line="240" w:lineRule="exact"/>
      <w:widowControl/>
    </w:pPr>
    <w:rPr>
      <w:rFonts w:eastAsia="宋体"/>
      <w:sz w:val="21"/>
      <w:szCs w:val="24"/>
    </w:rPr>
  </w:style>
  <w:style w:type="paragraph" w:styleId="1154" w:customStyle="1">
    <w:name w:val="小四 段落 宋体 Char"/>
    <w:basedOn w:val="992"/>
    <w:uiPriority w:val="0"/>
    <w:qFormat/>
    <w:pPr>
      <w:ind w:left="0" w:right="-33" w:firstLine="480"/>
      <w:jc w:val="left"/>
      <w:spacing w:line="360" w:lineRule="auto"/>
    </w:pPr>
    <w:rPr>
      <w:sz w:val="24"/>
      <w:szCs w:val="24"/>
    </w:rPr>
  </w:style>
  <w:style w:type="paragraph" w:styleId="1155" w:customStyle="1">
    <w:name w:val="小点说明"/>
    <w:basedOn w:val="979"/>
    <w:uiPriority w:val="0"/>
    <w:qFormat/>
    <w:pPr>
      <w:ind w:left="360" w:hanging="360"/>
      <w:spacing w:after="80" w:line="360" w:lineRule="auto"/>
      <w:tabs>
        <w:tab w:val="left" w:pos="780" w:leader="none"/>
      </w:tabs>
    </w:pPr>
    <w:rPr>
      <w:rFonts w:eastAsia="宋体"/>
      <w:sz w:val="24"/>
      <w:szCs w:val="24"/>
    </w:rPr>
  </w:style>
  <w:style w:type="paragraph" w:styleId="1156" w:customStyle="1">
    <w:name w:val="msolistparagraph"/>
    <w:basedOn w:val="979"/>
    <w:uiPriority w:val="0"/>
    <w:qFormat/>
    <w:pPr>
      <w:jc w:val="left"/>
      <w:spacing w:before="100" w:beforeAutospacing="1" w:after="100" w:afterAutospacing="1"/>
      <w:widowControl/>
    </w:pPr>
    <w:rPr>
      <w:rFonts w:ascii="宋体" w:hAnsi="宋体" w:eastAsia="宋体" w:cs="宋体"/>
      <w:sz w:val="24"/>
      <w:szCs w:val="24"/>
    </w:rPr>
  </w:style>
  <w:style w:type="paragraph" w:styleId="1157" w:customStyle="1">
    <w:name w:val="xl44"/>
    <w:basedOn w:val="979"/>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158" w:customStyle="1">
    <w:name w:val="_Style 18"/>
    <w:basedOn w:val="979"/>
    <w:uiPriority w:val="0"/>
    <w:qFormat/>
    <w:rPr>
      <w:rFonts w:eastAsia="宋体"/>
      <w:sz w:val="24"/>
      <w:szCs w:val="24"/>
    </w:rPr>
  </w:style>
  <w:style w:type="paragraph" w:styleId="1159" w:customStyle="1">
    <w:name w:val="_Style 13"/>
    <w:basedOn w:val="979"/>
    <w:next w:val="979"/>
    <w:uiPriority w:val="0"/>
    <w:qFormat/>
    <w:rPr>
      <w:rFonts w:eastAsia="宋体"/>
      <w:sz w:val="24"/>
    </w:rPr>
  </w:style>
  <w:style w:type="paragraph" w:styleId="1160" w:customStyle="1">
    <w:name w:val="标书正文"/>
    <w:basedOn w:val="998"/>
    <w:uiPriority w:val="0"/>
    <w:qFormat/>
  </w:style>
  <w:style w:type="paragraph" w:styleId="1161" w:customStyle="1">
    <w:name w:val="p0"/>
    <w:basedOn w:val="979"/>
    <w:uiPriority w:val="0"/>
    <w:qFormat/>
    <w:pPr>
      <w:widowControl/>
    </w:pPr>
    <w:rPr>
      <w:rFonts w:eastAsia="宋体"/>
      <w:sz w:val="28"/>
      <w:szCs w:val="28"/>
    </w:rPr>
  </w:style>
  <w:style w:type="paragraph" w:styleId="1162"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163" w:customStyle="1">
    <w:name w:val="textcontents"/>
    <w:basedOn w:val="986"/>
    <w:uiPriority w:val="0"/>
    <w:qFormat/>
  </w:style>
  <w:style w:type="paragraph" w:styleId="1164" w:customStyle="1">
    <w:name w:val="纯文本4"/>
    <w:basedOn w:val="979"/>
    <w:uiPriority w:val="0"/>
    <w:qFormat/>
    <w:rPr>
      <w:rFonts w:ascii="宋体" w:hAnsi="Courier New"/>
    </w:rPr>
  </w:style>
  <w:style w:type="paragraph" w:styleId="1165" w:customStyle="1">
    <w:name w:val="纯文本5"/>
    <w:basedOn w:val="979"/>
    <w:uiPriority w:val="0"/>
    <w:qFormat/>
    <w:rPr>
      <w:rFonts w:ascii="宋体" w:hAnsi="Courier New"/>
    </w:rPr>
  </w:style>
  <w:style w:type="character" w:styleId="1166" w:customStyle="1">
    <w:name w:val="font01"/>
    <w:basedOn w:val="986"/>
    <w:uiPriority w:val="0"/>
    <w:qFormat/>
    <w:rPr>
      <w:rFonts w:hint="default" w:ascii="Times New Roman" w:hAnsi="Times New Roman" w:cs="Times New Roman"/>
      <w:color w:val="000000"/>
      <w:sz w:val="26"/>
      <w:szCs w:val="26"/>
      <w:u w:val="none"/>
    </w:rPr>
  </w:style>
  <w:style w:type="character" w:styleId="1167" w:customStyle="1">
    <w:name w:val="font11"/>
    <w:basedOn w:val="986"/>
    <w:uiPriority w:val="0"/>
    <w:qFormat/>
    <w:rPr>
      <w:rFonts w:hint="default" w:ascii="楷体_GB2312" w:eastAsia="楷体_GB2312" w:cs="楷体_GB2312"/>
      <w:color w:val="000000"/>
      <w:sz w:val="26"/>
      <w:szCs w:val="26"/>
      <w:u w:val="none"/>
    </w:rPr>
  </w:style>
  <w:style w:type="character" w:styleId="1168" w:customStyle="1">
    <w:name w:val="日期 Char1"/>
    <w:basedOn w:val="986"/>
    <w:uiPriority w:val="0"/>
    <w:qFormat/>
    <w:rPr>
      <w:rFonts w:ascii="宋体" w:hAnsi="宋体" w:eastAsia="楷体_GB2312"/>
      <w:sz w:val="24"/>
    </w:rPr>
  </w:style>
  <w:style w:type="paragraph" w:styleId="1169" w:customStyle="1">
    <w:name w:val="Plain Text1"/>
    <w:basedOn w:val="979"/>
    <w:uiPriority w:val="0"/>
    <w:qFormat/>
    <w:rPr>
      <w:rFonts w:ascii="宋体" w:hAnsi="Courier New"/>
    </w:rPr>
  </w:style>
  <w:style w:type="character" w:styleId="1170" w:customStyle="1">
    <w:name w:val="Andy_正文 Char"/>
    <w:link w:val="1171"/>
    <w:uiPriority w:val="0"/>
    <w:qFormat/>
    <w:rPr>
      <w:rFonts w:ascii="Calibri" w:hAnsi="Calibri"/>
      <w:sz w:val="24"/>
      <w:szCs w:val="24"/>
    </w:rPr>
  </w:style>
  <w:style w:type="paragraph" w:styleId="1171" w:customStyle="1">
    <w:name w:val="Andy_正文"/>
    <w:basedOn w:val="979"/>
    <w:link w:val="1170"/>
    <w:uiPriority w:val="0"/>
    <w:qFormat/>
    <w:pPr>
      <w:ind w:firstLine="480"/>
      <w:spacing w:line="360" w:lineRule="auto"/>
    </w:pPr>
    <w:rPr>
      <w:rFonts w:ascii="Calibri" w:hAnsi="Calibri" w:eastAsia="宋体"/>
      <w:sz w:val="24"/>
      <w:szCs w:val="24"/>
    </w:rPr>
  </w:style>
  <w:style w:type="character" w:styleId="1172" w:customStyle="1">
    <w:name w:val="正文缩进 字符1"/>
    <w:uiPriority w:val="0"/>
    <w:qFormat/>
    <w:rPr>
      <w:rFonts w:eastAsia="楷体_GB2312"/>
      <w:sz w:val="24"/>
      <w:lang w:val="en-US" w:eastAsia="zh-CN" w:bidi="ar-SA"/>
    </w:rPr>
  </w:style>
  <w:style w:type="paragraph" w:styleId="1173" w:customStyle="1">
    <w:name w:val="纯文本11"/>
    <w:basedOn w:val="979"/>
    <w:uiPriority w:val="0"/>
    <w:qFormat/>
    <w:rPr>
      <w:rFonts w:ascii="宋体" w:hAnsi="Courier New"/>
    </w:rPr>
  </w:style>
  <w:style w:type="paragraph" w:styleId="1174" w:customStyle="1">
    <w:name w:val="正文缩进1"/>
    <w:basedOn w:val="979"/>
    <w:uiPriority w:val="0"/>
    <w:qFormat/>
    <w:pPr>
      <w:ind w:firstLine="420"/>
    </w:pPr>
    <w:rPr>
      <w:rFonts w:eastAsia="宋体"/>
      <w:sz w:val="21"/>
    </w:rPr>
  </w:style>
  <w:style w:type="character" w:styleId="1175" w:customStyle="1">
    <w:name w:val="Plain Text Char"/>
    <w:uiPriority w:val="0"/>
    <w:qFormat/>
    <w:rPr>
      <w:rFonts w:ascii="宋体" w:hAnsi="Courier New" w:eastAsia="楷体_GB2312"/>
      <w:sz w:val="26"/>
    </w:rPr>
  </w:style>
  <w:style w:type="paragraph" w:styleId="1176" w:customStyle="1">
    <w:name w:val="纯文本6"/>
    <w:basedOn w:val="979"/>
    <w:uiPriority w:val="0"/>
    <w:qFormat/>
    <w:rPr>
      <w:rFonts w:ascii="宋体" w:hAnsi="Courier New"/>
    </w:rPr>
  </w:style>
  <w:style w:type="paragraph" w:styleId="1177" w:customStyle="1">
    <w:name w:val="修订2"/>
    <w:hidden/>
    <w:uiPriority w:val="99"/>
    <w:semiHidden/>
    <w:qFormat/>
    <w:rPr>
      <w:rFonts w:ascii="Times New Roman" w:hAnsi="Times New Roman" w:eastAsia="楷体_GB2312" w:cs="Times New Roman"/>
      <w:sz w:val="26"/>
      <w:lang w:val="en-US" w:eastAsia="zh-CN" w:bidi="ar-SA"/>
    </w:rPr>
  </w:style>
  <w:style w:type="paragraph" w:styleId="1178" w:customStyle="1">
    <w:name w:val="修订3"/>
    <w:hidden/>
    <w:uiPriority w:val="99"/>
    <w:semiHidden/>
    <w:qFormat/>
    <w:rPr>
      <w:rFonts w:ascii="Times New Roman" w:hAnsi="Times New Roman" w:eastAsia="楷体_GB2312" w:cs="Times New Roman"/>
      <w:sz w:val="26"/>
      <w:lang w:val="en-US" w:eastAsia="zh-CN" w:bidi="ar-SA"/>
    </w:rPr>
  </w:style>
  <w:style w:type="paragraph" w:styleId="1179" w:customStyle="1">
    <w:name w:val="修订4"/>
    <w:hidden/>
    <w:uiPriority w:val="99"/>
    <w:semiHidden/>
    <w:qFormat/>
    <w:rPr>
      <w:rFonts w:ascii="Times New Roman" w:hAnsi="Times New Roman" w:eastAsia="楷体_GB2312" w:cs="Times New Roman"/>
      <w:sz w:val="26"/>
      <w:lang w:val="en-US" w:eastAsia="zh-CN" w:bidi="ar-SA"/>
    </w:rPr>
  </w:style>
  <w:style w:type="character" w:styleId="1180" w:customStyle="1">
    <w:name w:val="正文文本首行缩进 2 字符"/>
    <w:basedOn w:val="1052"/>
    <w:link w:val="1031"/>
    <w:uiPriority w:val="0"/>
    <w:semiHidden/>
    <w:qFormat/>
    <w:rPr>
      <w:rFonts w:ascii="Times New Roman" w:hAnsi="Times New Roman" w:eastAsia="楷体_GB2312" w:cs="Times New Roman"/>
      <w:sz w:val="26"/>
    </w:rPr>
  </w:style>
  <w:style w:type="character" w:styleId="1181" w:customStyle="1">
    <w:name w:val="未处理的提及1"/>
    <w:basedOn w:val="986"/>
    <w:uiPriority w:val="99"/>
    <w:semiHidden/>
    <w:unhideWhenUsed/>
    <w:qFormat/>
    <w:rPr>
      <w:color w:val="605e5c"/>
      <w:shd w:val="clear" w:color="auto" w:fill="e1dfdd"/>
    </w:rPr>
  </w:style>
  <w:style w:type="paragraph" w:styleId="1182" w:customStyle="1">
    <w:name w:val="Revision"/>
    <w:hidden/>
    <w:uiPriority w:val="99"/>
    <w:unhideWhenUsed/>
    <w:qFormat/>
    <w:rPr>
      <w:rFonts w:ascii="Times New Roman" w:hAnsi="Times New Roman" w:eastAsia="楷体_GB2312" w:cs="Times New Roman"/>
      <w:sz w:val="26"/>
      <w:lang w:val="en-US" w:eastAsia="zh-CN" w:bidi="ar-SA"/>
    </w:rPr>
  </w:style>
  <w:style w:type="character" w:styleId="1183" w:customStyle="1">
    <w:name w:val="Unresolved Mention"/>
    <w:basedOn w:val="986"/>
    <w:uiPriority w:val="99"/>
    <w:semiHidden/>
    <w:unhideWhenUsed/>
    <w:qFormat/>
    <w:rPr>
      <w:color w:val="605e5c"/>
      <w:shd w:val="clear" w:color="auto" w:fill="e1dfdd"/>
    </w:rPr>
  </w:style>
  <w:style w:type="character" w:styleId="1184" w:customStyle="1">
    <w:name w:val="NormalCharacter"/>
    <w:uiPriority w:val="0"/>
    <w:semiHidden/>
    <w:qFormat/>
    <w:rPr>
      <w:rFonts w:ascii="Times New Roman" w:hAnsi="Times New Roman" w:eastAsia="宋体" w:cs="Times New Roman"/>
    </w:rPr>
  </w:style>
  <w:style w:type="paragraph" w:styleId="1185" w:customStyle="1">
    <w:name w:val="段"/>
    <w:next w:val="979"/>
    <w:uiPriority w:val="0"/>
    <w:qFormat/>
    <w:pPr>
      <w:ind w:firstLine="200"/>
      <w:jc w:val="both"/>
    </w:pPr>
    <w:rPr>
      <w:rFonts w:ascii="宋体" w:hAnsi="Times New Roman" w:eastAsia="宋体" w:cs="Times New Roman"/>
      <w:sz w:val="21"/>
      <w:lang w:val="en-US" w:eastAsia="zh-CN" w:bidi="ar-SA"/>
    </w:rPr>
  </w:style>
  <w:style w:type="paragraph" w:styleId="1186" w:customStyle="1">
    <w:name w:val="正文文本缩进11"/>
    <w:basedOn w:val="979"/>
    <w:next w:val="979"/>
    <w:uiPriority w:val="0"/>
    <w:qFormat/>
    <w:pPr>
      <w:ind w:left="420" w:firstLine="1188"/>
      <w:spacing w:line="360" w:lineRule="exact"/>
    </w:pPr>
    <w:rPr>
      <w:rFonts w:ascii="Times New Roman" w:hAnsi="Times New Roman" w:cs="Times New Roman"/>
    </w:rPr>
  </w:style>
  <w:style w:type="paragraph" w:styleId="1187" w:customStyle="1">
    <w:name w:val="纯文本7"/>
    <w:basedOn w:val="979"/>
    <w:uiPriority w:val="0"/>
    <w:qFormat/>
    <w:rPr>
      <w:rFonts w:ascii="宋体" w:hAnsi="Courier New" w:eastAsia="楷体_GB2312"/>
      <w:sz w:val="26"/>
      <w:szCs w:val="20"/>
    </w:rPr>
  </w:style>
  <w:style w:type="character" w:styleId="1188" w:customStyle="1">
    <w:name w:val="font31"/>
    <w:basedOn w:val="986"/>
    <w:uiPriority w:val="0"/>
    <w:qFormat/>
    <w:rPr>
      <w:rFonts w:hint="eastAsia" w:ascii="宋体" w:hAnsi="宋体" w:eastAsia="宋体" w:cs="宋体"/>
      <w:color w:val="000000"/>
      <w:sz w:val="22"/>
      <w:szCs w:val="22"/>
      <w:u w:val="none"/>
    </w:rPr>
  </w:style>
  <w:style w:type="character" w:styleId="1189" w:customStyle="1">
    <w:name w:val="font51"/>
    <w:basedOn w:val="986"/>
    <w:uiPriority w:val="0"/>
    <w:qFormat/>
    <w:rPr>
      <w:rFonts w:hint="eastAsia" w:ascii="宋体" w:hAnsi="宋体" w:eastAsia="宋体" w:cs="宋体"/>
      <w:color w:val="ff0000"/>
      <w:sz w:val="22"/>
      <w:szCs w:val="22"/>
      <w:u w:val="none"/>
    </w:rPr>
  </w:style>
  <w:style w:type="character" w:styleId="1190" w:customStyle="1">
    <w:name w:val="font121"/>
    <w:basedOn w:val="986"/>
    <w:uiPriority w:val="0"/>
    <w:qFormat/>
    <w:rPr>
      <w:rFonts w:hint="default" w:ascii="Times New Roman" w:hAnsi="Times New Roman" w:cs="Times New Roman"/>
      <w:color w:val="000000"/>
      <w:sz w:val="22"/>
      <w:szCs w:val="22"/>
      <w:u w:val="none"/>
    </w:rPr>
  </w:style>
  <w:style w:type="numbering" w:styleId="1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0868CB8-6367-4AA4-A3A1-381138FE095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陆帅晔</cp:lastModifiedBy>
  <cp:revision>216</cp:revision>
  <dcterms:created xsi:type="dcterms:W3CDTF">2025-04-07T07:47:00Z</dcterms:created>
  <dcterms:modified xsi:type="dcterms:W3CDTF">2026-09-09T07:53:16Z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0C4B605B3BB04204A88477B0D95789B6_13</vt:lpwstr>
  </property>
  <property fmtid="{D5CDD505-2E9C-101B-9397-08002B2CF9AE}" pid="4" name="KSOTemplateDocerSaveRecord">
    <vt:lpwstr>eyJoZGlkIjoiNTc4OTdiYWYwZmQ4ODk5ZDBiZTkxNmE1MjdiMmMwNTMiLCJ1c2VySWQiOiI1NjI3MjA1NTkifQ==</vt:lpwstr>
  </property>
</Properties>
</file>