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9"/>
        <w:ind w:firstLine="0"/>
        <w:jc w:val="center"/>
        <w:spacing w:line="480" w:lineRule="exact"/>
        <w:rPr>
          <w:sz w:val="28"/>
          <w:highlight w:val="none"/>
        </w:rPr>
      </w:pPr>
      <w:r>
        <w:rPr>
          <w:sz w:val="28"/>
          <w:highlight w:val="none"/>
        </w:rPr>
      </w:r>
      <w:r>
        <w:rPr>
          <w:highlight w:val="none"/>
        </w:rPr>
      </w:r>
    </w:p>
    <w:p>
      <w:pPr>
        <w:pStyle w:val="709"/>
        <w:ind w:firstLine="0"/>
        <w:jc w:val="center"/>
        <w:spacing w:line="480" w:lineRule="exact"/>
        <w:rPr>
          <w:rFonts w:hint="eastAsia"/>
          <w:sz w:val="28"/>
          <w:highlight w:val="none"/>
        </w:rPr>
      </w:pPr>
      <w:r>
        <w:rPr>
          <w:rFonts w:hint="eastAsia"/>
          <w:sz w:val="28"/>
          <w:highlight w:val="none"/>
        </w:rPr>
      </w:r>
      <w:r>
        <w:rPr>
          <w:highlight w:val="none"/>
        </w:rPr>
      </w:r>
    </w:p>
    <w:p>
      <w:pPr>
        <w:jc w:val="center"/>
        <w:rPr>
          <w:rFonts w:hint="eastAsia" w:ascii="黑体" w:hAnsi="黑体" w:eastAsia="黑体"/>
          <w:bCs/>
          <w:color w:val="000000"/>
          <w:sz w:val="96"/>
          <w:szCs w:val="96"/>
          <w:highlight w:val="none"/>
        </w:rPr>
      </w:pPr>
      <w:r>
        <w:rPr>
          <w:rFonts w:hint="eastAsia" w:ascii="黑体" w:hAnsi="黑体" w:eastAsia="黑体"/>
          <w:bCs/>
          <w:color w:val="000000"/>
          <w:sz w:val="96"/>
          <w:szCs w:val="96"/>
          <w:highlight w:val="none"/>
        </w:rPr>
      </w:r>
      <w:r>
        <w:rPr>
          <w:highlight w:val="none"/>
        </w:rPr>
      </w:r>
    </w:p>
    <w:p>
      <w:pPr>
        <w:jc w:val="center"/>
        <w:rPr>
          <w:rFonts w:ascii="黑体" w:hAnsi="黑体" w:eastAsia="黑体"/>
          <w:bCs/>
          <w:color w:val="000000"/>
          <w:sz w:val="96"/>
          <w:szCs w:val="96"/>
          <w:highlight w:val="none"/>
        </w:rPr>
      </w:pPr>
      <w:r>
        <w:rPr>
          <w:rFonts w:hint="eastAsia" w:ascii="黑体" w:hAnsi="黑体" w:eastAsia="黑体"/>
          <w:bCs/>
          <w:color w:val="000000"/>
          <w:sz w:val="96"/>
          <w:szCs w:val="96"/>
          <w:highlight w:val="none"/>
        </w:rPr>
        <w:t xml:space="preserve">询</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价</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文</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件</w:t>
      </w:r>
      <w:r>
        <w:rPr>
          <w:highlight w:val="none"/>
        </w:rPr>
      </w:r>
    </w:p>
    <w:p>
      <w:pPr>
        <w:pStyle w:val="709"/>
        <w:ind w:firstLine="0"/>
        <w:jc w:val="center"/>
        <w:spacing w:line="480" w:lineRule="exact"/>
        <w:rPr>
          <w:sz w:val="28"/>
          <w:highlight w:val="none"/>
        </w:rPr>
      </w:pPr>
      <w:r>
        <w:rPr>
          <w:sz w:val="28"/>
          <w:highlight w:val="none"/>
        </w:rPr>
      </w:r>
      <w:r>
        <w:rPr>
          <w:highlight w:val="none"/>
        </w:rPr>
      </w:r>
    </w:p>
    <w:p>
      <w:pPr>
        <w:pStyle w:val="709"/>
        <w:ind w:firstLine="0"/>
        <w:jc w:val="center"/>
        <w:spacing w:line="480" w:lineRule="exact"/>
        <w:rPr>
          <w:rFonts w:hint="eastAsia"/>
          <w:sz w:val="28"/>
          <w:highlight w:val="none"/>
        </w:rPr>
      </w:pPr>
      <w:r>
        <w:rPr>
          <w:rFonts w:hint="eastAsia"/>
          <w:sz w:val="28"/>
          <w:highlight w:val="none"/>
        </w:rPr>
      </w:r>
      <w:r>
        <w:rPr>
          <w:highlight w:val="none"/>
        </w:rPr>
      </w:r>
    </w:p>
    <w:p>
      <w:pPr>
        <w:jc w:val="center"/>
        <w:spacing w:line="360" w:lineRule="auto"/>
        <w:rPr>
          <w:rFonts w:hint="eastAsia" w:ascii="宋体" w:hAnsi="宋体"/>
          <w:b w:val="0"/>
          <w:bCs w:val="0"/>
          <w:color w:val="000000"/>
          <w:sz w:val="32"/>
          <w:highlight w:val="none"/>
        </w:rPr>
      </w:pPr>
      <w:r>
        <w:rPr>
          <w:rFonts w:hint="eastAsia" w:ascii="宋体" w:hAnsi="宋体"/>
          <w:b/>
          <w:bCs/>
          <w:color w:val="000000"/>
          <w:sz w:val="32"/>
          <w:highlight w:val="none"/>
        </w:rPr>
        <w:t xml:space="preserve">项目名称</w:t>
      </w:r>
      <w:bookmarkStart w:id="14" w:name="_GoBack"/>
      <w:r>
        <w:rPr>
          <w:rFonts w:hint="eastAsia" w:ascii="宋体" w:hAnsi="宋体"/>
          <w:b/>
          <w:bCs/>
          <w:color w:val="000000"/>
          <w:sz w:val="32"/>
          <w:highlight w:val="none"/>
        </w:rPr>
        <w:t xml:space="preserve">：江苏省南通中学附属实验学校教育教学设备采购项目（二次）</w:t>
      </w:r>
      <w:bookmarkEnd w:id="14"/>
      <w:r/>
      <w:r>
        <w:rPr>
          <w:highlight w:val="none"/>
        </w:rPr>
      </w:r>
    </w:p>
    <w:p>
      <w:pPr>
        <w:jc w:val="center"/>
        <w:spacing w:line="360" w:lineRule="auto"/>
        <w:rPr>
          <w:rFonts w:hint="default" w:ascii="Times New Roman" w:hAnsi="Times New Roman" w:eastAsia="宋体" w:cs="Times New Roman"/>
          <w:b w:val="0"/>
          <w:bCs w:val="0"/>
          <w:color w:val="000000" w:themeColor="text1"/>
          <w:sz w:val="32"/>
          <w:szCs w:val="32"/>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default" w:ascii="Times New Roman" w:hAnsi="Times New Roman" w:cs="Times New Roman"/>
          <w:b w:val="0"/>
          <w:bCs w:val="0"/>
          <w:color w:val="000000" w:themeColor="text1"/>
          <w:sz w:val="32"/>
          <w:szCs w:val="24"/>
          <w:highlight w:val="none"/>
          <w14:textFill>
            <w14:solidFill>
              <w14:schemeClr w14:val="tx1"/>
            </w14:solidFill>
          </w14:textFill>
        </w:rPr>
        <w:t xml:space="preserve">JSZC-320600-JZCG-X2026-0</w:t>
      </w:r>
      <w:r>
        <w:rPr>
          <w:rFonts w:hint="eastAsia" w:cs="Times New Roman"/>
          <w:b w:val="0"/>
          <w:bCs w:val="0"/>
          <w:color w:val="000000" w:themeColor="text1"/>
          <w:sz w:val="32"/>
          <w:szCs w:val="24"/>
          <w:highlight w:val="none"/>
          <w:lang w:val="en-US" w:eastAsia="zh-CN"/>
          <w14:textFill>
            <w14:solidFill>
              <w14:schemeClr w14:val="tx1"/>
            </w14:solidFill>
          </w14:textFill>
        </w:rPr>
        <w:t xml:space="preserve">117</w:t>
      </w:r>
      <w:r>
        <w:rPr>
          <w:highlight w:val="none"/>
        </w:rPr>
      </w:r>
    </w:p>
    <w:p>
      <w:pPr>
        <w:pStyle w:val="709"/>
        <w:ind w:firstLine="0"/>
        <w:jc w:val="center"/>
        <w:spacing w:line="480" w:lineRule="exact"/>
        <w:rPr>
          <w:rFonts w:hint="eastAsia"/>
          <w:color w:val="000000"/>
          <w:sz w:val="32"/>
          <w:highlight w:val="none"/>
        </w:rPr>
      </w:pPr>
      <w:r>
        <w:rPr>
          <w:rFonts w:hint="eastAsia"/>
          <w:color w:val="000000"/>
          <w:sz w:val="32"/>
          <w:highlight w:val="none"/>
        </w:rPr>
      </w:r>
      <w:r>
        <w:rPr>
          <w:highlight w:val="none"/>
        </w:rPr>
      </w:r>
    </w:p>
    <w:p>
      <w:pPr>
        <w:pStyle w:val="709"/>
        <w:ind w:firstLine="0"/>
        <w:jc w:val="center"/>
        <w:spacing w:line="480" w:lineRule="exact"/>
        <w:rPr>
          <w:rFonts w:hint="eastAsia"/>
          <w:color w:val="000000"/>
          <w:sz w:val="32"/>
          <w:highlight w:val="none"/>
        </w:rPr>
      </w:pPr>
      <w:r>
        <w:rPr>
          <w:rFonts w:hint="eastAsia"/>
          <w:color w:val="000000"/>
          <w:sz w:val="32"/>
          <w:highlight w:val="none"/>
        </w:rPr>
      </w:r>
      <w:r>
        <w:rPr>
          <w:highlight w:val="none"/>
        </w:rPr>
      </w:r>
    </w:p>
    <w:p>
      <w:pPr>
        <w:pStyle w:val="709"/>
        <w:ind w:firstLine="0"/>
        <w:jc w:val="center"/>
        <w:spacing w:line="480" w:lineRule="exact"/>
        <w:rPr>
          <w:rFonts w:hint="eastAsia"/>
          <w:color w:val="000000"/>
          <w:sz w:val="32"/>
          <w:highlight w:val="none"/>
        </w:rPr>
      </w:pPr>
      <w:r>
        <w:rPr>
          <w:rFonts w:hint="eastAsia"/>
          <w:color w:val="000000"/>
          <w:sz w:val="32"/>
          <w:highlight w:val="none"/>
        </w:rPr>
      </w:r>
      <w:r>
        <w:rPr>
          <w:highlight w:val="none"/>
        </w:rPr>
      </w:r>
    </w:p>
    <w:p>
      <w:pPr>
        <w:pStyle w:val="709"/>
        <w:ind w:firstLine="0"/>
        <w:jc w:val="center"/>
        <w:spacing w:line="480" w:lineRule="exact"/>
        <w:rPr>
          <w:rFonts w:hint="eastAsia"/>
          <w:color w:val="000000"/>
          <w:sz w:val="32"/>
          <w:highlight w:val="none"/>
        </w:rPr>
      </w:pPr>
      <w:r>
        <w:rPr>
          <w:rFonts w:hint="eastAsia"/>
          <w:color w:val="000000"/>
          <w:sz w:val="32"/>
          <w:highlight w:val="none"/>
        </w:rPr>
      </w:r>
      <w:r>
        <w:rPr>
          <w:highlight w:val="none"/>
        </w:rPr>
      </w:r>
    </w:p>
    <w:p>
      <w:pPr>
        <w:pStyle w:val="709"/>
        <w:ind w:firstLine="0"/>
        <w:jc w:val="center"/>
        <w:spacing w:line="480" w:lineRule="exact"/>
        <w:rPr>
          <w:rFonts w:hint="eastAsia"/>
          <w:color w:val="000000"/>
          <w:sz w:val="32"/>
          <w:highlight w:val="none"/>
        </w:rPr>
      </w:pPr>
      <w:r>
        <w:rPr>
          <w:rFonts w:hint="eastAsia"/>
          <w:color w:val="000000"/>
          <w:sz w:val="32"/>
          <w:highlight w:val="none"/>
        </w:rPr>
      </w:r>
      <w:r>
        <w:rPr>
          <w:highlight w:val="none"/>
        </w:rPr>
      </w:r>
    </w:p>
    <w:p>
      <w:pPr>
        <w:pStyle w:val="709"/>
        <w:ind w:firstLine="0"/>
        <w:jc w:val="center"/>
        <w:spacing w:line="480" w:lineRule="exact"/>
        <w:rPr>
          <w:rFonts w:hint="eastAsia"/>
          <w:color w:val="000000"/>
          <w:sz w:val="32"/>
          <w:highlight w:val="none"/>
        </w:rPr>
      </w:pPr>
      <w:r>
        <w:rPr>
          <w:rFonts w:hint="eastAsia"/>
          <w:color w:val="000000"/>
          <w:sz w:val="32"/>
          <w:highlight w:val="none"/>
        </w:rPr>
      </w:r>
      <w:r>
        <w:rPr>
          <w:highlight w:val="none"/>
        </w:rPr>
      </w:r>
    </w:p>
    <w:p>
      <w:pPr>
        <w:pStyle w:val="709"/>
        <w:ind w:firstLine="0"/>
        <w:jc w:val="center"/>
        <w:spacing w:line="480" w:lineRule="exact"/>
        <w:rPr>
          <w:rFonts w:hint="eastAsia"/>
          <w:color w:val="000000"/>
          <w:sz w:val="32"/>
          <w:highlight w:val="none"/>
        </w:rPr>
      </w:pPr>
      <w:r>
        <w:rPr>
          <w:rFonts w:hint="eastAsia"/>
          <w:color w:val="000000"/>
          <w:sz w:val="32"/>
          <w:highlight w:val="none"/>
        </w:rPr>
      </w:r>
      <w:r>
        <w:rPr>
          <w:highlight w:val="none"/>
        </w:rPr>
      </w:r>
    </w:p>
    <w:p>
      <w:pPr>
        <w:pStyle w:val="709"/>
        <w:ind w:firstLine="0"/>
        <w:jc w:val="center"/>
        <w:spacing w:line="480" w:lineRule="exact"/>
        <w:rPr>
          <w:rFonts w:hint="eastAsia"/>
          <w:color w:val="000000"/>
          <w:sz w:val="32"/>
          <w:highlight w:val="none"/>
        </w:rPr>
      </w:pPr>
      <w:r>
        <w:rPr>
          <w:rFonts w:hint="eastAsia"/>
          <w:color w:val="000000"/>
          <w:sz w:val="32"/>
          <w:highlight w:val="none"/>
        </w:rPr>
      </w:r>
      <w:r>
        <w:rPr>
          <w:highlight w:val="none"/>
        </w:rPr>
      </w:r>
    </w:p>
    <w:p>
      <w:pPr>
        <w:pStyle w:val="709"/>
        <w:ind w:firstLine="0"/>
        <w:jc w:val="center"/>
        <w:spacing w:line="480" w:lineRule="exact"/>
        <w:rPr>
          <w:rFonts w:hint="eastAsia"/>
          <w:color w:val="000000"/>
          <w:sz w:val="32"/>
          <w:highlight w:val="none"/>
        </w:rPr>
      </w:pPr>
      <w:r>
        <w:rPr>
          <w:rFonts w:hint="eastAsia"/>
          <w:color w:val="000000"/>
          <w:sz w:val="32"/>
          <w:highlight w:val="none"/>
          <w:lang w:val="en-US" w:eastAsia="zh-CN"/>
        </w:rPr>
        <w:t xml:space="preserve">南通市教育技术中心</w:t>
      </w:r>
      <w:r>
        <w:rPr>
          <w:highlight w:val="none"/>
        </w:rPr>
      </w:r>
    </w:p>
    <w:p>
      <w:pPr>
        <w:pStyle w:val="709"/>
        <w:ind w:firstLine="0"/>
        <w:jc w:val="center"/>
        <w:spacing w:line="480" w:lineRule="exact"/>
        <w:rPr>
          <w:rFonts w:hint="eastAsia"/>
          <w:color w:val="000000"/>
          <w:sz w:val="32"/>
          <w:highlight w:val="none"/>
        </w:rPr>
      </w:pPr>
      <w:r>
        <w:rPr>
          <w:rFonts w:hint="eastAsia"/>
          <w:color w:val="000000"/>
          <w:sz w:val="32"/>
          <w:highlight w:val="none"/>
        </w:rPr>
      </w:r>
      <w:r>
        <w:rPr>
          <w:highlight w:val="none"/>
        </w:rPr>
      </w:r>
    </w:p>
    <w:p>
      <w:pPr>
        <w:jc w:val="center"/>
        <w:spacing w:line="360" w:lineRule="auto"/>
        <w:rPr>
          <w:rFonts w:hint="eastAsia"/>
          <w:sz w:val="24"/>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rPr>
        <w:t xml:space="preserve">6年</w:t>
      </w:r>
      <w:r>
        <w:rPr>
          <w:rFonts w:hint="eastAsia" w:ascii="宋体" w:hAnsi="宋体"/>
          <w:color w:val="000000"/>
          <w:sz w:val="32"/>
          <w:highlight w:val="none"/>
          <w:lang w:val="en-US" w:eastAsia="zh-CN"/>
        </w:rPr>
        <w:t xml:space="preserve">9</w:t>
      </w:r>
      <w:r>
        <w:rPr>
          <w:rFonts w:hint="eastAsia" w:ascii="宋体" w:hAnsi="宋体"/>
          <w:color w:val="000000"/>
          <w:sz w:val="32"/>
          <w:highlight w:val="none"/>
        </w:rPr>
        <w:t xml:space="preserve">月</w:t>
      </w:r>
      <w:r>
        <w:rPr>
          <w:highlight w:val="none"/>
        </w:rPr>
      </w:r>
    </w:p>
    <w:p>
      <w:pPr>
        <w:pStyle w:val="709"/>
        <w:ind w:firstLine="0"/>
        <w:jc w:val="center"/>
        <w:spacing w:line="480" w:lineRule="exact"/>
        <w:rPr>
          <w:sz w:val="28"/>
          <w:highlight w:val="none"/>
        </w:rPr>
      </w:pPr>
      <w:r>
        <w:rPr>
          <w:highlight w:val="none"/>
          <w:lang w:eastAsia="zh-CN"/>
        </w:rPr>
        <w:br w:type="page" w:clear="all"/>
      </w:r>
      <w:r>
        <w:rPr>
          <w:highlight w:val="none"/>
        </w:rPr>
      </w:r>
    </w:p>
    <w:p>
      <w:pPr>
        <w:pStyle w:val="709"/>
        <w:ind w:firstLine="0"/>
        <w:jc w:val="center"/>
        <w:spacing w:line="480" w:lineRule="exact"/>
        <w:rPr>
          <w:sz w:val="52"/>
          <w:szCs w:val="36"/>
          <w:highlight w:val="none"/>
        </w:rPr>
      </w:pPr>
      <w:r>
        <w:rPr>
          <w:sz w:val="52"/>
          <w:szCs w:val="36"/>
          <w:highlight w:val="none"/>
        </w:rPr>
      </w:r>
      <w:r>
        <w:rPr>
          <w:highlight w:val="none"/>
        </w:rPr>
      </w:r>
    </w:p>
    <w:sdt>
      <w:sdtPr>
        <w15:appearance w15:val="boundingBox"/>
        <w15:color w:val="dbdbdb"/>
        <w:id w:val="147460172"/>
        <w:docPartObj>
          <w:docPartGallery w:val="Table of Contents"/>
          <w:docPartUnique w:val="true"/>
        </w:docPartObj>
        <w:rPr>
          <w:rFonts w:hint="default" w:ascii="宋体" w:hAnsi="宋体" w:eastAsia="宋体" w:cs="Times New Roman"/>
          <w:sz w:val="40"/>
          <w:szCs w:val="36"/>
          <w:lang w:val="en-US" w:eastAsia="zh-CN" w:bidi="ar-SA"/>
        </w:rPr>
      </w:sdtPr>
      <w:sdtContent>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t xml:space="preserve">目录</w:t>
          </w:r>
          <w:r>
            <w:rPr>
              <w:highlight w:val="none"/>
            </w:rP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rPr>
              <w:highlight w:val="none"/>
            </w:rP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rPr>
              <w:highlight w:val="none"/>
            </w:rP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rPr>
              <w:highlight w:val="none"/>
            </w:rPr>
          </w:r>
        </w:p>
        <w:p>
          <w:pPr>
            <w:pStyle w:val="693"/>
            <w:keepLines w:val="0"/>
            <w:keepNext w:val="0"/>
            <w:pageBreakBefore w:val="0"/>
            <w:spacing w:line="560" w:lineRule="exact"/>
            <w:widowControl w:val="off"/>
            <w:tabs>
              <w:tab w:val="right" w:pos="8504" w:leader="dot"/>
            </w:tabs>
            <w:rPr>
              <w:sz w:val="36"/>
              <w:szCs w:val="32"/>
              <w:highlight w:val="none"/>
            </w:rPr>
          </w:pPr>
          <w:r>
            <w:rPr>
              <w:sz w:val="52"/>
              <w:szCs w:val="36"/>
              <w:highlight w:val="none"/>
              <w:lang w:eastAsia="zh-CN"/>
            </w:rPr>
            <w:fldChar w:fldCharType="begin"/>
          </w:r>
          <w:r>
            <w:rPr>
              <w:sz w:val="52"/>
              <w:szCs w:val="36"/>
              <w:highlight w:val="none"/>
              <w:lang w:eastAsia="zh-CN"/>
            </w:rPr>
            <w:instrText xml:space="preserve">TOC \o "1-1" \h \u </w:instrText>
          </w:r>
          <w:r>
            <w:rPr>
              <w:sz w:val="52"/>
              <w:szCs w:val="36"/>
              <w:highlight w:val="none"/>
              <w:lang w:eastAsia="zh-CN"/>
            </w:rPr>
            <w:fldChar w:fldCharType="separate"/>
          </w:r>
          <w:r>
            <w:rPr>
              <w:sz w:val="36"/>
              <w:szCs w:val="32"/>
              <w:highlight w:val="none"/>
              <w:lang w:eastAsia="zh-CN"/>
            </w:rPr>
            <w:fldChar w:fldCharType="begin"/>
          </w:r>
          <w:r>
            <w:rPr>
              <w:sz w:val="36"/>
              <w:szCs w:val="32"/>
              <w:highlight w:val="none"/>
              <w:lang w:eastAsia="zh-CN"/>
            </w:rPr>
            <w:instrText xml:space="preserve"> HYPERLINK \l _Toc18975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第一章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询价</w:t>
          </w:r>
          <w:r>
            <w:rPr>
              <w:rFonts w:hint="eastAsia" w:ascii="黑体" w:hAnsi="黑体" w:eastAsia="黑体" w:cs="黑体"/>
              <w:sz w:val="36"/>
              <w:szCs w:val="32"/>
              <w:highlight w:val="none"/>
              <w:lang w:eastAsia="zh-CN"/>
            </w:rPr>
            <w:t xml:space="preserve">邀请</w:t>
          </w:r>
          <w:r>
            <w:rPr>
              <w:sz w:val="36"/>
              <w:szCs w:val="32"/>
              <w:highlight w:val="none"/>
            </w:rPr>
            <w:tab/>
          </w:r>
          <w:r>
            <w:rPr>
              <w:sz w:val="36"/>
              <w:szCs w:val="32"/>
              <w:highlight w:val="none"/>
            </w:rPr>
            <w:fldChar w:fldCharType="begin"/>
          </w:r>
          <w:r>
            <w:rPr>
              <w:sz w:val="36"/>
              <w:szCs w:val="32"/>
              <w:highlight w:val="none"/>
            </w:rPr>
            <w:instrText xml:space="preserve"> PAGEREF _Toc18975 \h </w:instrText>
          </w:r>
          <w:r>
            <w:rPr>
              <w:sz w:val="36"/>
              <w:szCs w:val="32"/>
              <w:highlight w:val="none"/>
            </w:rPr>
            <w:fldChar w:fldCharType="separate"/>
          </w:r>
          <w:r>
            <w:rPr>
              <w:sz w:val="36"/>
              <w:szCs w:val="32"/>
              <w:highlight w:val="none"/>
            </w:rPr>
            <w:t xml:space="preserve">3</w:t>
          </w:r>
          <w:r>
            <w:rPr>
              <w:sz w:val="36"/>
              <w:szCs w:val="32"/>
              <w:highlight w:val="none"/>
            </w:rPr>
            <w:fldChar w:fldCharType="end"/>
          </w:r>
          <w:r>
            <w:rPr>
              <w:sz w:val="36"/>
              <w:szCs w:val="32"/>
              <w:highlight w:val="none"/>
              <w:lang w:eastAsia="zh-CN"/>
            </w:rPr>
            <w:fldChar w:fldCharType="end"/>
          </w:r>
          <w:r>
            <w:rPr>
              <w:highlight w:val="none"/>
            </w:rPr>
          </w:r>
        </w:p>
        <w:p>
          <w:pPr>
            <w:pStyle w:val="693"/>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_Toc25625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第二</w:t>
          </w:r>
          <w:r>
            <w:rPr>
              <w:rFonts w:hint="eastAsia" w:ascii="黑体" w:hAnsi="黑体" w:eastAsia="黑体" w:cs="黑体"/>
              <w:sz w:val="36"/>
              <w:szCs w:val="32"/>
              <w:highlight w:val="none"/>
              <w:lang w:eastAsia="zh-CN"/>
            </w:rPr>
            <w:t xml:space="preserve">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供应商</w:t>
          </w:r>
          <w:r>
            <w:rPr>
              <w:rFonts w:ascii="黑体" w:hAnsi="黑体" w:eastAsia="黑体" w:cs="黑体"/>
              <w:sz w:val="36"/>
              <w:szCs w:val="32"/>
              <w:highlight w:val="none"/>
              <w:lang w:eastAsia="zh-CN"/>
            </w:rPr>
            <w:t xml:space="preserve">须知</w:t>
          </w:r>
          <w:r>
            <w:rPr>
              <w:sz w:val="36"/>
              <w:szCs w:val="32"/>
              <w:highlight w:val="none"/>
            </w:rPr>
            <w:tab/>
          </w:r>
          <w:r>
            <w:rPr>
              <w:sz w:val="36"/>
              <w:szCs w:val="32"/>
              <w:highlight w:val="none"/>
            </w:rPr>
            <w:fldChar w:fldCharType="begin"/>
          </w:r>
          <w:r>
            <w:rPr>
              <w:sz w:val="36"/>
              <w:szCs w:val="32"/>
              <w:highlight w:val="none"/>
            </w:rPr>
            <w:instrText xml:space="preserve"> PAGEREF _Toc25625 \h </w:instrText>
          </w:r>
          <w:r>
            <w:rPr>
              <w:sz w:val="36"/>
              <w:szCs w:val="32"/>
              <w:highlight w:val="none"/>
            </w:rPr>
            <w:fldChar w:fldCharType="separate"/>
          </w:r>
          <w:r>
            <w:rPr>
              <w:sz w:val="36"/>
              <w:szCs w:val="32"/>
              <w:highlight w:val="none"/>
            </w:rPr>
            <w:t xml:space="preserve">7</w:t>
          </w:r>
          <w:r>
            <w:rPr>
              <w:sz w:val="36"/>
              <w:szCs w:val="32"/>
              <w:highlight w:val="none"/>
            </w:rPr>
            <w:fldChar w:fldCharType="end"/>
          </w:r>
          <w:r>
            <w:rPr>
              <w:sz w:val="36"/>
              <w:szCs w:val="32"/>
              <w:highlight w:val="none"/>
              <w:lang w:eastAsia="zh-CN"/>
            </w:rPr>
            <w:fldChar w:fldCharType="end"/>
          </w:r>
          <w:r>
            <w:rPr>
              <w:highlight w:val="none"/>
            </w:rPr>
          </w:r>
        </w:p>
        <w:p>
          <w:pPr>
            <w:pStyle w:val="693"/>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_Toc8121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w:t>
          </w:r>
          <w:r>
            <w:rPr>
              <w:rFonts w:hint="eastAsia" w:ascii="黑体" w:hAnsi="黑体" w:eastAsia="黑体" w:cs="黑体"/>
              <w:sz w:val="36"/>
              <w:szCs w:val="32"/>
              <w:highlight w:val="none"/>
              <w:lang w:eastAsia="zh-CN"/>
            </w:rPr>
            <w:t xml:space="preserve">三章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文本合同</w:t>
          </w:r>
          <w:r>
            <w:rPr>
              <w:sz w:val="36"/>
              <w:szCs w:val="32"/>
              <w:highlight w:val="none"/>
            </w:rPr>
            <w:tab/>
          </w:r>
          <w:r>
            <w:rPr>
              <w:sz w:val="36"/>
              <w:szCs w:val="32"/>
              <w:highlight w:val="none"/>
            </w:rPr>
            <w:fldChar w:fldCharType="begin"/>
          </w:r>
          <w:r>
            <w:rPr>
              <w:sz w:val="36"/>
              <w:szCs w:val="32"/>
              <w:highlight w:val="none"/>
            </w:rPr>
            <w:instrText xml:space="preserve"> PAGEREF _Toc8121 \h </w:instrText>
          </w:r>
          <w:r>
            <w:rPr>
              <w:sz w:val="36"/>
              <w:szCs w:val="32"/>
              <w:highlight w:val="none"/>
            </w:rPr>
            <w:fldChar w:fldCharType="separate"/>
          </w:r>
          <w:r>
            <w:rPr>
              <w:sz w:val="36"/>
              <w:szCs w:val="32"/>
              <w:highlight w:val="none"/>
            </w:rPr>
            <w:t xml:space="preserve">20</w:t>
          </w:r>
          <w:r>
            <w:rPr>
              <w:sz w:val="36"/>
              <w:szCs w:val="32"/>
              <w:highlight w:val="none"/>
            </w:rPr>
            <w:fldChar w:fldCharType="end"/>
          </w:r>
          <w:r>
            <w:rPr>
              <w:sz w:val="36"/>
              <w:szCs w:val="32"/>
              <w:highlight w:val="none"/>
              <w:lang w:eastAsia="zh-CN"/>
            </w:rPr>
            <w:fldChar w:fldCharType="end"/>
          </w:r>
          <w:r>
            <w:rPr>
              <w:highlight w:val="none"/>
            </w:rPr>
          </w:r>
        </w:p>
        <w:p>
          <w:pPr>
            <w:pStyle w:val="693"/>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_Toc26847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第四章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采购</w:t>
          </w:r>
          <w:r>
            <w:rPr>
              <w:rFonts w:ascii="黑体" w:hAnsi="黑体" w:eastAsia="黑体" w:cs="黑体"/>
              <w:sz w:val="36"/>
              <w:szCs w:val="32"/>
              <w:highlight w:val="none"/>
              <w:lang w:eastAsia="zh-CN"/>
            </w:rPr>
            <w:t xml:space="preserve">需求</w:t>
          </w:r>
          <w:r>
            <w:rPr>
              <w:sz w:val="36"/>
              <w:szCs w:val="32"/>
              <w:highlight w:val="none"/>
            </w:rPr>
            <w:tab/>
          </w:r>
          <w:r>
            <w:rPr>
              <w:sz w:val="36"/>
              <w:szCs w:val="32"/>
              <w:highlight w:val="none"/>
            </w:rPr>
            <w:fldChar w:fldCharType="begin"/>
          </w:r>
          <w:r>
            <w:rPr>
              <w:sz w:val="36"/>
              <w:szCs w:val="32"/>
              <w:highlight w:val="none"/>
            </w:rPr>
            <w:instrText xml:space="preserve"> PAGEREF _Toc26847 \h </w:instrText>
          </w:r>
          <w:r>
            <w:rPr>
              <w:sz w:val="36"/>
              <w:szCs w:val="32"/>
              <w:highlight w:val="none"/>
            </w:rPr>
            <w:fldChar w:fldCharType="separate"/>
          </w:r>
          <w:r>
            <w:rPr>
              <w:sz w:val="36"/>
              <w:szCs w:val="32"/>
              <w:highlight w:val="none"/>
            </w:rPr>
            <w:t xml:space="preserve">36</w:t>
          </w:r>
          <w:r>
            <w:rPr>
              <w:sz w:val="36"/>
              <w:szCs w:val="32"/>
              <w:highlight w:val="none"/>
            </w:rPr>
            <w:fldChar w:fldCharType="end"/>
          </w:r>
          <w:r>
            <w:rPr>
              <w:sz w:val="36"/>
              <w:szCs w:val="32"/>
              <w:highlight w:val="none"/>
              <w:lang w:eastAsia="zh-CN"/>
            </w:rPr>
            <w:fldChar w:fldCharType="end"/>
          </w:r>
          <w:r>
            <w:rPr>
              <w:highlight w:val="none"/>
            </w:rPr>
          </w:r>
        </w:p>
        <w:p>
          <w:pPr>
            <w:pStyle w:val="693"/>
            <w:keepLines w:val="0"/>
            <w:keepNext w:val="0"/>
            <w:pageBreakBefore w:val="0"/>
            <w:spacing w:line="560" w:lineRule="exact"/>
            <w:widowControl w:val="off"/>
            <w:tabs>
              <w:tab w:val="right" w:pos="8504" w:leader="dot"/>
            </w:tabs>
            <w:rPr>
              <w:sz w:val="40"/>
              <w:szCs w:val="36"/>
              <w:highlight w:val="none"/>
            </w:rPr>
          </w:pPr>
          <w:r>
            <w:rPr>
              <w:sz w:val="36"/>
              <w:szCs w:val="32"/>
              <w:highlight w:val="none"/>
              <w:lang w:eastAsia="zh-CN"/>
            </w:rPr>
            <w:fldChar w:fldCharType="begin"/>
          </w:r>
          <w:r>
            <w:rPr>
              <w:sz w:val="36"/>
              <w:szCs w:val="32"/>
              <w:highlight w:val="none"/>
              <w:lang w:eastAsia="zh-CN"/>
            </w:rPr>
            <w:instrText xml:space="preserve"> HYPERLINK \l _Toc3917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第五章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响应文件格式</w:t>
          </w:r>
          <w:r>
            <w:rPr>
              <w:sz w:val="36"/>
              <w:szCs w:val="32"/>
              <w:highlight w:val="none"/>
            </w:rPr>
            <w:tab/>
          </w:r>
          <w:r>
            <w:rPr>
              <w:sz w:val="36"/>
              <w:szCs w:val="32"/>
              <w:highlight w:val="none"/>
            </w:rPr>
            <w:fldChar w:fldCharType="begin"/>
          </w:r>
          <w:r>
            <w:rPr>
              <w:sz w:val="36"/>
              <w:szCs w:val="32"/>
              <w:highlight w:val="none"/>
            </w:rPr>
            <w:instrText xml:space="preserve"> PAGEREF _Toc3917 \h </w:instrText>
          </w:r>
          <w:r>
            <w:rPr>
              <w:sz w:val="36"/>
              <w:szCs w:val="32"/>
              <w:highlight w:val="none"/>
            </w:rPr>
            <w:fldChar w:fldCharType="separate"/>
          </w:r>
          <w:r>
            <w:rPr>
              <w:sz w:val="36"/>
              <w:szCs w:val="32"/>
              <w:highlight w:val="none"/>
            </w:rPr>
            <w:t xml:space="preserve">48</w:t>
          </w:r>
          <w:r>
            <w:rPr>
              <w:sz w:val="36"/>
              <w:szCs w:val="32"/>
              <w:highlight w:val="none"/>
            </w:rPr>
            <w:fldChar w:fldCharType="end"/>
          </w:r>
          <w:r>
            <w:rPr>
              <w:sz w:val="36"/>
              <w:szCs w:val="32"/>
              <w:highlight w:val="none"/>
              <w:lang w:eastAsia="zh-CN"/>
            </w:rPr>
            <w:fldChar w:fldCharType="end"/>
          </w:r>
          <w:r>
            <w:rPr>
              <w:highlight w:val="none"/>
            </w:rPr>
          </w:r>
        </w:p>
        <w:p>
          <w:pPr>
            <w:pStyle w:val="709"/>
            <w:ind w:firstLine="0"/>
            <w:jc w:val="center"/>
            <w:spacing w:line="480" w:lineRule="exact"/>
            <w:rPr>
              <w:rFonts w:hint="default" w:ascii="宋体" w:hAnsi="宋体" w:eastAsia="宋体" w:cs="Times New Roman"/>
              <w:sz w:val="20"/>
              <w:szCs w:val="20"/>
              <w:highlight w:val="none"/>
            </w:rPr>
          </w:pPr>
          <w:r>
            <w:rPr>
              <w:sz w:val="36"/>
              <w:szCs w:val="36"/>
              <w:highlight w:val="none"/>
              <w:lang w:eastAsia="zh-CN"/>
            </w:rPr>
            <w:fldChar w:fldCharType="end"/>
          </w:r>
          <w:r>
            <w:rPr>
              <w:highlight w:val="none"/>
            </w:rPr>
          </w:r>
        </w:p>
      </w:sdtContent>
    </w:sdt>
    <w:p>
      <w:pPr>
        <w:rPr>
          <w:rFonts w:ascii="黑体" w:hAnsi="黑体" w:eastAsia="黑体" w:cs="黑体"/>
          <w:color w:val="000000"/>
          <w:sz w:val="44"/>
          <w:szCs w:val="44"/>
          <w:highlight w:val="none"/>
        </w:rPr>
        <w:outlineLvl w:val="0"/>
      </w:pPr>
      <w:r>
        <w:rPr>
          <w:highlight w:val="none"/>
        </w:rPr>
        <w:br w:type="page" w:clear="all"/>
      </w:r>
      <w:r>
        <w:rPr>
          <w:highlight w:val="none"/>
        </w:rPr>
      </w:r>
    </w:p>
    <w:p>
      <w:pPr>
        <w:pStyle w:val="709"/>
        <w:ind w:firstLine="0"/>
        <w:jc w:val="center"/>
        <w:rPr>
          <w:highlight w:val="none"/>
        </w:rPr>
        <w:outlineLvl w:val="0"/>
      </w:pPr>
      <w:r>
        <w:rPr>
          <w:highlight w:val="none"/>
        </w:rPr>
      </w:r>
      <w:bookmarkStart w:id="0" w:name="_Toc30211"/>
      <w:r>
        <w:rPr>
          <w:highlight w:val="none"/>
        </w:rPr>
      </w:r>
      <w:bookmarkStart w:id="1" w:name="_Toc8717"/>
      <w:r>
        <w:rPr>
          <w:highlight w:val="none"/>
        </w:rPr>
      </w:r>
      <w:bookmarkStart w:id="2" w:name="_Toc18975"/>
      <w:r>
        <w:rPr>
          <w:rFonts w:hint="eastAsia" w:ascii="黑体" w:hAnsi="黑体" w:eastAsia="黑体" w:cs="黑体"/>
          <w:color w:val="000000"/>
          <w:sz w:val="44"/>
          <w:highlight w:val="none"/>
          <w:lang w:eastAsia="zh-CN"/>
        </w:rPr>
        <w:t xml:space="preserve">第一章</w:t>
      </w:r>
      <w:bookmarkEnd w:id="0"/>
      <w:r>
        <w:rPr>
          <w:highlight w:val="none"/>
        </w:rPr>
      </w:r>
      <w:bookmarkEnd w:id="1"/>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询价</w:t>
      </w:r>
      <w:r>
        <w:rPr>
          <w:rFonts w:hint="eastAsia" w:ascii="黑体" w:hAnsi="黑体" w:eastAsia="黑体" w:cs="黑体"/>
          <w:color w:val="000000"/>
          <w:sz w:val="44"/>
          <w:highlight w:val="none"/>
          <w:lang w:eastAsia="zh-CN"/>
        </w:rPr>
        <w:t xml:space="preserve">邀请</w:t>
      </w:r>
      <w:bookmarkEnd w:id="2"/>
      <w:r>
        <w:rPr>
          <w:highlight w:val="none"/>
        </w:rPr>
      </w:r>
      <w:r>
        <w:rPr>
          <w:highlight w:val="none"/>
        </w:rPr>
      </w:r>
    </w:p>
    <w:p>
      <w:pPr>
        <w:keepLines w:val="0"/>
        <w:keepNext w:val="0"/>
        <w:pageBreakBefore w:val="0"/>
        <w:spacing w:line="480" w:lineRule="exact"/>
        <w:widowControl w:val="off"/>
        <w:rPr>
          <w:rFonts w:hint="eastAsia" w:ascii="仿宋" w:hAnsi="仿宋" w:eastAsia="仿宋" w:cs="仿宋"/>
          <w:b/>
          <w:sz w:val="28"/>
          <w:szCs w:val="28"/>
          <w:highlight w:val="none"/>
        </w:rPr>
        <w:pBdr>
          <w:top w:val="single" w:color="000000" w:sz="4" w:space="0"/>
          <w:left w:val="single" w:color="000000" w:sz="4" w:space="0"/>
          <w:bottom w:val="single" w:color="000000" w:sz="4" w:space="0"/>
          <w:right w:val="single" w:color="000000" w:sz="4" w:space="2"/>
        </w:pBdr>
      </w:pPr>
      <w:r>
        <w:rPr>
          <w:highlight w:val="none"/>
        </w:rPr>
      </w:r>
      <w:bookmarkStart w:id="3" w:name="_Toc29543"/>
      <w:r>
        <w:rPr>
          <w:rFonts w:hint="eastAsia" w:ascii="仿宋" w:hAnsi="仿宋" w:eastAsia="仿宋" w:cs="仿宋"/>
          <w:b/>
          <w:sz w:val="28"/>
          <w:szCs w:val="28"/>
          <w:highlight w:val="none"/>
        </w:rPr>
        <w:t xml:space="preserve">项目概况</w:t>
      </w:r>
      <w:r>
        <w:rPr>
          <w:highlight w:val="none"/>
        </w:rPr>
      </w:r>
    </w:p>
    <w:p>
      <w:pPr>
        <w:ind w:firstLine="482"/>
        <w:keepLines w:val="0"/>
        <w:keepNext w:val="0"/>
        <w:pageBreakBefore w:val="0"/>
        <w:spacing w:line="480" w:lineRule="exact"/>
        <w:widowControl w:val="off"/>
        <w:rPr>
          <w:rFonts w:hint="eastAsia" w:ascii="仿宋" w:hAnsi="仿宋" w:eastAsia="仿宋" w:cs="仿宋"/>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sz w:val="28"/>
          <w:szCs w:val="28"/>
          <w:highlight w:val="none"/>
        </w:rPr>
        <w:t xml:space="preserve">江苏省南通中学附属实验学校教育教学设备采购项目（二次）的潜在供应商应在江苏政府采购网获取采购文件，并于2026年</w:t>
      </w:r>
      <w:r>
        <w:rPr>
          <w:rFonts w:hint="eastAsia" w:ascii="仿宋" w:hAnsi="仿宋" w:eastAsia="仿宋" w:cs="仿宋"/>
          <w:sz w:val="28"/>
          <w:szCs w:val="28"/>
          <w:highlight w:val="none"/>
          <w:lang w:val="en-US" w:eastAsia="zh-CN"/>
        </w:rPr>
        <w:t xml:space="preserve">9</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rPr>
        <w:t xml:space="preserve">00（北京时间）前提交响应文件。</w:t>
      </w:r>
      <w:r>
        <w:rPr>
          <w:highlight w:val="none"/>
        </w:rPr>
      </w:r>
    </w:p>
    <w:p>
      <w:pPr>
        <w:pStyle w:val="709"/>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一、项目基本情况</w:t>
      </w:r>
      <w:r>
        <w:rPr>
          <w:highlight w:val="none"/>
        </w:rPr>
      </w:r>
    </w:p>
    <w:p>
      <w:pPr>
        <w:pStyle w:val="709"/>
        <w:ind w:firstLine="560"/>
        <w:keepLines w:val="0"/>
        <w:keepNext w:val="0"/>
        <w:pageBreakBefore w:val="0"/>
        <w:spacing w:line="460" w:lineRule="exact"/>
        <w:widowControl w:val="off"/>
        <w:rPr>
          <w:rFonts w:hint="default" w:ascii="仿宋" w:hAnsi="仿宋" w:eastAsia="仿宋" w:cs="仿宋"/>
          <w:sz w:val="28"/>
          <w:highlight w:val="none"/>
        </w:rPr>
      </w:pPr>
      <w:r>
        <w:rPr>
          <w:rFonts w:hint="eastAsia" w:ascii="仿宋" w:hAnsi="仿宋" w:eastAsia="仿宋" w:cs="仿宋"/>
          <w:sz w:val="28"/>
          <w:highlight w:val="none"/>
          <w:lang w:eastAsia="zh-CN"/>
        </w:rPr>
        <w:t xml:space="preserve">1.项目编号：JSZC-320600-JZCG-X2026-0</w:t>
      </w:r>
      <w:r>
        <w:rPr>
          <w:rFonts w:hint="eastAsia" w:ascii="仿宋" w:hAnsi="仿宋" w:eastAsia="仿宋" w:cs="仿宋"/>
          <w:sz w:val="28"/>
          <w:highlight w:val="none"/>
          <w:lang w:val="en-US" w:eastAsia="zh-CN"/>
        </w:rPr>
        <w:t xml:space="preserve">117</w:t>
      </w:r>
      <w:r>
        <w:rPr>
          <w:highlight w:val="none"/>
        </w:rPr>
      </w:r>
    </w:p>
    <w:p>
      <w:pPr>
        <w:pStyle w:val="709"/>
        <w:ind w:firstLine="560"/>
        <w:keepLines w:val="0"/>
        <w:keepNext w:val="0"/>
        <w:pageBreakBefore w:val="0"/>
        <w:spacing w:line="460" w:lineRule="exact"/>
        <w:widowControl w:val="off"/>
        <w:rPr>
          <w:rFonts w:hint="eastAsia" w:ascii="仿宋" w:hAnsi="仿宋" w:eastAsia="仿宋" w:cs="仿宋"/>
          <w:sz w:val="28"/>
          <w:highlight w:val="none"/>
        </w:rPr>
      </w:pPr>
      <w:r>
        <w:rPr>
          <w:rFonts w:hint="eastAsia" w:ascii="仿宋" w:hAnsi="仿宋" w:eastAsia="仿宋" w:cs="仿宋"/>
          <w:sz w:val="28"/>
          <w:highlight w:val="none"/>
          <w:lang w:eastAsia="zh-CN"/>
        </w:rPr>
        <w:t xml:space="preserve">2.项目名称：江苏省南通中学附属实验学校教育教学设备采购项目（二次）</w:t>
      </w:r>
      <w:r>
        <w:rPr>
          <w:highlight w:val="none"/>
        </w:rPr>
      </w:r>
    </w:p>
    <w:p>
      <w:pPr>
        <w:pStyle w:val="709"/>
        <w:ind w:firstLine="560"/>
        <w:keepLines w:val="0"/>
        <w:keepNext w:val="0"/>
        <w:pageBreakBefore w:val="0"/>
        <w:spacing w:line="460" w:lineRule="exact"/>
        <w:widowControl w:val="off"/>
        <w:rPr>
          <w:rFonts w:hint="eastAsia" w:ascii="仿宋" w:hAnsi="仿宋" w:eastAsia="仿宋" w:cs="仿宋"/>
          <w:sz w:val="28"/>
          <w:highlight w:val="none"/>
        </w:rPr>
      </w:pPr>
      <w:r>
        <w:rPr>
          <w:rFonts w:hint="eastAsia" w:ascii="仿宋" w:hAnsi="仿宋" w:eastAsia="仿宋" w:cs="仿宋"/>
          <w:sz w:val="28"/>
          <w:highlight w:val="none"/>
          <w:lang w:eastAsia="zh-CN"/>
        </w:rPr>
        <w:t xml:space="preserve">3.预算金额：12.48 万元。</w:t>
      </w:r>
      <w:r>
        <w:rPr>
          <w:highlight w:val="none"/>
        </w:rP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color w:val="000000"/>
          <w:sz w:val="28"/>
          <w:szCs w:val="28"/>
          <w:highlight w:val="none"/>
        </w:rPr>
        <w:t xml:space="preserve">最高限价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sz w:val="28"/>
          <w:highlight w:val="none"/>
          <w:lang w:eastAsia="zh-CN"/>
        </w:rPr>
        <w:t xml:space="preserve">12.48 万元</w:t>
      </w:r>
      <w:r>
        <w:rPr>
          <w:rFonts w:hint="eastAsia" w:ascii="仿宋" w:hAnsi="仿宋" w:eastAsia="仿宋" w:cs="仿宋"/>
          <w:color w:val="000000"/>
          <w:sz w:val="28"/>
          <w:szCs w:val="28"/>
          <w:highlight w:val="none"/>
        </w:rPr>
        <w:t xml:space="preserve">。</w:t>
      </w:r>
      <w:r>
        <w:rPr>
          <w:highlight w:val="none"/>
        </w:rP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5.采购需求：</w:t>
      </w:r>
      <w:r>
        <w:rPr>
          <w:rFonts w:hint="eastAsia" w:ascii="仿宋" w:hAnsi="仿宋" w:eastAsia="仿宋" w:cs="仿宋"/>
          <w:sz w:val="28"/>
          <w:highlight w:val="none"/>
          <w:lang w:eastAsia="zh-CN"/>
        </w:rPr>
        <w:t xml:space="preserve">教育教学设备（</w:t>
      </w:r>
      <w:r>
        <w:rPr>
          <w:rFonts w:hint="eastAsia" w:ascii="仿宋" w:hAnsi="仿宋" w:eastAsia="仿宋" w:cs="仿宋"/>
          <w:sz w:val="28"/>
          <w:highlight w:val="none"/>
          <w:lang w:val="en-US" w:eastAsia="zh-CN"/>
        </w:rPr>
        <w:t xml:space="preserve">课桌椅、</w:t>
      </w:r>
      <w:r>
        <w:rPr>
          <w:rFonts w:hint="eastAsia" w:ascii="仿宋" w:hAnsi="仿宋" w:eastAsia="仿宋" w:cs="仿宋"/>
          <w:sz w:val="28"/>
          <w:szCs w:val="28"/>
          <w:highlight w:val="none"/>
          <w:lang w:bidi="ar"/>
        </w:rPr>
        <w:t xml:space="preserve">实验室凳子</w:t>
      </w:r>
      <w:r>
        <w:rPr>
          <w:rFonts w:hint="eastAsia" w:ascii="仿宋" w:hAnsi="仿宋" w:eastAsia="仿宋" w:cs="仿宋"/>
          <w:sz w:val="28"/>
          <w:szCs w:val="28"/>
          <w:highlight w:val="none"/>
          <w:lang w:val="en-US" w:eastAsia="zh-CN" w:bidi="ar"/>
        </w:rPr>
        <w:t xml:space="preserve">等）</w:t>
      </w:r>
      <w:r>
        <w:rPr>
          <w:rFonts w:hint="eastAsia" w:ascii="仿宋" w:hAnsi="仿宋" w:eastAsia="仿宋" w:cs="仿宋"/>
          <w:sz w:val="28"/>
          <w:szCs w:val="28"/>
          <w:highlight w:val="none"/>
        </w:rPr>
        <w:t xml:space="preserve">。</w:t>
      </w:r>
      <w:r>
        <w:rPr>
          <w:highlight w:val="none"/>
        </w:rPr>
      </w:r>
    </w:p>
    <w:p>
      <w:pPr>
        <w:ind w:firstLine="560"/>
        <w:keepLines w:val="0"/>
        <w:keepNext w:val="0"/>
        <w:pageBreakBefore w:val="0"/>
        <w:spacing w:line="460" w:lineRule="exact"/>
        <w:widowControl w:val="off"/>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6.合同履行期限：</w:t>
      </w:r>
      <w:r>
        <w:rPr>
          <w:rFonts w:hint="eastAsia" w:ascii="仿宋" w:hAnsi="仿宋" w:eastAsia="仿宋" w:cs="仿宋"/>
          <w:bCs/>
          <w:color w:val="000000" w:themeColor="text1"/>
          <w:sz w:val="28"/>
          <w:szCs w:val="28"/>
          <w:highlight w:val="none"/>
          <w14:textFill>
            <w14:solidFill>
              <w14:schemeClr w14:val="tx1"/>
            </w14:solidFill>
          </w14:textFill>
        </w:rPr>
        <w:t xml:space="preserve">合同签订后15个日历天内完成交付，并通过初步验收。</w:t>
      </w:r>
      <w:r>
        <w:rPr>
          <w:highlight w:val="none"/>
        </w:rPr>
      </w:r>
    </w:p>
    <w:p>
      <w:pPr>
        <w:pStyle w:val="709"/>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二、申请人的资格要求</w:t>
      </w:r>
      <w:r>
        <w:rPr>
          <w:highlight w:val="none"/>
        </w:rPr>
      </w:r>
    </w:p>
    <w:p>
      <w:pPr>
        <w:pStyle w:val="884"/>
        <w:ind w:firstLine="560"/>
        <w:keepLines w:val="0"/>
        <w:keepNext w:val="0"/>
        <w:pageBreakBefore w:val="0"/>
        <w:spacing w:after="0" w:line="460" w:lineRule="exact"/>
        <w:widowControl w:val="off"/>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（一）通用资格要求</w:t>
      </w:r>
      <w:r>
        <w:rPr>
          <w:highlight w:val="none"/>
        </w:rPr>
      </w:r>
    </w:p>
    <w:p>
      <w:pPr>
        <w:ind w:firstLine="560"/>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1.满足《中华人民共和国政府采购法》第二十二条规定</w:t>
      </w:r>
      <w:r>
        <w:rPr>
          <w:rFonts w:hint="eastAsia" w:ascii="仿宋" w:hAnsi="仿宋" w:eastAsia="仿宋" w:cs="仿宋"/>
          <w:sz w:val="28"/>
          <w:szCs w:val="28"/>
          <w:highlight w:val="none"/>
        </w:rPr>
        <w:t xml:space="preserve">；</w:t>
      </w:r>
      <w:r>
        <w:rPr>
          <w:highlight w:val="none"/>
        </w:rPr>
      </w:r>
    </w:p>
    <w:p>
      <w:pPr>
        <w:ind w:firstLine="555"/>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文件中无需提供证明材料）</w:t>
      </w:r>
      <w:r>
        <w:rPr>
          <w:highlight w:val="none"/>
        </w:rPr>
      </w:r>
    </w:p>
    <w:p>
      <w:pPr>
        <w:ind w:firstLine="560"/>
        <w:keepLines w:val="0"/>
        <w:keepNext w:val="0"/>
        <w:pageBreakBefore w:val="0"/>
        <w:spacing w:line="4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3.落实政府采购政策需满足的资格要求：</w:t>
      </w:r>
      <w:r>
        <w:rPr>
          <w:rFonts w:hint="eastAsia" w:ascii="仿宋" w:hAnsi="仿宋" w:eastAsia="仿宋"/>
          <w:color w:val="000000" w:themeColor="text1"/>
          <w:sz w:val="28"/>
          <w:szCs w:val="28"/>
          <w:highlight w:val="none"/>
          <w14:textFill>
            <w14:solidFill>
              <w14:schemeClr w14:val="tx1"/>
            </w14:solidFill>
          </w14:textFill>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highlight w:val="none"/>
        </w:rPr>
      </w:r>
    </w:p>
    <w:p>
      <w:pPr>
        <w:ind w:firstLine="555"/>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4.本项目不接受联合体投标。</w:t>
      </w:r>
      <w:r>
        <w:rPr>
          <w:highlight w:val="none"/>
        </w:rPr>
      </w:r>
    </w:p>
    <w:p>
      <w:pPr>
        <w:ind w:firstLine="555"/>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5.本项目不接受分包。</w:t>
      </w:r>
      <w:r>
        <w:rPr>
          <w:highlight w:val="none"/>
        </w:rPr>
      </w:r>
    </w:p>
    <w:p>
      <w:pPr>
        <w:pStyle w:val="884"/>
        <w:ind w:firstLine="560"/>
        <w:keepLines w:val="0"/>
        <w:keepNext w:val="0"/>
        <w:pageBreakBefore w:val="0"/>
        <w:spacing w:after="0" w:line="460" w:lineRule="exact"/>
        <w:widowControl w:val="off"/>
        <w:rPr>
          <w:rFonts w:hint="eastAsia" w:ascii="仿宋" w:hAnsi="仿宋" w:eastAsia="仿宋" w:cs="仿宋"/>
          <w:color w:val="000000"/>
          <w:sz w:val="28"/>
          <w:szCs w:val="28"/>
          <w:highlight w:val="none"/>
        </w:rPr>
        <w:outlineLvl w:val="2"/>
      </w:pPr>
      <w:r>
        <w:rPr>
          <w:rFonts w:hint="eastAsia" w:ascii="仿宋" w:hAnsi="仿宋" w:eastAsia="仿宋" w:cs="仿宋"/>
          <w:sz w:val="28"/>
          <w:szCs w:val="28"/>
          <w:highlight w:val="none"/>
        </w:rPr>
        <w:t xml:space="preserve">（二）本项目的特定资格要求：</w:t>
      </w:r>
      <w:r>
        <w:rPr>
          <w:rFonts w:hint="eastAsia" w:ascii="仿宋" w:hAnsi="仿宋" w:eastAsia="仿宋" w:cs="仿宋"/>
          <w:color w:val="000000"/>
          <w:sz w:val="28"/>
          <w:szCs w:val="28"/>
          <w:highlight w:val="none"/>
        </w:rPr>
        <w:t xml:space="preserve">无</w:t>
      </w:r>
      <w:r>
        <w:rPr>
          <w:highlight w:val="none"/>
        </w:rPr>
      </w:r>
    </w:p>
    <w:p>
      <w:pPr>
        <w:pStyle w:val="709"/>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三、获取采购文件</w:t>
      </w:r>
      <w:r>
        <w:rPr>
          <w:highlight w:val="none"/>
        </w:rP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宋体"/>
          <w:color w:val="000000" w:themeColor="text1"/>
          <w:sz w:val="28"/>
          <w:szCs w:val="28"/>
          <w:highlight w:val="none"/>
          <w14:textFill>
            <w14:solidFill>
              <w14:schemeClr w14:val="tx1"/>
            </w14:solidFill>
          </w14:textFill>
        </w:rPr>
        <w:t xml:space="preserve">时间：</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9</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00:00至</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9</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月7</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14</w:t>
      </w:r>
      <w:r>
        <w:rPr>
          <w:rFonts w:hint="eastAsia" w:ascii="仿宋" w:hAnsi="仿宋" w:eastAsia="仿宋" w:cs="宋体"/>
          <w:color w:val="000000" w:themeColor="text1"/>
          <w:sz w:val="28"/>
          <w:szCs w:val="28"/>
          <w:highlight w:val="none"/>
          <w14:textFill>
            <w14:solidFill>
              <w14:schemeClr w14:val="tx1"/>
            </w14:solidFill>
          </w14:textFill>
        </w:rPr>
        <w:t xml:space="preserve">:00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北京时间，法定节假日除外</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highlight w:val="none"/>
        </w:rP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2.方式：在“江苏政府采购网”自行免费下载。</w:t>
      </w:r>
      <w:r>
        <w:rPr>
          <w:highlight w:val="none"/>
        </w:rPr>
      </w:r>
    </w:p>
    <w:p>
      <w:pPr>
        <w:pStyle w:val="709"/>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四、响应文件提交</w:t>
      </w:r>
      <w:r>
        <w:rPr>
          <w:highlight w:val="none"/>
        </w:rPr>
      </w:r>
    </w:p>
    <w:p>
      <w:pPr>
        <w:ind w:firstLine="560"/>
        <w:keepLines w:val="0"/>
        <w:keepNext w:val="0"/>
        <w:pageBreakBefore w:val="0"/>
        <w:spacing w:line="460" w:lineRule="exact"/>
        <w:widowControl w:val="off"/>
        <w:rPr>
          <w:rFonts w:hint="eastAsia" w:ascii="仿宋" w:hAnsi="仿宋" w:eastAsia="仿宋" w:cs="仿宋"/>
          <w:i/>
          <w:iCs/>
          <w:color w:val="333333"/>
          <w:spacing w:val="7"/>
          <w:sz w:val="28"/>
          <w:szCs w:val="28"/>
          <w:highlight w:val="none"/>
          <w:u w:val="single"/>
        </w:rPr>
      </w:pPr>
      <w:r>
        <w:rPr>
          <w:rFonts w:hint="eastAsia" w:ascii="仿宋" w:hAnsi="仿宋" w:eastAsia="仿宋" w:cs="仿宋"/>
          <w:sz w:val="28"/>
          <w:szCs w:val="28"/>
          <w:highlight w:val="none"/>
        </w:rPr>
        <w:t xml:space="preserve">截止时间：2026年</w:t>
      </w:r>
      <w:r>
        <w:rPr>
          <w:rFonts w:hint="eastAsia" w:ascii="仿宋" w:hAnsi="仿宋" w:eastAsia="仿宋" w:cs="仿宋"/>
          <w:sz w:val="28"/>
          <w:szCs w:val="28"/>
          <w:highlight w:val="none"/>
          <w:lang w:val="en-US" w:eastAsia="zh-CN"/>
        </w:rPr>
        <w:t xml:space="preserve">9</w:t>
      </w:r>
      <w:r>
        <w:rPr>
          <w:rFonts w:hint="eastAsia" w:ascii="仿宋" w:hAnsi="仿宋" w:eastAsia="仿宋" w:cs="仿宋"/>
          <w:sz w:val="28"/>
          <w:szCs w:val="28"/>
          <w:highlight w:val="none"/>
        </w:rPr>
        <w:t xml:space="preserve">月7</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00（北京时间）</w:t>
      </w:r>
      <w:r>
        <w:rPr>
          <w:highlight w:val="none"/>
        </w:rP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地点：“苏采云”政府采购交易系统网上开标大厅。</w:t>
      </w:r>
      <w:r>
        <w:rPr>
          <w:highlight w:val="none"/>
        </w:rPr>
      </w:r>
    </w:p>
    <w:p>
      <w:pPr>
        <w:pStyle w:val="709"/>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五、公告期限</w:t>
      </w:r>
      <w:r>
        <w:rPr>
          <w:highlight w:val="none"/>
        </w:rP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自本公告发布之日起3个工作日。</w:t>
      </w:r>
      <w:r>
        <w:rPr>
          <w:highlight w:val="none"/>
        </w:rPr>
      </w:r>
    </w:p>
    <w:p>
      <w:pPr>
        <w:pStyle w:val="709"/>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六、其他补充事宜</w:t>
      </w:r>
      <w:r>
        <w:rPr>
          <w:highlight w:val="none"/>
        </w:rPr>
      </w:r>
    </w:p>
    <w:p>
      <w:pPr>
        <w:ind w:firstLine="560"/>
        <w:keepLines w:val="0"/>
        <w:keepNext w:val="0"/>
        <w:pageBreakBefore w:val="0"/>
        <w:spacing w:line="46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1.对</w:t>
      </w:r>
      <w:r>
        <w:rPr>
          <w:rFonts w:hint="eastAsia" w:ascii="仿宋" w:hAnsi="仿宋" w:eastAsia="仿宋" w:cs="仿宋"/>
          <w:b w:val="0"/>
          <w:bCs w:val="0"/>
          <w:sz w:val="28"/>
          <w:szCs w:val="28"/>
          <w:highlight w:val="none"/>
          <w:lang w:val="en-US" w:eastAsia="zh-CN"/>
        </w:rPr>
        <w:t xml:space="preserve">采购</w:t>
      </w:r>
      <w:r>
        <w:rPr>
          <w:rFonts w:hint="eastAsia" w:ascii="仿宋" w:hAnsi="仿宋" w:eastAsia="仿宋" w:cs="仿宋"/>
          <w:b w:val="0"/>
          <w:bCs w:val="0"/>
          <w:sz w:val="28"/>
          <w:szCs w:val="28"/>
          <w:highlight w:val="none"/>
        </w:rPr>
        <w:t xml:space="preserve">需求部分的询问、质疑请向采购人提出，由采购人负责答复。系统操作过程中如遇问题，请致电“苏采云”客服0519-86722801。</w:t>
      </w:r>
      <w:r>
        <w:rPr>
          <w:highlight w:val="none"/>
        </w:rPr>
      </w:r>
    </w:p>
    <w:p>
      <w:pPr>
        <w:pStyle w:val="884"/>
        <w:ind w:firstLine="560"/>
        <w:keepLines w:val="0"/>
        <w:keepNext w:val="0"/>
        <w:pageBreakBefore w:val="0"/>
        <w:spacing w:after="0" w:line="46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2.供应商必须详细报出采购清单中各个子项的名称、品牌（如有）、规格型号、数量、单价，未按以上要求填报，将作为无效投标处理。</w:t>
      </w:r>
      <w:r>
        <w:rPr>
          <w:highlight w:val="none"/>
        </w:rP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3.本项目不收取询价保证金，不收取质量保证金。</w:t>
      </w:r>
      <w:r>
        <w:rPr>
          <w:highlight w:val="none"/>
        </w:rP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4.各供应商在</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截止时间前应当每天都上网查询，以便获取更新的澄清、修改、补充内容。凡</w:t>
      </w:r>
      <w:r>
        <w:rPr>
          <w:rFonts w:hint="eastAsia" w:ascii="仿宋" w:hAnsi="仿宋" w:eastAsia="仿宋" w:cs="仿宋"/>
          <w:sz w:val="28"/>
          <w:szCs w:val="28"/>
          <w:highlight w:val="none"/>
          <w:lang w:eastAsia="zh-CN"/>
        </w:rPr>
        <w:t xml:space="preserve">涉及</w:t>
      </w:r>
      <w:r>
        <w:rPr>
          <w:rFonts w:hint="eastAsia" w:ascii="仿宋" w:hAnsi="仿宋" w:eastAsia="仿宋" w:cs="仿宋"/>
          <w:sz w:val="28"/>
          <w:szCs w:val="28"/>
          <w:highlight w:val="none"/>
        </w:rPr>
        <w:t xml:space="preserve">该项目的补充说明和修改，均以江苏政府采购网上的更正或补充通知为准。</w:t>
      </w:r>
      <w:r>
        <w:rPr>
          <w:highlight w:val="none"/>
        </w:rP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5.供应商因自身系统环境、操作熟练程度等原因导致报名、开评标过程出现问题，相应责任由供应商自行承担。</w:t>
      </w:r>
      <w:r>
        <w:rPr>
          <w:highlight w:val="none"/>
        </w:rP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关于个体工商户及分公司参与本项目的资格补充条款，详见第二章“供应商须知”第</w:t>
      </w:r>
      <w:r>
        <w:rPr>
          <w:rFonts w:hint="eastAsia" w:ascii="仿宋" w:hAnsi="仿宋" w:eastAsia="仿宋" w:cs="仿宋"/>
          <w:sz w:val="28"/>
          <w:szCs w:val="28"/>
          <w:highlight w:val="none"/>
          <w:lang w:val="en-US" w:eastAsia="zh-CN"/>
        </w:rPr>
        <w:t xml:space="preserve">9.1.1款附上的特别说明</w:t>
      </w:r>
      <w:r>
        <w:rPr>
          <w:rFonts w:hint="eastAsia" w:ascii="仿宋" w:hAnsi="仿宋" w:eastAsia="仿宋" w:cs="仿宋"/>
          <w:sz w:val="28"/>
          <w:szCs w:val="28"/>
          <w:highlight w:val="none"/>
        </w:rPr>
        <w:t xml:space="preserve">。</w:t>
      </w:r>
      <w:r>
        <w:rPr>
          <w:highlight w:val="none"/>
        </w:rPr>
      </w:r>
    </w:p>
    <w:p>
      <w:pPr>
        <w:pStyle w:val="884"/>
        <w:ind w:firstLine="560"/>
        <w:keepLines w:val="0"/>
        <w:keepNext w:val="0"/>
        <w:pageBreakBefore w:val="0"/>
        <w:spacing w:after="0"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.“苏采云”系统使用相关提醒</w:t>
      </w:r>
      <w:r>
        <w:rPr>
          <w:highlight w:val="none"/>
        </w:rPr>
      </w:r>
    </w:p>
    <w:p>
      <w:pPr>
        <w:ind w:firstLine="560"/>
        <w:keepLines w:val="0"/>
        <w:keepNext w:val="0"/>
        <w:pageBreakBefore w:val="0"/>
        <w:spacing w:line="460" w:lineRule="exact"/>
        <w:widowControl w:val="off"/>
        <w:tabs>
          <w:tab w:val="left" w:pos="900" w:leader="none"/>
        </w:tabs>
        <w:rPr>
          <w:rFonts w:hint="eastAsia" w:ascii="仿宋" w:hAnsi="仿宋" w:eastAsia="仿宋" w:cs="仿宋"/>
          <w:bCs/>
          <w:sz w:val="24"/>
          <w:szCs w:val="24"/>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.1</w:t>
      </w:r>
      <w:r>
        <w:rPr>
          <w:rFonts w:hint="eastAsia" w:ascii="仿宋" w:hAnsi="仿宋" w:eastAsia="仿宋" w:cs="仿宋"/>
          <w:bCs/>
          <w:sz w:val="28"/>
          <w:szCs w:val="28"/>
          <w:highlight w:val="none"/>
        </w:rPr>
        <w:t xml:space="preserve">根据省财政厅《关于更换全省政府采购交易系统CA数字证书和电子签章的通知》（苏财购〔2023〕101号），</w:t>
      </w:r>
      <w:r>
        <w:rPr>
          <w:rFonts w:hint="eastAsia" w:ascii="仿宋" w:hAnsi="仿宋" w:eastAsia="仿宋" w:cs="仿宋"/>
          <w:sz w:val="28"/>
          <w:szCs w:val="28"/>
          <w:highlight w:val="none"/>
        </w:rPr>
        <w:t xml:space="preserve">“苏采云”政府采购交易系统（以下简称苏采云系统）</w:t>
      </w:r>
      <w:r>
        <w:rPr>
          <w:rFonts w:hint="eastAsia" w:ascii="仿宋" w:hAnsi="仿宋" w:eastAsia="仿宋" w:cs="仿宋"/>
          <w:bCs/>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通过</w:t>
      </w:r>
      <w:r>
        <w:rPr>
          <w:rFonts w:hint="eastAsia" w:ascii="仿宋" w:hAnsi="仿宋" w:eastAsia="仿宋" w:cs="仿宋"/>
          <w:sz w:val="28"/>
          <w:szCs w:val="28"/>
          <w:highlight w:val="none"/>
        </w:rPr>
        <w:t xml:space="preserve">苏采云系统</w:t>
      </w:r>
      <w:r>
        <w:rPr>
          <w:rFonts w:hint="eastAsia" w:ascii="仿宋" w:hAnsi="仿宋" w:eastAsia="仿宋" w:cs="仿宋"/>
          <w:bCs/>
          <w:sz w:val="28"/>
          <w:szCs w:val="28"/>
          <w:highlight w:val="none"/>
        </w:rPr>
        <w:t xml:space="preserve">参与政府采购项目，需要更换CA数字证书和电子签章。具体办理指南和操作手册见链接：</w:t>
      </w:r>
      <w:r>
        <w:rPr>
          <w:rFonts w:hint="eastAsia" w:ascii="仿宋" w:hAnsi="仿宋" w:eastAsia="仿宋" w:cs="仿宋"/>
          <w:bCs/>
          <w:sz w:val="24"/>
          <w:szCs w:val="24"/>
          <w:highlight w:val="none"/>
        </w:rPr>
        <w:t xml:space="preserve">http://www.ccgp-jiangsu.gov.cn/jiangsu/zlxz/ee/ee3a4bc5a3454aa2b0d9312230633ce9.html。</w:t>
      </w:r>
      <w:r>
        <w:rPr>
          <w:highlight w:val="none"/>
        </w:rPr>
      </w:r>
    </w:p>
    <w:p>
      <w:pPr>
        <w:pStyle w:val="884"/>
        <w:ind w:firstLine="560"/>
        <w:keepLines w:val="0"/>
        <w:keepNext w:val="0"/>
        <w:pageBreakBefore w:val="0"/>
        <w:spacing w:after="0" w:line="460" w:lineRule="exact"/>
        <w:widowControl w:val="off"/>
        <w:rPr>
          <w:rFonts w:hint="eastAsia" w:ascii="仿宋" w:hAnsi="仿宋" w:eastAsia="仿宋" w:cs="仿宋"/>
          <w:b w:val="0"/>
          <w:bCs w:val="0"/>
          <w:sz w:val="28"/>
          <w:szCs w:val="28"/>
          <w:highlight w:val="none"/>
        </w:rPr>
      </w:pPr>
      <w:r>
        <w:rPr>
          <w:rFonts w:hint="eastAsia" w:ascii="仿宋" w:hAnsi="仿宋" w:eastAsia="仿宋" w:cs="仿宋"/>
          <w:bCs/>
          <w:sz w:val="28"/>
          <w:szCs w:val="28"/>
          <w:highlight w:val="none"/>
          <w:lang w:val="en-US" w:eastAsia="zh-CN"/>
        </w:rPr>
        <w:t xml:space="preserve">7</w:t>
      </w:r>
      <w:r>
        <w:rPr>
          <w:rFonts w:hint="eastAsia" w:ascii="仿宋" w:hAnsi="仿宋" w:eastAsia="仿宋" w:cs="仿宋"/>
          <w:bCs/>
          <w:sz w:val="28"/>
          <w:szCs w:val="28"/>
          <w:highlight w:val="none"/>
        </w:rPr>
        <w:t xml:space="preserve">.2领取CA和办理电子签章请至南通市政务服务中心裙楼四楼CA办理窗口办理，详见《江苏省政府采购数字证书</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CA及电子签章办理指南》，请及时进行注册并按要求制作、上传电子</w:t>
      </w:r>
      <w:r>
        <w:rPr>
          <w:rFonts w:hint="eastAsia" w:ascii="仿宋" w:hAnsi="仿宋" w:eastAsia="仿宋" w:cs="仿宋"/>
          <w:bCs/>
          <w:sz w:val="28"/>
          <w:szCs w:val="28"/>
          <w:highlight w:val="none"/>
          <w:lang w:eastAsia="zh-CN"/>
        </w:rPr>
        <w:t xml:space="preserve">响应文件</w:t>
      </w:r>
      <w:r>
        <w:rPr>
          <w:rFonts w:hint="eastAsia" w:ascii="仿宋" w:hAnsi="仿宋" w:eastAsia="仿宋" w:cs="仿宋"/>
          <w:bCs/>
          <w:sz w:val="28"/>
          <w:szCs w:val="28"/>
          <w:highlight w:val="none"/>
        </w:rPr>
        <w:t xml:space="preserve">。</w:t>
      </w:r>
      <w:r>
        <w:rPr>
          <w:highlight w:val="none"/>
        </w:rP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b w:val="0"/>
          <w:bCs w:val="0"/>
          <w:sz w:val="28"/>
          <w:szCs w:val="28"/>
          <w:highlight w:val="none"/>
          <w:lang w:val="en-US" w:eastAsia="zh-CN"/>
        </w:rPr>
        <w:t xml:space="preserve">7</w:t>
      </w:r>
      <w:r>
        <w:rPr>
          <w:rFonts w:hint="eastAsia" w:ascii="仿宋" w:hAnsi="仿宋" w:eastAsia="仿宋" w:cs="仿宋"/>
          <w:b w:val="0"/>
          <w:bCs w:val="0"/>
          <w:sz w:val="28"/>
          <w:szCs w:val="28"/>
          <w:highlight w:val="none"/>
        </w:rPr>
        <w:t xml:space="preserve">.3开标当天</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应及时登录“苏采云”不见面开标大厅，并在规定时间内自行实施远程解密。</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sz w:val="28"/>
          <w:szCs w:val="28"/>
          <w:highlight w:val="none"/>
        </w:rPr>
        <w:t xml:space="preserve">成响应文件解密或开、评标工作无法进行的，可根据实际情况相应延迟解密时间或调整开、评标时间。</w:t>
      </w:r>
      <w:r>
        <w:rPr>
          <w:highlight w:val="none"/>
        </w:rPr>
      </w:r>
    </w:p>
    <w:p>
      <w:pPr>
        <w:pStyle w:val="709"/>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七、本次采购联系方式</w:t>
      </w:r>
      <w:r>
        <w:rPr>
          <w:highlight w:val="none"/>
        </w:rPr>
      </w:r>
    </w:p>
    <w:p>
      <w:pPr>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1.采购人信息</w:t>
      </w:r>
      <w:r>
        <w:rPr>
          <w:highlight w:val="none"/>
        </w:rPr>
      </w:r>
    </w:p>
    <w:p>
      <w:pPr>
        <w:keepLines w:val="0"/>
        <w:keepNext w:val="0"/>
        <w:pageBreakBefore w:val="0"/>
        <w:spacing w:line="460" w:lineRule="exact"/>
        <w:widowControl w:val="off"/>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名    称：江苏省南通中学附属实验学校</w:t>
      </w:r>
      <w:r>
        <w:rPr>
          <w:highlight w:val="none"/>
        </w:rPr>
      </w:r>
    </w:p>
    <w:p>
      <w:pPr>
        <w:keepLines w:val="0"/>
        <w:keepNext w:val="0"/>
        <w:pageBreakBefore w:val="0"/>
        <w:spacing w:line="460" w:lineRule="exact"/>
        <w:widowControl w:val="off"/>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地    址：南通市崇川区崇州大道2号</w:t>
      </w:r>
      <w:r>
        <w:rPr>
          <w:highlight w:val="none"/>
        </w:rPr>
      </w:r>
    </w:p>
    <w:p>
      <w:pPr>
        <w:keepLines w:val="0"/>
        <w:keepNext w:val="0"/>
        <w:pageBreakBefore w:val="0"/>
        <w:spacing w:line="460" w:lineRule="exact"/>
        <w:widowControl w:val="off"/>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联 系 人：</w:t>
      </w:r>
      <w:r>
        <w:rPr>
          <w:rFonts w:hint="eastAsia" w:ascii="仿宋" w:hAnsi="仿宋" w:eastAsia="仿宋" w:cs="仿宋"/>
          <w:sz w:val="28"/>
          <w:szCs w:val="28"/>
          <w:highlight w:val="none"/>
          <w:lang w:val="en-US" w:eastAsia="zh-CN"/>
        </w:rPr>
        <w:t xml:space="preserve">陈老师</w:t>
      </w:r>
      <w:r>
        <w:rPr>
          <w:highlight w:val="none"/>
        </w:rPr>
      </w:r>
    </w:p>
    <w:p>
      <w:pPr>
        <w:keepLines w:val="0"/>
        <w:keepNext w:val="0"/>
        <w:pageBreakBefore w:val="0"/>
        <w:spacing w:line="460" w:lineRule="exact"/>
        <w:widowControl w:val="off"/>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联系方式：</w:t>
      </w:r>
      <w:r>
        <w:rPr>
          <w:rFonts w:hint="eastAsia" w:ascii="仿宋" w:hAnsi="仿宋" w:eastAsia="仿宋" w:cs="仿宋"/>
          <w:sz w:val="28"/>
          <w:szCs w:val="28"/>
          <w:highlight w:val="none"/>
          <w:lang w:val="en-US" w:eastAsia="zh-CN"/>
        </w:rPr>
        <w:t xml:space="preserve"> 18862933490</w:t>
      </w:r>
      <w:r>
        <w:rPr>
          <w:highlight w:val="none"/>
        </w:rPr>
      </w:r>
    </w:p>
    <w:p>
      <w:pPr>
        <w:pStyle w:val="884"/>
        <w:ind w:left="0" w:firstLine="0"/>
        <w:keepLines w:val="0"/>
        <w:keepNext w:val="0"/>
        <w:pageBreakBefore w:val="0"/>
        <w:spacing w:after="0"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rPr>
          <w:highlight w:val="none"/>
        </w:rPr>
      </w:r>
    </w:p>
    <w:p>
      <w:pPr>
        <w:pStyle w:val="884"/>
        <w:ind w:left="0" w:firstLine="0"/>
        <w:keepLines w:val="0"/>
        <w:keepNext w:val="0"/>
        <w:pageBreakBefore w:val="0"/>
        <w:spacing w:after="0" w:line="46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名    称：</w:t>
      </w:r>
      <w:r>
        <w:rPr>
          <w:rFonts w:hint="eastAsia" w:ascii="仿宋" w:hAnsi="仿宋" w:eastAsia="仿宋" w:cs="仿宋"/>
          <w:sz w:val="28"/>
          <w:szCs w:val="28"/>
          <w:highlight w:val="none"/>
          <w:u w:val="none"/>
          <w:lang w:val="en-US" w:eastAsia="zh-CN"/>
        </w:rPr>
        <w:t xml:space="preserve">南通市教育技术中心 </w:t>
      </w:r>
      <w:r>
        <w:rPr>
          <w:rFonts w:hint="eastAsia" w:ascii="仿宋" w:hAnsi="仿宋" w:eastAsia="仿宋" w:cs="仿宋"/>
          <w:sz w:val="28"/>
          <w:szCs w:val="28"/>
          <w:highlight w:val="none"/>
          <w:u w:val="none"/>
        </w:rPr>
        <w:t xml:space="preserve">  </w:t>
      </w:r>
      <w:r>
        <w:rPr>
          <w:highlight w:val="none"/>
        </w:rPr>
      </w:r>
    </w:p>
    <w:p>
      <w:pPr>
        <w:pStyle w:val="884"/>
        <w:ind w:left="0" w:firstLine="0"/>
        <w:keepLines w:val="0"/>
        <w:keepNext w:val="0"/>
        <w:pageBreakBefore w:val="0"/>
        <w:spacing w:after="0" w:line="46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地　  址：南通市崇川区</w:t>
      </w:r>
      <w:r>
        <w:rPr>
          <w:rFonts w:hint="eastAsia" w:ascii="仿宋" w:hAnsi="仿宋" w:eastAsia="仿宋" w:cs="仿宋"/>
          <w:sz w:val="28"/>
          <w:szCs w:val="28"/>
          <w:highlight w:val="none"/>
          <w:u w:val="none"/>
          <w:lang w:val="en-US" w:eastAsia="zh-CN"/>
        </w:rPr>
        <w:t xml:space="preserve">板桥路45号</w:t>
      </w:r>
      <w:r>
        <w:rPr>
          <w:highlight w:val="none"/>
        </w:rPr>
      </w:r>
    </w:p>
    <w:p>
      <w:pPr>
        <w:pStyle w:val="884"/>
        <w:ind w:left="0" w:firstLine="0"/>
        <w:keepLines w:val="0"/>
        <w:keepNext w:val="0"/>
        <w:pageBreakBefore w:val="0"/>
        <w:spacing w:after="0" w:line="46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 系 人：</w:t>
      </w:r>
      <w:r>
        <w:rPr>
          <w:rFonts w:hint="eastAsia" w:ascii="仿宋" w:hAnsi="仿宋" w:eastAsia="仿宋" w:cs="仿宋"/>
          <w:sz w:val="28"/>
          <w:szCs w:val="28"/>
          <w:highlight w:val="none"/>
          <w:u w:val="none"/>
          <w:lang w:val="en-US" w:eastAsia="zh-CN"/>
        </w:rPr>
        <w:t xml:space="preserve">成老师</w:t>
      </w:r>
      <w:r>
        <w:rPr>
          <w:rFonts w:hint="eastAsia" w:ascii="仿宋" w:hAnsi="仿宋" w:eastAsia="仿宋" w:cs="仿宋"/>
          <w:sz w:val="28"/>
          <w:szCs w:val="28"/>
          <w:highlight w:val="none"/>
          <w:u w:val="none"/>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none"/>
        </w:rPr>
        <w:t xml:space="preserve">      </w:t>
      </w:r>
      <w:r>
        <w:rPr>
          <w:highlight w:val="none"/>
        </w:rPr>
      </w:r>
    </w:p>
    <w:p>
      <w:pPr>
        <w:pStyle w:val="884"/>
        <w:ind w:left="0" w:firstLine="0"/>
        <w:keepLines w:val="0"/>
        <w:keepNext w:val="0"/>
        <w:pageBreakBefore w:val="0"/>
        <w:spacing w:after="0" w:line="46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联系方式：0513-</w:t>
      </w:r>
      <w:r>
        <w:rPr>
          <w:rFonts w:hint="eastAsia" w:ascii="仿宋" w:hAnsi="仿宋" w:eastAsia="仿宋" w:cs="仿宋"/>
          <w:sz w:val="28"/>
          <w:szCs w:val="28"/>
          <w:highlight w:val="none"/>
          <w:u w:val="none"/>
          <w:lang w:val="en-US" w:eastAsia="zh-CN"/>
        </w:rPr>
        <w:t xml:space="preserve">85010355</w:t>
      </w:r>
      <w:r>
        <w:rPr>
          <w:highlight w:val="none"/>
        </w:rPr>
      </w:r>
    </w:p>
    <w:p>
      <w:pPr>
        <w:pStyle w:val="884"/>
        <w:ind w:left="0" w:firstLine="0"/>
        <w:jc w:val="left"/>
        <w:keepLines w:val="0"/>
        <w:keepNext w:val="0"/>
        <w:pageBreakBefore w:val="0"/>
        <w:spacing w:after="0" w:line="460" w:lineRule="exact"/>
        <w:widowControl w:val="off"/>
        <w:rPr>
          <w:rFonts w:hint="default" w:ascii="仿宋" w:hAnsi="仿宋" w:eastAsia="仿宋" w:cs="仿宋"/>
          <w:bCs/>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苏采云</w:t>
      </w:r>
      <w:r>
        <w:rPr>
          <w:rFonts w:hint="eastAsia" w:ascii="仿宋" w:hAnsi="仿宋" w:eastAsia="仿宋" w:cs="仿宋"/>
          <w:sz w:val="28"/>
          <w:szCs w:val="28"/>
          <w:highlight w:val="none"/>
        </w:rPr>
        <w:t xml:space="preserve">客服：0519-86722801、0519-86722806</w:t>
      </w:r>
      <w:r>
        <w:rPr>
          <w:rFonts w:hint="eastAsia" w:ascii="仿宋" w:hAnsi="仿宋" w:eastAsia="仿宋" w:cs="仿宋"/>
          <w:sz w:val="28"/>
          <w:szCs w:val="28"/>
          <w:highlight w:val="none"/>
          <w:lang w:eastAsia="zh-CN"/>
        </w:rPr>
        <w:t xml:space="preserve">、0513-5900195</w:t>
      </w:r>
      <w:r>
        <w:rPr>
          <w:rFonts w:hint="eastAsia" w:ascii="仿宋" w:hAnsi="仿宋" w:eastAsia="仿宋" w:cs="仿宋"/>
          <w:sz w:val="28"/>
          <w:szCs w:val="28"/>
          <w:highlight w:val="none"/>
          <w:lang w:val="en-US" w:eastAsia="zh-CN"/>
        </w:rPr>
        <w:t xml:space="preserve">0</w:t>
      </w:r>
      <w:r>
        <w:rPr>
          <w:highlight w:val="none"/>
        </w:rPr>
      </w:r>
    </w:p>
    <w:p>
      <w:pPr>
        <w:pStyle w:val="709"/>
        <w:ind w:firstLine="0"/>
        <w:jc w:val="center"/>
        <w:keepLines w:val="0"/>
        <w:keepNext w:val="0"/>
        <w:pageBreakBefore w:val="0"/>
        <w:widowControl w:val="off"/>
        <w:rPr>
          <w:rFonts w:ascii="黑体" w:hAnsi="黑体" w:eastAsia="黑体" w:cs="黑体"/>
          <w:color w:val="000000"/>
          <w:sz w:val="44"/>
          <w:highlight w:val="none"/>
        </w:rPr>
        <w:outlineLvl w:val="0"/>
      </w:pPr>
      <w:r>
        <w:rPr>
          <w:rFonts w:hint="eastAsia"/>
          <w:bCs/>
          <w:sz w:val="28"/>
          <w:szCs w:val="28"/>
          <w:highlight w:val="none"/>
          <w:lang w:eastAsia="zh-CN"/>
        </w:rPr>
        <w:br w:type="page" w:clear="all"/>
      </w:r>
      <w:bookmarkEnd w:id="3"/>
      <w:r>
        <w:rPr>
          <w:highlight w:val="none"/>
        </w:rPr>
      </w:r>
      <w:bookmarkStart w:id="4" w:name="_Toc25625"/>
      <w:r>
        <w:rPr>
          <w:rFonts w:ascii="黑体" w:hAnsi="黑体" w:eastAsia="黑体" w:cs="黑体"/>
          <w:color w:val="000000"/>
          <w:sz w:val="44"/>
          <w:highlight w:val="none"/>
          <w:lang w:eastAsia="zh-CN"/>
        </w:rPr>
        <w:t xml:space="preserve">第二</w:t>
      </w:r>
      <w:r>
        <w:rPr>
          <w:rFonts w:hint="eastAsia" w:ascii="黑体" w:hAnsi="黑体" w:eastAsia="黑体" w:cs="黑体"/>
          <w:color w:val="000000"/>
          <w:sz w:val="44"/>
          <w:highlight w:val="none"/>
          <w:lang w:eastAsia="zh-CN"/>
        </w:rPr>
        <w:t xml:space="preserve">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供应商</w:t>
      </w:r>
      <w:r>
        <w:rPr>
          <w:rFonts w:ascii="黑体" w:hAnsi="黑体" w:eastAsia="黑体" w:cs="黑体"/>
          <w:color w:val="000000"/>
          <w:sz w:val="44"/>
          <w:highlight w:val="none"/>
          <w:lang w:eastAsia="zh-CN"/>
        </w:rPr>
        <w:t xml:space="preserve">须知</w:t>
      </w:r>
      <w:bookmarkEnd w:id="4"/>
      <w:r>
        <w:rPr>
          <w:highlight w:val="none"/>
        </w:rPr>
      </w:r>
      <w:r>
        <w:rPr>
          <w:highlight w:val="none"/>
        </w:rPr>
      </w:r>
    </w:p>
    <w:p>
      <w:pPr>
        <w:pStyle w:val="70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一、成交原则</w:t>
      </w:r>
      <w:r>
        <w:rPr>
          <w:highlight w:val="none"/>
        </w:rPr>
      </w:r>
    </w:p>
    <w:p>
      <w:pPr>
        <w:pStyle w:val="709"/>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1.供应商报价为项目总价，不得拆分或选择性报价；供应商须满足公告规定的供货时间要求；成交人不得以任何方式转包或分包。</w:t>
      </w:r>
      <w:r>
        <w:rPr>
          <w:highlight w:val="none"/>
        </w:rPr>
      </w:r>
    </w:p>
    <w:p>
      <w:pPr>
        <w:pStyle w:val="709"/>
        <w:ind w:firstLine="562"/>
        <w:keepLines w:val="0"/>
        <w:keepNext w:val="0"/>
        <w:pageBreakBefore w:val="0"/>
        <w:spacing w:line="480" w:lineRule="exact"/>
        <w:widowControl w:val="off"/>
        <w:rPr>
          <w:rFonts w:hint="eastAsia" w:ascii="仿宋" w:hAnsi="仿宋" w:eastAsia="仿宋" w:cs="仿宋"/>
          <w:b/>
          <w:bCs/>
          <w:color w:val="000000"/>
          <w:sz w:val="28"/>
          <w:szCs w:val="28"/>
          <w:highlight w:val="none"/>
        </w:rPr>
        <w:outlineLvl w:val="1"/>
      </w:pPr>
      <w:r>
        <w:rPr>
          <w:rFonts w:hint="eastAsia" w:ascii="仿宋" w:hAnsi="仿宋" w:eastAsia="仿宋" w:cs="仿宋"/>
          <w:b/>
          <w:bCs/>
          <w:color w:val="000000"/>
          <w:sz w:val="28"/>
          <w:szCs w:val="28"/>
          <w:highlight w:val="none"/>
        </w:rPr>
        <w:t xml:space="preserve">2.对于采购项目中的同一品牌产品（单一产品项目指该产品本身，含核心产品的项目指核心产品），若不同供应商提供的该产品品牌相同，且其质量和服务均能满足采购文件实质性响应要求，则按一家供应商计算，报价最低的供应商获得成交供应商推荐资格；若同一品牌内最低报价相同，则由询价小组按随机方式确定唯一推荐供应商。</w:t>
      </w:r>
      <w:r>
        <w:rPr>
          <w:highlight w:val="none"/>
        </w:rPr>
      </w:r>
    </w:p>
    <w:p>
      <w:pPr>
        <w:pStyle w:val="709"/>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3.询价小组从按上述第2条处理后剩余的供应商中，按报价由低到高的顺序提出3名以上成交候选人，并编写评审报告。</w:t>
      </w:r>
      <w:r>
        <w:rPr>
          <w:highlight w:val="none"/>
        </w:rPr>
      </w:r>
    </w:p>
    <w:p>
      <w:pPr>
        <w:pStyle w:val="709"/>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4.最低报价相同的，由询价小组按随机方式抽签确定成交候选人排序。</w:t>
      </w:r>
      <w:r>
        <w:rPr>
          <w:highlight w:val="none"/>
        </w:rPr>
      </w:r>
    </w:p>
    <w:p>
      <w:pPr>
        <w:pStyle w:val="709"/>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5.采购人按评审报告推荐的顺序确定排名第一的成交候选人为成交人。</w:t>
      </w:r>
      <w:r>
        <w:rPr>
          <w:highlight w:val="none"/>
        </w:rPr>
      </w:r>
    </w:p>
    <w:p>
      <w:pPr>
        <w:pStyle w:val="70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二、询价采购报价须知</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rPr>
          <w:highlight w:val="none"/>
        </w:rP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3.1根据财政部《关于推动解决政府采购异常低价问题的通知》（财库〔2026〕2号）要求，评审（询价）过程中出现下列情形之一的，评审委员会（询价小组）应当启动异常低价响应审查程序：</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rPr>
          <w:highlight w:val="none"/>
        </w:rP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rPr>
          <w:highlight w:val="none"/>
        </w:rP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4.1在苏采云系统规定的时间内未成功解密电子响应文件的。</w:t>
      </w:r>
      <w:r>
        <w:rPr>
          <w:highlight w:val="none"/>
        </w:rP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4.2</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未按照询价文件要求上传电子响应文件的。</w:t>
      </w:r>
      <w:r>
        <w:rPr>
          <w:highlight w:val="none"/>
        </w:rP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4.3</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同一分包提交两个（含两个）以上不同的投标报价的。</w:t>
      </w:r>
      <w:r>
        <w:rPr>
          <w:highlight w:val="none"/>
        </w:rP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4.4</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不具备询价文件中规定资格要求的。</w:t>
      </w:r>
      <w:r>
        <w:rPr>
          <w:highlight w:val="none"/>
        </w:rP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4.5</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的报价超过了采购预算或最高限价的。</w:t>
      </w:r>
      <w:r>
        <w:rPr>
          <w:highlight w:val="none"/>
        </w:rP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4.6未通过符合性审查的。</w:t>
      </w:r>
      <w:r>
        <w:rPr>
          <w:highlight w:val="none"/>
        </w:rP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4.7 不符合询价文件中规定的实质性要求的（详见本询价文件第四章采购需求中“四、采购需求中必须满足的实质性要求”部分）。</w:t>
      </w:r>
      <w:r>
        <w:rPr>
          <w:highlight w:val="none"/>
        </w:rP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其中，实质性要求的佐证材料应按采购文件规定在《技术要求响应及偏离表》或《商务要求响应及偏离表》下方列明。若</w:t>
      </w:r>
      <w:r>
        <w:rPr>
          <w:rFonts w:hint="eastAsia" w:ascii="仿宋" w:hAnsi="仿宋" w:eastAsia="仿宋" w:cs="仿宋"/>
          <w:b w:val="0"/>
          <w:bCs w:val="0"/>
          <w:color w:val="000000"/>
          <w:sz w:val="28"/>
          <w:szCs w:val="28"/>
          <w:highlight w:val="none"/>
          <w:lang w:eastAsia="zh-CN"/>
        </w:rPr>
        <w:t xml:space="preserve">评审委员会（询价小组）</w:t>
      </w:r>
      <w:r>
        <w:rPr>
          <w:rFonts w:hint="eastAsia" w:ascii="仿宋" w:hAnsi="仿宋" w:eastAsia="仿宋" w:cs="仿宋"/>
          <w:b w:val="0"/>
          <w:bCs w:val="0"/>
          <w:color w:val="000000"/>
          <w:sz w:val="28"/>
          <w:szCs w:val="28"/>
          <w:highlight w:val="none"/>
        </w:rPr>
        <w:t xml:space="preserve">在规定的部位查找不到相关佐证材料，或材料内容不完整、不清晰，</w:t>
      </w:r>
      <w:r>
        <w:rPr>
          <w:rFonts w:hint="eastAsia" w:ascii="仿宋" w:hAnsi="仿宋" w:eastAsia="仿宋" w:cs="仿宋"/>
          <w:b w:val="0"/>
          <w:bCs w:val="0"/>
          <w:color w:val="000000"/>
          <w:sz w:val="28"/>
          <w:szCs w:val="28"/>
          <w:highlight w:val="none"/>
          <w:lang w:eastAsia="zh-CN"/>
        </w:rPr>
        <w:t xml:space="preserve">评审委员会（询价小组）</w:t>
      </w:r>
      <w:r>
        <w:rPr>
          <w:rFonts w:hint="eastAsia" w:ascii="仿宋" w:hAnsi="仿宋" w:eastAsia="仿宋" w:cs="仿宋"/>
          <w:b w:val="0"/>
          <w:bCs w:val="0"/>
          <w:color w:val="000000"/>
          <w:sz w:val="28"/>
          <w:szCs w:val="28"/>
          <w:highlight w:val="none"/>
        </w:rPr>
        <w:t xml:space="preserve">将以书面形式要求供应商在合理期限内作出说明、补充或澄清。供应商拒不作出说明、补充或澄清，或澄清后仍不能满足实质性要求的，其响应文件按无效处理。</w:t>
      </w:r>
      <w:r>
        <w:rPr>
          <w:highlight w:val="none"/>
        </w:rP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lang w:eastAsia="zh-CN"/>
        </w:rPr>
        <w:t xml:space="preserve">评审委员会（询价小组）</w:t>
      </w:r>
      <w:r>
        <w:rPr>
          <w:rFonts w:hint="eastAsia" w:ascii="仿宋" w:hAnsi="仿宋" w:eastAsia="仿宋" w:cs="仿宋"/>
          <w:b w:val="0"/>
          <w:bCs w:val="0"/>
          <w:color w:val="000000"/>
          <w:sz w:val="28"/>
          <w:szCs w:val="28"/>
          <w:highlight w:val="none"/>
        </w:rPr>
        <w:t xml:space="preserve">给予供应商的澄清、说明或补正时间一般不超过30分钟，具体时限由</w:t>
      </w:r>
      <w:r>
        <w:rPr>
          <w:rFonts w:hint="eastAsia" w:ascii="仿宋" w:hAnsi="仿宋" w:eastAsia="仿宋" w:cs="仿宋"/>
          <w:b w:val="0"/>
          <w:bCs w:val="0"/>
          <w:color w:val="000000"/>
          <w:sz w:val="28"/>
          <w:szCs w:val="28"/>
          <w:highlight w:val="none"/>
          <w:lang w:eastAsia="zh-CN"/>
        </w:rPr>
        <w:t xml:space="preserve">评审委员会（询价小组）</w:t>
      </w:r>
      <w:r>
        <w:rPr>
          <w:rFonts w:hint="eastAsia" w:ascii="仿宋" w:hAnsi="仿宋" w:eastAsia="仿宋" w:cs="仿宋"/>
          <w:b w:val="0"/>
          <w:bCs w:val="0"/>
          <w:color w:val="000000"/>
          <w:sz w:val="28"/>
          <w:szCs w:val="28"/>
          <w:highlight w:val="none"/>
        </w:rPr>
        <w:t xml:space="preserve">根据实际情况确定。</w:t>
      </w:r>
      <w:r>
        <w:rPr>
          <w:highlight w:val="none"/>
        </w:rP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4.8</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存在其他不符合《中华人民共和国政府采购法》第二十二条规定条件的信用记录。</w:t>
      </w:r>
      <w:r>
        <w:rPr>
          <w:highlight w:val="none"/>
        </w:rP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4.9响应文件含有采购人不能接受的附加条件的。</w:t>
      </w:r>
      <w:r>
        <w:rPr>
          <w:highlight w:val="none"/>
        </w:rP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4.10启动异常低价响应审查后，供应商不提供书面说明、证明材料，或者提供的书面说明、证明材料不能证明其报价合理性的。</w:t>
      </w:r>
      <w:r>
        <w:rPr>
          <w:highlight w:val="none"/>
        </w:rP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4.11询价小组认为</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的报价明显低于其他通过符合性审查</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不能证明其报价合理性的，询价小组应当将其作为无效响应处理。</w:t>
      </w:r>
      <w:r>
        <w:rPr>
          <w:highlight w:val="none"/>
        </w:rP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4.12本项目投标产品如属于政府强制采购节能产品品目清单范围内，</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中必须提供国家确定的认证机构出具的、处于有效期之内的该节能产品认证证书图片</w:t>
      </w:r>
      <w:r>
        <w:rPr>
          <w:highlight w:val="none"/>
        </w:rP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4.13响应文件未按照询价文件要求加盖CA电子公章的。</w:t>
      </w:r>
      <w:r>
        <w:rPr>
          <w:highlight w:val="none"/>
        </w:rP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4.14其他</w:t>
      </w:r>
      <w:r>
        <w:rPr>
          <w:rFonts w:hint="eastAsia" w:ascii="仿宋" w:hAnsi="仿宋" w:eastAsia="仿宋" w:cs="仿宋"/>
          <w:b w:val="0"/>
          <w:bCs w:val="0"/>
          <w:color w:val="000000"/>
          <w:sz w:val="28"/>
          <w:szCs w:val="28"/>
          <w:highlight w:val="none"/>
          <w:lang w:eastAsia="zh-CN"/>
        </w:rPr>
        <w:t xml:space="preserve">法律法规</w:t>
      </w:r>
      <w:r>
        <w:rPr>
          <w:rFonts w:hint="eastAsia" w:ascii="仿宋" w:hAnsi="仿宋" w:eastAsia="仿宋" w:cs="仿宋"/>
          <w:b w:val="0"/>
          <w:bCs w:val="0"/>
          <w:color w:val="000000"/>
          <w:sz w:val="28"/>
          <w:szCs w:val="28"/>
          <w:highlight w:val="none"/>
        </w:rPr>
        <w:t xml:space="preserve">及本询价文件</w:t>
      </w:r>
      <w:r>
        <w:rPr>
          <w:rFonts w:hint="eastAsia" w:ascii="仿宋" w:hAnsi="仿宋" w:eastAsia="仿宋" w:cs="仿宋"/>
          <w:b w:val="0"/>
          <w:bCs w:val="0"/>
          <w:color w:val="000000"/>
          <w:sz w:val="28"/>
          <w:szCs w:val="28"/>
          <w:highlight w:val="none"/>
          <w:lang w:eastAsia="zh-CN"/>
        </w:rPr>
        <w:t xml:space="preserve">规定的属于无效</w:t>
      </w:r>
      <w:r>
        <w:rPr>
          <w:rFonts w:hint="eastAsia" w:ascii="仿宋" w:hAnsi="仿宋" w:eastAsia="仿宋" w:cs="仿宋"/>
          <w:b w:val="0"/>
          <w:bCs w:val="0"/>
          <w:color w:val="000000"/>
          <w:sz w:val="28"/>
          <w:szCs w:val="28"/>
          <w:highlight w:val="none"/>
        </w:rPr>
        <w:t xml:space="preserve">响应的情形。</w:t>
      </w:r>
      <w:r>
        <w:rPr>
          <w:highlight w:val="none"/>
        </w:rP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5.1因情况变化，不再符合规定的询价采购方式适用情形的；</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7.供应商随意、恶意报价，或未按询价文件要求进行报价的，将按相关规定予以处罚。</w:t>
      </w:r>
      <w:r>
        <w:rPr>
          <w:highlight w:val="none"/>
        </w:rP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rPr>
          <w:highlight w:val="none"/>
        </w:rP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rPr>
          <w:highlight w:val="none"/>
        </w:rPr>
      </w:r>
    </w:p>
    <w:p>
      <w:pPr>
        <w:pStyle w:val="709"/>
        <w:ind w:left="0" w:firstLine="0"/>
        <w:jc w:val="center"/>
        <w:keepLines w:val="0"/>
        <w:keepNext w:val="0"/>
        <w:pageBreakBefore w:val="0"/>
        <w:spacing w:line="480" w:lineRule="exact"/>
        <w:widowControl w:val="off"/>
        <w:rPr>
          <w:rFonts w:hint="eastAsia" w:ascii="仿宋" w:hAnsi="仿宋" w:eastAsia="仿宋" w:cs="仿宋"/>
          <w:b/>
          <w:bCs w:val="0"/>
          <w:sz w:val="24"/>
          <w:szCs w:val="18"/>
          <w:highlight w:val="none"/>
          <w:u w:val="single"/>
        </w:rPr>
        <w:outlineLvl w:val="1"/>
      </w:pPr>
      <w:r>
        <w:rPr>
          <w:rFonts w:hint="eastAsia" w:ascii="仿宋" w:hAnsi="仿宋" w:eastAsia="仿宋" w:cs="仿宋"/>
          <w:b/>
          <w:bCs w:val="0"/>
          <w:sz w:val="24"/>
          <w:szCs w:val="18"/>
          <w:highlight w:val="none"/>
          <w:u w:val="single"/>
          <w:lang w:eastAsia="zh-CN"/>
        </w:rPr>
        <w:t xml:space="preserve">特别说明：关于个体工商户及分公司（分支机构）参与本项目的资格补充条款</w:t>
      </w:r>
      <w:r>
        <w:rPr>
          <w:highlight w:val="none"/>
        </w:rPr>
      </w:r>
    </w:p>
    <w:p>
      <w:pPr>
        <w:pStyle w:val="709"/>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一、个体工商户</w:t>
      </w:r>
      <w:r>
        <w:rPr>
          <w:highlight w:val="none"/>
        </w:rPr>
      </w:r>
    </w:p>
    <w:p>
      <w:pPr>
        <w:pStyle w:val="709"/>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符合中小企业划分标准的个体工商户，在政府采购活动中视同中小企业，享受相关扶持政策。</w:t>
      </w:r>
      <w:r>
        <w:rPr>
          <w:highlight w:val="none"/>
        </w:rPr>
      </w:r>
    </w:p>
    <w:p>
      <w:pPr>
        <w:pStyle w:val="709"/>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个体工商户以经营者对应本文件中的“法定代表人”，相关材料可由经营者身份证明书及授权委托书替代。</w:t>
      </w:r>
      <w:r>
        <w:rPr>
          <w:highlight w:val="none"/>
        </w:rPr>
      </w:r>
    </w:p>
    <w:p>
      <w:pPr>
        <w:pStyle w:val="709"/>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二、分公司及非法人性质分支机构（含电信、银行、保险、石油石化、电力等行业）</w:t>
      </w:r>
      <w:r>
        <w:rPr>
          <w:highlight w:val="none"/>
        </w:rPr>
      </w:r>
    </w:p>
    <w:p>
      <w:pPr>
        <w:pStyle w:val="709"/>
        <w:ind w:firstLine="480"/>
        <w:keepLines w:val="0"/>
        <w:keepNext w:val="0"/>
        <w:pageBreakBefore w:val="0"/>
        <w:spacing w:line="480" w:lineRule="exact"/>
        <w:widowControl w:val="off"/>
        <w:rPr>
          <w:rFonts w:hint="default"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分公司经总公司授权后方可参与本项目，其民事责任由总公司承担。银行、保险、电信、邮政、铁路等特殊行业的总公司通过营业执照概括性授权其分公司独立开展业务的，可提供总公司有关文件或制度等能够证明总公司授权其独立开展业务的证明替代专项授权书。</w:t>
      </w:r>
      <w:r>
        <w:rPr>
          <w:rFonts w:hint="eastAsia" w:ascii="仿宋" w:hAnsi="仿宋" w:eastAsia="仿宋" w:cs="仿宋"/>
          <w:b w:val="0"/>
          <w:bCs/>
          <w:sz w:val="24"/>
          <w:szCs w:val="18"/>
          <w:highlight w:val="none"/>
          <w:u w:val="single"/>
          <w:lang w:val="en-US" w:eastAsia="zh-CN"/>
        </w:rPr>
        <w:t xml:space="preserve">此项无佐证材料视为无效响应。</w:t>
      </w:r>
      <w:r>
        <w:rPr>
          <w:highlight w:val="none"/>
        </w:rPr>
      </w:r>
    </w:p>
    <w:p>
      <w:pPr>
        <w:pStyle w:val="709"/>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分公司</w:t>
      </w:r>
      <w:r>
        <w:rPr>
          <w:rFonts w:hint="eastAsia" w:ascii="仿宋" w:hAnsi="仿宋" w:eastAsia="仿宋" w:cs="仿宋"/>
          <w:b w:val="0"/>
          <w:bCs/>
          <w:sz w:val="24"/>
          <w:szCs w:val="18"/>
          <w:highlight w:val="none"/>
          <w:u w:val="single"/>
          <w:lang w:val="en-US" w:eastAsia="zh-CN"/>
        </w:rPr>
        <w:t xml:space="preserve">以</w:t>
      </w:r>
      <w:r>
        <w:rPr>
          <w:rFonts w:hint="eastAsia" w:ascii="仿宋" w:hAnsi="仿宋" w:eastAsia="仿宋" w:cs="仿宋"/>
          <w:b w:val="0"/>
          <w:bCs/>
          <w:sz w:val="24"/>
          <w:szCs w:val="18"/>
          <w:highlight w:val="none"/>
          <w:u w:val="single"/>
          <w:lang w:eastAsia="zh-CN"/>
        </w:rPr>
        <w:t xml:space="preserve">负责人</w:t>
      </w:r>
      <w:r>
        <w:rPr>
          <w:rFonts w:hint="eastAsia" w:ascii="仿宋" w:hAnsi="仿宋" w:eastAsia="仿宋" w:cs="仿宋"/>
          <w:b w:val="0"/>
          <w:bCs/>
          <w:sz w:val="24"/>
          <w:szCs w:val="18"/>
          <w:highlight w:val="none"/>
          <w:u w:val="single"/>
          <w:lang w:val="en-US" w:eastAsia="zh-CN"/>
        </w:rPr>
        <w:t xml:space="preserve">对应</w:t>
      </w:r>
      <w:r>
        <w:rPr>
          <w:rFonts w:hint="eastAsia" w:ascii="仿宋" w:hAnsi="仿宋" w:eastAsia="仿宋" w:cs="仿宋"/>
          <w:b w:val="0"/>
          <w:bCs/>
          <w:sz w:val="24"/>
          <w:szCs w:val="18"/>
          <w:highlight w:val="none"/>
          <w:u w:val="single"/>
          <w:lang w:eastAsia="zh-CN"/>
        </w:rPr>
        <w:t xml:space="preserve">本文件中的“法定代表人”，相关材料可由负责人身份证明书及授权委托书替代。</w:t>
      </w:r>
      <w:r>
        <w:rPr>
          <w:highlight w:val="none"/>
        </w:rPr>
      </w:r>
    </w:p>
    <w:p>
      <w:pPr>
        <w:pStyle w:val="709"/>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同一总公司仅能授权一家分公司参与本项目；总公司与其分公司不得同时参与同一项目，否则相关响应均按无效处理。</w:t>
      </w:r>
      <w:r>
        <w:rPr>
          <w:highlight w:val="none"/>
        </w:rPr>
      </w:r>
    </w:p>
    <w:p>
      <w:pPr>
        <w:pStyle w:val="709"/>
        <w:ind w:firstLine="480"/>
        <w:keepLines w:val="0"/>
        <w:keepNext w:val="0"/>
        <w:pageBreakBefore w:val="0"/>
        <w:spacing w:line="480" w:lineRule="exact"/>
        <w:widowControl w:val="off"/>
        <w:rPr>
          <w:rFonts w:hint="eastAsia"/>
          <w:highlight w:val="none"/>
          <w:u w:val="single"/>
        </w:rPr>
        <w:outlineLvl w:val="1"/>
      </w:pPr>
      <w:r>
        <w:rPr>
          <w:rFonts w:hint="eastAsia" w:ascii="仿宋" w:hAnsi="仿宋" w:eastAsia="仿宋" w:cs="仿宋"/>
          <w:b w:val="0"/>
          <w:bCs/>
          <w:sz w:val="24"/>
          <w:szCs w:val="18"/>
          <w:highlight w:val="none"/>
          <w:u w:val="single"/>
          <w:lang w:eastAsia="zh-CN"/>
        </w:rPr>
        <w:t xml:space="preserve">分公司原则上不得使用总公司的业绩和资质；采购文件另有规定的除外。</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rPr>
          <w:highlight w:val="none"/>
        </w:rPr>
      </w:r>
    </w:p>
    <w:p>
      <w:pPr>
        <w:pStyle w:val="709"/>
        <w:ind w:firstLine="562"/>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10. 评审过程的保密与公正</w:t>
      </w:r>
      <w:r>
        <w:rPr>
          <w:highlight w:val="none"/>
        </w:rPr>
      </w:r>
    </w:p>
    <w:p>
      <w:pPr>
        <w:pStyle w:val="709"/>
        <w:ind w:firstLine="560"/>
        <w:keepLines w:val="0"/>
        <w:keepNext w:val="0"/>
        <w:pageBreakBefore w:val="0"/>
        <w:spacing w:line="480" w:lineRule="exact"/>
        <w:widowControl w:val="off"/>
        <w:rPr>
          <w:rFonts w:hint="eastAsia" w:ascii="仿宋" w:hAnsi="仿宋" w:eastAsia="仿宋" w:cs="仿宋"/>
          <w:b w:val="0"/>
          <w:bCs/>
          <w:sz w:val="28"/>
          <w:highlight w:val="none"/>
        </w:rPr>
        <w:outlineLvl w:val="1"/>
      </w:pPr>
      <w:r>
        <w:rPr>
          <w:rFonts w:hint="eastAsia" w:ascii="仿宋" w:hAnsi="仿宋" w:eastAsia="仿宋" w:cs="仿宋"/>
          <w:b w:val="0"/>
          <w:bCs/>
          <w:sz w:val="28"/>
          <w:highlight w:val="none"/>
          <w:lang w:eastAsia="zh-CN"/>
        </w:rPr>
        <w:t xml:space="preserve">10.1 询价小组、采购人和招标代理工作人员、相关监督人员等与评审工作有关的人员，对评审情况以及在评审过程中获悉的国家秘密、商业秘密负有保密责任。</w:t>
      </w:r>
      <w:r>
        <w:rPr>
          <w:highlight w:val="none"/>
        </w:rPr>
      </w:r>
    </w:p>
    <w:p>
      <w:pPr>
        <w:pStyle w:val="709"/>
        <w:ind w:firstLine="560"/>
        <w:keepLines w:val="0"/>
        <w:keepNext w:val="0"/>
        <w:pageBreakBefore w:val="0"/>
        <w:spacing w:line="480" w:lineRule="exact"/>
        <w:widowControl w:val="off"/>
        <w:rPr>
          <w:rFonts w:hint="eastAsia" w:ascii="仿宋" w:hAnsi="仿宋" w:eastAsia="仿宋" w:cs="仿宋"/>
          <w:b w:val="0"/>
          <w:bCs/>
          <w:sz w:val="28"/>
          <w:highlight w:val="none"/>
        </w:rPr>
        <w:outlineLvl w:val="1"/>
      </w:pPr>
      <w:r>
        <w:rPr>
          <w:rFonts w:hint="eastAsia" w:ascii="仿宋" w:hAnsi="仿宋" w:eastAsia="仿宋" w:cs="仿宋"/>
          <w:b w:val="0"/>
          <w:bCs/>
          <w:sz w:val="28"/>
          <w:highlight w:val="none"/>
          <w:lang w:eastAsia="zh-CN"/>
        </w:rPr>
        <w:t xml:space="preserve">10.2 在评审过程中，供应商不得以任何行为影响评审过程，否则其响应文件将被作为无效响应文件。</w:t>
      </w:r>
      <w:r>
        <w:rPr>
          <w:highlight w:val="none"/>
        </w:rPr>
      </w:r>
    </w:p>
    <w:p>
      <w:pPr>
        <w:pStyle w:val="709"/>
        <w:ind w:firstLine="560"/>
        <w:keepLines w:val="0"/>
        <w:keepNext w:val="0"/>
        <w:pageBreakBefore w:val="0"/>
        <w:spacing w:line="480" w:lineRule="exact"/>
        <w:widowControl w:val="off"/>
        <w:rPr>
          <w:rFonts w:hint="eastAsia" w:ascii="仿宋" w:hAnsi="仿宋" w:eastAsia="仿宋" w:cs="仿宋"/>
          <w:b w:val="0"/>
          <w:bCs/>
          <w:sz w:val="28"/>
          <w:highlight w:val="none"/>
        </w:rPr>
        <w:outlineLvl w:val="1"/>
      </w:pPr>
      <w:r>
        <w:rPr>
          <w:rFonts w:hint="eastAsia" w:ascii="仿宋" w:hAnsi="仿宋" w:eastAsia="仿宋" w:cs="仿宋"/>
          <w:b w:val="0"/>
          <w:bCs/>
          <w:sz w:val="28"/>
          <w:highlight w:val="none"/>
          <w:lang w:eastAsia="zh-CN"/>
        </w:rPr>
        <w:t xml:space="preserve">10.3 在评审期间，由专门工作人员负责与供应商联系。</w:t>
      </w:r>
      <w:r>
        <w:rPr>
          <w:highlight w:val="none"/>
        </w:rPr>
      </w:r>
    </w:p>
    <w:p>
      <w:pPr>
        <w:pStyle w:val="709"/>
        <w:ind w:firstLine="560"/>
        <w:keepLines w:val="0"/>
        <w:keepNext w:val="0"/>
        <w:pageBreakBefore w:val="0"/>
        <w:spacing w:line="480" w:lineRule="exact"/>
        <w:widowControl w:val="off"/>
        <w:rPr>
          <w:rFonts w:hint="eastAsia" w:ascii="仿宋" w:hAnsi="仿宋" w:eastAsia="仿宋" w:cs="仿宋"/>
          <w:b w:val="0"/>
          <w:bCs/>
          <w:sz w:val="28"/>
          <w:highlight w:val="none"/>
        </w:rPr>
        <w:outlineLvl w:val="1"/>
      </w:pPr>
      <w:r>
        <w:rPr>
          <w:rFonts w:hint="eastAsia" w:ascii="仿宋" w:hAnsi="仿宋" w:eastAsia="仿宋" w:cs="仿宋"/>
          <w:b w:val="0"/>
          <w:bCs/>
          <w:sz w:val="28"/>
          <w:highlight w:val="none"/>
          <w:lang w:eastAsia="zh-CN"/>
        </w:rPr>
        <w:t xml:space="preserve">10.4 评审结束后，代理机构和询价小组不向未成交的供应商主动解释未成交原因，也不公布评审过程中的相关细节；但供应商在法定质疑期内依法提出书面质疑的除外，代理机构应当按照《政府采购质疑和投诉办法》的规定在7个工作日内作出书面答复，答复内容不得涉及其他供应商的商业秘密。</w:t>
      </w:r>
      <w:r>
        <w:rPr>
          <w:highlight w:val="none"/>
        </w:rPr>
      </w:r>
    </w:p>
    <w:p>
      <w:pPr>
        <w:pStyle w:val="709"/>
        <w:ind w:left="0"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三、合同签订</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rPr>
          <w:highlight w:val="none"/>
        </w:rPr>
      </w:r>
    </w:p>
    <w:p>
      <w:pPr>
        <w:pStyle w:val="70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四、验收与付款</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rPr>
          <w:highlight w:val="none"/>
        </w:rPr>
      </w:r>
    </w:p>
    <w:p>
      <w:pPr>
        <w:pStyle w:val="70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五、询价费用</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rPr>
          <w:highlight w:val="none"/>
        </w:rPr>
      </w:r>
    </w:p>
    <w:p>
      <w:pPr>
        <w:pStyle w:val="70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六、报价注意事项</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报价截止时间以江苏政府采购网服务器时间为准。</w:t>
      </w:r>
      <w:r>
        <w:rPr>
          <w:highlight w:val="none"/>
        </w:rPr>
      </w:r>
    </w:p>
    <w:p>
      <w:pPr>
        <w:pStyle w:val="70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七、政府采购政策功能落实</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1.小微型企业价格扣除</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（1）本项目对小型和微型企业产品给予10%的扣除价格，用扣除后的价格参与评审。</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（1）本项目对残疾人福利性单位视同小型、微型企业，给予10%的价格扣除，用扣除后的价格参与评审。</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（1）本项目对监狱和戒毒企业（简称监狱企业）视同小型、微型企业，给予10%的价格扣除，用扣除后的价格参与评审。</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含新疆生产建设兵团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出具的属于监狱企业的证明文件。供应商如不提供上述证明文件，价格将不做相应扣除。</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rPr>
          <w:highlight w:val="none"/>
        </w:rP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6.联合体各方均为小型、微型企业（残疾人福利单位、监狱企业）的，联合体享受5%价格扣除，用扣除后的价格参与评审。</w:t>
      </w:r>
      <w:r>
        <w:rPr>
          <w:highlight w:val="none"/>
        </w:rP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w:t>
      </w:r>
      <w:bookmarkStart w:id="5" w:name="OLE_LINK209"/>
      <w:r>
        <w:rPr>
          <w:rFonts w:hint="eastAsia" w:ascii="仿宋" w:hAnsi="仿宋" w:eastAsia="仿宋" w:cs="仿宋"/>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5"/>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bookmarkStart w:id="6" w:name="OLE_LINK210"/>
      <w:r>
        <w:rPr>
          <w:highlight w:val="none"/>
        </w:rPr>
      </w:r>
      <w:r>
        <w:rPr>
          <w:highlight w:val="none"/>
        </w:rPr>
      </w:r>
    </w:p>
    <w:p>
      <w:pPr>
        <w:ind w:firstLine="560"/>
        <w:jc w:val="left"/>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绿色采购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本次采购需切实履行绿色采购，参照《江苏省财政</w:t>
      </w:r>
      <w:r>
        <w:rPr>
          <w:rFonts w:hint="eastAsia" w:ascii="仿宋" w:hAnsi="仿宋" w:eastAsia="仿宋" w:cs="仿宋"/>
          <w:color w:val="000000"/>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6"/>
      <w:r>
        <w:rPr>
          <w:rFonts w:hint="eastAsia" w:ascii="仿宋" w:hAnsi="仿宋" w:eastAsia="仿宋" w:cs="仿宋"/>
          <w:color w:val="000000"/>
          <w:sz w:val="28"/>
          <w:szCs w:val="28"/>
          <w:highlight w:val="none"/>
          <w:lang w:val="en-US" w:eastAsia="zh-CN"/>
        </w:rPr>
        <w:t xml:space="preserve">  </w:t>
      </w:r>
      <w:r>
        <w:rPr>
          <w:highlight w:val="none"/>
        </w:rPr>
      </w:r>
    </w:p>
    <w:p>
      <w:pPr>
        <w:ind w:firstLine="560"/>
        <w:jc w:val="left"/>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9.1</w:t>
      </w:r>
      <w:r>
        <w:rPr>
          <w:rFonts w:hint="eastAsia" w:ascii="仿宋" w:hAnsi="仿宋" w:eastAsia="仿宋" w:cs="仿宋"/>
          <w:color w:val="000000"/>
          <w:sz w:val="28"/>
          <w:szCs w:val="28"/>
          <w:highlight w:val="none"/>
        </w:rPr>
        <w:t xml:space="preserve">商品包装环保要求：</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9.2</w:t>
      </w:r>
      <w:r>
        <w:rPr>
          <w:rFonts w:hint="eastAsia" w:ascii="仿宋" w:hAnsi="仿宋" w:eastAsia="仿宋" w:cs="仿宋"/>
          <w:color w:val="000000"/>
          <w:sz w:val="28"/>
          <w:szCs w:val="28"/>
          <w:highlight w:val="none"/>
        </w:rPr>
        <w:t xml:space="preserve">快递包装环保要求：</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（11）快递应使用电子面单；</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（12）直接使用商品包装作为快递包装的商品，其商品包装满足《商品包装政府采购需求标准（试行）》即可；</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（13）快递包装产品质量和封装方式应符合相关国家或行业标准技术指标要求。</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9.3</w:t>
      </w:r>
      <w:r>
        <w:rPr>
          <w:rFonts w:hint="eastAsia" w:ascii="仿宋" w:hAnsi="仿宋" w:eastAsia="仿宋" w:cs="仿宋"/>
          <w:color w:val="000000"/>
          <w:sz w:val="28"/>
          <w:szCs w:val="28"/>
          <w:highlight w:val="none"/>
        </w:rPr>
        <w:t xml:space="preserve">低挥发性有机化合物产品：</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rPr>
          <w:highlight w:val="none"/>
        </w:rP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采购本国产品的支持政策</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.1</w:t>
      </w:r>
      <w:r>
        <w:rPr>
          <w:rFonts w:hint="eastAsia" w:ascii="仿宋" w:hAnsi="仿宋" w:eastAsia="仿宋" w:cs="仿宋"/>
          <w:b/>
          <w:bCs/>
          <w:color w:val="000000"/>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rPr>
          <w:highlight w:val="none"/>
        </w:rPr>
      </w:r>
    </w:p>
    <w:p>
      <w:pPr>
        <w:pStyle w:val="70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八、质疑处理</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rPr>
          <w:highlight w:val="none"/>
        </w:rP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rPr>
          <w:highlight w:val="none"/>
        </w:rPr>
      </w:r>
    </w:p>
    <w:p>
      <w:pPr>
        <w:pStyle w:val="70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九、政府采购履约资金扶持政策</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rPr>
          <w:highlight w:val="none"/>
        </w:rP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rPr>
          <w:highlight w:val="none"/>
        </w:rP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rPr>
          <w:highlight w:val="none"/>
        </w:rPr>
      </w:r>
    </w:p>
    <w:p>
      <w:pPr>
        <w:pStyle w:val="709"/>
        <w:ind w:firstLine="0"/>
        <w:jc w:val="center"/>
        <w:keepLines w:val="0"/>
        <w:keepNext w:val="0"/>
        <w:pageBreakBefore w:val="0"/>
        <w:widowControl w:val="off"/>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7" w:name="_Toc8121"/>
      <w:r>
        <w:rPr>
          <w:rFonts w:ascii="黑体" w:hAnsi="黑体" w:eastAsia="黑体" w:cs="黑体"/>
          <w:color w:val="000000"/>
          <w:sz w:val="44"/>
          <w:highlight w:val="none"/>
          <w:lang w:eastAsia="zh-CN"/>
        </w:rPr>
        <w:t xml:space="preserve">第</w:t>
      </w:r>
      <w:r>
        <w:rPr>
          <w:rFonts w:hint="eastAsia" w:ascii="黑体" w:hAnsi="黑体" w:eastAsia="黑体" w:cs="黑体"/>
          <w:color w:val="000000"/>
          <w:sz w:val="44"/>
          <w:highlight w:val="none"/>
          <w:lang w:eastAsia="zh-CN"/>
        </w:rPr>
        <w:t xml:space="preserve">三章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文本合同</w:t>
      </w:r>
      <w:bookmarkEnd w:id="7"/>
      <w:r>
        <w:rPr>
          <w:highlight w:val="none"/>
        </w:rPr>
      </w:r>
      <w:r>
        <w:rPr>
          <w:highlight w:val="none"/>
        </w:rPr>
      </w:r>
    </w:p>
    <w:p>
      <w:pPr>
        <w:pStyle w:val="884"/>
        <w:ind w:firstLine="0"/>
        <w:jc w:val="center"/>
        <w:spacing w:line="540" w:lineRule="exact"/>
        <w:rPr>
          <w:rFonts w:ascii="黑体" w:hAnsi="黑体" w:eastAsia="黑体" w:cs="黑体"/>
          <w:color w:val="000000"/>
          <w:sz w:val="44"/>
          <w:szCs w:val="20"/>
          <w:highlight w:val="none"/>
        </w:rPr>
      </w:pPr>
      <w:r>
        <w:rPr>
          <w:rFonts w:ascii="黑体" w:hAnsi="黑体" w:eastAsia="黑体" w:cs="黑体"/>
          <w:color w:val="000000"/>
          <w:sz w:val="44"/>
          <w:szCs w:val="20"/>
          <w:highlight w:val="none"/>
        </w:rPr>
      </w:r>
      <w:r>
        <w:rPr>
          <w:highlight w:val="none"/>
        </w:rPr>
      </w:r>
    </w:p>
    <w:p>
      <w:pPr>
        <w:pStyle w:val="709"/>
        <w:ind w:firstLine="0"/>
        <w:jc w:val="center"/>
        <w:rPr>
          <w:color w:val="000000"/>
          <w:sz w:val="28"/>
          <w:szCs w:val="28"/>
          <w:highlight w:val="none"/>
        </w:rPr>
      </w:pPr>
      <w:r>
        <w:rPr>
          <w:color w:val="000000"/>
          <w:sz w:val="28"/>
          <w:szCs w:val="28"/>
          <w:highlight w:val="none"/>
        </w:rPr>
      </w:r>
      <w:r>
        <w:rPr>
          <w:highlight w:val="none"/>
        </w:rPr>
      </w:r>
    </w:p>
    <w:p>
      <w:pPr>
        <w:pStyle w:val="709"/>
        <w:ind w:firstLine="0"/>
        <w:jc w:val="center"/>
        <w:rPr>
          <w:color w:val="000000"/>
          <w:sz w:val="28"/>
          <w:szCs w:val="28"/>
          <w:highlight w:val="none"/>
        </w:rPr>
      </w:pPr>
      <w:r>
        <w:rPr>
          <w:color w:val="000000"/>
          <w:sz w:val="28"/>
          <w:szCs w:val="28"/>
          <w:highlight w:val="none"/>
        </w:rPr>
      </w:r>
      <w:r>
        <w:rPr>
          <w:highlight w:val="none"/>
        </w:rPr>
      </w:r>
    </w:p>
    <w:p>
      <w:pPr>
        <w:pStyle w:val="709"/>
        <w:ind w:firstLine="0"/>
        <w:jc w:val="center"/>
        <w:rPr>
          <w:color w:val="000000"/>
          <w:sz w:val="28"/>
          <w:szCs w:val="28"/>
          <w:highlight w:val="none"/>
        </w:rPr>
      </w:pPr>
      <w:r>
        <w:rPr>
          <w:color w:val="000000"/>
          <w:sz w:val="28"/>
          <w:szCs w:val="28"/>
          <w:highlight w:val="none"/>
        </w:rPr>
      </w:r>
      <w:r>
        <w:rPr>
          <w:highlight w:val="none"/>
        </w:rPr>
      </w:r>
    </w:p>
    <w:p>
      <w:pPr>
        <w:pStyle w:val="709"/>
        <w:ind w:firstLine="0"/>
        <w:jc w:val="center"/>
        <w:rPr>
          <w:rFonts w:hint="eastAsia"/>
          <w:highlight w:val="none"/>
        </w:rPr>
      </w:pPr>
      <w:r>
        <w:rPr>
          <w:rFonts w:hint="eastAsia"/>
          <w:highlight w:val="none"/>
        </w:rPr>
      </w:r>
      <w:r>
        <w:rPr>
          <w:highlight w:val="none"/>
        </w:rPr>
      </w:r>
    </w:p>
    <w:p>
      <w:pPr>
        <w:pStyle w:val="868"/>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rPr>
          <w:highlight w:val="none"/>
        </w:rPr>
      </w:r>
    </w:p>
    <w:p>
      <w:pPr>
        <w:pStyle w:val="868"/>
        <w:jc w:val="center"/>
        <w:rPr>
          <w:rFonts w:hint="eastAsia" w:ascii="宋体" w:hAnsi="宋体" w:eastAsia="宋体" w:cs="宋体"/>
          <w:b/>
          <w:bCs/>
          <w:spacing w:val="-20"/>
          <w:sz w:val="48"/>
          <w:szCs w:val="48"/>
          <w:highlight w:val="none"/>
        </w:rPr>
      </w:pPr>
      <w:r>
        <w:rPr>
          <w:rFonts w:hint="eastAsia" w:ascii="宋体" w:hAnsi="宋体" w:cs="宋体"/>
          <w:b/>
          <w:bCs/>
          <w:spacing w:val="-20"/>
          <w:sz w:val="48"/>
          <w:szCs w:val="48"/>
          <w:highlight w:val="none"/>
        </w:rPr>
        <w:t xml:space="preserve">（试行）</w:t>
      </w:r>
      <w:r>
        <w:rPr>
          <w:highlight w:val="none"/>
        </w:rP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rPr>
          <w:highlight w:val="none"/>
        </w:rP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rPr>
          <w:highlight w:val="none"/>
        </w:rP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rPr>
          <w:highlight w:val="none"/>
        </w:rP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rPr>
          <w:highlight w:val="none"/>
        </w:rPr>
      </w:r>
    </w:p>
    <w:p>
      <w:pPr>
        <w:ind w:firstLine="128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rPr>
          <w:highlight w:val="none"/>
        </w:rPr>
      </w:r>
    </w:p>
    <w:p>
      <w:pPr>
        <w:ind w:firstLine="128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rPr>
          <w:highlight w:val="none"/>
        </w:rPr>
      </w:r>
    </w:p>
    <w:p>
      <w:pPr>
        <w:ind w:firstLine="128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rPr>
          <w:highlight w:val="none"/>
        </w:rPr>
      </w:r>
    </w:p>
    <w:p>
      <w:pPr>
        <w:ind w:firstLine="128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rPr>
          <w:highlight w:val="none"/>
        </w:rPr>
      </w:r>
    </w:p>
    <w:p>
      <w:pPr>
        <w:ind w:firstLine="128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rPr>
          <w:highlight w:val="none"/>
        </w:rP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rPr>
          <w:highlight w:val="none"/>
        </w:rP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rPr>
          <w:highlight w:val="none"/>
        </w:rPr>
      </w:r>
    </w:p>
    <w:p>
      <w:pPr>
        <w:jc w:val="center"/>
        <w:rPr>
          <w:rFonts w:hint="eastAsia" w:eastAsia="黑体"/>
          <w:sz w:val="44"/>
          <w:szCs w:val="44"/>
          <w:highlight w:val="none"/>
        </w:rPr>
      </w:pPr>
      <w:r>
        <w:rPr>
          <w:rFonts w:eastAsia="黑体"/>
          <w:sz w:val="44"/>
          <w:szCs w:val="44"/>
          <w:highlight w:val="none"/>
        </w:rPr>
        <w:br w:type="page" w:clear="all"/>
      </w:r>
      <w:r>
        <w:rPr>
          <w:rFonts w:hint="eastAsia" w:eastAsia="黑体"/>
          <w:sz w:val="44"/>
          <w:szCs w:val="44"/>
          <w:highlight w:val="none"/>
        </w:rPr>
        <w:t xml:space="preserve">使 用 说 明</w:t>
      </w:r>
      <w:r>
        <w:rPr>
          <w:highlight w:val="none"/>
        </w:rP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rPr>
          <w:highlight w:val="none"/>
        </w:rP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rPr>
          <w:highlight w:val="none"/>
        </w:rP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rPr>
          <w:highlight w:val="none"/>
        </w:rP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rPr>
          <w:highlight w:val="none"/>
        </w:rPr>
      </w:r>
    </w:p>
    <w:p>
      <w:pPr>
        <w:pStyle w:val="709"/>
        <w:ind w:firstLine="0"/>
        <w:jc w:val="center"/>
        <w:spacing w:line="480" w:lineRule="exact"/>
        <w:rPr>
          <w:rFonts w:hint="eastAsia"/>
          <w:b/>
          <w:sz w:val="28"/>
          <w:highlight w:val="none"/>
        </w:rPr>
        <w:outlineLvl w:val="1"/>
      </w:pPr>
      <w:r>
        <w:rPr>
          <w:highlight w:val="none"/>
        </w:rPr>
      </w:r>
      <w:bookmarkStart w:id="8" w:name="_Toc22209"/>
      <w:r>
        <w:rPr>
          <w:b/>
          <w:sz w:val="28"/>
          <w:highlight w:val="none"/>
          <w:lang w:eastAsia="zh-CN"/>
        </w:rPr>
        <w:br w:type="page" w:clear="all"/>
      </w:r>
      <w:r>
        <w:rPr>
          <w:rFonts w:hint="eastAsia"/>
          <w:b/>
          <w:sz w:val="28"/>
          <w:highlight w:val="none"/>
          <w:lang w:eastAsia="zh-CN"/>
        </w:rPr>
        <w:t xml:space="preserve">第一节 政府采购合同协议书</w:t>
      </w:r>
      <w:bookmarkEnd w:id="8"/>
      <w:r>
        <w:rPr>
          <w:highlight w:val="none"/>
        </w:rPr>
      </w:r>
      <w:r>
        <w:rPr>
          <w:highlight w:val="none"/>
        </w:rP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rPr>
          <w:highlight w:val="none"/>
        </w:rP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rPr>
          <w:highlight w:val="none"/>
        </w:rPr>
      </w:r>
    </w:p>
    <w:p>
      <w:pPr>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rPr>
          <w:highlight w:val="none"/>
        </w:rPr>
      </w:r>
    </w:p>
    <w:p>
      <w:pPr>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rPr>
          <w:highlight w:val="none"/>
        </w:rPr>
      </w:r>
    </w:p>
    <w:p>
      <w:pPr>
        <w:pStyle w:val="869"/>
        <w:ind w:left="0" w:firstLine="420"/>
        <w:spacing w:after="0" w:line="400" w:lineRule="exact"/>
        <w:rPr>
          <w:rFonts w:ascii="宋体" w:hAnsi="宋体"/>
          <w:szCs w:val="21"/>
          <w:highlight w:val="none"/>
        </w:rPr>
      </w:pPr>
      <w:r>
        <w:rPr>
          <w:rFonts w:ascii="宋体" w:hAnsi="宋体"/>
          <w:szCs w:val="21"/>
          <w:highlight w:val="none"/>
        </w:rPr>
      </w:r>
      <w:r>
        <w:rPr>
          <w:highlight w:val="none"/>
        </w:rPr>
      </w:r>
    </w:p>
    <w:p>
      <w:pPr>
        <w:pStyle w:val="869"/>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rPr>
          <w:highlight w:val="none"/>
        </w:rP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w:t>
      </w:r>
      <w:r>
        <w:rPr>
          <w:rFonts w:hint="eastAsia" w:ascii="宋体" w:hAnsi="宋体"/>
          <w:b/>
          <w:szCs w:val="21"/>
          <w:highlight w:val="none"/>
        </w:rPr>
        <w:t xml:space="preserve">项目信息</w:t>
      </w:r>
      <w:r>
        <w:rPr>
          <w:highlight w:val="none"/>
        </w:rPr>
      </w:r>
    </w:p>
    <w:p>
      <w:pPr>
        <w:pStyle w:val="869"/>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t xml:space="preserve">                                          </w:t>
      </w:r>
      <w:r>
        <w:rPr>
          <w:highlight w:val="none"/>
        </w:rPr>
      </w:r>
    </w:p>
    <w:p>
      <w:pPr>
        <w:pStyle w:val="869"/>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rPr>
          <w:highlight w:val="none"/>
        </w:rPr>
      </w:r>
    </w:p>
    <w:p>
      <w:pPr>
        <w:pStyle w:val="869"/>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highlight w:val="none"/>
        </w:rPr>
      </w:r>
    </w:p>
    <w:p>
      <w:pPr>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rPr>
          <w:highlight w:val="none"/>
        </w:rPr>
      </w:r>
    </w:p>
    <w:p>
      <w:pPr>
        <w:ind w:firstLine="420"/>
        <w:spacing w:line="400" w:lineRule="exact"/>
        <w:rPr>
          <w:rFonts w:ascii="宋体" w:hAnsi="宋体"/>
          <w:szCs w:val="21"/>
          <w:highlight w:val="none"/>
          <w:u w:val="singl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rPr>
          <w:highlight w:val="none"/>
        </w:rPr>
      </w:r>
    </w:p>
    <w:p>
      <w:pPr>
        <w:ind w:firstLine="420"/>
        <w:spacing w:line="400" w:lineRule="exact"/>
        <w:rPr>
          <w:rFonts w:ascii="宋体" w:hAnsi="宋体" w:cs="宋体"/>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highlight w:val="none"/>
        </w:rP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rPr>
          <w:highlight w:val="none"/>
        </w:rPr>
      </w:r>
    </w:p>
    <w:p>
      <w:p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rPr>
          <w:highlight w:val="none"/>
        </w:rP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highlight w:val="none"/>
        </w:rP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highlight w:val="none"/>
        </w:rP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highlight w:val="none"/>
        </w:rPr>
      </w:r>
    </w:p>
    <w:p>
      <w:pPr>
        <w:ind w:firstLine="945"/>
        <w:spacing w:line="400" w:lineRule="exact"/>
        <w:rPr>
          <w:rFonts w:hint="eastAsia" w:ascii="宋体" w:hAnsi="宋体" w:cs="宋体"/>
          <w:highlight w:val="non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highlight w:val="none"/>
        </w:rPr>
      </w:r>
    </w:p>
    <w:p>
      <w:pPr>
        <w:pStyle w:val="904"/>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rPr>
          <w:highlight w:val="none"/>
        </w:rPr>
      </w:r>
    </w:p>
    <w:p>
      <w:pPr>
        <w:pStyle w:val="904"/>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rPr>
          <w:highlight w:val="none"/>
        </w:rPr>
      </w:r>
    </w:p>
    <w:p>
      <w:pPr>
        <w:pStyle w:val="904"/>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rPr>
          <w:highlight w:val="none"/>
        </w:rPr>
      </w:r>
    </w:p>
    <w:p>
      <w:pPr>
        <w:pStyle w:val="904"/>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rPr>
          <w:highlight w:val="none"/>
        </w:rPr>
      </w:r>
    </w:p>
    <w:p>
      <w:pPr>
        <w:pStyle w:val="904"/>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rPr>
          <w:highlight w:val="none"/>
        </w:rPr>
      </w:r>
    </w:p>
    <w:p>
      <w:pPr>
        <w:pStyle w:val="904"/>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rPr>
          <w:highlight w:val="none"/>
        </w:rPr>
      </w:r>
    </w:p>
    <w:p>
      <w:pPr>
        <w:pStyle w:val="904"/>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宋体" w:hAnsi="宋体" w:eastAsia="宋体" w:cs="宋体"/>
          <w:sz w:val="21"/>
          <w:highlight w:val="none"/>
        </w:rPr>
        <w:t xml:space="preserve">  </w:t>
      </w: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rPr>
          <w:highlight w:val="none"/>
        </w:rPr>
      </w:r>
    </w:p>
    <w:p>
      <w:pPr>
        <w:pStyle w:val="904"/>
        <w:ind w:firstLine="84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rPr>
          <w:highlight w:val="none"/>
        </w:rPr>
      </w:r>
    </w:p>
    <w:p>
      <w:pPr>
        <w:pStyle w:val="904"/>
        <w:ind w:firstLine="438"/>
        <w:rPr>
          <w:rFonts w:hint="eastAsia" w:ascii="宋体" w:hAnsi="宋体" w:eastAsia="宋体" w:cs="Times New Roman"/>
          <w:sz w:val="21"/>
          <w:highlight w:val="none"/>
        </w:rPr>
      </w:pPr>
      <w:r>
        <w:rPr>
          <w:rFonts w:hint="eastAsia" w:ascii="宋体" w:hAnsi="宋体" w:eastAsia="宋体" w:cs="Times New Roman"/>
          <w:sz w:val="21"/>
          <w:highlight w:val="none"/>
        </w:rPr>
        <w:t xml:space="preserve">（</w:t>
      </w:r>
      <w:r>
        <w:rPr>
          <w:rFonts w:ascii="宋体" w:hAnsi="宋体" w:eastAsia="宋体" w:cs="Times New Roman"/>
          <w:sz w:val="21"/>
          <w:highlight w:val="none"/>
        </w:rPr>
        <w:t xml:space="preserve">6</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highlight w:val="none"/>
        </w:rPr>
      </w:r>
    </w:p>
    <w:p>
      <w:pPr>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p>
    <w:p>
      <w:pPr>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p>
    <w:p>
      <w:pPr>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p>
    <w:p>
      <w:pPr>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rPr>
          <w:highlight w:val="none"/>
        </w:rP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rPr>
          <w:highlight w:val="none"/>
        </w:rP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rPr>
          <w:highlight w:val="none"/>
        </w:rP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rPr>
          <w:highlight w:val="none"/>
        </w:rPr>
      </w:r>
    </w:p>
    <w:p>
      <w:pPr>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rPr>
          <w:highlight w:val="none"/>
        </w:rP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highlight w:val="none"/>
        </w:rPr>
      </w:r>
    </w:p>
    <w:p>
      <w:pPr>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w:t>
      </w:r>
      <w:r>
        <w:rPr>
          <w:rFonts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rPr>
          <w:highlight w:val="none"/>
        </w:rPr>
      </w:r>
    </w:p>
    <w:p>
      <w:pPr>
        <w:pStyle w:val="904"/>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w:t>
      </w:r>
      <w:r>
        <w:rPr>
          <w:rFonts w:ascii="宋体" w:hAnsi="宋体" w:eastAsia="宋体" w:cs="宋体"/>
          <w:sz w:val="21"/>
          <w:highlight w:val="none"/>
        </w:rPr>
        <w:t xml:space="preserve">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rPr>
          <w:highlight w:val="none"/>
        </w:rP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rPr>
          <w:highlight w:val="none"/>
        </w:rP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rPr>
          <w:highlight w:val="none"/>
        </w:rP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highlight w:val="none"/>
        </w:rPr>
      </w:r>
    </w:p>
    <w:p>
      <w:pPr>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highlight w:val="none"/>
        </w:rP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rPr>
          <w:highlight w:val="none"/>
        </w:rPr>
      </w:r>
    </w:p>
    <w:p>
      <w:pPr>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highlight w:val="none"/>
        </w:rP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rPr>
          <w:highlight w:val="none"/>
        </w:rP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highlight w:val="none"/>
        </w:rP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rPr>
          <w:highlight w:val="none"/>
        </w:rP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highlight w:val="none"/>
        </w:rP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rPr>
          <w:highlight w:val="none"/>
        </w:rP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highlight w:val="none"/>
        </w:rPr>
      </w:r>
    </w:p>
    <w:p>
      <w:pPr>
        <w:pStyle w:val="904"/>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w:t>
      </w:r>
      <w:r>
        <w:rPr>
          <w:highlight w:val="none"/>
        </w:rPr>
      </w:r>
    </w:p>
    <w:p>
      <w:pPr>
        <w:pStyle w:val="904"/>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t xml:space="preserve">         </w:t>
      </w:r>
      <w:r>
        <w:rPr>
          <w:highlight w:val="none"/>
        </w:rP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rPr>
          <w:highlight w:val="none"/>
        </w:rPr>
      </w:r>
    </w:p>
    <w:p>
      <w:pPr>
        <w:pStyle w:val="904"/>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highlight w:val="none"/>
        </w:rPr>
      </w:r>
    </w:p>
    <w:p>
      <w:pPr>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w:t>
      </w:r>
      <w:r>
        <w:rPr>
          <w:rFonts w:hint="eastAsia" w:ascii="宋体" w:hAnsi="宋体"/>
          <w:szCs w:val="21"/>
          <w:highlight w:val="none"/>
          <w:lang w:eastAsia="zh-CN"/>
        </w:rPr>
        <w:t xml:space="preserve">》《</w:t>
      </w:r>
      <w:r>
        <w:rPr>
          <w:rFonts w:hint="eastAsia" w:ascii="宋体" w:hAnsi="宋体"/>
          <w:szCs w:val="21"/>
          <w:highlight w:val="none"/>
        </w:rPr>
        <w:t xml:space="preserve">快递包装政府采购需求标准（试行）》明确产品及相关快递服务的具体包装要求：</w:t>
      </w:r>
      <w:r>
        <w:rPr>
          <w:highlight w:val="none"/>
        </w:rPr>
      </w:r>
    </w:p>
    <w:p>
      <w:pPr>
        <w:pStyle w:val="904"/>
        <w:ind w:firstLine="945"/>
        <w:rPr>
          <w:rFonts w:hint="eastAsia" w:ascii="宋体" w:hAnsi="宋体" w:eastAsia="宋体" w:cs="Times New Roman"/>
          <w:sz w:val="21"/>
          <w:highlight w:val="non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不涉及</w:t>
      </w:r>
      <w:r>
        <w:rPr>
          <w:highlight w:val="none"/>
        </w:rP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合同金额</w:t>
      </w:r>
      <w:r>
        <w:rPr>
          <w:highlight w:val="none"/>
        </w:rP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rPr>
          <w:highlight w:val="none"/>
        </w:rP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rPr>
          <w:highlight w:val="none"/>
        </w:rP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rPr>
          <w:highlight w:val="none"/>
        </w:rPr>
      </w:r>
    </w:p>
    <w:p>
      <w:pPr>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rPr>
          <w:highlight w:val="none"/>
        </w:rPr>
      </w:r>
    </w:p>
    <w:p>
      <w:pPr>
        <w:spacing w:line="400" w:lineRule="exact"/>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（注：固定单价合同应填写单价和最高限价）</w:t>
      </w:r>
      <w:r>
        <w:rPr>
          <w:highlight w:val="none"/>
        </w:rPr>
      </w:r>
    </w:p>
    <w:p>
      <w:pPr>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rPr>
          <w:highlight w:val="none"/>
        </w:rPr>
      </w:r>
    </w:p>
    <w:p>
      <w:pPr>
        <w:ind w:firstLine="945"/>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highlight w:val="none"/>
        </w:rPr>
      </w:r>
    </w:p>
    <w:p>
      <w:pPr>
        <w:pStyle w:val="905"/>
        <w:spacing w:line="400" w:lineRule="exact"/>
        <w:rPr>
          <w:highlight w:val="none"/>
        </w:rPr>
      </w:pPr>
      <w:r>
        <w:rPr>
          <w:rFonts w:hint="eastAsia" w:ascii="宋体" w:hAnsi="宋体"/>
          <w:highlight w:val="none"/>
        </w:rPr>
        <w:t xml:space="preserve">（3）付款方式（按项目实际勾选填写）：</w:t>
      </w:r>
      <w:r>
        <w:rPr>
          <w:highlight w:val="none"/>
        </w:rP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（应明确一次性支付合同款项的条件）      </w:t>
      </w:r>
      <w:r>
        <w:rPr>
          <w:rFonts w:ascii="宋体" w:hAnsi="宋体"/>
          <w:szCs w:val="21"/>
          <w:highlight w:val="none"/>
          <w:u w:val="single"/>
        </w:rPr>
        <w:t xml:space="preserve">     </w:t>
      </w:r>
      <w:r>
        <w:rPr>
          <w:rFonts w:hint="eastAsia" w:ascii="宋体" w:hAnsi="宋体"/>
          <w:szCs w:val="21"/>
          <w:highlight w:val="none"/>
          <w:u w:val="single"/>
        </w:rPr>
        <w:t xml:space="preserve">              </w:t>
      </w:r>
      <w:r>
        <w:rPr>
          <w:highlight w:val="none"/>
        </w:rPr>
      </w:r>
    </w:p>
    <w:p>
      <w:pPr>
        <w:ind w:firstLine="945"/>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（应明确分期支付合同款项的各期比例和支付条件，各期支付条件应与分期履约验收情况挂钩）</w:t>
      </w:r>
      <w:r>
        <w:rPr>
          <w:rFonts w:hint="eastAsia" w:ascii="宋体" w:hAnsi="宋体"/>
          <w:szCs w:val="21"/>
          <w:highlight w:val="none"/>
        </w:rPr>
        <w:t xml:space="preserve">，其中涉及预付款的：</w:t>
      </w:r>
      <w:r>
        <w:rPr>
          <w:rFonts w:hint="eastAsia" w:ascii="宋体" w:hAnsi="宋体"/>
          <w:szCs w:val="21"/>
          <w:highlight w:val="none"/>
          <w:u w:val="single"/>
        </w:rPr>
        <w:t xml:space="preserve">（应明确预付款的支付比例和支付条件）</w:t>
      </w:r>
      <w:r>
        <w:rPr>
          <w:highlight w:val="none"/>
        </w:rP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（应明确按照成本补偿方式的支付方式和支付条件）   </w:t>
      </w:r>
      <w:r>
        <w:rPr>
          <w:rFonts w:ascii="宋体" w:hAnsi="宋体"/>
          <w:szCs w:val="21"/>
          <w:highlight w:val="none"/>
          <w:u w:val="single"/>
        </w:rPr>
        <w:t xml:space="preserve">          </w:t>
      </w:r>
      <w:r>
        <w:rPr>
          <w:highlight w:val="none"/>
        </w:rPr>
      </w:r>
    </w:p>
    <w:p>
      <w:pPr>
        <w:ind w:firstLine="945"/>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（应明确按照绩效激励方式的支付方式和支付条件）   </w:t>
      </w:r>
      <w:r>
        <w:rPr>
          <w:rFonts w:ascii="宋体" w:hAnsi="宋体"/>
          <w:szCs w:val="21"/>
          <w:highlight w:val="none"/>
          <w:u w:val="single"/>
        </w:rPr>
        <w:t xml:space="preserve">          </w:t>
      </w:r>
      <w:r>
        <w:rPr>
          <w:highlight w:val="none"/>
        </w:rP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w:t>
      </w:r>
      <w:r>
        <w:rPr>
          <w:rFonts w:ascii="宋体" w:hAnsi="宋体"/>
          <w:b/>
          <w:szCs w:val="21"/>
          <w:highlight w:val="none"/>
        </w:rPr>
        <w:t xml:space="preserve">.</w:t>
      </w:r>
      <w:r>
        <w:rPr>
          <w:rFonts w:hint="eastAsia" w:ascii="宋体" w:hAnsi="宋体"/>
          <w:b/>
          <w:szCs w:val="21"/>
          <w:highlight w:val="none"/>
        </w:rPr>
        <w:t xml:space="preserve">合同履行</w:t>
      </w:r>
      <w:r>
        <w:rPr>
          <w:highlight w:val="none"/>
        </w:rP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w:t>
      </w:r>
      <w:r>
        <w:rPr>
          <w:highlight w:val="none"/>
        </w:rP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highlight w:val="none"/>
        </w:rP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rPr>
          <w:highlight w:val="none"/>
        </w:rPr>
      </w:r>
    </w:p>
    <w:p>
      <w:pPr>
        <w:pStyle w:val="904"/>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rPr>
          <w:highlight w:val="none"/>
        </w:rPr>
      </w:r>
    </w:p>
    <w:p>
      <w:pPr>
        <w:pStyle w:val="904"/>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                            </w:t>
      </w:r>
      <w:r>
        <w:rPr>
          <w:highlight w:val="none"/>
        </w:rPr>
      </w:r>
    </w:p>
    <w:p>
      <w:pPr>
        <w:ind w:firstLine="945"/>
        <w:spacing w:line="400" w:lineRule="exact"/>
        <w:rPr>
          <w:rFonts w:hint="eastAsia" w:ascii="宋体" w:hAnsi="宋体" w:cs="宋体"/>
          <w:highlight w:val="none"/>
        </w:rPr>
      </w:pPr>
      <w:r>
        <w:rPr>
          <w:rFonts w:hint="eastAsia" w:ascii="宋体" w:hAnsi="宋体" w:cs="宋体"/>
          <w:bCs/>
          <w:szCs w:val="21"/>
          <w:highlight w:val="none"/>
        </w:rPr>
        <w:t xml:space="preserve">履约担保期限：</w:t>
      </w:r>
      <w:r>
        <w:rPr>
          <w:rFonts w:hint="eastAsia" w:ascii="宋体" w:hAnsi="宋体" w:cs="宋体"/>
          <w:bCs/>
          <w:szCs w:val="21"/>
          <w:highlight w:val="none"/>
          <w:u w:val="single"/>
        </w:rPr>
        <w:t xml:space="preserve">                                  </w:t>
      </w:r>
      <w:r>
        <w:rPr>
          <w:highlight w:val="none"/>
        </w:rP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rPr>
          <w:highlight w:val="none"/>
        </w:rPr>
      </w:r>
    </w:p>
    <w:p>
      <w:pPr>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rPr>
          <w:highlight w:val="none"/>
        </w:rP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w:t>
      </w:r>
      <w:r>
        <w:rPr>
          <w:rFonts w:ascii="宋体" w:hAnsi="宋体"/>
          <w:b/>
          <w:szCs w:val="21"/>
          <w:highlight w:val="none"/>
        </w:rPr>
        <w:t xml:space="preserve">.</w:t>
      </w:r>
      <w:r>
        <w:rPr>
          <w:rFonts w:hint="eastAsia" w:ascii="宋体" w:hAnsi="宋体"/>
          <w:b/>
          <w:szCs w:val="21"/>
          <w:highlight w:val="none"/>
        </w:rPr>
        <w:t xml:space="preserve">合同验收</w:t>
      </w:r>
      <w:r>
        <w:rPr>
          <w:highlight w:val="none"/>
        </w:rP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rPr>
          <w:highlight w:val="none"/>
        </w:rPr>
      </w:r>
    </w:p>
    <w:p>
      <w:pPr>
        <w:ind w:firstLine="945"/>
        <w:spacing w:line="400" w:lineRule="exact"/>
        <w:rPr>
          <w:rFonts w:ascii="宋体" w:hAnsi="宋体"/>
          <w:bCs/>
          <w:szCs w:val="21"/>
          <w:highlight w:val="none"/>
        </w:rPr>
      </w:pP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rPr>
          <w:rFonts w:ascii="宋体" w:hAnsi="宋体"/>
          <w:bCs/>
          <w:szCs w:val="21"/>
          <w:highlight w:val="none"/>
          <w:u w:val="single"/>
        </w:rPr>
        <w:t xml:space="preserve">                    </w:t>
      </w:r>
      <w:r>
        <w:rPr>
          <w:highlight w:val="none"/>
        </w:rP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p>
    <w:p>
      <w:pPr>
        <w:ind w:firstLine="945"/>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rPr>
          <w:highlight w:val="none"/>
        </w:rPr>
      </w:r>
    </w:p>
    <w:p>
      <w:pPr>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t xml:space="preserve">            </w:t>
      </w:r>
      <w:r>
        <w:rPr>
          <w:highlight w:val="none"/>
        </w:rP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rPr>
          <w:highlight w:val="none"/>
        </w:rP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w:t>
      </w:r>
      <w:r>
        <w:rPr>
          <w:highlight w:val="none"/>
        </w:rPr>
      </w:r>
    </w:p>
    <w:p>
      <w:pPr>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u w:val="single"/>
        </w:rPr>
        <w:t xml:space="preserve">     </w:t>
      </w:r>
      <w:r>
        <w:rPr>
          <w:highlight w:val="none"/>
        </w:rP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u w:val="single"/>
        </w:rPr>
        <w:t xml:space="preserve">                 </w:t>
      </w:r>
      <w:r>
        <w:rPr>
          <w:highlight w:val="none"/>
        </w:rP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rPr>
          <w:highlight w:val="none"/>
        </w:rP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t xml:space="preserve">                 </w:t>
      </w:r>
      <w:r>
        <w:rPr>
          <w:highlight w:val="none"/>
        </w:rPr>
      </w:r>
    </w:p>
    <w:p>
      <w:pPr>
        <w:pStyle w:val="904"/>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rPr>
          <w:highlight w:val="none"/>
        </w:rP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t xml:space="preserve">                    </w:t>
      </w:r>
      <w:r>
        <w:rPr>
          <w:highlight w:val="none"/>
        </w:rPr>
      </w:r>
    </w:p>
    <w:p>
      <w:pPr>
        <w:pStyle w:val="86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5</w:t>
      </w:r>
      <w:r>
        <w:rPr>
          <w:rFonts w:ascii="宋体" w:hAnsi="宋体"/>
          <w:b/>
          <w:szCs w:val="21"/>
          <w:highlight w:val="none"/>
        </w:rPr>
        <w:t xml:space="preserve">.</w:t>
      </w:r>
      <w:r>
        <w:rPr>
          <w:rFonts w:hint="eastAsia" w:ascii="宋体" w:hAnsi="宋体"/>
          <w:b/>
          <w:szCs w:val="21"/>
          <w:highlight w:val="none"/>
        </w:rPr>
        <w:t xml:space="preserve">组成合同的文件</w:t>
      </w:r>
      <w:r>
        <w:rPr>
          <w:highlight w:val="none"/>
        </w:rP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rPr>
          <w:highlight w:val="none"/>
        </w:rPr>
      </w:r>
    </w:p>
    <w:p>
      <w:pPr>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rPr>
          <w:highlight w:val="none"/>
        </w:rP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rPr>
          <w:highlight w:val="none"/>
        </w:rP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rPr>
          <w:highlight w:val="none"/>
        </w:rP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rPr>
          <w:highlight w:val="none"/>
        </w:rP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rPr>
          <w:highlight w:val="none"/>
        </w:rP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rPr>
          <w:highlight w:val="none"/>
        </w:rP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rPr>
          <w:highlight w:val="none"/>
        </w:rPr>
      </w:r>
    </w:p>
    <w:p>
      <w:pPr>
        <w:pStyle w:val="904"/>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rPr>
          <w:highlight w:val="none"/>
        </w:rPr>
      </w:r>
    </w:p>
    <w:p>
      <w:pPr>
        <w:pStyle w:val="86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合同生效</w:t>
      </w:r>
      <w:r>
        <w:rPr>
          <w:highlight w:val="none"/>
        </w:rP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rPr>
          <w:highlight w:val="none"/>
        </w:rPr>
      </w:r>
    </w:p>
    <w:p>
      <w:pPr>
        <w:pStyle w:val="86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7</w:t>
      </w:r>
      <w:r>
        <w:rPr>
          <w:rFonts w:ascii="宋体" w:hAnsi="宋体"/>
          <w:b/>
          <w:szCs w:val="21"/>
          <w:highlight w:val="none"/>
        </w:rPr>
        <w:t xml:space="preserve">.</w:t>
      </w:r>
      <w:r>
        <w:rPr>
          <w:rFonts w:hint="eastAsia" w:ascii="宋体" w:hAnsi="宋体"/>
          <w:b/>
          <w:szCs w:val="21"/>
          <w:highlight w:val="none"/>
        </w:rPr>
        <w:t xml:space="preserve">合同份数</w:t>
      </w:r>
      <w:r>
        <w:rPr>
          <w:highlight w:val="none"/>
        </w:rP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rPr>
          <w:highlight w:val="none"/>
        </w:rP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rPr>
          <w:highlight w:val="none"/>
        </w:rP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rPr>
          <w:highlight w:val="none"/>
        </w:rPr>
      </w:r>
    </w:p>
    <w:p>
      <w:pPr>
        <w:pStyle w:val="904"/>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附件：具体标的及其技术要求和商务要求、联合协议、分包意向协议等（如有）。</w:t>
      </w:r>
      <w:r>
        <w:rPr>
          <w:highlight w:val="none"/>
        </w:rPr>
      </w:r>
    </w:p>
    <w:p>
      <w:pPr>
        <w:pStyle w:val="904"/>
        <w:rPr>
          <w:rFonts w:ascii="宋体" w:hAnsi="宋体" w:eastAsia="宋体" w:cs="宋体"/>
          <w:color w:val="000000"/>
          <w:sz w:val="21"/>
          <w:highlight w:val="none"/>
        </w:rPr>
      </w:pPr>
      <w:r>
        <w:rPr>
          <w:highlight w:val="none"/>
        </w:rPr>
        <w:br w:type="page" w:clear="all"/>
      </w:r>
      <w:r>
        <w:rPr>
          <w:highlight w:val="none"/>
        </w:rPr>
      </w:r>
    </w:p>
    <w:p>
      <w:pPr>
        <w:pStyle w:val="904"/>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rPr>
          <w:highlight w:val="none"/>
        </w:rPr>
      </w:r>
    </w:p>
    <w:tbl>
      <w:tblPr>
        <w:tblStyle w:val="681"/>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3178"/>
        <w:gridCol w:w="1160"/>
        <w:gridCol w:w="2922"/>
      </w:tblGrid>
      <w:tr>
        <w:trPr>
          <w:jc w:val="center"/>
          <w:trHeight w:val="490"/>
        </w:trPr>
        <w:tc>
          <w:tcPr>
            <w:gridSpan w:val="2"/>
            <w:tcW w:w="4403" w:type="dxa"/>
            <w:vAlign w:val="center"/>
            <w:textDirection w:val="lrTb"/>
            <w:noWrap w:val="false"/>
          </w:tcPr>
          <w:p>
            <w:pPr>
              <w:jc w:val="center"/>
              <w:spacing w:line="300" w:lineRule="exact"/>
              <w:rPr>
                <w:highlight w:val="none"/>
              </w:rPr>
            </w:pPr>
            <w:r>
              <w:rPr>
                <w:highlight w:val="none"/>
              </w:rPr>
              <w:br w:type="page" w:clear="all"/>
            </w: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rPr>
                <w:highlight w:val="none"/>
              </w:rPr>
            </w:r>
          </w:p>
        </w:tc>
        <w:tc>
          <w:tcPr>
            <w:gridSpan w:val="2"/>
            <w:tcW w:w="4190"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rPr>
                <w:highlight w:val="none"/>
              </w:rPr>
            </w:r>
          </w:p>
        </w:tc>
      </w:tr>
      <w:tr>
        <w:trPr>
          <w:jc w:val="center"/>
          <w:trHeight w:val="917"/>
        </w:trPr>
        <w:tc>
          <w:tcPr>
            <w:tcW w:w="1126"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rPr>
                <w:highlight w:val="none"/>
              </w:rP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rPr>
                <w:highlight w:val="none"/>
              </w:rP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p>
        </w:tc>
      </w:tr>
      <w:tr>
        <w:trPr>
          <w:jc w:val="center"/>
          <w:trHeight w:val="1171"/>
        </w:trPr>
        <w:tc>
          <w:tcPr>
            <w:tcW w:w="1126"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rPr>
                <w:highlight w:val="none"/>
              </w:rP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rPr>
                <w:highlight w:val="none"/>
              </w:rPr>
            </w:r>
          </w:p>
        </w:tc>
        <w:tc>
          <w:tcPr>
            <w:tcW w:w="1436" w:type="dxa"/>
            <w:vAlign w:val="center"/>
            <w:vMerge w:val="restart"/>
            <w:textDirection w:val="lrTb"/>
            <w:noWrap w:val="false"/>
          </w:tcPr>
          <w:p>
            <w:pPr>
              <w:jc w:val="center"/>
              <w:spacing w:line="300" w:lineRule="exact"/>
              <w:rPr>
                <w:szCs w:val="21"/>
                <w:highlight w:val="none"/>
              </w:rPr>
            </w:pPr>
            <w:r>
              <w:rPr>
                <w:szCs w:val="21"/>
                <w:highlight w:val="none"/>
              </w:rPr>
            </w:r>
            <w:r>
              <w:rPr>
                <w:highlight w:val="none"/>
              </w:rPr>
            </w:r>
          </w:p>
        </w:tc>
        <w:tc>
          <w:tcPr>
            <w:tcW w:w="1178" w:type="dxa"/>
            <w:vAlign w:val="center"/>
            <w:textDirection w:val="lrTb"/>
            <w:noWrap w:val="false"/>
          </w:tcPr>
          <w:p>
            <w:pPr>
              <w:jc w:val="center"/>
              <w:spacing w:line="300" w:lineRule="exact"/>
              <w:rPr>
                <w:szCs w:val="21"/>
                <w:highlight w:val="none"/>
              </w:rPr>
            </w:pPr>
            <w:r>
              <w:rPr>
                <w:szCs w:val="21"/>
                <w:highlight w:val="none"/>
              </w:rPr>
              <w:t xml:space="preserve">法定代表人</w:t>
            </w:r>
            <w:r>
              <w:rPr>
                <w:highlight w:val="none"/>
              </w:rP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rPr>
                <w:highlight w:val="none"/>
              </w:rPr>
            </w:r>
          </w:p>
        </w:tc>
        <w:tc>
          <w:tcPr>
            <w:tcW w:w="1260" w:type="dxa"/>
            <w:vAlign w:val="center"/>
            <w:textDirection w:val="lrTb"/>
            <w:noWrap w:val="false"/>
          </w:tcPr>
          <w:p>
            <w:pPr>
              <w:jc w:val="center"/>
              <w:spacing w:line="300" w:lineRule="exact"/>
              <w:rPr>
                <w:szCs w:val="21"/>
                <w:highlight w:val="none"/>
              </w:rPr>
            </w:pPr>
            <w:r>
              <w:rPr>
                <w:szCs w:val="21"/>
                <w:highlight w:val="none"/>
              </w:rPr>
            </w:r>
            <w:r>
              <w:rPr>
                <w:highlight w:val="none"/>
              </w:rPr>
            </w:r>
          </w:p>
        </w:tc>
      </w:tr>
      <w:tr>
        <w:trPr>
          <w:jc w:val="cente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拥有者性别</w:t>
            </w:r>
            <w:r>
              <w:rPr>
                <w:highlight w:val="none"/>
              </w:rP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rPr>
                <w:highlight w:val="none"/>
              </w:rP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rPr>
                <w:highlight w:val="none"/>
              </w:rP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 系 人</w:t>
            </w:r>
            <w:r>
              <w:rPr>
                <w:highlight w:val="none"/>
              </w:rP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 系 人</w:t>
            </w:r>
            <w:r>
              <w:rPr>
                <w:highlight w:val="none"/>
              </w:rP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联系电话</w:t>
            </w:r>
            <w:r>
              <w:rPr>
                <w:highlight w:val="none"/>
              </w:rP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联系电话</w:t>
            </w:r>
            <w:r>
              <w:rPr>
                <w:highlight w:val="none"/>
              </w:rP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通信地址</w:t>
            </w:r>
            <w:r>
              <w:rPr>
                <w:highlight w:val="none"/>
              </w:rP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rPr>
                <w:highlight w:val="none"/>
              </w:rP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邮政编码</w:t>
            </w:r>
            <w:r>
              <w:rPr>
                <w:highlight w:val="none"/>
              </w:rP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邮政编码</w:t>
            </w:r>
            <w:r>
              <w:rPr>
                <w:highlight w:val="none"/>
              </w:rP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rPr>
                <w:highlight w:val="none"/>
              </w:rP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rPr>
                <w:highlight w:val="none"/>
              </w:rP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rPr>
                <w:highlight w:val="none"/>
              </w:rP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rPr>
                <w:highlight w:val="none"/>
              </w:rP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rPr>
                <w:highlight w:val="none"/>
              </w:rP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开户名称</w:t>
            </w:r>
            <w:r>
              <w:rPr>
                <w:highlight w:val="none"/>
              </w:rP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rPr>
                <w:highlight w:val="none"/>
              </w:rP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开户银行</w:t>
            </w:r>
            <w:r>
              <w:rPr>
                <w:highlight w:val="none"/>
              </w:rP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rPr>
                <w:highlight w:val="none"/>
              </w:rP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银行账号</w:t>
            </w:r>
            <w:r>
              <w:rPr>
                <w:highlight w:val="none"/>
              </w:rP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p>
        </w:tc>
      </w:tr>
      <w:tr>
        <w:trPr>
          <w:jc w:val="center"/>
          <w:trHeight w:val="586"/>
        </w:trPr>
        <w:tc>
          <w:tcPr>
            <w:gridSpan w:val="4"/>
            <w:tcW w:w="8593" w:type="dxa"/>
            <w:vAlign w:val="center"/>
            <w:textDirection w:val="lrTb"/>
            <w:noWrap w:val="false"/>
          </w:tcPr>
          <w:p>
            <w:pPr>
              <w:pStyle w:val="869"/>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rPr>
                <w:highlight w:val="none"/>
              </w:rPr>
            </w:r>
          </w:p>
        </w:tc>
      </w:tr>
    </w:tbl>
    <w:p>
      <w:pPr>
        <w:pStyle w:val="904"/>
        <w:ind w:firstLine="420"/>
        <w:rPr>
          <w:rFonts w:ascii="宋体" w:hAnsi="宋体" w:eastAsia="宋体" w:cs="宋体"/>
          <w:color w:val="000000"/>
          <w:sz w:val="21"/>
          <w:highlight w:val="none"/>
        </w:rPr>
      </w:pPr>
      <w:r>
        <w:rPr>
          <w:rFonts w:ascii="宋体" w:hAnsi="宋体" w:eastAsia="宋体" w:cs="宋体"/>
          <w:color w:val="000000"/>
          <w:sz w:val="21"/>
          <w:highlight w:val="none"/>
        </w:rPr>
      </w:r>
      <w:r>
        <w:rPr>
          <w:highlight w:val="none"/>
        </w:rPr>
      </w:r>
    </w:p>
    <w:p>
      <w:pPr>
        <w:pStyle w:val="904"/>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rPr>
          <w:highlight w:val="none"/>
        </w:rPr>
      </w:r>
    </w:p>
    <w:p>
      <w:pPr>
        <w:pStyle w:val="709"/>
        <w:ind w:firstLine="0"/>
        <w:jc w:val="center"/>
        <w:spacing w:line="480" w:lineRule="exact"/>
        <w:rPr>
          <w:b/>
          <w:sz w:val="28"/>
          <w:highlight w:val="none"/>
        </w:rPr>
        <w:outlineLvl w:val="1"/>
      </w:pPr>
      <w:r>
        <w:rPr>
          <w:sz w:val="21"/>
          <w:szCs w:val="21"/>
          <w:highlight w:val="none"/>
          <w:u w:val="single"/>
          <w:lang w:eastAsia="zh-CN"/>
        </w:rPr>
        <w:br w:type="page" w:clear="all"/>
      </w:r>
      <w:bookmarkStart w:id="9" w:name="_Toc27624"/>
      <w:r>
        <w:rPr>
          <w:rFonts w:hint="eastAsia"/>
          <w:b/>
          <w:sz w:val="28"/>
          <w:highlight w:val="none"/>
          <w:lang w:eastAsia="zh-CN"/>
        </w:rPr>
        <w:t xml:space="preserve">第二节 政府采购合同通用条款</w:t>
      </w:r>
      <w:bookmarkEnd w:id="9"/>
      <w:r>
        <w:rPr>
          <w:highlight w:val="none"/>
        </w:rPr>
      </w:r>
      <w:r>
        <w:rPr>
          <w:highlight w:val="none"/>
        </w:rP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1.定义</w:t>
      </w:r>
      <w:r>
        <w:rPr>
          <w:highlight w:val="none"/>
        </w:rP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称甲方）是指使用财政性资金，通过政府采购方式向供应商购买货物及其相关服务的国家机关、事业单位、团体组织。</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rPr>
          <w:highlight w:val="none"/>
        </w:rP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rPr>
          <w:highlight w:val="none"/>
        </w:rP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rPr>
          <w:highlight w:val="none"/>
        </w:rP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rPr>
          <w:highlight w:val="none"/>
        </w:rP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rPr>
          <w:highlight w:val="none"/>
        </w:rP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highlight w:val="none"/>
        </w:rP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highlight w:val="none"/>
        </w:rP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highlight w:val="none"/>
        </w:rP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合同标的及金额</w:t>
      </w:r>
      <w:r>
        <w:rPr>
          <w:highlight w:val="none"/>
        </w:rP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rPr>
          <w:highlight w:val="none"/>
        </w:rP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3.履行合同的时间、地点和方式</w:t>
      </w:r>
      <w:r>
        <w:rPr>
          <w:highlight w:val="none"/>
        </w:rP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rPr>
          <w:highlight w:val="none"/>
        </w:rP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4.甲方的权利和义务</w:t>
      </w:r>
      <w:r>
        <w:rPr>
          <w:highlight w:val="none"/>
        </w:rP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rPr>
          <w:highlight w:val="none"/>
        </w:rP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rPr>
          <w:highlight w:val="none"/>
        </w:rP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rPr>
          <w:highlight w:val="none"/>
        </w:rPr>
      </w:r>
    </w:p>
    <w:p>
      <w:pPr>
        <w:ind w:firstLine="420"/>
        <w:spacing w:line="400" w:lineRule="exact"/>
        <w:rPr>
          <w:rFonts w:hint="eastAsia"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rPr>
          <w:highlight w:val="none"/>
        </w:rPr>
      </w:r>
    </w:p>
    <w:p>
      <w:pPr>
        <w:ind w:firstLine="420"/>
        <w:jc w:val="left"/>
        <w:spacing w:line="40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rPr>
          <w:highlight w:val="none"/>
        </w:rP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rPr>
          <w:highlight w:val="none"/>
        </w:rP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5.乙方的权利和义务</w:t>
      </w:r>
      <w:r>
        <w:rPr>
          <w:highlight w:val="none"/>
        </w:rP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highlight w:val="none"/>
        </w:rP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rPr>
          <w:highlight w:val="none"/>
        </w:rPr>
      </w:r>
    </w:p>
    <w:p>
      <w:pPr>
        <w:pStyle w:val="868"/>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rPr>
          <w:highlight w:val="none"/>
        </w:rPr>
      </w:r>
    </w:p>
    <w:p>
      <w:pPr>
        <w:pStyle w:val="868"/>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rPr>
          <w:highlight w:val="none"/>
        </w:rPr>
      </w:r>
    </w:p>
    <w:p>
      <w:pPr>
        <w:pStyle w:val="86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合同履行</w:t>
      </w:r>
      <w:r>
        <w:rPr>
          <w:highlight w:val="none"/>
        </w:rP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rPr>
          <w:highlight w:val="none"/>
        </w:rPr>
      </w:r>
    </w:p>
    <w:p>
      <w:pPr>
        <w:ind w:firstLine="420"/>
        <w:jc w:val="left"/>
        <w:spacing w:line="400" w:lineRule="exact"/>
        <w:rPr>
          <w:highlight w:val="none"/>
        </w:rPr>
      </w:pPr>
      <w:r>
        <w:rPr>
          <w:rFonts w:hint="eastAsia" w:ascii="宋体" w:hAnsi="宋体"/>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rPr>
          <w:highlight w:val="none"/>
        </w:rP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7.货物包装、运输、保险和交付要求</w:t>
      </w:r>
      <w:r>
        <w:rPr>
          <w:highlight w:val="none"/>
        </w:rP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rPr>
          <w:highlight w:val="none"/>
        </w:rP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rPr>
          <w:highlight w:val="none"/>
        </w:rP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rPr>
          <w:highlight w:val="none"/>
        </w:rP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7.4除采购活动对商品包装、快递包装达成具体约定外，乙方提供产品及相关快递服务</w:t>
      </w:r>
      <w:r>
        <w:rPr>
          <w:rFonts w:hint="eastAsia" w:ascii="宋体" w:hAnsi="宋体"/>
          <w:color w:val="000000"/>
          <w:szCs w:val="21"/>
          <w:highlight w:val="none"/>
          <w:lang w:eastAsia="zh-CN"/>
        </w:rPr>
        <w:t xml:space="preserve">涉及</w:t>
      </w:r>
      <w:r>
        <w:rPr>
          <w:rFonts w:hint="eastAsia" w:ascii="宋体" w:hAnsi="宋体"/>
          <w:color w:val="000000"/>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rPr>
          <w:highlight w:val="none"/>
        </w:rP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rPr>
          <w:highlight w:val="none"/>
        </w:rPr>
      </w:r>
    </w:p>
    <w:p>
      <w:pPr>
        <w:pStyle w:val="904"/>
        <w:ind w:firstLine="420"/>
        <w:rPr>
          <w:sz w:val="21"/>
          <w:highlight w:val="none"/>
        </w:rPr>
      </w:pPr>
      <w:r>
        <w:rPr>
          <w:rFonts w:hint="eastAsia" w:ascii="宋体" w:hAnsi="宋体" w:eastAsia="宋体" w:cs="Times New Roman"/>
          <w:color w:val="000000"/>
          <w:sz w:val="21"/>
          <w:highlight w:val="none"/>
        </w:rPr>
        <w:t xml:space="preserve">7.6如因包装、运输问题导致货物损毁、丢失或者品质下降，甲方有权要求降价、换货、拒收部分或整批货物，由此产生的费用和损失，均由乙方承担。</w:t>
      </w:r>
      <w:r>
        <w:rPr>
          <w:highlight w:val="none"/>
        </w:rP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8.质量标准和保证</w:t>
      </w:r>
      <w:r>
        <w:rPr>
          <w:highlight w:val="none"/>
        </w:rPr>
      </w:r>
    </w:p>
    <w:p>
      <w:pPr>
        <w:pStyle w:val="873"/>
        <w:ind w:firstLine="420"/>
        <w:jc w:val="left"/>
        <w:spacing w:line="400" w:lineRule="exact"/>
        <w:rPr>
          <w:rFonts w:hAnsi="宋体"/>
          <w:b/>
          <w:highlight w:val="none"/>
        </w:rPr>
      </w:pPr>
      <w:r>
        <w:rPr>
          <w:rFonts w:hint="eastAsia" w:hAnsi="宋体"/>
          <w:highlight w:val="none"/>
        </w:rPr>
        <w:t xml:space="preserve">8.1质量标准</w:t>
      </w:r>
      <w:r>
        <w:rPr>
          <w:highlight w:val="none"/>
        </w:rP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highlight w:val="none"/>
        </w:rPr>
      </w:r>
    </w:p>
    <w:p>
      <w:pPr>
        <w:pStyle w:val="873"/>
        <w:ind w:firstLine="420"/>
        <w:jc w:val="left"/>
        <w:spacing w:line="400" w:lineRule="exact"/>
        <w:rPr>
          <w:rFonts w:hAnsi="宋体"/>
          <w:highlight w:val="none"/>
        </w:rPr>
      </w:pPr>
      <w:r>
        <w:rPr>
          <w:rFonts w:hint="eastAsia" w:hAnsi="宋体"/>
          <w:highlight w:val="none"/>
        </w:rPr>
        <w:t xml:space="preserve">（2）采用中华人民共和国法定计量单位。</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8.2保证</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rPr>
          <w:highlight w:val="none"/>
        </w:rP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rPr>
          <w:highlight w:val="none"/>
        </w:rP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9.权利瑕疵担保</w:t>
      </w:r>
      <w:r>
        <w:rPr>
          <w:highlight w:val="none"/>
        </w:rP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9.1乙方保证对其出售的货物享有合法的权利。</w:t>
      </w:r>
      <w:r>
        <w:rPr>
          <w:highlight w:val="none"/>
        </w:rP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w:t>
      </w:r>
      <w:r>
        <w:rPr>
          <w:rFonts w:hint="eastAsia" w:ascii="宋体" w:hAnsi="宋体" w:cs="宋体"/>
          <w:szCs w:val="15"/>
          <w:highlight w:val="none"/>
        </w:rPr>
        <w:t xml:space="preserve">乙方保证在交付的货物上不存在抵押权等担保物权。</w:t>
      </w:r>
      <w:r>
        <w:rPr>
          <w:highlight w:val="none"/>
        </w:rP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9.3如甲方使用上述货物构成对第三人侵权的，则由乙方承担全部责任。</w:t>
      </w:r>
      <w:r>
        <w:rPr>
          <w:highlight w:val="none"/>
        </w:rP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10.知识产权保护</w:t>
      </w:r>
      <w:r>
        <w:rPr>
          <w:highlight w:val="none"/>
        </w:rP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0"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szCs w:val="21"/>
          <w:highlight w:val="none"/>
        </w:rPr>
        <w:t xml:space="preserve">。</w:t>
      </w:r>
      <w:r>
        <w:rPr>
          <w:highlight w:val="none"/>
        </w:rP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11.保密义务</w:t>
      </w:r>
      <w:r>
        <w:rPr>
          <w:highlight w:val="none"/>
        </w:rP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rPr>
          <w:highlight w:val="none"/>
        </w:rP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12.合同价款支付</w:t>
      </w:r>
      <w:r>
        <w:rPr>
          <w:highlight w:val="none"/>
        </w:rP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12.1合同价款支付按照国库集中支付制度及财政管理相关规定执行。</w:t>
      </w:r>
      <w:r>
        <w:rPr>
          <w:highlight w:val="none"/>
        </w:rP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szCs w:val="21"/>
          <w:highlight w:val="none"/>
        </w:rPr>
        <w:t xml:space="preserve">【政府采购合同专用条款】</w:t>
      </w:r>
      <w:r>
        <w:rPr>
          <w:rFonts w:hint="eastAsia" w:ascii="宋体" w:hAnsi="宋体"/>
          <w:szCs w:val="21"/>
          <w:highlight w:val="none"/>
        </w:rPr>
        <w:t xml:space="preserve">中约定。</w:t>
      </w:r>
      <w:r>
        <w:rPr>
          <w:highlight w:val="none"/>
        </w:rP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13.履约保证金</w:t>
      </w:r>
      <w:r>
        <w:rPr>
          <w:highlight w:val="none"/>
        </w:rP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w:t>
      </w:r>
      <w:r>
        <w:rPr>
          <w:rFonts w:hint="eastAsia" w:ascii="宋体" w:hAnsi="宋体" w:cs="宋体"/>
          <w:szCs w:val="15"/>
          <w:highlight w:val="none"/>
        </w:rPr>
        <w:t xml:space="preserve">乙方应当以支票、汇票、本票或者金融机构、担保机构出具的保函等非现金形式提交。</w:t>
      </w:r>
      <w:r>
        <w:rPr>
          <w:highlight w:val="none"/>
        </w:rP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highlight w:val="none"/>
        </w:rPr>
      </w:r>
    </w:p>
    <w:p>
      <w:pPr>
        <w:ind w:firstLine="420"/>
        <w:spacing w:line="400" w:lineRule="exact"/>
        <w:rPr>
          <w:highlight w:val="none"/>
        </w:rPr>
      </w:pPr>
      <w:r>
        <w:rPr>
          <w:rFonts w:hint="eastAsia" w:ascii="宋体" w:hAnsi="宋体"/>
          <w:szCs w:val="21"/>
          <w:highlight w:val="none"/>
        </w:rPr>
        <w:t xml:space="preserve">13.3甲方在项目通过验收后按照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rPr>
          <w:highlight w:val="none"/>
        </w:rP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14.售后服务</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14.1除项目不涉及或采购活动中明确约定无须承担外，乙方还应提供下列服务：</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rPr>
          <w:highlight w:val="none"/>
        </w:rP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rPr>
          <w:highlight w:val="none"/>
        </w:rPr>
      </w:r>
    </w:p>
    <w:p>
      <w:pPr>
        <w:pStyle w:val="904"/>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14.2乙方提供的售后服务的费用已包含在合同价款中，甲方不再另行支付。</w:t>
      </w:r>
      <w:r>
        <w:rPr>
          <w:highlight w:val="none"/>
        </w:rP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15.违约责任</w:t>
      </w:r>
      <w:r>
        <w:rPr>
          <w:highlight w:val="none"/>
        </w:rP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rPr>
          <w:highlight w:val="none"/>
        </w:rP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rPr>
          <w:highlight w:val="none"/>
        </w:rP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15.2迟延交货的违约责任</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highlight w:val="none"/>
        </w:rP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15.3迟延支付的违约责任</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rPr>
          <w:highlight w:val="none"/>
        </w:rP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rPr>
          <w:highlight w:val="none"/>
        </w:rP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6.</w:t>
      </w:r>
      <w:r>
        <w:rPr>
          <w:rFonts w:hint="eastAsia" w:ascii="宋体" w:hAnsi="宋体"/>
          <w:b/>
          <w:szCs w:val="21"/>
          <w:highlight w:val="none"/>
        </w:rPr>
        <w:t xml:space="preserve">合同变更、中止与终止</w:t>
      </w:r>
      <w:r>
        <w:rPr>
          <w:highlight w:val="none"/>
        </w:rP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16.1合同的变更</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w:t>
      </w:r>
      <w:r>
        <w:rPr>
          <w:rFonts w:hint="eastAsia" w:ascii="宋体" w:hAnsi="宋体"/>
          <w:szCs w:val="21"/>
          <w:highlight w:val="none"/>
          <w:lang w:eastAsia="zh-CN"/>
        </w:rPr>
        <w:t xml:space="preserve">终止</w:t>
      </w:r>
      <w:r>
        <w:rPr>
          <w:rFonts w:hint="eastAsia" w:ascii="宋体" w:hAnsi="宋体"/>
          <w:szCs w:val="21"/>
          <w:highlight w:val="none"/>
        </w:rPr>
        <w:t xml:space="preserve">合同的履行。</w:t>
      </w:r>
      <w:r>
        <w:rPr>
          <w:highlight w:val="none"/>
        </w:rP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highlight w:val="none"/>
        </w:rPr>
      </w:r>
    </w:p>
    <w:p>
      <w:pPr>
        <w:pStyle w:val="904"/>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highlight w:val="none"/>
        </w:rP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rPr>
          <w:highlight w:val="none"/>
        </w:rP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rPr>
          <w:highlight w:val="none"/>
        </w:rPr>
      </w:r>
    </w:p>
    <w:p>
      <w:pPr>
        <w:pStyle w:val="904"/>
        <w:rPr>
          <w:rFonts w:hint="eastAsia" w:ascii="宋体" w:hAnsi="宋体"/>
          <w:highlight w:val="none"/>
        </w:rPr>
      </w:pPr>
      <w:r>
        <w:rPr>
          <w:rFonts w:hint="eastAsia" w:ascii="宋体" w:hAnsi="宋体"/>
          <w:highlight w:val="none"/>
        </w:rPr>
        <w:t xml:space="preserve">16.4</w:t>
      </w:r>
      <w:r>
        <w:rPr>
          <w:rFonts w:hint="eastAsia" w:ascii="宋体" w:hAnsi="宋体" w:eastAsia="宋体" w:cs="Times New Roman"/>
          <w:sz w:val="21"/>
          <w:highlight w:val="none"/>
        </w:rPr>
        <w:t xml:space="preserve">涉及国家利益、社会公共利益的情形</w:t>
      </w:r>
      <w:r>
        <w:rPr>
          <w:highlight w:val="none"/>
        </w:rPr>
      </w:r>
    </w:p>
    <w:p>
      <w:pPr>
        <w:pStyle w:val="904"/>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highlight w:val="none"/>
        </w:rP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17.合同分包</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17.1乙方不得将合同转包给其他供应商。涉及合同分包的，乙方应根据采购文件和投标（响应）文件规定进行合同分包。</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17.2乙方执行政府采购政策向中小企业依法分包的，乙方应当按采购文件和投标（响应）文件签订分包意向协议，分包意向协议属于本合同组成部分。</w:t>
      </w:r>
      <w:r>
        <w:rPr>
          <w:highlight w:val="none"/>
        </w:rP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18.不可抗力</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18.1不可抗力是指合同双方不能预见、不能避免且不能克服的客观情况。</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18.2任何一方对由于不可抗力造成的部分或全部不能履行合同不承担违约责任。但迟延履行后发生不可抗力的，不能免除责任。</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rPr>
          <w:highlight w:val="none"/>
        </w:rPr>
      </w:r>
    </w:p>
    <w:p>
      <w:pPr>
        <w:pStyle w:val="86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19.解决争议的方法</w:t>
      </w:r>
      <w:r>
        <w:rPr>
          <w:highlight w:val="none"/>
        </w:rPr>
      </w:r>
    </w:p>
    <w:p>
      <w:pPr>
        <w:pStyle w:val="90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rPr>
          <w:highlight w:val="none"/>
        </w:rPr>
      </w:r>
    </w:p>
    <w:p>
      <w:pPr>
        <w:pStyle w:val="90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rPr>
          <w:highlight w:val="none"/>
        </w:rPr>
      </w:r>
    </w:p>
    <w:p>
      <w:pPr>
        <w:pStyle w:val="90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19.3如甲乙双方有争议的事项不影响合同其他部分的履行，在争议解决期间，合同其他部分应当继续履行。</w:t>
      </w:r>
      <w:r>
        <w:rPr>
          <w:highlight w:val="none"/>
        </w:rP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20.政府采购政策</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20.1</w:t>
      </w:r>
      <w:r>
        <w:rPr>
          <w:rFonts w:hint="eastAsia" w:ascii="宋体" w:hAnsi="宋体" w:cs="宋体"/>
          <w:highlight w:val="none"/>
          <w:lang w:val="en-GB"/>
        </w:rPr>
        <w:t xml:space="preserve">本合同应当按照规定执行政府采购政策。</w:t>
      </w:r>
      <w:r>
        <w:rPr>
          <w:highlight w:val="none"/>
        </w:rP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rPr>
          <w:highlight w:val="none"/>
        </w:rP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highlight w:val="none"/>
        </w:rPr>
      </w:r>
    </w:p>
    <w:p>
      <w:pPr>
        <w:pStyle w:val="86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21.法律适用</w:t>
      </w:r>
      <w:r>
        <w:rPr>
          <w:highlight w:val="none"/>
        </w:rPr>
      </w:r>
    </w:p>
    <w:p>
      <w:pPr>
        <w:pStyle w:val="90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21.1本合同的订立、生效、解释、履行及与本合同有关的争议解决，均适用法律、行政法规。</w:t>
      </w:r>
      <w:r>
        <w:rPr>
          <w:highlight w:val="none"/>
        </w:rPr>
      </w:r>
    </w:p>
    <w:p>
      <w:pPr>
        <w:pStyle w:val="90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rPr>
          <w:highlight w:val="none"/>
        </w:rP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22.通知</w:t>
      </w:r>
      <w:r>
        <w:rPr>
          <w:highlight w:val="none"/>
        </w:rPr>
      </w:r>
    </w:p>
    <w:p>
      <w:pPr>
        <w:pStyle w:val="904"/>
        <w:ind w:firstLine="420"/>
        <w:jc w:val="both"/>
        <w:rPr>
          <w:rFonts w:ascii="宋体" w:hAnsi="宋体" w:eastAsia="宋体" w:cs="宋体"/>
          <w:sz w:val="21"/>
          <w:highlight w:val="none"/>
        </w:rPr>
      </w:pPr>
      <w:r>
        <w:rPr>
          <w:rFonts w:hint="eastAsia" w:ascii="宋体" w:hAnsi="宋体" w:eastAsia="宋体" w:cs="宋体"/>
          <w:sz w:val="21"/>
          <w:highlight w:val="none"/>
        </w:rPr>
        <w:t xml:space="preserve">22.1本合同任何一方向对方发出的通知、信件、数据电文等，应当发送至本合同第一部分《政府采购合同协议书》所约定的通讯地址、联系人、联系电话或电子邮箱。</w:t>
      </w:r>
      <w:r>
        <w:rPr>
          <w:highlight w:val="none"/>
        </w:rPr>
      </w:r>
    </w:p>
    <w:p>
      <w:pPr>
        <w:pStyle w:val="904"/>
        <w:ind w:firstLine="420"/>
        <w:jc w:val="both"/>
        <w:rPr>
          <w:sz w:val="21"/>
          <w:highlight w:val="none"/>
        </w:rPr>
      </w:pPr>
      <w:r>
        <w:rPr>
          <w:rFonts w:hint="eastAsia" w:ascii="宋体" w:hAnsi="宋体" w:eastAsia="宋体" w:cs="宋体"/>
          <w:sz w:val="21"/>
          <w:highlight w:val="none"/>
        </w:rPr>
        <w:t xml:space="preserve">22.2一方当事人变更名称、住所、联系人、联系电话或电子邮箱等信息的，应当在变更后3日内及时书面通知对方，对方实际收到变更通知前的送达仍为有效送达。</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rPr>
          <w:highlight w:val="none"/>
        </w:rP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3.</w:t>
      </w:r>
      <w:r>
        <w:rPr>
          <w:rFonts w:hint="eastAsia" w:ascii="宋体" w:hAnsi="宋体"/>
          <w:b/>
          <w:szCs w:val="21"/>
          <w:highlight w:val="none"/>
        </w:rPr>
        <w:t xml:space="preserve">合同未尽事项</w:t>
      </w:r>
      <w:r>
        <w:rPr>
          <w:highlight w:val="none"/>
        </w:rP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23.2合同附件与合同正文具有同等的法律效力。</w:t>
      </w:r>
      <w:bookmarkStart w:id="11" w:name="_Toc20313"/>
      <w:r>
        <w:rPr>
          <w:highlight w:val="none"/>
        </w:rPr>
      </w:r>
      <w:r>
        <w:rPr>
          <w:highlight w:val="none"/>
        </w:rPr>
      </w:r>
    </w:p>
    <w:p>
      <w:pPr>
        <w:ind w:firstLine="420"/>
        <w:jc w:val="left"/>
        <w:spacing w:line="400" w:lineRule="exact"/>
        <w:rPr>
          <w:rFonts w:ascii="宋体" w:hAnsi="宋体"/>
          <w:szCs w:val="21"/>
          <w:highlight w:val="none"/>
        </w:rPr>
      </w:pPr>
      <w:r>
        <w:rPr>
          <w:rFonts w:ascii="宋体" w:hAnsi="宋体"/>
          <w:szCs w:val="21"/>
          <w:highlight w:val="none"/>
        </w:rPr>
      </w:r>
      <w:r>
        <w:rPr>
          <w:highlight w:val="none"/>
        </w:rPr>
      </w:r>
    </w:p>
    <w:p>
      <w:pPr>
        <w:ind w:firstLine="420"/>
        <w:jc w:val="left"/>
        <w:spacing w:line="400" w:lineRule="exact"/>
        <w:rPr>
          <w:rFonts w:hint="eastAsia" w:ascii="宋体" w:hAnsi="宋体"/>
          <w:szCs w:val="21"/>
          <w:highlight w:val="none"/>
        </w:rPr>
      </w:pPr>
      <w:r>
        <w:rPr>
          <w:rFonts w:hint="eastAsia" w:ascii="宋体" w:hAnsi="宋体"/>
          <w:szCs w:val="21"/>
          <w:highlight w:val="none"/>
        </w:rPr>
      </w:r>
      <w:r>
        <w:rPr>
          <w:highlight w:val="none"/>
        </w:rPr>
      </w:r>
    </w:p>
    <w:p>
      <w:pPr>
        <w:jc w:val="center"/>
        <w:spacing w:line="400" w:lineRule="exact"/>
        <w:rPr>
          <w:rFonts w:ascii="宋体" w:hAnsi="宋体"/>
          <w:b/>
          <w:sz w:val="28"/>
          <w:highlight w:val="none"/>
        </w:rPr>
        <w:outlineLvl w:val="1"/>
      </w:pPr>
      <w:r>
        <w:rPr>
          <w:rFonts w:hint="eastAsia" w:ascii="宋体" w:hAnsi="宋体"/>
          <w:szCs w:val="21"/>
          <w:highlight w:val="none"/>
        </w:rPr>
        <w:br w:type="page" w:clear="all"/>
      </w:r>
      <w:r>
        <w:rPr>
          <w:rFonts w:hint="eastAsia" w:ascii="宋体" w:hAnsi="宋体"/>
          <w:b/>
          <w:sz w:val="28"/>
          <w:highlight w:val="none"/>
        </w:rPr>
        <w:t xml:space="preserve">第三节 政府采购合同专用条款</w:t>
      </w:r>
      <w:bookmarkEnd w:id="11"/>
      <w:r>
        <w:rPr>
          <w:highlight w:val="none"/>
        </w:rPr>
      </w:r>
      <w:r>
        <w:rPr>
          <w:highlight w:val="none"/>
        </w:rPr>
      </w:r>
    </w:p>
    <w:tbl>
      <w:tblPr>
        <w:tblStyle w:val="681"/>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ascii="宋体" w:hAnsi="宋体"/>
                <w:szCs w:val="21"/>
                <w:highlight w:val="none"/>
              </w:rPr>
            </w:pPr>
            <w:r>
              <w:rPr>
                <w:rFonts w:hint="eastAsia" w:ascii="宋体" w:hAnsi="宋体"/>
                <w:szCs w:val="21"/>
                <w:highlight w:val="none"/>
              </w:rPr>
              <w:t xml:space="preserve">第1.2（6）项</w:t>
            </w:r>
            <w:r>
              <w:rPr>
                <w:highlight w:val="none"/>
              </w:rP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rPr>
                <w:highlight w:val="none"/>
              </w:rP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rPr>
                <w:highlight w:val="none"/>
              </w:rP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hint="eastAsia" w:ascii="宋体" w:hAnsi="宋体"/>
                <w:szCs w:val="21"/>
                <w:highlight w:val="none"/>
              </w:rPr>
            </w:pPr>
            <w:r>
              <w:rPr>
                <w:rFonts w:hint="eastAsia" w:ascii="宋体" w:hAnsi="宋体"/>
                <w:szCs w:val="21"/>
                <w:highlight w:val="none"/>
              </w:rPr>
              <w:t xml:space="preserve">第1.2（7）项</w:t>
            </w:r>
            <w:r>
              <w:rPr>
                <w:highlight w:val="none"/>
              </w:rP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其他术语解释</w:t>
            </w:r>
            <w:r>
              <w:rPr>
                <w:highlight w:val="none"/>
              </w:rP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rPr>
                <w:highlight w:val="none"/>
              </w:rP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ascii="宋体" w:hAnsi="宋体"/>
                <w:szCs w:val="21"/>
                <w:highlight w:val="none"/>
              </w:rPr>
            </w:pPr>
            <w:r>
              <w:rPr>
                <w:rFonts w:hint="eastAsia" w:ascii="宋体" w:hAnsi="宋体"/>
                <w:szCs w:val="21"/>
                <w:highlight w:val="none"/>
              </w:rPr>
              <w:t xml:space="preserve">第4.4款</w:t>
            </w:r>
            <w:r>
              <w:rPr>
                <w:highlight w:val="none"/>
              </w:rP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rPr>
                <w:highlight w:val="none"/>
              </w:rP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rPr>
                <w:highlight w:val="none"/>
              </w:rP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hint="eastAsia" w:ascii="宋体" w:hAnsi="宋体"/>
                <w:szCs w:val="21"/>
                <w:highlight w:val="none"/>
              </w:rPr>
            </w:pPr>
            <w:r>
              <w:rPr>
                <w:rFonts w:hint="eastAsia" w:ascii="宋体" w:hAnsi="宋体"/>
                <w:szCs w:val="21"/>
                <w:highlight w:val="none"/>
              </w:rPr>
              <w:t xml:space="preserve">第4.6款</w:t>
            </w:r>
            <w:r>
              <w:rPr>
                <w:highlight w:val="none"/>
              </w:rP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约定甲方承担的其他义务和责任</w:t>
            </w:r>
            <w:r>
              <w:rPr>
                <w:highlight w:val="none"/>
              </w:rP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rPr>
                <w:highlight w:val="none"/>
              </w:rP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rPr>
                <w:highlight w:val="none"/>
              </w:rPr>
            </w:r>
          </w:p>
          <w:p>
            <w:pPr>
              <w:jc w:val="center"/>
              <w:rPr>
                <w:highlight w:val="none"/>
              </w:rPr>
            </w:pPr>
            <w:r>
              <w:rPr>
                <w:rFonts w:hint="eastAsia" w:ascii="宋体" w:hAnsi="宋体"/>
                <w:szCs w:val="21"/>
                <w:highlight w:val="none"/>
              </w:rPr>
              <w:t xml:space="preserve">第5.4款</w:t>
            </w:r>
            <w:r>
              <w:rPr>
                <w:highlight w:val="none"/>
              </w:rP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约定乙方承担的其他义务和责任</w:t>
            </w:r>
            <w:r>
              <w:rPr>
                <w:highlight w:val="none"/>
              </w:rP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rPr>
                <w:highlight w:val="none"/>
              </w:rP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rPr>
                <w:highlight w:val="none"/>
              </w:rPr>
            </w:r>
          </w:p>
          <w:p>
            <w:pPr>
              <w:jc w:val="center"/>
              <w:rPr>
                <w:rFonts w:hint="eastAsia" w:ascii="宋体" w:hAnsi="宋体"/>
                <w:szCs w:val="21"/>
                <w:highlight w:val="none"/>
              </w:rPr>
            </w:pPr>
            <w:r>
              <w:rPr>
                <w:rFonts w:hint="eastAsia" w:ascii="宋体" w:hAnsi="宋体"/>
                <w:szCs w:val="21"/>
                <w:highlight w:val="none"/>
              </w:rPr>
              <w:t xml:space="preserve">第6.1款</w:t>
            </w:r>
            <w:r>
              <w:rPr>
                <w:highlight w:val="none"/>
              </w:rP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履行合同义务的顺序</w:t>
            </w:r>
            <w:r>
              <w:rPr>
                <w:highlight w:val="none"/>
              </w:rP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rPr>
                <w:highlight w:val="none"/>
              </w:rP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ascii="宋体" w:hAnsi="宋体"/>
                <w:szCs w:val="21"/>
                <w:highlight w:val="none"/>
              </w:rPr>
            </w:pPr>
            <w:r>
              <w:rPr>
                <w:rFonts w:hint="eastAsia" w:ascii="宋体" w:hAnsi="宋体"/>
                <w:szCs w:val="21"/>
                <w:highlight w:val="none"/>
              </w:rPr>
              <w:t xml:space="preserve">第7.1款</w:t>
            </w:r>
            <w:r>
              <w:rPr>
                <w:highlight w:val="none"/>
              </w:rP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rPr>
                <w:highlight w:val="none"/>
              </w:rPr>
            </w:r>
          </w:p>
        </w:tc>
        <w:tc>
          <w:tcPr>
            <w:tcW w:w="5170" w:type="dxa"/>
            <w:vAlign w:val="center"/>
            <w:textDirection w:val="lrTb"/>
            <w:noWrap w:val="false"/>
          </w:tcPr>
          <w:p>
            <w:pPr>
              <w:rPr>
                <w:highlight w:val="none"/>
              </w:rPr>
            </w:pPr>
            <w:r>
              <w:rPr>
                <w:highlight w:val="none"/>
              </w:rPr>
            </w:r>
            <w:r>
              <w:rPr>
                <w:highlight w:val="none"/>
              </w:rP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指定现场</w:t>
            </w:r>
            <w:r>
              <w:rPr>
                <w:highlight w:val="none"/>
              </w:rPr>
            </w:r>
          </w:p>
        </w:tc>
        <w:tc>
          <w:tcPr>
            <w:tcW w:w="5170" w:type="dxa"/>
            <w:vAlign w:val="center"/>
            <w:textDirection w:val="lrTb"/>
            <w:noWrap w:val="false"/>
          </w:tcPr>
          <w:p>
            <w:pPr>
              <w:rPr>
                <w:rFonts w:hint="eastAsia"/>
                <w:highlight w:val="none"/>
              </w:rPr>
            </w:pPr>
            <w:r>
              <w:rPr>
                <w:rFonts w:hint="eastAsia"/>
                <w:highlight w:val="none"/>
              </w:rPr>
            </w:r>
            <w:r>
              <w:rPr>
                <w:highlight w:val="none"/>
              </w:rP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hint="eastAsia" w:ascii="宋体" w:hAnsi="宋体"/>
                <w:szCs w:val="21"/>
                <w:highlight w:val="none"/>
              </w:rPr>
            </w:pPr>
            <w:r>
              <w:rPr>
                <w:rFonts w:hint="eastAsia" w:ascii="宋体" w:hAnsi="宋体"/>
                <w:szCs w:val="21"/>
                <w:highlight w:val="none"/>
              </w:rPr>
              <w:t xml:space="preserve">第7.2款</w:t>
            </w:r>
            <w:r>
              <w:rPr>
                <w:highlight w:val="none"/>
              </w:rP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运输特殊要求</w:t>
            </w:r>
            <w:r>
              <w:rPr>
                <w:highlight w:val="none"/>
              </w:rPr>
            </w:r>
          </w:p>
        </w:tc>
        <w:tc>
          <w:tcPr>
            <w:tcW w:w="5170" w:type="dxa"/>
            <w:vAlign w:val="center"/>
            <w:textDirection w:val="lrTb"/>
            <w:noWrap w:val="false"/>
          </w:tcPr>
          <w:p>
            <w:pPr>
              <w:rPr>
                <w:rFonts w:hint="eastAsia"/>
                <w:highlight w:val="none"/>
              </w:rPr>
            </w:pPr>
            <w:r>
              <w:rPr>
                <w:rFonts w:hint="eastAsia"/>
                <w:highlight w:val="none"/>
              </w:rPr>
            </w:r>
            <w:r>
              <w:rPr>
                <w:highlight w:val="none"/>
              </w:rP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hint="eastAsia" w:ascii="宋体" w:hAnsi="宋体"/>
                <w:szCs w:val="21"/>
                <w:highlight w:val="none"/>
              </w:rPr>
            </w:pPr>
            <w:r>
              <w:rPr>
                <w:rFonts w:hint="eastAsia" w:ascii="宋体" w:hAnsi="宋体"/>
                <w:szCs w:val="21"/>
                <w:highlight w:val="none"/>
              </w:rPr>
              <w:t xml:space="preserve">第7.3款</w:t>
            </w:r>
            <w:r>
              <w:rPr>
                <w:highlight w:val="none"/>
              </w:rP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保险要求</w:t>
            </w:r>
            <w:r>
              <w:rPr>
                <w:highlight w:val="none"/>
              </w:rPr>
            </w:r>
          </w:p>
        </w:tc>
        <w:tc>
          <w:tcPr>
            <w:tcW w:w="5170" w:type="dxa"/>
            <w:vAlign w:val="center"/>
            <w:textDirection w:val="lrTb"/>
            <w:noWrap w:val="false"/>
          </w:tcPr>
          <w:p>
            <w:pPr>
              <w:rPr>
                <w:rFonts w:hint="eastAsia"/>
                <w:highlight w:val="none"/>
              </w:rPr>
            </w:pPr>
            <w:r>
              <w:rPr>
                <w:rFonts w:hint="eastAsia"/>
                <w:highlight w:val="none"/>
              </w:rPr>
            </w:r>
            <w:r>
              <w:rPr>
                <w:highlight w:val="none"/>
              </w:rP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ascii="宋体" w:hAnsi="宋体"/>
                <w:szCs w:val="21"/>
                <w:highlight w:val="none"/>
              </w:rPr>
            </w:pPr>
            <w:r>
              <w:rPr>
                <w:rFonts w:hint="eastAsia" w:ascii="宋体" w:hAnsi="宋体"/>
                <w:szCs w:val="21"/>
                <w:highlight w:val="none"/>
              </w:rPr>
              <w:t xml:space="preserve">第8.2（1）项</w:t>
            </w:r>
            <w:r>
              <w:rPr>
                <w:highlight w:val="none"/>
              </w:rP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rPr>
                <w:highlight w:val="none"/>
              </w:rP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rPr>
                <w:highlight w:val="none"/>
              </w:rP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ascii="宋体" w:hAnsi="宋体"/>
                <w:szCs w:val="21"/>
                <w:highlight w:val="none"/>
              </w:rPr>
            </w:pPr>
            <w:r>
              <w:rPr>
                <w:rFonts w:hint="eastAsia" w:ascii="宋体" w:hAnsi="宋体"/>
                <w:szCs w:val="21"/>
                <w:highlight w:val="none"/>
              </w:rPr>
              <w:t xml:space="preserve">第8.2（3）项</w:t>
            </w:r>
            <w:r>
              <w:rPr>
                <w:highlight w:val="none"/>
              </w:rP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货物质量缺陷</w:t>
            </w:r>
            <w:r>
              <w:rPr>
                <w:highlight w:val="none"/>
              </w:rPr>
            </w:r>
          </w:p>
          <w:p>
            <w:pPr>
              <w:jc w:val="left"/>
              <w:rPr>
                <w:rFonts w:ascii="宋体" w:hAnsi="宋体"/>
                <w:szCs w:val="21"/>
                <w:highlight w:val="none"/>
              </w:rPr>
            </w:pPr>
            <w:r>
              <w:rPr>
                <w:rFonts w:hint="eastAsia" w:ascii="宋体" w:hAnsi="宋体"/>
                <w:szCs w:val="21"/>
                <w:highlight w:val="none"/>
              </w:rPr>
              <w:t xml:space="preserve">响应时间</w:t>
            </w:r>
            <w:r>
              <w:rPr>
                <w:highlight w:val="none"/>
              </w:rPr>
            </w:r>
          </w:p>
        </w:tc>
        <w:tc>
          <w:tcPr>
            <w:tcW w:w="5170" w:type="dxa"/>
            <w:vAlign w:val="center"/>
            <w:textDirection w:val="lrTb"/>
            <w:noWrap w:val="false"/>
          </w:tcPr>
          <w:p>
            <w:pPr>
              <w:jc w:val="left"/>
              <w:rPr>
                <w:rFonts w:hint="eastAsia"/>
                <w:highlight w:val="none"/>
              </w:rPr>
            </w:pPr>
            <w:r>
              <w:rPr>
                <w:rFonts w:hint="eastAsia"/>
                <w:highlight w:val="none"/>
              </w:rPr>
            </w:r>
            <w:r>
              <w:rPr>
                <w:highlight w:val="none"/>
              </w:rPr>
            </w:r>
          </w:p>
        </w:tc>
      </w:tr>
      <w:tr>
        <w:trP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rPr>
                <w:highlight w:val="none"/>
              </w:rPr>
            </w:r>
          </w:p>
          <w:p>
            <w:pPr>
              <w:pStyle w:val="904"/>
              <w:ind w:firstLine="0"/>
              <w:jc w:val="center"/>
              <w:rPr>
                <w:highlight w:val="none"/>
              </w:rPr>
            </w:pPr>
            <w:r>
              <w:rPr>
                <w:rFonts w:hint="eastAsia" w:ascii="宋体" w:hAnsi="宋体" w:eastAsia="宋体" w:cs="宋体"/>
                <w:highlight w:val="none"/>
              </w:rPr>
              <w:t xml:space="preserve">第11.1款</w:t>
            </w:r>
            <w:r>
              <w:rPr>
                <w:highlight w:val="none"/>
              </w:rP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rPr>
                <w:highlight w:val="none"/>
              </w:rP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rPr>
                <w:highlight w:val="none"/>
              </w:rP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ascii="宋体" w:hAnsi="宋体"/>
                <w:szCs w:val="21"/>
                <w:highlight w:val="none"/>
              </w:rPr>
            </w:pPr>
            <w:r>
              <w:rPr>
                <w:rFonts w:hint="eastAsia" w:ascii="宋体" w:hAnsi="宋体"/>
                <w:szCs w:val="21"/>
                <w:highlight w:val="none"/>
              </w:rPr>
              <w:t xml:space="preserve">第12.2款</w:t>
            </w:r>
            <w:r>
              <w:rPr>
                <w:highlight w:val="none"/>
              </w:rP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合同价款支付时间</w:t>
            </w:r>
            <w:r>
              <w:rPr>
                <w:highlight w:val="none"/>
              </w:rP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rPr>
                <w:highlight w:val="none"/>
              </w:rP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rPr>
                <w:highlight w:val="none"/>
              </w:rPr>
            </w:r>
          </w:p>
          <w:p>
            <w:pPr>
              <w:jc w:val="center"/>
              <w:rPr>
                <w:rFonts w:hint="eastAsia" w:ascii="宋体" w:hAnsi="宋体"/>
                <w:szCs w:val="21"/>
                <w:highlight w:val="none"/>
              </w:rPr>
            </w:pPr>
            <w:r>
              <w:rPr>
                <w:rFonts w:hint="eastAsia" w:ascii="宋体" w:hAnsi="宋体"/>
                <w:szCs w:val="21"/>
                <w:highlight w:val="none"/>
              </w:rPr>
              <w:t xml:space="preserve">第13.2款</w:t>
            </w:r>
            <w:r>
              <w:rPr>
                <w:highlight w:val="none"/>
              </w:rP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rPr>
                <w:highlight w:val="none"/>
              </w:rP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rPr>
                <w:highlight w:val="none"/>
              </w:rP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rPr>
                <w:highlight w:val="none"/>
              </w:rPr>
            </w:r>
          </w:p>
          <w:p>
            <w:pPr>
              <w:jc w:val="center"/>
              <w:rPr>
                <w:rFonts w:hint="eastAsia" w:ascii="宋体" w:hAnsi="宋体"/>
                <w:szCs w:val="21"/>
                <w:highlight w:val="none"/>
              </w:rPr>
            </w:pPr>
            <w:r>
              <w:rPr>
                <w:rFonts w:hint="eastAsia" w:ascii="宋体" w:hAnsi="宋体"/>
                <w:szCs w:val="21"/>
                <w:highlight w:val="none"/>
              </w:rPr>
              <w:t xml:space="preserve">第13.3款</w:t>
            </w:r>
            <w:r>
              <w:rPr>
                <w:highlight w:val="none"/>
              </w:rP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rPr>
                <w:highlight w:val="none"/>
              </w:rP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rPr>
                <w:highlight w:val="none"/>
              </w:rP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hint="eastAsia" w:ascii="宋体" w:hAnsi="宋体"/>
                <w:szCs w:val="21"/>
                <w:highlight w:val="none"/>
              </w:rPr>
            </w:pPr>
            <w:r>
              <w:rPr>
                <w:rFonts w:hint="eastAsia" w:ascii="宋体" w:hAnsi="宋体"/>
                <w:szCs w:val="21"/>
                <w:highlight w:val="none"/>
              </w:rPr>
              <w:t xml:space="preserve">第14.1（3）项</w:t>
            </w:r>
            <w:r>
              <w:rPr>
                <w:highlight w:val="none"/>
              </w:rP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运行监督、维修期限</w:t>
            </w:r>
            <w:r>
              <w:rPr>
                <w:highlight w:val="none"/>
              </w:rP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rPr>
                <w:highlight w:val="none"/>
              </w:rP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hint="eastAsia" w:ascii="宋体" w:hAnsi="宋体"/>
                <w:szCs w:val="21"/>
                <w:highlight w:val="none"/>
              </w:rPr>
            </w:pPr>
            <w:r>
              <w:rPr>
                <w:rFonts w:hint="eastAsia" w:ascii="宋体" w:hAnsi="宋体"/>
                <w:szCs w:val="21"/>
                <w:highlight w:val="none"/>
              </w:rPr>
              <w:t xml:space="preserve">第14.1（5）项</w:t>
            </w:r>
            <w:r>
              <w:rPr>
                <w:highlight w:val="none"/>
              </w:rP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rPr>
                <w:highlight w:val="none"/>
              </w:rP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rPr>
                <w:highlight w:val="none"/>
              </w:rP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ascii="宋体" w:hAnsi="宋体"/>
                <w:szCs w:val="21"/>
                <w:highlight w:val="none"/>
              </w:rPr>
            </w:pPr>
            <w:r>
              <w:rPr>
                <w:rFonts w:hint="eastAsia" w:ascii="宋体" w:hAnsi="宋体"/>
                <w:szCs w:val="21"/>
                <w:highlight w:val="none"/>
              </w:rPr>
              <w:t xml:space="preserve">第14.1（6）项</w:t>
            </w:r>
            <w:r>
              <w:rPr>
                <w:highlight w:val="none"/>
              </w:rP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rPr>
                <w:highlight w:val="none"/>
              </w:rP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rPr>
                <w:highlight w:val="none"/>
              </w:rP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ascii="宋体" w:hAnsi="宋体"/>
                <w:szCs w:val="21"/>
                <w:highlight w:val="none"/>
              </w:rPr>
            </w:pPr>
            <w:r>
              <w:rPr>
                <w:rFonts w:hint="eastAsia" w:ascii="宋体" w:hAnsi="宋体"/>
                <w:szCs w:val="21"/>
                <w:highlight w:val="none"/>
              </w:rPr>
              <w:t xml:space="preserve">第15.1款</w:t>
            </w:r>
            <w:r>
              <w:rPr>
                <w:highlight w:val="none"/>
              </w:rP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rPr>
                <w:highlight w:val="none"/>
              </w:rP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rPr>
                <w:highlight w:val="none"/>
              </w:rP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ascii="宋体" w:hAnsi="宋体"/>
                <w:szCs w:val="21"/>
                <w:highlight w:val="none"/>
              </w:rPr>
            </w:pPr>
            <w:r>
              <w:rPr>
                <w:rFonts w:hint="eastAsia" w:ascii="宋体" w:hAnsi="宋体"/>
                <w:szCs w:val="21"/>
                <w:highlight w:val="none"/>
              </w:rPr>
              <w:t xml:space="preserve">第15.2（2）项</w:t>
            </w:r>
            <w:r>
              <w:rPr>
                <w:highlight w:val="none"/>
              </w:rP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rPr>
                <w:highlight w:val="none"/>
              </w:rPr>
            </w:r>
          </w:p>
        </w:tc>
        <w:tc>
          <w:tcPr>
            <w:tcW w:w="5170" w:type="dxa"/>
            <w:vAlign w:val="center"/>
            <w:textDirection w:val="lrTb"/>
            <w:noWrap w:val="false"/>
          </w:tcPr>
          <w:p>
            <w:pPr>
              <w:jc w:val="left"/>
              <w:rPr>
                <w:rFonts w:hint="eastAsia" w:ascii="宋体" w:hAnsi="宋体"/>
                <w:szCs w:val="21"/>
                <w:highlight w:val="none"/>
                <w:u w:val="single"/>
              </w:rPr>
            </w:pPr>
            <w:r>
              <w:rPr>
                <w:rFonts w:hint="eastAsia" w:ascii="宋体" w:hAnsi="宋体"/>
                <w:szCs w:val="21"/>
                <w:highlight w:val="none"/>
                <w:u w:val="single"/>
              </w:rPr>
            </w:r>
            <w:r>
              <w:rPr>
                <w:highlight w:val="none"/>
              </w:rP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hint="eastAsia" w:ascii="宋体" w:hAnsi="宋体"/>
                <w:szCs w:val="21"/>
                <w:highlight w:val="none"/>
              </w:rPr>
            </w:pPr>
            <w:r>
              <w:rPr>
                <w:rFonts w:hint="eastAsia" w:ascii="宋体" w:hAnsi="宋体"/>
                <w:szCs w:val="21"/>
                <w:highlight w:val="none"/>
              </w:rPr>
              <w:t xml:space="preserve">第15.3款</w:t>
            </w:r>
            <w:r>
              <w:rPr>
                <w:highlight w:val="none"/>
              </w:rP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rPr>
                <w:highlight w:val="none"/>
              </w:rP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rPr>
                <w:highlight w:val="none"/>
              </w:rPr>
            </w:r>
          </w:p>
        </w:tc>
      </w:tr>
      <w:tr>
        <w:trP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ascii="宋体" w:hAnsi="宋体"/>
                <w:szCs w:val="21"/>
                <w:highlight w:val="none"/>
              </w:rPr>
            </w:pPr>
            <w:r>
              <w:rPr>
                <w:rFonts w:hint="eastAsia" w:ascii="宋体" w:hAnsi="宋体"/>
                <w:szCs w:val="21"/>
                <w:highlight w:val="none"/>
              </w:rPr>
              <w:t xml:space="preserve">第15.4款</w:t>
            </w:r>
            <w:r>
              <w:rPr>
                <w:highlight w:val="none"/>
              </w:rP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rPr>
                <w:highlight w:val="none"/>
              </w:rP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rPr>
                <w:highlight w:val="none"/>
              </w:rPr>
            </w:r>
          </w:p>
        </w:tc>
      </w:tr>
      <w:tr>
        <w:trP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ascii="宋体" w:hAnsi="宋体"/>
                <w:szCs w:val="21"/>
                <w:highlight w:val="none"/>
              </w:rPr>
            </w:pPr>
            <w:r>
              <w:rPr>
                <w:rFonts w:hint="eastAsia" w:ascii="宋体" w:hAnsi="宋体"/>
                <w:szCs w:val="21"/>
                <w:highlight w:val="none"/>
              </w:rPr>
              <w:t xml:space="preserve">第19.2款</w:t>
            </w:r>
            <w:r>
              <w:rPr>
                <w:highlight w:val="none"/>
              </w:rP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rPr>
                <w:highlight w:val="none"/>
              </w:rPr>
            </w:r>
          </w:p>
        </w:tc>
        <w:tc>
          <w:tcPr>
            <w:tcW w:w="5170" w:type="dxa"/>
            <w:vAlign w:val="center"/>
            <w:textDirection w:val="lrTb"/>
            <w:noWrap w:val="false"/>
          </w:tcPr>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种方式解决：</w:t>
            </w:r>
            <w:r>
              <w:rPr>
                <w:highlight w:val="none"/>
              </w:rPr>
            </w:r>
          </w:p>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（1）向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仲裁委员会申请仲裁，仲裁地点为</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w:t>
            </w:r>
            <w:r>
              <w:rPr>
                <w:highlight w:val="none"/>
              </w:rPr>
            </w:r>
          </w:p>
          <w:p>
            <w:pPr>
              <w:jc w:val="left"/>
              <w:rPr>
                <w:rFonts w:ascii="宋体" w:hAnsi="宋体"/>
                <w:szCs w:val="21"/>
                <w:highlight w:val="none"/>
                <w:u w:val="single"/>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（2）向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人民法院起诉。</w:t>
            </w:r>
            <w:r>
              <w:rPr>
                <w:highlight w:val="none"/>
              </w:rP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ascii="宋体" w:hAnsi="宋体"/>
                <w:szCs w:val="21"/>
                <w:highlight w:val="none"/>
              </w:rPr>
            </w:pPr>
            <w:r>
              <w:rPr>
                <w:rFonts w:hint="eastAsia" w:ascii="宋体" w:hAnsi="宋体"/>
                <w:szCs w:val="21"/>
                <w:highlight w:val="none"/>
              </w:rPr>
              <w:t xml:space="preserve">第23.1款</w:t>
            </w:r>
            <w:r>
              <w:rPr>
                <w:highlight w:val="none"/>
              </w:rP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rPr>
                <w:highlight w:val="none"/>
              </w:rP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rPr>
                <w:highlight w:val="none"/>
              </w:rPr>
            </w:r>
          </w:p>
        </w:tc>
      </w:tr>
    </w:tbl>
    <w:p>
      <w:pPr>
        <w:ind w:firstLine="420"/>
        <w:jc w:val="left"/>
        <w:spacing w:line="400" w:lineRule="exact"/>
        <w:rPr>
          <w:rFonts w:ascii="宋体" w:hAnsi="宋体"/>
          <w:szCs w:val="21"/>
          <w:highlight w:val="none"/>
        </w:rPr>
      </w:pPr>
      <w:r>
        <w:rPr>
          <w:rFonts w:ascii="宋体" w:hAnsi="宋体"/>
          <w:szCs w:val="21"/>
          <w:highlight w:val="none"/>
        </w:rPr>
      </w:r>
      <w:r>
        <w:rPr>
          <w:highlight w:val="none"/>
        </w:rPr>
      </w:r>
    </w:p>
    <w:p>
      <w:pPr>
        <w:ind w:firstLine="420"/>
        <w:jc w:val="left"/>
        <w:spacing w:line="400" w:lineRule="exact"/>
        <w:rPr>
          <w:rFonts w:ascii="宋体" w:hAnsi="宋体"/>
          <w:szCs w:val="21"/>
          <w:highlight w:val="none"/>
        </w:rPr>
      </w:pPr>
      <w:r>
        <w:rPr>
          <w:rFonts w:ascii="宋体" w:hAnsi="宋体"/>
          <w:szCs w:val="21"/>
          <w:highlight w:val="none"/>
        </w:rPr>
      </w:r>
      <w:r>
        <w:rPr>
          <w:highlight w:val="none"/>
        </w:rPr>
      </w:r>
    </w:p>
    <w:p>
      <w:pPr>
        <w:ind w:firstLine="420"/>
        <w:jc w:val="left"/>
        <w:spacing w:line="400" w:lineRule="exact"/>
        <w:rPr>
          <w:rFonts w:hint="eastAsia" w:ascii="宋体" w:hAnsi="宋体"/>
          <w:szCs w:val="21"/>
          <w:highlight w:val="none"/>
        </w:rPr>
      </w:pPr>
      <w:r>
        <w:rPr>
          <w:rFonts w:hint="eastAsia" w:ascii="宋体" w:hAnsi="宋体"/>
          <w:szCs w:val="21"/>
          <w:highlight w:val="none"/>
        </w:rPr>
      </w:r>
      <w:r>
        <w:rPr>
          <w:highlight w:val="none"/>
        </w:rPr>
      </w:r>
    </w:p>
    <w:p>
      <w:pPr>
        <w:ind w:firstLine="420"/>
        <w:jc w:val="left"/>
        <w:spacing w:line="400" w:lineRule="exact"/>
        <w:rPr>
          <w:rFonts w:ascii="宋体" w:hAnsi="宋体"/>
          <w:szCs w:val="21"/>
          <w:highlight w:val="none"/>
        </w:rPr>
      </w:pPr>
      <w:r>
        <w:rPr>
          <w:rFonts w:ascii="宋体" w:hAnsi="宋体"/>
          <w:szCs w:val="21"/>
          <w:highlight w:val="none"/>
        </w:rPr>
      </w:r>
      <w:r>
        <w:rPr>
          <w:highlight w:val="none"/>
        </w:rPr>
      </w:r>
    </w:p>
    <w:p>
      <w:pPr>
        <w:pStyle w:val="709"/>
        <w:ind w:firstLine="0"/>
        <w:jc w:val="center"/>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12" w:name="_Toc26847"/>
      <w:r>
        <w:rPr>
          <w:rFonts w:hint="eastAsia" w:ascii="黑体" w:hAnsi="黑体" w:eastAsia="黑体" w:cs="黑体"/>
          <w:color w:val="000000"/>
          <w:sz w:val="44"/>
          <w:highlight w:val="none"/>
          <w:lang w:eastAsia="zh-CN"/>
        </w:rPr>
        <w:t xml:space="preserve">第四章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采购</w:t>
      </w:r>
      <w:r>
        <w:rPr>
          <w:rFonts w:ascii="黑体" w:hAnsi="黑体" w:eastAsia="黑体" w:cs="黑体"/>
          <w:color w:val="000000"/>
          <w:sz w:val="44"/>
          <w:highlight w:val="none"/>
          <w:lang w:eastAsia="zh-CN"/>
        </w:rPr>
        <w:t xml:space="preserve">需求</w:t>
      </w:r>
      <w:bookmarkEnd w:id="12"/>
      <w:r>
        <w:rPr>
          <w:highlight w:val="none"/>
        </w:rPr>
      </w:r>
      <w:r>
        <w:rPr>
          <w:highlight w:val="none"/>
        </w:rPr>
      </w:r>
    </w:p>
    <w:p>
      <w:pPr>
        <w:pStyle w:val="709"/>
        <w:ind w:firstLine="0"/>
        <w:spacing w:line="440" w:lineRule="exact"/>
        <w:rPr>
          <w:rFonts w:ascii="Times New Roman" w:hAnsi="Times New Roman"/>
          <w:b/>
          <w:bCs/>
          <w:sz w:val="32"/>
          <w:szCs w:val="32"/>
          <w:highlight w:val="none"/>
        </w:rPr>
        <w:outlineLvl w:val="1"/>
      </w:pPr>
      <w:r>
        <w:rPr>
          <w:rFonts w:hint="eastAsia"/>
          <w:b/>
          <w:sz w:val="28"/>
          <w:highlight w:val="none"/>
          <w:lang w:eastAsia="zh-CN"/>
        </w:rPr>
        <w:t xml:space="preserve">项目属性：货物类</w:t>
      </w:r>
      <w:r>
        <w:rPr>
          <w:highlight w:val="none"/>
        </w:rPr>
      </w:r>
    </w:p>
    <w:p>
      <w:pPr>
        <w:pStyle w:val="709"/>
        <w:ind w:firstLine="0"/>
        <w:spacing w:line="440" w:lineRule="exact"/>
        <w:rPr>
          <w:rFonts w:ascii="Times New Roman" w:hAnsi="Times New Roman"/>
          <w:b/>
          <w:bCs/>
          <w:sz w:val="32"/>
          <w:szCs w:val="32"/>
          <w:highlight w:val="none"/>
        </w:rPr>
        <w:outlineLvl w:val="1"/>
      </w:pPr>
      <w:r>
        <w:rPr>
          <w:rFonts w:hint="eastAsia" w:ascii="Times New Roman" w:hAnsi="Times New Roman"/>
          <w:b/>
          <w:bCs/>
          <w:sz w:val="32"/>
          <w:szCs w:val="32"/>
          <w:highlight w:val="none"/>
          <w:lang w:eastAsia="zh-CN"/>
        </w:rPr>
        <w:t xml:space="preserve">一、采购标的清单</w:t>
      </w:r>
      <w:r>
        <w:rPr>
          <w:highlight w:val="none"/>
        </w:rPr>
      </w:r>
    </w:p>
    <w:tbl>
      <w:tblPr>
        <w:tblStyle w:val="681"/>
        <w:tblW w:w="77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524"/>
        <w:gridCol w:w="2164"/>
        <w:gridCol w:w="1695"/>
        <w:gridCol w:w="600"/>
        <w:gridCol w:w="660"/>
        <w:gridCol w:w="2147"/>
      </w:tblGrid>
      <w:tr>
        <w:trPr>
          <w:jc w:val="center"/>
          <w:trHeight w:val="0"/>
          <w:tblHeader/>
        </w:trPr>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序号</w:t>
            </w:r>
            <w:r>
              <w:rPr>
                <w:highlight w:val="none"/>
              </w:rPr>
            </w:r>
          </w:p>
        </w:tc>
        <w:tc>
          <w:tcPr>
            <w:tcMar>
              <w:left w:w="20" w:type="dxa"/>
              <w:top w:w="20" w:type="dxa"/>
              <w:right w:w="20" w:type="dxa"/>
              <w:bottom w:w="20" w:type="dxa"/>
            </w:tcMar>
            <w:tcW w:w="2164" w:type="dxa"/>
            <w:vAlign w:val="center"/>
            <w:textDirection w:val="lrTb"/>
            <w:noWrap w:val="false"/>
          </w:tcPr>
          <w:p>
            <w:pPr>
              <w:ind w:left="0" w:right="0" w:firstLine="0"/>
              <w:jc w:val="center"/>
              <w:spacing w:line="24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名称</w:t>
            </w:r>
            <w:r>
              <w:rPr>
                <w:highlight w:val="none"/>
              </w:rPr>
            </w:r>
          </w:p>
        </w:tc>
        <w:tc>
          <w:tcPr>
            <w:tcMar>
              <w:left w:w="20" w:type="dxa"/>
              <w:top w:w="20" w:type="dxa"/>
              <w:right w:w="20" w:type="dxa"/>
              <w:bottom w:w="20" w:type="dxa"/>
            </w:tcMar>
            <w:tcW w:w="1695" w:type="dxa"/>
            <w:vAlign w:val="center"/>
            <w:textDirection w:val="lrTb"/>
            <w:noWrap w:val="false"/>
          </w:tcPr>
          <w:p>
            <w:pPr>
              <w:ind w:left="0" w:right="0" w:firstLine="0"/>
              <w:jc w:val="center"/>
              <w:spacing w:line="24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规格</w:t>
            </w:r>
            <w:r>
              <w:rPr>
                <w:highlight w:val="none"/>
              </w:rPr>
            </w:r>
          </w:p>
        </w:tc>
        <w:tc>
          <w:tcPr>
            <w:tcMar>
              <w:left w:w="20" w:type="dxa"/>
              <w:top w:w="20" w:type="dxa"/>
              <w:right w:w="20" w:type="dxa"/>
              <w:bottom w:w="20" w:type="dxa"/>
            </w:tcMar>
            <w:tcW w:w="600" w:type="dxa"/>
            <w:vAlign w:val="center"/>
            <w:textDirection w:val="lrTb"/>
            <w:noWrap w:val="false"/>
          </w:tcPr>
          <w:p>
            <w:pPr>
              <w:ind w:left="0" w:right="0" w:firstLine="0"/>
              <w:jc w:val="center"/>
              <w:spacing w:line="24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单位</w:t>
            </w:r>
            <w:r>
              <w:rPr>
                <w:highlight w:val="none"/>
              </w:rPr>
            </w:r>
          </w:p>
        </w:tc>
        <w:tc>
          <w:tcPr>
            <w:tcMar>
              <w:left w:w="20" w:type="dxa"/>
              <w:top w:w="20" w:type="dxa"/>
              <w:right w:w="20" w:type="dxa"/>
              <w:bottom w:w="20" w:type="dxa"/>
            </w:tcMar>
            <w:tcW w:w="660" w:type="dxa"/>
            <w:vAlign w:val="center"/>
            <w:textDirection w:val="lrTb"/>
            <w:noWrap w:val="false"/>
          </w:tcPr>
          <w:p>
            <w:pPr>
              <w:ind w:left="0" w:right="0" w:firstLine="0"/>
              <w:jc w:val="center"/>
              <w:spacing w:line="24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数量</w:t>
            </w:r>
            <w:r>
              <w:rPr>
                <w:highlight w:val="none"/>
              </w:rPr>
            </w:r>
          </w:p>
        </w:tc>
        <w:tc>
          <w:tcPr>
            <w:tcMar>
              <w:left w:w="20" w:type="dxa"/>
              <w:top w:w="20" w:type="dxa"/>
              <w:right w:w="20" w:type="dxa"/>
              <w:bottom w:w="20" w:type="dxa"/>
            </w:tcMar>
            <w:tcW w:w="2147" w:type="dxa"/>
            <w:vAlign w:val="center"/>
            <w:textDirection w:val="lrTb"/>
            <w:noWrap w:val="false"/>
          </w:tcPr>
          <w:p>
            <w:pPr>
              <w:ind w:left="0" w:right="0" w:firstLine="0"/>
              <w:jc w:val="center"/>
              <w:spacing w:line="24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对应中小企业划分标准所属行业</w:t>
            </w:r>
            <w:r>
              <w:rPr>
                <w:highlight w:val="none"/>
              </w:rPr>
            </w:r>
          </w:p>
        </w:tc>
      </w:tr>
      <w:tr>
        <w:trPr>
          <w:jc w:val="center"/>
          <w:trHeight w:val="0"/>
        </w:trPr>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highlight w:val="none"/>
              </w:rPr>
            </w:r>
          </w:p>
        </w:tc>
        <w:tc>
          <w:tcPr>
            <w:tcMar>
              <w:left w:w="20" w:type="dxa"/>
              <w:top w:w="20" w:type="dxa"/>
              <w:right w:w="20" w:type="dxa"/>
              <w:bottom w:w="20" w:type="dxa"/>
            </w:tcMar>
            <w:tcW w:w="2164" w:type="dxa"/>
            <w:vAlign w:val="center"/>
            <w:textDirection w:val="lrTb"/>
            <w:noWrap w:val="false"/>
          </w:tcPr>
          <w:p>
            <w:pPr>
              <w:ind w:left="0" w:right="0" w:firstLine="0"/>
              <w:jc w:val="left"/>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课桌椅（蓝色）</w:t>
            </w:r>
            <w:r>
              <w:rPr>
                <w:highlight w:val="none"/>
              </w:rPr>
            </w:r>
          </w:p>
        </w:tc>
        <w:tc>
          <w:tcPr>
            <w:tcMar>
              <w:left w:w="20" w:type="dxa"/>
              <w:top w:w="20" w:type="dxa"/>
              <w:right w:w="20" w:type="dxa"/>
              <w:bottom w:w="20" w:type="dxa"/>
            </w:tcMar>
            <w:tcW w:w="1695"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见技术参数</w:t>
            </w:r>
            <w:r>
              <w:rPr>
                <w:highlight w:val="none"/>
              </w:rPr>
            </w:r>
          </w:p>
        </w:tc>
        <w:tc>
          <w:tcPr>
            <w:tcMar>
              <w:left w:w="20" w:type="dxa"/>
              <w:top w:w="20" w:type="dxa"/>
              <w:right w:w="20" w:type="dxa"/>
              <w:bottom w:w="20" w:type="dxa"/>
            </w:tcMar>
            <w:tcW w:w="600" w:type="dxa"/>
            <w:vAlign w:val="center"/>
            <w:textDirection w:val="lrTb"/>
            <w:noWrap w:val="false"/>
          </w:tcPr>
          <w:p>
            <w:pPr>
              <w:ind w:left="0" w:right="0" w:firstLine="0"/>
              <w:jc w:val="center"/>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套</w:t>
            </w:r>
            <w:r>
              <w:rPr>
                <w:highlight w:val="none"/>
              </w:rPr>
            </w:r>
          </w:p>
        </w:tc>
        <w:tc>
          <w:tcPr>
            <w:tcMar>
              <w:left w:w="20" w:type="dxa"/>
              <w:top w:w="20" w:type="dxa"/>
              <w:right w:w="20" w:type="dxa"/>
              <w:bottom w:w="20" w:type="dxa"/>
            </w:tcMar>
            <w:tcW w:w="660" w:type="dxa"/>
            <w:vAlign w:val="center"/>
            <w:textDirection w:val="lrTb"/>
            <w:noWrap w:val="false"/>
          </w:tcPr>
          <w:p>
            <w:pPr>
              <w:ind w:left="0" w:right="0" w:firstLine="0"/>
              <w:jc w:val="center"/>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250</w:t>
            </w:r>
            <w:r>
              <w:rPr>
                <w:highlight w:val="none"/>
              </w:rPr>
            </w:r>
          </w:p>
        </w:tc>
        <w:tc>
          <w:tcPr>
            <w:tcMar>
              <w:left w:w="20" w:type="dxa"/>
              <w:top w:w="20" w:type="dxa"/>
              <w:right w:w="20" w:type="dxa"/>
              <w:bottom w:w="20" w:type="dxa"/>
            </w:tcMar>
            <w:tcW w:w="2147"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highlight w:val="none"/>
              </w:rPr>
            </w:r>
          </w:p>
        </w:tc>
        <w:tc>
          <w:tcPr>
            <w:tcMar>
              <w:left w:w="20" w:type="dxa"/>
              <w:top w:w="20" w:type="dxa"/>
              <w:right w:w="20" w:type="dxa"/>
              <w:bottom w:w="20" w:type="dxa"/>
            </w:tcMar>
            <w:tcW w:w="2164" w:type="dxa"/>
            <w:vAlign w:val="center"/>
            <w:textDirection w:val="lrTb"/>
            <w:noWrap w:val="false"/>
          </w:tcPr>
          <w:p>
            <w:pPr>
              <w:ind w:left="0" w:right="0" w:firstLine="0"/>
              <w:jc w:val="left"/>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理化生实验室凳子</w:t>
            </w:r>
            <w:r>
              <w:rPr>
                <w:highlight w:val="none"/>
              </w:rPr>
            </w:r>
          </w:p>
        </w:tc>
        <w:tc>
          <w:tcPr>
            <w:tcMar>
              <w:left w:w="20" w:type="dxa"/>
              <w:top w:w="20" w:type="dxa"/>
              <w:right w:w="20" w:type="dxa"/>
              <w:bottom w:w="20" w:type="dxa"/>
            </w:tcMar>
            <w:tcW w:w="1695"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见技术参数</w:t>
            </w:r>
            <w:r>
              <w:rPr>
                <w:highlight w:val="none"/>
              </w:rPr>
            </w:r>
          </w:p>
        </w:tc>
        <w:tc>
          <w:tcPr>
            <w:tcMar>
              <w:left w:w="20" w:type="dxa"/>
              <w:top w:w="20" w:type="dxa"/>
              <w:right w:w="20" w:type="dxa"/>
              <w:bottom w:w="20" w:type="dxa"/>
            </w:tcMar>
            <w:tcW w:w="600" w:type="dxa"/>
            <w:vAlign w:val="center"/>
            <w:textDirection w:val="lrTb"/>
            <w:noWrap w:val="false"/>
          </w:tcPr>
          <w:p>
            <w:pPr>
              <w:ind w:left="0" w:right="0" w:firstLine="0"/>
              <w:jc w:val="center"/>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张</w:t>
            </w:r>
            <w:r>
              <w:rPr>
                <w:highlight w:val="none"/>
              </w:rPr>
            </w:r>
          </w:p>
        </w:tc>
        <w:tc>
          <w:tcPr>
            <w:tcMar>
              <w:left w:w="20" w:type="dxa"/>
              <w:top w:w="20" w:type="dxa"/>
              <w:right w:w="20" w:type="dxa"/>
              <w:bottom w:w="20" w:type="dxa"/>
            </w:tcMar>
            <w:tcW w:w="660" w:type="dxa"/>
            <w:vAlign w:val="center"/>
            <w:textDirection w:val="lrTb"/>
            <w:noWrap w:val="false"/>
          </w:tcPr>
          <w:p>
            <w:pPr>
              <w:ind w:left="0" w:right="0" w:firstLine="0"/>
              <w:jc w:val="center"/>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100</w:t>
            </w:r>
            <w:r>
              <w:rPr>
                <w:highlight w:val="none"/>
              </w:rPr>
            </w:r>
          </w:p>
        </w:tc>
        <w:tc>
          <w:tcPr>
            <w:tcMar>
              <w:left w:w="20" w:type="dxa"/>
              <w:top w:w="20" w:type="dxa"/>
              <w:right w:w="20" w:type="dxa"/>
              <w:bottom w:w="20" w:type="dxa"/>
            </w:tcMar>
            <w:tcW w:w="2147"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highlight w:val="none"/>
              </w:rPr>
            </w:r>
          </w:p>
        </w:tc>
        <w:tc>
          <w:tcPr>
            <w:tcMar>
              <w:left w:w="20" w:type="dxa"/>
              <w:top w:w="20" w:type="dxa"/>
              <w:right w:w="20" w:type="dxa"/>
              <w:bottom w:w="20" w:type="dxa"/>
            </w:tcMar>
            <w:tcW w:w="2164" w:type="dxa"/>
            <w:vAlign w:val="center"/>
            <w:textDirection w:val="lrTb"/>
            <w:noWrap w:val="false"/>
          </w:tcPr>
          <w:p>
            <w:pPr>
              <w:ind w:left="0" w:right="0" w:firstLine="0"/>
              <w:jc w:val="left"/>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音乐教室凳子</w:t>
            </w:r>
            <w:r>
              <w:rPr>
                <w:highlight w:val="none"/>
              </w:rPr>
            </w:r>
          </w:p>
        </w:tc>
        <w:tc>
          <w:tcPr>
            <w:shd w:val="clear" w:color="auto" w:fill="auto"/>
            <w:tcMar>
              <w:left w:w="20" w:type="dxa"/>
              <w:top w:w="20" w:type="dxa"/>
              <w:right w:w="20" w:type="dxa"/>
              <w:bottom w:w="20" w:type="dxa"/>
            </w:tcMar>
            <w:tcW w:w="1695"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见技术参数</w:t>
            </w:r>
            <w:r>
              <w:rPr>
                <w:highlight w:val="none"/>
              </w:rPr>
            </w:r>
          </w:p>
        </w:tc>
        <w:tc>
          <w:tcPr>
            <w:shd w:val="clear" w:color="auto" w:fill="auto"/>
            <w:tcMar>
              <w:left w:w="20" w:type="dxa"/>
              <w:top w:w="20" w:type="dxa"/>
              <w:right w:w="20" w:type="dxa"/>
              <w:bottom w:w="20" w:type="dxa"/>
            </w:tcMar>
            <w:tcW w:w="600" w:type="dxa"/>
            <w:vAlign w:val="center"/>
            <w:textDirection w:val="lrTb"/>
            <w:noWrap w:val="false"/>
          </w:tcPr>
          <w:p>
            <w:pPr>
              <w:ind w:left="0" w:right="0" w:firstLine="0"/>
              <w:jc w:val="center"/>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张</w:t>
            </w:r>
            <w:r>
              <w:rPr>
                <w:highlight w:val="none"/>
              </w:rPr>
            </w:r>
          </w:p>
        </w:tc>
        <w:tc>
          <w:tcPr>
            <w:tcMar>
              <w:left w:w="20" w:type="dxa"/>
              <w:top w:w="20" w:type="dxa"/>
              <w:right w:w="20" w:type="dxa"/>
              <w:bottom w:w="20" w:type="dxa"/>
            </w:tcMar>
            <w:tcW w:w="660" w:type="dxa"/>
            <w:vAlign w:val="center"/>
            <w:textDirection w:val="lrTb"/>
            <w:noWrap w:val="false"/>
          </w:tcPr>
          <w:p>
            <w:pPr>
              <w:ind w:left="0" w:right="0" w:firstLine="0"/>
              <w:jc w:val="center"/>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80</w:t>
            </w:r>
            <w:r>
              <w:rPr>
                <w:highlight w:val="none"/>
              </w:rPr>
            </w:r>
          </w:p>
        </w:tc>
        <w:tc>
          <w:tcPr>
            <w:tcMar>
              <w:left w:w="20" w:type="dxa"/>
              <w:top w:w="20" w:type="dxa"/>
              <w:right w:w="20" w:type="dxa"/>
              <w:bottom w:w="20" w:type="dxa"/>
            </w:tcMar>
            <w:tcW w:w="2147"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highlight w:val="none"/>
              </w:rPr>
            </w:r>
          </w:p>
        </w:tc>
        <w:tc>
          <w:tcPr>
            <w:tcMar>
              <w:left w:w="20" w:type="dxa"/>
              <w:top w:w="20" w:type="dxa"/>
              <w:right w:w="20" w:type="dxa"/>
              <w:bottom w:w="20" w:type="dxa"/>
            </w:tcMar>
            <w:tcW w:w="2164" w:type="dxa"/>
            <w:vAlign w:val="center"/>
            <w:textDirection w:val="lrTb"/>
            <w:noWrap w:val="false"/>
          </w:tcPr>
          <w:p>
            <w:pPr>
              <w:ind w:left="0" w:right="0" w:firstLine="0"/>
              <w:jc w:val="left"/>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软质黑板</w:t>
            </w:r>
            <w:r>
              <w:rPr>
                <w:highlight w:val="none"/>
              </w:rPr>
            </w:r>
          </w:p>
        </w:tc>
        <w:tc>
          <w:tcPr>
            <w:shd w:val="clear" w:color="auto" w:fill="auto"/>
            <w:tcMar>
              <w:left w:w="20" w:type="dxa"/>
              <w:top w:w="20" w:type="dxa"/>
              <w:right w:w="20" w:type="dxa"/>
              <w:bottom w:w="20" w:type="dxa"/>
            </w:tcMar>
            <w:tcW w:w="1695"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见技术参数</w:t>
            </w:r>
            <w:r>
              <w:rPr>
                <w:highlight w:val="none"/>
              </w:rPr>
            </w:r>
          </w:p>
        </w:tc>
        <w:tc>
          <w:tcPr>
            <w:shd w:val="clear" w:color="auto" w:fill="auto"/>
            <w:tcMar>
              <w:left w:w="20" w:type="dxa"/>
              <w:top w:w="20" w:type="dxa"/>
              <w:right w:w="20" w:type="dxa"/>
              <w:bottom w:w="20" w:type="dxa"/>
            </w:tcMar>
            <w:tcW w:w="600" w:type="dxa"/>
            <w:vAlign w:val="center"/>
            <w:textDirection w:val="lrTb"/>
            <w:noWrap w:val="false"/>
          </w:tcPr>
          <w:p>
            <w:pPr>
              <w:ind w:left="0" w:right="0" w:firstLine="0"/>
              <w:jc w:val="center"/>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张</w:t>
            </w:r>
            <w:r>
              <w:rPr>
                <w:highlight w:val="none"/>
              </w:rPr>
            </w:r>
          </w:p>
        </w:tc>
        <w:tc>
          <w:tcPr>
            <w:tcMar>
              <w:left w:w="20" w:type="dxa"/>
              <w:top w:w="20" w:type="dxa"/>
              <w:right w:w="20" w:type="dxa"/>
              <w:bottom w:w="20" w:type="dxa"/>
            </w:tcMar>
            <w:tcW w:w="660" w:type="dxa"/>
            <w:vAlign w:val="center"/>
            <w:textDirection w:val="lrTb"/>
            <w:noWrap w:val="false"/>
          </w:tcPr>
          <w:p>
            <w:pPr>
              <w:ind w:left="0" w:right="0" w:firstLine="0"/>
              <w:jc w:val="center"/>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1</w:t>
            </w:r>
            <w:r>
              <w:rPr>
                <w:highlight w:val="none"/>
              </w:rPr>
            </w:r>
          </w:p>
        </w:tc>
        <w:tc>
          <w:tcPr>
            <w:tcMar>
              <w:left w:w="20" w:type="dxa"/>
              <w:top w:w="20" w:type="dxa"/>
              <w:right w:w="20" w:type="dxa"/>
              <w:bottom w:w="20" w:type="dxa"/>
            </w:tcMar>
            <w:tcW w:w="2147"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rPr>
                <w:highlight w:val="none"/>
              </w:rPr>
            </w:r>
          </w:p>
        </w:tc>
        <w:tc>
          <w:tcPr>
            <w:tcMar>
              <w:left w:w="20" w:type="dxa"/>
              <w:top w:w="20" w:type="dxa"/>
              <w:right w:w="20" w:type="dxa"/>
              <w:bottom w:w="20" w:type="dxa"/>
            </w:tcMar>
            <w:tcW w:w="2164" w:type="dxa"/>
            <w:vAlign w:val="center"/>
            <w:textDirection w:val="lrTb"/>
            <w:noWrap w:val="false"/>
          </w:tcPr>
          <w:p>
            <w:pPr>
              <w:ind w:left="0" w:right="0" w:firstLine="0"/>
              <w:jc w:val="left"/>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讲台（橡胶木）</w:t>
            </w:r>
            <w:r>
              <w:rPr>
                <w:highlight w:val="none"/>
              </w:rPr>
            </w:r>
          </w:p>
        </w:tc>
        <w:tc>
          <w:tcPr>
            <w:shd w:val="clear" w:color="auto" w:fill="auto"/>
            <w:tcMar>
              <w:left w:w="20" w:type="dxa"/>
              <w:top w:w="20" w:type="dxa"/>
              <w:right w:w="20" w:type="dxa"/>
              <w:bottom w:w="20" w:type="dxa"/>
            </w:tcMar>
            <w:tcW w:w="1695"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见技术参数</w:t>
            </w:r>
            <w:r>
              <w:rPr>
                <w:highlight w:val="none"/>
              </w:rPr>
            </w:r>
          </w:p>
        </w:tc>
        <w:tc>
          <w:tcPr>
            <w:shd w:val="clear" w:color="auto" w:fill="auto"/>
            <w:tcMar>
              <w:left w:w="20" w:type="dxa"/>
              <w:top w:w="20" w:type="dxa"/>
              <w:right w:w="20" w:type="dxa"/>
              <w:bottom w:w="20" w:type="dxa"/>
            </w:tcMar>
            <w:tcW w:w="600" w:type="dxa"/>
            <w:vAlign w:val="center"/>
            <w:textDirection w:val="lrTb"/>
            <w:noWrap w:val="false"/>
          </w:tcPr>
          <w:p>
            <w:pPr>
              <w:ind w:left="0" w:right="0" w:firstLine="0"/>
              <w:jc w:val="center"/>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个</w:t>
            </w:r>
            <w:r>
              <w:rPr>
                <w:highlight w:val="none"/>
              </w:rPr>
            </w:r>
          </w:p>
        </w:tc>
        <w:tc>
          <w:tcPr>
            <w:tcMar>
              <w:left w:w="20" w:type="dxa"/>
              <w:top w:w="20" w:type="dxa"/>
              <w:right w:w="20" w:type="dxa"/>
              <w:bottom w:w="20" w:type="dxa"/>
            </w:tcMar>
            <w:tcW w:w="660" w:type="dxa"/>
            <w:vAlign w:val="center"/>
            <w:textDirection w:val="lrTb"/>
            <w:noWrap w:val="false"/>
          </w:tcPr>
          <w:p>
            <w:pPr>
              <w:ind w:left="0" w:right="0" w:firstLine="0"/>
              <w:jc w:val="center"/>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1</w:t>
            </w:r>
            <w:r>
              <w:rPr>
                <w:highlight w:val="none"/>
              </w:rPr>
            </w:r>
          </w:p>
        </w:tc>
        <w:tc>
          <w:tcPr>
            <w:tcMar>
              <w:left w:w="20" w:type="dxa"/>
              <w:top w:w="20" w:type="dxa"/>
              <w:right w:w="20" w:type="dxa"/>
              <w:bottom w:w="20" w:type="dxa"/>
            </w:tcMar>
            <w:tcW w:w="2147"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rPr>
                <w:highlight w:val="none"/>
              </w:rPr>
            </w:r>
          </w:p>
        </w:tc>
        <w:tc>
          <w:tcPr>
            <w:tcMar>
              <w:left w:w="20" w:type="dxa"/>
              <w:top w:w="20" w:type="dxa"/>
              <w:right w:w="20" w:type="dxa"/>
              <w:bottom w:w="20" w:type="dxa"/>
            </w:tcMar>
            <w:tcW w:w="2164" w:type="dxa"/>
            <w:vAlign w:val="center"/>
            <w:textDirection w:val="lrTb"/>
            <w:noWrap w:val="false"/>
          </w:tcPr>
          <w:p>
            <w:pPr>
              <w:ind w:left="0" w:right="0" w:firstLine="0"/>
              <w:jc w:val="left"/>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书柜（橡胶木）</w:t>
            </w:r>
            <w:r>
              <w:rPr>
                <w:highlight w:val="none"/>
              </w:rPr>
            </w:r>
          </w:p>
        </w:tc>
        <w:tc>
          <w:tcPr>
            <w:shd w:val="clear" w:color="auto" w:fill="auto"/>
            <w:tcMar>
              <w:left w:w="20" w:type="dxa"/>
              <w:top w:w="20" w:type="dxa"/>
              <w:right w:w="20" w:type="dxa"/>
              <w:bottom w:w="20" w:type="dxa"/>
            </w:tcMar>
            <w:tcW w:w="1695"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见技术参数</w:t>
            </w:r>
            <w:r>
              <w:rPr>
                <w:highlight w:val="none"/>
              </w:rPr>
            </w:r>
          </w:p>
        </w:tc>
        <w:tc>
          <w:tcPr>
            <w:shd w:val="clear" w:color="auto" w:fill="auto"/>
            <w:tcMar>
              <w:left w:w="20" w:type="dxa"/>
              <w:top w:w="20" w:type="dxa"/>
              <w:right w:w="20" w:type="dxa"/>
              <w:bottom w:w="20" w:type="dxa"/>
            </w:tcMar>
            <w:tcW w:w="600" w:type="dxa"/>
            <w:vAlign w:val="center"/>
            <w:textDirection w:val="lrTb"/>
            <w:noWrap w:val="false"/>
          </w:tcPr>
          <w:p>
            <w:pPr>
              <w:ind w:left="0" w:right="0" w:firstLine="0"/>
              <w:jc w:val="center"/>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个</w:t>
            </w:r>
            <w:r>
              <w:rPr>
                <w:highlight w:val="none"/>
              </w:rPr>
            </w:r>
          </w:p>
        </w:tc>
        <w:tc>
          <w:tcPr>
            <w:shd w:val="clear" w:color="auto" w:fill="auto"/>
            <w:tcMar>
              <w:left w:w="20" w:type="dxa"/>
              <w:top w:w="20" w:type="dxa"/>
              <w:right w:w="20" w:type="dxa"/>
              <w:bottom w:w="20" w:type="dxa"/>
            </w:tcMar>
            <w:tcW w:w="660" w:type="dxa"/>
            <w:vAlign w:val="center"/>
            <w:textDirection w:val="lrTb"/>
            <w:noWrap w:val="false"/>
          </w:tcPr>
          <w:p>
            <w:pPr>
              <w:ind w:left="0" w:right="0" w:firstLine="0"/>
              <w:jc w:val="center"/>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1</w:t>
            </w:r>
            <w:r>
              <w:rPr>
                <w:highlight w:val="none"/>
              </w:rPr>
            </w:r>
          </w:p>
        </w:tc>
        <w:tc>
          <w:tcPr>
            <w:tcMar>
              <w:left w:w="20" w:type="dxa"/>
              <w:top w:w="20" w:type="dxa"/>
              <w:right w:w="20" w:type="dxa"/>
              <w:bottom w:w="20" w:type="dxa"/>
            </w:tcMar>
            <w:tcW w:w="2147"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shd w:val="clear" w:color="auto" w:fill="auto"/>
            <w:tcMar>
              <w:left w:w="20" w:type="dxa"/>
              <w:top w:w="20" w:type="dxa"/>
              <w:right w:w="20" w:type="dxa"/>
              <w:bottom w:w="20" w:type="dxa"/>
            </w:tcMar>
            <w:tcW w:w="524" w:type="dxa"/>
            <w:vAlign w:val="center"/>
            <w:textDirection w:val="lrTb"/>
            <w:noWrap w:val="false"/>
          </w:tcPr>
          <w:p>
            <w:pPr>
              <w:ind w:left="0" w:right="0" w:firstLine="0"/>
              <w:jc w:val="center"/>
              <w:spacing w:line="240" w:lineRule="auto"/>
              <w:rPr>
                <w:rFonts w:hint="eastAsia" w:ascii="仿宋" w:hAnsi="仿宋" w:eastAsia="仿宋" w:cs="仿宋"/>
                <w:sz w:val="24"/>
                <w:szCs w:val="28"/>
                <w:highlight w:val="none"/>
              </w:rPr>
            </w:pPr>
            <w:r>
              <w:rPr>
                <w:rFonts w:hint="eastAsia" w:ascii="仿宋" w:hAnsi="仿宋" w:eastAsia="仿宋" w:cs="仿宋"/>
                <w:sz w:val="24"/>
                <w:szCs w:val="28"/>
                <w:highlight w:val="none"/>
                <w:lang w:val="en-US" w:eastAsia="zh-CN"/>
              </w:rPr>
              <w:t xml:space="preserve">7</w:t>
            </w:r>
            <w:r>
              <w:rPr>
                <w:highlight w:val="none"/>
              </w:rPr>
            </w:r>
          </w:p>
        </w:tc>
        <w:tc>
          <w:tcPr>
            <w:shd w:val="clear" w:color="auto" w:fill="auto"/>
            <w:tcMar>
              <w:left w:w="20" w:type="dxa"/>
              <w:top w:w="20" w:type="dxa"/>
              <w:right w:w="20" w:type="dxa"/>
              <w:bottom w:w="20" w:type="dxa"/>
            </w:tcMar>
            <w:tcW w:w="2164" w:type="dxa"/>
            <w:vAlign w:val="center"/>
            <w:textDirection w:val="lrTb"/>
            <w:noWrap w:val="false"/>
          </w:tcPr>
          <w:p>
            <w:pPr>
              <w:ind w:left="0" w:right="0" w:firstLine="0"/>
              <w:jc w:val="left"/>
              <w:spacing w:line="240" w:lineRule="auto"/>
              <w:widowControl/>
              <w:rPr>
                <w:rFonts w:hint="eastAsia" w:ascii="仿宋" w:hAnsi="仿宋" w:eastAsia="仿宋" w:cs="仿宋"/>
                <w:sz w:val="24"/>
                <w:szCs w:val="28"/>
                <w:highlight w:val="none"/>
              </w:rPr>
            </w:pPr>
            <w:r>
              <w:rPr>
                <w:rFonts w:hint="eastAsia" w:ascii="仿宋" w:hAnsi="仿宋" w:eastAsia="仿宋" w:cs="仿宋"/>
                <w:sz w:val="24"/>
                <w:szCs w:val="28"/>
                <w:highlight w:val="none"/>
                <w:lang w:val="en-US" w:eastAsia="zh-CN"/>
              </w:rPr>
              <w:t xml:space="preserve">边柜</w:t>
            </w:r>
            <w:r>
              <w:rPr>
                <w:highlight w:val="none"/>
              </w:rPr>
            </w:r>
          </w:p>
        </w:tc>
        <w:tc>
          <w:tcPr>
            <w:shd w:val="clear" w:color="auto" w:fill="auto"/>
            <w:tcMar>
              <w:left w:w="20" w:type="dxa"/>
              <w:top w:w="20" w:type="dxa"/>
              <w:right w:w="20" w:type="dxa"/>
              <w:bottom w:w="20" w:type="dxa"/>
            </w:tcMar>
            <w:tcW w:w="1695" w:type="dxa"/>
            <w:vAlign w:val="center"/>
            <w:textDirection w:val="lrTb"/>
            <w:noWrap w:val="false"/>
          </w:tcPr>
          <w:p>
            <w:pPr>
              <w:ind w:left="0" w:right="0" w:firstLine="0"/>
              <w:jc w:val="center"/>
              <w:spacing w:line="24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见技术参数</w:t>
            </w:r>
            <w:r>
              <w:rPr>
                <w:highlight w:val="none"/>
              </w:rPr>
            </w:r>
          </w:p>
        </w:tc>
        <w:tc>
          <w:tcPr>
            <w:shd w:val="clear" w:color="auto" w:fill="auto"/>
            <w:tcMar>
              <w:left w:w="20" w:type="dxa"/>
              <w:top w:w="20" w:type="dxa"/>
              <w:right w:w="20" w:type="dxa"/>
              <w:bottom w:w="20" w:type="dxa"/>
            </w:tcMar>
            <w:tcW w:w="600" w:type="dxa"/>
            <w:vAlign w:val="center"/>
            <w:textDirection w:val="lrTb"/>
            <w:noWrap w:val="false"/>
          </w:tcPr>
          <w:p>
            <w:pPr>
              <w:ind w:left="0" w:right="0" w:firstLine="0"/>
              <w:jc w:val="center"/>
              <w:spacing w:line="240" w:lineRule="auto"/>
              <w:widowControl/>
              <w:rPr>
                <w:rFonts w:hint="eastAsia" w:ascii="仿宋" w:hAnsi="仿宋" w:eastAsia="仿宋" w:cs="仿宋"/>
                <w:sz w:val="24"/>
                <w:szCs w:val="28"/>
                <w:highlight w:val="none"/>
              </w:rPr>
            </w:pPr>
            <w:r>
              <w:rPr>
                <w:rFonts w:hint="eastAsia" w:ascii="仿宋" w:hAnsi="仿宋" w:eastAsia="仿宋" w:cs="仿宋"/>
                <w:sz w:val="24"/>
                <w:szCs w:val="28"/>
                <w:highlight w:val="none"/>
                <w:lang w:bidi="ar"/>
              </w:rPr>
              <w:t xml:space="preserve">个</w:t>
            </w:r>
            <w:r>
              <w:rPr>
                <w:highlight w:val="none"/>
              </w:rPr>
            </w:r>
          </w:p>
        </w:tc>
        <w:tc>
          <w:tcPr>
            <w:shd w:val="clear" w:color="auto" w:fill="auto"/>
            <w:tcMar>
              <w:left w:w="20" w:type="dxa"/>
              <w:top w:w="20" w:type="dxa"/>
              <w:right w:w="20" w:type="dxa"/>
              <w:bottom w:w="20" w:type="dxa"/>
            </w:tcMar>
            <w:tcW w:w="660" w:type="dxa"/>
            <w:vAlign w:val="center"/>
            <w:textDirection w:val="lrTb"/>
            <w:noWrap w:val="false"/>
          </w:tcPr>
          <w:p>
            <w:pPr>
              <w:ind w:left="0" w:right="0" w:firstLine="0"/>
              <w:jc w:val="center"/>
              <w:spacing w:line="240" w:lineRule="auto"/>
              <w:widowControl/>
              <w:rPr>
                <w:rFonts w:hint="eastAsia" w:ascii="仿宋" w:hAnsi="仿宋" w:eastAsia="仿宋" w:cs="仿宋"/>
                <w:sz w:val="24"/>
                <w:szCs w:val="28"/>
                <w:highlight w:val="none"/>
              </w:rPr>
            </w:pPr>
            <w:r>
              <w:rPr>
                <w:rFonts w:hint="eastAsia" w:ascii="仿宋" w:hAnsi="仿宋" w:eastAsia="仿宋" w:cs="仿宋"/>
                <w:sz w:val="24"/>
                <w:szCs w:val="28"/>
                <w:highlight w:val="none"/>
                <w:lang w:val="en-US" w:eastAsia="zh-CN" w:bidi="ar"/>
              </w:rPr>
              <w:t xml:space="preserve">1</w:t>
            </w:r>
            <w:r>
              <w:rPr>
                <w:highlight w:val="none"/>
              </w:rPr>
            </w:r>
          </w:p>
        </w:tc>
        <w:tc>
          <w:tcPr>
            <w:tcMar>
              <w:left w:w="20" w:type="dxa"/>
              <w:top w:w="20" w:type="dxa"/>
              <w:right w:w="20" w:type="dxa"/>
              <w:bottom w:w="20" w:type="dxa"/>
            </w:tcMar>
            <w:tcW w:w="2147"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bl>
    <w:p>
      <w:pPr>
        <w:spacing w:line="440" w:lineRule="exact"/>
        <w:widowControl/>
        <w:rPr>
          <w:rFonts w:ascii="仿宋" w:hAnsi="仿宋" w:eastAsia="仿宋" w:cs="仿宋"/>
          <w:sz w:val="24"/>
          <w:szCs w:val="24"/>
          <w:highlight w:val="none"/>
        </w:rPr>
      </w:pPr>
      <w:r>
        <w:rPr>
          <w:rFonts w:hint="eastAsia" w:ascii="仿宋" w:hAnsi="仿宋" w:eastAsia="仿宋" w:cs="仿宋"/>
          <w:b/>
          <w:bCs/>
          <w:sz w:val="24"/>
          <w:szCs w:val="24"/>
          <w:highlight w:val="none"/>
          <w:lang w:bidi="ar"/>
        </w:rPr>
        <w:t xml:space="preserve">本项目核心产品：</w:t>
      </w:r>
      <w:r>
        <w:rPr>
          <w:rFonts w:hint="eastAsia" w:ascii="仿宋" w:hAnsi="仿宋" w:eastAsia="仿宋" w:cs="仿宋"/>
          <w:sz w:val="24"/>
          <w:szCs w:val="24"/>
          <w:highlight w:val="none"/>
          <w:lang w:bidi="ar"/>
        </w:rPr>
        <w:t xml:space="preserve">课桌椅（蓝色）</w:t>
      </w:r>
      <w:r>
        <w:rPr>
          <w:highlight w:val="none"/>
        </w:rPr>
      </w:r>
    </w:p>
    <w:p>
      <w:pPr>
        <w:pStyle w:val="709"/>
        <w:ind w:firstLine="0"/>
        <w:spacing w:line="480" w:lineRule="exact"/>
        <w:rPr>
          <w:rFonts w:hint="eastAsia" w:ascii="宋体" w:hAnsi="宋体" w:eastAsia="宋体" w:cs="宋体"/>
          <w:b/>
          <w:bCs/>
          <w:color w:val="auto"/>
          <w:sz w:val="28"/>
          <w:szCs w:val="28"/>
          <w:highlight w:val="none"/>
        </w:rPr>
        <w:outlineLvl w:val="1"/>
      </w:pPr>
      <w:r>
        <w:rPr>
          <w:rFonts w:hint="eastAsia"/>
          <w:b/>
          <w:color w:val="auto"/>
          <w:sz w:val="28"/>
          <w:highlight w:val="none"/>
          <w:lang w:val="en-US" w:eastAsia="zh-CN"/>
        </w:rPr>
        <w:t xml:space="preserve">二</w:t>
      </w:r>
      <w:r>
        <w:rPr>
          <w:b/>
          <w:color w:val="auto"/>
          <w:sz w:val="28"/>
          <w:highlight w:val="none"/>
          <w:lang w:eastAsia="zh-CN"/>
        </w:rPr>
        <w:t xml:space="preserve">、技术要求</w:t>
      </w:r>
      <w:r>
        <w:rPr>
          <w:highlight w:val="none"/>
        </w:rPr>
      </w:r>
    </w:p>
    <w:p>
      <w:pPr>
        <w:spacing w:line="480" w:lineRule="exact"/>
        <w:rPr>
          <w:rFonts w:hint="eastAsia"/>
          <w:color w:val="auto"/>
          <w:spacing w:val="7"/>
          <w:sz w:val="24"/>
          <w:szCs w:val="24"/>
          <w:highlight w:val="none"/>
          <w:shd w:val="clear" w:color="auto" w:fill="ffffff"/>
        </w:rPr>
      </w:pPr>
      <w:r>
        <w:rPr>
          <w:rFonts w:hint="eastAsia" w:ascii="宋体" w:hAnsi="宋体" w:eastAsia="宋体" w:cs="宋体"/>
          <w:b/>
          <w:bCs/>
          <w:caps/>
          <w:color w:val="auto"/>
          <w:sz w:val="28"/>
          <w:szCs w:val="28"/>
          <w:highlight w:val="none"/>
          <w:lang w:val="en-US" w:eastAsia="zh-CN" w:bidi="ar-SA"/>
        </w:rPr>
        <w:t xml:space="preserve">（一）采购标的需实现的功能或者目标</w:t>
      </w:r>
      <w:r>
        <w:rPr>
          <w:highlight w:val="none"/>
        </w:rPr>
      </w:r>
    </w:p>
    <w:p>
      <w:pPr>
        <w:jc w:val="left"/>
        <w:spacing w:line="44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为江苏省南通中学附属实验学校配置课桌椅（蓝色）、理化生实验室凳子、音乐教室凳子、软质黑板、讲台（橡胶木）、书柜（橡胶木）、边柜等。</w:t>
      </w:r>
      <w:r>
        <w:rPr>
          <w:highlight w:val="none"/>
        </w:rP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aps/>
          <w:color w:val="auto"/>
          <w:sz w:val="28"/>
          <w:szCs w:val="28"/>
          <w:highlight w:val="none"/>
          <w:lang w:val="en-US" w:eastAsia="zh-CN" w:bidi="ar-SA"/>
        </w:rPr>
        <w:t xml:space="preserve">（二）采购标的</w:t>
      </w:r>
      <w:r>
        <w:rPr>
          <w:rFonts w:hint="eastAsia" w:ascii="宋体" w:hAnsi="宋体" w:cs="宋体"/>
          <w:b/>
          <w:bCs/>
          <w:color w:val="auto"/>
          <w:sz w:val="28"/>
          <w:szCs w:val="28"/>
          <w:highlight w:val="none"/>
        </w:rPr>
        <w:t xml:space="preserve">需执行的国家相关标准、行业标准、地方标准或者其他标准、规范</w:t>
      </w:r>
      <w:r>
        <w:rPr>
          <w:highlight w:val="none"/>
        </w:rP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1.</w:t>
      </w:r>
      <w:r>
        <w:rPr>
          <w:rFonts w:ascii="Times New Roman" w:hAnsi="Times New Roman" w:eastAsia="仿宋" w:cs="Times New Roman"/>
          <w:sz w:val="24"/>
          <w:szCs w:val="24"/>
          <w:highlight w:val="none"/>
        </w:rPr>
        <w:t xml:space="preserve">投标产品的技术标准按国家标准执行，无国家标准的，按行业标准执行；无国家和行业标准的，按企业标准执行；但在</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中有特别要求的，按</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中规定的要求执行，并且符合相关</w:t>
      </w:r>
      <w:r>
        <w:rPr>
          <w:rFonts w:hint="eastAsia" w:ascii="Times New Roman" w:hAnsi="Times New Roman" w:eastAsia="仿宋" w:cs="Times New Roman"/>
          <w:sz w:val="24"/>
          <w:szCs w:val="24"/>
          <w:highlight w:val="none"/>
          <w:lang w:eastAsia="zh-CN"/>
        </w:rPr>
        <w:t xml:space="preserve">法律法规</w:t>
      </w:r>
      <w:r>
        <w:rPr>
          <w:rFonts w:ascii="Times New Roman" w:hAnsi="Times New Roman" w:eastAsia="仿宋" w:cs="Times New Roman"/>
          <w:sz w:val="24"/>
          <w:szCs w:val="24"/>
          <w:highlight w:val="none"/>
        </w:rPr>
        <w:t xml:space="preserve">规定的要求。</w:t>
      </w:r>
      <w:r>
        <w:rPr>
          <w:highlight w:val="none"/>
        </w:rP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2.</w:t>
      </w:r>
      <w:r>
        <w:rPr>
          <w:rFonts w:hint="eastAsia" w:ascii="Times New Roman" w:hAnsi="Times New Roman" w:eastAsia="仿宋" w:cs="Times New Roman"/>
          <w:sz w:val="24"/>
          <w:szCs w:val="24"/>
          <w:highlight w:val="none"/>
          <w:lang w:val="en-US" w:eastAsia="zh-CN"/>
        </w:rPr>
        <w:t xml:space="preserve">本</w:t>
      </w:r>
      <w:r>
        <w:rPr>
          <w:rFonts w:ascii="Times New Roman" w:hAnsi="Times New Roman" w:eastAsia="仿宋" w:cs="Times New Roman"/>
          <w:sz w:val="24"/>
          <w:szCs w:val="24"/>
          <w:highlight w:val="none"/>
        </w:rPr>
        <w:t xml:space="preserve">项目提供的技术要求</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规格</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只是对产品的一些原则性要求，并不是最详尽的描述和要求，</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有责任依据相关设计技术规范和有关行业国家标准执行。</w:t>
      </w:r>
      <w:r>
        <w:rPr>
          <w:highlight w:val="none"/>
        </w:rPr>
      </w:r>
    </w:p>
    <w:p>
      <w:pPr>
        <w:keepLines w:val="0"/>
        <w:keepNext w:val="0"/>
        <w:pageBreakBefore w:val="0"/>
        <w:spacing w:after="62" w:line="440" w:lineRule="exact"/>
        <w:widowControl w:val="off"/>
        <w:rPr>
          <w:rFonts w:hint="eastAsia" w:ascii="仿宋" w:hAnsi="仿宋" w:eastAsia="仿宋" w:cs="仿宋"/>
          <w:b/>
          <w:bCs/>
          <w:sz w:val="24"/>
          <w:szCs w:val="24"/>
          <w:highlight w:val="none"/>
        </w:rPr>
      </w:pPr>
      <w:r>
        <w:rPr>
          <w:rFonts w:hint="eastAsia" w:ascii="Times New Roman" w:hAnsi="Times New Roman" w:eastAsia="仿宋" w:cs="Times New Roman"/>
          <w:sz w:val="24"/>
          <w:szCs w:val="24"/>
          <w:highlight w:val="none"/>
          <w:lang w:eastAsia="zh-CN"/>
        </w:rPr>
        <w:t xml:space="preserve">3.</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应保证提供的产品不得侵犯第三方专利权、商标权和设计权、版权等。否则，</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应负全部责任，并承担由此引起的一切后果。</w:t>
      </w:r>
      <w:r>
        <w:rPr>
          <w:highlight w:val="none"/>
        </w:rP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aps w:val="0"/>
          <w:color w:val="auto"/>
          <w:sz w:val="28"/>
          <w:szCs w:val="28"/>
          <w:highlight w:val="none"/>
          <w:lang w:val="en-US" w:eastAsia="zh-CN" w:bidi="ar-SA"/>
        </w:rPr>
        <w:t xml:space="preserve">采购标的需满足的质量、安全、技术规格、物理特性等要求</w:t>
      </w:r>
      <w:r>
        <w:rPr>
          <w:highlight w:val="none"/>
        </w:rPr>
      </w:r>
    </w:p>
    <w:p>
      <w:pPr>
        <w:spacing w:line="480" w:lineRule="exact"/>
        <w:rPr>
          <w:rFonts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本项目所有成品均配套对应国标，从源头严控有害物质，满足校园室内密闭空间使用条件。</w:t>
      </w:r>
      <w:r>
        <w:rPr>
          <w:highlight w:val="none"/>
        </w:rPr>
      </w:r>
    </w:p>
    <w:p>
      <w:pPr>
        <w:spacing w:line="480" w:lineRule="exact"/>
        <w:rPr>
          <w:rFonts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整体必须符合GB 18584-2024《家具中有害物质限量》强制限值。为确保成品达标，本项目要求所有人造板零部件所用基材须符合GB 18580-2025《室内装饰装修材料人造板及其制品中甲醛释放限量》且达到E0级（≤0.050mg/m³，1m³气候箱法）。</w:t>
      </w:r>
      <w:r>
        <w:rPr>
          <w:highlight w:val="none"/>
        </w:rPr>
      </w:r>
    </w:p>
    <w:p>
      <w:pPr>
        <w:spacing w:line="480" w:lineRule="exact"/>
        <w:rPr>
          <w:rFonts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所用木器涂料（含水性、UV、溶剂型等）及稀释剂、固化剂等配套辅助材料，其有害物质限量应符合 GB 30981.2-2025《涂料中有害物质限量 第2部分：工业涂料》中对应品类限值。</w:t>
      </w:r>
      <w:r>
        <w:rPr>
          <w:highlight w:val="none"/>
        </w:rPr>
      </w:r>
    </w:p>
    <w:p>
      <w:pPr>
        <w:spacing w:line="480" w:lineRule="exact"/>
        <w:rPr>
          <w:rFonts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木家具应符合GB/T 3324-2024《木家具通用技术条件》相关要求。</w:t>
      </w:r>
      <w:r>
        <w:rPr>
          <w:highlight w:val="none"/>
        </w:rPr>
      </w:r>
    </w:p>
    <w:p>
      <w:pPr>
        <w:spacing w:line="480" w:lineRule="exact"/>
        <w:rPr>
          <w:rFonts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塑料家具应符合GB/T32487-2016《塑料家具通用技术条件》相关要求。</w:t>
      </w:r>
      <w:r>
        <w:rPr>
          <w:highlight w:val="none"/>
        </w:rPr>
      </w:r>
    </w:p>
    <w:p>
      <w:pPr>
        <w:spacing w:line="480" w:lineRule="exact"/>
        <w:rPr>
          <w:rFonts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家具结构安全应符合GB 28008-2024《家具结构安全技术规范》要求。</w:t>
      </w:r>
      <w:r>
        <w:rPr>
          <w:highlight w:val="none"/>
        </w:rPr>
      </w:r>
    </w:p>
    <w:p>
      <w:pPr>
        <w:spacing w:line="480" w:lineRule="exact"/>
        <w:rPr>
          <w:sz w:val="20"/>
          <w:szCs w:val="18"/>
          <w:highlight w:val="none"/>
        </w:rPr>
      </w:pPr>
      <w:r>
        <w:rPr>
          <w:rFonts w:hint="eastAsia" w:ascii="仿宋" w:hAnsi="仿宋" w:eastAsia="仿宋" w:cs="仿宋"/>
          <w:bCs/>
          <w:color w:val="000000" w:themeColor="text1"/>
          <w:sz w:val="24"/>
          <w:szCs w:val="24"/>
          <w:highlight w:val="none"/>
          <w14:textFill>
            <w14:solidFill>
              <w14:schemeClr w14:val="tx1"/>
            </w14:solidFill>
          </w14:textFill>
        </w:rPr>
        <w:t xml:space="preserve">课桌椅应符合GB/T 3976-2014《学校课桌椅功能尺寸及技术要求》相关要求。</w:t>
      </w:r>
      <w:r>
        <w:rPr>
          <w:highlight w:val="none"/>
        </w:rPr>
      </w:r>
    </w:p>
    <w:p>
      <w:pPr>
        <w:spacing w:line="480" w:lineRule="exact"/>
        <w:rPr>
          <w:rFonts w:ascii="仿宋" w:hAnsi="仿宋" w:eastAsia="仿宋" w:cs="仿宋"/>
          <w:b/>
          <w:bCs w:val="0"/>
          <w:sz w:val="24"/>
          <w:szCs w:val="24"/>
          <w:highlight w:val="none"/>
        </w:rPr>
      </w:pPr>
      <w:r>
        <w:rPr>
          <w:rFonts w:hint="eastAsia" w:ascii="仿宋" w:hAnsi="仿宋" w:eastAsia="仿宋" w:cs="仿宋"/>
          <w:b/>
          <w:bCs w:val="0"/>
          <w:color w:val="000000" w:themeColor="text1"/>
          <w:sz w:val="24"/>
          <w:szCs w:val="24"/>
          <w:highlight w:val="none"/>
          <w14:textFill>
            <w14:solidFill>
              <w14:schemeClr w14:val="tx1"/>
            </w14:solidFill>
          </w14:textFill>
        </w:rPr>
        <w:t xml:space="preserve">注：上述标准若有更新或替代，以最新的国家标准为准。</w:t>
      </w:r>
      <w:r>
        <w:rPr>
          <w:highlight w:val="none"/>
        </w:rPr>
      </w:r>
    </w:p>
    <w:p>
      <w:pPr>
        <w:jc w:val="left"/>
        <w:keepLines w:val="0"/>
        <w:keepNext w:val="0"/>
        <w:pageBreakBefore w:val="0"/>
        <w:spacing w:line="480" w:lineRule="exact"/>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产品参数要求</w:t>
      </w:r>
      <w:r>
        <w:rPr>
          <w:rFonts w:hint="eastAsia" w:ascii="仿宋" w:hAnsi="仿宋" w:eastAsia="仿宋" w:cs="仿宋"/>
          <w:b/>
          <w:bCs/>
          <w:sz w:val="24"/>
          <w:szCs w:val="24"/>
          <w:highlight w:val="none"/>
          <w:lang w:val="en-US" w:eastAsia="zh-CN"/>
        </w:rPr>
        <w:t xml:space="preserve">如下</w:t>
      </w:r>
      <w:r>
        <w:rPr>
          <w:highlight w:val="none"/>
        </w:rPr>
      </w:r>
    </w:p>
    <w:p>
      <w:pPr>
        <w:keepLines w:val="0"/>
        <w:keepNext w:val="0"/>
        <w:pageBreakBefore w:val="0"/>
        <w:spacing w:line="48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1.课桌椅（蓝色）（各部分细节须与学校确认后再供货）</w:t>
      </w:r>
      <w:r>
        <w:rPr>
          <w:highlight w:val="none"/>
        </w:rPr>
      </w:r>
    </w:p>
    <w:p>
      <w:pPr>
        <w:pStyle w:val="684"/>
        <w:keepLines w:val="0"/>
        <w:keepNext w:val="0"/>
        <w:pageBreakBefore w:val="0"/>
        <w:spacing w:line="48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课桌：规格参数</w:t>
      </w:r>
      <w:r>
        <w:rPr>
          <w:highlight w:val="none"/>
        </w:rPr>
      </w:r>
    </w:p>
    <w:p>
      <w:pPr>
        <w:pStyle w:val="684"/>
        <w:jc w:val="left"/>
        <w:keepLines w:val="0"/>
        <w:keepNext w:val="0"/>
        <w:pageBreakBefore w:val="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（1）桌子尺寸：长650(mm)×宽450(mm)×高660</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780mm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注</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高度可调节</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可按学生实际需要调节</w:t>
      </w:r>
      <w:r>
        <w:rPr>
          <w:rFonts w:hint="eastAsia" w:ascii="仿宋" w:hAnsi="仿宋" w:eastAsia="仿宋" w:cs="仿宋"/>
          <w:sz w:val="24"/>
          <w:szCs w:val="24"/>
          <w:highlight w:val="none"/>
          <w:lang w:eastAsia="zh-CN"/>
        </w:rPr>
        <w:t xml:space="preserve">）</w:t>
      </w:r>
      <w:r>
        <w:rPr>
          <w:highlight w:val="none"/>
        </w:rPr>
      </w:r>
    </w:p>
    <w:p>
      <w:pPr>
        <w:pStyle w:val="684"/>
        <w:jc w:val="left"/>
        <w:keepLines w:val="0"/>
        <w:keepNext w:val="0"/>
        <w:pageBreakBefore w:val="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（2）桌面：材质：采用一级全新ABS塑料新料，一体注塑成型</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需采用环保耐冲击塑料一级新料一体注塑成型。耐冲击强度：须能承受5磅榔头重力锤击不得破裂。不得采用回收料生产。前端设置长条状铅笔槽长度405mm，面板前端设置一冂字型防滑落凸条，延伸至桌面左右两侧，总长度1000mm，凹陷3mm，面板底部有</w:t>
      </w:r>
      <w:r>
        <w:rPr>
          <w:rFonts w:hint="eastAsia" w:ascii="仿宋" w:hAnsi="仿宋" w:eastAsia="仿宋" w:cs="仿宋"/>
          <w:sz w:val="24"/>
          <w:szCs w:val="24"/>
          <w:highlight w:val="none"/>
          <w:lang w:eastAsia="zh-CN"/>
        </w:rPr>
        <w:t xml:space="preserve">强</w:t>
      </w:r>
      <w:r>
        <w:rPr>
          <w:rFonts w:hint="eastAsia" w:ascii="仿宋" w:hAnsi="仿宋" w:eastAsia="仿宋" w:cs="仿宋"/>
          <w:sz w:val="24"/>
          <w:szCs w:val="24"/>
          <w:highlight w:val="none"/>
        </w:rPr>
        <w:t xml:space="preserve">化承重之设计。锁入1根承重方型钢管，并与面板底部平齐。尺寸规格为15mm×30mm×壁厚1.2mm。由螺丝锁</w:t>
      </w:r>
      <w:r>
        <w:rPr>
          <w:rFonts w:hint="eastAsia" w:ascii="仿宋" w:hAnsi="仿宋" w:eastAsia="仿宋" w:cs="仿宋"/>
          <w:sz w:val="24"/>
          <w:szCs w:val="24"/>
          <w:highlight w:val="none"/>
          <w:lang w:eastAsia="zh-CN"/>
        </w:rPr>
        <w:t xml:space="preserve">固</w:t>
      </w:r>
      <w:r>
        <w:rPr>
          <w:rFonts w:hint="eastAsia" w:ascii="仿宋" w:hAnsi="仿宋" w:eastAsia="仿宋" w:cs="仿宋"/>
          <w:sz w:val="24"/>
          <w:szCs w:val="24"/>
          <w:highlight w:val="none"/>
        </w:rPr>
        <w:t xml:space="preserve">于面板底部。</w:t>
      </w:r>
      <w:r>
        <w:rPr>
          <w:highlight w:val="none"/>
        </w:rPr>
      </w:r>
    </w:p>
    <w:p>
      <w:pPr>
        <w:pStyle w:val="684"/>
        <w:jc w:val="left"/>
        <w:keepLines w:val="0"/>
        <w:keepNext w:val="0"/>
        <w:pageBreakBefore w:val="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（3）屉箱： 材质</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必须采用一级全新PP塑料，一体注塑成型。抗压、耐磨、耐冲击。尺寸：外径尺寸长515mm*深度378mm*高度150mm±5mm，抽屉靠学生侧外沿有一圈采用开口倾斜设计，便于学生更好</w:t>
      </w:r>
      <w:r>
        <w:rPr>
          <w:rFonts w:hint="eastAsia" w:ascii="仿宋" w:hAnsi="仿宋" w:eastAsia="仿宋" w:cs="仿宋"/>
          <w:sz w:val="24"/>
          <w:szCs w:val="24"/>
          <w:highlight w:val="none"/>
          <w:lang w:eastAsia="zh-CN"/>
        </w:rPr>
        <w:t xml:space="preserve">地</w:t>
      </w:r>
      <w:r>
        <w:rPr>
          <w:rFonts w:hint="eastAsia" w:ascii="仿宋" w:hAnsi="仿宋" w:eastAsia="仿宋" w:cs="仿宋"/>
          <w:sz w:val="24"/>
          <w:szCs w:val="24"/>
          <w:highlight w:val="none"/>
        </w:rPr>
        <w:t xml:space="preserve">取用书籍。抽屉底部外沿往内设计有宽度25mm*长度420mm文具储物盒，功能：储存文具最大化收纳分类，方便学生放置文具小物品。底部中间不少于20条纵向圆柱条纹状加强条，防止物品滑动产生噪音，底部设有2个5mm小孔以便排水。</w:t>
      </w:r>
      <w:r>
        <w:rPr>
          <w:highlight w:val="none"/>
        </w:rPr>
      </w:r>
    </w:p>
    <w:p>
      <w:pPr>
        <w:pStyle w:val="684"/>
        <w:keepLines w:val="0"/>
        <w:keepNext w:val="0"/>
        <w:pageBreakBefore w:val="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桌腿/桌脚：材质及形状：扁圆形钢管。焊接全为满焊。尺寸：外管37*74*1.2mm扁圆冷轧钢管，内管27*64*1.2mm扁圆冷轧钢管，桌底脚采用37*74*1.2mm扁圆冷轧钢管，桌斗固定管采用20*40*1.2mm扁圆管U型弯管而成，弯管不得有凹槽钢管需圆满，连接横档采用25*54*1.2mm扁圆冷轧钢管。表面涂装：焊接完成之钢管架，经高温粉体烤漆。附着力特强，长时间使用也不会产生表面漆剥落现象，颜色为驼灰色。桌脚两端配置塑料外套，具备防滑、防移动从而避免产生噪音或刮伤地板板面的功能。</w:t>
      </w:r>
      <w:r>
        <w:rPr>
          <w:highlight w:val="none"/>
        </w:rPr>
      </w:r>
    </w:p>
    <w:p>
      <w:pPr>
        <w:pStyle w:val="684"/>
        <w:jc w:val="left"/>
        <w:keepLines w:val="0"/>
        <w:keepNext w:val="0"/>
        <w:pageBreakBefore w:val="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（5）挂钩：屉箱两侧装有安全挂钩，Pp材料一次成型，承重≥25KG。方便学生挂书包或学习用品袋。</w:t>
      </w:r>
      <w:r>
        <w:rPr>
          <w:highlight w:val="none"/>
        </w:rPr>
      </w:r>
    </w:p>
    <w:p>
      <w:pPr>
        <w:pStyle w:val="684"/>
        <w:jc w:val="left"/>
        <w:keepLines w:val="0"/>
        <w:keepNext w:val="0"/>
        <w:pageBreakBefore w:val="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6）外观：表面没有裂纹、破损、明显修补痕迹、明显色差等缺陷；边缘平整圆滑，无分层；内表面应整洁；外表和内表以及手指可触及的隐蔽处没有锐利的棱角、毛刺。各焊缝不应有漏焊、烧穿、裂纹、气孔、夹渣、未焊透及严重咬边等缺陷，无明显焊瘤、熔渣。使用者能接触到的部件开口端或管口有盖帽或</w:t>
      </w:r>
      <w:r>
        <w:rPr>
          <w:rFonts w:hint="eastAsia" w:ascii="仿宋" w:hAnsi="仿宋" w:eastAsia="仿宋" w:cs="仿宋"/>
          <w:sz w:val="24"/>
          <w:szCs w:val="24"/>
          <w:highlight w:val="none"/>
          <w:lang w:eastAsia="zh-CN"/>
        </w:rPr>
        <w:t xml:space="preserve">其他形式的</w:t>
      </w:r>
      <w:r>
        <w:rPr>
          <w:rFonts w:hint="eastAsia" w:ascii="仿宋" w:hAnsi="仿宋" w:eastAsia="仿宋" w:cs="仿宋"/>
          <w:sz w:val="24"/>
          <w:szCs w:val="24"/>
          <w:highlight w:val="none"/>
        </w:rPr>
        <w:t xml:space="preserve">闭合设计。</w:t>
      </w:r>
      <w:r>
        <w:rPr>
          <w:highlight w:val="none"/>
        </w:rPr>
      </w:r>
    </w:p>
    <w:p>
      <w:pPr>
        <w:pStyle w:val="684"/>
        <w:jc w:val="left"/>
        <w:keepLines w:val="0"/>
        <w:keepNext w:val="0"/>
        <w:pageBreakBefore w:val="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（7）涂装：外露金属件表面喷塑前进行喷丸除锈后磷化处理，静电喷塑，涂层与金属表面的附着力强，不易腐蚀和脱落。涂装件不得有明显的气泡、流痕、漏底、皱皮和</w:t>
      </w:r>
      <w:r>
        <w:rPr>
          <w:rFonts w:hint="eastAsia" w:ascii="仿宋" w:hAnsi="仿宋" w:eastAsia="仿宋" w:cs="仿宋"/>
          <w:sz w:val="24"/>
          <w:szCs w:val="24"/>
          <w:highlight w:val="none"/>
          <w:lang w:eastAsia="zh-CN"/>
        </w:rPr>
        <w:t xml:space="preserve">其他</w:t>
      </w:r>
      <w:r>
        <w:rPr>
          <w:rFonts w:hint="eastAsia" w:ascii="仿宋" w:hAnsi="仿宋" w:eastAsia="仿宋" w:cs="仿宋"/>
          <w:sz w:val="24"/>
          <w:szCs w:val="24"/>
          <w:highlight w:val="none"/>
        </w:rPr>
        <w:t xml:space="preserve">损伤。塑粉要求用环保聚氨酯塑粉（户外型抗紫外线</w:t>
      </w:r>
      <w:r>
        <w:rPr>
          <w:rFonts w:hint="eastAsia" w:ascii="仿宋" w:hAnsi="仿宋" w:eastAsia="仿宋" w:cs="仿宋"/>
          <w:sz w:val="24"/>
          <w:szCs w:val="24"/>
          <w:highlight w:val="none"/>
          <w:lang w:eastAsia="zh-CN"/>
        </w:rPr>
        <w:t xml:space="preserve">Ⅱ级</w:t>
      </w:r>
      <w:r>
        <w:rPr>
          <w:rFonts w:hint="eastAsia" w:ascii="仿宋" w:hAnsi="仿宋" w:eastAsia="仿宋" w:cs="仿宋"/>
          <w:sz w:val="24"/>
          <w:szCs w:val="24"/>
          <w:highlight w:val="none"/>
        </w:rPr>
        <w:t xml:space="preserve">）。</w:t>
      </w:r>
      <w:r>
        <w:rPr>
          <w:highlight w:val="none"/>
        </w:rPr>
      </w:r>
    </w:p>
    <w:p>
      <w:pPr>
        <w:pStyle w:val="684"/>
        <w:jc w:val="left"/>
        <w:keepLines w:val="0"/>
        <w:keepNext w:val="0"/>
        <w:pageBreakBefore w:val="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（8）零部件安装</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各种零部件安装严密、平整、牢固，各结合处紧密、平整，无明显间缝。</w:t>
      </w:r>
      <w:r>
        <w:rPr>
          <w:highlight w:val="none"/>
        </w:rPr>
      </w:r>
    </w:p>
    <w:p>
      <w:pPr>
        <w:pStyle w:val="684"/>
        <w:keepLines w:val="0"/>
        <w:keepNext w:val="0"/>
        <w:pageBreakBefore w:val="0"/>
        <w:spacing w:line="48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椅子：规格参数</w:t>
      </w:r>
      <w:r>
        <w:rPr>
          <w:highlight w:val="none"/>
        </w:rPr>
      </w:r>
    </w:p>
    <w:p>
      <w:pPr>
        <w:pStyle w:val="684"/>
        <w:keepLines w:val="0"/>
        <w:keepNext w:val="0"/>
        <w:pageBreakBefore w:val="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（1）椅子尺寸</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升降尺寸360</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460mm。</w:t>
      </w:r>
      <w:r>
        <w:rPr>
          <w:highlight w:val="none"/>
        </w:rPr>
      </w:r>
    </w:p>
    <w:p>
      <w:pPr>
        <w:pStyle w:val="684"/>
        <w:jc w:val="left"/>
        <w:keepLines w:val="0"/>
        <w:keepNext w:val="0"/>
        <w:pageBreakBefore w:val="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（2）坐板、靠背</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坐板、靠背采用环保PP塑料，根据人体脊椎学原理一次注塑而成。椅面尺寸≥415*360 mm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坐板有两列十条透气网，能有效缓解学生</w:t>
      </w:r>
      <w:r>
        <w:rPr>
          <w:rFonts w:hint="eastAsia" w:ascii="仿宋" w:hAnsi="仿宋" w:eastAsia="仿宋" w:cs="仿宋"/>
          <w:sz w:val="24"/>
          <w:szCs w:val="24"/>
          <w:highlight w:val="none"/>
          <w:lang w:eastAsia="zh-CN"/>
        </w:rPr>
        <w:t xml:space="preserve">坐姿</w:t>
      </w:r>
      <w:r>
        <w:rPr>
          <w:rFonts w:hint="eastAsia" w:ascii="仿宋" w:hAnsi="仿宋" w:eastAsia="仿宋" w:cs="仿宋"/>
          <w:sz w:val="24"/>
          <w:szCs w:val="24"/>
          <w:highlight w:val="none"/>
        </w:rPr>
        <w:t xml:space="preserve">疲劳，集中学生听课注意力，表面采用</w:t>
      </w:r>
      <w:r>
        <w:rPr>
          <w:rFonts w:hint="eastAsia" w:ascii="仿宋" w:hAnsi="仿宋" w:eastAsia="仿宋" w:cs="仿宋"/>
          <w:sz w:val="24"/>
          <w:szCs w:val="24"/>
          <w:highlight w:val="none"/>
          <w:lang w:eastAsia="zh-CN"/>
        </w:rPr>
        <w:t xml:space="preserve">磨砂</w:t>
      </w:r>
      <w:r>
        <w:rPr>
          <w:rFonts w:hint="eastAsia" w:ascii="仿宋" w:hAnsi="仿宋" w:eastAsia="仿宋" w:cs="仿宋"/>
          <w:sz w:val="24"/>
          <w:szCs w:val="24"/>
          <w:highlight w:val="none"/>
        </w:rPr>
        <w:t xml:space="preserve">处理，表面纹路清晰，美观大方，坐板和椅子铁件连接部分不外露，靠背尺寸≥393*265 mm ，六条透气网，椭圆形把手圈。</w:t>
      </w:r>
      <w:r>
        <w:rPr>
          <w:highlight w:val="none"/>
        </w:rPr>
      </w:r>
    </w:p>
    <w:p>
      <w:pPr>
        <w:pStyle w:val="684"/>
        <w:keepLines w:val="0"/>
        <w:keepNext w:val="0"/>
        <w:pageBreakBefore w:val="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（3）椅腿、靠背管</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材质及形状：椭圆形钢管。焊接全为满焊。尺寸：外管37*74*1.2mm扁圆冷轧钢管，内管27*64*1.2mm扁圆冷轧钢管，椅底脚采用37*74*1.2mm扁圆冷轧钢管，连接横</w:t>
      </w:r>
      <w:r>
        <w:rPr>
          <w:rFonts w:hint="eastAsia" w:ascii="仿宋" w:hAnsi="仿宋" w:eastAsia="仿宋" w:cs="仿宋"/>
          <w:sz w:val="24"/>
          <w:szCs w:val="24"/>
          <w:highlight w:val="none"/>
          <w:lang w:eastAsia="zh-CN"/>
        </w:rPr>
        <w:t xml:space="preserve">挡</w:t>
      </w:r>
      <w:r>
        <w:rPr>
          <w:rFonts w:hint="eastAsia" w:ascii="仿宋" w:hAnsi="仿宋" w:eastAsia="仿宋" w:cs="仿宋"/>
          <w:sz w:val="24"/>
          <w:szCs w:val="24"/>
          <w:highlight w:val="none"/>
        </w:rPr>
        <w:t xml:space="preserve">采用25*54*1.3mm</w:t>
      </w:r>
      <w:r>
        <w:rPr>
          <w:rFonts w:hint="eastAsia" w:ascii="仿宋" w:hAnsi="仿宋" w:eastAsia="仿宋" w:cs="仿宋"/>
          <w:sz w:val="24"/>
          <w:szCs w:val="24"/>
          <w:highlight w:val="none"/>
          <w:lang w:eastAsia="zh-CN"/>
        </w:rPr>
        <w:t xml:space="preserve">座</w:t>
      </w:r>
      <w:r>
        <w:rPr>
          <w:rFonts w:hint="eastAsia" w:ascii="仿宋" w:hAnsi="仿宋" w:eastAsia="仿宋" w:cs="仿宋"/>
          <w:sz w:val="24"/>
          <w:szCs w:val="24"/>
          <w:highlight w:val="none"/>
        </w:rPr>
        <w:t xml:space="preserve">板下面加两根20*20*1.3方管使其更加牢固经自动弯管机弯曲成型靠背管采用≥15*30mm*厚1.5mm扁圆管。塑料置物篮：290×360mmm，高度100mm。左右各1个U型扣，分别用4枚螺丝固定，增加学生的储物空间。椅脚两端配置塑料外套，具备防滑、防移动从而避免产生噪音或刮伤地板板面的功能。椅腿和椅脚</w:t>
      </w:r>
      <w:r>
        <w:rPr>
          <w:rFonts w:hint="eastAsia" w:ascii="仿宋" w:hAnsi="仿宋" w:eastAsia="仿宋" w:cs="仿宋"/>
          <w:sz w:val="24"/>
          <w:szCs w:val="24"/>
          <w:highlight w:val="none"/>
          <w:lang w:eastAsia="zh-CN"/>
        </w:rPr>
        <w:t xml:space="preserve">呈</w:t>
      </w:r>
      <w:r>
        <w:rPr>
          <w:rFonts w:hint="eastAsia" w:ascii="仿宋" w:hAnsi="仿宋" w:eastAsia="仿宋" w:cs="仿宋"/>
          <w:sz w:val="24"/>
          <w:szCs w:val="24"/>
          <w:highlight w:val="none"/>
        </w:rPr>
        <w:t xml:space="preserve">直角焊接，牢固可靠。正常使用过程中，使用者接触到的部位无锐边、尖角、毛刺和翘边。</w:t>
      </w:r>
      <w:r>
        <w:rPr>
          <w:highlight w:val="none"/>
        </w:rPr>
      </w:r>
    </w:p>
    <w:p>
      <w:pPr>
        <w:pStyle w:val="684"/>
        <w:keepLines w:val="0"/>
        <w:keepNext w:val="0"/>
        <w:pageBreakBefore w:val="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（4）外观</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人性化设计，美观大方，边缘平整圆滑。</w:t>
      </w:r>
      <w:r>
        <w:rPr>
          <w:highlight w:val="none"/>
        </w:rPr>
      </w:r>
    </w:p>
    <w:p>
      <w:pPr>
        <w:pStyle w:val="684"/>
        <w:jc w:val="left"/>
        <w:keepLines w:val="0"/>
        <w:keepNext w:val="0"/>
        <w:pageBreakBefore w:val="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（5）着地平稳性</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桌脚着地平稳，无摇摆现象。如遇不平整地面，可通过桌脚自由调节器进行桌脚调整，确保桌面平衡。</w:t>
      </w:r>
      <w:r>
        <w:rPr>
          <w:highlight w:val="none"/>
        </w:rPr>
      </w:r>
    </w:p>
    <w:p>
      <w:pPr>
        <w:pStyle w:val="684"/>
        <w:jc w:val="left"/>
        <w:keepLines w:val="0"/>
        <w:keepNext w:val="0"/>
        <w:pageBreakBefore w:val="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（6）涂装</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桌腿、桌脚</w:t>
      </w:r>
      <w:r>
        <w:rPr>
          <w:rFonts w:hint="eastAsia" w:ascii="仿宋" w:hAnsi="仿宋" w:eastAsia="仿宋" w:cs="仿宋"/>
          <w:sz w:val="24"/>
          <w:szCs w:val="24"/>
          <w:highlight w:val="none"/>
          <w:lang w:eastAsia="zh-CN"/>
        </w:rPr>
        <w:t xml:space="preserve">等</w:t>
      </w:r>
      <w:r>
        <w:rPr>
          <w:rFonts w:hint="eastAsia" w:ascii="仿宋" w:hAnsi="仿宋" w:eastAsia="仿宋" w:cs="仿宋"/>
          <w:sz w:val="24"/>
          <w:szCs w:val="24"/>
          <w:highlight w:val="none"/>
        </w:rPr>
        <w:t xml:space="preserve">金属部件经过先进喷丸工艺处理和静电喷塑，使涂层与金属表面的附着力更强，不易腐蚀，不易脱落，课桌椅颜色以图片为准不能任意更改。</w:t>
      </w:r>
      <w:r>
        <w:rPr>
          <w:highlight w:val="none"/>
        </w:rPr>
      </w:r>
    </w:p>
    <w:p>
      <w:pPr>
        <w:pStyle w:val="684"/>
        <w:keepLines w:val="0"/>
        <w:keepNext w:val="0"/>
        <w:pageBreakBefore w:val="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（7）零部件安装</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各种零部件安装严密、平整、牢固，各结合处紧密、平整，无明显间缝。</w:t>
      </w:r>
      <w:r>
        <w:rPr>
          <w:highlight w:val="none"/>
        </w:rPr>
      </w:r>
    </w:p>
    <w:p>
      <w:pPr>
        <w:pStyle w:val="685"/>
        <w:rPr>
          <w:rFonts w:hint="eastAsia"/>
          <w:highlight w:val="none"/>
        </w:rPr>
      </w:pPr>
      <w:r>
        <w:rPr>
          <w:rFonts w:hint="eastAsia"/>
          <w:highlight w:val="none"/>
        </w:rPr>
      </w:r>
      <w:r>
        <w:rPr>
          <w:highlight w:val="none"/>
        </w:rPr>
      </w:r>
    </w:p>
    <w:p>
      <w:pPr>
        <w:pStyle w:val="684"/>
        <w:jc w:val="center"/>
        <w:keepLines w:val="0"/>
        <w:keepNext w:val="0"/>
        <w:pageBreakBefore w:val="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课桌椅（蓝色）参考图片</w:t>
      </w:r>
      <w:r>
        <w:rPr>
          <w:highlight w:val="none"/>
        </w:rPr>
      </w:r>
    </w:p>
    <w:p>
      <w:pPr>
        <w:pStyle w:val="685"/>
        <w:rPr>
          <w:highlight w:val="none"/>
        </w:rPr>
      </w:pPr>
      <w:r>
        <w:rPr>
          <w:highlight w:val="none"/>
        </w:rPr>
      </w:r>
      <w:r>
        <w:rPr>
          <w:highlight w:val="none"/>
        </w:rPr>
      </w:r>
    </w:p>
    <w:p>
      <w:pPr>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rPr>
        <mc:AlternateContent>
          <mc:Choice Requires="wpg">
            <w:drawing>
              <wp:inline xmlns:wp="http://schemas.openxmlformats.org/drawingml/2006/wordprocessingDrawing" distT="0" distB="0" distL="0" distR="0">
                <wp:extent cx="1891665" cy="2176145"/>
                <wp:effectExtent l="0" t="0" r="13335" b="14604"/>
                <wp:docPr id="3" name="图片 7" descr="f0fc944d08504ce20edf13633654df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descr="f0fc944d08504ce20edf13633654df43"/>
                        <pic:cNvPicPr>
                          <a:picLocks noChangeAspect="1"/>
                        </pic:cNvPicPr>
                        <pic:nvPr/>
                      </pic:nvPicPr>
                      <pic:blipFill>
                        <a:blip r:embed="rId13"/>
                        <a:stretch/>
                      </pic:blipFill>
                      <pic:spPr bwMode="auto">
                        <a:xfrm>
                          <a:off x="0" y="0"/>
                          <a:ext cx="1891665" cy="21761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8.9pt;height:171.3pt;mso-wrap-distance-left:0.0pt;mso-wrap-distance-top:0.0pt;mso-wrap-distance-right:0.0pt;mso-wrap-distance-bottom:0.0pt;" stroked="false">
                <v:path textboxrect="0,0,0,0"/>
                <v:imagedata r:id="rId13" o:title=""/>
              </v:shape>
            </w:pict>
          </mc:Fallback>
        </mc:AlternateContent>
      </w:r>
      <w:r>
        <w:rPr>
          <w:rFonts w:hint="eastAsia" w:asciiTheme="minorEastAsia" w:hAnsiTheme="minorEastAsia" w:eastAsiaTheme="minorEastAsia" w:cstheme="minorEastAsia"/>
          <w:sz w:val="24"/>
          <w:szCs w:val="24"/>
          <w:highlight w:val="none"/>
        </w:rPr>
        <w:t xml:space="preserve">   </w:t>
      </w:r>
      <w:r>
        <w:rPr>
          <w:rFonts w:asciiTheme="minorEastAsia" w:hAnsiTheme="minorEastAsia" w:eastAsiaTheme="minorEastAsia" w:cstheme="minorEastAsia"/>
          <w:sz w:val="24"/>
          <w:szCs w:val="24"/>
          <w:highlight w:val="none"/>
        </w:rPr>
        <mc:AlternateContent>
          <mc:Choice Requires="wpg">
            <w:drawing>
              <wp:inline xmlns:wp="http://schemas.openxmlformats.org/drawingml/2006/wordprocessingDrawing" distT="0" distB="0" distL="0" distR="0">
                <wp:extent cx="1818640" cy="2200910"/>
                <wp:effectExtent l="0" t="0" r="10160" b="8890"/>
                <wp:docPr id="4" name="图片 8" descr="9fa0391ae76abfb009d97d4674610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8" descr="9fa0391ae76abfb009d97d4674610971"/>
                        <pic:cNvPicPr>
                          <a:picLocks noChangeAspect="1"/>
                        </pic:cNvPicPr>
                        <pic:nvPr/>
                      </pic:nvPicPr>
                      <pic:blipFill>
                        <a:blip r:embed="rId14"/>
                        <a:stretch/>
                      </pic:blipFill>
                      <pic:spPr bwMode="auto">
                        <a:xfrm>
                          <a:off x="0" y="0"/>
                          <a:ext cx="1818640" cy="22009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43.2pt;height:173.3pt;mso-wrap-distance-left:0.0pt;mso-wrap-distance-top:0.0pt;mso-wrap-distance-right:0.0pt;mso-wrap-distance-bottom:0.0pt;" stroked="false">
                <v:path textboxrect="0,0,0,0"/>
                <v:imagedata r:id="rId14" o:title=""/>
              </v:shape>
            </w:pict>
          </mc:Fallback>
        </mc:AlternateContent>
      </w:r>
      <w:r>
        <w:rPr>
          <w:highlight w:val="none"/>
        </w:rPr>
      </w:r>
    </w:p>
    <w:p>
      <w:pPr>
        <w:pStyle w:val="684"/>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rPr>
          <w:highlight w:val="none"/>
        </w:rPr>
      </w:r>
    </w:p>
    <w:p>
      <w:pP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rPr>
          <w:highlight w:val="none"/>
        </w:rPr>
      </w:r>
    </w:p>
    <w:p>
      <w:pPr>
        <w:keepLines w:val="0"/>
        <w:keepNext w:val="0"/>
        <w:pageBreakBefore w:val="0"/>
        <w:spacing w:line="48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2.理化生实验室凳子（各部分细节须与学校确认后再供货）</w:t>
      </w:r>
      <w:r>
        <w:rPr>
          <w:highlight w:val="none"/>
        </w:rPr>
      </w:r>
    </w:p>
    <w:p>
      <w:pPr>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规格：≥Φ320*450</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500mm</w:t>
      </w:r>
      <w:r>
        <w:rPr>
          <w:highlight w:val="none"/>
        </w:rPr>
      </w:r>
    </w:p>
    <w:p>
      <w:pPr>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凳面：采用双色圆形面板，面板采用PP材料一体注塑成型，面板直径≥320mm，厚度≥4mm；中间有内弧造型，深度≥5mm，表面防滑不发光，凳面中间镶嵌有≥3mm厚，直径≥280mm的PP材料一体注塑成型的圆形面板，并采用榫卯连接结构与凳面组合，表面平整、无凹凸，整体协调、美观。</w:t>
      </w:r>
      <w:r>
        <w:rPr>
          <w:highlight w:val="none"/>
        </w:rPr>
      </w:r>
    </w:p>
    <w:p>
      <w:pPr>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2.凳脚材质及形状：椭圆形无缝钢管，尺寸</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≥20×40×1.2mm。凳脚配置塑料外套，具备防滑、防移动从而避免产生噪音或刮伤地板板面的功能。</w:t>
      </w:r>
      <w:r>
        <w:rPr>
          <w:highlight w:val="none"/>
        </w:rPr>
      </w:r>
    </w:p>
    <w:p>
      <w:pPr>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3.全圆满焊接完成，结构牢固，经高温粉体烤漆处理，长时间使用也不会产生表面烤漆剥落现象。</w:t>
      </w:r>
      <w:r>
        <w:rPr>
          <w:highlight w:val="none"/>
        </w:rPr>
      </w:r>
    </w:p>
    <w:p>
      <w:pPr>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4.脚垫材质：采用PP加耐磨纤维质材料。</w:t>
      </w:r>
      <w:r>
        <w:rPr>
          <w:highlight w:val="none"/>
        </w:rPr>
      </w:r>
    </w:p>
    <w:p>
      <w:pPr>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5.实验凳由螺旋螺杆带动升降，升降范围为450mm</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500mm。</w:t>
      </w:r>
      <w:r>
        <w:rPr>
          <w:highlight w:val="none"/>
        </w:rPr>
      </w:r>
    </w:p>
    <w:p>
      <w:pPr>
        <w:pStyle w:val="684"/>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6.零部件安装</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各种零部件安装严密、平整、牢固，各结合处紧密、平整，无明显间缝。</w:t>
      </w:r>
      <w:r>
        <w:rPr>
          <w:highlight w:val="none"/>
        </w:rPr>
      </w:r>
    </w:p>
    <w:p>
      <w:pPr>
        <w:pStyle w:val="684"/>
        <w:jc w:val="center"/>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理化生实验室凳子参考图片</w:t>
      </w:r>
      <w:r>
        <w:rPr>
          <w:highlight w:val="none"/>
        </w:rPr>
      </w:r>
    </w:p>
    <w:p>
      <w:pPr>
        <w:pStyle w:val="685"/>
        <w:rPr>
          <w:rFonts w:hint="eastAsia"/>
          <w:highlight w:val="none"/>
        </w:rPr>
      </w:pPr>
      <w:r>
        <w:rPr>
          <w:rFonts w:hint="eastAsia"/>
          <w:highlight w:val="none"/>
        </w:rPr>
      </w:r>
      <w:r>
        <w:rPr>
          <w:highlight w:val="none"/>
        </w:rPr>
      </w:r>
    </w:p>
    <w:p>
      <w:pPr>
        <w:jc w:val="center"/>
        <w:rPr>
          <w:rFonts w:asciiTheme="minorEastAsia" w:hAnsiTheme="minorEastAsia" w:cstheme="minorEastAsia"/>
          <w:b/>
          <w:bCs/>
          <w:sz w:val="28"/>
          <w:szCs w:val="36"/>
          <w:highlight w:val="none"/>
        </w:rPr>
      </w:pPr>
      <w:r>
        <w:rPr>
          <w:highlight w:val="none"/>
        </w:rPr>
        <mc:AlternateContent>
          <mc:Choice Requires="wpg">
            <w:drawing>
              <wp:inline xmlns:wp="http://schemas.openxmlformats.org/drawingml/2006/wordprocessingDrawing" distT="0" distB="0" distL="0" distR="0">
                <wp:extent cx="1704975" cy="1803400"/>
                <wp:effectExtent l="0" t="0" r="9525" b="6350"/>
                <wp:docPr id="5" name="图片 4" descr="c9966a7679f43737e2ff2303317ed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c9966a7679f43737e2ff2303317ed702"/>
                        <pic:cNvPicPr>
                          <a:picLocks noChangeAspect="1"/>
                        </pic:cNvPicPr>
                        <pic:nvPr/>
                      </pic:nvPicPr>
                      <pic:blipFill>
                        <a:blip r:embed="rId15"/>
                        <a:stretch/>
                      </pic:blipFill>
                      <pic:spPr bwMode="auto">
                        <a:xfrm>
                          <a:off x="0" y="0"/>
                          <a:ext cx="1704975" cy="18034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4.2pt;height:142.0pt;mso-wrap-distance-left:0.0pt;mso-wrap-distance-top:0.0pt;mso-wrap-distance-right:0.0pt;mso-wrap-distance-bottom:0.0pt;" stroked="false">
                <v:path textboxrect="0,0,0,0"/>
                <v:imagedata r:id="rId15" o:title=""/>
              </v:shape>
            </w:pict>
          </mc:Fallback>
        </mc:AlternateContent>
      </w:r>
      <w:r>
        <w:rPr>
          <w:highlight w:val="none"/>
        </w:rPr>
      </w:r>
    </w:p>
    <w:p>
      <w:pP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rPr>
          <w:highlight w:val="none"/>
        </w:rPr>
      </w:r>
    </w:p>
    <w:p>
      <w:pPr>
        <w:keepLines w:val="0"/>
        <w:keepNext w:val="0"/>
        <w:pageBreakBefore w:val="0"/>
        <w:spacing w:line="48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rPr>
          <w:highlight w:val="none"/>
        </w:rPr>
      </w:r>
    </w:p>
    <w:p>
      <w:pPr>
        <w:keepLines w:val="0"/>
        <w:keepNext w:val="0"/>
        <w:pageBreakBefore w:val="0"/>
        <w:spacing w:line="48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3.音乐教室凳子（各部分细节须与学校确认后再供货）</w:t>
      </w:r>
      <w:r>
        <w:rPr>
          <w:highlight w:val="none"/>
        </w:rPr>
      </w:r>
    </w:p>
    <w:p>
      <w:pPr>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（1）材质：12mm厚E1级高密度纳米生态板、带ABS包边材料、硬质包角钉制；</w:t>
      </w:r>
      <w:r>
        <w:rPr>
          <w:highlight w:val="none"/>
        </w:rPr>
      </w:r>
    </w:p>
    <w:p>
      <w:pPr>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（2）尺寸：≥ 250 x 300 x 400mm含护角部分；</w:t>
      </w:r>
      <w:r>
        <w:rPr>
          <w:highlight w:val="none"/>
        </w:rPr>
      </w:r>
    </w:p>
    <w:p>
      <w:pPr>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（3）结构：正方体凳，六面色彩多样化。共8个护角，护角为硬质塑料制成，防滑；</w:t>
      </w:r>
      <w:r>
        <w:rPr>
          <w:highlight w:val="none"/>
        </w:rPr>
      </w:r>
    </w:p>
    <w:p>
      <w:pPr>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（4）零部件安装</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各种零部件安装严密、平整、牢固，各结合处紧密、平整，无明显间缝；</w:t>
      </w:r>
      <w:r>
        <w:rPr>
          <w:highlight w:val="none"/>
        </w:rPr>
      </w:r>
    </w:p>
    <w:p>
      <w:pPr>
        <w:keepLines w:val="0"/>
        <w:keepNext w:val="0"/>
        <w:pageBreakBefore w:val="0"/>
        <w:spacing w:line="480" w:lineRule="exact"/>
        <w:widowControl w:val="off"/>
        <w:rPr>
          <w:rFonts w:hint="eastAsia"/>
          <w:highlight w:val="none"/>
        </w:rPr>
      </w:pPr>
      <w:r>
        <w:rPr>
          <w:rFonts w:hint="eastAsia" w:ascii="仿宋" w:hAnsi="仿宋" w:eastAsia="仿宋" w:cs="仿宋"/>
          <w:sz w:val="24"/>
          <w:szCs w:val="24"/>
          <w:highlight w:val="none"/>
        </w:rPr>
        <w:t xml:space="preserve">（5）其他要求：产品须符合2级力学性能要求。</w:t>
      </w:r>
      <w:r>
        <w:rPr>
          <w:highlight w:val="none"/>
        </w:rPr>
      </w:r>
    </w:p>
    <w:p>
      <w:pP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br w:type="page" w:clear="all"/>
      </w:r>
      <w:r>
        <w:rPr>
          <w:highlight w:val="none"/>
        </w:rPr>
      </w:r>
    </w:p>
    <w:p>
      <w:pPr>
        <w:pStyle w:val="709"/>
        <w:jc w:val="center"/>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音乐</w:t>
      </w:r>
      <w:r>
        <w:rPr>
          <w:rFonts w:hint="eastAsia" w:ascii="仿宋" w:hAnsi="仿宋" w:eastAsia="仿宋" w:cs="仿宋"/>
          <w:sz w:val="24"/>
          <w:szCs w:val="24"/>
          <w:highlight w:val="none"/>
        </w:rPr>
        <w:t xml:space="preserve">教室凳子</w:t>
      </w:r>
      <w:r>
        <w:rPr>
          <w:rFonts w:hint="eastAsia" w:ascii="仿宋" w:hAnsi="仿宋" w:eastAsia="仿宋" w:cs="仿宋"/>
          <w:sz w:val="24"/>
          <w:szCs w:val="24"/>
          <w:highlight w:val="none"/>
          <w:lang w:eastAsia="zh-CN"/>
        </w:rPr>
        <w:t xml:space="preserve">参考图片</w:t>
      </w:r>
      <w:r>
        <w:rPr>
          <w:highlight w:val="none"/>
        </w:rPr>
      </w:r>
    </w:p>
    <w:p>
      <w:pPr>
        <w:pStyle w:val="709"/>
        <w:jc w:val="center"/>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r>
      <w:r>
        <w:rPr>
          <w:highlight w:val="none"/>
        </w:rPr>
      </w:r>
    </w:p>
    <w:p>
      <w:pPr>
        <w:pStyle w:val="685"/>
        <w:jc w:val="center"/>
        <w:rPr>
          <w:rFonts w:hint="eastAsia" w:ascii="仿宋" w:hAnsi="仿宋" w:eastAsia="仿宋" w:cs="仿宋"/>
          <w:b/>
          <w:bCs/>
          <w:sz w:val="24"/>
          <w:szCs w:val="32"/>
          <w:highlight w:val="none"/>
        </w:rPr>
      </w:pPr>
      <w:r>
        <w:rPr>
          <w:rFonts w:hint="eastAsia"/>
          <w:highlight w:val="none"/>
        </w:rPr>
        <mc:AlternateContent>
          <mc:Choice Requires="wpg">
            <w:drawing>
              <wp:inline xmlns:wp="http://schemas.openxmlformats.org/drawingml/2006/wordprocessingDrawing" distT="0" distB="0" distL="0" distR="0">
                <wp:extent cx="1924050" cy="1989455"/>
                <wp:effectExtent l="0" t="0" r="0" b="10795"/>
                <wp:docPr id="6" name="图片 5" descr="7ff3f8955c761f0271c58db3fd553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7ff3f8955c761f0271c58db3fd553684"/>
                        <pic:cNvPicPr>
                          <a:picLocks noChangeAspect="1"/>
                        </pic:cNvPicPr>
                        <pic:nvPr/>
                      </pic:nvPicPr>
                      <pic:blipFill>
                        <a:blip r:embed="rId16"/>
                        <a:stretch/>
                      </pic:blipFill>
                      <pic:spPr bwMode="auto">
                        <a:xfrm>
                          <a:off x="0" y="0"/>
                          <a:ext cx="1924050" cy="19894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51.5pt;height:156.7pt;mso-wrap-distance-left:0.0pt;mso-wrap-distance-top:0.0pt;mso-wrap-distance-right:0.0pt;mso-wrap-distance-bottom:0.0pt;" stroked="false">
                <v:path textboxrect="0,0,0,0"/>
                <v:imagedata r:id="rId16" o:title=""/>
              </v:shape>
            </w:pict>
          </mc:Fallback>
        </mc:AlternateContent>
      </w:r>
      <w:r>
        <w:rPr>
          <w:highlight w:val="none"/>
        </w:rPr>
      </w:r>
    </w:p>
    <w:p>
      <w:pPr>
        <w:rPr>
          <w:rFonts w:hint="eastAsia" w:ascii="仿宋" w:hAnsi="仿宋" w:eastAsia="仿宋" w:cs="仿宋"/>
          <w:b/>
          <w:bCs/>
          <w:sz w:val="24"/>
          <w:szCs w:val="32"/>
          <w:highlight w:val="none"/>
        </w:rPr>
      </w:pPr>
      <w:r>
        <w:rPr>
          <w:rFonts w:hint="eastAsia" w:ascii="仿宋" w:hAnsi="仿宋" w:eastAsia="仿宋" w:cs="仿宋"/>
          <w:b/>
          <w:bCs/>
          <w:sz w:val="24"/>
          <w:szCs w:val="32"/>
          <w:highlight w:val="none"/>
        </w:rPr>
      </w:r>
      <w:r>
        <w:rPr>
          <w:highlight w:val="none"/>
        </w:rPr>
      </w:r>
    </w:p>
    <w:p>
      <w:pPr>
        <w:rPr>
          <w:rFonts w:hint="eastAsia" w:ascii="仿宋" w:hAnsi="仿宋" w:eastAsia="仿宋" w:cs="仿宋"/>
          <w:b/>
          <w:bCs/>
          <w:sz w:val="24"/>
          <w:szCs w:val="32"/>
          <w:highlight w:val="none"/>
        </w:rPr>
      </w:pPr>
      <w:r>
        <w:rPr>
          <w:rFonts w:hint="eastAsia" w:ascii="仿宋" w:hAnsi="仿宋" w:eastAsia="仿宋" w:cs="仿宋"/>
          <w:b/>
          <w:bCs/>
          <w:sz w:val="24"/>
          <w:szCs w:val="32"/>
          <w:highlight w:val="none"/>
        </w:rPr>
        <w:t xml:space="preserve">4.软质黑板（各部分细节须与学校确认后再供货）</w:t>
      </w:r>
      <w:r>
        <w:rPr>
          <w:highlight w:val="none"/>
        </w:rPr>
      </w:r>
    </w:p>
    <w:p>
      <w:pPr>
        <w:spacing w:line="480" w:lineRule="exact"/>
        <w:rPr>
          <w:rFonts w:hint="eastAsia" w:ascii="仿宋" w:hAnsi="仿宋" w:eastAsia="仿宋" w:cs="仿宋"/>
          <w:sz w:val="24"/>
          <w:szCs w:val="18"/>
          <w:highlight w:val="none"/>
        </w:rPr>
      </w:pPr>
      <w:r>
        <w:rPr>
          <w:rFonts w:hint="eastAsia" w:ascii="仿宋" w:hAnsi="仿宋" w:eastAsia="仿宋" w:cs="仿宋"/>
          <w:sz w:val="24"/>
          <w:szCs w:val="18"/>
          <w:highlight w:val="none"/>
        </w:rPr>
        <w:t xml:space="preserve">尺寸：4000mm×1200mm。</w:t>
      </w:r>
      <w:r>
        <w:rPr>
          <w:highlight w:val="none"/>
        </w:rPr>
      </w:r>
    </w:p>
    <w:p>
      <w:pPr>
        <w:spacing w:line="480" w:lineRule="exact"/>
        <w:rPr>
          <w:rFonts w:hint="eastAsia" w:ascii="仿宋" w:hAnsi="仿宋" w:eastAsia="仿宋" w:cs="仿宋"/>
          <w:sz w:val="24"/>
          <w:szCs w:val="18"/>
          <w:highlight w:val="none"/>
        </w:rPr>
      </w:pPr>
      <w:r>
        <w:rPr>
          <w:rFonts w:hint="eastAsia" w:ascii="仿宋" w:hAnsi="仿宋" w:eastAsia="仿宋" w:cs="仿宋"/>
          <w:sz w:val="24"/>
          <w:szCs w:val="18"/>
          <w:highlight w:val="none"/>
        </w:rPr>
        <w:t xml:space="preserve">板面：板面</w:t>
      </w:r>
      <w:r>
        <w:rPr>
          <w:rFonts w:hint="eastAsia" w:ascii="仿宋" w:hAnsi="仿宋" w:eastAsia="仿宋" w:cs="仿宋"/>
          <w:sz w:val="24"/>
          <w:szCs w:val="18"/>
          <w:highlight w:val="none"/>
          <w:lang w:eastAsia="zh-CN"/>
        </w:rPr>
        <w:t xml:space="preserve">：</w:t>
      </w:r>
      <w:r>
        <w:rPr>
          <w:rFonts w:hint="eastAsia" w:ascii="仿宋" w:hAnsi="仿宋" w:eastAsia="仿宋" w:cs="仿宋"/>
          <w:sz w:val="24"/>
          <w:szCs w:val="18"/>
          <w:highlight w:val="none"/>
        </w:rPr>
        <w:t xml:space="preserve">采用环保软木板采用天然橡树树皮为原材料，没有刺激气味，具有良好的抗高温和阻燃功能，氧指数检测超出一般装饰材料的防火要求，厚度&gt;12mm。</w:t>
      </w:r>
      <w:r>
        <w:rPr>
          <w:highlight w:val="none"/>
        </w:rPr>
      </w:r>
    </w:p>
    <w:p>
      <w:pPr>
        <w:spacing w:line="480" w:lineRule="exact"/>
        <w:rPr>
          <w:rFonts w:hint="eastAsia" w:ascii="仿宋" w:hAnsi="仿宋" w:eastAsia="仿宋" w:cs="仿宋"/>
          <w:sz w:val="24"/>
          <w:szCs w:val="18"/>
          <w:highlight w:val="none"/>
        </w:rPr>
      </w:pPr>
      <w:r>
        <w:rPr>
          <w:rFonts w:hint="eastAsia" w:ascii="仿宋" w:hAnsi="仿宋" w:eastAsia="仿宋" w:cs="仿宋"/>
          <w:sz w:val="24"/>
          <w:szCs w:val="18"/>
          <w:highlight w:val="none"/>
        </w:rPr>
        <w:t xml:space="preserve">衬板：选用高强度、吸音、防潮、阻燃聚苯乙烯板，厚度≥10mm。</w:t>
      </w:r>
      <w:r>
        <w:rPr>
          <w:highlight w:val="none"/>
        </w:rPr>
      </w:r>
    </w:p>
    <w:p>
      <w:pPr>
        <w:spacing w:line="480" w:lineRule="exact"/>
        <w:rPr>
          <w:rFonts w:hint="eastAsia" w:ascii="仿宋" w:hAnsi="仿宋" w:eastAsia="仿宋" w:cs="仿宋"/>
          <w:sz w:val="24"/>
          <w:szCs w:val="18"/>
          <w:highlight w:val="none"/>
        </w:rPr>
      </w:pPr>
      <w:r>
        <w:rPr>
          <w:rFonts w:hint="eastAsia" w:ascii="仿宋" w:hAnsi="仿宋" w:eastAsia="仿宋" w:cs="仿宋"/>
          <w:sz w:val="24"/>
          <w:szCs w:val="18"/>
          <w:highlight w:val="none"/>
        </w:rPr>
        <w:t xml:space="preserve">背板：采用优质镀锌钢板，厚度≥0.25mm，机械化流水线一次成型，设有凹槽加强筋，增加板体强度。</w:t>
      </w:r>
      <w:r>
        <w:rPr>
          <w:highlight w:val="none"/>
        </w:rPr>
      </w:r>
    </w:p>
    <w:p>
      <w:pPr>
        <w:spacing w:line="480" w:lineRule="exact"/>
        <w:rPr>
          <w:rFonts w:hint="eastAsia" w:ascii="仿宋" w:hAnsi="仿宋" w:eastAsia="仿宋" w:cs="仿宋"/>
          <w:sz w:val="24"/>
          <w:szCs w:val="18"/>
          <w:highlight w:val="none"/>
        </w:rPr>
      </w:pPr>
      <w:r>
        <w:rPr>
          <w:rFonts w:hint="eastAsia" w:ascii="仿宋" w:hAnsi="仿宋" w:eastAsia="仿宋" w:cs="仿宋"/>
          <w:sz w:val="24"/>
          <w:szCs w:val="18"/>
          <w:highlight w:val="none"/>
        </w:rPr>
        <w:t xml:space="preserve">覆板：采用环保型双组份聚氨酯胶水，自动化流水线覆板作业，确保粘接牢固板面平整，甲醛释放量≤0.025mg/L，符合GB 28231-2011《书写板安全卫生要求》。</w:t>
      </w:r>
      <w:r>
        <w:rPr>
          <w:highlight w:val="none"/>
        </w:rPr>
      </w:r>
    </w:p>
    <w:p>
      <w:pPr>
        <w:spacing w:line="480" w:lineRule="exact"/>
        <w:rPr>
          <w:rFonts w:hint="eastAsia" w:ascii="仿宋" w:hAnsi="仿宋" w:eastAsia="仿宋" w:cs="仿宋"/>
          <w:sz w:val="24"/>
          <w:szCs w:val="18"/>
          <w:highlight w:val="none"/>
        </w:rPr>
      </w:pPr>
      <w:r>
        <w:rPr>
          <w:rFonts w:hint="eastAsia" w:ascii="仿宋" w:hAnsi="仿宋" w:eastAsia="仿宋" w:cs="仿宋"/>
          <w:sz w:val="24"/>
          <w:szCs w:val="18"/>
          <w:highlight w:val="none"/>
        </w:rPr>
        <w:t xml:space="preserve">边框：采用高强度银色氧化铝合金型材或者采用高强度香槟色氧化电泳铝合金型材，规格30㎜×27㎜，壁厚≥1mm，型腔结构，增加板体挺度，教学板面采用槽外包角、全包式结构。</w:t>
      </w:r>
      <w:r>
        <w:rPr>
          <w:highlight w:val="none"/>
        </w:rPr>
      </w:r>
    </w:p>
    <w:p>
      <w:pPr>
        <w:spacing w:line="480" w:lineRule="exact"/>
        <w:rPr>
          <w:rFonts w:hint="eastAsia" w:ascii="仿宋" w:hAnsi="仿宋" w:eastAsia="仿宋" w:cs="仿宋"/>
          <w:sz w:val="24"/>
          <w:szCs w:val="18"/>
          <w:highlight w:val="none"/>
        </w:rPr>
      </w:pPr>
      <w:r>
        <w:rPr>
          <w:rFonts w:hint="eastAsia" w:ascii="仿宋" w:hAnsi="仿宋" w:eastAsia="仿宋" w:cs="仿宋"/>
          <w:sz w:val="24"/>
          <w:szCs w:val="18"/>
          <w:highlight w:val="none"/>
        </w:rPr>
        <w:t xml:space="preserve">包角：采用高强度、抗老化 PP工程塑料注塑成型。≥R15的圆角包角，无尖角毛刺。</w:t>
      </w:r>
      <w:r>
        <w:rPr>
          <w:highlight w:val="none"/>
        </w:rPr>
      </w:r>
    </w:p>
    <w:p>
      <w:pPr>
        <w:spacing w:line="480" w:lineRule="exact"/>
        <w:rPr>
          <w:rFonts w:hint="eastAsia" w:ascii="仿宋" w:hAnsi="仿宋" w:eastAsia="仿宋" w:cs="仿宋"/>
          <w:sz w:val="24"/>
          <w:szCs w:val="18"/>
          <w:highlight w:val="none"/>
        </w:rPr>
      </w:pPr>
      <w:r>
        <w:rPr>
          <w:rFonts w:hint="eastAsia" w:ascii="仿宋" w:hAnsi="仿宋" w:eastAsia="仿宋" w:cs="仿宋"/>
          <w:sz w:val="24"/>
          <w:szCs w:val="18"/>
          <w:highlight w:val="none"/>
        </w:rPr>
        <w:t xml:space="preserve">安装：配装钢制固定钉安装件，隐形安装、没有外露的挂接件，符合GB 21027-2007《学生用品的安全通用要求》。</w:t>
      </w:r>
      <w:r>
        <w:rPr>
          <w:highlight w:val="none"/>
        </w:rPr>
      </w:r>
    </w:p>
    <w:p>
      <w:pPr>
        <w:pStyle w:val="709"/>
        <w:rPr>
          <w:rFonts w:hint="eastAsia"/>
          <w:highlight w:val="none"/>
        </w:rPr>
      </w:pPr>
      <w:r>
        <w:rPr>
          <w:rFonts w:hint="eastAsia"/>
          <w:highlight w:val="none"/>
          <w:lang w:eastAsia="zh-CN"/>
        </w:rPr>
      </w:r>
      <w:r>
        <w:rPr>
          <w:highlight w:val="none"/>
        </w:rPr>
      </w:r>
    </w:p>
    <w:p>
      <w:pP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br w:type="page" w:clear="all"/>
      </w:r>
      <w:r>
        <w:rPr>
          <w:highlight w:val="none"/>
        </w:rPr>
      </w:r>
    </w:p>
    <w:p>
      <w:pPr>
        <w:pStyle w:val="709"/>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软质黑板参考图片</w:t>
      </w:r>
      <w:r>
        <w:rPr>
          <w:highlight w:val="none"/>
        </w:rPr>
      </w:r>
    </w:p>
    <w:p>
      <w:pPr>
        <w:pStyle w:val="709"/>
        <w:jc w:val="left"/>
        <w:rPr>
          <w:rFonts w:hint="eastAsia" w:ascii="仿宋" w:hAnsi="仿宋" w:eastAsia="仿宋" w:cs="仿宋"/>
          <w:b/>
          <w:bCs/>
          <w:sz w:val="24"/>
          <w:szCs w:val="24"/>
          <w:highlight w:val="none"/>
        </w:rPr>
      </w:pPr>
      <w:r>
        <w:rPr>
          <w:highlight w:val="none"/>
          <w:lang w:eastAsia="zh-CN"/>
        </w:rPr>
        <mc:AlternateContent>
          <mc:Choice Requires="wpg">
            <w:drawing>
              <wp:inline xmlns:wp="http://schemas.openxmlformats.org/drawingml/2006/wordprocessingDrawing" distT="0" distB="0" distL="0" distR="0">
                <wp:extent cx="5400040" cy="2516505"/>
                <wp:effectExtent l="0" t="0" r="10160" b="17145"/>
                <wp:docPr id="7" name="图片 22" descr="C:\Users\Administrator\Documents\xwechat_files\wxid_i1ee7pvuzeok22_6fa7\temp\InputTemp\02ea9042-d8e7-4e6f-996c-f32ef9d762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2" descr="C:\Users\Administrator\Documents\xwechat_files\wxid_i1ee7pvuzeok22_6fa7\temp\InputTemp\02ea9042-d8e7-4e6f-996c-f32ef9d76226.png"/>
                        <pic:cNvPicPr>
                          <a:picLocks noChangeAspect="1"/>
                        </pic:cNvPicPr>
                        <pic:nvPr/>
                      </pic:nvPicPr>
                      <pic:blipFill>
                        <a:blip r:embed="rId17"/>
                        <a:stretch/>
                      </pic:blipFill>
                      <pic:spPr bwMode="auto">
                        <a:xfrm>
                          <a:off x="0" y="0"/>
                          <a:ext cx="5400040" cy="2516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25.2pt;height:198.1pt;mso-wrap-distance-left:0.0pt;mso-wrap-distance-top:0.0pt;mso-wrap-distance-right:0.0pt;mso-wrap-distance-bottom:0.0pt;" stroked="f">
                <v:path textboxrect="0,0,0,0"/>
                <v:imagedata r:id="rId17" o:title=""/>
              </v:shape>
            </w:pict>
          </mc:Fallback>
        </mc:AlternateContent>
      </w:r>
      <w:r>
        <w:rPr>
          <w:highlight w:val="none"/>
        </w:rPr>
      </w:r>
    </w:p>
    <w:p>
      <w:pPr>
        <w:pStyle w:val="709"/>
        <w:ind w:firstLine="0"/>
        <w:keepLines w:val="0"/>
        <w:keepNext w:val="0"/>
        <w:pageBreakBefore w:val="0"/>
        <w:spacing w:line="48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r>
      <w:r>
        <w:rPr>
          <w:highlight w:val="none"/>
        </w:rPr>
      </w:r>
    </w:p>
    <w:p>
      <w:pPr>
        <w:pStyle w:val="709"/>
        <w:ind w:firstLine="0"/>
        <w:keepLines w:val="0"/>
        <w:keepNext w:val="0"/>
        <w:pageBreakBefore w:val="0"/>
        <w:spacing w:line="48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 xml:space="preserve">5.讲台（橡胶木）</w:t>
      </w:r>
      <w:r>
        <w:rPr>
          <w:rFonts w:hint="eastAsia" w:ascii="仿宋" w:hAnsi="仿宋" w:eastAsia="仿宋" w:cs="仿宋"/>
          <w:b/>
          <w:bCs/>
          <w:sz w:val="24"/>
          <w:szCs w:val="24"/>
          <w:highlight w:val="none"/>
        </w:rPr>
        <w:t xml:space="preserve">（各部分细节须与学校确认后再供货）</w:t>
      </w:r>
      <w:r>
        <w:rPr>
          <w:highlight w:val="none"/>
        </w:rPr>
      </w:r>
    </w:p>
    <w:p>
      <w:pPr>
        <w:pStyle w:val="709"/>
        <w:ind w:left="0" w:firstLine="0"/>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尺寸2000*1000*600mm.</w:t>
      </w:r>
      <w:r>
        <w:rPr>
          <w:highlight w:val="none"/>
        </w:rPr>
      </w:r>
    </w:p>
    <w:p>
      <w:pPr>
        <w:pStyle w:val="709"/>
        <w:ind w:left="0" w:firstLine="0"/>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整体采用18mm厚橡胶木，不做油漆，表面采用三聚氰胺枫木纹贴面，侧边木蜡油收边工艺。</w:t>
      </w:r>
      <w:r>
        <w:rPr>
          <w:highlight w:val="none"/>
        </w:rPr>
      </w:r>
    </w:p>
    <w:p>
      <w:pPr>
        <w:pStyle w:val="709"/>
        <w:ind w:left="0" w:firstLine="0"/>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橡胶木材质质地均匀、韧性充足、承重性能优异，有效提升设备整体稳定性与使用寿命。木材必须经过烘干、杀虫等工艺处理，木材无裂缝、结疤、腐朽、刀痕等瑕疵，含水率≤10%。</w:t>
      </w:r>
      <w:r>
        <w:rPr>
          <w:highlight w:val="none"/>
        </w:rPr>
      </w:r>
    </w:p>
    <w:p>
      <w:pPr>
        <w:pStyle w:val="709"/>
        <w:ind w:left="0" w:firstLine="0"/>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柜体整体分为两层封闭式储物空间，第一层为抽屉层，主要用于存放粉笔、教案、课本、教具等小型教学用品；第二层（底层储物区）用于存放备用物资、清洁工具等杂物。</w:t>
      </w:r>
      <w:r>
        <w:rPr>
          <w:highlight w:val="none"/>
        </w:rPr>
      </w:r>
    </w:p>
    <w:p>
      <w:pPr>
        <w:pStyle w:val="709"/>
        <w:ind w:left="0" w:firstLine="0"/>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零部件安装：各种零部件安装严密、平整、牢固，各结合处紧密、平整，无明显间缝；</w:t>
      </w:r>
      <w:r>
        <w:rPr>
          <w:highlight w:val="none"/>
        </w:rPr>
      </w:r>
    </w:p>
    <w:p>
      <w:pP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br w:type="page" w:clear="all"/>
      </w:r>
      <w:r>
        <w:rPr>
          <w:highlight w:val="none"/>
        </w:rPr>
      </w:r>
    </w:p>
    <w:p>
      <w:pPr>
        <w:pStyle w:val="709"/>
        <w:ind w:left="0" w:firstLine="0"/>
        <w:jc w:val="center"/>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讲台（橡胶木）参考图片</w:t>
      </w:r>
      <w:r>
        <w:rPr>
          <w:highlight w:val="none"/>
        </w:rPr>
      </w:r>
    </w:p>
    <w:p>
      <w:pPr>
        <w:pStyle w:val="709"/>
        <w:ind w:left="0" w:firstLine="0"/>
        <w:jc w:val="center"/>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r>
      <w:r>
        <w:rPr>
          <w:highlight w:val="none"/>
        </w:rPr>
      </w:r>
    </w:p>
    <w:p>
      <w:pPr>
        <w:pStyle w:val="709"/>
        <w:jc w:val="center"/>
        <w:rPr>
          <w:rFonts w:asciiTheme="minorEastAsia" w:hAnsiTheme="minorEastAsia" w:eastAsiaTheme="minorEastAsia" w:cstheme="minorEastAsia"/>
          <w:sz w:val="28"/>
          <w:highlight w:val="none"/>
        </w:rPr>
      </w:pPr>
      <w:r>
        <w:rPr>
          <w:rFonts w:ascii="仿宋" w:hAnsi="仿宋" w:eastAsia="仿宋" w:cs="仿宋"/>
          <w:sz w:val="28"/>
          <w:highlight w:val="none"/>
          <w:lang w:eastAsia="zh-CN"/>
        </w:rPr>
        <mc:AlternateContent>
          <mc:Choice Requires="wpg">
            <w:drawing>
              <wp:inline xmlns:wp="http://schemas.openxmlformats.org/drawingml/2006/wordprocessingDrawing" distT="0" distB="0" distL="0" distR="0">
                <wp:extent cx="2795270" cy="2994660"/>
                <wp:effectExtent l="0" t="0" r="5080" b="15240"/>
                <wp:docPr id="8" name="图片 3" descr="7377e6aabdd1af342b5f27366d9218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descr="7377e6aabdd1af342b5f27366d92182a"/>
                        <pic:cNvPicPr>
                          <a:picLocks noChangeAspect="1"/>
                        </pic:cNvPicPr>
                        <pic:nvPr/>
                      </pic:nvPicPr>
                      <pic:blipFill>
                        <a:blip r:embed="rId18"/>
                        <a:stretch/>
                      </pic:blipFill>
                      <pic:spPr bwMode="auto">
                        <a:xfrm>
                          <a:off x="0" y="0"/>
                          <a:ext cx="2795270" cy="29946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20.1pt;height:235.8pt;mso-wrap-distance-left:0.0pt;mso-wrap-distance-top:0.0pt;mso-wrap-distance-right:0.0pt;mso-wrap-distance-bottom:0.0pt;" stroked="false">
                <v:path textboxrect="0,0,0,0"/>
                <v:imagedata r:id="rId18" o:title=""/>
              </v:shape>
            </w:pict>
          </mc:Fallback>
        </mc:AlternateContent>
      </w:r>
      <w:r>
        <w:rPr>
          <w:highlight w:val="none"/>
        </w:rPr>
      </w:r>
    </w:p>
    <w:p>
      <w:pPr>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r>
      <w:r>
        <w:rPr>
          <w:highlight w:val="none"/>
        </w:rPr>
      </w:r>
    </w:p>
    <w:p>
      <w:pPr>
        <w:pStyle w:val="709"/>
        <w:ind w:firstLine="0"/>
        <w:keepLines w:val="0"/>
        <w:keepNext w:val="0"/>
        <w:pageBreakBefore w:val="0"/>
        <w:spacing w:line="48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 xml:space="preserve">6.书柜（橡胶木）</w:t>
      </w:r>
      <w:r>
        <w:rPr>
          <w:rFonts w:hint="eastAsia" w:ascii="仿宋" w:hAnsi="仿宋" w:eastAsia="仿宋" w:cs="仿宋"/>
          <w:b/>
          <w:bCs/>
          <w:sz w:val="24"/>
          <w:szCs w:val="24"/>
          <w:highlight w:val="none"/>
        </w:rPr>
        <w:t xml:space="preserve">（各部分细节须与学校确认后再供货）</w:t>
      </w:r>
      <w:r>
        <w:rPr>
          <w:highlight w:val="none"/>
        </w:rPr>
      </w:r>
    </w:p>
    <w:p>
      <w:pPr>
        <w:pStyle w:val="684"/>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尺寸1200*540*1000mm，整体采用18mm厚橡胶木，不做油漆，表面采用三聚氰胺枫木纹贴面，侧边木蜡油收边工艺。</w:t>
      </w:r>
      <w:r>
        <w:rPr>
          <w:highlight w:val="none"/>
        </w:rPr>
      </w:r>
    </w:p>
    <w:p>
      <w:pPr>
        <w:pStyle w:val="684"/>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橡胶木材质质地均匀、韧性充足、承重性能优异，有效提升设备整体稳定性与使用寿命。</w:t>
      </w:r>
      <w:r>
        <w:rPr>
          <w:highlight w:val="none"/>
        </w:rPr>
      </w:r>
    </w:p>
    <w:p>
      <w:pPr>
        <w:pStyle w:val="709"/>
        <w:ind w:left="0" w:firstLine="0"/>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柜体上半部分（柜面以上）共四层，主要用于存放教案、课本、教具等小型教学用品；柜体下半部分（底层储物区）分为两层封闭式储物空间，用于存放备用物资等杂物。</w:t>
      </w:r>
      <w:r>
        <w:rPr>
          <w:highlight w:val="none"/>
        </w:rPr>
      </w:r>
    </w:p>
    <w:p>
      <w:pPr>
        <w:pStyle w:val="709"/>
        <w:ind w:left="0" w:firstLine="0"/>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零部件安装：各种零部件安装严密、平整、牢固，各结合处紧密、平整，无明显间缝；</w:t>
      </w:r>
      <w:r>
        <w:rPr>
          <w:highlight w:val="none"/>
        </w:rPr>
      </w:r>
    </w:p>
    <w:p>
      <w:pP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br w:type="page" w:clear="all"/>
      </w:r>
      <w:r>
        <w:rPr>
          <w:highlight w:val="none"/>
        </w:rPr>
      </w:r>
    </w:p>
    <w:p>
      <w:pPr>
        <w:pStyle w:val="709"/>
        <w:ind w:firstLine="0"/>
        <w:jc w:val="center"/>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书柜（橡胶木）参考图片</w:t>
      </w:r>
      <w:r>
        <w:rPr>
          <w:highlight w:val="none"/>
        </w:rPr>
      </w:r>
    </w:p>
    <w:p>
      <w:pPr>
        <w:pStyle w:val="709"/>
        <w:ind w:firstLine="0"/>
        <w:jc w:val="center"/>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r>
      <w:r>
        <w:rPr>
          <w:highlight w:val="none"/>
        </w:rPr>
      </w:r>
    </w:p>
    <w:p>
      <w:pPr>
        <w:pStyle w:val="685"/>
        <w:jc w:val="center"/>
        <w:rPr>
          <w:rFonts w:cs="Times New Roman"/>
          <w:b/>
          <w:bCs/>
          <w:color w:val="000000" w:themeColor="text1"/>
          <w:sz w:val="28"/>
          <w:szCs w:val="28"/>
          <w:highlight w:val="none"/>
          <w14:textFill>
            <w14:solidFill>
              <w14:schemeClr w14:val="tx1"/>
            </w14:solidFill>
          </w14:textFill>
        </w:rPr>
      </w:pPr>
      <w:r>
        <w:rPr>
          <w:rFonts w:hint="eastAsia"/>
          <w:highlight w:val="none"/>
        </w:rPr>
        <mc:AlternateContent>
          <mc:Choice Requires="wpg">
            <w:drawing>
              <wp:inline xmlns:wp="http://schemas.openxmlformats.org/drawingml/2006/wordprocessingDrawing" distT="0" distB="0" distL="0" distR="0">
                <wp:extent cx="2621280" cy="3008630"/>
                <wp:effectExtent l="0" t="0" r="7620" b="1270"/>
                <wp:docPr id="9" name="图片 6" descr="aedeb53db6cf2753b0eef288dc4978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descr="aedeb53db6cf2753b0eef288dc4978a2"/>
                        <pic:cNvPicPr>
                          <a:picLocks noChangeAspect="1"/>
                        </pic:cNvPicPr>
                        <pic:nvPr/>
                      </pic:nvPicPr>
                      <pic:blipFill>
                        <a:blip r:embed="rId19"/>
                        <a:stretch/>
                      </pic:blipFill>
                      <pic:spPr bwMode="auto">
                        <a:xfrm>
                          <a:off x="0" y="0"/>
                          <a:ext cx="2621280" cy="3008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06.4pt;height:236.9pt;mso-wrap-distance-left:0.0pt;mso-wrap-distance-top:0.0pt;mso-wrap-distance-right:0.0pt;mso-wrap-distance-bottom:0.0pt;" stroked="false">
                <v:path textboxrect="0,0,0,0"/>
                <v:imagedata r:id="rId19" o:title=""/>
              </v:shape>
            </w:pict>
          </mc:Fallback>
        </mc:AlternateContent>
      </w:r>
      <w:r>
        <w:rPr>
          <w:highlight w:val="none"/>
        </w:rPr>
      </w:r>
    </w:p>
    <w:p>
      <w:pPr>
        <w:pStyle w:val="709"/>
        <w:ind w:firstLine="0"/>
        <w:keepLines w:val="0"/>
        <w:keepNext w:val="0"/>
        <w:pageBreakBefore w:val="0"/>
        <w:spacing w:line="48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7</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val="en-US" w:eastAsia="zh-CN"/>
        </w:rPr>
        <w:t xml:space="preserve">边</w:t>
      </w:r>
      <w:r>
        <w:rPr>
          <w:rFonts w:hint="eastAsia" w:ascii="仿宋" w:hAnsi="仿宋" w:eastAsia="仿宋" w:cs="仿宋"/>
          <w:b/>
          <w:bCs/>
          <w:sz w:val="24"/>
          <w:szCs w:val="24"/>
          <w:highlight w:val="none"/>
          <w:lang w:eastAsia="zh-CN"/>
        </w:rPr>
        <w:t xml:space="preserve">柜</w:t>
      </w:r>
      <w:r>
        <w:rPr>
          <w:rFonts w:hint="eastAsia" w:ascii="仿宋" w:hAnsi="仿宋" w:eastAsia="仿宋" w:cs="仿宋"/>
          <w:b/>
          <w:bCs/>
          <w:sz w:val="24"/>
          <w:szCs w:val="24"/>
          <w:highlight w:val="none"/>
        </w:rPr>
        <w:t xml:space="preserve">（各部分细节须与学校确认后再供货）</w:t>
      </w:r>
      <w:r>
        <w:rPr>
          <w:highlight w:val="none"/>
        </w:rPr>
      </w:r>
    </w:p>
    <w:p>
      <w:pPr>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储物矮柜1组</w:t>
      </w:r>
      <w:r>
        <w:rPr>
          <w:highlight w:val="none"/>
        </w:rPr>
      </w:r>
    </w:p>
    <w:p>
      <w:pPr>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整体净尺寸：长8800mm×深600mm×高900mm。</w:t>
      </w:r>
      <w:r>
        <w:rPr>
          <w:highlight w:val="none"/>
        </w:rPr>
      </w:r>
    </w:p>
    <w:p>
      <w:pPr>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柜体采用双扇通长全覆盖推拉移门结构，居中闭合全封闭固定分格，柜门通长做到头全覆盖。</w:t>
      </w:r>
      <w:r>
        <w:rPr>
          <w:highlight w:val="none"/>
        </w:rPr>
      </w:r>
    </w:p>
    <w:p>
      <w:pPr>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台面石材采用优质石英石，石英晶体含量≥93%，厚度≥20mm，通体致密无气孔、无杂质、无裂纹。高密度耐污、耐酸碱、耐高温、高抗划痕，不变色、不腐蚀。</w:t>
      </w:r>
      <w:r>
        <w:rPr>
          <w:highlight w:val="none"/>
        </w:rPr>
      </w:r>
    </w:p>
    <w:p>
      <w:pPr>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工艺：整柜通长整体铺装，拼接缝精细打磨平整无凹凸；所有前沿、侧沿无尖角、无锐角。</w:t>
      </w:r>
      <w:r>
        <w:rPr>
          <w:highlight w:val="none"/>
        </w:rPr>
      </w:r>
    </w:p>
    <w:p>
      <w:pPr>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柜体板材硬性材质参数：</w:t>
      </w:r>
      <w:r>
        <w:rPr>
          <w:highlight w:val="none"/>
        </w:rPr>
      </w:r>
    </w:p>
    <w:p>
      <w:pPr>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柜体基材：采用优质高密度实木多层实木板，环保等级E0级，甲醛释放量≤0.050mg/m³，无异味、无有害挥发物。</w:t>
      </w:r>
      <w:r>
        <w:rPr>
          <w:highlight w:val="none"/>
        </w:rPr>
      </w:r>
    </w:p>
    <w:p>
      <w:pPr>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柜体立板、侧板、层板：≥18mm加厚板材</w:t>
      </w:r>
      <w:r>
        <w:rPr>
          <w:highlight w:val="none"/>
        </w:rPr>
      </w:r>
    </w:p>
    <w:p>
      <w:pPr>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后背板：≥9mm高密度防潮背板</w:t>
      </w:r>
      <w:r>
        <w:rPr>
          <w:highlight w:val="none"/>
        </w:rPr>
      </w:r>
    </w:p>
    <w:p>
      <w:pPr>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饰面工艺：双面三聚氰胺耐磨饰面，哑光耐刮、防污耐擦洗，表面致密防尘、易清洁。</w:t>
      </w:r>
      <w:r>
        <w:rPr>
          <w:highlight w:val="none"/>
        </w:rPr>
      </w:r>
    </w:p>
    <w:p>
      <w:pPr>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封边工艺：全自动PUR热熔封边，封边严密平整、不开裂、不脱胶、无毛刺，防水防潮、抗霉变.</w:t>
      </w:r>
      <w:r>
        <w:rPr>
          <w:highlight w:val="none"/>
        </w:rPr>
      </w:r>
    </w:p>
    <w:p>
      <w:pPr>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承重性能：单层隔板静载承重≥100KG，柜体整体结构稳固、方正垂直，无松动、无变形、无晃动。</w:t>
      </w:r>
      <w:r>
        <w:rPr>
          <w:highlight w:val="none"/>
        </w:rPr>
      </w:r>
    </w:p>
    <w:p>
      <w:pPr>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移门及轨道五金参数：</w:t>
      </w:r>
      <w:r>
        <w:rPr>
          <w:highlight w:val="none"/>
        </w:rPr>
      </w:r>
    </w:p>
    <w:p>
      <w:pPr>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柜门材质与性能：柜门采用同柜体同等E0级环保基材，环保指标与柜体板材一致，无刺激性异味；板材结构稳定，抗收缩、抗膨胀，长期使用不变形、不翘边、不脱层。</w:t>
      </w:r>
      <w:r>
        <w:rPr>
          <w:highlight w:val="none"/>
        </w:rPr>
      </w:r>
    </w:p>
    <w:p>
      <w:pPr>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轨道：加厚铝合金静音上下双轨道，结构稳定、防脱轨、防卡滞、耐腐蚀、不变形。</w:t>
      </w:r>
      <w:r>
        <w:rPr>
          <w:highlight w:val="none"/>
        </w:rPr>
      </w:r>
    </w:p>
    <w:p>
      <w:pPr>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滑轮：静音耐磨高强度尼龙双滑轮，推拉轻盈顺滑、无噪音、无卡顿，高频次反复开启使用。</w:t>
      </w:r>
      <w:r>
        <w:rPr>
          <w:highlight w:val="none"/>
        </w:rPr>
      </w:r>
    </w:p>
    <w:p>
      <w:pPr>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拉手：采用内嵌式暗拉手，无外凸构件。</w:t>
      </w:r>
      <w:r>
        <w:rPr>
          <w:highlight w:val="none"/>
        </w:rPr>
      </w:r>
    </w:p>
    <w:p>
      <w:pPr>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安装要求：</w:t>
      </w:r>
      <w:r>
        <w:rPr>
          <w:highlight w:val="none"/>
        </w:rPr>
      </w:r>
    </w:p>
    <w:p>
      <w:pPr>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现场精准复测、定制生产，安装平整垂直、水平方正，整体缝隙均匀一致。所有现场切割口、开孔位全部做密封封边处理，防潮、防霉变、防脱层。整套柜体安装牢固、结构稳定、开关顺畅、无异响、无松动变形。</w:t>
      </w:r>
      <w:r>
        <w:rPr>
          <w:highlight w:val="none"/>
        </w:rPr>
      </w:r>
    </w:p>
    <w:p>
      <w:pPr>
        <w:pStyle w:val="709"/>
        <w:ind w:firstLine="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边</w:t>
      </w:r>
      <w:r>
        <w:rPr>
          <w:rFonts w:hint="eastAsia" w:ascii="仿宋" w:hAnsi="仿宋" w:eastAsia="仿宋" w:cs="仿宋"/>
          <w:sz w:val="24"/>
          <w:szCs w:val="24"/>
          <w:highlight w:val="none"/>
          <w:lang w:eastAsia="zh-CN"/>
        </w:rPr>
        <w:t xml:space="preserve">柜参考图片</w:t>
      </w:r>
      <w:r>
        <w:rPr>
          <w:highlight w:val="none"/>
        </w:rPr>
      </w:r>
    </w:p>
    <w:p>
      <w:pPr>
        <w:pStyle w:val="709"/>
        <w:ind w:firstLine="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r>
      <w:r>
        <w:rPr>
          <w:highlight w:val="none"/>
        </w:rPr>
      </w:r>
    </w:p>
    <w:p>
      <w:pPr>
        <w:pStyle w:val="709"/>
        <w:ind w:firstLine="0"/>
        <w:jc w:val="center"/>
        <w:rPr>
          <w:rFonts w:hint="eastAsia" w:ascii="宋体" w:hAnsi="宋体" w:eastAsia="宋体" w:cs="Times New Roman"/>
          <w:b/>
          <w:sz w:val="28"/>
          <w:szCs w:val="20"/>
          <w:highlight w:val="none"/>
        </w:rPr>
      </w:pPr>
      <w:r>
        <w:rPr>
          <w:rFonts w:hint="eastAsia"/>
          <w:highlight w:val="none"/>
          <w:lang w:eastAsia="zh-CN"/>
        </w:rPr>
        <mc:AlternateContent>
          <mc:Choice Requires="wpg">
            <w:drawing>
              <wp:inline xmlns:wp="http://schemas.openxmlformats.org/drawingml/2006/wordprocessingDrawing" distT="0" distB="0" distL="0" distR="0">
                <wp:extent cx="5265420" cy="3230880"/>
                <wp:effectExtent l="0" t="0" r="11430" b="7620"/>
                <wp:docPr id="10" name="图片 11" descr="373ba0fd05251d7020a726ca15da8d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373ba0fd05251d7020a726ca15da8d46"/>
                        <pic:cNvPicPr>
                          <a:picLocks noChangeAspect="1"/>
                        </pic:cNvPicPr>
                        <pic:nvPr/>
                      </pic:nvPicPr>
                      <pic:blipFill>
                        <a:blip r:embed="rId20"/>
                        <a:stretch/>
                      </pic:blipFill>
                      <pic:spPr bwMode="auto">
                        <a:xfrm>
                          <a:off x="0" y="0"/>
                          <a:ext cx="5265420" cy="32308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4.6pt;height:254.4pt;mso-wrap-distance-left:0.0pt;mso-wrap-distance-top:0.0pt;mso-wrap-distance-right:0.0pt;mso-wrap-distance-bottom:0.0pt;" stroked="false">
                <v:path textboxrect="0,0,0,0"/>
                <v:imagedata r:id="rId20" o:title=""/>
              </v:shape>
            </w:pict>
          </mc:Fallback>
        </mc:AlternateContent>
      </w:r>
      <w:r>
        <w:rPr>
          <w:highlight w:val="none"/>
        </w:rPr>
      </w:r>
    </w:p>
    <w:p>
      <w:pPr>
        <w:numPr>
          <w:ilvl w:val="0"/>
          <w:numId w:val="1"/>
        </w:numPr>
        <w:ind w:left="0" w:firstLine="0"/>
        <w:jc w:val="both"/>
        <w:keepLines w:val="0"/>
        <w:keepNext w:val="0"/>
        <w:pageBreakBefore w:val="0"/>
        <w:spacing w:after="0" w:line="480" w:lineRule="exact"/>
        <w:widowControl w:val="off"/>
        <w:rPr>
          <w:rFonts w:hint="eastAsia" w:ascii="宋体" w:hAnsi="宋体" w:eastAsia="宋体" w:cs="Times New Roman"/>
          <w:b/>
          <w:sz w:val="28"/>
          <w:szCs w:val="20"/>
          <w:highlight w:val="none"/>
        </w:rPr>
        <w:outlineLvl w:val="1"/>
      </w:pPr>
      <w:r>
        <w:rPr>
          <w:rFonts w:hint="eastAsia" w:ascii="宋体" w:hAnsi="宋体" w:eastAsia="宋体" w:cs="Times New Roman"/>
          <w:b/>
          <w:sz w:val="28"/>
          <w:szCs w:val="20"/>
          <w:highlight w:val="none"/>
          <w:lang w:val="en-US" w:eastAsia="zh-CN" w:bidi="ar-SA"/>
        </w:rPr>
        <w:t xml:space="preserve">商务要求</w:t>
      </w:r>
      <w:r>
        <w:rPr>
          <w:highlight w:val="none"/>
        </w:rPr>
      </w:r>
    </w:p>
    <w:p>
      <w:pPr>
        <w:spacing w:after="62" w:line="460" w:lineRule="exact"/>
        <w:rPr>
          <w:rFonts w:hint="default" w:ascii="Times New Roman" w:hAnsi="Times New Roman" w:eastAsia="仿宋" w:cs="Times New Roman"/>
          <w:b/>
          <w:sz w:val="28"/>
          <w:szCs w:val="28"/>
          <w:highlight w:val="none"/>
        </w:rPr>
      </w:pPr>
      <w:r>
        <w:rPr>
          <w:rFonts w:hint="eastAsia" w:eastAsia="仿宋" w:cs="Times New Roman"/>
          <w:b/>
          <w:sz w:val="28"/>
          <w:szCs w:val="28"/>
          <w:highlight w:val="none"/>
          <w:lang w:val="en-US" w:eastAsia="zh-CN"/>
        </w:rPr>
        <w:t xml:space="preserve">1.</w:t>
      </w:r>
      <w:r>
        <w:rPr>
          <w:rFonts w:hint="eastAsia" w:ascii="Times New Roman" w:hAnsi="Times New Roman" w:eastAsia="仿宋" w:cs="Times New Roman"/>
          <w:b/>
          <w:sz w:val="28"/>
          <w:szCs w:val="28"/>
          <w:highlight w:val="none"/>
        </w:rPr>
        <w:t xml:space="preserve">交付</w:t>
      </w:r>
      <w:r>
        <w:rPr>
          <w:rFonts w:ascii="Times New Roman" w:hAnsi="Times New Roman" w:eastAsia="仿宋" w:cs="Times New Roman"/>
          <w:b/>
          <w:sz w:val="28"/>
          <w:szCs w:val="28"/>
          <w:highlight w:val="none"/>
        </w:rPr>
        <w:t xml:space="preserve">的</w:t>
      </w:r>
      <w:r>
        <w:rPr>
          <w:rFonts w:hint="eastAsia" w:eastAsia="仿宋" w:cs="Times New Roman"/>
          <w:b/>
          <w:sz w:val="28"/>
          <w:szCs w:val="28"/>
          <w:highlight w:val="none"/>
          <w:lang w:val="en-US" w:eastAsia="zh-CN"/>
        </w:rPr>
        <w:t xml:space="preserve">数量、</w:t>
      </w:r>
      <w:r>
        <w:rPr>
          <w:rFonts w:ascii="Times New Roman" w:hAnsi="Times New Roman" w:eastAsia="仿宋" w:cs="Times New Roman"/>
          <w:b/>
          <w:sz w:val="28"/>
          <w:szCs w:val="28"/>
          <w:highlight w:val="none"/>
        </w:rPr>
        <w:t xml:space="preserve">时间和地点</w:t>
      </w:r>
      <w:r>
        <w:rPr>
          <w:highlight w:val="none"/>
        </w:rPr>
      </w:r>
    </w:p>
    <w:p>
      <w:pPr>
        <w:keepLines w:val="0"/>
        <w:keepNext w:val="0"/>
        <w:pageBreakBefore w:val="0"/>
        <w:spacing w:line="480" w:lineRule="exact"/>
        <w:widowControl w:val="off"/>
        <w:rPr>
          <w:rFonts w:hint="eastAsia" w:ascii="仿宋_GB2312" w:hAnsi="Times New Roman" w:eastAsia="仿宋_GB2312" w:cs="Times New Roman"/>
          <w:b w:val="0"/>
          <w:bCs w:val="0"/>
          <w:color w:val="000000" w:themeColor="text1"/>
          <w:sz w:val="24"/>
          <w:szCs w:val="24"/>
          <w:highlight w:val="none"/>
          <w14:textFill>
            <w14:solidFill>
              <w14:schemeClr w14:val="tx1"/>
            </w14:solidFill>
          </w14:textFill>
        </w:rPr>
      </w:pP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1.标的数量：详见采购标的清单</w:t>
      </w:r>
      <w:r>
        <w:rPr>
          <w:highlight w:val="none"/>
        </w:rPr>
      </w:r>
    </w:p>
    <w:p>
      <w:pPr>
        <w:keepLines w:val="0"/>
        <w:keepNext w:val="0"/>
        <w:pageBreakBefore w:val="0"/>
        <w:spacing w:line="480" w:lineRule="exact"/>
        <w:widowControl w:val="off"/>
        <w:rPr>
          <w:rFonts w:hint="eastAsia" w:ascii="仿宋_GB2312" w:hAnsi="Times New Roman" w:eastAsia="仿宋_GB2312" w:cs="Times New Roman"/>
          <w:b w:val="0"/>
          <w:bCs w:val="0"/>
          <w:color w:val="000000" w:themeColor="text1"/>
          <w:sz w:val="24"/>
          <w:szCs w:val="24"/>
          <w:highlight w:val="none"/>
          <w14:textFill>
            <w14:solidFill>
              <w14:schemeClr w14:val="tx1"/>
            </w14:solidFill>
          </w14:textFill>
        </w:rPr>
      </w:pP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2.供货周期：合同签订后15个日历天内完成交付，并通过初步验收。</w:t>
      </w:r>
      <w:r>
        <w:rPr>
          <w:highlight w:val="none"/>
        </w:rPr>
      </w:r>
    </w:p>
    <w:p>
      <w:pPr>
        <w:keepLines w:val="0"/>
        <w:keepNext w:val="0"/>
        <w:pageBreakBefore w:val="0"/>
        <w:spacing w:line="480" w:lineRule="exact"/>
        <w:widowControl w:val="off"/>
        <w:rPr>
          <w:rFonts w:hint="eastAsia" w:ascii="仿宋_GB2312" w:eastAsia="仿宋_GB2312" w:cs="Times New Roman"/>
          <w:b w:val="0"/>
          <w:bCs w:val="0"/>
          <w:color w:val="000000" w:themeColor="text1"/>
          <w:sz w:val="24"/>
          <w:szCs w:val="24"/>
          <w:highlight w:val="none"/>
          <w14:textFill>
            <w14:solidFill>
              <w14:schemeClr w14:val="tx1"/>
            </w14:solidFill>
          </w14:textFill>
        </w:rPr>
      </w:pP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3.交货地点：江苏省南通中学附属实验学校（南通市崇川区崇州大道2号），送货、安装具体按学校指定地点</w:t>
      </w:r>
      <w:r>
        <w:rPr>
          <w:rFonts w:hint="eastAsia" w:ascii="仿宋_GB2312" w:eastAsia="仿宋_GB2312" w:cs="Times New Roman"/>
          <w:b w:val="0"/>
          <w:bCs w:val="0"/>
          <w:color w:val="000000" w:themeColor="text1"/>
          <w:sz w:val="24"/>
          <w:szCs w:val="24"/>
          <w:highlight w:val="none"/>
          <w:lang w:val="en-US" w:eastAsia="zh-CN"/>
          <w14:textFill>
            <w14:solidFill>
              <w14:schemeClr w14:val="tx1"/>
            </w14:solidFill>
          </w14:textFill>
        </w:rPr>
        <w:t xml:space="preserve">。</w:t>
      </w:r>
      <w:r>
        <w:rPr>
          <w:highlight w:val="none"/>
        </w:rPr>
      </w:r>
    </w:p>
    <w:p>
      <w:pPr>
        <w:keepLines w:val="0"/>
        <w:keepNext w:val="0"/>
        <w:pageBreakBefore w:val="0"/>
        <w:spacing w:line="480" w:lineRule="exact"/>
        <w:widowControl w:val="off"/>
        <w:rPr>
          <w:rFonts w:hint="eastAsia" w:ascii="仿宋_GB2312" w:hAnsi="Times New Roman" w:eastAsia="仿宋_GB2312" w:cs="Times New Roman"/>
          <w:b/>
          <w:bCs/>
          <w:color w:val="000000" w:themeColor="text1"/>
          <w:sz w:val="24"/>
          <w:szCs w:val="24"/>
          <w:highlight w:val="none"/>
          <w14:textFill>
            <w14:solidFill>
              <w14:schemeClr w14:val="tx1"/>
            </w14:solidFill>
          </w14:textFill>
        </w:rPr>
      </w:pPr>
      <w:r>
        <w:rPr>
          <w:rFonts w:hint="eastAsia" w:ascii="仿宋_GB2312" w:eastAsia="仿宋_GB2312" w:cs="Times New Roman"/>
          <w:b/>
          <w:bCs/>
          <w:color w:val="000000" w:themeColor="text1"/>
          <w:sz w:val="24"/>
          <w:szCs w:val="24"/>
          <w:highlight w:val="none"/>
          <w:lang w:val="en-US" w:eastAsia="zh-CN"/>
          <w14:textFill>
            <w14:solidFill>
              <w14:schemeClr w14:val="tx1"/>
            </w14:solidFill>
          </w14:textFill>
        </w:rPr>
        <w:t xml:space="preserve">注：</w:t>
      </w:r>
      <w:r>
        <w:rPr>
          <w:rFonts w:hint="eastAsia" w:ascii="仿宋_GB2312" w:hAnsi="Times New Roman" w:eastAsia="仿宋_GB2312" w:cs="Times New Roman"/>
          <w:b/>
          <w:bCs/>
          <w:color w:val="000000" w:themeColor="text1"/>
          <w:sz w:val="24"/>
          <w:szCs w:val="24"/>
          <w:highlight w:val="none"/>
          <w:lang w:val="en-US" w:eastAsia="zh-CN"/>
          <w14:textFill>
            <w14:solidFill>
              <w14:schemeClr w14:val="tx1"/>
            </w14:solidFill>
          </w14:textFill>
        </w:rPr>
        <w:t xml:space="preserve">涉及产品颜色、功能细节须与学校沟通确认后方可供货。</w:t>
      </w:r>
      <w:r>
        <w:rPr>
          <w:highlight w:val="none"/>
        </w:rP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8"/>
          <w:szCs w:val="28"/>
          <w:highlight w:val="none"/>
          <w14:textFill>
            <w14:solidFill>
              <w14:schemeClr w14:val="tx1"/>
            </w14:solidFill>
          </w14:textFill>
        </w:rPr>
      </w:pP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2.</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质保</w:t>
      </w: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及</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售后服务要求</w:t>
      </w:r>
      <w:r>
        <w:rPr>
          <w:highlight w:val="none"/>
        </w:rPr>
      </w:r>
    </w:p>
    <w:p>
      <w:pPr>
        <w:keepLines w:val="0"/>
        <w:keepNext w:val="0"/>
        <w:pageBreakBefore w:val="0"/>
        <w:spacing w:line="440" w:lineRule="exact"/>
        <w:widowControl w:val="off"/>
        <w:rPr>
          <w:rFonts w:hint="eastAsia" w:ascii="仿宋_GB2312" w:eastAsia="仿宋_GB2312"/>
          <w:b w:val="0"/>
          <w:bCs w:val="0"/>
          <w:color w:val="000000" w:themeColor="text1"/>
          <w:sz w:val="24"/>
          <w:szCs w:val="24"/>
          <w:highlight w:val="none"/>
          <w14:textFill>
            <w14:solidFill>
              <w14:schemeClr w14:val="tx1"/>
            </w14:solidFill>
          </w14:textFill>
        </w:rPr>
      </w:pPr>
      <w:r>
        <w:rPr>
          <w:rFonts w:hint="eastAsia" w:ascii="仿宋_GB2312" w:eastAsia="仿宋_GB2312"/>
          <w:b w:val="0"/>
          <w:bCs w:val="0"/>
          <w:color w:val="000000" w:themeColor="text1"/>
          <w:sz w:val="24"/>
          <w:szCs w:val="24"/>
          <w:highlight w:val="none"/>
          <w:lang w:val="en-US" w:eastAsia="zh-CN"/>
          <w14:textFill>
            <w14:solidFill>
              <w14:schemeClr w14:val="tx1"/>
            </w14:solidFill>
          </w14:textFill>
        </w:rPr>
        <w:t xml:space="preserve">（1）整体</w:t>
      </w:r>
      <w:r>
        <w:rPr>
          <w:rFonts w:hint="eastAsia" w:ascii="仿宋_GB2312" w:eastAsia="仿宋_GB2312"/>
          <w:b/>
          <w:bCs/>
          <w:color w:val="000000" w:themeColor="text1"/>
          <w:sz w:val="24"/>
          <w:szCs w:val="24"/>
          <w:highlight w:val="none"/>
          <w:lang w:val="en-US" w:eastAsia="zh-CN"/>
          <w14:textFill>
            <w14:solidFill>
              <w14:schemeClr w14:val="tx1"/>
            </w14:solidFill>
          </w14:textFill>
        </w:rPr>
        <w:t xml:space="preserve">免费质保期为叁年</w:t>
      </w:r>
      <w:r>
        <w:rPr>
          <w:rFonts w:hint="eastAsia" w:ascii="仿宋_GB2312" w:eastAsia="仿宋_GB2312"/>
          <w:b w:val="0"/>
          <w:bCs w:val="0"/>
          <w:color w:val="000000" w:themeColor="text1"/>
          <w:sz w:val="24"/>
          <w:szCs w:val="24"/>
          <w:highlight w:val="none"/>
          <w:lang w:val="en-US" w:eastAsia="zh-CN"/>
          <w14:textFill>
            <w14:solidFill>
              <w14:schemeClr w14:val="tx1"/>
            </w14:solidFill>
          </w14:textFill>
        </w:rPr>
        <w:t xml:space="preserve">。时间自该批次最终验收合格并交付学校使用之日起算。（因检测不合格导致退货或整改的，该批次质保期自整改后重新验收合格并交付使用之日起计算）</w:t>
      </w:r>
      <w:r>
        <w:rPr>
          <w:highlight w:val="none"/>
        </w:rPr>
      </w:r>
    </w:p>
    <w:p>
      <w:pPr>
        <w:keepLines w:val="0"/>
        <w:keepNext w:val="0"/>
        <w:pageBreakBefore w:val="0"/>
        <w:spacing w:line="440" w:lineRule="exact"/>
        <w:widowControl w:val="off"/>
        <w:rPr>
          <w:rFonts w:hint="eastAsia" w:ascii="仿宋_GB2312" w:eastAsia="仿宋_GB2312"/>
          <w:b w:val="0"/>
          <w:bCs w:val="0"/>
          <w:color w:val="000000" w:themeColor="text1"/>
          <w:sz w:val="24"/>
          <w:szCs w:val="24"/>
          <w:highlight w:val="none"/>
          <w14:textFill>
            <w14:solidFill>
              <w14:schemeClr w14:val="tx1"/>
            </w14:solidFill>
          </w14:textFill>
        </w:rPr>
      </w:pPr>
      <w:r>
        <w:rPr>
          <w:rFonts w:hint="eastAsia" w:ascii="仿宋_GB2312" w:eastAsia="仿宋_GB2312"/>
          <w:b w:val="0"/>
          <w:bCs w:val="0"/>
          <w:color w:val="000000" w:themeColor="text1"/>
          <w:sz w:val="24"/>
          <w:szCs w:val="24"/>
          <w:highlight w:val="none"/>
          <w:lang w:val="en-US" w:eastAsia="zh-CN"/>
          <w14:textFill>
            <w14:solidFill>
              <w14:schemeClr w14:val="tx1"/>
            </w14:solidFill>
          </w14:textFill>
        </w:rPr>
        <w:t xml:space="preserve">（2）在保修期内，因制造质量、材料缺陷或安装不当导致的损坏，成交供应商应在接到通知后响应并处置：一般故障（松动、异响、小面积漆损）：≤48小时内免费修复；结构性损坏（断裂、变形、严重开胶）：≤7个工作日内免费更换。修理和更换所需的材料、人工及运输费用均由供应商承担。</w:t>
      </w:r>
      <w:r>
        <w:rPr>
          <w:highlight w:val="none"/>
        </w:rPr>
      </w:r>
    </w:p>
    <w:p>
      <w:pPr>
        <w:keepLines w:val="0"/>
        <w:keepNext w:val="0"/>
        <w:pageBreakBefore w:val="0"/>
        <w:spacing w:line="440" w:lineRule="exact"/>
        <w:widowControl w:val="off"/>
        <w:rPr>
          <w:rFonts w:hint="eastAsia" w:ascii="仿宋_GB2312" w:eastAsia="仿宋_GB2312"/>
          <w:b w:val="0"/>
          <w:bCs w:val="0"/>
          <w:color w:val="000000" w:themeColor="text1"/>
          <w:sz w:val="24"/>
          <w:szCs w:val="24"/>
          <w:highlight w:val="none"/>
          <w14:textFill>
            <w14:solidFill>
              <w14:schemeClr w14:val="tx1"/>
            </w14:solidFill>
          </w14:textFill>
        </w:rPr>
      </w:pPr>
      <w:r>
        <w:rPr>
          <w:rFonts w:hint="eastAsia" w:ascii="仿宋_GB2312" w:eastAsia="仿宋_GB2312"/>
          <w:b w:val="0"/>
          <w:bCs w:val="0"/>
          <w:color w:val="000000" w:themeColor="text1"/>
          <w:sz w:val="24"/>
          <w:szCs w:val="24"/>
          <w:highlight w:val="none"/>
          <w:lang w:val="en-US" w:eastAsia="zh-CN"/>
          <w14:textFill>
            <w14:solidFill>
              <w14:schemeClr w14:val="tx1"/>
            </w14:solidFill>
          </w14:textFill>
        </w:rPr>
        <w:t xml:space="preserve">（3）在保修期外，成交供应商应提供终身维修服务。维修配件仅收取材料采购成本及合理运输费用，且免收上门服务费。</w:t>
      </w:r>
      <w:r>
        <w:rPr>
          <w:highlight w:val="none"/>
        </w:rPr>
      </w:r>
    </w:p>
    <w:p>
      <w:pPr>
        <w:keepLines w:val="0"/>
        <w:keepNext w:val="0"/>
        <w:pageBreakBefore w:val="0"/>
        <w:spacing w:line="440" w:lineRule="exact"/>
        <w:widowControl w:val="off"/>
        <w:rPr>
          <w:rFonts w:hint="eastAsia" w:ascii="仿宋_GB2312" w:eastAsia="仿宋_GB2312"/>
          <w:b w:val="0"/>
          <w:bCs w:val="0"/>
          <w:color w:val="000000" w:themeColor="text1"/>
          <w:sz w:val="24"/>
          <w:szCs w:val="24"/>
          <w:highlight w:val="none"/>
          <w14:textFill>
            <w14:solidFill>
              <w14:schemeClr w14:val="tx1"/>
            </w14:solidFill>
          </w14:textFill>
        </w:rPr>
      </w:pPr>
      <w:r>
        <w:rPr>
          <w:rFonts w:hint="eastAsia" w:ascii="仿宋_GB2312" w:eastAsia="仿宋_GB2312"/>
          <w:b w:val="0"/>
          <w:bCs w:val="0"/>
          <w:color w:val="000000" w:themeColor="text1"/>
          <w:sz w:val="24"/>
          <w:szCs w:val="24"/>
          <w:highlight w:val="none"/>
          <w:lang w:val="en-US" w:eastAsia="zh-CN"/>
          <w14:textFill>
            <w14:solidFill>
              <w14:schemeClr w14:val="tx1"/>
            </w14:solidFill>
          </w14:textFill>
        </w:rPr>
        <w:t xml:space="preserve">（4）成交供应商须在安装完成后，对各校管理人员进行现场操作培训，演示家具的正确使用方法、日常保养要点及简单故障排查，确保管理人员具备基本的维护常识。</w:t>
      </w:r>
      <w:r>
        <w:rPr>
          <w:highlight w:val="none"/>
        </w:rPr>
      </w:r>
    </w:p>
    <w:p>
      <w:pPr>
        <w:keepLines w:val="0"/>
        <w:keepNext w:val="0"/>
        <w:pageBreakBefore w:val="0"/>
        <w:spacing w:line="480" w:lineRule="exact"/>
        <w:widowControl w:val="off"/>
        <w:rPr>
          <w:rFonts w:hint="eastAsia" w:ascii="仿宋_GB2312" w:hAnsi="Times New Roman" w:eastAsia="仿宋_GB2312" w:cs="Times New Roman"/>
          <w:b/>
          <w:bCs/>
          <w:color w:val="000000" w:themeColor="text1"/>
          <w:sz w:val="28"/>
          <w:szCs w:val="28"/>
          <w:highlight w:val="none"/>
          <w14:textFill>
            <w14:solidFill>
              <w14:schemeClr w14:val="tx1"/>
            </w14:solidFill>
          </w14:textFill>
        </w:rPr>
      </w:pP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3</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.验收</w:t>
      </w:r>
      <w:r>
        <w:rPr>
          <w:rFonts w:hint="eastAsia" w:ascii="仿宋_GB2312" w:eastAsia="仿宋_GB2312" w:cs="Times New Roman"/>
          <w:b/>
          <w:bCs/>
          <w:color w:val="000000" w:themeColor="text1"/>
          <w:sz w:val="28"/>
          <w:szCs w:val="28"/>
          <w:highlight w:val="none"/>
          <w:lang w:val="en-US" w:eastAsia="zh-CN"/>
          <w14:textFill>
            <w14:solidFill>
              <w14:schemeClr w14:val="tx1"/>
            </w14:solidFill>
          </w14:textFill>
        </w:rPr>
        <w:t xml:space="preserve">要求</w:t>
      </w:r>
      <w:r>
        <w:rPr>
          <w:highlight w:val="none"/>
        </w:rPr>
      </w:r>
    </w:p>
    <w:p>
      <w:pPr>
        <w:keepLines w:val="0"/>
        <w:keepNext w:val="0"/>
        <w:pageBreakBefore w:val="0"/>
        <w:spacing w:line="440" w:lineRule="exact"/>
        <w:widowControl w:val="off"/>
        <w:rPr>
          <w:rFonts w:hint="eastAsia" w:ascii="仿宋_GB2312" w:eastAsia="仿宋_GB2312"/>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 xml:space="preserve">（1）招标文件技术规格书中明确的标准和技术要求；与合同货物有关的最新版本的中华人民共和国国家/国际标准和部颁标准；货物合格证书技术资料中的精度、质量要求；供应商在澄清响应文件时作出的承诺，经采购单位确认后，将作为对货物的验收依据之一；双方签订的合同技术附件所规定的条款。</w:t>
      </w:r>
      <w:r>
        <w:rPr>
          <w:highlight w:val="none"/>
        </w:rPr>
      </w:r>
    </w:p>
    <w:p>
      <w:pPr>
        <w:keepLines w:val="0"/>
        <w:keepNext w:val="0"/>
        <w:pageBreakBefore w:val="0"/>
        <w:spacing w:line="480" w:lineRule="exact"/>
        <w:widowControl w:val="off"/>
        <w:rPr>
          <w:rFonts w:hint="eastAsia" w:ascii="仿宋_GB2312" w:eastAsia="仿宋_GB2312"/>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szCs w:val="24"/>
          <w:highlight w:val="none"/>
          <w:lang w:val="en-US" w:eastAsia="zh-CN"/>
          <w14:textFill>
            <w14:solidFill>
              <w14:schemeClr w14:val="tx1"/>
            </w14:solidFill>
          </w14:textFill>
        </w:rPr>
        <w:t xml:space="preserve">（2）在接到供应商以书面形式提出验收申请后，学校在3个工作日内及时组织相关专业技术人员，按国家制造和安装的标准要求执行，必要时邀请第三方质检等部门共同参与验收，并出具验收报告，作为支付货款的依据。检查成品外观，不合格件当场标记，供应商须在3日（库存更换）或7日（重新生产）内无条件撤换。</w:t>
      </w:r>
      <w:r>
        <w:rPr>
          <w:highlight w:val="none"/>
        </w:rPr>
      </w:r>
    </w:p>
    <w:p>
      <w:pPr>
        <w:keepLines w:val="0"/>
        <w:keepNext w:val="0"/>
        <w:pageBreakBefore w:val="0"/>
        <w:spacing w:line="480" w:lineRule="exact"/>
        <w:widowControl w:val="off"/>
        <w:rPr>
          <w:rFonts w:hint="eastAsia" w:ascii="仿宋_GB2312" w:eastAsia="仿宋_GB2312"/>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szCs w:val="24"/>
          <w:highlight w:val="none"/>
          <w:lang w:val="en-US" w:eastAsia="zh-CN"/>
          <w14:textFill>
            <w14:solidFill>
              <w14:schemeClr w14:val="tx1"/>
            </w14:solidFill>
          </w14:textFill>
        </w:rPr>
        <w:t xml:space="preserve">外观接收准则：</w:t>
      </w:r>
      <w:r>
        <w:rPr>
          <w:highlight w:val="none"/>
        </w:rPr>
      </w:r>
    </w:p>
    <w:p>
      <w:pPr>
        <w:keepLines w:val="0"/>
        <w:keepNext w:val="0"/>
        <w:pageBreakBefore w:val="0"/>
        <w:spacing w:line="480" w:lineRule="exact"/>
        <w:widowControl w:val="off"/>
        <w:rPr>
          <w:rFonts w:hint="eastAsia" w:ascii="仿宋_GB2312" w:eastAsia="仿宋_GB2312"/>
          <w:color w:val="000000" w:themeColor="text1"/>
          <w:sz w:val="24"/>
          <w:szCs w:val="24"/>
          <w:highlight w:val="none"/>
          <w14:textFill>
            <w14:solidFill>
              <w14:schemeClr w14:val="tx1"/>
            </w14:solidFill>
          </w14:textFill>
        </w:rPr>
      </w:pPr>
      <w:r>
        <w:rPr>
          <w:rFonts w:hint="eastAsia" w:ascii="微软雅黑" w:hAnsi="微软雅黑" w:eastAsia="微软雅黑" w:cs="微软雅黑"/>
          <w:color w:val="000000" w:themeColor="text1"/>
          <w:sz w:val="24"/>
          <w:szCs w:val="24"/>
          <w:highlight w:val="none"/>
          <w:lang w:val="en-US" w:eastAsia="zh-CN"/>
          <w14:textFill>
            <w14:solidFill>
              <w14:schemeClr w14:val="tx1"/>
            </w14:solidFill>
          </w14:textFill>
        </w:rPr>
        <w:t xml:space="preserve">①</w:t>
      </w:r>
      <w:r>
        <w:rPr>
          <w:rFonts w:hint="eastAsia" w:ascii="仿宋_GB2312" w:eastAsia="仿宋_GB2312"/>
          <w:color w:val="000000" w:themeColor="text1"/>
          <w:sz w:val="24"/>
          <w:szCs w:val="24"/>
          <w:highlight w:val="none"/>
          <w:lang w:val="en-US" w:eastAsia="zh-CN"/>
          <w14:textFill>
            <w14:solidFill>
              <w14:schemeClr w14:val="tx1"/>
            </w14:solidFill>
          </w14:textFill>
        </w:rPr>
        <w:t xml:space="preserve">涂层表面：应平整光滑、色泽均匀，不允许有露底、剥落、鼓泡、流挂、明显色差、划痕等缺陷。</w:t>
      </w:r>
      <w:r>
        <w:rPr>
          <w:highlight w:val="none"/>
        </w:rPr>
      </w:r>
    </w:p>
    <w:p>
      <w:pPr>
        <w:keepLines w:val="0"/>
        <w:keepNext w:val="0"/>
        <w:pageBreakBefore w:val="0"/>
        <w:spacing w:line="480" w:lineRule="exact"/>
        <w:widowControl w:val="off"/>
        <w:rPr>
          <w:rFonts w:hint="eastAsia" w:ascii="仿宋_GB2312" w:eastAsia="仿宋_GB2312"/>
          <w:color w:val="000000" w:themeColor="text1"/>
          <w:sz w:val="24"/>
          <w:szCs w:val="24"/>
          <w:highlight w:val="none"/>
          <w14:textFill>
            <w14:solidFill>
              <w14:schemeClr w14:val="tx1"/>
            </w14:solidFill>
          </w14:textFill>
        </w:rPr>
      </w:pPr>
      <w:r>
        <w:rPr>
          <w:rFonts w:hint="eastAsia" w:ascii="微软雅黑" w:hAnsi="微软雅黑" w:eastAsia="微软雅黑" w:cs="微软雅黑"/>
          <w:color w:val="000000" w:themeColor="text1"/>
          <w:sz w:val="24"/>
          <w:szCs w:val="24"/>
          <w:highlight w:val="none"/>
          <w:lang w:val="en-US" w:eastAsia="zh-CN"/>
          <w14:textFill>
            <w14:solidFill>
              <w14:schemeClr w14:val="tx1"/>
            </w14:solidFill>
          </w14:textFill>
        </w:rPr>
        <w:t xml:space="preserve">②</w:t>
      </w:r>
      <w:r>
        <w:rPr>
          <w:rFonts w:hint="eastAsia" w:ascii="仿宋_GB2312" w:eastAsia="仿宋_GB2312"/>
          <w:color w:val="000000" w:themeColor="text1"/>
          <w:sz w:val="24"/>
          <w:szCs w:val="24"/>
          <w:highlight w:val="none"/>
          <w:lang w:val="en-US" w:eastAsia="zh-CN"/>
          <w14:textFill>
            <w14:solidFill>
              <w14:schemeClr w14:val="tx1"/>
            </w14:solidFill>
          </w14:textFill>
        </w:rPr>
        <w:t xml:space="preserve">封边处理：应牢固、平整、无脱胶、无溢胶，过渡圆滑。</w:t>
      </w:r>
      <w:r>
        <w:rPr>
          <w:highlight w:val="none"/>
        </w:rPr>
      </w:r>
    </w:p>
    <w:p>
      <w:pPr>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微软雅黑" w:hAnsi="微软雅黑" w:eastAsia="微软雅黑" w:cs="微软雅黑"/>
          <w:color w:val="000000" w:themeColor="text1"/>
          <w:sz w:val="24"/>
          <w:szCs w:val="24"/>
          <w:highlight w:val="none"/>
          <w:lang w:val="en-US" w:eastAsia="zh-CN"/>
          <w14:textFill>
            <w14:solidFill>
              <w14:schemeClr w14:val="tx1"/>
            </w14:solidFill>
          </w14:textFill>
        </w:rPr>
        <w:t xml:space="preserve">③</w:t>
      </w:r>
      <w:r>
        <w:rPr>
          <w:rFonts w:hint="eastAsia" w:ascii="仿宋_GB2312" w:eastAsia="仿宋_GB2312"/>
          <w:color w:val="000000" w:themeColor="text1"/>
          <w:sz w:val="24"/>
          <w:szCs w:val="24"/>
          <w:highlight w:val="none"/>
          <w:lang w:val="en-US" w:eastAsia="zh-CN"/>
          <w14:textFill>
            <w14:solidFill>
              <w14:schemeClr w14:val="tx1"/>
            </w14:solidFill>
          </w14:textFill>
        </w:rPr>
        <w:t xml:space="preserve">边角及外露部位：均应做倒角或圆滑处理，无毛刺、锐角和锋边。</w:t>
      </w:r>
      <w:r>
        <w:rPr>
          <w:highlight w:val="none"/>
        </w:rPr>
      </w:r>
    </w:p>
    <w:p>
      <w:pPr>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3）所供产品交付使用时，供应商须向校方提供产品说明书、质量保证书、保修卡、合格证以及所承诺提供的产品检测报告等材料。若供应商未能按上述要求提供，校方有权拒绝验收、拒付货款，并保留进一步追究违约责任的权利。</w:t>
      </w:r>
      <w:r>
        <w:rPr>
          <w:highlight w:val="none"/>
        </w:rPr>
      </w:r>
    </w:p>
    <w:p>
      <w:pPr>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（4）成交供应商必须负责所采购产品的运输，并派有经验的技术人员到现场进行卸货、安装，经调试、检测合格后交付使用，其费用由成交供应商承担，包含在报价中。 </w:t>
      </w:r>
      <w:r>
        <w:rPr>
          <w:highlight w:val="none"/>
        </w:rPr>
      </w:r>
    </w:p>
    <w:p>
      <w:pPr>
        <w:keepLines w:val="0"/>
        <w:keepNext w:val="0"/>
        <w:pageBreakBefore w:val="0"/>
        <w:spacing w:line="480" w:lineRule="exact"/>
        <w:widowControl w:val="off"/>
        <w:rPr>
          <w:rFonts w:hint="default"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5）因产品质量或运输、安装不当等原因导致验收不合格，应及时处理直至验收合格，期间产生的一切费用由成交供应商承担；若二次验收不合格，采购人有权退货。采购人在此期间保留对成交供应商的索赔权利。影响到正常教育教学的，一切责任后果，由成交供应商承担。</w:t>
      </w:r>
      <w:r>
        <w:rPr>
          <w:highlight w:val="none"/>
        </w:rPr>
      </w:r>
    </w:p>
    <w:p>
      <w:pPr>
        <w:keepLines w:val="0"/>
        <w:keepNext w:val="0"/>
        <w:pageBreakBefore w:val="0"/>
        <w:spacing w:line="48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4.</w:t>
      </w:r>
      <w:r>
        <w:rPr>
          <w:rFonts w:ascii="Times New Roman" w:hAnsi="Times New Roman" w:eastAsia="仿宋" w:cs="Times New Roman"/>
          <w:b/>
          <w:sz w:val="28"/>
          <w:szCs w:val="28"/>
          <w:highlight w:val="none"/>
        </w:rPr>
        <w:t xml:space="preserve">付款方式</w:t>
      </w:r>
      <w:r>
        <w:rPr>
          <w:highlight w:val="none"/>
        </w:rPr>
      </w:r>
    </w:p>
    <w:p>
      <w:pPr>
        <w:keepLines w:val="0"/>
        <w:keepNext w:val="0"/>
        <w:pageBreakBefore w:val="0"/>
        <w:spacing w:line="480" w:lineRule="exact"/>
        <w:widowControl w:val="off"/>
        <w:rPr>
          <w:rFonts w:hint="default"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（1）</w:t>
      </w:r>
      <w:r>
        <w:rPr>
          <w:rFonts w:hint="default" w:ascii="仿宋" w:hAnsi="仿宋" w:eastAsia="仿宋" w:cs="仿宋"/>
          <w:caps/>
          <w:color w:val="auto"/>
          <w:sz w:val="24"/>
          <w:szCs w:val="24"/>
          <w:highlight w:val="none"/>
          <w:lang w:val="en-US" w:eastAsia="zh-CN" w:bidi="ar-SA"/>
        </w:rPr>
        <w:t xml:space="preserve">合同签订后，成交供应商完成供货及安装调试，经采购人验收合格后，一次性支付合同总价的100%。</w:t>
      </w:r>
      <w:r>
        <w:rPr>
          <w:highlight w:val="none"/>
        </w:rPr>
      </w:r>
    </w:p>
    <w:p>
      <w:pPr>
        <w:pStyle w:val="709"/>
        <w:ind w:left="0" w:firstLine="0"/>
        <w:keepLines w:val="0"/>
        <w:keepNext w:val="0"/>
        <w:pageBreakBefore w:val="0"/>
        <w:spacing w:line="480" w:lineRule="exact"/>
        <w:widowControl w:val="off"/>
        <w:rPr>
          <w:rFonts w:hint="eastAsia"/>
          <w:highlight w:val="none"/>
        </w:rPr>
      </w:pPr>
      <w:r>
        <w:rPr>
          <w:rFonts w:hint="eastAsia" w:ascii="仿宋" w:hAnsi="仿宋" w:eastAsia="仿宋" w:cs="仿宋"/>
          <w:caps/>
          <w:color w:val="auto"/>
          <w:sz w:val="24"/>
          <w:szCs w:val="24"/>
          <w:highlight w:val="none"/>
          <w:lang w:val="en-US" w:eastAsia="zh-CN" w:bidi="ar-SA"/>
        </w:rPr>
        <w:t xml:space="preserve">（2）在买方支付合同价款前，卖方应当先向甲方开具等额合法有效的发票；否则，买方有权拒绝或迟延支付相应款项，且不影响卖方继续履行本合同项下义务。</w:t>
      </w:r>
      <w:r>
        <w:rPr>
          <w:highlight w:val="none"/>
        </w:rPr>
      </w:r>
    </w:p>
    <w:p>
      <w:pPr>
        <w:keepLines w:val="0"/>
        <w:keepNext w:val="0"/>
        <w:pageBreakBefore w:val="0"/>
        <w:spacing w:after="62" w:line="48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5.</w:t>
      </w:r>
      <w:r>
        <w:rPr>
          <w:rFonts w:ascii="Times New Roman" w:hAnsi="Times New Roman" w:eastAsia="仿宋" w:cs="Times New Roman"/>
          <w:b/>
          <w:sz w:val="28"/>
          <w:szCs w:val="28"/>
          <w:highlight w:val="none"/>
        </w:rPr>
        <w:t xml:space="preserve">履约保证金</w:t>
      </w:r>
      <w:r>
        <w:rPr>
          <w:highlight w:val="none"/>
        </w:rPr>
      </w:r>
    </w:p>
    <w:p>
      <w:pPr>
        <w:keepLines w:val="0"/>
        <w:keepNext w:val="0"/>
        <w:pageBreakBefore w:val="0"/>
        <w:spacing w:after="62" w:line="480" w:lineRule="exact"/>
        <w:widowControl w:val="off"/>
        <w:rPr>
          <w:highlight w:val="none"/>
        </w:rPr>
      </w:pPr>
      <w:r>
        <w:rPr>
          <w:rFonts w:ascii="仿宋" w:hAnsi="仿宋" w:eastAsia="仿宋" w:cs="仿宋"/>
          <w:color w:val="000000"/>
          <w:sz w:val="24"/>
          <w:highlight w:val="none"/>
        </w:rPr>
        <w:t xml:space="preserve">1.</w:t>
      </w:r>
      <w:r>
        <w:rPr>
          <w:rFonts w:ascii="仿宋" w:hAnsi="仿宋" w:eastAsia="仿宋" w:cs="仿宋"/>
          <w:b/>
          <w:color w:val="000000"/>
          <w:sz w:val="24"/>
          <w:highlight w:val="none"/>
        </w:rPr>
        <w:t xml:space="preserve">本项目履约保证金为项目成交价的10%</w:t>
      </w:r>
      <w:r>
        <w:rPr>
          <w:rFonts w:ascii="仿宋" w:hAnsi="仿宋" w:eastAsia="仿宋" w:cs="仿宋"/>
          <w:color w:val="000000"/>
          <w:sz w:val="24"/>
          <w:highlight w:val="none"/>
        </w:rPr>
        <w:t xml:space="preserve">。成交供应商应在成交通知书发出之日起至合同签订前，以支票、汇票、本票或金融机构、担保机构出具的保函等非现金形式提交履约保证金。成交供应商凭成交通知书与采购人签订合同。因成交供应商原因超期未签订合同的，视为自动放弃成交资格。</w:t>
      </w:r>
      <w:r>
        <w:rPr>
          <w:highlight w:val="none"/>
        </w:rP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2.</w:t>
      </w:r>
      <w:r>
        <w:rPr>
          <w:rFonts w:hint="eastAsia" w:ascii="仿宋" w:hAnsi="仿宋" w:eastAsia="仿宋"/>
          <w:color w:val="000000"/>
          <w:sz w:val="24"/>
          <w:szCs w:val="24"/>
          <w:highlight w:val="none"/>
        </w:rPr>
        <w:t xml:space="preserve">成交供应商全部</w:t>
      </w:r>
      <w:r>
        <w:rPr>
          <w:rFonts w:hint="eastAsia" w:ascii="仿宋" w:hAnsi="仿宋" w:eastAsia="仿宋"/>
          <w:color w:val="000000"/>
          <w:sz w:val="24"/>
          <w:szCs w:val="24"/>
          <w:highlight w:val="none"/>
          <w:lang w:eastAsia="zh-CN"/>
        </w:rPr>
        <w:t xml:space="preserve">履行合同</w:t>
      </w:r>
      <w:r>
        <w:rPr>
          <w:rFonts w:hint="eastAsia" w:ascii="仿宋" w:hAnsi="仿宋" w:eastAsia="仿宋"/>
          <w:color w:val="000000"/>
          <w:sz w:val="24"/>
          <w:szCs w:val="24"/>
          <w:highlight w:val="none"/>
        </w:rPr>
        <w:t xml:space="preserve">义务，经采购人验收合格无质量、进度等问题的，采购人在验收合格后一次性退还履约保证金，采购人若逾期退还履约保证金的，按照逾期部分的每日0.05%支付违约金；</w:t>
      </w:r>
      <w:r>
        <w:rPr>
          <w:highlight w:val="none"/>
        </w:rP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3.</w:t>
      </w:r>
      <w:r>
        <w:rPr>
          <w:rFonts w:hint="eastAsia" w:ascii="仿宋" w:hAnsi="仿宋" w:eastAsia="仿宋"/>
          <w:color w:val="000000"/>
          <w:sz w:val="24"/>
          <w:szCs w:val="24"/>
          <w:highlight w:val="none"/>
        </w:rPr>
        <w:t xml:space="preserve">发生以下情况的，履约保证金不予退还或部分退还：</w:t>
      </w:r>
      <w:r>
        <w:rPr>
          <w:highlight w:val="none"/>
        </w:rP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a.签订合同后，成交供应商不履行合同义务的，采购人有权全额扣除履约保证金，全额不予退还，同时采购人亦有权终止合同，</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还须承担相应的法律赔偿责任。</w:t>
      </w:r>
      <w:r>
        <w:rPr>
          <w:highlight w:val="none"/>
        </w:rP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b.成交供应商在履约过程中发生违约行为，给采购人造成损失的，采购人有权在成交供应商缴纳的履约保证金中予以扣款，以弥补采购人经济损失，不足的部分成交供应商另外补齐。</w:t>
      </w:r>
      <w:r>
        <w:rPr>
          <w:highlight w:val="none"/>
        </w:rPr>
      </w:r>
    </w:p>
    <w:p>
      <w:pPr>
        <w:jc w:val="left"/>
        <w:keepLines w:val="0"/>
        <w:keepNext w:val="0"/>
        <w:pageBreakBefore w:val="0"/>
        <w:spacing w:line="480" w:lineRule="exact"/>
        <w:widowControl w:val="off"/>
        <w:rPr>
          <w:rFonts w:hint="eastAsia" w:ascii="宋体" w:hAnsi="宋体"/>
          <w:b/>
          <w:bCs/>
          <w:color w:val="000000" w:themeColor="text1"/>
          <w:sz w:val="28"/>
          <w:szCs w:val="28"/>
          <w:highlight w:val="none"/>
          <w14:textFill>
            <w14:solidFill>
              <w14:schemeClr w14:val="tx1"/>
            </w14:solidFill>
          </w14:textFill>
        </w:rPr>
      </w:pPr>
      <w:r>
        <w:rPr>
          <w:rFonts w:hint="eastAsia" w:ascii="仿宋" w:hAnsi="仿宋" w:eastAsia="仿宋"/>
          <w:color w:val="000000"/>
          <w:sz w:val="24"/>
          <w:szCs w:val="24"/>
          <w:highlight w:val="none"/>
          <w:lang w:eastAsia="zh-CN"/>
        </w:rPr>
        <w:t xml:space="preserve">4.</w:t>
      </w:r>
      <w:r>
        <w:rPr>
          <w:rFonts w:hint="eastAsia" w:ascii="仿宋" w:hAnsi="仿宋" w:eastAsia="仿宋"/>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olor w:val="000000"/>
          <w:sz w:val="24"/>
          <w:szCs w:val="24"/>
          <w:highlight w:val="none"/>
          <w:lang w:eastAsia="zh-CN"/>
        </w:rPr>
        <w:t xml:space="preserve">可登录</w:t>
      </w:r>
      <w:r>
        <w:rPr>
          <w:rFonts w:hint="eastAsia" w:ascii="仿宋" w:hAnsi="仿宋" w:eastAsia="仿宋"/>
          <w:color w:val="000000"/>
          <w:sz w:val="24"/>
          <w:szCs w:val="24"/>
          <w:highlight w:val="none"/>
        </w:rPr>
        <w:t xml:space="preserve">江苏政府采购网“资料下载”栏目下载“政府采购电子履约（保函）保险操作手册</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（网址：</w:t>
      </w:r>
      <w:r>
        <w:rPr>
          <w:rFonts w:hint="eastAsia" w:ascii="仿宋" w:hAnsi="仿宋" w:eastAsia="仿宋"/>
          <w:color w:val="000000"/>
          <w:sz w:val="24"/>
          <w:szCs w:val="24"/>
          <w:highlight w:val="none"/>
        </w:rPr>
        <w:fldChar w:fldCharType="begin"/>
      </w:r>
      <w:r>
        <w:rPr>
          <w:rFonts w:hint="eastAsia" w:ascii="仿宋" w:hAnsi="仿宋" w:eastAsia="仿宋"/>
          <w:color w:val="000000"/>
          <w:sz w:val="24"/>
          <w:szCs w:val="24"/>
          <w:highlight w:val="none"/>
        </w:rPr>
        <w:instrText xml:space="preserve"> HYPERLINK "http://www.ccgp-jiangsu.gov.cn/jisngsu/zlxz)。" </w:instrText>
      </w:r>
      <w:r>
        <w:rPr>
          <w:rFonts w:hint="eastAsia" w:ascii="仿宋" w:hAnsi="仿宋" w:eastAsia="仿宋"/>
          <w:color w:val="000000"/>
          <w:sz w:val="24"/>
          <w:szCs w:val="24"/>
          <w:highlight w:val="none"/>
        </w:rPr>
        <w:fldChar w:fldCharType="separate"/>
      </w:r>
      <w:r>
        <w:rPr>
          <w:rFonts w:hint="eastAsia" w:ascii="仿宋" w:hAnsi="仿宋" w:eastAsia="仿宋"/>
          <w:color w:val="000000"/>
          <w:sz w:val="24"/>
          <w:szCs w:val="24"/>
          <w:highlight w:val="none"/>
        </w:rPr>
        <w:t xml:space="preserve">www.ccgp-jiangsu.gov.cn/jisngsu/zlxz</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rPr>
        <w:fldChar w:fldCharType="end"/>
      </w:r>
      <w:r>
        <w:rPr>
          <w:highlight w:val="none"/>
        </w:rPr>
      </w:r>
    </w:p>
    <w:p>
      <w:pPr>
        <w:numPr>
          <w:ilvl w:val="0"/>
          <w:numId w:val="0"/>
        </w:numPr>
        <w:jc w:val="both"/>
        <w:keepLines w:val="0"/>
        <w:keepNext w:val="0"/>
        <w:pageBreakBefore w:val="0"/>
        <w:spacing w:after="0" w:line="480" w:lineRule="exact"/>
        <w:widowControl w:val="off"/>
        <w:rPr>
          <w:rFonts w:hint="eastAsia" w:ascii="宋体" w:hAnsi="宋体" w:eastAsia="宋体" w:cs="Times New Roman"/>
          <w:b/>
          <w:sz w:val="28"/>
          <w:szCs w:val="20"/>
          <w:highlight w:val="none"/>
        </w:rPr>
        <w:outlineLvl w:val="1"/>
      </w:pPr>
      <w:r>
        <w:rPr>
          <w:rFonts w:hint="eastAsia" w:ascii="宋体" w:hAnsi="宋体" w:eastAsia="宋体" w:cs="Times New Roman"/>
          <w:b/>
          <w:sz w:val="28"/>
          <w:szCs w:val="20"/>
          <w:highlight w:val="none"/>
          <w:lang w:val="en-US" w:eastAsia="zh-CN" w:bidi="ar-SA"/>
        </w:rPr>
        <w:t xml:space="preserve">四、采购需求中必须满足的实质性要求</w:t>
      </w:r>
      <w:r>
        <w:rPr>
          <w:highlight w:val="none"/>
        </w:rPr>
      </w:r>
    </w:p>
    <w:p>
      <w:pPr>
        <w:jc w:val="left"/>
        <w:keepLines w:val="0"/>
        <w:keepNext w:val="0"/>
        <w:pageBreakBefore w:val="0"/>
        <w:spacing w:line="480" w:lineRule="exact"/>
        <w:widowControl w:val="off"/>
        <w:rPr>
          <w:rFonts w:hint="eastAsia" w:ascii="仿宋" w:hAnsi="仿宋" w:eastAsia="仿宋"/>
          <w:color w:val="000000"/>
          <w:sz w:val="24"/>
          <w:szCs w:val="24"/>
          <w:highlight w:val="none"/>
        </w:rPr>
      </w:pPr>
      <w:r>
        <w:rPr>
          <w:rFonts w:hint="eastAsia" w:ascii="仿宋" w:hAnsi="仿宋" w:eastAsia="仿宋"/>
          <w:color w:val="000000"/>
          <w:sz w:val="24"/>
          <w:szCs w:val="24"/>
          <w:highlight w:val="none"/>
          <w:lang w:val="en-US" w:eastAsia="zh-CN"/>
        </w:rPr>
        <w:t xml:space="preserve">供应商应在《技术要求响应及偏离表》和《商务要求响应及偏离表》中逐项响应实质性要求，并将对应的佐证材料在上述表格下方依次列明。未按本款规定在偏离表下方列明佐证材料的，评审委员会（询价小组）将启动澄清程序，要求供应商在规定期限内作出说明或补充；供应商拒不澄清或澄清后仍不满足实质性要求的，其响应文件按无效处理。</w:t>
      </w:r>
      <w:r>
        <w:rPr>
          <w:highlight w:val="none"/>
        </w:rPr>
      </w:r>
    </w:p>
    <w:p>
      <w:pPr>
        <w:numPr>
          <w:ilvl w:val="0"/>
          <w:numId w:val="0"/>
        </w:numPr>
        <w:jc w:val="both"/>
        <w:keepLines w:val="0"/>
        <w:keepNext w:val="0"/>
        <w:pageBreakBefore w:val="0"/>
        <w:spacing w:after="0" w:line="480" w:lineRule="exact"/>
        <w:widowControl w:val="off"/>
        <w:rPr>
          <w:rFonts w:hint="eastAsia" w:ascii="仿宋" w:hAnsi="仿宋" w:eastAsia="仿宋" w:cs="仿宋"/>
          <w:b w:val="0"/>
          <w:bCs w:val="0"/>
          <w:i w:val="0"/>
          <w:iCs/>
          <w:color w:val="auto"/>
          <w:sz w:val="24"/>
          <w:szCs w:val="24"/>
          <w:highlight w:val="none"/>
          <w:u w:val="single"/>
        </w:rPr>
        <w:outlineLvl w:val="1"/>
      </w:pPr>
      <w:r>
        <w:rPr>
          <w:rFonts w:hint="eastAsia" w:ascii="仿宋" w:hAnsi="仿宋" w:eastAsia="仿宋" w:cs="仿宋"/>
          <w:b/>
          <w:bCs/>
          <w:i w:val="0"/>
          <w:iCs/>
          <w:color w:val="auto"/>
          <w:sz w:val="24"/>
          <w:szCs w:val="24"/>
          <w:highlight w:val="none"/>
          <w:u w:val="single"/>
          <w:lang w:val="en-US" w:eastAsia="zh-CN"/>
        </w:rPr>
        <w:t xml:space="preserve">1.</w:t>
      </w:r>
      <w:r>
        <w:rPr>
          <w:rFonts w:hint="eastAsia" w:ascii="仿宋" w:hAnsi="仿宋" w:eastAsia="仿宋" w:cs="仿宋"/>
          <w:b/>
          <w:bCs/>
          <w:i w:val="0"/>
          <w:iCs/>
          <w:color w:val="auto"/>
          <w:sz w:val="24"/>
          <w:szCs w:val="24"/>
          <w:highlight w:val="none"/>
          <w:u w:val="single"/>
        </w:rPr>
        <w:t xml:space="preserve">技术部分实质性要求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佐证材料须在《技术要求响应及偏离表》下方列明</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val="0"/>
          <w:bCs w:val="0"/>
          <w:i w:val="0"/>
          <w:iCs/>
          <w:color w:val="auto"/>
          <w:sz w:val="24"/>
          <w:szCs w:val="24"/>
          <w:highlight w:val="none"/>
          <w:u w:val="single"/>
          <w:lang w:val="en-US" w:eastAsia="zh-CN"/>
        </w:rPr>
        <w:t xml:space="preserve">1.1必须完全响应采购需求中列明的所有技术参数、材质、尺寸、工艺等要求。任何负偏离（不满足）都将导致响应无效。</w:t>
      </w:r>
      <w:r>
        <w:rPr>
          <w:highlight w:val="none"/>
        </w:rPr>
      </w:r>
    </w:p>
    <w:p>
      <w:pPr>
        <w:numPr>
          <w:ilvl w:val="0"/>
          <w:numId w:val="0"/>
        </w:numPr>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rPr>
        <w:outlineLvl w:val="1"/>
      </w:pPr>
      <w:r>
        <w:rPr>
          <w:rFonts w:hint="eastAsia" w:ascii="仿宋" w:hAnsi="仿宋" w:eastAsia="仿宋" w:cs="仿宋"/>
          <w:b/>
          <w:bCs/>
          <w:i w:val="0"/>
          <w:iCs/>
          <w:color w:val="auto"/>
          <w:sz w:val="24"/>
          <w:szCs w:val="24"/>
          <w:highlight w:val="none"/>
          <w:u w:val="single"/>
          <w:lang w:val="en-US" w:eastAsia="zh-CN"/>
        </w:rPr>
        <w:t xml:space="preserve">2.</w:t>
      </w:r>
      <w:r>
        <w:rPr>
          <w:rFonts w:hint="eastAsia" w:ascii="仿宋" w:hAnsi="仿宋" w:eastAsia="仿宋" w:cs="仿宋"/>
          <w:b/>
          <w:bCs/>
          <w:i w:val="0"/>
          <w:iCs/>
          <w:color w:val="auto"/>
          <w:sz w:val="24"/>
          <w:szCs w:val="24"/>
          <w:highlight w:val="none"/>
          <w:u w:val="single"/>
        </w:rPr>
        <w:t xml:space="preserve">商务部分实质性要求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佐证材料须在《商务要求响应及偏离表》下方列明</w:t>
      </w:r>
      <w:r>
        <w:rPr>
          <w:rFonts w:hint="eastAsia" w:ascii="仿宋" w:hAnsi="仿宋" w:eastAsia="仿宋" w:cs="仿宋"/>
          <w:b/>
          <w:bCs/>
          <w:i w:val="0"/>
          <w:iCs/>
          <w:color w:val="auto"/>
          <w:sz w:val="24"/>
          <w:szCs w:val="24"/>
          <w:highlight w:val="none"/>
          <w:u w:val="single"/>
          <w:lang w:eastAsia="zh-CN"/>
        </w:rPr>
        <w:t xml:space="preserve">）</w:t>
      </w:r>
      <w:r>
        <w:rPr>
          <w:highlight w:val="none"/>
        </w:rPr>
      </w:r>
    </w:p>
    <w:p>
      <w:pPr>
        <w:pStyle w:val="709"/>
        <w:ind w:left="0" w:firstLine="0"/>
        <w:keepLines w:val="0"/>
        <w:keepNext w:val="0"/>
        <w:pageBreakBefore w:val="0"/>
        <w:spacing w:line="480" w:lineRule="exact"/>
        <w:widowControl w:val="off"/>
        <w:rPr>
          <w:rFonts w:hint="eastAsia" w:ascii="仿宋" w:hAnsi="仿宋" w:eastAsia="仿宋" w:cs="仿宋"/>
          <w:b w:val="0"/>
          <w:bCs w:val="0"/>
          <w:i w:val="0"/>
          <w:iCs w:val="0"/>
          <w:color w:val="auto"/>
          <w:sz w:val="24"/>
          <w:szCs w:val="24"/>
          <w:highlight w:val="none"/>
          <w:u w:val="single"/>
        </w:rPr>
      </w:pP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2.1本项目须在合同签订后15个日历天内完成交付，供应商须提供加盖公章的书面承诺函，格式自拟。</w:t>
      </w:r>
      <w:r>
        <w:rPr>
          <w:highlight w:val="none"/>
        </w:rP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rPr>
          <w:highlight w:val="none"/>
        </w:rPr>
      </w:r>
    </w:p>
    <w:p>
      <w:pPr>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clear="all"/>
      </w:r>
      <w:r>
        <w:rPr>
          <w:highlight w:val="none"/>
        </w:rPr>
      </w:r>
    </w:p>
    <w:p>
      <w:pPr>
        <w:pStyle w:val="709"/>
        <w:ind w:firstLine="0"/>
        <w:jc w:val="center"/>
        <w:rPr>
          <w:rFonts w:hint="eastAsia" w:ascii="黑体" w:hAnsi="黑体" w:eastAsia="黑体" w:cs="黑体"/>
          <w:color w:val="000000"/>
          <w:sz w:val="44"/>
          <w:highlight w:val="none"/>
        </w:rPr>
        <w:outlineLvl w:val="0"/>
      </w:pPr>
      <w:r>
        <w:rPr>
          <w:highlight w:val="none"/>
        </w:rPr>
      </w:r>
      <w:bookmarkStart w:id="13" w:name="_Toc3917"/>
      <w:r>
        <w:rPr>
          <w:rFonts w:hint="eastAsia" w:ascii="黑体" w:hAnsi="黑体" w:eastAsia="黑体" w:cs="黑体"/>
          <w:color w:val="000000"/>
          <w:sz w:val="44"/>
          <w:highlight w:val="none"/>
          <w:lang w:eastAsia="zh-CN"/>
        </w:rPr>
        <w:t xml:space="preserve">第五章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响应文件格式</w:t>
      </w:r>
      <w:bookmarkEnd w:id="13"/>
      <w:r>
        <w:rPr>
          <w:highlight w:val="none"/>
        </w:rPr>
      </w:r>
      <w:r>
        <w:rPr>
          <w:highlight w:val="none"/>
        </w:rPr>
      </w:r>
    </w:p>
    <w:p>
      <w:pPr>
        <w:jc w:val="left"/>
        <w:keepLines w:val="0"/>
        <w:keepNext w:val="0"/>
        <w:widowControl/>
        <w:rPr>
          <w:rFonts w:hint="eastAsia" w:ascii="仿宋" w:hAnsi="仿宋" w:eastAsia="仿宋" w:cs="仿宋"/>
          <w:b/>
          <w:bCs w:val="0"/>
          <w:color w:val="ff0000"/>
          <w:sz w:val="28"/>
          <w:szCs w:val="28"/>
          <w:highlight w:val="none"/>
        </w:rPr>
        <w:suppressLineNumbers w:val="0"/>
      </w:pPr>
      <w:r>
        <w:rPr>
          <w:rStyle w:val="704"/>
          <w:rFonts w:hint="eastAsia" w:ascii="仿宋" w:hAnsi="仿宋" w:eastAsia="仿宋" w:cs="仿宋"/>
          <w:b/>
          <w:bCs w:val="0"/>
          <w:color w:val="ff0000"/>
          <w:sz w:val="28"/>
          <w:szCs w:val="28"/>
          <w:highlight w:val="none"/>
          <w:lang w:val="en-US" w:eastAsia="zh-CN" w:bidi="ar"/>
        </w:rPr>
        <w:t xml:space="preserve">友情提示：</w:t>
      </w:r>
      <w:r>
        <w:rPr>
          <w:highlight w:val="none"/>
        </w:rPr>
      </w:r>
    </w:p>
    <w:p>
      <w:pPr>
        <w:jc w:val="left"/>
        <w:keepLines w:val="0"/>
        <w:keepNext w:val="0"/>
        <w:widowControl/>
        <w:rPr>
          <w:rFonts w:hint="eastAsia" w:ascii="仿宋" w:hAnsi="仿宋" w:eastAsia="仿宋" w:cs="仿宋"/>
          <w:b/>
          <w:bCs w:val="0"/>
          <w:color w:val="ff0000"/>
          <w:sz w:val="28"/>
          <w:szCs w:val="28"/>
          <w:highlight w:val="none"/>
        </w:rPr>
        <w:suppressLineNumbers w:val="0"/>
      </w:pPr>
      <w:r>
        <w:rPr>
          <w:rFonts w:hint="eastAsia" w:ascii="仿宋" w:hAnsi="仿宋" w:eastAsia="仿宋" w:cs="仿宋"/>
          <w:b/>
          <w:bCs w:val="0"/>
          <w:color w:val="ff0000"/>
          <w:sz w:val="28"/>
          <w:szCs w:val="28"/>
          <w:highlight w:val="none"/>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rPr>
          <w:highlight w:val="none"/>
        </w:rPr>
      </w:r>
    </w:p>
    <w:p>
      <w:pPr>
        <w:pStyle w:val="709"/>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rPr>
          <w:highlight w:val="none"/>
        </w:rPr>
      </w:r>
    </w:p>
    <w:p>
      <w:pPr>
        <w:pStyle w:val="709"/>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rPr>
          <w:highlight w:val="none"/>
        </w:rPr>
      </w:r>
    </w:p>
    <w:p>
      <w:pPr>
        <w:pStyle w:val="709"/>
        <w:ind w:firstLine="0"/>
        <w:jc w:val="center"/>
        <w:rPr>
          <w:rFonts w:hint="eastAsia" w:ascii="宋体" w:hAnsi="宋体" w:eastAsia="宋体" w:cs="宋体"/>
          <w:color w:val="000000"/>
          <w:sz w:val="72"/>
          <w:szCs w:val="72"/>
          <w:highlight w:val="none"/>
        </w:rPr>
        <w:outlineLvl w:val="0"/>
      </w:pPr>
      <w:r>
        <w:rPr>
          <w:rFonts w:hint="eastAsia" w:ascii="宋体" w:hAnsi="宋体" w:eastAsia="宋体" w:cs="宋体"/>
          <w:color w:val="000000"/>
          <w:sz w:val="72"/>
          <w:szCs w:val="72"/>
          <w:highlight w:val="none"/>
          <w:lang w:val="en-US" w:eastAsia="zh-CN"/>
        </w:rPr>
        <w:t xml:space="preserve">响 应 文 件</w:t>
      </w:r>
      <w:r>
        <w:rPr>
          <w:highlight w:val="none"/>
        </w:rPr>
      </w:r>
    </w:p>
    <w:p>
      <w:pPr>
        <w:pStyle w:val="869"/>
        <w:ind w:left="0"/>
        <w:jc w:val="center"/>
        <w:spacing w:after="0" w:line="400" w:lineRule="exact"/>
        <w:rPr>
          <w:rFonts w:ascii="宋体" w:hAnsi="宋体"/>
          <w:szCs w:val="21"/>
          <w:highlight w:val="none"/>
        </w:rPr>
      </w:pPr>
      <w:r>
        <w:rPr>
          <w:rFonts w:ascii="宋体" w:hAnsi="宋体"/>
          <w:szCs w:val="21"/>
          <w:highlight w:val="none"/>
        </w:rPr>
      </w:r>
      <w:r>
        <w:rPr>
          <w:highlight w:val="none"/>
        </w:rPr>
      </w:r>
    </w:p>
    <w:p>
      <w:pPr>
        <w:pStyle w:val="869"/>
        <w:ind w:left="0"/>
        <w:jc w:val="center"/>
        <w:spacing w:after="0" w:line="400" w:lineRule="exact"/>
        <w:rPr>
          <w:rFonts w:ascii="宋体" w:hAnsi="宋体"/>
          <w:szCs w:val="21"/>
          <w:highlight w:val="none"/>
        </w:rPr>
      </w:pPr>
      <w:r>
        <w:rPr>
          <w:rFonts w:ascii="宋体" w:hAnsi="宋体"/>
          <w:szCs w:val="21"/>
          <w:highlight w:val="none"/>
        </w:rPr>
      </w:r>
      <w:r>
        <w:rPr>
          <w:highlight w:val="none"/>
        </w:rPr>
      </w:r>
    </w:p>
    <w:p>
      <w:pPr>
        <w:pStyle w:val="870"/>
        <w:rPr>
          <w:highlight w:val="none"/>
        </w:rPr>
      </w:pPr>
      <w:r>
        <w:rPr>
          <w:highlight w:val="none"/>
        </w:rPr>
      </w:r>
      <w:r>
        <w:rPr>
          <w:highlight w:val="none"/>
        </w:rPr>
      </w:r>
    </w:p>
    <w:p>
      <w:pPr>
        <w:pStyle w:val="869"/>
        <w:ind w:left="0"/>
        <w:jc w:val="center"/>
        <w:spacing w:after="0" w:line="400" w:lineRule="exact"/>
        <w:rPr>
          <w:rFonts w:ascii="宋体" w:hAnsi="宋体"/>
          <w:szCs w:val="21"/>
          <w:highlight w:val="none"/>
        </w:rPr>
      </w:pPr>
      <w:r>
        <w:rPr>
          <w:rFonts w:ascii="宋体" w:hAnsi="宋体"/>
          <w:szCs w:val="21"/>
          <w:highlight w:val="none"/>
        </w:rPr>
      </w:r>
      <w:r>
        <w:rPr>
          <w:highlight w:val="none"/>
        </w:rPr>
      </w:r>
    </w:p>
    <w:p>
      <w:pPr>
        <w:pStyle w:val="869"/>
        <w:ind w:left="0"/>
        <w:jc w:val="center"/>
        <w:spacing w:after="0" w:line="400" w:lineRule="exact"/>
        <w:rPr>
          <w:rFonts w:hint="eastAsia" w:ascii="宋体" w:hAnsi="宋体"/>
          <w:szCs w:val="21"/>
          <w:highlight w:val="none"/>
        </w:rPr>
      </w:pPr>
      <w:r>
        <w:rPr>
          <w:rFonts w:hint="eastAsia" w:ascii="宋体" w:hAnsi="宋体"/>
          <w:szCs w:val="21"/>
          <w:highlight w:val="none"/>
        </w:rPr>
      </w:r>
      <w:r>
        <w:rPr>
          <w:highlight w:val="none"/>
        </w:rP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rPr>
          <w:highlight w:val="none"/>
        </w:rP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rPr>
          <w:highlight w:val="none"/>
        </w:rP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rPr>
          <w:highlight w:val="none"/>
        </w:rP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rPr>
          <w:highlight w:val="none"/>
        </w:rPr>
      </w:r>
    </w:p>
    <w:p>
      <w:pPr>
        <w:pStyle w:val="869"/>
        <w:ind w:left="0"/>
        <w:jc w:val="center"/>
        <w:spacing w:after="0" w:line="400" w:lineRule="exact"/>
        <w:rPr>
          <w:rFonts w:hint="eastAsia" w:ascii="宋体" w:hAnsi="宋体"/>
          <w:b/>
          <w:bCs/>
          <w:sz w:val="32"/>
          <w:szCs w:val="32"/>
          <w:highlight w:val="none"/>
        </w:rPr>
        <w:outlineLvl w:val="1"/>
      </w:pPr>
      <w:r>
        <w:rPr>
          <w:rFonts w:hint="eastAsia" w:ascii="黑体" w:hAnsi="黑体" w:eastAsia="黑体" w:cs="黑体"/>
          <w:color w:val="000000"/>
          <w:sz w:val="44"/>
          <w:highlight w:val="none"/>
        </w:rPr>
        <w:br w:type="page" w:clear="all"/>
      </w:r>
      <w:r>
        <w:rPr>
          <w:rFonts w:hint="eastAsia" w:ascii="宋体" w:hAnsi="宋体"/>
          <w:b/>
          <w:bCs/>
          <w:sz w:val="32"/>
          <w:szCs w:val="32"/>
          <w:highlight w:val="none"/>
        </w:rPr>
        <w:t xml:space="preserve">响应文件目录</w:t>
      </w:r>
      <w:r>
        <w:rPr>
          <w:highlight w:val="none"/>
        </w:rP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rPr>
          <w:highlight w:val="none"/>
        </w:rP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rPr>
          <w:highlight w:val="none"/>
        </w:rP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w:t>
      </w:r>
      <w:r>
        <w:rPr>
          <w:rFonts w:hint="eastAsia" w:ascii="仿宋" w:hAnsi="仿宋" w:eastAsia="仿宋"/>
          <w:color w:val="000000" w:themeColor="text1"/>
          <w:sz w:val="28"/>
          <w:szCs w:val="28"/>
          <w:highlight w:val="none"/>
          <w:lang w:eastAsia="zh-CN"/>
          <w14:textFill>
            <w14:solidFill>
              <w14:schemeClr w14:val="tx1"/>
            </w14:solidFill>
          </w14:textFill>
        </w:rPr>
        <w:t xml:space="preserve">复印件并加盖</w:t>
      </w:r>
      <w:r>
        <w:rPr>
          <w:rFonts w:ascii="仿宋" w:hAnsi="仿宋" w:eastAsia="仿宋"/>
          <w:color w:val="000000" w:themeColor="text1"/>
          <w:sz w:val="28"/>
          <w:szCs w:val="28"/>
          <w:highlight w:val="none"/>
          <w14:textFill>
            <w14:solidFill>
              <w14:schemeClr w14:val="tx1"/>
            </w14:solidFill>
          </w14:textFill>
        </w:rPr>
        <w:t xml:space="preserve">公章</w:t>
      </w:r>
      <w:r>
        <w:rPr>
          <w:highlight w:val="none"/>
        </w:rP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（如果本项目专门面向中小微型企业采购，则必须提供。格式见附件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rPr>
          <w:highlight w:val="none"/>
        </w:rPr>
      </w:r>
    </w:p>
    <w:p>
      <w:pPr>
        <w:ind w:firstLine="560"/>
        <w:keepLines w:val="0"/>
        <w:keepNext w:val="0"/>
        <w:pageBreakBefore w:val="0"/>
        <w:spacing w:line="440" w:lineRule="exact"/>
        <w:widowControl w:val="off"/>
        <w:rPr>
          <w:rFonts w:hint="eastAsia"/>
          <w:highlight w:val="none"/>
        </w:rPr>
      </w:pPr>
      <w:r>
        <w:rPr>
          <w:rFonts w:hint="eastAsia" w:ascii="仿宋_GB2312" w:hAnsi="仿宋_GB2312" w:eastAsia="仿宋_GB2312" w:cs="仿宋_GB2312"/>
          <w:sz w:val="28"/>
          <w:szCs w:val="32"/>
          <w:highlight w:val="none"/>
        </w:rPr>
        <w:t xml:space="preserve">总备注：上述“资格审查内容”中1、3、4</w:t>
      </w:r>
      <w:r>
        <w:rPr>
          <w:rFonts w:hint="eastAsia" w:ascii="仿宋_GB2312" w:hAnsi="仿宋_GB2312" w:eastAsia="仿宋_GB2312" w:cs="仿宋_GB2312"/>
          <w:sz w:val="28"/>
          <w:szCs w:val="32"/>
          <w:highlight w:val="none"/>
          <w:lang w:eastAsia="zh-CN"/>
        </w:rPr>
        <w:t xml:space="preserve">、</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条</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必须在响应文件中提供相关材料，否则作无效响应处理；2、5、</w:t>
      </w:r>
      <w:r>
        <w:rPr>
          <w:rFonts w:hint="eastAsia" w:ascii="仿宋_GB2312" w:hAnsi="仿宋_GB2312" w:eastAsia="仿宋_GB2312" w:cs="仿宋_GB2312"/>
          <w:sz w:val="28"/>
          <w:szCs w:val="32"/>
          <w:highlight w:val="none"/>
          <w:lang w:val="en-US" w:eastAsia="zh-CN"/>
        </w:rPr>
        <w:t xml:space="preserve">7、8</w:t>
      </w:r>
      <w:r>
        <w:rPr>
          <w:rFonts w:hint="eastAsia" w:ascii="仿宋_GB2312" w:hAnsi="仿宋_GB2312" w:eastAsia="仿宋_GB2312" w:cs="仿宋_GB2312"/>
          <w:sz w:val="28"/>
          <w:szCs w:val="32"/>
          <w:highlight w:val="none"/>
        </w:rPr>
        <w:t xml:space="preserve">条如询价文件要求必须提供相关材料而未提供的，作无效响应处理。</w:t>
      </w:r>
      <w:r>
        <w:rPr>
          <w:highlight w:val="none"/>
        </w:rP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三、符合性审查内容</w:t>
      </w:r>
      <w:r>
        <w:rPr>
          <w:highlight w:val="none"/>
        </w:rPr>
      </w:r>
    </w:p>
    <w:p>
      <w:pPr>
        <w:pStyle w:val="709"/>
        <w:keepLines w:val="0"/>
        <w:keepNext w:val="0"/>
        <w:pageBreakBefore w:val="0"/>
        <w:spacing w:line="440" w:lineRule="exact"/>
        <w:widowControl w:val="off"/>
        <w:rPr>
          <w:rFonts w:hint="eastAsia"/>
          <w:highlight w:val="none"/>
        </w:rPr>
      </w:pPr>
      <w:r>
        <w:rPr>
          <w:rFonts w:hint="eastAsia" w:ascii="仿宋" w:hAnsi="仿宋" w:eastAsia="仿宋"/>
          <w:b/>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
          <w:bCs/>
          <w:color w:val="000000" w:themeColor="text1"/>
          <w:sz w:val="28"/>
          <w:szCs w:val="28"/>
          <w:highlight w:val="none"/>
          <w14:textFill>
            <w14:solidFill>
              <w14:schemeClr w14:val="tx1"/>
            </w14:solidFill>
          </w14:textFill>
        </w:rPr>
        <w:t xml:space="preserve">必须</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采购需求中</w:t>
      </w:r>
      <w:r>
        <w:rPr>
          <w:rFonts w:ascii="仿宋" w:hAnsi="仿宋" w:eastAsia="仿宋"/>
          <w:b/>
          <w:bCs/>
          <w:color w:val="000000" w:themeColor="text1"/>
          <w:sz w:val="28"/>
          <w:szCs w:val="28"/>
          <w:highlight w:val="none"/>
          <w14:textFill>
            <w14:solidFill>
              <w14:schemeClr w14:val="tx1"/>
            </w14:solidFill>
          </w14:textFill>
        </w:rPr>
        <w:t xml:space="preserve">加斜体下划线的实质性要求</w:t>
      </w:r>
      <w:r>
        <w:rPr>
          <w:rFonts w:hint="eastAsia" w:ascii="仿宋" w:hAnsi="仿宋" w:eastAsia="仿宋"/>
          <w:b/>
          <w:bCs/>
          <w:color w:val="000000" w:themeColor="text1"/>
          <w:sz w:val="28"/>
          <w:szCs w:val="28"/>
          <w:highlight w:val="none"/>
          <w14:textFill>
            <w14:solidFill>
              <w14:schemeClr w14:val="tx1"/>
            </w14:solidFill>
          </w14:textFill>
        </w:rPr>
        <w:t xml:space="preserve">逐条</w:t>
      </w:r>
      <w:r>
        <w:rPr>
          <w:rFonts w:ascii="仿宋" w:hAnsi="仿宋" w:eastAsia="仿宋"/>
          <w:b/>
          <w:bCs/>
          <w:color w:val="000000" w:themeColor="text1"/>
          <w:sz w:val="28"/>
          <w:szCs w:val="28"/>
          <w:highlight w:val="none"/>
          <w14:textFill>
            <w14:solidFill>
              <w14:schemeClr w14:val="tx1"/>
            </w14:solidFill>
          </w14:textFill>
        </w:rPr>
        <w:t xml:space="preserve">做出响应，并按照</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采购文件</w:t>
      </w:r>
      <w:r>
        <w:rPr>
          <w:rFonts w:ascii="仿宋" w:hAnsi="仿宋" w:eastAsia="仿宋"/>
          <w:b/>
          <w:bCs/>
          <w:color w:val="000000" w:themeColor="text1"/>
          <w:sz w:val="28"/>
          <w:szCs w:val="28"/>
          <w:highlight w:val="none"/>
          <w14:textFill>
            <w14:solidFill>
              <w14:schemeClr w14:val="tx1"/>
            </w14:solidFill>
          </w14:textFill>
        </w:rPr>
        <w:t xml:space="preserve">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w:t>
      </w:r>
      <w:r>
        <w:rPr>
          <w:rFonts w:hint="eastAsia" w:ascii="仿宋" w:hAnsi="仿宋" w:eastAsia="仿宋"/>
          <w:b/>
          <w:bCs/>
          <w:color w:val="000000" w:themeColor="text1"/>
          <w:sz w:val="28"/>
          <w:szCs w:val="28"/>
          <w:highlight w:val="none"/>
          <w14:textFill>
            <w14:solidFill>
              <w14:schemeClr w14:val="tx1"/>
            </w14:solidFill>
          </w14:textFill>
        </w:rPr>
        <w:t xml:space="preserve">，否则</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作</w:t>
      </w:r>
      <w:r>
        <w:rPr>
          <w:rFonts w:hint="eastAsia" w:ascii="仿宋" w:hAnsi="仿宋" w:eastAsia="仿宋"/>
          <w:b/>
          <w:bCs/>
          <w:color w:val="000000" w:themeColor="text1"/>
          <w:sz w:val="28"/>
          <w:szCs w:val="28"/>
          <w:highlight w:val="none"/>
          <w14:textFill>
            <w14:solidFill>
              <w14:schemeClr w14:val="tx1"/>
            </w14:solidFill>
          </w14:textFill>
        </w:rPr>
        <w:t xml:space="preserve">无效投标处理。</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w:t>
      </w:r>
      <w:r>
        <w:rPr>
          <w:highlight w:val="none"/>
        </w:rP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w:t>
      </w: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w:t>
      </w:r>
      <w:r>
        <w:rPr>
          <w:highlight w:val="none"/>
        </w:rPr>
      </w:r>
    </w:p>
    <w:p>
      <w:pPr>
        <w:ind w:firstLine="560"/>
        <w:rPr>
          <w:rFonts w:ascii="仿宋_GB2312" w:hAnsi="仿宋_GB2312" w:eastAsia="仿宋_GB2312" w:cs="仿宋_GB2312"/>
          <w:sz w:val="28"/>
          <w:szCs w:val="32"/>
          <w:highlight w:val="none"/>
        </w:rPr>
      </w:pPr>
      <w:r>
        <w:rPr>
          <w:rFonts w:ascii="仿宋_GB2312" w:hAnsi="仿宋_GB2312" w:eastAsia="仿宋_GB2312" w:cs="仿宋_GB2312"/>
          <w:sz w:val="28"/>
          <w:szCs w:val="32"/>
          <w:highlight w:val="none"/>
        </w:rPr>
      </w:r>
      <w:r>
        <w:rPr>
          <w:highlight w:val="none"/>
        </w:rPr>
      </w:r>
    </w:p>
    <w:p>
      <w:pPr>
        <w:rPr>
          <w:rFonts w:hint="eastAsia" w:ascii="仿宋_GB2312" w:hAnsi="仿宋_GB2312" w:eastAsia="仿宋_GB2312" w:cs="仿宋_GB2312"/>
          <w:b/>
          <w:sz w:val="32"/>
          <w:szCs w:val="32"/>
          <w:highlight w:val="none"/>
        </w:rPr>
      </w:pPr>
      <w:r>
        <w:rPr>
          <w:rFonts w:ascii="仿宋_GB2312" w:hAnsi="仿宋_GB2312" w:eastAsia="仿宋_GB2312" w:cs="仿宋_GB2312"/>
          <w:sz w:val="28"/>
          <w:szCs w:val="32"/>
          <w:highlight w:val="none"/>
        </w:rPr>
        <w:br w:type="page" w:clear="all"/>
      </w:r>
      <w:r>
        <w:rPr>
          <w:rFonts w:hint="eastAsia" w:ascii="仿宋_GB2312" w:hAnsi="仿宋_GB2312" w:eastAsia="仿宋_GB2312" w:cs="仿宋_GB2312"/>
          <w:b/>
          <w:sz w:val="32"/>
          <w:szCs w:val="32"/>
          <w:highlight w:val="none"/>
        </w:rPr>
        <w:t xml:space="preserve">附件1</w:t>
      </w:r>
      <w:r>
        <w:rPr>
          <w:highlight w:val="none"/>
        </w:rPr>
      </w:r>
    </w:p>
    <w:p>
      <w:pPr>
        <w:pStyle w:val="869"/>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rPr>
          <w:highlight w:val="none"/>
        </w:rPr>
      </w:r>
    </w:p>
    <w:p>
      <w:pPr>
        <w:pStyle w:val="870"/>
        <w:rPr>
          <w:rFonts w:hint="eastAsia"/>
          <w:highlight w:val="none"/>
        </w:rPr>
      </w:pPr>
      <w:r>
        <w:rPr>
          <w:rFonts w:hint="eastAsia"/>
          <w:highlight w:val="none"/>
        </w:rPr>
      </w:r>
      <w:r>
        <w:rPr>
          <w:highlight w:val="none"/>
        </w:rPr>
      </w:r>
    </w:p>
    <w:p>
      <w:pPr>
        <w:pStyle w:val="869"/>
        <w:ind w:left="0"/>
        <w:jc w:val="left"/>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货币单位：人民币元</w:t>
      </w:r>
      <w:r>
        <w:rPr>
          <w:highlight w:val="none"/>
        </w:rPr>
      </w:r>
    </w:p>
    <w:tbl>
      <w:tblPr>
        <w:tblStyle w:val="6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5"/>
        <w:gridCol w:w="2700"/>
        <w:gridCol w:w="2494"/>
        <w:gridCol w:w="1745"/>
      </w:tblGrid>
      <w:tr>
        <w:trPr>
          <w:jc w:val="center"/>
          <w:trHeight w:val="850"/>
        </w:trPr>
        <w:tc>
          <w:tcPr>
            <w:tcW w:w="1555"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序号</w:t>
            </w:r>
            <w:r>
              <w:rPr>
                <w:highlight w:val="none"/>
              </w:rPr>
            </w:r>
          </w:p>
        </w:tc>
        <w:tc>
          <w:tcPr>
            <w:tcW w:w="270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项目名称</w:t>
            </w:r>
            <w:r>
              <w:rPr>
                <w:highlight w:val="none"/>
              </w:rPr>
            </w:r>
          </w:p>
        </w:tc>
        <w:tc>
          <w:tcPr>
            <w:tcW w:w="2494" w:type="dxa"/>
            <w:vAlign w:val="center"/>
            <w:textDirection w:val="lrTb"/>
            <w:noWrap w:val="false"/>
          </w:tcPr>
          <w:p>
            <w:pPr>
              <w:jc w:val="center"/>
              <w:spacing w:before="20" w:after="20" w:line="30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报价项目品牌/</w:t>
            </w:r>
            <w:r>
              <w:rPr>
                <w:highlight w:val="none"/>
              </w:rP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规格型号</w:t>
            </w:r>
            <w:r>
              <w:rPr>
                <w:highlight w:val="none"/>
              </w:rPr>
            </w:r>
          </w:p>
        </w:tc>
        <w:tc>
          <w:tcPr>
            <w:tcW w:w="1745" w:type="dxa"/>
            <w:vAlign w:val="center"/>
            <w:textDirection w:val="lrTb"/>
            <w:noWrap w:val="false"/>
          </w:tcPr>
          <w:p>
            <w:pPr>
              <w:jc w:val="center"/>
              <w:spacing w:before="20" w:after="20" w:line="30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总价</w:t>
            </w:r>
            <w:r>
              <w:rPr>
                <w:highlight w:val="none"/>
              </w:rP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（小写）</w:t>
            </w:r>
            <w:r>
              <w:rPr>
                <w:highlight w:val="none"/>
              </w:rPr>
            </w:r>
          </w:p>
        </w:tc>
      </w:tr>
      <w:tr>
        <w:trPr>
          <w:jc w:val="center"/>
          <w:trHeight w:val="850"/>
        </w:trPr>
        <w:tc>
          <w:tcPr>
            <w:tcW w:w="1555"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8"/>
                <w:szCs w:val="28"/>
                <w:highlight w:val="none"/>
              </w:rPr>
              <w:t xml:space="preserve">1</w:t>
            </w:r>
            <w:r>
              <w:rPr>
                <w:highlight w:val="none"/>
              </w:rPr>
            </w:r>
          </w:p>
        </w:tc>
        <w:tc>
          <w:tcPr>
            <w:tcW w:w="270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highlight w:val="none"/>
              </w:rPr>
              <w:t xml:space="preserve">（填写项目名称）</w:t>
            </w:r>
            <w:r>
              <w:rPr>
                <w:highlight w:val="none"/>
              </w:rPr>
            </w:r>
          </w:p>
        </w:tc>
        <w:tc>
          <w:tcPr>
            <w:tcW w:w="2494"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highlight w:val="none"/>
              </w:rPr>
              <w:t xml:space="preserve">详见</w:t>
            </w:r>
            <w:r>
              <w:rPr>
                <w:rFonts w:hint="eastAsia" w:ascii="仿宋" w:hAnsi="仿宋" w:eastAsia="仿宋" w:cs="仿宋"/>
                <w:b w:val="0"/>
                <w:bCs w:val="0"/>
                <w:sz w:val="24"/>
                <w:szCs w:val="24"/>
                <w:highlight w:val="none"/>
                <w:lang w:val="en-US" w:eastAsia="zh-CN"/>
              </w:rPr>
              <w:t xml:space="preserve">分项</w:t>
            </w:r>
            <w:r>
              <w:rPr>
                <w:rFonts w:hint="eastAsia" w:ascii="仿宋" w:hAnsi="仿宋" w:eastAsia="仿宋" w:cs="仿宋"/>
                <w:b w:val="0"/>
                <w:bCs w:val="0"/>
                <w:sz w:val="24"/>
                <w:szCs w:val="24"/>
                <w:highlight w:val="none"/>
              </w:rPr>
              <w:t xml:space="preserve">报价明细表</w:t>
            </w:r>
            <w:r>
              <w:rPr>
                <w:highlight w:val="none"/>
              </w:rPr>
            </w:r>
          </w:p>
        </w:tc>
        <w:tc>
          <w:tcPr>
            <w:tcW w:w="1745" w:type="dxa"/>
            <w:vAlign w:val="center"/>
            <w:textDirection w:val="lrTb"/>
            <w:noWrap w:val="false"/>
          </w:tcPr>
          <w:p>
            <w:pPr>
              <w:jc w:val="right"/>
              <w:spacing w:before="20" w:after="20" w:line="30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r>
      <w:tr>
        <w:trPr>
          <w:jc w:val="center"/>
          <w:trHeight w:val="850"/>
        </w:trPr>
        <w:tc>
          <w:tcPr>
            <w:tcW w:w="1555" w:type="dxa"/>
            <w:vAlign w:val="center"/>
            <w:textDirection w:val="lrTb"/>
            <w:noWrap w:val="false"/>
          </w:tcPr>
          <w:p>
            <w:pPr>
              <w:jc w:val="center"/>
              <w:spacing w:before="20" w:after="20" w:line="30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总价</w:t>
            </w:r>
            <w:r>
              <w:rPr>
                <w:highlight w:val="none"/>
              </w:rP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（大写）</w:t>
            </w:r>
            <w:r>
              <w:rPr>
                <w:highlight w:val="none"/>
              </w:rPr>
            </w:r>
          </w:p>
        </w:tc>
        <w:tc>
          <w:tcPr>
            <w:gridSpan w:val="3"/>
            <w:tcW w:w="6939" w:type="dxa"/>
            <w:vAlign w:val="center"/>
            <w:textDirection w:val="lrTb"/>
            <w:noWrap w:val="false"/>
          </w:tcPr>
          <w:p>
            <w:pPr>
              <w:jc w:val="left"/>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8"/>
                <w:szCs w:val="28"/>
                <w:highlight w:val="none"/>
              </w:rPr>
              <w:t xml:space="preserve">人民币（大写）：__________________________元整</w:t>
            </w:r>
            <w:r>
              <w:rPr>
                <w:highlight w:val="none"/>
              </w:rPr>
            </w:r>
          </w:p>
        </w:tc>
      </w:tr>
    </w:tbl>
    <w:p>
      <w:pPr>
        <w:pStyle w:val="869"/>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备注：</w:t>
      </w:r>
      <w:r>
        <w:rPr>
          <w:highlight w:val="none"/>
        </w:rPr>
      </w:r>
    </w:p>
    <w:p>
      <w:pPr>
        <w:pStyle w:val="869"/>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1.</w:t>
      </w:r>
      <w:r>
        <w:rPr>
          <w:rFonts w:hint="eastAsia" w:ascii="仿宋" w:hAnsi="仿宋" w:eastAsia="仿宋" w:cs="仿宋"/>
          <w:sz w:val="24"/>
          <w:szCs w:val="21"/>
          <w:highlight w:val="none"/>
        </w:rPr>
        <w:t xml:space="preserve">本次报价为总价，大小写不一致时以大写为准；</w:t>
      </w:r>
      <w:r>
        <w:rPr>
          <w:highlight w:val="none"/>
        </w:rPr>
      </w:r>
    </w:p>
    <w:p>
      <w:pPr>
        <w:pStyle w:val="869"/>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2.本表</w:t>
      </w:r>
      <w:r>
        <w:rPr>
          <w:rFonts w:hint="eastAsia" w:ascii="仿宋" w:hAnsi="仿宋" w:eastAsia="仿宋" w:cs="仿宋"/>
          <w:sz w:val="24"/>
          <w:szCs w:val="21"/>
          <w:highlight w:val="none"/>
        </w:rPr>
        <w:t xml:space="preserve">中的</w:t>
      </w:r>
      <w:r>
        <w:rPr>
          <w:rFonts w:hint="eastAsia" w:ascii="仿宋" w:hAnsi="仿宋" w:eastAsia="仿宋" w:cs="仿宋"/>
          <w:sz w:val="24"/>
          <w:szCs w:val="21"/>
          <w:highlight w:val="none"/>
          <w:lang w:val="en-US" w:eastAsia="zh-CN"/>
        </w:rPr>
        <w:t xml:space="preserve">总价</w:t>
      </w:r>
      <w:r>
        <w:rPr>
          <w:rFonts w:hint="eastAsia" w:ascii="仿宋" w:hAnsi="仿宋" w:eastAsia="仿宋" w:cs="仿宋"/>
          <w:sz w:val="24"/>
          <w:szCs w:val="21"/>
          <w:highlight w:val="none"/>
        </w:rPr>
        <w:t xml:space="preserve">应与</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lang w:val="en-US" w:eastAsia="zh-CN"/>
        </w:rPr>
        <w:t xml:space="preserve">分项</w:t>
      </w:r>
      <w:r>
        <w:rPr>
          <w:rFonts w:hint="eastAsia" w:ascii="仿宋" w:hAnsi="仿宋" w:eastAsia="仿宋" w:cs="仿宋"/>
          <w:sz w:val="24"/>
          <w:szCs w:val="21"/>
          <w:highlight w:val="none"/>
        </w:rPr>
        <w:t xml:space="preserve">报价明细表</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rPr>
        <w:t xml:space="preserve">中的总报价一致，如不一致以</w:t>
      </w:r>
      <w:r>
        <w:rPr>
          <w:rFonts w:hint="eastAsia" w:ascii="仿宋" w:hAnsi="仿宋" w:eastAsia="仿宋" w:cs="仿宋"/>
          <w:sz w:val="24"/>
          <w:szCs w:val="21"/>
          <w:highlight w:val="none"/>
          <w:lang w:val="en-US" w:eastAsia="zh-CN"/>
        </w:rPr>
        <w:t xml:space="preserve">本表</w:t>
      </w:r>
      <w:r>
        <w:rPr>
          <w:rFonts w:hint="eastAsia" w:ascii="仿宋" w:hAnsi="仿宋" w:eastAsia="仿宋" w:cs="仿宋"/>
          <w:sz w:val="24"/>
          <w:szCs w:val="21"/>
          <w:highlight w:val="none"/>
        </w:rPr>
        <w:t xml:space="preserve">为准。</w:t>
      </w:r>
      <w:r>
        <w:rPr>
          <w:highlight w:val="none"/>
        </w:rPr>
      </w:r>
    </w:p>
    <w:p>
      <w:pPr>
        <w:pStyle w:val="869"/>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rPr>
          <w:highlight w:val="none"/>
        </w:rPr>
      </w:r>
    </w:p>
    <w:p>
      <w:pPr>
        <w:pStyle w:val="869"/>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供应商（公章）：</w:t>
      </w:r>
      <w:r>
        <w:rPr>
          <w:highlight w:val="none"/>
        </w:rPr>
      </w:r>
    </w:p>
    <w:p>
      <w:pPr>
        <w:pStyle w:val="869"/>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法定代表人或授权代表（签字或盖章）：</w:t>
      </w:r>
      <w:r>
        <w:rPr>
          <w:highlight w:val="none"/>
        </w:rPr>
      </w:r>
    </w:p>
    <w:p>
      <w:pPr>
        <w:pStyle w:val="869"/>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日期：</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年</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月</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日</w:t>
      </w:r>
      <w:r>
        <w:rPr>
          <w:highlight w:val="none"/>
        </w:rP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rPr>
          <w:highlight w:val="none"/>
        </w:rPr>
      </w:r>
    </w:p>
    <w:p>
      <w:pPr>
        <w:jc w:val="center"/>
        <w:spacing w:line="480" w:lineRule="exact"/>
        <w:rPr>
          <w:rFonts w:hint="eastAsia" w:ascii="宋体" w:hAnsi="宋体"/>
          <w:b/>
          <w:bCs/>
          <w:sz w:val="32"/>
          <w:szCs w:val="32"/>
          <w:highlight w:val="none"/>
        </w:rPr>
      </w:pPr>
      <w:r>
        <w:rPr>
          <w:rFonts w:hint="eastAsia" w:ascii="宋体" w:hAnsi="宋体"/>
          <w:b/>
          <w:bCs/>
          <w:sz w:val="32"/>
          <w:szCs w:val="32"/>
          <w:highlight w:val="none"/>
        </w:rPr>
        <w:t xml:space="preserve">分项报价明细表</w:t>
      </w:r>
      <w:r>
        <w:rPr>
          <w:highlight w:val="none"/>
        </w:rPr>
      </w:r>
    </w:p>
    <w:p>
      <w:pPr>
        <w:jc w:val="left"/>
        <w:spacing w:line="480" w:lineRule="exact"/>
        <w:rPr>
          <w:rFonts w:hint="eastAsia" w:ascii="仿宋" w:hAnsi="仿宋" w:eastAsia="仿宋" w:cs="仿宋"/>
          <w:sz w:val="22"/>
          <w:szCs w:val="22"/>
          <w:highlight w:val="none"/>
        </w:rPr>
      </w:pP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货币单位：人民币元</w:t>
      </w:r>
      <w:r>
        <w:rPr>
          <w:highlight w:val="none"/>
        </w:rPr>
      </w:r>
    </w:p>
    <w:tbl>
      <w:tblPr>
        <w:tblStyle w:val="681"/>
        <w:tblW w:w="92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959"/>
        <w:gridCol w:w="959"/>
        <w:gridCol w:w="959"/>
        <w:gridCol w:w="959"/>
        <w:gridCol w:w="959"/>
        <w:gridCol w:w="959"/>
        <w:gridCol w:w="959"/>
        <w:gridCol w:w="959"/>
        <w:gridCol w:w="961"/>
      </w:tblGrid>
      <w:tr>
        <w:trPr>
          <w:cantSplit/>
          <w:jc w:val="center"/>
          <w:trHeight w:val="544"/>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序号</w:t>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产品</w:t>
            </w:r>
            <w:r>
              <w:rPr>
                <w:highlight w:val="none"/>
              </w:rP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名称</w:t>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品牌</w:t>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规格</w:t>
            </w:r>
            <w:r>
              <w:rPr>
                <w:highlight w:val="none"/>
              </w:rP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型号</w:t>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制造商名称</w:t>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产地</w:t>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交付期</w:t>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数量</w:t>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分项</w:t>
            </w:r>
            <w:r>
              <w:rPr>
                <w:highlight w:val="none"/>
              </w:rP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单价</w:t>
            </w:r>
            <w:r>
              <w:rPr>
                <w:highlight w:val="none"/>
              </w:rP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分项</w:t>
            </w:r>
            <w:r>
              <w:rPr>
                <w:highlight w:val="none"/>
              </w:rP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总价</w:t>
            </w:r>
            <w:r>
              <w:rPr>
                <w:highlight w:val="none"/>
              </w:rPr>
            </w:r>
          </w:p>
        </w:tc>
      </w:tr>
      <w:tr>
        <w:trPr>
          <w:cantSplit/>
          <w:jc w:val="center"/>
          <w:trHeight w:val="294"/>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1</w:t>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合同订后</w:t>
            </w:r>
            <w:r>
              <w:rPr>
                <w:rFonts w:hint="eastAsia" w:ascii="仿宋" w:hAnsi="仿宋" w:eastAsia="仿宋" w:cs="Times New Roman"/>
                <w:color w:val="000000" w:themeColor="text1"/>
                <w:sz w:val="24"/>
                <w:szCs w:val="24"/>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日</w:t>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r>
      <w:tr>
        <w:trPr>
          <w:cantSplit/>
          <w:jc w:val="center"/>
          <w:trHeight w:val="696"/>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2</w:t>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c>
          <w:tcPr>
            <w:tcW w:w="959" w:type="dxa"/>
            <w:vAlign w:val="top"/>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u w:val="single"/>
                <w14:textFill>
                  <w14:solidFill>
                    <w14:schemeClr w14:val="tx1"/>
                  </w14:solidFill>
                </w14:textFill>
              </w:rPr>
            </w:pPr>
            <w:r>
              <w:rPr>
                <w:rFonts w:ascii="仿宋" w:hAnsi="仿宋" w:eastAsia="仿宋" w:cs="Times New Roman"/>
                <w:color w:val="000000" w:themeColor="text1"/>
                <w:sz w:val="24"/>
                <w:szCs w:val="24"/>
                <w:highlight w:val="none"/>
                <w:u w:val="single"/>
                <w14:textFill>
                  <w14:solidFill>
                    <w14:schemeClr w14:val="tx1"/>
                  </w14:solidFill>
                </w14:textFill>
              </w:rPr>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r>
      <w:tr>
        <w:trPr>
          <w:cantSplit/>
          <w:jc w:val="center"/>
          <w:trHeight w:val="580"/>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c>
          <w:tcPr>
            <w:tcW w:w="959" w:type="dxa"/>
            <w:vAlign w:val="top"/>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r>
      <w:tr>
        <w:trPr>
          <w:cantSplit/>
          <w:jc w:val="center"/>
          <w:trHeight w:val="249"/>
        </w:trPr>
        <w:tc>
          <w:tcPr>
            <w:gridSpan w:val="10"/>
            <w:tcW w:w="9243" w:type="dxa"/>
            <w:vAlign w:val="top"/>
            <w:textDirection w:val="lrTb"/>
            <w:noWrap w:val="false"/>
          </w:tcPr>
          <w:p>
            <w:pPr>
              <w:jc w:val="both"/>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总报价：</w:t>
            </w:r>
            <w:r>
              <w:rPr>
                <w:highlight w:val="none"/>
              </w:rPr>
            </w:r>
          </w:p>
        </w:tc>
      </w:tr>
      <w:tr>
        <w:trPr>
          <w:cantSplit/>
          <w:jc w:val="center"/>
          <w:trHeight w:val="249"/>
        </w:trPr>
        <w:tc>
          <w:tcPr>
            <w:gridSpan w:val="10"/>
            <w:tcW w:w="924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仿宋"/>
                <w:b/>
                <w:bCs/>
                <w:sz w:val="24"/>
                <w:szCs w:val="24"/>
                <w:highlight w:val="none"/>
              </w:rPr>
              <w:t xml:space="preserve">本采购包中提供的符合本国产品标准的产品成本之和占该采购包提供的全部产品成本之和的比例为</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w:t>
            </w:r>
            <w:r>
              <w:rPr>
                <w:highlight w:val="none"/>
              </w:rPr>
            </w:r>
          </w:p>
        </w:tc>
      </w:tr>
    </w:tbl>
    <w:p>
      <w:pPr>
        <w:pStyle w:val="869"/>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供应商（公章）：</w:t>
      </w:r>
      <w:r>
        <w:rPr>
          <w:highlight w:val="none"/>
        </w:rPr>
      </w:r>
    </w:p>
    <w:p>
      <w:pPr>
        <w:pStyle w:val="869"/>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法定代表人或授权代表（签字或盖章）：</w:t>
      </w:r>
      <w:r>
        <w:rPr>
          <w:highlight w:val="none"/>
        </w:rPr>
      </w:r>
    </w:p>
    <w:p>
      <w:pPr>
        <w:pStyle w:val="869"/>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日期：</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年</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月</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日</w:t>
      </w:r>
      <w:r>
        <w:rPr>
          <w:highlight w:val="none"/>
        </w:rPr>
      </w:r>
    </w:p>
    <w:p>
      <w:pPr>
        <w:keepLines w:val="0"/>
        <w:keepNext w:val="0"/>
        <w:pageBreakBefore w:val="0"/>
        <w:spacing w:line="48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r>
      <w:r>
        <w:rPr>
          <w:highlight w:val="none"/>
        </w:rP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rPr>
          <w:highlight w:val="none"/>
        </w:rP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rPr>
          <w:highlight w:val="none"/>
        </w:rP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w:t>
      </w:r>
      <w:r>
        <w:rPr>
          <w:rFonts w:hint="eastAsia" w:ascii="仿宋" w:hAnsi="仿宋" w:eastAsia="仿宋" w:cs="Times New Roman"/>
          <w:b w:val="0"/>
          <w:bCs w:val="0"/>
          <w:color w:val="000000" w:themeColor="text1"/>
          <w:sz w:val="24"/>
          <w:szCs w:val="24"/>
          <w:highlight w:val="none"/>
          <w:lang w:val="en-US" w:eastAsia="zh-CN"/>
          <w14:textFill>
            <w14:solidFill>
              <w14:schemeClr w14:val="tx1"/>
            </w14:solidFill>
          </w14:textFill>
        </w:rPr>
        <w:t xml:space="preserve">本表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中“总报价”应当与“询价报价表”中“总价”一致。</w:t>
      </w:r>
      <w:r>
        <w:rPr>
          <w:highlight w:val="none"/>
        </w:rPr>
      </w:r>
    </w:p>
    <w:p>
      <w:pPr>
        <w:keepLines w:val="0"/>
        <w:keepNext w:val="0"/>
        <w:pageBreakBefore w:val="0"/>
        <w:spacing w:line="48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需认真填写本表，尤其注意规格型号的准确填写。</w:t>
      </w:r>
      <w:r>
        <w:rPr>
          <w:highlight w:val="none"/>
        </w:rPr>
      </w:r>
    </w:p>
    <w:p>
      <w:pPr>
        <w:keepLines w:val="0"/>
        <w:keepNext w:val="0"/>
        <w:pageBreakBefore w:val="0"/>
        <w:spacing w:line="48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highlight w:val="none"/>
        </w:rPr>
      </w:r>
    </w:p>
    <w:p>
      <w:pPr>
        <w:keepLines w:val="0"/>
        <w:keepNext w:val="0"/>
        <w:pageBreakBefore w:val="0"/>
        <w:spacing w:line="480" w:lineRule="exact"/>
        <w:widowControl w:val="off"/>
        <w:rPr>
          <w:rFonts w:hint="eastAsia" w:ascii="宋体" w:hAnsi="宋体"/>
          <w:sz w:val="24"/>
          <w:szCs w:val="24"/>
          <w:highlight w:val="none"/>
        </w:rPr>
      </w:pPr>
      <w:r>
        <w:rPr>
          <w:rFonts w:hint="eastAsia" w:ascii="宋体" w:hAnsi="宋体"/>
          <w:sz w:val="24"/>
          <w:szCs w:val="24"/>
          <w:highlight w:val="none"/>
        </w:rPr>
      </w:r>
      <w:r>
        <w:rPr>
          <w:highlight w:val="none"/>
        </w:rPr>
      </w:r>
    </w:p>
    <w:p>
      <w:pPr>
        <w:jc w:val="left"/>
        <w:keepLines w:val="0"/>
        <w:keepNext w:val="0"/>
        <w:pageBreakBefore w:val="0"/>
        <w:spacing w:line="480" w:lineRule="exact"/>
        <w:widowControl w:val="off"/>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rPr>
          <w:highlight w:val="none"/>
        </w:rP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eastAsia="zh-CN"/>
        </w:rPr>
        <w:t xml:space="preserve">供应商</w:t>
      </w:r>
      <w:r>
        <w:rPr>
          <w:rFonts w:hint="eastAsia" w:ascii="仿宋" w:hAnsi="仿宋" w:eastAsia="仿宋" w:cs="仿宋"/>
          <w:b/>
          <w:bCs/>
          <w:sz w:val="32"/>
          <w:szCs w:val="32"/>
          <w:highlight w:val="none"/>
        </w:rPr>
        <w:t xml:space="preserve">符合《中华人民共和国政府采购法》第二十二条</w:t>
      </w:r>
      <w:r>
        <w:rPr>
          <w:highlight w:val="none"/>
        </w:rP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规定条件的声明函</w:t>
      </w:r>
      <w:r>
        <w:rPr>
          <w:highlight w:val="none"/>
        </w:rPr>
      </w:r>
    </w:p>
    <w:p>
      <w:pPr>
        <w:ind w:firstLine="480"/>
        <w:spacing w:line="480" w:lineRule="exact"/>
        <w:rPr>
          <w:rFonts w:hint="eastAsia" w:ascii="仿宋" w:hAnsi="仿宋" w:eastAsia="仿宋" w:cs="仿宋"/>
          <w:b/>
          <w:bCs/>
          <w:color w:val="000000"/>
          <w:sz w:val="24"/>
          <w:szCs w:val="28"/>
          <w:highlight w:val="none"/>
        </w:rPr>
      </w:pPr>
      <w:r>
        <w:rPr>
          <w:rFonts w:hint="eastAsia" w:ascii="仿宋" w:hAnsi="仿宋" w:eastAsia="仿宋" w:cs="仿宋"/>
          <w:bCs/>
          <w:color w:val="000000"/>
          <w:sz w:val="24"/>
          <w:szCs w:val="28"/>
          <w:highlight w:val="none"/>
        </w:rPr>
        <w:t xml:space="preserve">我单位参加</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（项目名称），</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sz w:val="24"/>
          <w:szCs w:val="28"/>
          <w:highlight w:val="none"/>
          <w:u w:val="single"/>
        </w:rPr>
        <w:t xml:space="preserve">          </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（项目编号）投标活动。针对《中华人民共和国政府采购法》第二十二条规定做出如下声明：</w:t>
      </w:r>
      <w:r>
        <w:rPr>
          <w:highlight w:val="none"/>
        </w:rP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bCs/>
          <w:color w:val="000000"/>
          <w:sz w:val="24"/>
          <w:szCs w:val="28"/>
          <w:highlight w:val="none"/>
        </w:rPr>
        <w:t xml:space="preserve">1.我单位具有独立承担民事责任的能力；</w:t>
      </w:r>
      <w:r>
        <w:rPr>
          <w:highlight w:val="none"/>
        </w:rP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2.我单位具有良好的商业信誉和健全的财务会计制度；</w:t>
      </w:r>
      <w:r>
        <w:rPr>
          <w:highlight w:val="none"/>
        </w:rP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3.我单位具有履行合同所必需的设备和专业技术能力；</w:t>
      </w:r>
      <w:r>
        <w:rPr>
          <w:highlight w:val="none"/>
        </w:rP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4.我单位有依法缴纳税收和社会保障资金的良好记录；</w:t>
      </w:r>
      <w:r>
        <w:rPr>
          <w:highlight w:val="none"/>
        </w:rP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highlight w:val="none"/>
        </w:rP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6.我单位满足法律、行政法规规定的其他条件。</w:t>
      </w:r>
      <w:r>
        <w:rPr>
          <w:highlight w:val="none"/>
        </w:rPr>
      </w:r>
    </w:p>
    <w:p>
      <w:pPr>
        <w:ind w:firstLine="482"/>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rPr>
          <w:highlight w:val="none"/>
        </w:rPr>
      </w:r>
    </w:p>
    <w:p>
      <w:pPr>
        <w:ind w:firstLine="482"/>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rPr>
          <w:highlight w:val="none"/>
        </w:rP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bCs/>
          <w:color w:val="000000"/>
          <w:sz w:val="24"/>
          <w:szCs w:val="28"/>
          <w:highlight w:val="none"/>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rPr>
          <w:highlight w:val="none"/>
        </w:rPr>
      </w:r>
    </w:p>
    <w:p>
      <w:pPr>
        <w:jc w:val="right"/>
        <w:spacing w:line="480" w:lineRule="exact"/>
        <w:rPr>
          <w:rFonts w:hint="eastAsia" w:ascii="仿宋" w:hAnsi="仿宋" w:eastAsia="仿宋" w:cs="仿宋"/>
          <w:bCs/>
          <w:color w:val="000000"/>
          <w:sz w:val="24"/>
          <w:szCs w:val="28"/>
          <w:highlight w:val="none"/>
        </w:rPr>
      </w:pPr>
      <w:r>
        <w:rPr>
          <w:rFonts w:hint="eastAsia" w:ascii="仿宋" w:hAnsi="仿宋" w:eastAsia="仿宋" w:cs="仿宋"/>
          <w:bCs/>
          <w:color w:val="000000"/>
          <w:sz w:val="24"/>
          <w:szCs w:val="28"/>
          <w:highlight w:val="none"/>
        </w:rPr>
      </w:r>
      <w:r>
        <w:rPr>
          <w:highlight w:val="none"/>
        </w:rPr>
      </w:r>
    </w:p>
    <w:p>
      <w:pPr>
        <w:jc w:val="right"/>
        <w:spacing w:line="480" w:lineRule="exact"/>
        <w:rPr>
          <w:rFonts w:hint="eastAsia" w:ascii="仿宋" w:hAnsi="仿宋" w:eastAsia="仿宋" w:cs="仿宋"/>
          <w:bCs/>
          <w:color w:val="000000"/>
          <w:sz w:val="28"/>
          <w:szCs w:val="32"/>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rPr>
          <w:highlight w:val="none"/>
        </w:rP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rPr>
          <w:highlight w:val="none"/>
        </w:rP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rPr>
          <w:highlight w:val="none"/>
        </w:rP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rPr>
          <w:highlight w:val="none"/>
        </w:rPr>
      </w:r>
    </w:p>
    <w:p>
      <w:pPr>
        <w:rPr>
          <w:rFonts w:hint="eastAsia" w:ascii="宋体" w:hAnsi="宋体"/>
          <w:b/>
          <w:bCs/>
          <w:sz w:val="32"/>
          <w:szCs w:val="32"/>
          <w:highlight w:val="none"/>
        </w:rPr>
      </w:pPr>
      <w:r>
        <w:rPr>
          <w:rFonts w:hint="eastAsia" w:ascii="宋体" w:hAnsi="宋体"/>
          <w:b/>
          <w:bCs/>
          <w:sz w:val="32"/>
          <w:szCs w:val="32"/>
          <w:highlight w:val="none"/>
        </w:rPr>
        <w:br w:type="page" w:clear="all"/>
      </w:r>
      <w:r>
        <w:rPr>
          <w:highlight w:val="none"/>
        </w:rPr>
      </w:r>
    </w:p>
    <w:p>
      <w:pPr>
        <w:jc w:val="left"/>
        <w:spacing w:line="480" w:lineRule="exact"/>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4</w:t>
      </w:r>
      <w:r>
        <w:rPr>
          <w:highlight w:val="none"/>
        </w:rP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rPr>
          <w:highlight w:val="none"/>
        </w:rP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rPr>
          <w:highlight w:val="none"/>
        </w:rP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rPr>
          <w:highlight w:val="none"/>
        </w:rP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rPr>
          <w:highlight w:val="none"/>
        </w:rP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rPr>
          <w:highlight w:val="none"/>
        </w:rPr>
      </w:r>
    </w:p>
    <w:p>
      <w:pPr>
        <w:pStyle w:val="909"/>
        <w:ind w:left="0" w:firstLine="0"/>
        <w:jc w:val="left"/>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r>
      <w:r>
        <w:rPr>
          <w:highlight w:val="none"/>
        </w:rPr>
      </w:r>
    </w:p>
    <w:p>
      <w:pPr>
        <w:pStyle w:val="909"/>
        <w:ind w:left="0" w:firstLine="0"/>
        <w:jc w:val="both"/>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注：</w:t>
      </w:r>
      <w:r>
        <w:rPr>
          <w:rFonts w:hint="eastAsia"/>
          <w:b/>
          <w:color w:val="000000" w:themeColor="text1"/>
          <w:sz w:val="28"/>
          <w:szCs w:val="28"/>
          <w:highlight w:val="none"/>
          <w14:textFill>
            <w14:solidFill>
              <w14:schemeClr w14:val="tx1"/>
            </w14:solidFill>
          </w14:textFill>
        </w:rPr>
        <w:t xml:space="preserve">提供法定代表人有效期内的身份证复印件（加盖CA电子公章）</w:t>
      </w:r>
      <w:r>
        <w:rPr>
          <w:highlight w:val="none"/>
        </w:rP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rPr>
          <w:highlight w:val="none"/>
        </w:rP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rPr>
          <w:highlight w:val="none"/>
        </w:rP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rPr>
          <w:highlight w:val="none"/>
        </w:rPr>
      </w:r>
    </w:p>
    <w:p>
      <w:pPr>
        <w:ind w:left="279" w:firstLine="464"/>
        <w:jc w:val="left"/>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rPr>
          <w:highlight w:val="none"/>
        </w:rP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rPr>
          <w:highlight w:val="none"/>
        </w:rP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highlight w:val="none"/>
        </w:rP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b/>
          <w:bCs/>
          <w:color w:val="000000" w:themeColor="text1"/>
          <w:sz w:val="28"/>
          <w:szCs w:val="28"/>
          <w:highlight w:val="none"/>
          <w:u w:val="single"/>
          <w14:textFill>
            <w14:solidFill>
              <w14:schemeClr w14:val="tx1"/>
            </w14:solidFill>
          </w14:textFill>
        </w:rPr>
        <w:t xml:space="preserve">（加盖CA电子公章）</w:t>
      </w:r>
      <w:r>
        <w:rPr>
          <w:highlight w:val="none"/>
        </w:rP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highlight w:val="none"/>
        </w:rP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rPr>
          <w:highlight w:val="none"/>
        </w:rPr>
      </w:r>
    </w:p>
    <w:p>
      <w:pPr>
        <w:pStyle w:val="909"/>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p>
      <w:pPr>
        <w:pStyle w:val="909"/>
        <w:jc w:val="both"/>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w:t>
      </w:r>
      <w:r>
        <w:rPr>
          <w:highlight w:val="none"/>
        </w:rPr>
      </w:r>
    </w:p>
    <w:p>
      <w:pPr>
        <w:pStyle w:val="909"/>
        <w:jc w:val="both"/>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提供代理人有效期内的身份证复印件（加盖CA电子公章）</w:t>
      </w:r>
      <w:r>
        <w:rPr>
          <w:rFonts w:hint="eastAsia"/>
          <w:b/>
          <w:color w:val="000000" w:themeColor="text1"/>
          <w:sz w:val="28"/>
          <w:szCs w:val="28"/>
          <w:highlight w:val="none"/>
          <w:lang w:eastAsia="zh-CN"/>
          <w14:textFill>
            <w14:solidFill>
              <w14:schemeClr w14:val="tx1"/>
            </w14:solidFill>
          </w14:textFill>
        </w:rPr>
        <w:t xml:space="preserve">；</w:t>
      </w:r>
      <w:r>
        <w:rPr>
          <w:highlight w:val="none"/>
        </w:rPr>
      </w:r>
    </w:p>
    <w:p>
      <w:pPr>
        <w:pStyle w:val="909"/>
        <w:jc w:val="both"/>
        <w:rPr>
          <w:rFonts w:hint="default"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亲自参与的本附件无需提供。</w:t>
      </w:r>
      <w:r>
        <w:rPr>
          <w:highlight w:val="none"/>
        </w:rPr>
      </w:r>
    </w:p>
    <w:p>
      <w:pPr>
        <w:pStyle w:val="909"/>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rPr>
          <w:highlight w:val="none"/>
        </w:rP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rPr>
          <w:highlight w:val="none"/>
        </w:rPr>
      </w:r>
    </w:p>
    <w:p>
      <w:pPr>
        <w:pStyle w:val="869"/>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rPr>
          <w:highlight w:val="none"/>
        </w:rPr>
      </w:r>
    </w:p>
    <w:p>
      <w:pPr>
        <w:pStyle w:val="869"/>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rPr>
          <w:highlight w:val="none"/>
        </w:rPr>
      </w:r>
    </w:p>
    <w:p>
      <w:pPr>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致：</w:t>
      </w:r>
      <w:r>
        <w:rPr>
          <w:rFonts w:hint="eastAsia" w:ascii="仿宋" w:hAnsi="仿宋" w:eastAsia="仿宋" w:cs="仿宋"/>
          <w:sz w:val="24"/>
          <w:szCs w:val="28"/>
          <w:highlight w:val="none"/>
          <w:lang w:eastAsia="zh-CN"/>
        </w:rPr>
        <w:t xml:space="preserve">南通市教育技术中心</w:t>
      </w:r>
      <w:r>
        <w:rPr>
          <w:rFonts w:hint="eastAsia" w:ascii="仿宋" w:hAnsi="仿宋" w:eastAsia="仿宋" w:cs="仿宋"/>
          <w:sz w:val="24"/>
          <w:szCs w:val="28"/>
          <w:highlight w:val="none"/>
        </w:rPr>
        <w:t xml:space="preserve">：</w:t>
      </w:r>
      <w:r>
        <w:rPr>
          <w:highlight w:val="none"/>
        </w:rP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根据贵方的</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color w:val="000000"/>
          <w:sz w:val="24"/>
          <w:szCs w:val="28"/>
          <w:highlight w:val="none"/>
          <w:u w:val="single"/>
        </w:rPr>
        <w:t xml:space="preserve">（项目编号）</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u w:val="single"/>
          <w:lang w:val="en-US" w:eastAsia="zh-CN"/>
        </w:rPr>
        <w:t xml:space="preserve">    </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sz w:val="24"/>
          <w:szCs w:val="28"/>
          <w:highlight w:val="none"/>
        </w:rPr>
        <w:t xml:space="preserve">号询价文件，正式授权</w:t>
      </w:r>
      <w:r>
        <w:rPr>
          <w:rFonts w:hint="eastAsia" w:ascii="仿宋" w:hAnsi="仿宋" w:eastAsia="仿宋" w:cs="仿宋"/>
          <w:sz w:val="24"/>
          <w:szCs w:val="28"/>
          <w:highlight w:val="none"/>
          <w:u w:val="single"/>
          <w:lang w:val="en-US" w:eastAsia="zh-CN"/>
        </w:rPr>
        <w:t xml:space="preserve">      </w:t>
      </w:r>
      <w:r>
        <w:rPr>
          <w:rFonts w:hint="eastAsia" w:ascii="仿宋" w:hAnsi="仿宋" w:eastAsia="仿宋" w:cs="仿宋"/>
          <w:sz w:val="24"/>
          <w:szCs w:val="28"/>
          <w:highlight w:val="none"/>
          <w:lang w:val="en-US" w:eastAsia="zh-CN"/>
        </w:rPr>
        <w:t xml:space="preserve"> </w:t>
      </w:r>
      <w:r>
        <w:rPr>
          <w:rFonts w:hint="eastAsia" w:ascii="仿宋" w:hAnsi="仿宋" w:eastAsia="仿宋" w:cs="仿宋"/>
          <w:sz w:val="24"/>
          <w:szCs w:val="28"/>
          <w:highlight w:val="none"/>
          <w:u w:val="single"/>
        </w:rPr>
        <w:t xml:space="preserve">____</w:t>
      </w:r>
      <w:r>
        <w:rPr>
          <w:rFonts w:hint="eastAsia" w:ascii="仿宋" w:hAnsi="仿宋" w:eastAsia="仿宋" w:cs="仿宋"/>
          <w:sz w:val="24"/>
          <w:szCs w:val="28"/>
          <w:highlight w:val="none"/>
          <w:lang w:eastAsia="zh-CN"/>
        </w:rPr>
        <w:t xml:space="preserve">（被授权人</w:t>
      </w:r>
      <w:r>
        <w:rPr>
          <w:rFonts w:hint="eastAsia" w:ascii="仿宋" w:hAnsi="仿宋" w:eastAsia="仿宋" w:cs="仿宋"/>
          <w:sz w:val="24"/>
          <w:szCs w:val="28"/>
          <w:highlight w:val="none"/>
        </w:rPr>
        <w:t xml:space="preserve">姓名</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代表我方</w:t>
      </w:r>
      <w:r>
        <w:rPr>
          <w:rFonts w:hint="eastAsia" w:ascii="仿宋" w:hAnsi="仿宋" w:eastAsia="仿宋" w:cs="仿宋"/>
          <w:sz w:val="24"/>
          <w:szCs w:val="28"/>
          <w:highlight w:val="none"/>
          <w:u w:val="single"/>
        </w:rPr>
        <w:t xml:space="preserve">______________</w:t>
      </w:r>
      <w:r>
        <w:rPr>
          <w:rFonts w:hint="eastAsia" w:ascii="仿宋" w:hAnsi="仿宋" w:eastAsia="仿宋" w:cs="仿宋"/>
          <w:sz w:val="24"/>
          <w:szCs w:val="28"/>
          <w:highlight w:val="none"/>
        </w:rPr>
        <w:t xml:space="preserve">（供应商的名称），全权处理本次项目询价的有关事宜。</w:t>
      </w:r>
      <w:r>
        <w:rPr>
          <w:highlight w:val="none"/>
        </w:rP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据此函，</w:t>
      </w:r>
      <w:r>
        <w:rPr>
          <w:rFonts w:hint="eastAsia" w:ascii="仿宋" w:hAnsi="仿宋" w:eastAsia="仿宋" w:cs="仿宋"/>
          <w:sz w:val="24"/>
          <w:szCs w:val="28"/>
          <w:highlight w:val="none"/>
          <w:u w:val="single"/>
        </w:rPr>
        <w:t xml:space="preserve">__________</w:t>
      </w:r>
      <w:r>
        <w:rPr>
          <w:rFonts w:hint="eastAsia" w:ascii="仿宋" w:hAnsi="仿宋" w:eastAsia="仿宋" w:cs="仿宋"/>
          <w:sz w:val="24"/>
          <w:szCs w:val="28"/>
          <w:highlight w:val="none"/>
          <w:lang w:eastAsia="zh-CN"/>
        </w:rPr>
        <w:t xml:space="preserve">（被授权人</w:t>
      </w:r>
      <w:r>
        <w:rPr>
          <w:rFonts w:hint="eastAsia" w:ascii="仿宋" w:hAnsi="仿宋" w:eastAsia="仿宋" w:cs="仿宋"/>
          <w:sz w:val="24"/>
          <w:szCs w:val="28"/>
          <w:highlight w:val="none"/>
        </w:rPr>
        <w:t xml:space="preserve">姓名</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兹宣布同意如下：</w:t>
      </w:r>
      <w:r>
        <w:rPr>
          <w:highlight w:val="none"/>
        </w:rP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1.按询价文件规定的各项要求，向买方提供所需货物。</w:t>
      </w:r>
      <w:r>
        <w:rPr>
          <w:highlight w:val="none"/>
        </w:rP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2.我们已详细审核全部询价文件及其有效补充文件，我们知道必须放弃提出含糊不清或误解问题的权利。</w:t>
      </w:r>
      <w:r>
        <w:rPr>
          <w:highlight w:val="none"/>
        </w:rP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3.我们同意从规定的开标日期起遵循本询价文件，并在规定的询价有效期期满之前均具有约束力。</w:t>
      </w:r>
      <w:r>
        <w:rPr>
          <w:highlight w:val="none"/>
        </w:rP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4.同意向贵方提供贵方可能另外要求的与询价有关的任何证据或资料，并保证我方已提供和将要提供的文件是真实的、准确的。</w:t>
      </w:r>
      <w:r>
        <w:rPr>
          <w:highlight w:val="none"/>
        </w:rP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5.一旦我方成交</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我方将根据询价文件的规定，严格履行合同的责任和义务</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并保证在询价文件规定的时</w:t>
      </w:r>
      <w:r>
        <w:rPr>
          <w:rFonts w:hint="eastAsia" w:ascii="仿宋" w:hAnsi="仿宋" w:eastAsia="仿宋" w:cs="仿宋"/>
          <w:sz w:val="24"/>
          <w:szCs w:val="28"/>
          <w:highlight w:val="none"/>
          <w:lang w:eastAsia="zh-CN"/>
        </w:rPr>
        <w:t xml:space="preserve">间内</w:t>
      </w:r>
      <w:r>
        <w:rPr>
          <w:rFonts w:hint="eastAsia" w:ascii="仿宋" w:hAnsi="仿宋" w:eastAsia="仿宋" w:cs="仿宋"/>
          <w:sz w:val="24"/>
          <w:szCs w:val="28"/>
          <w:highlight w:val="none"/>
        </w:rPr>
        <w:t xml:space="preserve">完成项目，交付买方验收、使用。</w:t>
      </w:r>
      <w:r>
        <w:rPr>
          <w:highlight w:val="none"/>
        </w:rP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6.我方与</w:t>
      </w:r>
      <w:r>
        <w:rPr>
          <w:rFonts w:hint="eastAsia" w:ascii="仿宋" w:hAnsi="仿宋" w:eastAsia="仿宋" w:cs="仿宋"/>
          <w:sz w:val="24"/>
          <w:szCs w:val="28"/>
          <w:highlight w:val="none"/>
          <w:lang w:eastAsia="zh-CN"/>
        </w:rPr>
        <w:t xml:space="preserve">本次</w:t>
      </w:r>
      <w:r>
        <w:rPr>
          <w:rFonts w:hint="eastAsia" w:ascii="仿宋" w:hAnsi="仿宋" w:eastAsia="仿宋" w:cs="仿宋"/>
          <w:sz w:val="24"/>
          <w:szCs w:val="28"/>
          <w:highlight w:val="none"/>
        </w:rPr>
        <w:t xml:space="preserve">询价有关的正式通讯地址为：</w:t>
      </w:r>
      <w:r>
        <w:rPr>
          <w:highlight w:val="none"/>
        </w:rP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地        址：</w:t>
      </w:r>
      <w:r>
        <w:rPr>
          <w:highlight w:val="none"/>
        </w:rP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邮        编：</w:t>
      </w:r>
      <w:r>
        <w:rPr>
          <w:highlight w:val="none"/>
        </w:rP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电        话：</w:t>
      </w:r>
      <w:r>
        <w:rPr>
          <w:highlight w:val="none"/>
        </w:rP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传        真：</w:t>
      </w:r>
      <w:r>
        <w:rPr>
          <w:highlight w:val="none"/>
        </w:rP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供应商开户行：</w:t>
      </w:r>
      <w:r>
        <w:rPr>
          <w:highlight w:val="none"/>
        </w:rP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账        号： </w:t>
      </w:r>
      <w:r>
        <w:rPr>
          <w:highlight w:val="none"/>
        </w:rP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color w:val="000000"/>
          <w:sz w:val="24"/>
          <w:szCs w:val="28"/>
          <w:highlight w:val="none"/>
          <w:lang w:val="en-US" w:eastAsia="zh-CN"/>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rPr>
          <w:highlight w:val="none"/>
        </w:rPr>
      </w:r>
    </w:p>
    <w:p>
      <w:pPr>
        <w:pStyle w:val="709"/>
        <w:rPr>
          <w:rFonts w:hint="eastAsia" w:ascii="仿宋" w:hAnsi="仿宋" w:eastAsia="仿宋" w:cs="仿宋"/>
          <w:sz w:val="20"/>
          <w:szCs w:val="20"/>
          <w:highlight w:val="none"/>
        </w:rPr>
      </w:pPr>
      <w:r>
        <w:rPr>
          <w:rFonts w:hint="eastAsia" w:ascii="仿宋" w:hAnsi="仿宋" w:eastAsia="仿宋" w:cs="仿宋"/>
          <w:sz w:val="20"/>
          <w:szCs w:val="20"/>
          <w:highlight w:val="none"/>
        </w:rPr>
      </w:r>
      <w:r>
        <w:rPr>
          <w:highlight w:val="none"/>
        </w:rPr>
      </w:r>
    </w:p>
    <w:p>
      <w:pPr>
        <w:jc w:val="right"/>
        <w:spacing w:line="480" w:lineRule="exact"/>
        <w:rPr>
          <w:rFonts w:hint="eastAsia" w:ascii="仿宋" w:hAnsi="仿宋" w:eastAsia="仿宋" w:cs="仿宋"/>
          <w:sz w:val="24"/>
          <w:szCs w:val="28"/>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rPr>
          <w:highlight w:val="none"/>
        </w:rPr>
      </w:r>
    </w:p>
    <w:p>
      <w:pPr>
        <w:pStyle w:val="869"/>
        <w:ind w:left="0"/>
        <w:jc w:val="left"/>
        <w:spacing w:after="0" w:line="400" w:lineRule="exact"/>
        <w:rPr>
          <w:rFonts w:hint="eastAsia" w:ascii="宋体" w:hAnsi="宋体" w:eastAsia="仿宋_GB2312"/>
          <w:b/>
          <w:bCs/>
          <w:sz w:val="32"/>
          <w:szCs w:val="32"/>
          <w:highlight w:val="none"/>
        </w:rPr>
        <w:outlineLvl w:val="1"/>
      </w:pPr>
      <w:r>
        <w:rPr>
          <w:rFonts w:ascii="宋体" w:hAnsi="宋体" w:cs="仿宋"/>
          <w:sz w:val="24"/>
          <w:szCs w:val="28"/>
          <w:highlight w:val="none"/>
        </w:rPr>
        <w:br w:type="page" w:clear="all"/>
      </w:r>
      <w:r>
        <w:rPr>
          <w:highlight w:val="none"/>
        </w:rP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rPr>
          <w:highlight w:val="none"/>
        </w:rPr>
      </w:r>
    </w:p>
    <w:p>
      <w:pPr>
        <w:pStyle w:val="869"/>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rPr>
          <w:highlight w:val="none"/>
        </w:rPr>
      </w:r>
    </w:p>
    <w:tbl>
      <w:tblPr>
        <w:tblStyle w:val="681"/>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rPr>
                <w:highlight w:val="none"/>
              </w:rP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rPr>
                <w:highlight w:val="none"/>
              </w:rP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rPr>
                <w:highlight w:val="none"/>
              </w:rP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rPr>
                <w:highlight w:val="none"/>
              </w:rP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rPr>
                <w:highlight w:val="none"/>
              </w:rP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rPr>
                <w:highlight w:val="none"/>
              </w:rP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rPr>
                <w:highlight w:val="none"/>
              </w:rP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rPr>
                <w:highlight w:val="none"/>
              </w:rP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rPr>
                <w:highlight w:val="none"/>
              </w:rP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rPr>
                <w:highlight w:val="none"/>
              </w:rP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rPr>
                <w:highlight w:val="none"/>
              </w:rP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rPr>
                <w:highlight w:val="none"/>
              </w:rPr>
            </w:r>
          </w:p>
        </w:tc>
      </w:tr>
    </w:tbl>
    <w:p>
      <w:pPr>
        <w:spacing w:line="480" w:lineRule="exact"/>
        <w:rPr>
          <w:highlight w:val="none"/>
        </w:rPr>
      </w:pPr>
      <w:r>
        <w:rPr>
          <w:rFonts w:hint="eastAsia" w:ascii="宋体" w:hAnsi="宋体" w:cs="仿宋"/>
          <w:sz w:val="24"/>
          <w:szCs w:val="24"/>
          <w:highlight w:val="none"/>
        </w:rPr>
        <w:t xml:space="preserve">下附</w:t>
      </w:r>
      <w:r>
        <w:rPr>
          <w:highlight w:val="none"/>
        </w:rP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rPr>
          <w:highlight w:val="none"/>
        </w:rP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rPr>
          <w:highlight w:val="none"/>
        </w:rP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需对技术要求逐条做出明确响应。</w:t>
      </w:r>
      <w:r>
        <w:rPr>
          <w:highlight w:val="none"/>
        </w:rPr>
      </w:r>
    </w:p>
    <w:p>
      <w:pPr>
        <w:spacing w:line="480" w:lineRule="exact"/>
        <w:rPr>
          <w:rFonts w:hint="eastAsia" w:ascii="宋体" w:hAnsi="宋体" w:cs="仿宋"/>
          <w:sz w:val="24"/>
          <w:szCs w:val="24"/>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rPr>
          <w:highlight w:val="none"/>
        </w:rPr>
      </w:r>
    </w:p>
    <w:p>
      <w:pPr>
        <w:spacing w:line="480" w:lineRule="exact"/>
        <w:rPr>
          <w:rFonts w:hint="eastAsia" w:ascii="仿宋_GB2312" w:hAnsi="仿宋_GB2312" w:eastAsia="仿宋_GB2312" w:cs="仿宋_GB2312"/>
          <w:b/>
          <w:sz w:val="32"/>
          <w:szCs w:val="32"/>
          <w:highlight w:val="none"/>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8</w:t>
      </w:r>
      <w:r>
        <w:rPr>
          <w:highlight w:val="none"/>
        </w:rPr>
      </w:r>
    </w:p>
    <w:p>
      <w:pPr>
        <w:pStyle w:val="869"/>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rPr>
          <w:highlight w:val="none"/>
        </w:rPr>
      </w:r>
    </w:p>
    <w:tbl>
      <w:tblPr>
        <w:tblStyle w:val="6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rPr>
                <w:highlight w:val="none"/>
              </w:rP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rPr>
                <w:highlight w:val="none"/>
              </w:rP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rPr>
                <w:highlight w:val="none"/>
              </w:rP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rPr>
                <w:highlight w:val="none"/>
              </w:rP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rPr>
                <w:highlight w:val="none"/>
              </w:rP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rPr>
                <w:highlight w:val="none"/>
              </w:rP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rPr>
                <w:highlight w:val="none"/>
              </w:rP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rPr>
                <w:highlight w:val="none"/>
              </w:rP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rPr>
                <w:highlight w:val="none"/>
              </w:rP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rPr>
                <w:highlight w:val="none"/>
              </w:rP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rPr>
                <w:highlight w:val="none"/>
              </w:rP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rPr>
                <w:highlight w:val="none"/>
              </w:rP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下附</w:t>
      </w:r>
      <w:r>
        <w:rPr>
          <w:highlight w:val="none"/>
        </w:rP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rPr>
          <w:highlight w:val="none"/>
        </w:rP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rPr>
          <w:highlight w:val="none"/>
        </w:rP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需对商务要求逐条做出明确响应。</w:t>
      </w:r>
      <w:r>
        <w:rPr>
          <w:highlight w:val="none"/>
        </w:rPr>
      </w:r>
    </w:p>
    <w:p>
      <w:pPr>
        <w:spacing w:line="480" w:lineRule="exact"/>
        <w:rPr>
          <w:rFonts w:hint="eastAsia" w:ascii="宋体" w:hAnsi="宋体" w:cs="仿宋"/>
          <w:bCs/>
          <w:color w:val="000000"/>
          <w:sz w:val="24"/>
          <w:szCs w:val="28"/>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rPr>
          <w:highlight w:val="none"/>
        </w:rP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rPr>
          <w:highlight w:val="none"/>
        </w:rPr>
      </w:r>
    </w:p>
    <w:p>
      <w:pPr>
        <w:rPr>
          <w:rFonts w:hint="eastAsia" w:ascii="仿宋_GB2312" w:hAnsi="仿宋_GB2312" w:eastAsia="仿宋_GB2312" w:cs="仿宋_GB2312"/>
          <w:b/>
          <w:sz w:val="32"/>
          <w:szCs w:val="32"/>
          <w:highlight w:val="none"/>
        </w:rPr>
      </w:pPr>
      <w:r>
        <w:rPr>
          <w:rFonts w:hint="eastAsia" w:ascii="仿宋" w:hAnsi="仿宋" w:eastAsia="仿宋" w:cs="仿宋"/>
          <w:sz w:val="20"/>
          <w:highlight w:val="none"/>
        </w:rPr>
        <w:br w:type="page" w:clear="all"/>
      </w:r>
      <w:r>
        <w:rPr>
          <w:highlight w:val="none"/>
        </w:rP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rPr>
          <w:highlight w:val="none"/>
        </w:rP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rPr>
          <w:highlight w:val="none"/>
        </w:rP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rPr>
          <w:highlight w:val="none"/>
        </w:rP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rPr>
          <w:highlight w:val="none"/>
        </w:rP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rPr>
          <w:highlight w:val="none"/>
        </w:rP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rPr>
          <w:highlight w:val="none"/>
        </w:rP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rPr>
          <w:highlight w:val="none"/>
        </w:rP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rPr>
          <w:highlight w:val="none"/>
        </w:rPr>
      </w:r>
    </w:p>
    <w:p>
      <w:pPr>
        <w:ind w:right="480" w:firstLine="630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w:t>
      </w:r>
      <w:r>
        <w:rPr>
          <w:highlight w:val="none"/>
        </w:rP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rPr>
          <w:highlight w:val="none"/>
        </w:rP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rPr>
          <w:highlight w:val="none"/>
        </w:rP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rPr>
          <w:highlight w:val="none"/>
        </w:rPr>
      </w:r>
    </w:p>
    <w:p>
      <w:pPr>
        <w:ind w:firstLine="562"/>
        <w:keepLines w:val="0"/>
        <w:keepNext w:val="0"/>
        <w:pageBreakBefore w:val="0"/>
        <w:spacing w:line="360" w:lineRule="exact"/>
        <w:widowControl w:val="off"/>
        <w:rPr>
          <w:rFonts w:hint="eastAsia" w:ascii="仿宋" w:hAnsi="仿宋" w:eastAsia="仿宋" w:cs="仿宋"/>
          <w:b/>
          <w:color w:val="000000"/>
          <w:sz w:val="24"/>
          <w:szCs w:val="24"/>
          <w:highlight w:val="none"/>
          <w:u w:val="single"/>
        </w:rPr>
      </w:pPr>
      <w:r>
        <w:rPr>
          <w:rFonts w:hint="eastAsia" w:ascii="仿宋" w:hAnsi="仿宋" w:eastAsia="仿宋" w:cs="仿宋"/>
          <w:b/>
          <w:color w:val="000000"/>
          <w:sz w:val="24"/>
          <w:szCs w:val="24"/>
          <w:highlight w:val="none"/>
          <w:u w:val="single"/>
        </w:rPr>
        <w:t xml:space="preserve">2.专门面向中小微型企业采购的项目，供应商如不提供此声明函，则不能通过资格审查；非专门面向中小微型企业采购的项目，供应商如不提供此声明函，价格将不做相应扣除。</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《国家统计局关于印发〈统计上大中小微型企业划分办法（2017）〉的通知》（国统字〔2017〕213号）的规定，自行勾选制造商的企业规模类型。    </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附：中小企业划型标准规定</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rPr>
          <w:highlight w:val="none"/>
        </w:rPr>
      </w:r>
    </w:p>
    <w:p>
      <w:pPr>
        <w:ind w:firstLine="560"/>
        <w:keepLines w:val="0"/>
        <w:keepNext w:val="0"/>
        <w:pageBreakBefore w:val="0"/>
        <w:spacing w:line="360" w:lineRule="exact"/>
        <w:widowControl w:val="off"/>
        <w:rPr>
          <w:rFonts w:hint="eastAsia" w:ascii="仿宋" w:hAnsi="仿宋" w:eastAsia="仿宋" w:cs="仿宋"/>
          <w:b/>
          <w:bCs/>
          <w:color w:val="000000"/>
          <w:sz w:val="24"/>
          <w:szCs w:val="24"/>
          <w:highlight w:val="none"/>
          <w:u w:val="single"/>
        </w:rPr>
      </w:pPr>
      <w:r>
        <w:rPr>
          <w:rFonts w:hint="eastAsia" w:ascii="仿宋" w:hAnsi="仿宋" w:eastAsia="仿宋" w:cs="仿宋"/>
          <w:b/>
          <w:bCs/>
          <w:color w:val="000000"/>
          <w:sz w:val="24"/>
          <w:szCs w:val="24"/>
          <w:highlight w:val="none"/>
          <w:u w:val="singl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rPr>
          <w:highlight w:val="none"/>
        </w:rPr>
      </w:r>
    </w:p>
    <w:p>
      <w:pPr>
        <w:keepLines w:val="0"/>
        <w:keepNext w:val="0"/>
        <w:pageBreakBefore w:val="0"/>
        <w:spacing w:line="3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rPr>
          <w:highlight w:val="none"/>
        </w:rP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0</w:t>
      </w:r>
      <w:r>
        <w:rPr>
          <w:highlight w:val="none"/>
        </w:rP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rPr>
          <w:highlight w:val="none"/>
        </w:rP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项目采购活动提供本单位制造的货物，或者提供其他残疾人福利性单位制造的货物（不包括使用非残疾人福利性单位注册商标的货物）。</w:t>
      </w:r>
      <w:r>
        <w:rPr>
          <w:highlight w:val="none"/>
        </w:rP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rPr>
          <w:highlight w:val="none"/>
        </w:rP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rPr>
          <w:highlight w:val="none"/>
        </w:rP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rPr>
          <w:highlight w:val="none"/>
        </w:rPr>
      </w:r>
    </w:p>
    <w:p>
      <w:pPr>
        <w:ind w:right="1559"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rPr>
          <w:highlight w:val="none"/>
        </w:rPr>
      </w:r>
    </w:p>
    <w:p>
      <w:pPr>
        <w:ind w:right="1559" w:firstLine="560"/>
        <w:jc w:val="right"/>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rPr>
          <w:highlight w:val="none"/>
        </w:rPr>
      </w:r>
    </w:p>
    <w:p>
      <w:pPr>
        <w:ind w:firstLine="560"/>
        <w:spacing w:line="480" w:lineRule="exact"/>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rPr>
          <w:highlight w:val="none"/>
        </w:rPr>
      </w:r>
    </w:p>
    <w:p>
      <w:pPr>
        <w:ind w:firstLine="562"/>
        <w:spacing w:line="480" w:lineRule="exact"/>
        <w:rPr>
          <w:rFonts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 xml:space="preserve">1</w:t>
      </w:r>
      <w:r>
        <w:rPr>
          <w:rFonts w:hint="eastAsia" w:ascii="仿宋" w:hAnsi="仿宋" w:eastAsia="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b/>
          <w:bCs/>
          <w:color w:val="000000" w:themeColor="text1"/>
          <w:sz w:val="24"/>
          <w:szCs w:val="24"/>
          <w:highlight w:val="none"/>
          <w14:textFill>
            <w14:solidFill>
              <w14:schemeClr w14:val="tx1"/>
            </w14:solidFill>
          </w14:textFill>
        </w:rPr>
        <w:t xml:space="preserve">专门面向中小微型企业采购的</w:t>
      </w:r>
      <w:r>
        <w:rPr>
          <w:rFonts w:ascii="仿宋" w:hAnsi="仿宋" w:eastAsia="仿宋"/>
          <w:b/>
          <w:bCs/>
          <w:color w:val="000000" w:themeColor="text1"/>
          <w:sz w:val="24"/>
          <w:szCs w:val="24"/>
          <w:highlight w:val="none"/>
          <w14:textFill>
            <w14:solidFill>
              <w14:schemeClr w14:val="tx1"/>
            </w14:solidFill>
          </w14:textFill>
        </w:rPr>
        <w:t xml:space="preserve">项目</w:t>
      </w:r>
      <w:r>
        <w:rPr>
          <w:rFonts w:hint="eastAsia" w:ascii="仿宋" w:hAnsi="仿宋" w:eastAsia="仿宋"/>
          <w:b/>
          <w:bCs/>
          <w:color w:val="000000" w:themeColor="text1"/>
          <w:sz w:val="24"/>
          <w:szCs w:val="24"/>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4"/>
          <w:szCs w:val="24"/>
          <w:highlight w:val="none"/>
          <w14:textFill>
            <w14:solidFill>
              <w14:schemeClr w14:val="tx1"/>
            </w14:solidFill>
          </w14:textFill>
        </w:rPr>
        <w:t xml:space="preserve">声明函</w:t>
      </w:r>
      <w:r>
        <w:rPr>
          <w:rFonts w:hint="eastAsia" w:ascii="仿宋" w:hAnsi="仿宋" w:eastAsia="仿宋"/>
          <w:b/>
          <w:bCs/>
          <w:color w:val="000000" w:themeColor="text1"/>
          <w:sz w:val="24"/>
          <w:szCs w:val="24"/>
          <w:highlight w:val="none"/>
          <w14:textFill>
            <w14:solidFill>
              <w14:schemeClr w14:val="tx1"/>
            </w14:solidFill>
          </w14:textFill>
        </w:rPr>
        <w:t xml:space="preserve">，</w:t>
      </w:r>
      <w:r>
        <w:rPr>
          <w:rFonts w:ascii="仿宋" w:hAnsi="仿宋" w:eastAsia="仿宋"/>
          <w:b/>
          <w:bCs/>
          <w:color w:val="000000" w:themeColor="text1"/>
          <w:sz w:val="24"/>
          <w:szCs w:val="24"/>
          <w:highlight w:val="none"/>
          <w14:textFill>
            <w14:solidFill>
              <w14:schemeClr w14:val="tx1"/>
            </w14:solidFill>
          </w14:textFill>
        </w:rPr>
        <w:t xml:space="preserve">否则将</w:t>
      </w:r>
      <w:r>
        <w:rPr>
          <w:rFonts w:hint="eastAsia" w:ascii="仿宋" w:hAnsi="仿宋" w:eastAsia="仿宋"/>
          <w:b/>
          <w:bCs/>
          <w:color w:val="000000" w:themeColor="text1"/>
          <w:sz w:val="24"/>
          <w:szCs w:val="24"/>
          <w:highlight w:val="none"/>
          <w14:textFill>
            <w14:solidFill>
              <w14:schemeClr w14:val="tx1"/>
            </w14:solidFill>
          </w14:textFill>
        </w:rPr>
        <w:t xml:space="preserve">不能</w:t>
      </w:r>
      <w:r>
        <w:rPr>
          <w:rFonts w:ascii="仿宋" w:hAnsi="仿宋" w:eastAsia="仿宋"/>
          <w:b/>
          <w:bCs/>
          <w:color w:val="000000" w:themeColor="text1"/>
          <w:sz w:val="24"/>
          <w:szCs w:val="24"/>
          <w:highlight w:val="none"/>
          <w14:textFill>
            <w14:solidFill>
              <w14:schemeClr w14:val="tx1"/>
            </w14:solidFill>
          </w14:textFill>
        </w:rPr>
        <w:t xml:space="preserve">通过资格审查</w:t>
      </w:r>
      <w:r>
        <w:rPr>
          <w:rFonts w:hint="eastAsia" w:ascii="仿宋" w:hAnsi="仿宋" w:eastAsia="仿宋"/>
          <w:b/>
          <w:bCs/>
          <w:color w:val="000000" w:themeColor="text1"/>
          <w:sz w:val="24"/>
          <w:szCs w:val="24"/>
          <w:highlight w:val="none"/>
          <w14:textFill>
            <w14:solidFill>
              <w14:schemeClr w14:val="tx1"/>
            </w14:solidFill>
          </w14:textFill>
        </w:rPr>
        <w:t xml:space="preserve">。</w:t>
      </w:r>
      <w:r>
        <w:rPr>
          <w:highlight w:val="none"/>
        </w:rPr>
      </w:r>
    </w:p>
    <w:p>
      <w:pPr>
        <w:ind w:firstLine="560"/>
        <w:spacing w:line="480" w:lineRule="exact"/>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2.非专门面向中小微型企业采购的</w:t>
      </w:r>
      <w:r>
        <w:rPr>
          <w:rFonts w:ascii="仿宋" w:hAnsi="仿宋" w:eastAsia="仿宋"/>
          <w:b w:val="0"/>
          <w:bCs w:val="0"/>
          <w:color w:val="000000" w:themeColor="text1"/>
          <w:sz w:val="24"/>
          <w:szCs w:val="24"/>
          <w:highlight w:val="none"/>
          <w14:textFill>
            <w14:solidFill>
              <w14:schemeClr w14:val="tx1"/>
            </w14:solidFill>
          </w14:textFill>
        </w:rPr>
        <w:t xml:space="preserve">项目</w:t>
      </w:r>
      <w:r>
        <w:rPr>
          <w:rFonts w:hint="eastAsia" w:ascii="仿宋" w:hAnsi="仿宋" w:eastAsia="仿宋"/>
          <w:b w:val="0"/>
          <w:bCs w:val="0"/>
          <w:color w:val="000000" w:themeColor="text1"/>
          <w:sz w:val="24"/>
          <w:szCs w:val="24"/>
          <w:highlight w:val="none"/>
          <w14:textFill>
            <w14:solidFill>
              <w14:schemeClr w14:val="tx1"/>
            </w14:solidFill>
          </w14:textFill>
        </w:rPr>
        <w:t xml:space="preserve">，供应商如不提供此声明函，价格将不做相应扣除。</w:t>
      </w:r>
      <w:r>
        <w:rPr>
          <w:highlight w:val="none"/>
        </w:rPr>
      </w:r>
    </w:p>
    <w:p>
      <w:pPr>
        <w:ind w:firstLine="560"/>
        <w:spacing w:line="480" w:lineRule="exact"/>
        <w:rPr>
          <w:rFonts w:ascii="仿宋" w:hAnsi="仿宋" w:eastAsia="仿宋"/>
          <w:b w:val="0"/>
          <w:bCs w:val="0"/>
          <w:color w:val="000000" w:themeColor="text1"/>
          <w:sz w:val="24"/>
          <w:szCs w:val="24"/>
          <w:highlight w:val="none"/>
          <w14:textFill>
            <w14:solidFill>
              <w14:schemeClr w14:val="tx1"/>
            </w14:solidFill>
          </w14:textFill>
        </w:rPr>
      </w:pPr>
      <w:r>
        <w:rPr>
          <w:rFonts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14:textFill>
            <w14:solidFill>
              <w14:schemeClr w14:val="tx1"/>
            </w14:solidFill>
          </w14:textFill>
        </w:rPr>
        <w:t xml:space="preserve">.中标/成交供应商为残疾人福利性单位的，此声明函将随中标/成交结果同时公告，接受社会监督。</w:t>
      </w:r>
      <w:r>
        <w:rPr>
          <w:highlight w:val="none"/>
        </w:rPr>
      </w:r>
    </w:p>
    <w:p>
      <w:pPr>
        <w:ind w:firstLine="560"/>
        <w:spacing w:line="480" w:lineRule="exact"/>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4.非残疾人福利性单位无须提供。</w:t>
      </w:r>
      <w:r>
        <w:rPr>
          <w:highlight w:val="none"/>
        </w:rP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rPr>
          <w:highlight w:val="none"/>
        </w:rP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rPr>
          <w:highlight w:val="none"/>
        </w:rP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rPr>
          <w:highlight w:val="none"/>
        </w:rP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w:t>
      </w:r>
      <w:r>
        <w:rPr>
          <w:highlight w:val="none"/>
        </w:rPr>
      </w:r>
    </w:p>
    <w:p>
      <w:pPr>
        <w:pStyle w:val="701"/>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rPr>
          <w:highlight w:val="none"/>
        </w:rPr>
      </w:r>
    </w:p>
    <w:p>
      <w:pPr>
        <w:pStyle w:val="701"/>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rPr>
          <w:highlight w:val="none"/>
        </w:rPr>
      </w:r>
    </w:p>
    <w:p>
      <w:pPr>
        <w:pStyle w:val="701"/>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70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70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0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70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0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70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70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70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70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rPr>
          <w:highlight w:val="none"/>
        </w:rPr>
      </w:r>
    </w:p>
    <w:p>
      <w:pPr>
        <w:pStyle w:val="701"/>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70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0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0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rPr>
          <w:highlight w:val="none"/>
        </w:rPr>
      </w:r>
    </w:p>
    <w:p>
      <w:pPr>
        <w:pStyle w:val="701"/>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highlight w:val="none"/>
        </w:rPr>
      </w:r>
    </w:p>
    <w:p>
      <w:pPr>
        <w:pStyle w:val="701"/>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rPr>
          <w:highlight w:val="none"/>
        </w:rP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rPr>
          <w:highlight w:val="none"/>
        </w:rPr>
      </w:r>
    </w:p>
    <w:p>
      <w:pPr>
        <w:pStyle w:val="701"/>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rPr>
          <w:highlight w:val="none"/>
        </w:rPr>
      </w:r>
    </w:p>
    <w:p>
      <w:pPr>
        <w:pStyle w:val="701"/>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rPr>
          <w:highlight w:val="none"/>
        </w:rP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rPr>
          <w:highlight w:val="none"/>
        </w:rP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rPr>
          <w:highlight w:val="none"/>
        </w:rP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rPr>
          <w:highlight w:val="none"/>
        </w:rP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rPr>
          <w:highlight w:val="none"/>
        </w:rP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rPr>
          <w:highlight w:val="none"/>
        </w:rP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rPr>
          <w:highlight w:val="none"/>
        </w:rP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rPr>
          <w:highlight w:val="none"/>
        </w:rP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rPr>
          <w:highlight w:val="none"/>
        </w:rPr>
      </w:r>
    </w:p>
    <w:p>
      <w:pPr>
        <w:pStyle w:val="881"/>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rPr>
          <w:highlight w:val="none"/>
        </w:rP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ascii="宋体" w:hAnsi="宋体"/>
          <w:b/>
          <w:bCs/>
          <w:sz w:val="32"/>
          <w:szCs w:val="32"/>
          <w:highlight w:val="none"/>
        </w:rPr>
        <w:br w:type="page" w:clear="all"/>
      </w: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rPr>
          <w:highlight w:val="none"/>
        </w:rP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rPr>
          <w:highlight w:val="none"/>
        </w:rP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rPr>
          <w:highlight w:val="none"/>
        </w:rP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rPr>
          <w:highlight w:val="none"/>
        </w:rP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rPr>
          <w:highlight w:val="none"/>
        </w:rP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rPr>
          <w:highlight w:val="none"/>
        </w:rP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rPr>
          <w:highlight w:val="none"/>
        </w:rP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rPr>
          <w:highlight w:val="none"/>
        </w:rP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rPr>
          <w:highlight w:val="none"/>
        </w:rP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rPr>
          <w:highlight w:val="none"/>
        </w:rP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rPr>
          <w:highlight w:val="none"/>
        </w:rP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rPr>
          <w:highlight w:val="none"/>
        </w:rP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rPr>
          <w:highlight w:val="none"/>
        </w:rP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rPr>
          <w:highlight w:val="none"/>
        </w:rP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rPr>
          <w:highlight w:val="none"/>
        </w:rP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rPr>
          <w:highlight w:val="none"/>
        </w:rP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rPr>
          <w:highlight w:val="none"/>
        </w:rP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rPr>
          <w:highlight w:val="none"/>
        </w:rP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rPr>
          <w:highlight w:val="none"/>
        </w:rPr>
      </w:r>
    </w:p>
    <w:p>
      <w:pPr>
        <w:ind w:firstLine="560"/>
        <w:spacing w:line="480" w:lineRule="exact"/>
        <w:rPr>
          <w:rFonts w:hint="eastAsia" w:ascii="宋体" w:hAnsi="宋体"/>
          <w:sz w:val="28"/>
          <w:szCs w:val="28"/>
          <w:highlight w:val="none"/>
        </w:rPr>
      </w:pPr>
      <w:r>
        <w:rPr>
          <w:rFonts w:hint="eastAsia" w:ascii="宋体" w:hAnsi="宋体"/>
          <w:sz w:val="28"/>
          <w:szCs w:val="28"/>
          <w:highlight w:val="none"/>
        </w:rPr>
      </w:r>
      <w:r>
        <w:rPr>
          <w:highlight w:val="none"/>
        </w:rPr>
      </w:r>
    </w:p>
    <w:sectPr>
      <w:footerReference w:type="default" r:id="rId9"/>
      <w:footerReference w:type="first" r:id="rId10"/>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Wingdings">
    <w:panose1 w:val="05000000000000000000"/>
  </w:font>
  <w:font w:name="华文楷体">
    <w:panose1 w:val="02010600040101010101"/>
  </w:font>
  <w:font w:name="微软雅黑">
    <w:panose1 w:val="020B0503020204020204"/>
  </w:font>
  <w:font w:name="Calibri">
    <w:panose1 w:val="020F0502020204030204"/>
  </w:font>
  <w:font w:name="Courier New">
    <w:panose1 w:val="02070309020205020404"/>
  </w:font>
  <w:font w:name="黑体">
    <w:panose1 w:val="02010609060101010101"/>
  </w:font>
  <w:font w:name="仿宋_GB2312">
    <w:panose1 w:val="02010609060101010101"/>
  </w:font>
  <w:font w:name="Symbol">
    <w:panose1 w:val="05050102010706020507"/>
  </w:font>
  <w:font w:name="新宋体">
    <w:panose1 w:val="0201060903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default="1">
    <w:name w:val="Normal"/>
    <w:link w:val="903"/>
    <w:uiPriority w:val="0"/>
    <w:qFormat/>
    <w:pPr>
      <w:jc w:val="both"/>
      <w:widowControl w:val="off"/>
    </w:pPr>
    <w:rPr>
      <w:rFonts w:hint="default" w:ascii="Times New Roman" w:hAnsi="Times New Roman" w:eastAsia="宋体" w:cs="Times New Roman"/>
      <w:sz w:val="21"/>
      <w:lang w:val="en-US" w:eastAsia="zh-CN" w:bidi="ar-SA"/>
    </w:rPr>
  </w:style>
  <w:style w:type="paragraph" w:styleId="671">
    <w:name w:val="Heading 1"/>
    <w:basedOn w:val="670"/>
    <w:next w:val="670"/>
    <w:link w:val="711"/>
    <w:uiPriority w:val="9"/>
    <w:qFormat/>
    <w:pPr>
      <w:keepLines/>
      <w:keepNext/>
      <w:spacing w:before="480" w:after="200"/>
      <w:outlineLvl w:val="0"/>
    </w:pPr>
    <w:rPr>
      <w:rFonts w:ascii="Arial" w:hAnsi="Arial" w:eastAsia="Arial" w:cs="Arial"/>
      <w:sz w:val="40"/>
      <w:szCs w:val="40"/>
    </w:rPr>
  </w:style>
  <w:style w:type="paragraph" w:styleId="672">
    <w:name w:val="Heading 2"/>
    <w:basedOn w:val="670"/>
    <w:next w:val="670"/>
    <w:link w:val="712"/>
    <w:uiPriority w:val="9"/>
    <w:unhideWhenUsed/>
    <w:qFormat/>
    <w:pPr>
      <w:keepLines/>
      <w:keepNext/>
      <w:spacing w:before="360" w:after="200"/>
      <w:outlineLvl w:val="1"/>
    </w:pPr>
    <w:rPr>
      <w:rFonts w:ascii="Arial" w:hAnsi="Arial" w:eastAsia="Arial" w:cs="Arial"/>
      <w:sz w:val="34"/>
    </w:rPr>
  </w:style>
  <w:style w:type="paragraph" w:styleId="673">
    <w:name w:val="Heading 3"/>
    <w:basedOn w:val="670"/>
    <w:next w:val="670"/>
    <w:link w:val="713"/>
    <w:uiPriority w:val="9"/>
    <w:unhideWhenUsed/>
    <w:qFormat/>
    <w:pPr>
      <w:keepLines/>
      <w:keepNext/>
      <w:spacing w:before="320" w:after="200"/>
      <w:outlineLvl w:val="2"/>
    </w:pPr>
    <w:rPr>
      <w:rFonts w:ascii="Arial" w:hAnsi="Arial" w:eastAsia="Arial" w:cs="Arial"/>
      <w:sz w:val="30"/>
      <w:szCs w:val="30"/>
    </w:rPr>
  </w:style>
  <w:style w:type="paragraph" w:styleId="674">
    <w:name w:val="Heading 4"/>
    <w:basedOn w:val="670"/>
    <w:next w:val="670"/>
    <w:link w:val="714"/>
    <w:uiPriority w:val="9"/>
    <w:unhideWhenUsed/>
    <w:qFormat/>
    <w:pPr>
      <w:keepLines/>
      <w:keepNext/>
      <w:spacing w:before="320" w:after="200"/>
      <w:outlineLvl w:val="3"/>
    </w:pPr>
    <w:rPr>
      <w:rFonts w:ascii="Arial" w:hAnsi="Arial" w:eastAsia="Arial" w:cs="Arial"/>
      <w:b/>
      <w:bCs/>
      <w:sz w:val="26"/>
      <w:szCs w:val="26"/>
    </w:rPr>
  </w:style>
  <w:style w:type="paragraph" w:styleId="675">
    <w:name w:val="Heading 5"/>
    <w:basedOn w:val="670"/>
    <w:next w:val="670"/>
    <w:link w:val="715"/>
    <w:uiPriority w:val="9"/>
    <w:unhideWhenUsed/>
    <w:qFormat/>
    <w:pPr>
      <w:keepLines/>
      <w:keepNext/>
      <w:spacing w:before="320" w:after="200"/>
      <w:outlineLvl w:val="4"/>
    </w:pPr>
    <w:rPr>
      <w:rFonts w:ascii="Arial" w:hAnsi="Arial" w:eastAsia="Arial" w:cs="Arial"/>
      <w:b/>
      <w:bCs/>
      <w:sz w:val="24"/>
      <w:szCs w:val="24"/>
    </w:rPr>
  </w:style>
  <w:style w:type="paragraph" w:styleId="676">
    <w:name w:val="Heading 6"/>
    <w:basedOn w:val="670"/>
    <w:next w:val="670"/>
    <w:link w:val="716"/>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670"/>
    <w:next w:val="670"/>
    <w:link w:val="717"/>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670"/>
    <w:next w:val="670"/>
    <w:link w:val="718"/>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670"/>
    <w:next w:val="670"/>
    <w:link w:val="719"/>
    <w:uiPriority w:val="9"/>
    <w:unhideWhenUsed/>
    <w:qFormat/>
    <w:pPr>
      <w:keepLines/>
      <w:keepNext/>
      <w:spacing w:before="320" w:after="200"/>
      <w:outlineLvl w:val="8"/>
    </w:pPr>
    <w:rPr>
      <w:rFonts w:ascii="Arial" w:hAnsi="Arial" w:eastAsia="Arial" w:cs="Arial"/>
      <w:i/>
      <w:iCs/>
      <w:sz w:val="21"/>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toc 7"/>
    <w:basedOn w:val="670"/>
    <w:next w:val="670"/>
    <w:uiPriority w:val="39"/>
    <w:unhideWhenUsed/>
    <w:qFormat/>
    <w:pPr>
      <w:ind w:left="1701" w:right="0" w:firstLine="0"/>
      <w:spacing w:after="57"/>
    </w:pPr>
  </w:style>
  <w:style w:type="paragraph" w:styleId="683">
    <w:name w:val="Caption"/>
    <w:basedOn w:val="670"/>
    <w:next w:val="6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4">
    <w:name w:val="Body Text"/>
    <w:basedOn w:val="670"/>
    <w:next w:val="685"/>
    <w:uiPriority w:val="99"/>
    <w:qFormat/>
    <w:rPr>
      <w:rFonts w:ascii="楷体_GB2312" w:hAnsi="Arial" w:eastAsia="楷体_GB2312"/>
      <w:sz w:val="28"/>
      <w:szCs w:val="28"/>
    </w:rPr>
  </w:style>
  <w:style w:type="paragraph" w:styleId="685" w:customStyle="1">
    <w:name w:val="Default"/>
    <w:next w:val="670"/>
    <w:uiPriority w:val="0"/>
    <w:qFormat/>
    <w:pPr>
      <w:widowControl w:val="off"/>
    </w:pPr>
    <w:rPr>
      <w:rFonts w:hint="default" w:ascii="宋体" w:hAnsi="宋体" w:eastAsia="宋体" w:cs="宋体"/>
      <w:color w:val="000000"/>
      <w:sz w:val="24"/>
      <w:szCs w:val="24"/>
      <w:lang w:val="en-US" w:eastAsia="zh-CN" w:bidi="ar-SA"/>
    </w:rPr>
  </w:style>
  <w:style w:type="paragraph" w:styleId="686">
    <w:name w:val="Body Text Indent"/>
    <w:basedOn w:val="670"/>
    <w:next w:val="670"/>
    <w:uiPriority w:val="0"/>
    <w:qFormat/>
    <w:pPr>
      <w:ind w:firstLine="403"/>
      <w:spacing w:line="440" w:lineRule="exact"/>
    </w:pPr>
    <w:rPr>
      <w:rFonts w:ascii="宋体" w:hAnsi="宋体"/>
      <w:sz w:val="20"/>
      <w:szCs w:val="21"/>
    </w:rPr>
  </w:style>
  <w:style w:type="paragraph" w:styleId="687">
    <w:name w:val="toc 5"/>
    <w:basedOn w:val="670"/>
    <w:next w:val="670"/>
    <w:uiPriority w:val="39"/>
    <w:unhideWhenUsed/>
    <w:qFormat/>
    <w:pPr>
      <w:ind w:left="1134" w:right="0" w:firstLine="0"/>
      <w:spacing w:after="57"/>
    </w:pPr>
  </w:style>
  <w:style w:type="paragraph" w:styleId="688">
    <w:name w:val="toc 3"/>
    <w:basedOn w:val="670"/>
    <w:next w:val="670"/>
    <w:uiPriority w:val="39"/>
    <w:unhideWhenUsed/>
    <w:qFormat/>
    <w:pPr>
      <w:ind w:left="567" w:right="0" w:firstLine="0"/>
      <w:spacing w:after="57"/>
    </w:pPr>
  </w:style>
  <w:style w:type="paragraph" w:styleId="689">
    <w:name w:val="toc 8"/>
    <w:basedOn w:val="670"/>
    <w:next w:val="670"/>
    <w:uiPriority w:val="39"/>
    <w:unhideWhenUsed/>
    <w:qFormat/>
    <w:pPr>
      <w:ind w:left="1984" w:right="0" w:firstLine="0"/>
      <w:spacing w:after="57"/>
    </w:pPr>
  </w:style>
  <w:style w:type="paragraph" w:styleId="690">
    <w:name w:val="endnote text"/>
    <w:basedOn w:val="670"/>
    <w:link w:val="857"/>
    <w:uiPriority w:val="99"/>
    <w:semiHidden/>
    <w:unhideWhenUsed/>
    <w:qFormat/>
    <w:pPr>
      <w:spacing w:after="0" w:line="240" w:lineRule="auto"/>
    </w:pPr>
    <w:rPr>
      <w:sz w:val="20"/>
    </w:rPr>
  </w:style>
  <w:style w:type="paragraph" w:styleId="691">
    <w:name w:val="Footer"/>
    <w:basedOn w:val="670"/>
    <w:link w:val="730"/>
    <w:uiPriority w:val="99"/>
    <w:unhideWhenUsed/>
    <w:qFormat/>
    <w:pPr>
      <w:spacing w:after="0" w:line="240" w:lineRule="auto"/>
      <w:tabs>
        <w:tab w:val="center" w:pos="7143" w:leader="none"/>
        <w:tab w:val="right" w:pos="14287" w:leader="none"/>
      </w:tabs>
    </w:pPr>
  </w:style>
  <w:style w:type="paragraph" w:styleId="692">
    <w:name w:val="Header"/>
    <w:basedOn w:val="670"/>
    <w:link w:val="728"/>
    <w:uiPriority w:val="99"/>
    <w:unhideWhenUsed/>
    <w:qFormat/>
    <w:pPr>
      <w:spacing w:after="0" w:line="240" w:lineRule="auto"/>
      <w:tabs>
        <w:tab w:val="center" w:pos="7143" w:leader="none"/>
        <w:tab w:val="right" w:pos="14287" w:leader="none"/>
      </w:tabs>
    </w:pPr>
  </w:style>
  <w:style w:type="paragraph" w:styleId="693">
    <w:name w:val="toc 1"/>
    <w:basedOn w:val="670"/>
    <w:next w:val="670"/>
    <w:uiPriority w:val="39"/>
    <w:unhideWhenUsed/>
    <w:qFormat/>
    <w:pPr>
      <w:ind w:left="0" w:right="0" w:firstLine="0"/>
      <w:spacing w:after="57"/>
    </w:pPr>
  </w:style>
  <w:style w:type="paragraph" w:styleId="694">
    <w:name w:val="toc 4"/>
    <w:basedOn w:val="670"/>
    <w:next w:val="670"/>
    <w:uiPriority w:val="39"/>
    <w:unhideWhenUsed/>
    <w:qFormat/>
    <w:pPr>
      <w:ind w:left="850" w:right="0" w:firstLine="0"/>
      <w:spacing w:after="57"/>
    </w:pPr>
  </w:style>
  <w:style w:type="paragraph" w:styleId="695">
    <w:name w:val="Subtitle"/>
    <w:basedOn w:val="670"/>
    <w:next w:val="670"/>
    <w:link w:val="723"/>
    <w:uiPriority w:val="11"/>
    <w:qFormat/>
    <w:pPr>
      <w:spacing w:before="200" w:after="200"/>
    </w:pPr>
    <w:rPr>
      <w:sz w:val="24"/>
      <w:szCs w:val="24"/>
    </w:rPr>
  </w:style>
  <w:style w:type="paragraph" w:styleId="696">
    <w:name w:val="footnote text"/>
    <w:basedOn w:val="670"/>
    <w:link w:val="856"/>
    <w:uiPriority w:val="99"/>
    <w:semiHidden/>
    <w:unhideWhenUsed/>
    <w:qFormat/>
    <w:pPr>
      <w:spacing w:after="40" w:line="240" w:lineRule="auto"/>
    </w:pPr>
    <w:rPr>
      <w:sz w:val="18"/>
    </w:rPr>
  </w:style>
  <w:style w:type="paragraph" w:styleId="697">
    <w:name w:val="toc 6"/>
    <w:basedOn w:val="670"/>
    <w:next w:val="670"/>
    <w:uiPriority w:val="39"/>
    <w:unhideWhenUsed/>
    <w:qFormat/>
    <w:pPr>
      <w:ind w:left="1417" w:right="0" w:firstLine="0"/>
      <w:spacing w:after="57"/>
    </w:pPr>
  </w:style>
  <w:style w:type="paragraph" w:styleId="698">
    <w:name w:val="table of figures"/>
    <w:basedOn w:val="670"/>
    <w:next w:val="670"/>
    <w:uiPriority w:val="99"/>
    <w:unhideWhenUsed/>
    <w:qFormat/>
    <w:pPr>
      <w:spacing w:after="0" w:afterAutospacing="0"/>
    </w:pPr>
  </w:style>
  <w:style w:type="paragraph" w:styleId="699">
    <w:name w:val="toc 2"/>
    <w:basedOn w:val="670"/>
    <w:next w:val="670"/>
    <w:uiPriority w:val="39"/>
    <w:unhideWhenUsed/>
    <w:qFormat/>
    <w:pPr>
      <w:ind w:left="283" w:right="0" w:firstLine="0"/>
      <w:spacing w:after="57"/>
    </w:pPr>
  </w:style>
  <w:style w:type="paragraph" w:styleId="700">
    <w:name w:val="toc 9"/>
    <w:basedOn w:val="670"/>
    <w:next w:val="670"/>
    <w:uiPriority w:val="39"/>
    <w:unhideWhenUsed/>
    <w:qFormat/>
    <w:pPr>
      <w:ind w:left="2268" w:right="0" w:firstLine="0"/>
      <w:spacing w:after="57"/>
    </w:pPr>
  </w:style>
  <w:style w:type="paragraph" w:styleId="701">
    <w:name w:val="Normal (Web)"/>
    <w:basedOn w:val="670"/>
    <w:uiPriority w:val="0"/>
    <w:qFormat/>
    <w:pPr>
      <w:jc w:val="left"/>
      <w:spacing w:beforeAutospacing="1" w:afterAutospacing="1"/>
    </w:pPr>
    <w:rPr>
      <w:sz w:val="24"/>
    </w:rPr>
  </w:style>
  <w:style w:type="paragraph" w:styleId="702">
    <w:name w:val="Title"/>
    <w:basedOn w:val="670"/>
    <w:next w:val="670"/>
    <w:link w:val="722"/>
    <w:uiPriority w:val="10"/>
    <w:qFormat/>
    <w:pPr>
      <w:contextualSpacing/>
      <w:spacing w:before="300" w:after="200"/>
    </w:pPr>
    <w:rPr>
      <w:sz w:val="48"/>
      <w:szCs w:val="48"/>
    </w:rPr>
  </w:style>
  <w:style w:type="table" w:styleId="70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4">
    <w:name w:val="Strong"/>
    <w:basedOn w:val="680"/>
    <w:uiPriority w:val="22"/>
    <w:qFormat/>
    <w:rPr>
      <w:b/>
    </w:rPr>
  </w:style>
  <w:style w:type="character" w:styleId="705">
    <w:name w:val="endnote reference"/>
    <w:uiPriority w:val="99"/>
    <w:semiHidden/>
    <w:unhideWhenUsed/>
    <w:qFormat/>
    <w:rPr>
      <w:vertAlign w:val="superscript"/>
    </w:rPr>
  </w:style>
  <w:style w:type="character" w:styleId="706">
    <w:name w:val="Emphasis"/>
    <w:uiPriority w:val="0"/>
    <w:qFormat/>
    <w:rPr>
      <w:i/>
    </w:rPr>
  </w:style>
  <w:style w:type="character" w:styleId="707">
    <w:name w:val="Hyperlink"/>
    <w:uiPriority w:val="99"/>
    <w:unhideWhenUsed/>
    <w:qFormat/>
    <w:rPr>
      <w:color w:val="0000ff" w:themeColor="hyperlink"/>
      <w:u w:val="single"/>
      <w14:textFill>
        <w14:solidFill>
          <w14:schemeClr w14:val="hlink"/>
        </w14:solidFill>
      </w14:textFill>
    </w:rPr>
  </w:style>
  <w:style w:type="character" w:styleId="708">
    <w:name w:val="footnote reference"/>
    <w:uiPriority w:val="99"/>
    <w:unhideWhenUsed/>
    <w:qFormat/>
    <w:rPr>
      <w:vertAlign w:val="superscript"/>
    </w:rPr>
  </w:style>
  <w:style w:type="paragraph" w:styleId="709" w:customStyle="1">
    <w:name w:val="正文首行缩进 21"/>
    <w:basedOn w:val="710"/>
    <w:uiPriority w:val="0"/>
    <w:qFormat/>
    <w:pPr>
      <w:ind w:left="0" w:firstLine="420"/>
      <w:spacing w:after="0" w:line="360" w:lineRule="auto"/>
    </w:pPr>
    <w:rPr>
      <w:rFonts w:ascii="宋体" w:hAnsi="宋体"/>
      <w:sz w:val="20"/>
      <w:szCs w:val="20"/>
      <w:lang w:val="en-US" w:eastAsia="en-US"/>
    </w:rPr>
  </w:style>
  <w:style w:type="paragraph" w:styleId="710" w:customStyle="1">
    <w:name w:val="正文文本缩进1"/>
    <w:basedOn w:val="670"/>
    <w:next w:val="709"/>
    <w:uiPriority w:val="0"/>
    <w:unhideWhenUsed/>
    <w:qFormat/>
    <w:pPr>
      <w:ind w:left="420"/>
      <w:spacing w:after="120"/>
    </w:pPr>
  </w:style>
  <w:style w:type="character" w:styleId="711" w:customStyle="1">
    <w:name w:val="Heading 1 Char"/>
    <w:link w:val="671"/>
    <w:uiPriority w:val="9"/>
    <w:qFormat/>
    <w:rPr>
      <w:rFonts w:ascii="Arial" w:hAnsi="Arial" w:eastAsia="Arial" w:cs="Arial"/>
      <w:sz w:val="40"/>
      <w:szCs w:val="40"/>
    </w:rPr>
  </w:style>
  <w:style w:type="character" w:styleId="712" w:customStyle="1">
    <w:name w:val="Heading 2 Char"/>
    <w:link w:val="672"/>
    <w:uiPriority w:val="9"/>
    <w:qFormat/>
    <w:rPr>
      <w:rFonts w:ascii="Arial" w:hAnsi="Arial" w:eastAsia="Arial" w:cs="Arial"/>
      <w:sz w:val="34"/>
    </w:rPr>
  </w:style>
  <w:style w:type="character" w:styleId="713" w:customStyle="1">
    <w:name w:val="Heading 3 Char"/>
    <w:link w:val="673"/>
    <w:uiPriority w:val="9"/>
    <w:qFormat/>
    <w:rPr>
      <w:rFonts w:ascii="Arial" w:hAnsi="Arial" w:eastAsia="Arial" w:cs="Arial"/>
      <w:sz w:val="30"/>
      <w:szCs w:val="30"/>
    </w:rPr>
  </w:style>
  <w:style w:type="character" w:styleId="714" w:customStyle="1">
    <w:name w:val="Heading 4 Char"/>
    <w:link w:val="674"/>
    <w:uiPriority w:val="9"/>
    <w:qFormat/>
    <w:rPr>
      <w:rFonts w:ascii="Arial" w:hAnsi="Arial" w:eastAsia="Arial" w:cs="Arial"/>
      <w:b/>
      <w:bCs/>
      <w:sz w:val="26"/>
      <w:szCs w:val="26"/>
    </w:rPr>
  </w:style>
  <w:style w:type="character" w:styleId="715" w:customStyle="1">
    <w:name w:val="Heading 5 Char"/>
    <w:link w:val="675"/>
    <w:uiPriority w:val="9"/>
    <w:qFormat/>
    <w:rPr>
      <w:rFonts w:ascii="Arial" w:hAnsi="Arial" w:eastAsia="Arial" w:cs="Arial"/>
      <w:b/>
      <w:bCs/>
      <w:sz w:val="24"/>
      <w:szCs w:val="24"/>
    </w:rPr>
  </w:style>
  <w:style w:type="character" w:styleId="716" w:customStyle="1">
    <w:name w:val="Heading 6 Char"/>
    <w:link w:val="676"/>
    <w:uiPriority w:val="9"/>
    <w:qFormat/>
    <w:rPr>
      <w:rFonts w:ascii="Arial" w:hAnsi="Arial" w:eastAsia="Arial" w:cs="Arial"/>
      <w:b/>
      <w:bCs/>
      <w:sz w:val="22"/>
      <w:szCs w:val="22"/>
    </w:rPr>
  </w:style>
  <w:style w:type="character" w:styleId="717" w:customStyle="1">
    <w:name w:val="Heading 7 Char"/>
    <w:link w:val="677"/>
    <w:uiPriority w:val="9"/>
    <w:qFormat/>
    <w:rPr>
      <w:rFonts w:ascii="Arial" w:hAnsi="Arial" w:eastAsia="Arial" w:cs="Arial"/>
      <w:b/>
      <w:bCs/>
      <w:i/>
      <w:iCs/>
      <w:sz w:val="22"/>
      <w:szCs w:val="22"/>
    </w:rPr>
  </w:style>
  <w:style w:type="character" w:styleId="718" w:customStyle="1">
    <w:name w:val="Heading 8 Char"/>
    <w:link w:val="678"/>
    <w:uiPriority w:val="9"/>
    <w:qFormat/>
    <w:rPr>
      <w:rFonts w:ascii="Arial" w:hAnsi="Arial" w:eastAsia="Arial" w:cs="Arial"/>
      <w:i/>
      <w:iCs/>
      <w:sz w:val="22"/>
      <w:szCs w:val="22"/>
    </w:rPr>
  </w:style>
  <w:style w:type="character" w:styleId="719" w:customStyle="1">
    <w:name w:val="Heading 9 Char"/>
    <w:link w:val="679"/>
    <w:uiPriority w:val="9"/>
    <w:qFormat/>
    <w:rPr>
      <w:rFonts w:ascii="Arial" w:hAnsi="Arial" w:eastAsia="Arial" w:cs="Arial"/>
      <w:i/>
      <w:iCs/>
      <w:sz w:val="21"/>
      <w:szCs w:val="21"/>
    </w:rPr>
  </w:style>
  <w:style w:type="paragraph" w:styleId="720">
    <w:name w:val="List Paragraph"/>
    <w:basedOn w:val="670"/>
    <w:uiPriority w:val="34"/>
    <w:qFormat/>
    <w:pPr>
      <w:contextualSpacing/>
      <w:ind w:left="720"/>
    </w:pPr>
  </w:style>
  <w:style w:type="paragraph" w:styleId="721">
    <w:name w:val="No Spacing"/>
    <w:uiPriority w:val="1"/>
    <w:qFormat/>
    <w:pPr>
      <w:spacing w:before="0" w:after="0" w:line="240" w:lineRule="auto"/>
    </w:pPr>
    <w:rPr>
      <w:rFonts w:hint="default" w:ascii="Times New Roman" w:hAnsi="Times New Roman" w:eastAsia="宋体" w:cs="Times New Roman"/>
    </w:rPr>
  </w:style>
  <w:style w:type="character" w:styleId="722" w:customStyle="1">
    <w:name w:val="Title Char"/>
    <w:link w:val="702"/>
    <w:uiPriority w:val="10"/>
    <w:qFormat/>
    <w:rPr>
      <w:sz w:val="48"/>
      <w:szCs w:val="48"/>
    </w:rPr>
  </w:style>
  <w:style w:type="character" w:styleId="723" w:customStyle="1">
    <w:name w:val="Subtitle Char"/>
    <w:link w:val="695"/>
    <w:uiPriority w:val="11"/>
    <w:qFormat/>
    <w:rPr>
      <w:sz w:val="24"/>
      <w:szCs w:val="24"/>
    </w:rPr>
  </w:style>
  <w:style w:type="paragraph" w:styleId="724">
    <w:name w:val="Quote"/>
    <w:basedOn w:val="670"/>
    <w:next w:val="670"/>
    <w:link w:val="725"/>
    <w:uiPriority w:val="29"/>
    <w:qFormat/>
    <w:pPr>
      <w:ind w:left="720" w:right="720"/>
    </w:pPr>
    <w:rPr>
      <w:i/>
    </w:rPr>
  </w:style>
  <w:style w:type="character" w:styleId="725" w:customStyle="1">
    <w:name w:val="Quote Char"/>
    <w:link w:val="724"/>
    <w:uiPriority w:val="29"/>
    <w:qFormat/>
    <w:rPr>
      <w:i/>
    </w:rPr>
  </w:style>
  <w:style w:type="paragraph" w:styleId="726">
    <w:name w:val="Intense Quote"/>
    <w:basedOn w:val="670"/>
    <w:next w:val="670"/>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customStyle="1">
    <w:name w:val="Intense Quote Char"/>
    <w:link w:val="726"/>
    <w:uiPriority w:val="30"/>
    <w:qFormat/>
    <w:rPr>
      <w:i/>
    </w:rPr>
  </w:style>
  <w:style w:type="character" w:styleId="728" w:customStyle="1">
    <w:name w:val="Header Char"/>
    <w:link w:val="692"/>
    <w:uiPriority w:val="99"/>
    <w:qFormat/>
  </w:style>
  <w:style w:type="character" w:styleId="729" w:customStyle="1">
    <w:name w:val="Footer Char"/>
    <w:link w:val="691"/>
    <w:uiPriority w:val="99"/>
    <w:qFormat/>
  </w:style>
  <w:style w:type="character" w:styleId="730" w:customStyle="1">
    <w:name w:val="Caption Char"/>
    <w:link w:val="691"/>
    <w:uiPriority w:val="99"/>
    <w:qFormat/>
  </w:style>
  <w:style w:type="table" w:styleId="73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6" w:customStyle="1">
    <w:name w:val="Footnote Text Char"/>
    <w:link w:val="696"/>
    <w:uiPriority w:val="99"/>
    <w:qFormat/>
    <w:rPr>
      <w:sz w:val="18"/>
    </w:rPr>
  </w:style>
  <w:style w:type="character" w:styleId="857" w:customStyle="1">
    <w:name w:val="Endnote Text Char"/>
    <w:link w:val="690"/>
    <w:uiPriority w:val="99"/>
    <w:qFormat/>
    <w:rPr>
      <w:sz w:val="20"/>
    </w:rPr>
  </w:style>
  <w:style w:type="paragraph" w:styleId="858" w:customStyle="1">
    <w:name w:val="TOC Heading"/>
    <w:uiPriority w:val="39"/>
    <w:unhideWhenUsed/>
    <w:qFormat/>
    <w:rPr>
      <w:rFonts w:hint="default" w:ascii="Times New Roman" w:hAnsi="Times New Roman" w:eastAsia="宋体" w:cs="Times New Roman"/>
    </w:rPr>
  </w:style>
  <w:style w:type="paragraph" w:styleId="859" w:customStyle="1">
    <w:name w:val="标题 11"/>
    <w:basedOn w:val="670"/>
    <w:next w:val="670"/>
    <w:link w:val="865"/>
    <w:uiPriority w:val="0"/>
    <w:qFormat/>
    <w:pPr>
      <w:keepLines/>
      <w:keepNext/>
      <w:spacing w:before="340" w:after="330" w:line="578" w:lineRule="auto"/>
      <w:outlineLvl w:val="0"/>
    </w:pPr>
    <w:rPr>
      <w:b/>
      <w:bCs/>
      <w:sz w:val="44"/>
      <w:szCs w:val="44"/>
    </w:rPr>
  </w:style>
  <w:style w:type="paragraph" w:styleId="860" w:customStyle="1">
    <w:name w:val="标题 21"/>
    <w:basedOn w:val="670"/>
    <w:next w:val="670"/>
    <w:uiPriority w:val="0"/>
    <w:qFormat/>
    <w:pPr>
      <w:keepLines/>
      <w:keepNext/>
      <w:spacing w:line="360" w:lineRule="auto"/>
      <w:outlineLvl w:val="1"/>
    </w:pPr>
    <w:rPr>
      <w:rFonts w:ascii="Arial" w:hAnsi="Arial"/>
      <w:b/>
      <w:bCs/>
      <w:sz w:val="24"/>
      <w:szCs w:val="32"/>
    </w:rPr>
  </w:style>
  <w:style w:type="paragraph" w:styleId="861" w:customStyle="1">
    <w:name w:val="标题 41"/>
    <w:basedOn w:val="670"/>
    <w:next w:val="862"/>
    <w:uiPriority w:val="0"/>
    <w:qFormat/>
    <w:pPr>
      <w:jc w:val="center"/>
      <w:keepNext/>
      <w:outlineLvl w:val="3"/>
    </w:pPr>
    <w:rPr>
      <w:rFonts w:eastAsia="新宋体"/>
      <w:sz w:val="30"/>
      <w:szCs w:val="21"/>
    </w:rPr>
  </w:style>
  <w:style w:type="paragraph" w:styleId="862" w:customStyle="1">
    <w:name w:val="正文缩进11"/>
    <w:basedOn w:val="670"/>
    <w:uiPriority w:val="0"/>
    <w:qFormat/>
    <w:pPr>
      <w:ind w:firstLine="420"/>
    </w:pPr>
  </w:style>
  <w:style w:type="character" w:styleId="863" w:customStyle="1">
    <w:name w:val="默认段落字体1"/>
    <w:link w:val="670"/>
    <w:uiPriority w:val="1"/>
    <w:unhideWhenUsed/>
    <w:qFormat/>
  </w:style>
  <w:style w:type="table" w:styleId="864" w:customStyle="1">
    <w:name w:val="普通表格1"/>
    <w:uiPriority w:val="99"/>
    <w:unhideWhenUsed/>
    <w:qFormat/>
    <w:tblPr/>
  </w:style>
  <w:style w:type="character" w:styleId="865" w:customStyle="1">
    <w:name w:val="标题 1 字符"/>
    <w:link w:val="859"/>
    <w:uiPriority w:val="0"/>
    <w:qFormat/>
    <w:rPr>
      <w:rFonts w:ascii="Times New Roman" w:hAnsi="Times New Roman"/>
      <w:b/>
      <w:bCs/>
      <w:sz w:val="44"/>
      <w:szCs w:val="44"/>
    </w:rPr>
  </w:style>
  <w:style w:type="paragraph" w:styleId="866" w:customStyle="1">
    <w:name w:val="批注文字1"/>
    <w:basedOn w:val="670"/>
    <w:link w:val="867"/>
    <w:uiPriority w:val="0"/>
    <w:qFormat/>
    <w:pPr>
      <w:jc w:val="left"/>
    </w:pPr>
  </w:style>
  <w:style w:type="character" w:styleId="867" w:customStyle="1">
    <w:name w:val="批注文字 字符"/>
    <w:link w:val="866"/>
    <w:uiPriority w:val="0"/>
    <w:qFormat/>
    <w:rPr>
      <w:sz w:val="21"/>
    </w:rPr>
  </w:style>
  <w:style w:type="paragraph" w:styleId="868" w:customStyle="1">
    <w:name w:val="正文文本11"/>
    <w:basedOn w:val="670"/>
    <w:next w:val="670"/>
    <w:uiPriority w:val="0"/>
    <w:qFormat/>
    <w:rPr>
      <w:rFonts w:ascii="仿宋_GB2312" w:eastAsia="仿宋_GB2312"/>
      <w:sz w:val="24"/>
    </w:rPr>
  </w:style>
  <w:style w:type="paragraph" w:styleId="869" w:customStyle="1">
    <w:name w:val="正文文本缩进11"/>
    <w:basedOn w:val="670"/>
    <w:next w:val="870"/>
    <w:link w:val="871"/>
    <w:uiPriority w:val="0"/>
    <w:qFormat/>
    <w:pPr>
      <w:ind w:left="420"/>
      <w:spacing w:after="120"/>
    </w:pPr>
  </w:style>
  <w:style w:type="paragraph" w:styleId="870" w:customStyle="1">
    <w:name w:val="寄信人地址1"/>
    <w:basedOn w:val="670"/>
    <w:uiPriority w:val="0"/>
    <w:qFormat/>
    <w:rPr>
      <w:rFonts w:ascii="Arial" w:hAnsi="Arial"/>
    </w:rPr>
  </w:style>
  <w:style w:type="character" w:styleId="871" w:customStyle="1">
    <w:name w:val="正文文本缩进 字符"/>
    <w:link w:val="869"/>
    <w:uiPriority w:val="0"/>
    <w:qFormat/>
    <w:rPr>
      <w:sz w:val="21"/>
    </w:rPr>
  </w:style>
  <w:style w:type="paragraph" w:styleId="872" w:customStyle="1">
    <w:name w:val="索引 41"/>
    <w:basedOn w:val="670"/>
    <w:next w:val="670"/>
    <w:uiPriority w:val="99"/>
    <w:unhideWhenUsed/>
    <w:qFormat/>
    <w:pPr>
      <w:ind w:left="600"/>
    </w:pPr>
  </w:style>
  <w:style w:type="paragraph" w:styleId="873" w:customStyle="1">
    <w:name w:val="纯文本11"/>
    <w:basedOn w:val="670"/>
    <w:uiPriority w:val="0"/>
    <w:qFormat/>
    <w:rPr>
      <w:rFonts w:ascii="宋体" w:hAnsi="Courier New" w:cs="Courier New"/>
      <w:szCs w:val="21"/>
    </w:rPr>
  </w:style>
  <w:style w:type="paragraph" w:styleId="874" w:customStyle="1">
    <w:name w:val="批注框文本1"/>
    <w:basedOn w:val="670"/>
    <w:link w:val="875"/>
    <w:uiPriority w:val="0"/>
    <w:qFormat/>
    <w:rPr>
      <w:sz w:val="18"/>
      <w:szCs w:val="18"/>
    </w:rPr>
  </w:style>
  <w:style w:type="character" w:styleId="875" w:customStyle="1">
    <w:name w:val="批注框文本 字符"/>
    <w:link w:val="874"/>
    <w:uiPriority w:val="0"/>
    <w:qFormat/>
    <w:rPr>
      <w:sz w:val="18"/>
      <w:szCs w:val="18"/>
    </w:rPr>
  </w:style>
  <w:style w:type="paragraph" w:styleId="876" w:customStyle="1">
    <w:name w:val="页脚11"/>
    <w:basedOn w:val="670"/>
    <w:link w:val="877"/>
    <w:uiPriority w:val="99"/>
    <w:qFormat/>
    <w:pPr>
      <w:jc w:val="left"/>
      <w:tabs>
        <w:tab w:val="center" w:pos="4153" w:leader="none"/>
        <w:tab w:val="right" w:pos="8306" w:leader="none"/>
      </w:tabs>
    </w:pPr>
    <w:rPr>
      <w:sz w:val="18"/>
      <w:szCs w:val="18"/>
    </w:rPr>
  </w:style>
  <w:style w:type="character" w:styleId="877" w:customStyle="1">
    <w:name w:val="页脚 字符"/>
    <w:link w:val="876"/>
    <w:uiPriority w:val="99"/>
    <w:qFormat/>
    <w:rPr>
      <w:rFonts w:ascii="Times New Roman" w:hAnsi="Times New Roman" w:eastAsia="宋体" w:cs="Times New Roman"/>
      <w:sz w:val="18"/>
      <w:szCs w:val="18"/>
    </w:rPr>
  </w:style>
  <w:style w:type="paragraph" w:styleId="878" w:customStyle="1">
    <w:name w:val="页眉1"/>
    <w:basedOn w:val="670"/>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79" w:customStyle="1">
    <w:name w:val="目录 11"/>
    <w:basedOn w:val="670"/>
    <w:next w:val="670"/>
    <w:uiPriority w:val="39"/>
    <w:qFormat/>
  </w:style>
  <w:style w:type="paragraph" w:styleId="880" w:customStyle="1">
    <w:name w:val="正文文本缩进 31"/>
    <w:basedOn w:val="670"/>
    <w:uiPriority w:val="0"/>
    <w:qFormat/>
    <w:pPr>
      <w:ind w:left="645" w:firstLine="645"/>
    </w:pPr>
    <w:rPr>
      <w:rFonts w:ascii="Arial" w:hAnsi="Arial" w:eastAsia="仿宋_GB2312"/>
      <w:color w:val="ffff00"/>
      <w:sz w:val="32"/>
      <w:szCs w:val="32"/>
    </w:rPr>
  </w:style>
  <w:style w:type="paragraph" w:styleId="881" w:customStyle="1">
    <w:name w:val="普通(网站)11"/>
    <w:basedOn w:val="670"/>
    <w:uiPriority w:val="99"/>
    <w:unhideWhenUsed/>
    <w:qFormat/>
    <w:pPr>
      <w:jc w:val="left"/>
      <w:spacing w:before="100" w:beforeAutospacing="1" w:after="100" w:afterAutospacing="1"/>
      <w:widowControl/>
    </w:pPr>
    <w:rPr>
      <w:rFonts w:ascii="宋体" w:hAnsi="宋体" w:cs="宋体"/>
      <w:sz w:val="24"/>
      <w:szCs w:val="24"/>
    </w:rPr>
  </w:style>
  <w:style w:type="paragraph" w:styleId="882" w:customStyle="1">
    <w:name w:val="批注主题1"/>
    <w:basedOn w:val="866"/>
    <w:next w:val="866"/>
    <w:link w:val="883"/>
    <w:uiPriority w:val="0"/>
    <w:qFormat/>
    <w:rPr>
      <w:b/>
      <w:bCs/>
    </w:rPr>
  </w:style>
  <w:style w:type="character" w:styleId="883" w:customStyle="1">
    <w:name w:val="批注主题 字符"/>
    <w:link w:val="882"/>
    <w:uiPriority w:val="0"/>
    <w:qFormat/>
    <w:rPr>
      <w:b/>
      <w:bCs/>
      <w:sz w:val="21"/>
    </w:rPr>
  </w:style>
  <w:style w:type="paragraph" w:styleId="884" w:customStyle="1">
    <w:name w:val="正文首行缩进1"/>
    <w:basedOn w:val="868"/>
    <w:link w:val="885"/>
    <w:uiPriority w:val="0"/>
    <w:qFormat/>
    <w:pPr>
      <w:ind w:firstLine="420"/>
      <w:spacing w:after="120"/>
    </w:pPr>
    <w:rPr>
      <w:rFonts w:ascii="Times New Roman" w:eastAsia="宋体"/>
      <w:szCs w:val="24"/>
    </w:rPr>
  </w:style>
  <w:style w:type="character" w:styleId="885" w:customStyle="1">
    <w:name w:val="正文首行缩进 字符"/>
    <w:link w:val="884"/>
    <w:uiPriority w:val="0"/>
    <w:qFormat/>
    <w:rPr>
      <w:sz w:val="24"/>
      <w:szCs w:val="24"/>
    </w:rPr>
  </w:style>
  <w:style w:type="paragraph" w:styleId="886" w:customStyle="1">
    <w:name w:val="正文首行缩进 211"/>
    <w:basedOn w:val="869"/>
    <w:next w:val="880"/>
    <w:uiPriority w:val="0"/>
    <w:qFormat/>
    <w:pPr>
      <w:ind w:left="0" w:firstLine="420"/>
      <w:spacing w:after="0" w:line="360" w:lineRule="auto"/>
    </w:pPr>
    <w:rPr>
      <w:rFonts w:ascii="宋体" w:hAnsi="宋体"/>
      <w:sz w:val="20"/>
      <w:szCs w:val="20"/>
    </w:rPr>
  </w:style>
  <w:style w:type="table" w:styleId="887" w:customStyle="1">
    <w:name w:val="网格型1"/>
    <w:basedOn w:val="864"/>
    <w:uiPriority w:val="39"/>
    <w:qFormat/>
    <w:tblPr/>
  </w:style>
  <w:style w:type="character" w:styleId="888" w:customStyle="1">
    <w:name w:val="要点1"/>
    <w:link w:val="670"/>
    <w:uiPriority w:val="22"/>
    <w:qFormat/>
    <w:rPr>
      <w:b/>
      <w:bCs/>
    </w:rPr>
  </w:style>
  <w:style w:type="character" w:styleId="889" w:customStyle="1">
    <w:name w:val="已访问的超链接1"/>
    <w:link w:val="670"/>
    <w:uiPriority w:val="0"/>
    <w:qFormat/>
    <w:rPr>
      <w:rFonts w:ascii="Times New Roman" w:hAnsi="Times New Roman" w:eastAsia="宋体" w:cs="Times New Roman"/>
      <w:sz w:val="21"/>
      <w:lang w:val="en-US" w:eastAsia="zh-CN" w:bidi="ar-SA"/>
    </w:rPr>
  </w:style>
  <w:style w:type="character" w:styleId="890" w:customStyle="1">
    <w:name w:val="强调1"/>
    <w:link w:val="670"/>
    <w:uiPriority w:val="0"/>
    <w:qFormat/>
    <w:rPr>
      <w:i/>
    </w:rPr>
  </w:style>
  <w:style w:type="character" w:styleId="891" w:customStyle="1">
    <w:name w:val="超链接1"/>
    <w:link w:val="670"/>
    <w:uiPriority w:val="99"/>
    <w:unhideWhenUsed/>
    <w:qFormat/>
    <w:rPr>
      <w:color w:val="0563c1"/>
      <w:u w:val="single"/>
    </w:rPr>
  </w:style>
  <w:style w:type="character" w:styleId="892" w:customStyle="1">
    <w:name w:val="批注引用1"/>
    <w:link w:val="670"/>
    <w:uiPriority w:val="0"/>
    <w:qFormat/>
    <w:rPr>
      <w:sz w:val="21"/>
      <w:szCs w:val="21"/>
    </w:rPr>
  </w:style>
  <w:style w:type="paragraph" w:styleId="893" w:customStyle="1">
    <w:name w:val="普通文字"/>
    <w:basedOn w:val="670"/>
    <w:next w:val="670"/>
    <w:uiPriority w:val="0"/>
    <w:qFormat/>
    <w:rPr>
      <w:rFonts w:ascii="宋体"/>
      <w:sz w:val="24"/>
    </w:rPr>
  </w:style>
  <w:style w:type="paragraph" w:styleId="894" w:customStyle="1">
    <w:name w:val="正文缩进1"/>
    <w:basedOn w:val="670"/>
    <w:uiPriority w:val="0"/>
    <w:qFormat/>
    <w:pPr>
      <w:ind w:firstLine="420"/>
      <w:jc w:val="left"/>
    </w:pPr>
    <w:rPr>
      <w:rFonts w:ascii="宋体" w:hAnsi="Calibri"/>
      <w:sz w:val="24"/>
      <w:szCs w:val="22"/>
    </w:rPr>
  </w:style>
  <w:style w:type="paragraph" w:styleId="895" w:customStyle="1">
    <w:name w:val="索引 11"/>
    <w:basedOn w:val="670"/>
    <w:next w:val="670"/>
    <w:uiPriority w:val="0"/>
    <w:qFormat/>
    <w:pPr>
      <w:spacing w:line="360" w:lineRule="auto"/>
    </w:pPr>
    <w:rPr>
      <w:rFonts w:ascii="仿宋_GB2312" w:eastAsia="仿宋_GB2312"/>
      <w:sz w:val="24"/>
    </w:rPr>
  </w:style>
  <w:style w:type="paragraph" w:styleId="896" w:customStyle="1">
    <w:name w:val="纯文本1"/>
    <w:basedOn w:val="670"/>
    <w:uiPriority w:val="0"/>
    <w:qFormat/>
    <w:rPr>
      <w:rFonts w:ascii="宋体" w:hAnsi="Courier New"/>
      <w:szCs w:val="22"/>
    </w:rPr>
  </w:style>
  <w:style w:type="paragraph" w:styleId="897" w:customStyle="1">
    <w:name w:val="普通(网站)1"/>
    <w:basedOn w:val="670"/>
    <w:uiPriority w:val="99"/>
    <w:qFormat/>
    <w:pPr>
      <w:jc w:val="left"/>
      <w:spacing w:before="100" w:beforeAutospacing="1" w:after="100" w:afterAutospacing="1"/>
    </w:pPr>
    <w:rPr>
      <w:sz w:val="24"/>
    </w:rPr>
  </w:style>
  <w:style w:type="paragraph" w:styleId="898" w:customStyle="1">
    <w:name w:val="正文文本1"/>
    <w:basedOn w:val="670"/>
    <w:next w:val="670"/>
    <w:uiPriority w:val="0"/>
    <w:qFormat/>
    <w:rPr>
      <w:sz w:val="20"/>
    </w:rPr>
  </w:style>
  <w:style w:type="paragraph" w:styleId="899" w:customStyle="1">
    <w:name w:val="正文文本首行缩进"/>
    <w:basedOn w:val="898"/>
    <w:uiPriority w:val="0"/>
    <w:qFormat/>
    <w:pPr>
      <w:ind w:firstLine="420"/>
      <w:spacing w:after="120"/>
      <w:tabs>
        <w:tab w:val="left" w:pos="2020" w:leader="none"/>
        <w:tab w:val="center" w:pos="4535" w:leader="none"/>
      </w:tabs>
    </w:pPr>
    <w:rPr>
      <w:sz w:val="21"/>
    </w:rPr>
  </w:style>
  <w:style w:type="paragraph" w:styleId="900" w:customStyle="1">
    <w:name w:val="纯文本2"/>
    <w:basedOn w:val="670"/>
    <w:uiPriority w:val="0"/>
    <w:qFormat/>
    <w:rPr>
      <w:rFonts w:ascii="宋体" w:hAnsi="Courier New"/>
    </w:rPr>
  </w:style>
  <w:style w:type="paragraph" w:styleId="901" w:customStyle="1">
    <w:name w:val="正文文本 21"/>
    <w:basedOn w:val="670"/>
    <w:uiPriority w:val="0"/>
    <w:qFormat/>
    <w:pPr>
      <w:spacing w:after="120" w:line="480" w:lineRule="auto"/>
    </w:pPr>
    <w:rPr>
      <w:sz w:val="20"/>
    </w:rPr>
  </w:style>
  <w:style w:type="paragraph" w:styleId="902" w:customStyle="1">
    <w:name w:val="页脚1"/>
    <w:basedOn w:val="670"/>
    <w:uiPriority w:val="0"/>
    <w:qFormat/>
    <w:pPr>
      <w:jc w:val="left"/>
      <w:tabs>
        <w:tab w:val="center" w:pos="4153" w:leader="none"/>
        <w:tab w:val="right" w:pos="8306" w:leader="none"/>
      </w:tabs>
    </w:pPr>
    <w:rPr>
      <w:sz w:val="18"/>
    </w:rPr>
  </w:style>
  <w:style w:type="character" w:styleId="903" w:customStyle="1">
    <w:name w:val="custom-tag-placeholder-class"/>
    <w:link w:val="670"/>
    <w:uiPriority w:val="0"/>
    <w:qFormat/>
  </w:style>
  <w:style w:type="paragraph" w:styleId="90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05" w:customStyle="1">
    <w:name w:val="列出段落1"/>
    <w:basedOn w:val="670"/>
    <w:uiPriority w:val="0"/>
    <w:qFormat/>
    <w:pPr>
      <w:ind w:firstLine="420"/>
    </w:pPr>
    <w:rPr>
      <w:szCs w:val="21"/>
    </w:rPr>
  </w:style>
  <w:style w:type="paragraph" w:styleId="906" w:customStyle="1">
    <w:name w:val="标题 111"/>
    <w:basedOn w:val="670"/>
    <w:next w:val="670"/>
    <w:uiPriority w:val="0"/>
    <w:qFormat/>
    <w:pPr>
      <w:keepLines/>
      <w:keepNext/>
      <w:spacing w:before="340" w:after="330" w:line="578" w:lineRule="auto"/>
      <w:outlineLvl w:val="0"/>
    </w:pPr>
    <w:rPr>
      <w:b/>
      <w:bCs/>
      <w:sz w:val="44"/>
      <w:szCs w:val="44"/>
      <w:lang w:val="en-US" w:eastAsia="en-US"/>
    </w:rPr>
  </w:style>
  <w:style w:type="paragraph" w:styleId="907" w:customStyle="1">
    <w:name w:val="普通(网站)2"/>
    <w:basedOn w:val="670"/>
    <w:uiPriority w:val="99"/>
    <w:unhideWhenUsed/>
    <w:qFormat/>
    <w:pPr>
      <w:jc w:val="left"/>
      <w:spacing w:before="100" w:beforeAutospacing="1" w:after="100" w:afterAutospacing="1"/>
      <w:widowControl/>
    </w:pPr>
    <w:rPr>
      <w:rFonts w:ascii="宋体" w:hAnsi="宋体" w:cs="宋体"/>
      <w:sz w:val="24"/>
      <w:szCs w:val="24"/>
    </w:rPr>
  </w:style>
  <w:style w:type="paragraph" w:styleId="908" w:customStyle="1">
    <w:name w:val="普通正文"/>
    <w:basedOn w:val="670"/>
    <w:uiPriority w:val="0"/>
    <w:qFormat/>
    <w:pPr>
      <w:ind w:firstLine="480"/>
      <w:jc w:val="left"/>
      <w:spacing w:before="120" w:after="120" w:line="360" w:lineRule="auto"/>
    </w:pPr>
    <w:rPr>
      <w:rFonts w:ascii="Arial" w:hAnsi="Arial"/>
      <w:sz w:val="24"/>
      <w:szCs w:val="24"/>
    </w:rPr>
  </w:style>
  <w:style w:type="paragraph" w:styleId="909" w:customStyle="1">
    <w:name w:val="正文首行缩进11"/>
    <w:basedOn w:val="898"/>
    <w:uiPriority w:val="0"/>
    <w:qFormat/>
    <w:pPr>
      <w:ind w:firstLine="200"/>
      <w:spacing w:line="360" w:lineRule="auto"/>
    </w:pPr>
    <w:rPr>
      <w:rFonts w:ascii="仿宋_GB2312" w:hAnsi="Times New Roman" w:eastAsia="仿宋_GB2312"/>
      <w:sz w:val="30"/>
      <w:szCs w:val="30"/>
    </w:rPr>
  </w:style>
  <w:style w:type="character" w:styleId="910" w:customStyle="1">
    <w:name w:val="font51"/>
    <w:basedOn w:val="680"/>
    <w:uiPriority w:val="0"/>
    <w:qFormat/>
    <w:rPr>
      <w:rFonts w:hint="eastAsia" w:ascii="宋体" w:hAnsi="宋体" w:eastAsia="宋体" w:cs="宋体"/>
      <w:color w:val="000000"/>
      <w:sz w:val="21"/>
      <w:szCs w:val="21"/>
      <w:u w:val="none"/>
    </w:rPr>
  </w:style>
  <w:style w:type="character" w:styleId="911" w:customStyle="1">
    <w:name w:val="font41"/>
    <w:basedOn w:val="680"/>
    <w:uiPriority w:val="0"/>
    <w:qFormat/>
    <w:rPr>
      <w:rFonts w:hint="eastAsia" w:ascii="宋体" w:hAnsi="宋体" w:eastAsia="宋体" w:cs="宋体"/>
      <w:color w:val="000000"/>
      <w:sz w:val="22"/>
      <w:szCs w:val="22"/>
      <w:u w:val="none"/>
    </w:rPr>
  </w:style>
  <w:style w:type="numbering" w:styleId="90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jpg"/><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jpg"/><Relationship Id="rId19" Type="http://schemas.openxmlformats.org/officeDocument/2006/relationships/image" Target="media/image7.jpg"/><Relationship Id="rId20" Type="http://schemas.openxmlformats.org/officeDocument/2006/relationships/image" Target="media/image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bb1ef613-7f64-4b4d-8bd5-f756fe5c7844</errorID>
      <errorWord>；得</errorWord>
      <group>L1_Word</group>
      <groupName>字词问题</groupName>
      <ability>L2_Typo</ability>
      <abilityName>字词错误</abilityName>
      <candidateList>
        <item>；</item>
      </candidateList>
      <explain/>
      <paraID>6BE93AEB</paraID>
      <start>29</start>
      <end>30</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F80588F7-A239-45A3-99B7-CC589A0114F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成天驰</cp:lastModifiedBy>
  <cp:revision>26</cp:revision>
  <dcterms:created xsi:type="dcterms:W3CDTF">2023-12-07T03:32:00Z</dcterms:created>
  <dcterms:modified xsi:type="dcterms:W3CDTF">2026-08-31T08:09:21Z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C4F14866AB0F40F49E59FD32603E823C_13</vt:lpwstr>
  </property>
  <property fmtid="{D5CDD505-2E9C-101B-9397-08002B2CF9AE}" pid="4" name="KSOTemplateDocerSaveRecord">
    <vt:lpwstr>eyJoZGlkIjoiYzA5YWY4M2MwNGRhODk4ZjM0ZWM5YjZlMDk5M2I4YjQiLCJ1c2VySWQiOiIxNjU1OTQ5OTg4In0=</vt:lpwstr>
  </property>
</Properties>
</file>