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rFonts w:ascii="宋体" w:hAnsi="宋体" w:eastAsia="宋体" w:cs="宋体"/>
          <w:b/>
          <w:color w:val="000000" w:themeColor="text1"/>
          <w:sz w:val="44"/>
          <w:szCs w:val="24"/>
          <w14:textFill>
            <w14:solidFill>
              <w14:schemeClr w14:val="tx1"/>
            </w14:solidFill>
          </w14:textFill>
        </w:rPr>
      </w:pPr>
      <w:r>
        <w:rPr>
          <w:rFonts w:ascii="宋体" w:hAnsi="宋体" w:eastAsia="宋体" w:cs="宋体"/>
          <w:b/>
          <w:color w:val="000000" w:themeColor="text1"/>
          <w:sz w:val="44"/>
          <w:szCs w:val="24"/>
          <w14:textFill>
            <w14:solidFill>
              <w14:schemeClr w14:val="tx1"/>
            </w14:solidFill>
          </w14:textFill>
        </w:rPr>
      </w:r>
      <w:r/>
    </w:p>
    <w:p>
      <w:pPr>
        <w:jc w:val="center"/>
        <w:widowControl w:val="off"/>
        <w:rPr>
          <w:rFonts w:ascii="宋体" w:hAnsi="宋体" w:eastAsia="宋体" w:cs="宋体"/>
          <w:b/>
          <w:color w:val="000000" w:themeColor="text1"/>
          <w:sz w:val="44"/>
          <w:szCs w:val="24"/>
          <w14:textFill>
            <w14:solidFill>
              <w14:schemeClr w14:val="tx1"/>
            </w14:solidFill>
          </w14:textFill>
        </w:rPr>
      </w:pPr>
      <w:r>
        <w:rPr>
          <w:rFonts w:hint="eastAsia" w:ascii="宋体" w:hAnsi="宋体" w:eastAsia="宋体" w:cs="宋体"/>
          <w:b/>
          <w:color w:val="000000" w:themeColor="text1"/>
          <w:sz w:val="44"/>
          <w:szCs w:val="24"/>
          <w14:textFill>
            <w14:solidFill>
              <w14:schemeClr w14:val="tx1"/>
            </w14:solidFill>
          </w14:textFill>
        </w:rPr>
        <w:t xml:space="preserve">南京医科大学第二附属医院</w:t>
      </w:r>
      <w:r/>
    </w:p>
    <w:p>
      <w:pPr>
        <w:jc w:val="center"/>
        <w:widowControl w:val="off"/>
        <w:rPr>
          <w:rFonts w:ascii="宋体" w:hAnsi="宋体" w:eastAsia="宋体" w:cs="宋体"/>
          <w:b/>
          <w:color w:val="000000" w:themeColor="text1"/>
          <w:sz w:val="44"/>
          <w:szCs w:val="24"/>
          <w14:textFill>
            <w14:solidFill>
              <w14:schemeClr w14:val="tx1"/>
            </w14:solidFill>
          </w14:textFill>
        </w:rPr>
      </w:pPr>
      <w:r>
        <w:rPr>
          <w:rFonts w:hint="eastAsia" w:ascii="宋体" w:hAnsi="宋体" w:eastAsia="宋体" w:cs="宋体"/>
          <w:b/>
          <w:color w:val="000000" w:themeColor="text1"/>
          <w:sz w:val="44"/>
          <w:szCs w:val="24"/>
          <w:u w:val="single"/>
          <w14:textFill>
            <w14:solidFill>
              <w14:schemeClr w14:val="tx1"/>
            </w14:solidFill>
          </w14:textFill>
        </w:rPr>
        <w:t xml:space="preserve">迈皋桥院区、阅江楼院区能源管理服务</w:t>
      </w:r>
      <w:r>
        <w:rPr>
          <w:rFonts w:hint="eastAsia" w:ascii="宋体" w:hAnsi="宋体" w:eastAsia="宋体" w:cs="宋体"/>
          <w:b/>
          <w:color w:val="000000" w:themeColor="text1"/>
          <w:sz w:val="44"/>
          <w:szCs w:val="24"/>
          <w14:textFill>
            <w14:solidFill>
              <w14:schemeClr w14:val="tx1"/>
            </w14:solidFill>
          </w14:textFill>
        </w:rPr>
        <w:t xml:space="preserve">采购项目</w:t>
      </w:r>
      <w:r/>
    </w:p>
    <w:p>
      <w:pPr>
        <w:jc w:val="center"/>
        <w:widowControl w:val="off"/>
        <w:rPr>
          <w:rFonts w:ascii="宋体" w:hAnsi="宋体" w:eastAsia="宋体" w:cs="宋体"/>
          <w:b/>
          <w:color w:val="000000" w:themeColor="text1"/>
          <w:sz w:val="44"/>
          <w:szCs w:val="24"/>
          <w14:textFill>
            <w14:solidFill>
              <w14:schemeClr w14:val="tx1"/>
            </w14:solidFill>
          </w14:textFill>
        </w:rPr>
      </w:pPr>
      <w:r>
        <w:rPr>
          <w:rFonts w:ascii="宋体" w:hAnsi="宋体" w:eastAsia="宋体" w:cs="宋体"/>
          <w:b/>
          <w:color w:val="000000" w:themeColor="text1"/>
          <w:sz w:val="44"/>
          <w:szCs w:val="24"/>
          <w14:textFill>
            <w14:solidFill>
              <w14:schemeClr w14:val="tx1"/>
            </w14:solidFill>
          </w14:textFill>
        </w:rPr>
      </w:r>
      <w:r/>
    </w:p>
    <w:p>
      <w:pPr>
        <w:jc w:val="center"/>
        <w:widowControl w:val="off"/>
        <w:rPr>
          <w:rFonts w:ascii="宋体" w:hAnsi="宋体" w:eastAsia="宋体" w:cs="宋体"/>
          <w:b/>
          <w:color w:val="000000" w:themeColor="text1"/>
          <w:sz w:val="44"/>
          <w:szCs w:val="24"/>
          <w14:textFill>
            <w14:solidFill>
              <w14:schemeClr w14:val="tx1"/>
            </w14:solidFill>
          </w14:textFill>
        </w:rPr>
      </w:pPr>
      <w:r>
        <w:rPr>
          <w:rFonts w:ascii="宋体" w:hAnsi="宋体" w:eastAsia="宋体" w:cs="宋体"/>
          <w:b/>
          <w:color w:val="000000" w:themeColor="text1"/>
          <w:sz w:val="44"/>
          <w:szCs w:val="24"/>
          <w14:textFill>
            <w14:solidFill>
              <w14:schemeClr w14:val="tx1"/>
            </w14:solidFill>
          </w14:textFill>
        </w:rPr>
      </w:r>
      <w:r/>
    </w:p>
    <w:p>
      <w:pPr>
        <w:jc w:val="center"/>
        <w:widowControl w:val="off"/>
        <w:rPr>
          <w:rFonts w:ascii="宋体" w:hAnsi="宋体" w:eastAsia="宋体" w:cs="宋体"/>
          <w:b/>
          <w:color w:val="000000" w:themeColor="text1"/>
          <w:sz w:val="44"/>
          <w:szCs w:val="24"/>
          <w14:textFill>
            <w14:solidFill>
              <w14:schemeClr w14:val="tx1"/>
            </w14:solidFill>
          </w14:textFill>
        </w:rPr>
      </w:pPr>
      <w:r>
        <w:rPr>
          <w:rFonts w:ascii="宋体" w:hAnsi="宋体" w:eastAsia="宋体" w:cs="宋体"/>
          <w:b/>
          <w:color w:val="000000" w:themeColor="text1"/>
          <w:sz w:val="44"/>
          <w:szCs w:val="24"/>
          <w14:textFill>
            <w14:solidFill>
              <w14:schemeClr w14:val="tx1"/>
            </w14:solidFill>
          </w14:textFill>
        </w:rPr>
      </w:r>
      <w:r/>
    </w:p>
    <w:p>
      <w:pPr>
        <w:jc w:val="center"/>
        <w:widowControl w:val="off"/>
        <w:rPr>
          <w:rFonts w:ascii="宋体" w:hAnsi="宋体" w:eastAsia="宋体" w:cs="宋体"/>
          <w:b/>
          <w:color w:val="000000" w:themeColor="text1"/>
          <w:sz w:val="96"/>
          <w:szCs w:val="24"/>
          <w14:textFill>
            <w14:solidFill>
              <w14:schemeClr w14:val="tx1"/>
            </w14:solidFill>
          </w14:textFill>
        </w:rPr>
      </w:pPr>
      <w:r>
        <w:rPr>
          <w:rFonts w:hint="eastAsia" w:ascii="宋体" w:hAnsi="宋体" w:eastAsia="宋体" w:cs="宋体"/>
          <w:b/>
          <w:color w:val="000000" w:themeColor="text1"/>
          <w:sz w:val="96"/>
          <w:szCs w:val="24"/>
          <w14:textFill>
            <w14:solidFill>
              <w14:schemeClr w14:val="tx1"/>
            </w14:solidFill>
          </w14:textFill>
        </w:rPr>
        <w:t xml:space="preserve">招　标　文　件</w:t>
      </w:r>
      <w:r/>
    </w:p>
    <w:p>
      <w:pPr>
        <w:pStyle w:val="954"/>
        <w:ind w:firstLine="0"/>
        <w:jc w:val="center"/>
        <w:rPr>
          <w:rFonts w:ascii="宋体" w:hAnsi="宋体" w:cs="宋体"/>
          <w:b/>
          <w:color w:val="000000" w:themeColor="text1"/>
          <w:sz w:val="32"/>
          <w14:textFill>
            <w14:solidFill>
              <w14:schemeClr w14:val="tx1"/>
            </w14:solidFill>
          </w14:textFill>
        </w:rPr>
      </w:pPr>
      <w:r>
        <w:rPr>
          <w:rFonts w:ascii="宋体" w:hAnsi="宋体" w:cs="宋体"/>
          <w:b/>
          <w:color w:val="000000" w:themeColor="text1"/>
          <w:sz w:val="32"/>
          <w14:textFill>
            <w14:solidFill>
              <w14:schemeClr w14:val="tx1"/>
            </w14:solidFill>
          </w14:textFill>
        </w:rPr>
      </w:r>
      <w:r/>
    </w:p>
    <w:p>
      <w:pPr>
        <w:pStyle w:val="954"/>
        <w:ind w:firstLine="0"/>
        <w:jc w:val="center"/>
        <w:rPr>
          <w:rFonts w:ascii="宋体" w:hAnsi="宋体" w:cs="宋体"/>
          <w:b/>
          <w:color w:val="000000" w:themeColor="text1"/>
          <w:sz w:val="32"/>
          <w14:textFill>
            <w14:solidFill>
              <w14:schemeClr w14:val="tx1"/>
            </w14:solidFill>
          </w14:textFill>
        </w:rPr>
      </w:pPr>
      <w:r>
        <w:rPr>
          <w:rFonts w:ascii="宋体" w:hAnsi="宋体" w:cs="宋体"/>
          <w:b/>
          <w:color w:val="000000" w:themeColor="text1"/>
          <w:sz w:val="32"/>
          <w14:textFill>
            <w14:solidFill>
              <w14:schemeClr w14:val="tx1"/>
            </w14:solidFill>
          </w14:textFill>
        </w:rPr>
      </w:r>
      <w:r/>
    </w:p>
    <w:p>
      <w:pPr>
        <w:jc w:val="center"/>
        <w:widowControl w:val="off"/>
        <w:rPr>
          <w:rFonts w:hint="eastAsia" w:ascii="宋体" w:hAnsi="宋体" w:eastAsia="宋体" w:cs="宋体"/>
          <w:b/>
          <w:color w:val="000000" w:themeColor="text1"/>
          <w:sz w:val="36"/>
          <w:szCs w:val="24"/>
          <w:lang w:eastAsia="zh-CN"/>
          <w14:textFill>
            <w14:solidFill>
              <w14:schemeClr w14:val="tx1"/>
            </w14:solidFill>
          </w14:textFill>
        </w:rPr>
      </w:pPr>
      <w:r>
        <w:rPr>
          <w:rFonts w:hint="eastAsia" w:ascii="宋体" w:hAnsi="宋体" w:eastAsia="宋体" w:cs="宋体"/>
          <w:b/>
          <w:color w:val="000000" w:themeColor="text1"/>
          <w:sz w:val="36"/>
          <w:szCs w:val="24"/>
          <w14:textFill>
            <w14:solidFill>
              <w14:schemeClr w14:val="tx1"/>
            </w14:solidFill>
          </w14:textFill>
        </w:rPr>
        <w:t xml:space="preserve">项目编号：</w:t>
      </w:r>
      <w:r>
        <w:rPr>
          <w:rFonts w:hint="eastAsia" w:ascii="宋体" w:hAnsi="宋体" w:eastAsia="宋体" w:cs="宋体"/>
          <w:b/>
          <w:color w:val="000000" w:themeColor="text1"/>
          <w:sz w:val="36"/>
          <w:szCs w:val="24"/>
          <w:lang w:eastAsia="zh-CN"/>
          <w14:textFill>
            <w14:solidFill>
              <w14:schemeClr w14:val="tx1"/>
            </w14:solidFill>
          </w14:textFill>
        </w:rPr>
        <w:t xml:space="preserve">JSZC-320000-SHGK-G2026-0080</w:t>
      </w:r>
      <w:r/>
    </w:p>
    <w:p>
      <w:pPr>
        <w:pStyle w:val="954"/>
        <w:ind w:firstLine="0"/>
        <w:jc w:val="center"/>
        <w:rPr>
          <w:rFonts w:ascii="宋体" w:hAnsi="宋体" w:eastAsia="宋体" w:cs="宋体"/>
          <w:b/>
          <w:color w:val="000000" w:themeColor="text1"/>
          <w:sz w:val="36"/>
          <w:szCs w:val="36"/>
          <w14:textFill>
            <w14:solidFill>
              <w14:schemeClr w14:val="tx1"/>
            </w14:solidFill>
          </w14:textFill>
        </w:rPr>
      </w:pPr>
      <w:r>
        <w:rPr>
          <w:rFonts w:ascii="宋体" w:hAnsi="宋体" w:eastAsia="宋体" w:cs="宋体"/>
          <w:b/>
          <w:color w:val="000000" w:themeColor="text1"/>
          <w:sz w:val="36"/>
          <w:szCs w:val="36"/>
          <w14:textFill>
            <w14:solidFill>
              <w14:schemeClr w14:val="tx1"/>
            </w14:solidFill>
          </w14:textFill>
        </w:rPr>
      </w:r>
      <w:r/>
    </w:p>
    <w:p>
      <w:pPr>
        <w:pStyle w:val="954"/>
        <w:ind w:firstLine="0"/>
        <w:spacing w:before="0" w:after="0"/>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954"/>
        <w:ind w:firstLine="0"/>
        <w:spacing w:before="0" w:after="0"/>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954"/>
        <w:ind w:firstLine="0"/>
        <w:spacing w:before="0" w:after="0"/>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954"/>
        <w:ind w:firstLine="0"/>
        <w:spacing w:before="0" w:after="0"/>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954"/>
        <w:ind w:firstLine="0"/>
        <w:jc w:val="center"/>
        <w:spacing w:before="0" w:after="0"/>
        <w:rPr>
          <w:rFonts w:ascii="宋体" w:hAnsi="宋体" w:eastAsia="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采购人：南京医科大学第二附属医院</w:t>
      </w:r>
      <w:r/>
    </w:p>
    <w:p>
      <w:pPr>
        <w:pStyle w:val="954"/>
        <w:ind w:firstLine="0"/>
        <w:jc w:val="center"/>
        <w:rPr>
          <w:rFonts w:ascii="宋体" w:hAnsi="宋体" w:eastAsia="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采购代理机构：江苏苏豪创新科技集团高科有限公司</w:t>
      </w:r>
      <w:r/>
    </w:p>
    <w:p>
      <w:pPr>
        <w:jc w:val="center"/>
        <w:rPr>
          <w:color w:val="000000" w:themeColor="text1"/>
          <w14:textFill>
            <w14:solidFill>
              <w14:schemeClr w14:val="tx1"/>
            </w14:solidFill>
          </w14:textFill>
        </w:rPr>
      </w:pPr>
      <w:r>
        <w:rPr>
          <w:rFonts w:ascii="宋体" w:hAnsi="宋体" w:cs="宋体"/>
          <w:b/>
          <w:color w:val="000000" w:themeColor="text1"/>
          <w:spacing w:val="40"/>
          <w:sz w:val="36"/>
          <w14:textFill>
            <w14:solidFill>
              <w14:schemeClr w14:val="tx1"/>
            </w14:solidFill>
          </w14:textFill>
        </w:rPr>
        <w:t xml:space="preserve">二○二</w:t>
      </w:r>
      <w:r>
        <w:rPr>
          <w:rFonts w:hint="eastAsia" w:ascii="宋体" w:hAnsi="宋体" w:cs="宋体"/>
          <w:b/>
          <w:color w:val="000000" w:themeColor="text1"/>
          <w:spacing w:val="40"/>
          <w:sz w:val="36"/>
          <w14:textFill>
            <w14:solidFill>
              <w14:schemeClr w14:val="tx1"/>
            </w14:solidFill>
          </w14:textFill>
        </w:rPr>
        <w:t xml:space="preserve">六</w:t>
      </w:r>
      <w:r>
        <w:rPr>
          <w:rFonts w:ascii="宋体" w:hAnsi="宋体" w:cs="宋体"/>
          <w:b/>
          <w:color w:val="000000" w:themeColor="text1"/>
          <w:spacing w:val="40"/>
          <w:sz w:val="36"/>
          <w14:textFill>
            <w14:solidFill>
              <w14:schemeClr w14:val="tx1"/>
            </w14:solidFill>
          </w14:textFill>
        </w:rPr>
        <w:t xml:space="preserve">年</w:t>
      </w:r>
      <w:r>
        <w:rPr>
          <w:rFonts w:hint="eastAsia" w:ascii="宋体" w:hAnsi="宋体" w:cs="宋体"/>
          <w:b/>
          <w:color w:val="000000" w:themeColor="text1"/>
          <w:spacing w:val="40"/>
          <w:sz w:val="36"/>
          <w14:textFill>
            <w14:solidFill>
              <w14:schemeClr w14:val="tx1"/>
            </w14:solidFill>
          </w14:textFill>
        </w:rPr>
        <w:t xml:space="preserve">九</w:t>
      </w:r>
      <w:r>
        <w:rPr>
          <w:rFonts w:ascii="宋体" w:hAnsi="宋体" w:cs="宋体"/>
          <w:b/>
          <w:color w:val="000000" w:themeColor="text1"/>
          <w:spacing w:val="40"/>
          <w:sz w:val="36"/>
          <w14:textFill>
            <w14:solidFill>
              <w14:schemeClr w14:val="tx1"/>
            </w14:solidFill>
          </w14:textFill>
        </w:rPr>
        <w:t xml:space="preserve">月</w:t>
      </w:r>
      <w:r/>
    </w:p>
    <w:p>
      <w:pPr>
        <w:pStyle w:val="955"/>
        <w:jc w:val="center"/>
        <w:rPr>
          <w:rFonts w:ascii="宋体" w:hAnsi="宋体" w:cs="宋体"/>
          <w:b/>
          <w:bCs w:val="0"/>
          <w:color w:val="000000" w:themeColor="text1"/>
          <w:sz w:val="36"/>
          <w:szCs w:val="36"/>
          <w:lang w:val="zh-CN"/>
          <w14:textFill>
            <w14:solidFill>
              <w14:schemeClr w14:val="tx1"/>
            </w14:solidFill>
          </w14:textFill>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1418" w:right="1198" w:bottom="1418" w:left="1588" w:header="851" w:footer="907" w:gutter="0"/>
          <w:cols w:num="1" w:sep="0" w:space="720" w:equalWidth="1"/>
          <w:docGrid w:linePitch="360"/>
          <w:titlePg/>
        </w:sectPr>
      </w:pPr>
      <w:r>
        <w:rPr>
          <w:rFonts w:ascii="宋体" w:hAnsi="宋体" w:cs="宋体"/>
          <w:b/>
          <w:bCs w:val="0"/>
          <w:color w:val="000000" w:themeColor="text1"/>
          <w:sz w:val="36"/>
          <w:szCs w:val="36"/>
          <w:lang w:val="zh-CN"/>
          <w14:textFill>
            <w14:solidFill>
              <w14:schemeClr w14:val="tx1"/>
            </w14:solidFill>
          </w14:textFill>
        </w:rPr>
      </w:r>
      <w:r/>
    </w:p>
    <w:p>
      <w:pPr>
        <w:spacing w:line="113"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r>
      <w:r/>
    </w:p>
    <w:p>
      <w:pPr>
        <w:pStyle w:val="735"/>
        <w:jc w:val="center"/>
        <w:rPr>
          <w:rFonts w:asciiTheme="minorEastAsia" w:hAnsiTheme="minorEastAsia" w:eastAsiaTheme="minorEastAsia" w:cstheme="minorEastAsia"/>
          <w:b/>
          <w:bCs/>
          <w:color w:val="000000" w:themeColor="text1"/>
          <w14:textFill>
            <w14:solidFill>
              <w14:schemeClr w14:val="tx1"/>
            </w14:solidFill>
          </w14:textFill>
        </w:rPr>
      </w:pPr>
      <w:r>
        <w:rPr>
          <w:rFonts w:hint="eastAsia" w:asciiTheme="minorEastAsia" w:hAnsiTheme="minorEastAsia" w:eastAsiaTheme="minorEastAsia" w:cstheme="minorEastAsia"/>
          <w:b/>
          <w:bCs/>
          <w:color w:val="000000" w:themeColor="text1"/>
          <w14:textFill>
            <w14:solidFill>
              <w14:schemeClr w14:val="tx1"/>
            </w14:solidFill>
          </w14:textFill>
        </w:rPr>
        <w:t xml:space="preserve"> 目  录</w:t>
      </w:r>
      <w:r/>
    </w:p>
    <w:p>
      <w:pPr>
        <w:jc w:val="both"/>
        <w:spacing w:line="113" w:lineRule="atLeast"/>
        <w:rPr>
          <w:rFonts w:asciiTheme="minorEastAsia" w:hAnsiTheme="minorEastAsia" w:cs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color w:val="000000" w:themeColor="text1"/>
          <w:sz w:val="28"/>
          <w14:textFill>
            <w14:solidFill>
              <w14:schemeClr w14:val="tx1"/>
            </w14:solidFill>
          </w14:textFill>
        </w:rPr>
        <w:t xml:space="preserve"> </w:t>
      </w:r>
      <w:r/>
    </w:p>
    <w:p>
      <w:pPr>
        <w:numPr>
          <w:ilvl w:val="0"/>
          <w:numId w:val="1"/>
        </w:numPr>
        <w:jc w:val="both"/>
        <w:spacing w:before="240" w:line="113" w:lineRule="atLeast"/>
        <w:tabs>
          <w:tab w:val="left" w:pos="1440" w:leader="none"/>
        </w:tabs>
        <w:rPr>
          <w:rFonts w:asciiTheme="minorEastAsia" w:hAnsiTheme="minorEastAsia" w:cs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szCs w:val="24"/>
          <w14:textFill>
            <w14:solidFill>
              <w14:schemeClr w14:val="tx1"/>
            </w14:solidFill>
          </w14:textFill>
        </w:rPr>
        <w:t xml:space="preserve">招标公告</w:t>
      </w:r>
      <w:r/>
    </w:p>
    <w:p>
      <w:pPr>
        <w:numPr>
          <w:ilvl w:val="0"/>
          <w:numId w:val="1"/>
        </w:numPr>
        <w:jc w:val="both"/>
        <w:spacing w:before="240" w:line="113" w:lineRule="atLeast"/>
        <w:tabs>
          <w:tab w:val="left" w:pos="1440" w:leader="none"/>
        </w:tabs>
        <w:rPr>
          <w:rFonts w:asciiTheme="minorEastAsia" w:hAnsiTheme="minorEastAsia" w:cs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szCs w:val="24"/>
          <w14:textFill>
            <w14:solidFill>
              <w14:schemeClr w14:val="tx1"/>
            </w14:solidFill>
          </w14:textFill>
        </w:rPr>
        <w:t xml:space="preserve">投标人须知</w:t>
      </w:r>
      <w:r/>
    </w:p>
    <w:p>
      <w:pPr>
        <w:numPr>
          <w:ilvl w:val="0"/>
          <w:numId w:val="1"/>
        </w:numPr>
        <w:jc w:val="both"/>
        <w:spacing w:before="240" w:line="113" w:lineRule="atLeast"/>
        <w:tabs>
          <w:tab w:val="left" w:pos="1440" w:leader="none"/>
        </w:tabs>
        <w:rPr>
          <w:rFonts w:asciiTheme="minorEastAsia" w:hAnsiTheme="minorEastAsia" w:cs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szCs w:val="24"/>
          <w14:textFill>
            <w14:solidFill>
              <w14:schemeClr w14:val="tx1"/>
            </w14:solidFill>
          </w14:textFill>
        </w:rPr>
        <w:t xml:space="preserve">合同文本</w:t>
      </w:r>
      <w:r/>
    </w:p>
    <w:p>
      <w:pPr>
        <w:numPr>
          <w:ilvl w:val="0"/>
          <w:numId w:val="1"/>
        </w:numPr>
        <w:jc w:val="both"/>
        <w:spacing w:before="240" w:line="113" w:lineRule="atLeast"/>
        <w:tabs>
          <w:tab w:val="left" w:pos="1440" w:leader="none"/>
        </w:tabs>
        <w:rPr>
          <w:rFonts w:asciiTheme="minorEastAsia" w:hAnsiTheme="minorEastAsia" w:cs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szCs w:val="24"/>
          <w14:textFill>
            <w14:solidFill>
              <w14:schemeClr w14:val="tx1"/>
            </w14:solidFill>
          </w14:textFill>
        </w:rPr>
        <w:t xml:space="preserve">采购需求</w:t>
      </w:r>
      <w:r/>
    </w:p>
    <w:p>
      <w:pPr>
        <w:numPr>
          <w:ilvl w:val="0"/>
          <w:numId w:val="1"/>
        </w:numPr>
        <w:jc w:val="both"/>
        <w:spacing w:before="240" w:line="113" w:lineRule="atLeast"/>
        <w:tabs>
          <w:tab w:val="left" w:pos="1440" w:leader="none"/>
        </w:tabs>
        <w:rPr>
          <w:rFonts w:asciiTheme="minorEastAsia" w:hAnsiTheme="minorEastAsia" w:cs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szCs w:val="24"/>
          <w14:textFill>
            <w14:solidFill>
              <w14:schemeClr w14:val="tx1"/>
            </w14:solidFill>
          </w14:textFill>
        </w:rPr>
        <w:t xml:space="preserve">评标方法与评标标准</w:t>
      </w:r>
      <w:r/>
    </w:p>
    <w:p>
      <w:pPr>
        <w:numPr>
          <w:ilvl w:val="0"/>
          <w:numId w:val="1"/>
        </w:numPr>
        <w:jc w:val="both"/>
        <w:spacing w:before="240" w:line="113" w:lineRule="atLeast"/>
        <w:tabs>
          <w:tab w:val="left" w:pos="1440" w:leader="none"/>
        </w:tabs>
        <w:rPr>
          <w:rFonts w:asciiTheme="minorEastAsia" w:hAnsiTheme="minorEastAsia" w:cs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themeColor="text1"/>
          <w:sz w:val="24"/>
          <w:szCs w:val="24"/>
          <w14:textFill>
            <w14:solidFill>
              <w14:schemeClr w14:val="tx1"/>
            </w14:solidFill>
          </w14:textFill>
        </w:rPr>
        <w:t xml:space="preserve">投标文件格式</w:t>
      </w:r>
      <w:r/>
    </w:p>
    <w:p>
      <w:pPr>
        <w:rPr>
          <w:rFonts w:asciiTheme="minorEastAsia" w:hAnsiTheme="minorEastAsia" w:cstheme="minorEastAsia"/>
          <w:color w:val="000000" w:themeColor="text1"/>
          <w14:textFill>
            <w14:solidFill>
              <w14:schemeClr w14:val="tx1"/>
            </w14:solidFill>
          </w14:textFill>
        </w:rPr>
      </w:pPr>
      <w:r>
        <w:rPr>
          <w:rFonts w:hint="eastAsia" w:asciiTheme="minorEastAsia" w:hAnsiTheme="minorEastAsia" w:cstheme="minorEastAsia"/>
          <w:color w:val="000000" w:themeColor="text1"/>
          <w14:textFill>
            <w14:solidFill>
              <w14:schemeClr w14:val="tx1"/>
            </w14:solidFill>
          </w14:textFill>
        </w:rPr>
        <w:br w:type="page" w:clear="all"/>
      </w:r>
      <w:r/>
    </w:p>
    <w:p>
      <w:pPr>
        <w:pStyle w:val="735"/>
        <w:jc w:val="center"/>
        <w:rPr>
          <w:rFonts w:ascii="微软雅黑" w:hAnsi="微软雅黑" w:eastAsia="微软雅黑" w:cs="微软雅黑"/>
          <w:color w:val="000000" w:themeColor="text1"/>
          <w14:textFill>
            <w14:solidFill>
              <w14:schemeClr w14:val="tx1"/>
            </w14:solidFill>
          </w14:textFill>
        </w:rPr>
      </w:pPr>
      <w:r>
        <w:rPr>
          <w:rFonts w:ascii="微软雅黑" w:hAnsi="微软雅黑" w:eastAsia="微软雅黑" w:cs="微软雅黑"/>
          <w:color w:val="000000" w:themeColor="text1"/>
          <w14:textFill>
            <w14:solidFill>
              <w14:schemeClr w14:val="tx1"/>
            </w14:solidFill>
          </w14:textFill>
        </w:rPr>
        <w:t xml:space="preserve">第一章  </w:t>
      </w:r>
      <w:r>
        <w:rPr>
          <w:rFonts w:hint="eastAsia" w:ascii="微软雅黑" w:hAnsi="微软雅黑" w:eastAsia="微软雅黑" w:cs="微软雅黑"/>
          <w:color w:val="000000" w:themeColor="text1"/>
          <w14:textFill>
            <w14:solidFill>
              <w14:schemeClr w14:val="tx1"/>
            </w14:solidFill>
          </w14:textFill>
        </w:rPr>
        <w:t xml:space="preserve">招标公告</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受[南京医科大学第二附属医院]的委托，</w:t>
      </w:r>
      <w:r>
        <w:rPr>
          <w:rFonts w:hint="eastAsia" w:ascii="仿宋" w:hAnsi="仿宋" w:eastAsia="仿宋" w:cs="仿宋"/>
          <w:color w:val="000000" w:themeColor="text1"/>
          <w:sz w:val="28"/>
          <w14:textFill>
            <w14:solidFill>
              <w14:schemeClr w14:val="tx1"/>
            </w14:solidFill>
          </w14:textFill>
        </w:rPr>
        <w:t xml:space="preserve">江苏苏豪创新科技集团高科有限公司</w:t>
      </w:r>
      <w:r>
        <w:rPr>
          <w:rFonts w:ascii="仿宋" w:hAnsi="仿宋" w:eastAsia="仿宋" w:cs="仿宋"/>
          <w:color w:val="000000" w:themeColor="text1"/>
          <w:sz w:val="28"/>
          <w14:textFill>
            <w14:solidFill>
              <w14:schemeClr w14:val="tx1"/>
            </w14:solidFill>
          </w14:textFill>
        </w:rPr>
        <w:t xml:space="preserve">就[</w:t>
      </w:r>
      <w:r>
        <w:rPr>
          <w:rFonts w:hint="eastAsia" w:ascii="仿宋" w:hAnsi="仿宋" w:eastAsia="仿宋" w:cs="仿宋"/>
          <w:color w:val="000000" w:themeColor="text1"/>
          <w:sz w:val="28"/>
          <w14:textFill>
            <w14:solidFill>
              <w14:schemeClr w14:val="tx1"/>
            </w14:solidFill>
          </w14:textFill>
        </w:rPr>
        <w:t xml:space="preserve">采购项目</w:t>
      </w:r>
      <w:r>
        <w:rPr>
          <w:rFonts w:ascii="仿宋" w:hAnsi="仿宋" w:eastAsia="仿宋" w:cs="仿宋"/>
          <w:color w:val="000000" w:themeColor="text1"/>
          <w:sz w:val="28"/>
          <w14:textFill>
            <w14:solidFill>
              <w14:schemeClr w14:val="tx1"/>
            </w14:solidFill>
          </w14:textFill>
        </w:rPr>
        <w:t xml:space="preserve">]([</w:t>
      </w:r>
      <w:r>
        <w:rPr>
          <w:rFonts w:hint="eastAsia" w:ascii="仿宋" w:hAnsi="仿宋" w:eastAsia="仿宋" w:cs="仿宋"/>
          <w:color w:val="000000" w:themeColor="text1"/>
          <w:sz w:val="28"/>
          <w:lang w:eastAsia="zh-CN"/>
          <w14:textFill>
            <w14:solidFill>
              <w14:schemeClr w14:val="tx1"/>
            </w14:solidFill>
          </w14:textFill>
        </w:rPr>
        <w:t xml:space="preserve">JSZC-320000-SHGK-G2026-0080</w:t>
      </w:r>
      <w:r>
        <w:rPr>
          <w:rFonts w:ascii="仿宋" w:hAnsi="仿宋" w:eastAsia="仿宋" w:cs="仿宋"/>
          <w:color w:val="000000" w:themeColor="text1"/>
          <w:sz w:val="28"/>
          <w14:textFill>
            <w14:solidFill>
              <w14:schemeClr w14:val="tx1"/>
            </w14:solidFill>
          </w14:textFill>
        </w:rPr>
        <w:t xml:space="preserve">])项目进行公开招标采购，欢迎符合条件的供应商投标。</w:t>
      </w:r>
      <w:r/>
    </w:p>
    <w:p>
      <w:pPr>
        <w:ind w:firstLine="560"/>
        <w:jc w:val="both"/>
        <w:spacing w:line="479" w:lineRule="atLeast"/>
        <w:rPr>
          <w:color w:val="000000" w:themeColor="text1"/>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ascii="仿宋" w:hAnsi="仿宋" w:eastAsia="仿宋" w:cs="仿宋"/>
          <w:color w:val="000000" w:themeColor="text1"/>
          <w:sz w:val="28"/>
          <w14:textFill>
            <w14:solidFill>
              <w14:schemeClr w14:val="tx1"/>
            </w14:solidFill>
          </w14:textFill>
        </w:rPr>
        <w:t xml:space="preserve">项目概况</w:t>
      </w:r>
      <w:r/>
    </w:p>
    <w:p>
      <w:pPr>
        <w:ind w:firstLine="560"/>
        <w:jc w:val="both"/>
        <w:spacing w:line="479" w:lineRule="atLeast"/>
        <w:rPr>
          <w:color w:val="000000" w:themeColor="text1"/>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ascii="仿宋" w:hAnsi="仿宋" w:eastAsia="仿宋" w:cs="仿宋"/>
          <w:color w:val="000000" w:themeColor="text1"/>
          <w:sz w:val="28"/>
          <w14:textFill>
            <w14:solidFill>
              <w14:schemeClr w14:val="tx1"/>
            </w14:solidFill>
          </w14:textFill>
        </w:rPr>
        <w:t xml:space="preserve">南京医科大学第二附属医院</w:t>
      </w:r>
      <w:r>
        <w:rPr>
          <w:rFonts w:hint="eastAsia" w:ascii="仿宋" w:hAnsi="仿宋" w:eastAsia="仿宋" w:cs="仿宋"/>
          <w:color w:val="000000" w:themeColor="text1"/>
          <w:sz w:val="28"/>
          <w14:textFill>
            <w14:solidFill>
              <w14:schemeClr w14:val="tx1"/>
            </w14:solidFill>
          </w14:textFill>
        </w:rPr>
        <w:t xml:space="preserve">迈皋桥院区、阅江楼院区能源管理服务采购项目</w:t>
      </w:r>
      <w:r>
        <w:rPr>
          <w:rFonts w:ascii="仿宋" w:hAnsi="仿宋" w:eastAsia="仿宋" w:cs="仿宋"/>
          <w:color w:val="000000" w:themeColor="text1"/>
          <w:sz w:val="28"/>
          <w14:textFill>
            <w14:solidFill>
              <w14:schemeClr w14:val="tx1"/>
            </w14:solidFill>
          </w14:textFill>
        </w:rPr>
        <w:t xml:space="preserve">的潜在投标人可在</w:t>
      </w:r>
      <w:r>
        <w:rPr>
          <w:rFonts w:ascii="仿宋" w:hAnsi="仿宋" w:eastAsia="仿宋" w:cs="仿宋"/>
          <w:color w:val="000000" w:themeColor="text1"/>
          <w:sz w:val="28"/>
          <w:u w:val="single"/>
          <w14:textFill>
            <w14:solidFill>
              <w14:schemeClr w14:val="tx1"/>
            </w14:solidFill>
          </w14:textFill>
        </w:rPr>
        <w:t xml:space="preserve">“江苏政府采购网”自行免费下载</w:t>
      </w:r>
      <w:r>
        <w:rPr>
          <w:rFonts w:ascii="仿宋" w:hAnsi="仿宋" w:eastAsia="仿宋" w:cs="仿宋"/>
          <w:color w:val="000000" w:themeColor="text1"/>
          <w:sz w:val="28"/>
          <w14:textFill>
            <w14:solidFill>
              <w14:schemeClr w14:val="tx1"/>
            </w14:solidFill>
          </w14:textFill>
        </w:rPr>
        <w:t xml:space="preserve">招标文件，并于</w:t>
      </w:r>
      <w:r>
        <w:rPr>
          <w:rFonts w:ascii="仿宋" w:hAnsi="仿宋" w:eastAsia="仿宋" w:cs="仿宋"/>
          <w:color w:val="000000" w:themeColor="text1"/>
          <w:sz w:val="28"/>
          <w:u w:val="single"/>
          <w14:textFill>
            <w14:solidFill>
              <w14:schemeClr w14:val="tx1"/>
            </w14:solidFill>
          </w14:textFill>
        </w:rPr>
        <w:t xml:space="preserve">2026年09月28日</w:t>
      </w:r>
      <w:r>
        <w:rPr>
          <w:rFonts w:hint="eastAsia" w:ascii="仿宋" w:hAnsi="仿宋" w:eastAsia="仿宋" w:cs="仿宋"/>
          <w:color w:val="000000" w:themeColor="text1"/>
          <w:sz w:val="28"/>
          <w:u w:val="single"/>
          <w:lang w:eastAsia="zh-CN"/>
          <w14:textFill>
            <w14:solidFill>
              <w14:schemeClr w14:val="tx1"/>
            </w14:solidFill>
          </w14:textFill>
        </w:rPr>
        <w:t xml:space="preserve">14时30分</w:t>
      </w:r>
      <w:r>
        <w:rPr>
          <w:rFonts w:ascii="仿宋" w:hAnsi="仿宋" w:eastAsia="仿宋" w:cs="仿宋"/>
          <w:color w:val="000000" w:themeColor="text1"/>
          <w:sz w:val="28"/>
          <w:u w:val="single"/>
          <w14:textFill>
            <w14:solidFill>
              <w14:schemeClr w14:val="tx1"/>
            </w14:solidFill>
          </w14:textFill>
        </w:rPr>
        <w:t xml:space="preserve">（北京时间）</w:t>
      </w:r>
      <w:r>
        <w:rPr>
          <w:rFonts w:ascii="仿宋" w:hAnsi="仿宋" w:eastAsia="仿宋" w:cs="仿宋"/>
          <w:color w:val="000000" w:themeColor="text1"/>
          <w:sz w:val="28"/>
          <w14:textFill>
            <w14:solidFill>
              <w14:schemeClr w14:val="tx1"/>
            </w14:solidFill>
          </w14:textFill>
        </w:rPr>
        <w:t xml:space="preserve">前递交投标文件。</w:t>
      </w:r>
      <w:r/>
    </w:p>
    <w:p>
      <w:pPr>
        <w:ind w:firstLine="436"/>
        <w:jc w:val="both"/>
        <w:spacing w:before="145" w:after="145"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一、项目基本情况</w:t>
      </w:r>
      <w:r/>
    </w:p>
    <w:p>
      <w:pPr>
        <w:ind w:firstLine="560"/>
        <w:jc w:val="both"/>
        <w:spacing w:line="479" w:lineRule="atLeast"/>
        <w:rPr>
          <w:rFonts w:hint="eastAsia" w:eastAsia="仿宋"/>
          <w:color w:val="000000" w:themeColor="text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1.项目编号：</w:t>
      </w:r>
      <w:r>
        <w:rPr>
          <w:rFonts w:hint="eastAsia" w:ascii="仿宋" w:hAnsi="仿宋" w:eastAsia="仿宋" w:cs="仿宋"/>
          <w:color w:val="000000" w:themeColor="text1"/>
          <w:sz w:val="28"/>
          <w:lang w:eastAsia="zh-CN"/>
          <w14:textFill>
            <w14:solidFill>
              <w14:schemeClr w14:val="tx1"/>
            </w14:solidFill>
          </w14:textFill>
        </w:rPr>
        <w:t xml:space="preserve">JSZC-320000-SHGK-G2026-0080</w:t>
      </w:r>
      <w:r/>
    </w:p>
    <w:p>
      <w:pPr>
        <w:ind w:firstLine="560"/>
        <w:jc w:val="both"/>
        <w:spacing w:line="479" w:lineRule="atLeast"/>
        <w:rPr>
          <w:rFonts w:eastAsia="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2.项目名称：南京医科大学第二附属医院</w:t>
      </w:r>
      <w:r>
        <w:rPr>
          <w:rFonts w:hint="eastAsia" w:ascii="仿宋" w:hAnsi="仿宋" w:eastAsia="仿宋" w:cs="仿宋"/>
          <w:color w:val="000000" w:themeColor="text1"/>
          <w:sz w:val="28"/>
          <w14:textFill>
            <w14:solidFill>
              <w14:schemeClr w14:val="tx1"/>
            </w14:solidFill>
          </w14:textFill>
        </w:rPr>
        <w:t xml:space="preserve">迈皋桥院区、阅江楼院区能源管理服务采购项目</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3.预算金额：</w:t>
      </w:r>
      <w:r>
        <w:rPr>
          <w:rFonts w:hint="eastAsia" w:ascii="仿宋" w:hAnsi="仿宋" w:eastAsia="仿宋" w:cs="仿宋"/>
          <w:color w:val="000000" w:themeColor="text1"/>
          <w:sz w:val="28"/>
          <w14:textFill>
            <w14:solidFill>
              <w14:schemeClr w14:val="tx1"/>
            </w14:solidFill>
          </w14:textFill>
        </w:rPr>
        <w:t xml:space="preserve">人民币978万元/年，服务期8年，总预算7824万元。</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4.最高限价：</w:t>
      </w:r>
      <w:r>
        <w:rPr>
          <w:rFonts w:hint="eastAsia" w:ascii="仿宋" w:hAnsi="仿宋" w:eastAsia="仿宋" w:cs="仿宋"/>
          <w:color w:val="000000" w:themeColor="text1"/>
          <w:sz w:val="28"/>
          <w14:textFill>
            <w14:solidFill>
              <w14:schemeClr w14:val="tx1"/>
            </w14:solidFill>
          </w14:textFill>
        </w:rPr>
        <w:t xml:space="preserve">人民币978万元/年（品目01：810万元/年；品目02：168万元/年）（投标人投标报价不得超过上述限价金额，否则将作无效标处理）</w:t>
      </w:r>
      <w:r/>
    </w:p>
    <w:p>
      <w:pPr>
        <w:ind w:firstLine="560"/>
        <w:jc w:val="both"/>
        <w:spacing w:line="47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5.采购需求：</w:t>
      </w:r>
      <w:r>
        <w:rPr>
          <w:rFonts w:hint="eastAsia" w:ascii="仿宋" w:hAnsi="仿宋" w:eastAsia="仿宋" w:cs="仿宋"/>
          <w:color w:val="000000" w:themeColor="text1"/>
          <w:sz w:val="28"/>
          <w14:textFill>
            <w14:solidFill>
              <w14:schemeClr w14:val="tx1"/>
            </w14:solidFill>
          </w14:textFill>
        </w:rPr>
        <w:t xml:space="preserve">南京</w:t>
      </w:r>
      <w:r>
        <w:rPr>
          <w:rFonts w:ascii="仿宋" w:hAnsi="仿宋" w:eastAsia="仿宋" w:cs="仿宋"/>
          <w:color w:val="000000" w:themeColor="text1"/>
          <w:sz w:val="28"/>
          <w14:textFill>
            <w14:solidFill>
              <w14:schemeClr w14:val="tx1"/>
            </w14:solidFill>
          </w14:textFill>
        </w:rPr>
        <w:t xml:space="preserve">医科大学第二附属医院</w:t>
      </w:r>
      <w:r>
        <w:rPr>
          <w:rFonts w:hint="eastAsia" w:ascii="仿宋" w:hAnsi="仿宋" w:eastAsia="仿宋" w:cs="仿宋"/>
          <w:color w:val="000000" w:themeColor="text1"/>
          <w:sz w:val="28"/>
          <w14:textFill>
            <w14:solidFill>
              <w14:schemeClr w14:val="tx1"/>
            </w14:solidFill>
          </w14:textFill>
        </w:rPr>
        <w:t xml:space="preserve">迈皋桥院区、阅江楼院区两院区委托能源管理服务，并对迈皋桥院区、阅江楼院区空调、锅炉等系统进行改造维护，</w:t>
      </w:r>
      <w:bookmarkStart w:id="0" w:name="_Hlk239296474"/>
      <w:r>
        <w:rPr>
          <w:rFonts w:hint="eastAsia" w:ascii="仿宋" w:hAnsi="仿宋" w:eastAsia="仿宋" w:cs="仿宋"/>
          <w:color w:val="000000" w:themeColor="text1"/>
          <w:sz w:val="28"/>
          <w14:textFill>
            <w14:solidFill>
              <w14:schemeClr w14:val="tx1"/>
            </w14:solidFill>
          </w14:textFill>
        </w:rPr>
        <w:t xml:space="preserve">品目01为迈皋桥院区能源管理服务，品目02为阅江楼院区能源管理服务。</w:t>
      </w:r>
      <w:bookmarkEnd w:id="0"/>
      <w:r>
        <w:rPr>
          <w:rFonts w:hint="eastAsia" w:ascii="仿宋" w:hAnsi="仿宋" w:eastAsia="仿宋" w:cs="仿宋"/>
          <w:color w:val="000000" w:themeColor="text1"/>
          <w:sz w:val="28"/>
          <w14:textFill>
            <w14:solidFill>
              <w14:schemeClr w14:val="tx1"/>
            </w14:solidFill>
          </w14:textFill>
        </w:rPr>
        <w:t xml:space="preserve">详见《第四章</w:t>
      </w:r>
      <w:r>
        <w:rPr>
          <w:rFonts w:ascii="仿宋" w:hAnsi="仿宋" w:eastAsia="仿宋" w:cs="仿宋"/>
          <w:color w:val="000000" w:themeColor="text1"/>
          <w:sz w:val="28"/>
          <w14:textFill>
            <w14:solidFill>
              <w14:schemeClr w14:val="tx1"/>
            </w14:solidFill>
          </w14:textFill>
        </w:rPr>
        <w:t xml:space="preserve"> </w:t>
      </w:r>
      <w:r>
        <w:rPr>
          <w:rFonts w:hint="eastAsia" w:ascii="仿宋" w:hAnsi="仿宋" w:eastAsia="仿宋" w:cs="仿宋"/>
          <w:color w:val="000000" w:themeColor="text1"/>
          <w:sz w:val="28"/>
          <w14:textFill>
            <w14:solidFill>
              <w14:schemeClr w14:val="tx1"/>
            </w14:solidFill>
          </w14:textFill>
        </w:rPr>
        <w:t xml:space="preserve">采购需求》</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6.合同履约期限</w:t>
      </w:r>
      <w:r>
        <w:rPr>
          <w:rFonts w:ascii="仿宋" w:hAnsi="仿宋" w:eastAsia="仿宋" w:cs="仿宋"/>
          <w:color w:val="000000" w:themeColor="text1"/>
          <w:sz w:val="28"/>
          <w14:textFill>
            <w14:solidFill>
              <w14:schemeClr w14:val="tx1"/>
            </w14:solidFill>
          </w14:textFill>
        </w:rPr>
        <w:t xml:space="preserve">：</w:t>
      </w:r>
      <w:r>
        <w:rPr>
          <w:rFonts w:hint="eastAsia" w:ascii="仿宋" w:hAnsi="仿宋" w:eastAsia="仿宋" w:cs="仿宋"/>
          <w:color w:val="000000" w:themeColor="text1"/>
          <w:sz w:val="28"/>
          <w14:textFill>
            <w14:solidFill>
              <w14:schemeClr w14:val="tx1"/>
            </w14:solidFill>
          </w14:textFill>
        </w:rPr>
        <w:t xml:space="preserve">服务期八年，详见采购需求。</w:t>
      </w:r>
      <w:r/>
    </w:p>
    <w:p>
      <w:pPr>
        <w:ind w:firstLine="436"/>
        <w:jc w:val="both"/>
        <w:spacing w:before="145" w:after="145"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二、申请人的资格要求：</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（一）通用资格要求</w:t>
      </w:r>
      <w:r/>
    </w:p>
    <w:p>
      <w:pPr>
        <w:ind w:firstLine="560"/>
        <w:jc w:val="both"/>
        <w:spacing w:line="47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1.满足《中华人民共和国政府采购法》第二十二条规定。</w:t>
      </w:r>
      <w:r/>
    </w:p>
    <w:p>
      <w:pPr>
        <w:ind w:firstLine="560"/>
        <w:jc w:val="both"/>
        <w:spacing w:line="47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 w:name="_Hlk209172908"/>
      <w:r>
        <w:rPr>
          <w:rFonts w:hint="eastAsia" w:ascii="仿宋" w:hAnsi="仿宋" w:eastAsia="仿宋" w:cs="仿宋"/>
          <w:color w:val="000000" w:themeColor="text1"/>
          <w:sz w:val="28"/>
          <w14:textFill>
            <w14:solidFill>
              <w14:schemeClr w14:val="tx1"/>
            </w14:solidFill>
          </w14:textFill>
        </w:rPr>
        <w:t xml:space="preserve">1.1具有独立承担民事责任的能力</w:t>
      </w:r>
      <w:r/>
    </w:p>
    <w:p>
      <w:pPr>
        <w:ind w:firstLine="560"/>
        <w:jc w:val="both"/>
        <w:spacing w:line="47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1.2具有良好的商业信誉和健全的财务会计制度</w:t>
      </w:r>
      <w:r/>
    </w:p>
    <w:p>
      <w:pPr>
        <w:ind w:firstLine="560"/>
        <w:jc w:val="both"/>
        <w:spacing w:line="47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1.3有依法缴纳税收和社会保障资金的良好记录</w:t>
      </w:r>
      <w:r/>
    </w:p>
    <w:p>
      <w:pPr>
        <w:ind w:firstLine="560"/>
        <w:jc w:val="both"/>
        <w:spacing w:line="47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1.4具有履行合同所必需的设备和专业技术能力</w:t>
      </w:r>
      <w:r/>
    </w:p>
    <w:p>
      <w:pPr>
        <w:ind w:firstLine="560"/>
        <w:jc w:val="both"/>
        <w:spacing w:line="47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1.5参加采购活动前3年内在经营活动中没有重大违法记录</w:t>
      </w:r>
      <w:r/>
    </w:p>
    <w:p>
      <w:pPr>
        <w:ind w:firstLine="560"/>
        <w:jc w:val="both"/>
        <w:spacing w:line="47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1.6法律、行政法规规定的其他条件</w:t>
      </w:r>
      <w:bookmarkEnd w:id="1"/>
      <w:r/>
      <w:r/>
    </w:p>
    <w:p>
      <w:pPr>
        <w:ind w:firstLine="560"/>
        <w:jc w:val="both"/>
        <w:spacing w:line="47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3.本项目不接受联合体投标。</w:t>
      </w:r>
      <w:r/>
    </w:p>
    <w:p>
      <w:pPr>
        <w:ind w:firstLine="560"/>
        <w:jc w:val="both"/>
        <w:spacing w:line="47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4.本项目不接受转包、分包。</w:t>
      </w:r>
      <w:r/>
    </w:p>
    <w:p>
      <w:pPr>
        <w:ind w:firstLine="560"/>
        <w:rPr>
          <w:rFonts w:ascii="仿宋" w:hAnsi="仿宋" w:eastAsia="仿宋" w:cs="仿宋"/>
          <w:color w:val="000000" w:themeColor="text1"/>
          <w:sz w:val="28"/>
          <w14:textFill>
            <w14:solidFill>
              <w14:schemeClr w14:val="tx1"/>
            </w14:solidFill>
          </w14:textFill>
        </w:rPr>
      </w:pPr>
      <w:r>
        <w:rPr>
          <w:rFonts w:ascii="仿宋" w:hAnsi="仿宋" w:eastAsia="仿宋" w:cs="仿宋"/>
          <w:color w:val="000000" w:themeColor="text1"/>
          <w:sz w:val="28"/>
          <w14:textFill>
            <w14:solidFill>
              <w14:schemeClr w14:val="tx1"/>
            </w14:solidFill>
          </w14:textFill>
        </w:rPr>
        <w:t xml:space="preserve">（二）</w:t>
      </w:r>
      <w:r>
        <w:rPr>
          <w:rFonts w:hint="eastAsia" w:ascii="仿宋" w:hAnsi="仿宋" w:eastAsia="仿宋" w:cs="仿宋"/>
          <w:color w:val="000000" w:themeColor="text1"/>
          <w:sz w:val="28"/>
          <w14:textFill>
            <w14:solidFill>
              <w14:schemeClr w14:val="tx1"/>
            </w14:solidFill>
          </w14:textFill>
        </w:rPr>
        <w:t xml:space="preserve">落实政府采购政策需满足的资格要求：本项目不专门面向中小企业预留采购份额。</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w:t>
      </w:r>
      <w:r>
        <w:rPr>
          <w:rFonts w:hint="eastAsia" w:ascii="仿宋" w:hAnsi="仿宋" w:eastAsia="仿宋" w:cs="仿宋"/>
          <w:color w:val="000000" w:themeColor="text1"/>
          <w:sz w:val="28"/>
          <w14:textFill>
            <w14:solidFill>
              <w14:schemeClr w14:val="tx1"/>
            </w14:solidFill>
          </w14:textFill>
        </w:rPr>
        <w:t xml:space="preserve">三</w:t>
      </w:r>
      <w:r>
        <w:rPr>
          <w:rFonts w:ascii="仿宋" w:hAnsi="仿宋" w:eastAsia="仿宋" w:cs="仿宋"/>
          <w:color w:val="000000" w:themeColor="text1"/>
          <w:sz w:val="28"/>
          <w14:textFill>
            <w14:solidFill>
              <w14:schemeClr w14:val="tx1"/>
            </w14:solidFill>
          </w14:textFill>
        </w:rPr>
        <w:t xml:space="preserve">）本项目的特定资格要求</w:t>
      </w:r>
      <w:r/>
    </w:p>
    <w:p>
      <w:pPr>
        <w:ind w:firstLine="560"/>
        <w:jc w:val="both"/>
        <w:spacing w:line="47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无</w:t>
      </w:r>
      <w:r/>
    </w:p>
    <w:p>
      <w:pPr>
        <w:ind w:firstLine="436"/>
        <w:jc w:val="both"/>
        <w:spacing w:before="145" w:after="145"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三、获取招标文件</w:t>
      </w:r>
      <w:r/>
    </w:p>
    <w:p>
      <w:pPr>
        <w:ind w:firstLine="54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1.时间：自招标文件公告发布之日起5个工作日。</w:t>
      </w:r>
      <w:r/>
    </w:p>
    <w:p>
      <w:pPr>
        <w:ind w:firstLine="54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2.方式：在“江苏政府采购网”自行免费下载招标文件。</w:t>
      </w:r>
      <w:r/>
    </w:p>
    <w:p>
      <w:pPr>
        <w:ind w:firstLine="436"/>
        <w:jc w:val="both"/>
        <w:spacing w:before="145" w:after="145"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四、提交投标文件截止时间、开标时间和地点</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1.时间：</w:t>
      </w:r>
      <w:r>
        <w:rPr>
          <w:rFonts w:ascii="仿宋" w:hAnsi="仿宋" w:eastAsia="仿宋" w:cs="仿宋"/>
          <w:color w:val="000000" w:themeColor="text1"/>
          <w:sz w:val="28"/>
          <w:u w:val="single"/>
          <w14:textFill>
            <w14:solidFill>
              <w14:schemeClr w14:val="tx1"/>
            </w14:solidFill>
          </w14:textFill>
        </w:rPr>
        <w:t xml:space="preserve">2026年09月28日</w:t>
      </w:r>
      <w:r>
        <w:rPr>
          <w:rFonts w:hint="eastAsia" w:ascii="仿宋" w:hAnsi="仿宋" w:eastAsia="仿宋" w:cs="仿宋"/>
          <w:color w:val="000000" w:themeColor="text1"/>
          <w:sz w:val="28"/>
          <w:u w:val="single"/>
          <w:lang w:eastAsia="zh-CN"/>
          <w14:textFill>
            <w14:solidFill>
              <w14:schemeClr w14:val="tx1"/>
            </w14:solidFill>
          </w14:textFill>
        </w:rPr>
        <w:t xml:space="preserve">14时30分</w:t>
      </w:r>
      <w:r>
        <w:rPr>
          <w:rFonts w:ascii="仿宋" w:hAnsi="仿宋" w:eastAsia="仿宋" w:cs="仿宋"/>
          <w:color w:val="000000" w:themeColor="text1"/>
          <w:sz w:val="28"/>
          <w:u w:val="single"/>
          <w14:textFill>
            <w14:solidFill>
              <w14:schemeClr w14:val="tx1"/>
            </w14:solidFill>
          </w14:textFill>
        </w:rPr>
        <w:t xml:space="preserve">（北京时间）</w:t>
      </w:r>
      <w:r>
        <w:rPr>
          <w:rFonts w:ascii="仿宋" w:hAnsi="仿宋" w:eastAsia="仿宋" w:cs="仿宋"/>
          <w:color w:val="000000" w:themeColor="text1"/>
          <w:sz w:val="28"/>
          <w14:textFill>
            <w14:solidFill>
              <w14:schemeClr w14:val="tx1"/>
            </w14:solidFill>
          </w14:textFill>
        </w:rPr>
        <w:t xml:space="preserve">。</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2.地点：“苏采云”政府采购交易系统网上开标大厅。</w:t>
      </w:r>
      <w:r/>
    </w:p>
    <w:p>
      <w:pPr>
        <w:ind w:firstLine="436"/>
        <w:jc w:val="both"/>
        <w:spacing w:before="145" w:after="145"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五、公告期限</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招标公告及招标文件公告期限为自本公告发布之日起5个工作日。</w:t>
      </w:r>
      <w:r/>
    </w:p>
    <w:p>
      <w:pPr>
        <w:ind w:firstLine="436"/>
        <w:jc w:val="both"/>
        <w:spacing w:before="145" w:after="145"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六、其他补充事宜</w:t>
      </w:r>
      <w:r/>
    </w:p>
    <w:p>
      <w:pPr>
        <w:ind w:right="120" w:firstLine="562"/>
        <w:jc w:val="both"/>
        <w:spacing w:after="120" w:line="47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1.本项目不收取投标保证金。</w:t>
      </w:r>
      <w:r/>
    </w:p>
    <w:p>
      <w:pPr>
        <w:ind w:right="120" w:firstLine="562"/>
        <w:jc w:val="both"/>
        <w:spacing w:after="120" w:line="47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2.本项目组织集中踏勘，详见采购文件《第六章：投标文件格式》十三、踏勘现场供应商签到表。</w:t>
      </w:r>
      <w:r/>
    </w:p>
    <w:p>
      <w:pPr>
        <w:ind w:right="120" w:firstLine="562"/>
        <w:jc w:val="both"/>
        <w:spacing w:after="120" w:line="47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3.本次采购采用“政府采购管理交易系统（苏采云）”，招标、投标、评标和中标结果发布全程电子化，开标方式为不见面开标。供应商应当按照《“苏采云”系统供应商操作手册》（以下简称《操作手册》）参加投标活动，注册、领取CA和办理电子签章，并按《操作手册》要求制作、上传电子投标文件。如供应商未按要求操作，由此所产生的风险由供应商自行承担。</w:t>
      </w:r>
      <w:r/>
    </w:p>
    <w:p>
      <w:pPr>
        <w:ind w:right="120" w:firstLine="562"/>
        <w:jc w:val="both"/>
        <w:spacing w:after="120"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4.本项目支持节能环保产品 (财库[2019]9号)、(财库[2019]18号)、(财库[2019]19号)；支持国办发〔2025〕34号、支持中小微企业(财库[2020]46号)、(苏财购[2022]45号)、(工信部联企业[2011]300号)；支持监狱企业(财库[2014]68号)；促进残疾人就业(财库[2017]141号)等政策。</w:t>
      </w:r>
      <w:r/>
    </w:p>
    <w:p>
      <w:pPr>
        <w:ind w:firstLine="436"/>
        <w:jc w:val="both"/>
        <w:spacing w:before="145" w:after="145"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七、本次招标联系方式</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1.采购人信息</w:t>
      </w:r>
      <w:r/>
    </w:p>
    <w:p>
      <w:pPr>
        <w:ind w:firstLine="560"/>
        <w:jc w:val="both"/>
        <w:spacing w:line="47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名 称：南京医科大学第二附属医院</w:t>
      </w:r>
      <w:r/>
    </w:p>
    <w:p>
      <w:pPr>
        <w:ind w:firstLine="560"/>
        <w:jc w:val="both"/>
        <w:spacing w:line="47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地 址：南京市鼓楼区姜家园121号</w:t>
      </w:r>
      <w:r/>
    </w:p>
    <w:p>
      <w:pPr>
        <w:ind w:firstLine="560"/>
        <w:jc w:val="both"/>
        <w:spacing w:line="47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联系人：张老师</w:t>
      </w:r>
      <w:r/>
    </w:p>
    <w:p>
      <w:pPr>
        <w:ind w:firstLine="560"/>
        <w:jc w:val="both"/>
        <w:spacing w:line="47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联系方式：025-58509946</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2.采购代理机构信息</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名 称：江苏苏豪创新科技集团高科有限公司</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地 址：南京市雨花台区软件大道21号苏豪国际广场北园C座617室</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联系人：吴岢非</w:t>
      </w:r>
      <w:r>
        <w:rPr>
          <w:rFonts w:hint="eastAsia" w:ascii="仿宋" w:hAnsi="仿宋" w:eastAsia="仿宋" w:cs="仿宋"/>
          <w:color w:val="000000" w:themeColor="text1"/>
          <w:sz w:val="28"/>
          <w14:textFill>
            <w14:solidFill>
              <w14:schemeClr w14:val="tx1"/>
            </w14:solidFill>
          </w14:textFill>
        </w:rPr>
        <w:t xml:space="preserve">、</w:t>
      </w:r>
      <w:r>
        <w:rPr>
          <w:rFonts w:ascii="仿宋" w:hAnsi="仿宋" w:eastAsia="仿宋" w:cs="仿宋"/>
          <w:color w:val="000000" w:themeColor="text1"/>
          <w:sz w:val="28"/>
          <w14:textFill>
            <w14:solidFill>
              <w14:schemeClr w14:val="tx1"/>
            </w14:solidFill>
          </w14:textFill>
        </w:rPr>
        <w:t xml:space="preserve">吴志叶</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联系方式：025-52875983</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3.项目联系方式：</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项目联系人：吴志叶</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联系方式：025-52875936</w:t>
      </w:r>
      <w:r/>
    </w:p>
    <w:p>
      <w:pPr>
        <w:ind w:firstLine="560"/>
        <w:jc w:val="both"/>
        <w:spacing w:line="479" w:lineRule="atLeast"/>
        <w:rPr>
          <w:rFonts w:eastAsia="Times New Roman"/>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8"/>
          <w14:textFill>
            <w14:solidFill>
              <w14:schemeClr w14:val="tx1"/>
            </w14:solidFill>
          </w14:textFill>
        </w:rPr>
        <w:br w:type="page" w:clear="all"/>
      </w:r>
      <w:r/>
    </w:p>
    <w:p>
      <w:pPr>
        <w:pStyle w:val="735"/>
        <w:jc w:val="center"/>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第二章  投标人须知</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一、总则</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1.招标方式</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1.1 本次招标采取公开招标方式，本招标文件仅适用于招标公告中所述项目。</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2.合格的投标人</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2.1 满足招标公告中供应商的资格要求的规定。</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2.2 满足本文件实质性条款的规定。</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3.适用法律</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3.1 本次招标及由此产生的合同受中华人民共和国有关的法律法规制约和保护。</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4.投标费用</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4.1 投标人应自行承担所有与参加投标有关的费用，无论投标过程中的做法和结果如何，</w:t>
      </w:r>
      <w:r>
        <w:rPr>
          <w:rFonts w:hint="eastAsia" w:ascii="仿宋" w:hAnsi="仿宋" w:eastAsia="仿宋" w:cs="仿宋"/>
          <w:color w:val="000000" w:themeColor="text1"/>
          <w:sz w:val="28"/>
          <w14:textFill>
            <w14:solidFill>
              <w14:schemeClr w14:val="tx1"/>
            </w14:solidFill>
          </w14:textFill>
        </w:rPr>
        <w:t xml:space="preserve">江苏苏豪创新科技集团高科有限公司</w:t>
      </w:r>
      <w:r>
        <w:rPr>
          <w:rFonts w:ascii="仿宋" w:hAnsi="仿宋" w:eastAsia="仿宋" w:cs="仿宋"/>
          <w:color w:val="000000" w:themeColor="text1"/>
          <w:sz w:val="28"/>
          <w14:textFill>
            <w14:solidFill>
              <w14:schemeClr w14:val="tx1"/>
            </w14:solidFill>
          </w14:textFill>
        </w:rPr>
        <w:t xml:space="preserve">（以下简称代理机构）在任何情况下均无义务和责任承担这些费用。</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4.2本次招标代理机构和采购人不收取标书工本费。</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4.3</w:t>
      </w:r>
      <w:r>
        <w:rPr>
          <w:rFonts w:hint="eastAsia" w:ascii="仿宋" w:hAnsi="仿宋" w:eastAsia="仿宋" w:cs="仿宋"/>
          <w:color w:val="000000" w:themeColor="text1"/>
          <w:sz w:val="28"/>
          <w14:textFill>
            <w14:solidFill>
              <w14:schemeClr w14:val="tx1"/>
            </w14:solidFill>
          </w14:textFill>
        </w:rPr>
        <w:t xml:space="preserve">中标人向采购代理机构支付招标服务费，服务费已由采购人计入本项目预算金额中。金额按计价格〔2002〕1980号《招标代理服务收费管理暂行办法》标准的4</w:t>
      </w:r>
      <w:r>
        <w:rPr>
          <w:rFonts w:ascii="仿宋" w:hAnsi="仿宋" w:eastAsia="仿宋" w:cs="仿宋"/>
          <w:color w:val="000000" w:themeColor="text1"/>
          <w:sz w:val="28"/>
          <w14:textFill>
            <w14:solidFill>
              <w14:schemeClr w14:val="tx1"/>
            </w14:solidFill>
          </w14:textFill>
        </w:rPr>
        <w:t xml:space="preserve">0%</w:t>
      </w:r>
      <w:r>
        <w:rPr>
          <w:rFonts w:hint="eastAsia" w:ascii="仿宋" w:hAnsi="仿宋" w:eastAsia="仿宋" w:cs="仿宋"/>
          <w:color w:val="000000" w:themeColor="text1"/>
          <w:sz w:val="28"/>
          <w14:textFill>
            <w14:solidFill>
              <w14:schemeClr w14:val="tx1"/>
            </w14:solidFill>
          </w14:textFill>
        </w:rPr>
        <w:t xml:space="preserve">计取。</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开户名：江苏苏豪创新科技集团高科有限公司</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开户行：工行南京市白下支行</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账 号：4301013119100888895</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5.招标文件的约束力</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5.1 投标人一旦参加本项目采购活动，即被认为接受了本招标文件的规定和约束。</w:t>
      </w:r>
      <w:r/>
    </w:p>
    <w:p>
      <w:pPr>
        <w:jc w:val="both"/>
        <w:spacing w:before="145" w:after="145"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二、招标文件</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6、招标文件构成</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任何要求对招标文件进行澄清的投标人，应在投标截止期</w:t>
      </w:r>
      <w:r>
        <w:rPr>
          <w:rFonts w:hint="eastAsia" w:ascii="仿宋" w:hAnsi="仿宋" w:eastAsia="仿宋" w:cs="仿宋"/>
          <w:b/>
          <w:color w:val="000000" w:themeColor="text1"/>
          <w:sz w:val="28"/>
          <w14:textFill>
            <w14:solidFill>
              <w14:schemeClr w14:val="tx1"/>
            </w14:solidFill>
          </w14:textFill>
        </w:rPr>
        <w:t xml:space="preserve">15</w:t>
      </w:r>
      <w:r>
        <w:rPr>
          <w:rFonts w:ascii="仿宋" w:hAnsi="仿宋" w:eastAsia="仿宋" w:cs="仿宋"/>
          <w:b/>
          <w:color w:val="000000" w:themeColor="text1"/>
          <w:sz w:val="28"/>
          <w14:textFill>
            <w14:solidFill>
              <w14:schemeClr w14:val="tx1"/>
            </w14:solidFill>
          </w14:textFill>
        </w:rPr>
        <w:t xml:space="preserve">日</w:t>
      </w:r>
      <w:r>
        <w:rPr>
          <w:rFonts w:ascii="仿宋" w:hAnsi="仿宋" w:eastAsia="仿宋" w:cs="仿宋"/>
          <w:color w:val="000000" w:themeColor="text1"/>
          <w:sz w:val="28"/>
          <w14:textFill>
            <w14:solidFill>
              <w14:schemeClr w14:val="tx1"/>
            </w14:solidFill>
          </w14:textFill>
        </w:rPr>
        <w:t xml:space="preserve">前按招标公告中的通讯地址，以书面形式通知代理机构。采购人有权对发出的招标文件进行必要的澄清或修改。</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7．</w:t>
      </w:r>
      <w:r>
        <w:rPr>
          <w:rFonts w:ascii="仿宋" w:hAnsi="仿宋" w:eastAsia="仿宋" w:cs="仿宋"/>
          <w:color w:val="000000" w:themeColor="text1"/>
          <w:sz w:val="28"/>
          <w14:textFill>
            <w14:solidFill>
              <w14:schemeClr w14:val="tx1"/>
            </w14:solidFill>
          </w14:textFill>
        </w:rPr>
        <w:t xml:space="preserve">招标文件的修改</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7</w:t>
      </w:r>
      <w:r>
        <w:rPr>
          <w:rFonts w:ascii="仿宋" w:hAnsi="仿宋" w:eastAsia="仿宋" w:cs="仿宋"/>
          <w:color w:val="000000" w:themeColor="text1"/>
          <w:sz w:val="28"/>
          <w14:textFill>
            <w14:solidFill>
              <w14:schemeClr w14:val="tx1"/>
            </w14:solidFill>
          </w14:textFill>
        </w:rPr>
        <w:t xml:space="preserve">.1 在投标截止时间前，代理机构可以对招标文件进行修改。</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7</w:t>
      </w:r>
      <w:r>
        <w:rPr>
          <w:rFonts w:ascii="仿宋" w:hAnsi="仿宋" w:eastAsia="仿宋" w:cs="仿宋"/>
          <w:color w:val="000000" w:themeColor="text1"/>
          <w:sz w:val="28"/>
          <w14:textFill>
            <w14:solidFill>
              <w14:schemeClr w14:val="tx1"/>
            </w14:solidFill>
          </w14:textFill>
        </w:rPr>
        <w:t xml:space="preserve">.2 代理机构有权按照法定的要求推迟投标截止日期和开标日期。</w:t>
      </w:r>
      <w:r/>
    </w:p>
    <w:p>
      <w:pPr>
        <w:jc w:val="both"/>
        <w:spacing w:line="47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7</w:t>
      </w:r>
      <w:r>
        <w:rPr>
          <w:rFonts w:ascii="仿宋" w:hAnsi="仿宋" w:eastAsia="仿宋" w:cs="仿宋"/>
          <w:color w:val="000000" w:themeColor="text1"/>
          <w:sz w:val="28"/>
          <w14:textFill>
            <w14:solidFill>
              <w14:schemeClr w14:val="tx1"/>
            </w14:solidFill>
          </w14:textFill>
        </w:rPr>
        <w:t xml:space="preserve">.3 招标文件的修改将在江苏政府采购网公布，补充文件将作为招标文件的组成部分，并对投标人具有约束力。</w:t>
      </w:r>
      <w:r/>
    </w:p>
    <w:p>
      <w:pPr>
        <w:jc w:val="both"/>
        <w:spacing w:line="479" w:lineRule="atLeast"/>
        <w:rPr>
          <w:rFonts w:ascii="仿宋" w:hAnsi="仿宋" w:eastAsia="仿宋" w:cs="仿宋"/>
          <w:b/>
          <w:bCs/>
          <w:color w:val="000000" w:themeColor="text1"/>
          <w:sz w:val="28"/>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u w:val="single"/>
          <w14:textFill>
            <w14:solidFill>
              <w14:schemeClr w14:val="tx1"/>
            </w14:solidFill>
          </w14:textFill>
        </w:rPr>
        <w:t xml:space="preserve">7.4在投标截止日期前，采购单位对招标文件进行澄清或者修改的，通过“苏采云”系统发布澄清公告或者修改的内容。清或者修改的内容以所发布的本项目的“更正(澄清)公告”的形式通知所有获取采购文件的潜在投标人发布本项目的“更正(澄清)公告”后采购代理机构已尽通知义务。敬请各潜在投标人关注本项目的“更正(澄清)公告”，并通过“苏采云”系统重新下载更正(澄清)后的采购文件(后名为“.kedt”)，离线编制响应文件，否则，将自行承担相应的风险。</w:t>
      </w:r>
      <w:r/>
    </w:p>
    <w:p>
      <w:pPr>
        <w:jc w:val="both"/>
        <w:spacing w:before="145" w:after="145"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三、投标文件的编制</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8．</w:t>
      </w:r>
      <w:r>
        <w:rPr>
          <w:rFonts w:ascii="仿宋" w:hAnsi="仿宋" w:eastAsia="仿宋" w:cs="仿宋"/>
          <w:color w:val="000000" w:themeColor="text1"/>
          <w:sz w:val="28"/>
          <w14:textFill>
            <w14:solidFill>
              <w14:schemeClr w14:val="tx1"/>
            </w14:solidFill>
          </w14:textFill>
        </w:rPr>
        <w:t xml:space="preserve">投标文件的语言及度量衡单位</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8</w:t>
      </w:r>
      <w:r>
        <w:rPr>
          <w:rFonts w:ascii="仿宋" w:hAnsi="仿宋" w:eastAsia="仿宋" w:cs="仿宋"/>
          <w:color w:val="000000" w:themeColor="text1"/>
          <w:sz w:val="28"/>
          <w14:textFill>
            <w14:solidFill>
              <w14:schemeClr w14:val="tx1"/>
            </w14:solidFill>
          </w14:textFill>
        </w:rPr>
        <w:t xml:space="preserve">.1 投标人提交的投标文件以及投标人与代理机构就有关投标的所有来往通知、函件和文件均应使用简体中文。</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8</w:t>
      </w:r>
      <w:r>
        <w:rPr>
          <w:rFonts w:ascii="仿宋" w:hAnsi="仿宋" w:eastAsia="仿宋" w:cs="仿宋"/>
          <w:color w:val="000000" w:themeColor="text1"/>
          <w:sz w:val="28"/>
          <w14:textFill>
            <w14:solidFill>
              <w14:schemeClr w14:val="tx1"/>
            </w14:solidFill>
          </w14:textFill>
        </w:rPr>
        <w:t xml:space="preserve">.2 除技术性能另有规定外，投标文件所使用的度量衡单位，均须采用国家法定计量单位。</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9．</w:t>
      </w:r>
      <w:r>
        <w:rPr>
          <w:rFonts w:ascii="仿宋" w:hAnsi="仿宋" w:eastAsia="仿宋" w:cs="仿宋"/>
          <w:color w:val="000000" w:themeColor="text1"/>
          <w:sz w:val="28"/>
          <w14:textFill>
            <w14:solidFill>
              <w14:schemeClr w14:val="tx1"/>
            </w14:solidFill>
          </w14:textFill>
        </w:rPr>
        <w:t xml:space="preserve">投标文件构成</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9</w:t>
      </w:r>
      <w:r>
        <w:rPr>
          <w:rFonts w:ascii="仿宋" w:hAnsi="仿宋" w:eastAsia="仿宋" w:cs="仿宋"/>
          <w:color w:val="000000" w:themeColor="text1"/>
          <w:sz w:val="28"/>
          <w14:textFill>
            <w14:solidFill>
              <w14:schemeClr w14:val="tx1"/>
            </w14:solidFill>
          </w14:textFill>
        </w:rPr>
        <w:t xml:space="preserve">.1 投标人编写的投标文件应包括资格证明文件、实质性要求响应及偏离表、投标分项报价表、技术要求响应及偏离表、商务要求响应及偏离表、其他证明文件、投标函、开标一览表等部分。</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9</w:t>
      </w:r>
      <w:r>
        <w:rPr>
          <w:rFonts w:ascii="仿宋" w:hAnsi="仿宋" w:eastAsia="仿宋" w:cs="仿宋"/>
          <w:color w:val="000000" w:themeColor="text1"/>
          <w:sz w:val="28"/>
          <w14:textFill>
            <w14:solidFill>
              <w14:schemeClr w14:val="tx1"/>
            </w14:solidFill>
          </w14:textFill>
        </w:rPr>
        <w:t xml:space="preserve">.2 如标书制作工具中格式和内容与“江苏政府采购网”发布的招标文件不一致，请以“江苏政府采购网”发布的招标文件为准。</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10．</w:t>
      </w:r>
      <w:r>
        <w:rPr>
          <w:rFonts w:ascii="仿宋" w:hAnsi="仿宋" w:eastAsia="仿宋" w:cs="仿宋"/>
          <w:color w:val="000000" w:themeColor="text1"/>
          <w:sz w:val="28"/>
          <w14:textFill>
            <w14:solidFill>
              <w14:schemeClr w14:val="tx1"/>
            </w14:solidFill>
          </w14:textFill>
        </w:rPr>
        <w:t xml:space="preserve">证明投标人及投标标的符合招标文件规定的文件</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1</w:t>
      </w:r>
      <w:r>
        <w:rPr>
          <w:rFonts w:hint="eastAsia" w:ascii="仿宋" w:hAnsi="仿宋" w:eastAsia="仿宋" w:cs="仿宋"/>
          <w:color w:val="000000" w:themeColor="text1"/>
          <w:sz w:val="28"/>
          <w14:textFill>
            <w14:solidFill>
              <w14:schemeClr w14:val="tx1"/>
            </w14:solidFill>
          </w14:textFill>
        </w:rPr>
        <w:t xml:space="preserve">0</w:t>
      </w:r>
      <w:r>
        <w:rPr>
          <w:rFonts w:ascii="仿宋" w:hAnsi="仿宋" w:eastAsia="仿宋" w:cs="仿宋"/>
          <w:color w:val="000000" w:themeColor="text1"/>
          <w:sz w:val="28"/>
          <w14:textFill>
            <w14:solidFill>
              <w14:schemeClr w14:val="tx1"/>
            </w14:solidFill>
          </w14:textFill>
        </w:rPr>
        <w:t xml:space="preserve">.1 投标人应按照招标文件要求提交证明文件，证明其及投标标的符合招标文件规定。</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1</w:t>
      </w:r>
      <w:r>
        <w:rPr>
          <w:rFonts w:hint="eastAsia" w:ascii="仿宋" w:hAnsi="仿宋" w:eastAsia="仿宋" w:cs="仿宋"/>
          <w:color w:val="000000" w:themeColor="text1"/>
          <w:sz w:val="28"/>
          <w14:textFill>
            <w14:solidFill>
              <w14:schemeClr w14:val="tx1"/>
            </w14:solidFill>
          </w14:textFill>
        </w:rPr>
        <w:t xml:space="preserve">0</w:t>
      </w:r>
      <w:r>
        <w:rPr>
          <w:rFonts w:ascii="仿宋" w:hAnsi="仿宋" w:eastAsia="仿宋" w:cs="仿宋"/>
          <w:color w:val="000000" w:themeColor="text1"/>
          <w:sz w:val="28"/>
          <w14:textFill>
            <w14:solidFill>
              <w14:schemeClr w14:val="tx1"/>
            </w14:solidFill>
          </w14:textFill>
        </w:rPr>
        <w:t xml:space="preserve">.2招标文件对证明文件无明确形式要求的，证明文件可以以文字资料、图纸和数据等形式提交。</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1</w:t>
      </w:r>
      <w:r>
        <w:rPr>
          <w:rFonts w:hint="eastAsia" w:ascii="仿宋" w:hAnsi="仿宋" w:eastAsia="仿宋" w:cs="仿宋"/>
          <w:color w:val="000000" w:themeColor="text1"/>
          <w:sz w:val="28"/>
          <w14:textFill>
            <w14:solidFill>
              <w14:schemeClr w14:val="tx1"/>
            </w14:solidFill>
          </w14:textFill>
        </w:rPr>
        <w:t xml:space="preserve">1．</w:t>
      </w:r>
      <w:r>
        <w:rPr>
          <w:rFonts w:ascii="仿宋" w:hAnsi="仿宋" w:eastAsia="仿宋" w:cs="仿宋"/>
          <w:color w:val="000000" w:themeColor="text1"/>
          <w:sz w:val="28"/>
          <w14:textFill>
            <w14:solidFill>
              <w14:schemeClr w14:val="tx1"/>
            </w14:solidFill>
          </w14:textFill>
        </w:rPr>
        <w:t xml:space="preserve">投标分项报价表</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1</w:t>
      </w:r>
      <w:r>
        <w:rPr>
          <w:rFonts w:hint="eastAsia" w:ascii="仿宋" w:hAnsi="仿宋" w:eastAsia="仿宋" w:cs="仿宋"/>
          <w:color w:val="000000" w:themeColor="text1"/>
          <w:sz w:val="28"/>
          <w14:textFill>
            <w14:solidFill>
              <w14:schemeClr w14:val="tx1"/>
            </w14:solidFill>
          </w14:textFill>
        </w:rPr>
        <w:t xml:space="preserve">1</w:t>
      </w:r>
      <w:r>
        <w:rPr>
          <w:rFonts w:ascii="仿宋" w:hAnsi="仿宋" w:eastAsia="仿宋" w:cs="仿宋"/>
          <w:color w:val="000000" w:themeColor="text1"/>
          <w:sz w:val="28"/>
          <w14:textFill>
            <w14:solidFill>
              <w14:schemeClr w14:val="tx1"/>
            </w14:solidFill>
          </w14:textFill>
        </w:rPr>
        <w:t xml:space="preserve">.1 投标人按照招标文件规定格式填报投标分项报价表。</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1</w:t>
      </w:r>
      <w:r>
        <w:rPr>
          <w:rFonts w:hint="eastAsia" w:ascii="仿宋" w:hAnsi="仿宋" w:eastAsia="仿宋" w:cs="仿宋"/>
          <w:color w:val="000000" w:themeColor="text1"/>
          <w:sz w:val="28"/>
          <w14:textFill>
            <w14:solidFill>
              <w14:schemeClr w14:val="tx1"/>
            </w14:solidFill>
          </w14:textFill>
        </w:rPr>
        <w:t xml:space="preserve">1</w:t>
      </w:r>
      <w:r>
        <w:rPr>
          <w:rFonts w:ascii="仿宋" w:hAnsi="仿宋" w:eastAsia="仿宋" w:cs="仿宋"/>
          <w:color w:val="000000" w:themeColor="text1"/>
          <w:sz w:val="28"/>
          <w14:textFill>
            <w14:solidFill>
              <w14:schemeClr w14:val="tx1"/>
            </w14:solidFill>
          </w14:textFill>
        </w:rPr>
        <w:t xml:space="preserve">.2投标货币。投标文件中的单价和总价无特殊规定的采用人民币报价，以元为单位标注。招标文件中另有规定的按规定执行。</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1</w:t>
      </w:r>
      <w:r>
        <w:rPr>
          <w:rFonts w:hint="eastAsia" w:ascii="仿宋" w:hAnsi="仿宋" w:eastAsia="仿宋" w:cs="仿宋"/>
          <w:color w:val="000000" w:themeColor="text1"/>
          <w:sz w:val="28"/>
          <w14:textFill>
            <w14:solidFill>
              <w14:schemeClr w14:val="tx1"/>
            </w14:solidFill>
          </w14:textFill>
        </w:rPr>
        <w:t xml:space="preserve">2．</w:t>
      </w:r>
      <w:r>
        <w:rPr>
          <w:rFonts w:ascii="仿宋" w:hAnsi="仿宋" w:eastAsia="仿宋" w:cs="仿宋"/>
          <w:color w:val="000000" w:themeColor="text1"/>
          <w:sz w:val="28"/>
          <w14:textFill>
            <w14:solidFill>
              <w14:schemeClr w14:val="tx1"/>
            </w14:solidFill>
          </w14:textFill>
        </w:rPr>
        <w:t xml:space="preserve">技术要求响应及偏离表、商务要求响应及偏离表</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1</w:t>
      </w:r>
      <w:r>
        <w:rPr>
          <w:rFonts w:hint="eastAsia" w:ascii="仿宋" w:hAnsi="仿宋" w:eastAsia="仿宋" w:cs="仿宋"/>
          <w:color w:val="000000" w:themeColor="text1"/>
          <w:sz w:val="28"/>
          <w14:textFill>
            <w14:solidFill>
              <w14:schemeClr w14:val="tx1"/>
            </w14:solidFill>
          </w14:textFill>
        </w:rPr>
        <w:t xml:space="preserve">2</w:t>
      </w:r>
      <w:r>
        <w:rPr>
          <w:rFonts w:ascii="仿宋" w:hAnsi="仿宋" w:eastAsia="仿宋" w:cs="仿宋"/>
          <w:color w:val="000000" w:themeColor="text1"/>
          <w:sz w:val="28"/>
          <w14:textFill>
            <w14:solidFill>
              <w14:schemeClr w14:val="tx1"/>
            </w14:solidFill>
          </w14:textFill>
        </w:rPr>
        <w:t xml:space="preserve">.1投标人需对招标文件中的技术要求与商务要求逐项作出响应或偏离，并说明原因。</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1</w:t>
      </w:r>
      <w:r>
        <w:rPr>
          <w:rFonts w:hint="eastAsia" w:ascii="仿宋" w:hAnsi="仿宋" w:eastAsia="仿宋" w:cs="仿宋"/>
          <w:color w:val="000000" w:themeColor="text1"/>
          <w:sz w:val="28"/>
          <w14:textFill>
            <w14:solidFill>
              <w14:schemeClr w14:val="tx1"/>
            </w14:solidFill>
          </w14:textFill>
        </w:rPr>
        <w:t xml:space="preserve">2</w:t>
      </w:r>
      <w:r>
        <w:rPr>
          <w:rFonts w:ascii="仿宋" w:hAnsi="仿宋" w:eastAsia="仿宋" w:cs="仿宋"/>
          <w:color w:val="000000" w:themeColor="text1"/>
          <w:sz w:val="28"/>
          <w14:textFill>
            <w14:solidFill>
              <w14:schemeClr w14:val="tx1"/>
            </w14:solidFill>
          </w14:textFill>
        </w:rPr>
        <w:t xml:space="preserve">.2投标人需按照招标文件要求，在投标文件中提供与技术要求和商务要求相关的证明材料。</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1</w:t>
      </w:r>
      <w:r>
        <w:rPr>
          <w:rFonts w:hint="eastAsia" w:ascii="仿宋" w:hAnsi="仿宋" w:eastAsia="仿宋" w:cs="仿宋"/>
          <w:color w:val="000000" w:themeColor="text1"/>
          <w:sz w:val="28"/>
          <w14:textFill>
            <w14:solidFill>
              <w14:schemeClr w14:val="tx1"/>
            </w14:solidFill>
          </w14:textFill>
        </w:rPr>
        <w:t xml:space="preserve">3．</w:t>
      </w:r>
      <w:r>
        <w:rPr>
          <w:rFonts w:ascii="仿宋" w:hAnsi="仿宋" w:eastAsia="仿宋" w:cs="仿宋"/>
          <w:color w:val="000000" w:themeColor="text1"/>
          <w:sz w:val="28"/>
          <w14:textFill>
            <w14:solidFill>
              <w14:schemeClr w14:val="tx1"/>
            </w14:solidFill>
          </w14:textFill>
        </w:rPr>
        <w:t xml:space="preserve">服务承诺、培训计划、人员安排及其他</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1</w:t>
      </w:r>
      <w:r>
        <w:rPr>
          <w:rFonts w:hint="eastAsia" w:ascii="仿宋" w:hAnsi="仿宋" w:eastAsia="仿宋" w:cs="仿宋"/>
          <w:color w:val="000000" w:themeColor="text1"/>
          <w:sz w:val="28"/>
          <w14:textFill>
            <w14:solidFill>
              <w14:schemeClr w14:val="tx1"/>
            </w14:solidFill>
          </w14:textFill>
        </w:rPr>
        <w:t xml:space="preserve">3</w:t>
      </w:r>
      <w:r>
        <w:rPr>
          <w:rFonts w:ascii="仿宋" w:hAnsi="仿宋" w:eastAsia="仿宋" w:cs="仿宋"/>
          <w:color w:val="000000" w:themeColor="text1"/>
          <w:sz w:val="28"/>
          <w14:textFill>
            <w14:solidFill>
              <w14:schemeClr w14:val="tx1"/>
            </w14:solidFill>
          </w14:textFill>
        </w:rPr>
        <w:t xml:space="preserve">.1 投标人需根据招标文件要求提供有关售后服务的管理制度，售后服务机构的分布情况，售后服务人员的数量、素质、技术水平及售后服务的反应能力等。</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1</w:t>
      </w:r>
      <w:r>
        <w:rPr>
          <w:rFonts w:hint="eastAsia" w:ascii="仿宋" w:hAnsi="仿宋" w:eastAsia="仿宋" w:cs="仿宋"/>
          <w:color w:val="000000" w:themeColor="text1"/>
          <w:sz w:val="28"/>
          <w14:textFill>
            <w14:solidFill>
              <w14:schemeClr w14:val="tx1"/>
            </w14:solidFill>
          </w14:textFill>
        </w:rPr>
        <w:t xml:space="preserve">3</w:t>
      </w:r>
      <w:r>
        <w:rPr>
          <w:rFonts w:ascii="仿宋" w:hAnsi="仿宋" w:eastAsia="仿宋" w:cs="仿宋"/>
          <w:color w:val="000000" w:themeColor="text1"/>
          <w:sz w:val="28"/>
          <w14:textFill>
            <w14:solidFill>
              <w14:schemeClr w14:val="tx1"/>
            </w14:solidFill>
          </w14:textFill>
        </w:rPr>
        <w:t xml:space="preserve">.2 投标人需根据招标文件要求提供培训计划。</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1</w:t>
      </w:r>
      <w:r>
        <w:rPr>
          <w:rFonts w:hint="eastAsia" w:ascii="仿宋" w:hAnsi="仿宋" w:eastAsia="仿宋" w:cs="仿宋"/>
          <w:color w:val="000000" w:themeColor="text1"/>
          <w:sz w:val="28"/>
          <w14:textFill>
            <w14:solidFill>
              <w14:schemeClr w14:val="tx1"/>
            </w14:solidFill>
          </w14:textFill>
        </w:rPr>
        <w:t xml:space="preserve">3</w:t>
      </w:r>
      <w:r>
        <w:rPr>
          <w:rFonts w:ascii="仿宋" w:hAnsi="仿宋" w:eastAsia="仿宋" w:cs="仿宋"/>
          <w:color w:val="000000" w:themeColor="text1"/>
          <w:sz w:val="28"/>
          <w14:textFill>
            <w14:solidFill>
              <w14:schemeClr w14:val="tx1"/>
            </w14:solidFill>
          </w14:textFill>
        </w:rPr>
        <w:t xml:space="preserve">.3  投标人需根据招标文件要求提供所投标的的主要组成部分、功能设计、实现思路及关键技术等。</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1</w:t>
      </w:r>
      <w:r>
        <w:rPr>
          <w:rFonts w:hint="eastAsia" w:ascii="仿宋" w:hAnsi="仿宋" w:eastAsia="仿宋" w:cs="仿宋"/>
          <w:color w:val="000000" w:themeColor="text1"/>
          <w:sz w:val="28"/>
          <w14:textFill>
            <w14:solidFill>
              <w14:schemeClr w14:val="tx1"/>
            </w14:solidFill>
          </w14:textFill>
        </w:rPr>
        <w:t xml:space="preserve">4．</w:t>
      </w:r>
      <w:r>
        <w:rPr>
          <w:rFonts w:ascii="仿宋" w:hAnsi="仿宋" w:eastAsia="仿宋" w:cs="仿宋"/>
          <w:color w:val="000000" w:themeColor="text1"/>
          <w:sz w:val="28"/>
          <w14:textFill>
            <w14:solidFill>
              <w14:schemeClr w14:val="tx1"/>
            </w14:solidFill>
          </w14:textFill>
        </w:rPr>
        <w:t xml:space="preserve">投标函和开标一览表</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1</w:t>
      </w:r>
      <w:r>
        <w:rPr>
          <w:rFonts w:hint="eastAsia" w:ascii="仿宋" w:hAnsi="仿宋" w:eastAsia="仿宋" w:cs="仿宋"/>
          <w:color w:val="000000" w:themeColor="text1"/>
          <w:sz w:val="28"/>
          <w14:textFill>
            <w14:solidFill>
              <w14:schemeClr w14:val="tx1"/>
            </w14:solidFill>
          </w14:textFill>
        </w:rPr>
        <w:t xml:space="preserve">4</w:t>
      </w:r>
      <w:r>
        <w:rPr>
          <w:rFonts w:ascii="仿宋" w:hAnsi="仿宋" w:eastAsia="仿宋" w:cs="仿宋"/>
          <w:color w:val="000000" w:themeColor="text1"/>
          <w:sz w:val="28"/>
          <w14:textFill>
            <w14:solidFill>
              <w14:schemeClr w14:val="tx1"/>
            </w14:solidFill>
          </w14:textFill>
        </w:rPr>
        <w:t xml:space="preserve">.1 投标人应按照招标文件中提供的格式完整、正确填写投标函、开标一览表。</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1</w:t>
      </w:r>
      <w:r>
        <w:rPr>
          <w:rFonts w:hint="eastAsia" w:ascii="仿宋" w:hAnsi="仿宋" w:eastAsia="仿宋" w:cs="仿宋"/>
          <w:color w:val="000000" w:themeColor="text1"/>
          <w:sz w:val="28"/>
          <w14:textFill>
            <w14:solidFill>
              <w14:schemeClr w14:val="tx1"/>
            </w14:solidFill>
          </w14:textFill>
        </w:rPr>
        <w:t xml:space="preserve">4</w:t>
      </w:r>
      <w:r>
        <w:rPr>
          <w:rFonts w:ascii="仿宋" w:hAnsi="仿宋" w:eastAsia="仿宋" w:cs="仿宋"/>
          <w:color w:val="000000" w:themeColor="text1"/>
          <w:sz w:val="28"/>
          <w14:textFill>
            <w14:solidFill>
              <w14:schemeClr w14:val="tx1"/>
            </w14:solidFill>
          </w14:textFill>
        </w:rPr>
        <w:t xml:space="preserve">.2 </w:t>
      </w:r>
      <w:r>
        <w:rPr>
          <w:rFonts w:ascii="仿宋" w:hAnsi="仿宋" w:eastAsia="仿宋" w:cs="仿宋"/>
          <w:b/>
          <w:color w:val="000000" w:themeColor="text1"/>
          <w:sz w:val="28"/>
          <w14:textFill>
            <w14:solidFill>
              <w14:schemeClr w14:val="tx1"/>
            </w14:solidFill>
          </w14:textFill>
        </w:rPr>
        <w:t xml:space="preserve">对于采用货币报价的项目，开标一览表中的投标总报价应与投标分项报价表中的投标总报价一致，如不一致，不作为无效投标处理，但评标时按开标一览表中价格为准。</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1</w:t>
      </w:r>
      <w:r>
        <w:rPr>
          <w:rFonts w:hint="eastAsia" w:ascii="仿宋" w:hAnsi="仿宋" w:eastAsia="仿宋" w:cs="仿宋"/>
          <w:color w:val="000000" w:themeColor="text1"/>
          <w:sz w:val="28"/>
          <w14:textFill>
            <w14:solidFill>
              <w14:schemeClr w14:val="tx1"/>
            </w14:solidFill>
          </w14:textFill>
        </w:rPr>
        <w:t xml:space="preserve">5．</w:t>
      </w:r>
      <w:r>
        <w:rPr>
          <w:rFonts w:ascii="仿宋" w:hAnsi="仿宋" w:eastAsia="仿宋" w:cs="仿宋"/>
          <w:color w:val="000000" w:themeColor="text1"/>
          <w:sz w:val="28"/>
          <w14:textFill>
            <w14:solidFill>
              <w14:schemeClr w14:val="tx1"/>
            </w14:solidFill>
          </w14:textFill>
        </w:rPr>
        <w:t xml:space="preserve">投标有效期</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1</w:t>
      </w:r>
      <w:r>
        <w:rPr>
          <w:rFonts w:hint="eastAsia" w:ascii="仿宋" w:hAnsi="仿宋" w:eastAsia="仿宋" w:cs="仿宋"/>
          <w:color w:val="000000" w:themeColor="text1"/>
          <w:sz w:val="28"/>
          <w14:textFill>
            <w14:solidFill>
              <w14:schemeClr w14:val="tx1"/>
            </w14:solidFill>
          </w14:textFill>
        </w:rPr>
        <w:t xml:space="preserve">5</w:t>
      </w:r>
      <w:r>
        <w:rPr>
          <w:rFonts w:ascii="仿宋" w:hAnsi="仿宋" w:eastAsia="仿宋" w:cs="仿宋"/>
          <w:color w:val="000000" w:themeColor="text1"/>
          <w:sz w:val="28"/>
          <w14:textFill>
            <w14:solidFill>
              <w14:schemeClr w14:val="tx1"/>
            </w14:solidFill>
          </w14:textFill>
        </w:rPr>
        <w:t xml:space="preserve">.1投标有效期为代理机构规定的开标之日后</w:t>
      </w:r>
      <w:r>
        <w:rPr>
          <w:rFonts w:ascii="仿宋" w:hAnsi="仿宋" w:eastAsia="仿宋" w:cs="仿宋"/>
          <w:b/>
          <w:color w:val="000000" w:themeColor="text1"/>
          <w:sz w:val="28"/>
          <w:u w:val="single"/>
          <w14:textFill>
            <w14:solidFill>
              <w14:schemeClr w14:val="tx1"/>
            </w14:solidFill>
          </w14:textFill>
        </w:rPr>
        <w:t xml:space="preserve">九十（90）天</w:t>
      </w:r>
      <w:r>
        <w:rPr>
          <w:rFonts w:ascii="仿宋" w:hAnsi="仿宋" w:eastAsia="仿宋" w:cs="仿宋"/>
          <w:color w:val="000000" w:themeColor="text1"/>
          <w:sz w:val="28"/>
          <w14:textFill>
            <w14:solidFill>
              <w14:schemeClr w14:val="tx1"/>
            </w14:solidFill>
          </w14:textFill>
        </w:rPr>
        <w:t xml:space="preserve">。投标有效期比规定短的将被视为未实质性响应招标文件而予以拒绝。</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1</w:t>
      </w:r>
      <w:r>
        <w:rPr>
          <w:rFonts w:hint="eastAsia" w:ascii="仿宋" w:hAnsi="仿宋" w:eastAsia="仿宋" w:cs="仿宋"/>
          <w:color w:val="000000" w:themeColor="text1"/>
          <w:sz w:val="28"/>
          <w14:textFill>
            <w14:solidFill>
              <w14:schemeClr w14:val="tx1"/>
            </w14:solidFill>
          </w14:textFill>
        </w:rPr>
        <w:t xml:space="preserve">6．</w:t>
      </w:r>
      <w:r>
        <w:rPr>
          <w:rFonts w:ascii="仿宋" w:hAnsi="仿宋" w:eastAsia="仿宋" w:cs="仿宋"/>
          <w:color w:val="000000" w:themeColor="text1"/>
          <w:sz w:val="28"/>
          <w14:textFill>
            <w14:solidFill>
              <w14:schemeClr w14:val="tx1"/>
            </w14:solidFill>
          </w14:textFill>
        </w:rPr>
        <w:t xml:space="preserve">投标有效期的延长</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1</w:t>
      </w:r>
      <w:r>
        <w:rPr>
          <w:rFonts w:hint="eastAsia" w:ascii="仿宋" w:hAnsi="仿宋" w:eastAsia="仿宋" w:cs="仿宋"/>
          <w:color w:val="000000" w:themeColor="text1"/>
          <w:sz w:val="28"/>
          <w14:textFill>
            <w14:solidFill>
              <w14:schemeClr w14:val="tx1"/>
            </w14:solidFill>
          </w14:textFill>
        </w:rPr>
        <w:t xml:space="preserve">6</w:t>
      </w:r>
      <w:r>
        <w:rPr>
          <w:rFonts w:ascii="仿宋" w:hAnsi="仿宋" w:eastAsia="仿宋" w:cs="仿宋"/>
          <w:color w:val="000000" w:themeColor="text1"/>
          <w:sz w:val="28"/>
          <w14:textFill>
            <w14:solidFill>
              <w14:schemeClr w14:val="tx1"/>
            </w14:solidFill>
          </w14:textFill>
        </w:rPr>
        <w:t xml:space="preserve">.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jc w:val="both"/>
        <w:spacing w:before="145" w:after="145"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四、投标文件的递交</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1</w:t>
      </w:r>
      <w:r>
        <w:rPr>
          <w:rFonts w:hint="eastAsia" w:ascii="仿宋" w:hAnsi="仿宋" w:eastAsia="仿宋" w:cs="仿宋"/>
          <w:color w:val="000000" w:themeColor="text1"/>
          <w:sz w:val="28"/>
          <w14:textFill>
            <w14:solidFill>
              <w14:schemeClr w14:val="tx1"/>
            </w14:solidFill>
          </w14:textFill>
        </w:rPr>
        <w:t xml:space="preserve">7．</w:t>
      </w:r>
      <w:r>
        <w:rPr>
          <w:rFonts w:ascii="仿宋" w:hAnsi="仿宋" w:eastAsia="仿宋" w:cs="仿宋"/>
          <w:color w:val="000000" w:themeColor="text1"/>
          <w:sz w:val="28"/>
          <w14:textFill>
            <w14:solidFill>
              <w14:schemeClr w14:val="tx1"/>
            </w14:solidFill>
          </w14:textFill>
        </w:rPr>
        <w:t xml:space="preserve">电子投标文件的递交</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1</w:t>
      </w:r>
      <w:r>
        <w:rPr>
          <w:rFonts w:hint="eastAsia" w:ascii="仿宋" w:hAnsi="仿宋" w:eastAsia="仿宋" w:cs="仿宋"/>
          <w:color w:val="000000" w:themeColor="text1"/>
          <w:sz w:val="28"/>
          <w14:textFill>
            <w14:solidFill>
              <w14:schemeClr w14:val="tx1"/>
            </w14:solidFill>
          </w14:textFill>
        </w:rPr>
        <w:t xml:space="preserve">7</w:t>
      </w:r>
      <w:r>
        <w:rPr>
          <w:rFonts w:ascii="仿宋" w:hAnsi="仿宋" w:eastAsia="仿宋" w:cs="仿宋"/>
          <w:color w:val="000000" w:themeColor="text1"/>
          <w:sz w:val="28"/>
          <w14:textFill>
            <w14:solidFill>
              <w14:schemeClr w14:val="tx1"/>
            </w14:solidFill>
          </w14:textFill>
        </w:rPr>
        <w:t xml:space="preserve">.1投标人应当按照《操作手册》规定，在投标截止时间前制作并上传电子投标文件。</w:t>
      </w:r>
      <w:r/>
    </w:p>
    <w:p>
      <w:pPr>
        <w:jc w:val="both"/>
        <w:spacing w:before="280" w:after="290"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1</w:t>
      </w:r>
      <w:r>
        <w:rPr>
          <w:rFonts w:hint="eastAsia" w:ascii="仿宋" w:hAnsi="仿宋" w:eastAsia="仿宋" w:cs="仿宋"/>
          <w:color w:val="000000" w:themeColor="text1"/>
          <w:sz w:val="28"/>
          <w14:textFill>
            <w14:solidFill>
              <w14:schemeClr w14:val="tx1"/>
            </w14:solidFill>
          </w14:textFill>
        </w:rPr>
        <w:t xml:space="preserve">8．</w:t>
      </w:r>
      <w:r>
        <w:rPr>
          <w:rFonts w:ascii="仿宋" w:hAnsi="仿宋" w:eastAsia="仿宋" w:cs="仿宋"/>
          <w:color w:val="000000" w:themeColor="text1"/>
          <w:sz w:val="28"/>
          <w14:textFill>
            <w14:solidFill>
              <w14:schemeClr w14:val="tx1"/>
            </w14:solidFill>
          </w14:textFill>
        </w:rPr>
        <w:t xml:space="preserve">投标截止日期</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u w:val="single"/>
          <w14:textFill>
            <w14:solidFill>
              <w14:schemeClr w14:val="tx1"/>
            </w14:solidFill>
          </w14:textFill>
        </w:rPr>
        <w:t xml:space="preserve">1</w:t>
      </w:r>
      <w:r>
        <w:rPr>
          <w:rFonts w:hint="eastAsia" w:ascii="仿宋" w:hAnsi="仿宋" w:eastAsia="仿宋" w:cs="仿宋"/>
          <w:b/>
          <w:color w:val="000000" w:themeColor="text1"/>
          <w:sz w:val="28"/>
          <w:u w:val="single"/>
          <w14:textFill>
            <w14:solidFill>
              <w14:schemeClr w14:val="tx1"/>
            </w14:solidFill>
          </w14:textFill>
        </w:rPr>
        <w:t xml:space="preserve">8</w:t>
      </w:r>
      <w:r>
        <w:rPr>
          <w:rFonts w:ascii="仿宋" w:hAnsi="仿宋" w:eastAsia="仿宋" w:cs="仿宋"/>
          <w:b/>
          <w:color w:val="000000" w:themeColor="text1"/>
          <w:sz w:val="28"/>
          <w:u w:val="single"/>
          <w14:textFill>
            <w14:solidFill>
              <w14:schemeClr w14:val="tx1"/>
            </w14:solidFill>
          </w14:textFill>
        </w:rPr>
        <w:t xml:space="preserve">.1 投标人上传电子投标文件的时间不得迟于招标公告中规定的投标截止时间。</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投标人应充分考虑到网络环境、网络带宽等风险因素，如因投标人自身原因造成电子投标文件上传不成功的，按照本招标文件第二章第25.1.2条规定做无效投标处理。</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1</w:t>
      </w:r>
      <w:r>
        <w:rPr>
          <w:rFonts w:hint="eastAsia" w:ascii="仿宋" w:hAnsi="仿宋" w:eastAsia="仿宋" w:cs="仿宋"/>
          <w:color w:val="000000" w:themeColor="text1"/>
          <w:sz w:val="28"/>
          <w14:textFill>
            <w14:solidFill>
              <w14:schemeClr w14:val="tx1"/>
            </w14:solidFill>
          </w14:textFill>
        </w:rPr>
        <w:t xml:space="preserve">8</w:t>
      </w:r>
      <w:r>
        <w:rPr>
          <w:rFonts w:ascii="仿宋" w:hAnsi="仿宋" w:eastAsia="仿宋" w:cs="仿宋"/>
          <w:color w:val="000000" w:themeColor="text1"/>
          <w:sz w:val="28"/>
          <w14:textFill>
            <w14:solidFill>
              <w14:schemeClr w14:val="tx1"/>
            </w14:solidFill>
          </w14:textFill>
        </w:rPr>
        <w:t xml:space="preserve">.2代理机构可以按照规定，通过修改招标文件酌情延长投标截止日期，在此情况下，投标人的所有权利和义务以及投标人受制的截止日期均应以延长后新的截止日期为准。</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19．</w:t>
      </w:r>
      <w:r>
        <w:rPr>
          <w:rFonts w:ascii="仿宋" w:hAnsi="仿宋" w:eastAsia="仿宋" w:cs="仿宋"/>
          <w:color w:val="000000" w:themeColor="text1"/>
          <w:sz w:val="28"/>
          <w14:textFill>
            <w14:solidFill>
              <w14:schemeClr w14:val="tx1"/>
            </w14:solidFill>
          </w14:textFill>
        </w:rPr>
        <w:t xml:space="preserve">投标文件的拒收</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19</w:t>
      </w:r>
      <w:r>
        <w:rPr>
          <w:rFonts w:ascii="仿宋" w:hAnsi="仿宋" w:eastAsia="仿宋" w:cs="仿宋"/>
          <w:color w:val="000000" w:themeColor="text1"/>
          <w:sz w:val="28"/>
          <w14:textFill>
            <w14:solidFill>
              <w14:schemeClr w14:val="tx1"/>
            </w14:solidFill>
          </w14:textFill>
        </w:rPr>
        <w:t xml:space="preserve">.1 代理机构拒绝接收在其规定的投标截止时间后上传的任何投标文件。</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0．</w:t>
      </w:r>
      <w:r>
        <w:rPr>
          <w:rFonts w:ascii="仿宋" w:hAnsi="仿宋" w:eastAsia="仿宋" w:cs="仿宋"/>
          <w:color w:val="000000" w:themeColor="text1"/>
          <w:sz w:val="28"/>
          <w14:textFill>
            <w14:solidFill>
              <w14:schemeClr w14:val="tx1"/>
            </w14:solidFill>
          </w14:textFill>
        </w:rPr>
        <w:t xml:space="preserve">投标文件的撤回和修改</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0</w:t>
      </w:r>
      <w:r>
        <w:rPr>
          <w:rFonts w:ascii="仿宋" w:hAnsi="仿宋" w:eastAsia="仿宋" w:cs="仿宋"/>
          <w:color w:val="000000" w:themeColor="text1"/>
          <w:sz w:val="28"/>
          <w14:textFill>
            <w14:solidFill>
              <w14:schemeClr w14:val="tx1"/>
            </w14:solidFill>
          </w14:textFill>
        </w:rPr>
        <w:t xml:space="preserve">.1 投标文件的撤回</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0</w:t>
      </w:r>
      <w:r>
        <w:rPr>
          <w:rFonts w:ascii="仿宋" w:hAnsi="仿宋" w:eastAsia="仿宋" w:cs="仿宋"/>
          <w:color w:val="000000" w:themeColor="text1"/>
          <w:sz w:val="28"/>
          <w14:textFill>
            <w14:solidFill>
              <w14:schemeClr w14:val="tx1"/>
            </w14:solidFill>
          </w14:textFill>
        </w:rPr>
        <w:t xml:space="preserve">.1.1 电子投标文件的撤回</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投标人可在投标截止时间前，撤回其电子投标文件，具体操作方法见《操作手册》。</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0</w:t>
      </w:r>
      <w:r>
        <w:rPr>
          <w:rFonts w:ascii="仿宋" w:hAnsi="仿宋" w:eastAsia="仿宋" w:cs="仿宋"/>
          <w:color w:val="000000" w:themeColor="text1"/>
          <w:sz w:val="28"/>
          <w14:textFill>
            <w14:solidFill>
              <w14:schemeClr w14:val="tx1"/>
            </w14:solidFill>
          </w14:textFill>
        </w:rPr>
        <w:t xml:space="preserve">.1.2 投标人撤回电子投标文件，则认为其不再参与本项目投标活动。</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0</w:t>
      </w:r>
      <w:r>
        <w:rPr>
          <w:rFonts w:ascii="仿宋" w:hAnsi="仿宋" w:eastAsia="仿宋" w:cs="仿宋"/>
          <w:color w:val="000000" w:themeColor="text1"/>
          <w:sz w:val="28"/>
          <w14:textFill>
            <w14:solidFill>
              <w14:schemeClr w14:val="tx1"/>
            </w14:solidFill>
          </w14:textFill>
        </w:rPr>
        <w:t xml:space="preserve">.2 投标文件的修改</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0</w:t>
      </w:r>
      <w:r>
        <w:rPr>
          <w:rFonts w:ascii="仿宋" w:hAnsi="仿宋" w:eastAsia="仿宋" w:cs="仿宋"/>
          <w:color w:val="000000" w:themeColor="text1"/>
          <w:sz w:val="28"/>
          <w14:textFill>
            <w14:solidFill>
              <w14:schemeClr w14:val="tx1"/>
            </w14:solidFill>
          </w14:textFill>
        </w:rPr>
        <w:t xml:space="preserve">.2.1投标人可在投标截止时间前，对其电子投标文件进行修改，具体操作方法见《操作手册》。</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0</w:t>
      </w:r>
      <w:r>
        <w:rPr>
          <w:rFonts w:ascii="仿宋" w:hAnsi="仿宋" w:eastAsia="仿宋" w:cs="仿宋"/>
          <w:color w:val="000000" w:themeColor="text1"/>
          <w:sz w:val="28"/>
          <w14:textFill>
            <w14:solidFill>
              <w14:schemeClr w14:val="tx1"/>
            </w14:solidFill>
          </w14:textFill>
        </w:rPr>
        <w:t xml:space="preserve">.2.2 在投标截止时间之后，投标人不得对其电子投标文件作任何修改。</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0</w:t>
      </w:r>
      <w:r>
        <w:rPr>
          <w:rFonts w:ascii="仿宋" w:hAnsi="仿宋" w:eastAsia="仿宋" w:cs="仿宋"/>
          <w:color w:val="000000" w:themeColor="text1"/>
          <w:sz w:val="28"/>
          <w14:textFill>
            <w14:solidFill>
              <w14:schemeClr w14:val="tx1"/>
            </w14:solidFill>
          </w14:textFill>
        </w:rPr>
        <w:t xml:space="preserve">.3 在投标截止时间至招标文件中规定的投标有效期满之间的这段时间内，投标人不得撤回其投标。</w:t>
      </w:r>
      <w:r/>
    </w:p>
    <w:p>
      <w:pPr>
        <w:jc w:val="both"/>
        <w:spacing w:before="145" w:after="145"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五、开标与评标</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1．</w:t>
      </w:r>
      <w:r>
        <w:rPr>
          <w:rFonts w:ascii="仿宋" w:hAnsi="仿宋" w:eastAsia="仿宋" w:cs="仿宋"/>
          <w:color w:val="000000" w:themeColor="text1"/>
          <w:sz w:val="28"/>
          <w14:textFill>
            <w14:solidFill>
              <w14:schemeClr w14:val="tx1"/>
            </w14:solidFill>
          </w14:textFill>
        </w:rPr>
        <w:t xml:space="preserve">开标</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1</w:t>
      </w:r>
      <w:r>
        <w:rPr>
          <w:rFonts w:ascii="仿宋" w:hAnsi="仿宋" w:eastAsia="仿宋" w:cs="仿宋"/>
          <w:color w:val="000000" w:themeColor="text1"/>
          <w:sz w:val="28"/>
          <w14:textFill>
            <w14:solidFill>
              <w14:schemeClr w14:val="tx1"/>
            </w14:solidFill>
          </w14:textFill>
        </w:rPr>
        <w:t xml:space="preserve">.1代理机构将在招标公告中规定的时间和地点组织公开开标。投标人应当按照《操作手册》规定，参加开标活动和在苏采云系统规定的时间内对投标文件进行解密。</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1</w:t>
      </w:r>
      <w:r>
        <w:rPr>
          <w:rFonts w:ascii="仿宋" w:hAnsi="仿宋" w:eastAsia="仿宋" w:cs="仿宋"/>
          <w:color w:val="000000" w:themeColor="text1"/>
          <w:sz w:val="28"/>
          <w14:textFill>
            <w14:solidFill>
              <w14:schemeClr w14:val="tx1"/>
            </w14:solidFill>
          </w14:textFill>
        </w:rPr>
        <w:t xml:space="preserve">.2开标仪式由代理机构组织。苏采云系统将自动对项目进行开标，并宣布各投标人名称和投标价格。</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1</w:t>
      </w:r>
      <w:r>
        <w:rPr>
          <w:rFonts w:ascii="仿宋" w:hAnsi="仿宋" w:eastAsia="仿宋" w:cs="仿宋"/>
          <w:color w:val="000000" w:themeColor="text1"/>
          <w:sz w:val="28"/>
          <w14:textFill>
            <w14:solidFill>
              <w14:schemeClr w14:val="tx1"/>
            </w14:solidFill>
          </w14:textFill>
        </w:rPr>
        <w:t xml:space="preserve">.3投标人在开标过程中涉及到的投标文件解密、开标结果确认等工作，应按照《操作手册》规定执行。</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1</w:t>
      </w:r>
      <w:r>
        <w:rPr>
          <w:rFonts w:ascii="仿宋" w:hAnsi="仿宋" w:eastAsia="仿宋" w:cs="仿宋"/>
          <w:color w:val="000000" w:themeColor="text1"/>
          <w:sz w:val="28"/>
          <w14:textFill>
            <w14:solidFill>
              <w14:schemeClr w14:val="tx1"/>
            </w14:solidFill>
          </w14:textFill>
        </w:rPr>
        <w:t xml:space="preserve">.4投标人如果对开标过程和开标记录有疑义，应当根据《操作手册》规定提出，如苏采云系统中《开标记录表》宣布后5分钟内未提出的，视同认可开标结果。</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2．</w:t>
      </w:r>
      <w:r>
        <w:rPr>
          <w:rFonts w:ascii="仿宋" w:hAnsi="仿宋" w:eastAsia="仿宋" w:cs="仿宋"/>
          <w:color w:val="000000" w:themeColor="text1"/>
          <w:sz w:val="28"/>
          <w14:textFill>
            <w14:solidFill>
              <w14:schemeClr w14:val="tx1"/>
            </w14:solidFill>
          </w14:textFill>
        </w:rPr>
        <w:t xml:space="preserve">评标委员会</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2</w:t>
      </w:r>
      <w:r>
        <w:rPr>
          <w:rFonts w:ascii="仿宋" w:hAnsi="仿宋" w:eastAsia="仿宋" w:cs="仿宋"/>
          <w:color w:val="000000" w:themeColor="text1"/>
          <w:sz w:val="28"/>
          <w14:textFill>
            <w14:solidFill>
              <w14:schemeClr w14:val="tx1"/>
            </w14:solidFill>
          </w14:textFill>
        </w:rPr>
        <w:t xml:space="preserve">.1开标后，代理机构将立即组织评标委员会（以下简称评委会）进行评标。</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2</w:t>
      </w:r>
      <w:r>
        <w:rPr>
          <w:rFonts w:ascii="仿宋" w:hAnsi="仿宋" w:eastAsia="仿宋" w:cs="仿宋"/>
          <w:color w:val="000000" w:themeColor="text1"/>
          <w:sz w:val="28"/>
          <w14:textFill>
            <w14:solidFill>
              <w14:schemeClr w14:val="tx1"/>
            </w14:solidFill>
          </w14:textFill>
        </w:rPr>
        <w:t xml:space="preserve">.2 评委会由采购人代表和有关技术、经济等方面的专家组成，且人员构成符合政府采购有关规定。</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2</w:t>
      </w:r>
      <w:r>
        <w:rPr>
          <w:rFonts w:ascii="仿宋" w:hAnsi="仿宋" w:eastAsia="仿宋" w:cs="仿宋"/>
          <w:color w:val="000000" w:themeColor="text1"/>
          <w:sz w:val="28"/>
          <w14:textFill>
            <w14:solidFill>
              <w14:schemeClr w14:val="tx1"/>
            </w14:solidFill>
          </w14:textFill>
        </w:rPr>
        <w:t xml:space="preserve">.3评委会独立工作，负责评审所有投标文件并确定中标侯选人。</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3</w:t>
      </w:r>
      <w:r>
        <w:rPr>
          <w:rFonts w:ascii="仿宋" w:hAnsi="仿宋" w:eastAsia="仿宋" w:cs="仿宋"/>
          <w:color w:val="000000" w:themeColor="text1"/>
          <w:sz w:val="28"/>
          <w14:textFill>
            <w14:solidFill>
              <w14:schemeClr w14:val="tx1"/>
            </w14:solidFill>
          </w14:textFill>
        </w:rPr>
        <w:t xml:space="preserve">．评标过程的保密与公正</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3</w:t>
      </w:r>
      <w:r>
        <w:rPr>
          <w:rFonts w:ascii="仿宋" w:hAnsi="仿宋" w:eastAsia="仿宋" w:cs="仿宋"/>
          <w:color w:val="000000" w:themeColor="text1"/>
          <w:sz w:val="28"/>
          <w14:textFill>
            <w14:solidFill>
              <w14:schemeClr w14:val="tx1"/>
            </w14:solidFill>
          </w14:textFill>
        </w:rPr>
        <w:t xml:space="preserve">.1凡是与审查、澄清、评价和比较投标的有关资料以及授标建议等，采购人、评委、代理机构均不得向投标人或与评标无关的其他人员透露。</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2</w:t>
      </w:r>
      <w:r>
        <w:rPr>
          <w:rFonts w:hint="eastAsia" w:ascii="仿宋" w:hAnsi="仿宋" w:eastAsia="仿宋" w:cs="仿宋"/>
          <w:b/>
          <w:color w:val="000000" w:themeColor="text1"/>
          <w:sz w:val="28"/>
          <w14:textFill>
            <w14:solidFill>
              <w14:schemeClr w14:val="tx1"/>
            </w14:solidFill>
          </w14:textFill>
        </w:rPr>
        <w:t xml:space="preserve">3</w:t>
      </w:r>
      <w:r>
        <w:rPr>
          <w:rFonts w:ascii="仿宋" w:hAnsi="仿宋" w:eastAsia="仿宋" w:cs="仿宋"/>
          <w:b/>
          <w:color w:val="000000" w:themeColor="text1"/>
          <w:sz w:val="28"/>
          <w14:textFill>
            <w14:solidFill>
              <w14:schemeClr w14:val="tx1"/>
            </w14:solidFill>
          </w14:textFill>
        </w:rPr>
        <w:t xml:space="preserve">.2在评标过程中，投标人不得以任何行为影响评标过程，否则其投标文件将被作为无效投标文件。</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2</w:t>
      </w:r>
      <w:r>
        <w:rPr>
          <w:rFonts w:hint="eastAsia" w:ascii="仿宋" w:hAnsi="仿宋" w:eastAsia="仿宋" w:cs="仿宋"/>
          <w:b/>
          <w:color w:val="000000" w:themeColor="text1"/>
          <w:sz w:val="28"/>
          <w14:textFill>
            <w14:solidFill>
              <w14:schemeClr w14:val="tx1"/>
            </w14:solidFill>
          </w14:textFill>
        </w:rPr>
        <w:t xml:space="preserve">3</w:t>
      </w:r>
      <w:r>
        <w:rPr>
          <w:rFonts w:ascii="仿宋" w:hAnsi="仿宋" w:eastAsia="仿宋" w:cs="仿宋"/>
          <w:b/>
          <w:color w:val="000000" w:themeColor="text1"/>
          <w:sz w:val="28"/>
          <w14:textFill>
            <w14:solidFill>
              <w14:schemeClr w14:val="tx1"/>
            </w14:solidFill>
          </w14:textFill>
        </w:rPr>
        <w:t xml:space="preserve">.3代理机构和评标委员会不向未中标的投标人解释未中标原因，也不公布评标过程中的相关细节。</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3</w:t>
      </w:r>
      <w:r>
        <w:rPr>
          <w:rFonts w:ascii="仿宋" w:hAnsi="仿宋" w:eastAsia="仿宋" w:cs="仿宋"/>
          <w:color w:val="000000" w:themeColor="text1"/>
          <w:sz w:val="28"/>
          <w14:textFill>
            <w14:solidFill>
              <w14:schemeClr w14:val="tx1"/>
            </w14:solidFill>
          </w14:textFill>
        </w:rPr>
        <w:t xml:space="preserve">.4 采用综合评分法的项目，未中标的投标人可于中标结果公告期限届满之日起通过苏采云系统查看自己的评审得分及排序情况。</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4</w:t>
      </w:r>
      <w:r>
        <w:rPr>
          <w:rFonts w:ascii="仿宋" w:hAnsi="仿宋" w:eastAsia="仿宋" w:cs="仿宋"/>
          <w:color w:val="000000" w:themeColor="text1"/>
          <w:sz w:val="28"/>
          <w14:textFill>
            <w14:solidFill>
              <w14:schemeClr w14:val="tx1"/>
            </w14:solidFill>
          </w14:textFill>
        </w:rPr>
        <w:t xml:space="preserve">．投标文件的澄清</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4</w:t>
      </w:r>
      <w:r>
        <w:rPr>
          <w:rFonts w:ascii="仿宋" w:hAnsi="仿宋" w:eastAsia="仿宋" w:cs="仿宋"/>
          <w:color w:val="000000" w:themeColor="text1"/>
          <w:sz w:val="28"/>
          <w14:textFill>
            <w14:solidFill>
              <w14:schemeClr w14:val="tx1"/>
            </w14:solidFill>
          </w14:textFill>
        </w:rPr>
        <w:t xml:space="preserve">.1评标期间，评委会对投标文件中含义不明确、同类问题表述不一致或者有明显文字和计算错误的内容，有权要求投标人作出必要的澄清、说明或者补正。</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投标人的澄清、说明或者补正不得超出投标文件的范围或者改变投标文件的实质性内容。</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评标委员会并非对每个投标人都做澄清要求。</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4</w:t>
      </w:r>
      <w:r>
        <w:rPr>
          <w:rFonts w:ascii="仿宋" w:hAnsi="仿宋" w:eastAsia="仿宋" w:cs="仿宋"/>
          <w:color w:val="000000" w:themeColor="text1"/>
          <w:sz w:val="28"/>
          <w14:textFill>
            <w14:solidFill>
              <w14:schemeClr w14:val="tx1"/>
            </w14:solidFill>
          </w14:textFill>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4</w:t>
      </w:r>
      <w:r>
        <w:rPr>
          <w:rFonts w:ascii="仿宋" w:hAnsi="仿宋" w:eastAsia="仿宋" w:cs="仿宋"/>
          <w:color w:val="000000" w:themeColor="text1"/>
          <w:sz w:val="28"/>
          <w14:textFill>
            <w14:solidFill>
              <w14:schemeClr w14:val="tx1"/>
            </w14:solidFill>
          </w14:textFill>
        </w:rPr>
        <w:t xml:space="preserve">.3 接到评委会澄清、说明和补正要求的投标人如未按规定做出澄清、说明和补正，其风险由投标人自行承担。</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5．</w:t>
      </w:r>
      <w:r>
        <w:rPr>
          <w:rFonts w:ascii="仿宋" w:hAnsi="仿宋" w:eastAsia="仿宋" w:cs="仿宋"/>
          <w:color w:val="000000" w:themeColor="text1"/>
          <w:sz w:val="28"/>
          <w14:textFill>
            <w14:solidFill>
              <w14:schemeClr w14:val="tx1"/>
            </w14:solidFill>
          </w14:textFill>
        </w:rPr>
        <w:t xml:space="preserve">对投标文件的初审</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5</w:t>
      </w:r>
      <w:r>
        <w:rPr>
          <w:rFonts w:ascii="仿宋" w:hAnsi="仿宋" w:eastAsia="仿宋" w:cs="仿宋"/>
          <w:color w:val="000000" w:themeColor="text1"/>
          <w:sz w:val="28"/>
          <w14:textFill>
            <w14:solidFill>
              <w14:schemeClr w14:val="tx1"/>
            </w14:solidFill>
          </w14:textFill>
        </w:rPr>
        <w:t xml:space="preserve">.1投标文件初审分为资格审查和符合性审查。</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2</w:t>
      </w:r>
      <w:r>
        <w:rPr>
          <w:rFonts w:hint="eastAsia" w:ascii="仿宋" w:hAnsi="仿宋" w:eastAsia="仿宋" w:cs="仿宋"/>
          <w:b/>
          <w:color w:val="000000" w:themeColor="text1"/>
          <w:sz w:val="28"/>
          <w14:textFill>
            <w14:solidFill>
              <w14:schemeClr w14:val="tx1"/>
            </w14:solidFill>
          </w14:textFill>
        </w:rPr>
        <w:t xml:space="preserve">5</w:t>
      </w:r>
      <w:r>
        <w:rPr>
          <w:rFonts w:ascii="仿宋" w:hAnsi="仿宋" w:eastAsia="仿宋" w:cs="仿宋"/>
          <w:b/>
          <w:color w:val="000000" w:themeColor="text1"/>
          <w:sz w:val="28"/>
          <w14:textFill>
            <w14:solidFill>
              <w14:schemeClr w14:val="tx1"/>
            </w14:solidFill>
          </w14:textFill>
        </w:rPr>
        <w:t xml:space="preserve">.1.1 资格审查：依据法律法规和招标文件的规定，由采购人对投标文件中的资格证明文件进行审查。资格审查的结论，采购人以书面形式向评委会进行反馈。</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cs="仿宋"/>
          <w:color w:val="000000" w:themeColor="text1"/>
          <w:sz w:val="28"/>
          <w14:textFill>
            <w14:solidFill>
              <w14:schemeClr w14:val="tx1"/>
            </w14:solidFill>
          </w14:textFill>
        </w:rPr>
        <w:t xml:space="preserve">信</w:t>
      </w:r>
      <w:r>
        <w:rPr>
          <w:rFonts w:ascii="仿宋" w:hAnsi="仿宋" w:eastAsia="仿宋" w:cs="仿宋"/>
          <w:color w:val="000000" w:themeColor="text1"/>
          <w:sz w:val="28"/>
          <w14:textFill>
            <w14:solidFill>
              <w14:schemeClr w14:val="tx1"/>
            </w14:solidFill>
          </w14:textFill>
        </w:rPr>
        <w:t xml:space="preserve">用记录。</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5</w:t>
      </w:r>
      <w:r>
        <w:rPr>
          <w:rFonts w:ascii="仿宋" w:hAnsi="仿宋" w:eastAsia="仿宋" w:cs="仿宋"/>
          <w:color w:val="000000" w:themeColor="text1"/>
          <w:sz w:val="28"/>
          <w14:textFill>
            <w14:solidFill>
              <w14:schemeClr w14:val="tx1"/>
            </w14:solidFill>
          </w14:textFill>
        </w:rPr>
        <w:t xml:space="preserve">.1.2 符合性审查：依据招标文件的规定，由评委会从投标文件的有效性、完整性和对招标文件的响应程度进行审查，以确定是否对招标文件的实质性要求作出响应。</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2</w:t>
      </w:r>
      <w:r>
        <w:rPr>
          <w:rFonts w:hint="eastAsia" w:ascii="仿宋" w:hAnsi="仿宋" w:eastAsia="仿宋" w:cs="仿宋"/>
          <w:b/>
          <w:color w:val="000000" w:themeColor="text1"/>
          <w:sz w:val="28"/>
          <w14:textFill>
            <w14:solidFill>
              <w14:schemeClr w14:val="tx1"/>
            </w14:solidFill>
          </w14:textFill>
        </w:rPr>
        <w:t xml:space="preserve">5</w:t>
      </w:r>
      <w:r>
        <w:rPr>
          <w:rFonts w:ascii="仿宋" w:hAnsi="仿宋" w:eastAsia="仿宋" w:cs="仿宋"/>
          <w:b/>
          <w:color w:val="000000" w:themeColor="text1"/>
          <w:sz w:val="28"/>
          <w14:textFill>
            <w14:solidFill>
              <w14:schemeClr w14:val="tx1"/>
            </w14:solidFill>
          </w14:textFill>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5</w:t>
      </w:r>
      <w:r>
        <w:rPr>
          <w:rFonts w:ascii="仿宋" w:hAnsi="仿宋" w:eastAsia="仿宋" w:cs="仿宋"/>
          <w:color w:val="000000" w:themeColor="text1"/>
          <w:sz w:val="28"/>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5</w:t>
      </w:r>
      <w:r>
        <w:rPr>
          <w:rFonts w:ascii="仿宋" w:hAnsi="仿宋" w:eastAsia="仿宋" w:cs="仿宋"/>
          <w:color w:val="000000" w:themeColor="text1"/>
          <w:sz w:val="28"/>
          <w14:textFill>
            <w14:solidFill>
              <w14:schemeClr w14:val="tx1"/>
            </w14:solidFill>
          </w14:textFill>
        </w:rPr>
        <w:t xml:space="preserve">.3如果投标文件实质上没有响应招标文件的要求，评委会将予以拒绝，投标人不得通过修改或撤销不合要求的偏离或保留而使其投标成为实质性响应的投标。</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5</w:t>
      </w:r>
      <w:r>
        <w:rPr>
          <w:rFonts w:ascii="仿宋" w:hAnsi="仿宋" w:eastAsia="仿宋" w:cs="仿宋"/>
          <w:color w:val="000000" w:themeColor="text1"/>
          <w:sz w:val="28"/>
          <w14:textFill>
            <w14:solidFill>
              <w14:schemeClr w14:val="tx1"/>
            </w14:solidFill>
          </w14:textFill>
        </w:rPr>
        <w:t xml:space="preserve">.4评委会将对确定为实质性响应的投标进行进一步审核，看其是否有计算上或累加上的算术错误，修正错误的原则如下：</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（1）投标文件中开标一览表内容与投标文件中相应内容不一致的，以开标一览表为准。</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（2）大写金额和小写金额不一致的，以大写金额为准。</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（3）单价金额小数点或者百分比有明显错位的，以开标一览表的总价为准，并修改单价。</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（4）总价金额与按单价汇总金额不一致的，以单价金额计算结果为准。</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同时出现两种以上错误的，按照前款规定的顺序修正。</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5</w:t>
      </w:r>
      <w:r>
        <w:rPr>
          <w:rFonts w:ascii="仿宋" w:hAnsi="仿宋" w:eastAsia="仿宋" w:cs="仿宋"/>
          <w:color w:val="000000" w:themeColor="text1"/>
          <w:sz w:val="28"/>
          <w14:textFill>
            <w14:solidFill>
              <w14:schemeClr w14:val="tx1"/>
            </w14:solidFill>
          </w14:textFill>
        </w:rPr>
        <w:t xml:space="preserve">.5评委会将按上述修正错误的方法调整投标文件中的投标报价，并通过苏采云系统告知投标人，调整后的价格应对投标人具有约束力。如果投标人不接受修正后的价格，则其投标将被拒绝。</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5</w:t>
      </w:r>
      <w:r>
        <w:rPr>
          <w:rFonts w:ascii="仿宋" w:hAnsi="仿宋" w:eastAsia="仿宋" w:cs="仿宋"/>
          <w:color w:val="000000" w:themeColor="text1"/>
          <w:sz w:val="28"/>
          <w14:textFill>
            <w14:solidFill>
              <w14:schemeClr w14:val="tx1"/>
            </w14:solidFill>
          </w14:textFill>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非单一产品采购项目，招标文件中将载明其中的核心产品。多家投标人提供的核心产品品牌相同的，按前两款规定处理。</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5</w:t>
      </w:r>
      <w:r>
        <w:rPr>
          <w:rFonts w:ascii="仿宋" w:hAnsi="仿宋" w:eastAsia="仿宋" w:cs="仿宋"/>
          <w:color w:val="000000" w:themeColor="text1"/>
          <w:sz w:val="28"/>
          <w14:textFill>
            <w14:solidFill>
              <w14:schemeClr w14:val="tx1"/>
            </w14:solidFill>
          </w14:textFill>
        </w:rPr>
        <w:t xml:space="preserve">.7投标人在开、评标全过程中应保持通讯畅通，及时登录苏采云系统查阅、答复相关信息，并安排专人与代理机构及评标委员会联系。</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6．</w:t>
      </w:r>
      <w:r>
        <w:rPr>
          <w:rFonts w:ascii="仿宋" w:hAnsi="仿宋" w:eastAsia="仿宋" w:cs="仿宋"/>
          <w:color w:val="000000" w:themeColor="text1"/>
          <w:sz w:val="28"/>
          <w14:textFill>
            <w14:solidFill>
              <w14:schemeClr w14:val="tx1"/>
            </w14:solidFill>
          </w14:textFill>
        </w:rPr>
        <w:t xml:space="preserve">无效投标条款和废标条款</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6</w:t>
      </w:r>
      <w:r>
        <w:rPr>
          <w:rFonts w:ascii="仿宋" w:hAnsi="仿宋" w:eastAsia="仿宋" w:cs="仿宋"/>
          <w:color w:val="000000" w:themeColor="text1"/>
          <w:sz w:val="28"/>
          <w14:textFill>
            <w14:solidFill>
              <w14:schemeClr w14:val="tx1"/>
            </w14:solidFill>
          </w14:textFill>
        </w:rPr>
        <w:t xml:space="preserve">.1无效投标条款</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6</w:t>
      </w:r>
      <w:r>
        <w:rPr>
          <w:rFonts w:ascii="仿宋" w:hAnsi="仿宋" w:eastAsia="仿宋" w:cs="仿宋"/>
          <w:color w:val="000000" w:themeColor="text1"/>
          <w:sz w:val="28"/>
          <w14:textFill>
            <w14:solidFill>
              <w14:schemeClr w14:val="tx1"/>
            </w14:solidFill>
          </w14:textFill>
        </w:rPr>
        <w:t xml:space="preserve">.1.1 投标人在苏采云系统规定的时间内未成功解密电子投标文件的。</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6</w:t>
      </w:r>
      <w:r>
        <w:rPr>
          <w:rFonts w:ascii="仿宋" w:hAnsi="仿宋" w:eastAsia="仿宋" w:cs="仿宋"/>
          <w:color w:val="000000" w:themeColor="text1"/>
          <w:sz w:val="28"/>
          <w14:textFill>
            <w14:solidFill>
              <w14:schemeClr w14:val="tx1"/>
            </w14:solidFill>
          </w14:textFill>
        </w:rPr>
        <w:t xml:space="preserve">.1.2 投标人未按照招标文件要求上传电子投标文件的。</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6</w:t>
      </w:r>
      <w:r>
        <w:rPr>
          <w:rFonts w:ascii="仿宋" w:hAnsi="仿宋" w:eastAsia="仿宋" w:cs="仿宋"/>
          <w:color w:val="000000" w:themeColor="text1"/>
          <w:sz w:val="28"/>
          <w14:textFill>
            <w14:solidFill>
              <w14:schemeClr w14:val="tx1"/>
            </w14:solidFill>
          </w14:textFill>
        </w:rPr>
        <w:t xml:space="preserve">.1.3投标人同一分包提交两个（含两个）以上不同的投标报价的。</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6</w:t>
      </w:r>
      <w:r>
        <w:rPr>
          <w:rFonts w:ascii="仿宋" w:hAnsi="仿宋" w:eastAsia="仿宋" w:cs="仿宋"/>
          <w:color w:val="000000" w:themeColor="text1"/>
          <w:sz w:val="28"/>
          <w14:textFill>
            <w14:solidFill>
              <w14:schemeClr w14:val="tx1"/>
            </w14:solidFill>
          </w14:textFill>
        </w:rPr>
        <w:t xml:space="preserve">.1.4投标人不具备招标文件中规定资格要求的。</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6</w:t>
      </w:r>
      <w:r>
        <w:rPr>
          <w:rFonts w:ascii="仿宋" w:hAnsi="仿宋" w:eastAsia="仿宋" w:cs="仿宋"/>
          <w:color w:val="000000" w:themeColor="text1"/>
          <w:sz w:val="28"/>
          <w14:textFill>
            <w14:solidFill>
              <w14:schemeClr w14:val="tx1"/>
            </w14:solidFill>
          </w14:textFill>
        </w:rPr>
        <w:t xml:space="preserve">.1.5投标人的报价超过了采购预算或最高限价的。</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6</w:t>
      </w:r>
      <w:r>
        <w:rPr>
          <w:rFonts w:ascii="仿宋" w:hAnsi="仿宋" w:eastAsia="仿宋" w:cs="仿宋"/>
          <w:color w:val="000000" w:themeColor="text1"/>
          <w:sz w:val="28"/>
          <w14:textFill>
            <w14:solidFill>
              <w14:schemeClr w14:val="tx1"/>
            </w14:solidFill>
          </w14:textFill>
        </w:rPr>
        <w:t xml:space="preserve">.1.6未通过符合性审查的。</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6</w:t>
      </w:r>
      <w:r>
        <w:rPr>
          <w:rFonts w:ascii="仿宋" w:hAnsi="仿宋" w:eastAsia="仿宋" w:cs="仿宋"/>
          <w:color w:val="000000" w:themeColor="text1"/>
          <w:sz w:val="28"/>
          <w14:textFill>
            <w14:solidFill>
              <w14:schemeClr w14:val="tx1"/>
            </w14:solidFill>
          </w14:textFill>
        </w:rPr>
        <w:t xml:space="preserve">.1.7不符合招标文件中规定的实质性要求的（详见本招标文件第四章采购需求中标有“★”的</w:t>
      </w:r>
      <w:r>
        <w:rPr>
          <w:rFonts w:hint="eastAsia" w:ascii="仿宋" w:hAnsi="仿宋" w:eastAsia="仿宋" w:cs="仿宋"/>
          <w:color w:val="000000" w:themeColor="text1"/>
          <w:sz w:val="28"/>
          <w14:textFill>
            <w14:solidFill>
              <w14:schemeClr w14:val="tx1"/>
            </w14:solidFill>
          </w14:textFill>
        </w:rPr>
        <w:t xml:space="preserve">技术要求及相关商务要求</w:t>
      </w:r>
      <w:r>
        <w:rPr>
          <w:rFonts w:ascii="仿宋" w:hAnsi="仿宋" w:eastAsia="仿宋" w:cs="仿宋"/>
          <w:color w:val="000000" w:themeColor="text1"/>
          <w:sz w:val="28"/>
          <w14:textFill>
            <w14:solidFill>
              <w14:schemeClr w14:val="tx1"/>
            </w14:solidFill>
          </w14:textFill>
        </w:rPr>
        <w:t xml:space="preserve">）。</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6</w:t>
      </w:r>
      <w:r>
        <w:rPr>
          <w:rFonts w:ascii="仿宋" w:hAnsi="仿宋" w:eastAsia="仿宋" w:cs="仿宋"/>
          <w:color w:val="000000" w:themeColor="text1"/>
          <w:sz w:val="28"/>
          <w14:textFill>
            <w14:solidFill>
              <w14:schemeClr w14:val="tx1"/>
            </w14:solidFill>
          </w14:textFill>
        </w:rPr>
        <w:t xml:space="preserve">.1.8 投标人被 “信用中国”网站（www.creditchina.gov.cn）</w:t>
      </w:r>
      <w:r>
        <w:rPr>
          <w:rFonts w:hint="eastAsia" w:ascii="仿宋" w:hAnsi="仿宋" w:eastAsia="仿宋" w:cs="仿宋"/>
          <w:color w:val="000000" w:themeColor="text1"/>
          <w:sz w:val="28"/>
          <w14:textFill>
            <w14:solidFill>
              <w14:schemeClr w14:val="tx1"/>
            </w14:solidFill>
          </w14:textFill>
        </w:rPr>
        <w:t xml:space="preserve">、中国政府采购网（</w:t>
      </w:r>
      <w:r>
        <w:rPr>
          <w:rFonts w:ascii="仿宋" w:hAnsi="仿宋" w:eastAsia="仿宋" w:cs="仿宋"/>
          <w:color w:val="000000" w:themeColor="text1"/>
          <w:sz w:val="28"/>
          <w14:textFill>
            <w14:solidFill>
              <w14:schemeClr w14:val="tx1"/>
            </w14:solidFill>
          </w14:textFill>
        </w:rPr>
        <w:t xml:space="preserve">www.ccgp.gov.cn</w:t>
      </w:r>
      <w:r>
        <w:rPr>
          <w:rFonts w:hint="eastAsia" w:ascii="仿宋" w:hAnsi="仿宋" w:eastAsia="仿宋" w:cs="仿宋"/>
          <w:color w:val="000000" w:themeColor="text1"/>
          <w:sz w:val="28"/>
          <w14:textFill>
            <w14:solidFill>
              <w14:schemeClr w14:val="tx1"/>
            </w14:solidFill>
          </w14:textFill>
        </w:rPr>
        <w:t xml:space="preserve">）</w:t>
      </w:r>
      <w:r>
        <w:rPr>
          <w:rFonts w:ascii="仿宋" w:hAnsi="仿宋" w:eastAsia="仿宋" w:cs="仿宋"/>
          <w:color w:val="000000" w:themeColor="text1"/>
          <w:sz w:val="28"/>
          <w14:textFill>
            <w14:solidFill>
              <w14:schemeClr w14:val="tx1"/>
            </w14:solidFill>
          </w14:textFill>
        </w:rPr>
        <w:t xml:space="preserve">列入失信被执行人或重大税收违法案件当事人名单或政府采购严重失信行为记录名单。或查询网站后发现投标人存在其他不符合《中华人民共和国政府采购法》第二十二条规定条件的信用记录。</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6</w:t>
      </w:r>
      <w:r>
        <w:rPr>
          <w:rFonts w:ascii="仿宋" w:hAnsi="仿宋" w:eastAsia="仿宋" w:cs="仿宋"/>
          <w:color w:val="000000" w:themeColor="text1"/>
          <w:sz w:val="28"/>
          <w14:textFill>
            <w14:solidFill>
              <w14:schemeClr w14:val="tx1"/>
            </w14:solidFill>
          </w14:textFill>
        </w:rPr>
        <w:t xml:space="preserve">.1.9 投标文件含有采购人不能接受的附加条件的。</w:t>
      </w:r>
      <w:r/>
    </w:p>
    <w:p>
      <w:pPr>
        <w:jc w:val="both"/>
        <w:spacing w:line="47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6</w:t>
      </w:r>
      <w:r>
        <w:rPr>
          <w:rFonts w:ascii="仿宋" w:hAnsi="仿宋" w:eastAsia="仿宋" w:cs="仿宋"/>
          <w:color w:val="000000" w:themeColor="text1"/>
          <w:sz w:val="28"/>
          <w14:textFill>
            <w14:solidFill>
              <w14:schemeClr w14:val="tx1"/>
            </w14:solidFill>
          </w14:textFill>
        </w:rPr>
        <w:t xml:space="preserve">.1.10</w:t>
      </w:r>
      <w:r>
        <w:rPr>
          <w:rFonts w:hint="eastAsia" w:ascii="仿宋" w:hAnsi="仿宋" w:eastAsia="仿宋" w:cs="仿宋"/>
          <w:color w:val="000000" w:themeColor="text1"/>
          <w:sz w:val="28"/>
          <w14:textFill>
            <w14:solidFill>
              <w14:schemeClr w14:val="tx1"/>
            </w14:solidFill>
          </w14:textFill>
        </w:rPr>
        <w:t xml:space="preserve">评审过程中出现下列情形之一的，评审委员会应当启动异常低价投标（响应）审查程序：</w:t>
      </w:r>
      <w:r/>
    </w:p>
    <w:p>
      <w:pPr>
        <w:jc w:val="both"/>
        <w:spacing w:line="47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jc w:val="both"/>
        <w:spacing w:line="47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jc w:val="both"/>
        <w:spacing w:line="47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（3）投标（响应）报价低于采购项目最高限价45%的，即投标（响应）报价＜采购项目最高限价×45%；</w:t>
      </w:r>
      <w:r/>
    </w:p>
    <w:p>
      <w:pPr>
        <w:jc w:val="both"/>
        <w:spacing w:line="47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（4）评审委员会基于专业判断，认为供应商报价过低，有可能影响产品质量或者不能诚信履约的其他情形。</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启动异常低价投标（响应）审查后，评审委员会应当要求相关供应商在苏采云系统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6</w:t>
      </w:r>
      <w:r>
        <w:rPr>
          <w:rFonts w:ascii="仿宋" w:hAnsi="仿宋" w:eastAsia="仿宋" w:cs="仿宋"/>
          <w:color w:val="000000" w:themeColor="text1"/>
          <w:sz w:val="28"/>
          <w14:textFill>
            <w14:solidFill>
              <w14:schemeClr w14:val="tx1"/>
            </w14:solidFill>
          </w14:textFill>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6</w:t>
      </w:r>
      <w:r>
        <w:rPr>
          <w:rFonts w:ascii="仿宋" w:hAnsi="仿宋" w:eastAsia="仿宋" w:cs="仿宋"/>
          <w:color w:val="000000" w:themeColor="text1"/>
          <w:sz w:val="28"/>
          <w14:textFill>
            <w14:solidFill>
              <w14:schemeClr w14:val="tx1"/>
            </w14:solidFill>
          </w14:textFill>
        </w:rPr>
        <w:t xml:space="preserve">.1.12 投标文件未按照招标文件要求加盖CA电子公章的。</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6</w:t>
      </w:r>
      <w:r>
        <w:rPr>
          <w:rFonts w:ascii="仿宋" w:hAnsi="仿宋" w:eastAsia="仿宋" w:cs="仿宋"/>
          <w:color w:val="000000" w:themeColor="text1"/>
          <w:sz w:val="28"/>
          <w14:textFill>
            <w14:solidFill>
              <w14:schemeClr w14:val="tx1"/>
            </w14:solidFill>
          </w14:textFill>
        </w:rPr>
        <w:t xml:space="preserve">.1.13其他法律、法规及本招标文件规定的属无效投标的情形。</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6</w:t>
      </w:r>
      <w:r>
        <w:rPr>
          <w:rFonts w:ascii="仿宋" w:hAnsi="仿宋" w:eastAsia="仿宋" w:cs="仿宋"/>
          <w:color w:val="000000" w:themeColor="text1"/>
          <w:sz w:val="28"/>
          <w14:textFill>
            <w14:solidFill>
              <w14:schemeClr w14:val="tx1"/>
            </w14:solidFill>
          </w14:textFill>
        </w:rPr>
        <w:t xml:space="preserve">.1.14投标人的商务技术部分得分相差异常悬殊，评标委员会一致认为得分畸低者有可能影响产品质量或者不能诚信履约的。</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6</w:t>
      </w:r>
      <w:r>
        <w:rPr>
          <w:rFonts w:ascii="仿宋" w:hAnsi="仿宋" w:eastAsia="仿宋" w:cs="仿宋"/>
          <w:color w:val="000000" w:themeColor="text1"/>
          <w:sz w:val="28"/>
          <w14:textFill>
            <w14:solidFill>
              <w14:schemeClr w14:val="tx1"/>
            </w14:solidFill>
          </w14:textFill>
        </w:rPr>
        <w:t xml:space="preserve">.2废标条款</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6</w:t>
      </w:r>
      <w:r>
        <w:rPr>
          <w:rFonts w:ascii="仿宋" w:hAnsi="仿宋" w:eastAsia="仿宋" w:cs="仿宋"/>
          <w:color w:val="000000" w:themeColor="text1"/>
          <w:sz w:val="28"/>
          <w14:textFill>
            <w14:solidFill>
              <w14:schemeClr w14:val="tx1"/>
            </w14:solidFill>
          </w14:textFill>
        </w:rPr>
        <w:t xml:space="preserve">.2.1符合专业条件的供应商或者对招标文件作实质响应的供应商不足三家的。</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6</w:t>
      </w:r>
      <w:r>
        <w:rPr>
          <w:rFonts w:ascii="仿宋" w:hAnsi="仿宋" w:eastAsia="仿宋" w:cs="仿宋"/>
          <w:color w:val="000000" w:themeColor="text1"/>
          <w:sz w:val="28"/>
          <w14:textFill>
            <w14:solidFill>
              <w14:schemeClr w14:val="tx1"/>
            </w14:solidFill>
          </w14:textFill>
        </w:rPr>
        <w:t xml:space="preserve">.2.2出现影响采购公正的违法、违规行为的。</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6</w:t>
      </w:r>
      <w:r>
        <w:rPr>
          <w:rFonts w:ascii="仿宋" w:hAnsi="仿宋" w:eastAsia="仿宋" w:cs="仿宋"/>
          <w:color w:val="000000" w:themeColor="text1"/>
          <w:sz w:val="28"/>
          <w14:textFill>
            <w14:solidFill>
              <w14:schemeClr w14:val="tx1"/>
            </w14:solidFill>
          </w14:textFill>
        </w:rPr>
        <w:t xml:space="preserve">.2.3因重大变故，采购任务取消的。</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6</w:t>
      </w:r>
      <w:r>
        <w:rPr>
          <w:rFonts w:ascii="仿宋" w:hAnsi="仿宋" w:eastAsia="仿宋" w:cs="仿宋"/>
          <w:color w:val="000000" w:themeColor="text1"/>
          <w:sz w:val="28"/>
          <w14:textFill>
            <w14:solidFill>
              <w14:schemeClr w14:val="tx1"/>
            </w14:solidFill>
          </w14:textFill>
        </w:rPr>
        <w:t xml:space="preserve">.2.4评标委员会认定招标文件存在歧义、重大缺陷导致评审工作无法进行。</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6</w:t>
      </w:r>
      <w:r>
        <w:rPr>
          <w:rFonts w:ascii="仿宋" w:hAnsi="仿宋" w:eastAsia="仿宋" w:cs="仿宋"/>
          <w:color w:val="000000" w:themeColor="text1"/>
          <w:sz w:val="28"/>
          <w14:textFill>
            <w14:solidFill>
              <w14:schemeClr w14:val="tx1"/>
            </w14:solidFill>
          </w14:textFill>
        </w:rPr>
        <w:t xml:space="preserve">.2.5 因苏采云系统系统故障原因造成开标不成功的。</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6</w:t>
      </w:r>
      <w:r>
        <w:rPr>
          <w:rFonts w:ascii="仿宋" w:hAnsi="仿宋" w:eastAsia="仿宋" w:cs="仿宋"/>
          <w:color w:val="000000" w:themeColor="text1"/>
          <w:sz w:val="28"/>
          <w14:textFill>
            <w14:solidFill>
              <w14:schemeClr w14:val="tx1"/>
            </w14:solidFill>
          </w14:textFill>
        </w:rPr>
        <w:t xml:space="preserve">.3 投标截止时间结束后参加投标的供应商不足三家的处理：</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6</w:t>
      </w:r>
      <w:r>
        <w:rPr>
          <w:rFonts w:ascii="仿宋" w:hAnsi="仿宋" w:eastAsia="仿宋" w:cs="仿宋"/>
          <w:color w:val="000000" w:themeColor="text1"/>
          <w:sz w:val="28"/>
          <w14:textFill>
            <w14:solidFill>
              <w14:schemeClr w14:val="tx1"/>
            </w14:solidFill>
          </w14:textFill>
        </w:rPr>
        <w:t xml:space="preserve">.3.1如出现投标截止时间结束后参加投标的供应商或者在评标期间对招标文件做出实质响应的供应商不足三家情况，按政府采购相关规定执行。</w:t>
      </w:r>
      <w:r/>
    </w:p>
    <w:p>
      <w:pPr>
        <w:jc w:val="both"/>
        <w:spacing w:before="145" w:after="145"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六、定标</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7．</w:t>
      </w:r>
      <w:r>
        <w:rPr>
          <w:rFonts w:ascii="仿宋" w:hAnsi="仿宋" w:eastAsia="仿宋" w:cs="仿宋"/>
          <w:color w:val="000000" w:themeColor="text1"/>
          <w:sz w:val="28"/>
          <w14:textFill>
            <w14:solidFill>
              <w14:schemeClr w14:val="tx1"/>
            </w14:solidFill>
          </w14:textFill>
        </w:rPr>
        <w:t xml:space="preserve">确定中标单位</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7</w:t>
      </w:r>
      <w:r>
        <w:rPr>
          <w:rFonts w:ascii="仿宋" w:hAnsi="仿宋" w:eastAsia="仿宋" w:cs="仿宋"/>
          <w:color w:val="000000" w:themeColor="text1"/>
          <w:sz w:val="28"/>
          <w14:textFill>
            <w14:solidFill>
              <w14:schemeClr w14:val="tx1"/>
            </w14:solidFill>
          </w14:textFill>
        </w:rPr>
        <w:t xml:space="preserve">.1中标候选人的选取原则和数量见招标文件第五章规定。 </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7</w:t>
      </w:r>
      <w:r>
        <w:rPr>
          <w:rFonts w:ascii="仿宋" w:hAnsi="仿宋" w:eastAsia="仿宋" w:cs="仿宋"/>
          <w:color w:val="000000" w:themeColor="text1"/>
          <w:sz w:val="28"/>
          <w14:textFill>
            <w14:solidFill>
              <w14:schemeClr w14:val="tx1"/>
            </w14:solidFill>
          </w14:textFill>
        </w:rPr>
        <w:t xml:space="preserve">.2 采购人应根据评委会推荐的中标候选人确定中标人。</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7</w:t>
      </w:r>
      <w:r>
        <w:rPr>
          <w:rFonts w:ascii="仿宋" w:hAnsi="仿宋" w:eastAsia="仿宋" w:cs="仿宋"/>
          <w:color w:val="000000" w:themeColor="text1"/>
          <w:sz w:val="28"/>
          <w14:textFill>
            <w14:solidFill>
              <w14:schemeClr w14:val="tx1"/>
            </w14:solidFill>
          </w14:textFill>
        </w:rPr>
        <w:t xml:space="preserve">.3 代理机构将在“江苏政府采购网”发布中标公告，公告期限为1个工作日。</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7</w:t>
      </w:r>
      <w:r>
        <w:rPr>
          <w:rFonts w:ascii="仿宋" w:hAnsi="仿宋" w:eastAsia="仿宋" w:cs="仿宋"/>
          <w:color w:val="000000" w:themeColor="text1"/>
          <w:sz w:val="28"/>
          <w14:textFill>
            <w14:solidFill>
              <w14:schemeClr w14:val="tx1"/>
            </w14:solidFill>
          </w14:textFill>
        </w:rPr>
        <w:t xml:space="preserve">.4 若有充分证据证明，中标人出现下列情况之一的，一经查实，将被取消中标资格：</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7</w:t>
      </w:r>
      <w:r>
        <w:rPr>
          <w:rFonts w:ascii="仿宋" w:hAnsi="仿宋" w:eastAsia="仿宋" w:cs="仿宋"/>
          <w:color w:val="000000" w:themeColor="text1"/>
          <w:sz w:val="28"/>
          <w14:textFill>
            <w14:solidFill>
              <w14:schemeClr w14:val="tx1"/>
            </w14:solidFill>
          </w14:textFill>
        </w:rPr>
        <w:t xml:space="preserve">.4.1提供虚假材料谋取中标的。</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7</w:t>
      </w:r>
      <w:r>
        <w:rPr>
          <w:rFonts w:ascii="仿宋" w:hAnsi="仿宋" w:eastAsia="仿宋" w:cs="仿宋"/>
          <w:color w:val="000000" w:themeColor="text1"/>
          <w:sz w:val="28"/>
          <w14:textFill>
            <w14:solidFill>
              <w14:schemeClr w14:val="tx1"/>
            </w14:solidFill>
          </w14:textFill>
        </w:rPr>
        <w:t xml:space="preserve">.4.2向采购人、代理机构行贿或者提供其他不正当利益的。</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7</w:t>
      </w:r>
      <w:r>
        <w:rPr>
          <w:rFonts w:ascii="仿宋" w:hAnsi="仿宋" w:eastAsia="仿宋" w:cs="仿宋"/>
          <w:color w:val="000000" w:themeColor="text1"/>
          <w:sz w:val="28"/>
          <w14:textFill>
            <w14:solidFill>
              <w14:schemeClr w14:val="tx1"/>
            </w14:solidFill>
          </w14:textFill>
        </w:rPr>
        <w:t xml:space="preserve">.4.3属于本文件规定的无效条件，但在评标过程中又未被评委会发现的。</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7</w:t>
      </w:r>
      <w:r>
        <w:rPr>
          <w:rFonts w:ascii="仿宋" w:hAnsi="仿宋" w:eastAsia="仿宋" w:cs="仿宋"/>
          <w:color w:val="000000" w:themeColor="text1"/>
          <w:sz w:val="28"/>
          <w14:textFill>
            <w14:solidFill>
              <w14:schemeClr w14:val="tx1"/>
            </w14:solidFill>
          </w14:textFill>
        </w:rPr>
        <w:t xml:space="preserve">.4.4与采购人或者其他供应商恶意串通的。</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7</w:t>
      </w:r>
      <w:r>
        <w:rPr>
          <w:rFonts w:ascii="仿宋" w:hAnsi="仿宋" w:eastAsia="仿宋" w:cs="仿宋"/>
          <w:color w:val="000000" w:themeColor="text1"/>
          <w:sz w:val="28"/>
          <w14:textFill>
            <w14:solidFill>
              <w14:schemeClr w14:val="tx1"/>
            </w14:solidFill>
          </w14:textFill>
        </w:rPr>
        <w:t xml:space="preserve">.4.5采取不正当手段诋毁、排挤其他供应商的。</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7</w:t>
      </w:r>
      <w:r>
        <w:rPr>
          <w:rFonts w:ascii="仿宋" w:hAnsi="仿宋" w:eastAsia="仿宋" w:cs="仿宋"/>
          <w:color w:val="000000" w:themeColor="text1"/>
          <w:sz w:val="28"/>
          <w14:textFill>
            <w14:solidFill>
              <w14:schemeClr w14:val="tx1"/>
            </w14:solidFill>
          </w14:textFill>
        </w:rPr>
        <w:t xml:space="preserve">.5. 有下列情形之一的，视为投标人串通投标，投标无效：</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7</w:t>
      </w:r>
      <w:r>
        <w:rPr>
          <w:rFonts w:ascii="仿宋" w:hAnsi="仿宋" w:eastAsia="仿宋" w:cs="仿宋"/>
          <w:color w:val="000000" w:themeColor="text1"/>
          <w:sz w:val="28"/>
          <w14:textFill>
            <w14:solidFill>
              <w14:schemeClr w14:val="tx1"/>
            </w14:solidFill>
          </w14:textFill>
        </w:rPr>
        <w:t xml:space="preserve">.5.1不同投标人的投标文件由同一单位或者个人编制；</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7</w:t>
      </w:r>
      <w:r>
        <w:rPr>
          <w:rFonts w:ascii="仿宋" w:hAnsi="仿宋" w:eastAsia="仿宋" w:cs="仿宋"/>
          <w:color w:val="000000" w:themeColor="text1"/>
          <w:sz w:val="28"/>
          <w14:textFill>
            <w14:solidFill>
              <w14:schemeClr w14:val="tx1"/>
            </w14:solidFill>
          </w14:textFill>
        </w:rPr>
        <w:t xml:space="preserve">.5.2不同投标人委托同一单位或者个人办理投标事宜；</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7</w:t>
      </w:r>
      <w:r>
        <w:rPr>
          <w:rFonts w:ascii="仿宋" w:hAnsi="仿宋" w:eastAsia="仿宋" w:cs="仿宋"/>
          <w:color w:val="000000" w:themeColor="text1"/>
          <w:sz w:val="28"/>
          <w14:textFill>
            <w14:solidFill>
              <w14:schemeClr w14:val="tx1"/>
            </w14:solidFill>
          </w14:textFill>
        </w:rPr>
        <w:t xml:space="preserve">.5.3 不同投标人的投标文件载明的项目管理成员或者联系人员为同一人；</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7</w:t>
      </w:r>
      <w:r>
        <w:rPr>
          <w:rFonts w:ascii="仿宋" w:hAnsi="仿宋" w:eastAsia="仿宋" w:cs="仿宋"/>
          <w:color w:val="000000" w:themeColor="text1"/>
          <w:sz w:val="28"/>
          <w14:textFill>
            <w14:solidFill>
              <w14:schemeClr w14:val="tx1"/>
            </w14:solidFill>
          </w14:textFill>
        </w:rPr>
        <w:t xml:space="preserve">.5.4不同投标人的投标文件异常一致或者投标报价呈规律性差异；</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8．</w:t>
      </w:r>
      <w:r>
        <w:rPr>
          <w:rFonts w:ascii="仿宋" w:hAnsi="仿宋" w:eastAsia="仿宋" w:cs="仿宋"/>
          <w:color w:val="000000" w:themeColor="text1"/>
          <w:sz w:val="28"/>
          <w14:textFill>
            <w14:solidFill>
              <w14:schemeClr w14:val="tx1"/>
            </w14:solidFill>
          </w14:textFill>
        </w:rPr>
        <w:t xml:space="preserve">质疑处理</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8</w:t>
      </w:r>
      <w:r>
        <w:rPr>
          <w:rFonts w:ascii="仿宋" w:hAnsi="仿宋" w:eastAsia="仿宋" w:cs="仿宋"/>
          <w:color w:val="000000" w:themeColor="text1"/>
          <w:sz w:val="28"/>
          <w14:textFill>
            <w14:solidFill>
              <w14:schemeClr w14:val="tx1"/>
            </w14:solidFill>
          </w14:textFill>
        </w:rPr>
        <w:t xml:space="preserve">.1 提出质疑的供应商应当是参与所质疑项目采购活动的供应商。潜在供应商依法获取其可质疑的采购文件的，可以对采购文件提出质疑。</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8</w:t>
      </w:r>
      <w:r>
        <w:rPr>
          <w:rFonts w:ascii="仿宋" w:hAnsi="仿宋" w:eastAsia="仿宋" w:cs="仿宋"/>
          <w:color w:val="000000" w:themeColor="text1"/>
          <w:sz w:val="28"/>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.2供应商认为采购文件、采购过程和采购结果使自己的权益受到损害的，可以在知道或应知其权益受到损害之日起七个工作日内，以书面形式根据下述2</w:t>
      </w:r>
      <w:r>
        <w:rPr>
          <w:rFonts w:hint="eastAsia" w:ascii="仿宋" w:hAnsi="仿宋" w:eastAsia="仿宋" w:cs="仿宋"/>
          <w:color w:val="000000" w:themeColor="text1"/>
          <w:sz w:val="28"/>
          <w14:textFill>
            <w14:solidFill>
              <w14:schemeClr w14:val="tx1"/>
            </w14:solidFill>
          </w14:textFill>
        </w:rPr>
        <w:t xml:space="preserve">8</w:t>
      </w:r>
      <w:r>
        <w:rPr>
          <w:rFonts w:ascii="仿宋" w:hAnsi="仿宋" w:eastAsia="仿宋" w:cs="仿宋"/>
          <w:color w:val="000000" w:themeColor="text1"/>
          <w:sz w:val="28"/>
          <w14:textFill>
            <w14:solidFill>
              <w14:schemeClr w14:val="tx1"/>
            </w14:solidFill>
          </w14:textFill>
        </w:rPr>
        <w:t xml:space="preserve">.4条款的规定向代理机构或采购人提出质疑。上述应知其权益受到损害之日，是指：</w:t>
      </w:r>
      <w:r/>
    </w:p>
    <w:p>
      <w:pPr>
        <w:spacing w:line="47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8</w:t>
      </w:r>
      <w:r>
        <w:rPr>
          <w:rFonts w:ascii="仿宋" w:hAnsi="仿宋" w:eastAsia="仿宋" w:cs="仿宋"/>
          <w:color w:val="000000" w:themeColor="text1"/>
          <w:sz w:val="28"/>
          <w14:textFill>
            <w14:solidFill>
              <w14:schemeClr w14:val="tx1"/>
            </w14:solidFill>
          </w14:textFill>
        </w:rPr>
        <w:t xml:space="preserve">.2.1对可以质疑的采购文件提出质疑的，为收到采购文件之日或者采购文件公告期限届满之日；</w:t>
      </w:r>
      <w:r>
        <w:rPr>
          <w:rFonts w:ascii="仿宋" w:hAnsi="仿宋" w:eastAsia="仿宋" w:cs="仿宋"/>
          <w:color w:val="000000" w:themeColor="text1"/>
          <w:sz w:val="28"/>
          <w14:textFill>
            <w14:solidFill>
              <w14:schemeClr w14:val="tx1"/>
            </w14:solidFill>
          </w14:textFill>
        </w:rPr>
        <w:br/>
      </w: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8</w:t>
      </w:r>
      <w:r>
        <w:rPr>
          <w:rFonts w:ascii="仿宋" w:hAnsi="仿宋" w:eastAsia="仿宋" w:cs="仿宋"/>
          <w:color w:val="000000" w:themeColor="text1"/>
          <w:sz w:val="28"/>
          <w14:textFill>
            <w14:solidFill>
              <w14:schemeClr w14:val="tx1"/>
            </w14:solidFill>
          </w14:textFill>
        </w:rPr>
        <w:t xml:space="preserve">.2.2对采购过程提出质疑的，为各采购程序环节结束之日；</w:t>
      </w:r>
      <w:r>
        <w:rPr>
          <w:rFonts w:ascii="仿宋" w:hAnsi="仿宋" w:eastAsia="仿宋" w:cs="仿宋"/>
          <w:color w:val="000000" w:themeColor="text1"/>
          <w:sz w:val="28"/>
          <w14:textFill>
            <w14:solidFill>
              <w14:schemeClr w14:val="tx1"/>
            </w14:solidFill>
          </w14:textFill>
        </w:rPr>
        <w:br/>
      </w: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8</w:t>
      </w:r>
      <w:r>
        <w:rPr>
          <w:rFonts w:ascii="仿宋" w:hAnsi="仿宋" w:eastAsia="仿宋" w:cs="仿宋"/>
          <w:color w:val="000000" w:themeColor="text1"/>
          <w:sz w:val="28"/>
          <w14:textFill>
            <w14:solidFill>
              <w14:schemeClr w14:val="tx1"/>
            </w14:solidFill>
          </w14:textFill>
        </w:rPr>
        <w:t xml:space="preserve">.2.3对中标或者成交结果提出质疑的，为中标或者成交结果公告期限届满之日。</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8</w:t>
      </w:r>
      <w:r>
        <w:rPr>
          <w:rFonts w:ascii="仿宋" w:hAnsi="仿宋" w:eastAsia="仿宋" w:cs="仿宋"/>
          <w:color w:val="000000" w:themeColor="text1"/>
          <w:sz w:val="28"/>
          <w14:textFill>
            <w14:solidFill>
              <w14:schemeClr w14:val="tx1"/>
            </w14:solidFill>
          </w14:textFill>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8</w:t>
      </w:r>
      <w:r>
        <w:rPr>
          <w:rFonts w:ascii="仿宋" w:hAnsi="仿宋" w:eastAsia="仿宋" w:cs="仿宋"/>
          <w:color w:val="000000" w:themeColor="text1"/>
          <w:sz w:val="28"/>
          <w14:textFill>
            <w14:solidFill>
              <w14:schemeClr w14:val="tx1"/>
            </w14:solidFill>
          </w14:textFill>
        </w:rPr>
        <w:t xml:space="preserve">.4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采购人及代理机构只接收以纸质原件形式送达的质疑,建议供应商尽量通过邮寄方式提交质疑（采购人和代理机构不接受无快递运单号的快递）。</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采购人质疑接收人及联系方式见招标文件第一章。</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8</w:t>
      </w:r>
      <w:r>
        <w:rPr>
          <w:rFonts w:ascii="仿宋" w:hAnsi="仿宋" w:eastAsia="仿宋" w:cs="仿宋"/>
          <w:color w:val="000000" w:themeColor="text1"/>
          <w:sz w:val="28"/>
          <w14:textFill>
            <w14:solidFill>
              <w14:schemeClr w14:val="tx1"/>
            </w14:solidFill>
          </w14:textFill>
        </w:rPr>
        <w:t xml:space="preserve">.5 以下情形的质疑不予受理</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8</w:t>
      </w:r>
      <w:r>
        <w:rPr>
          <w:rFonts w:ascii="仿宋" w:hAnsi="仿宋" w:eastAsia="仿宋" w:cs="仿宋"/>
          <w:color w:val="000000" w:themeColor="text1"/>
          <w:sz w:val="28"/>
          <w14:textFill>
            <w14:solidFill>
              <w14:schemeClr w14:val="tx1"/>
            </w14:solidFill>
          </w14:textFill>
        </w:rPr>
        <w:t xml:space="preserve">.5.1 内容不符合《政府采购质疑和投诉办法》第十二条规定的质疑。</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8</w:t>
      </w:r>
      <w:r>
        <w:rPr>
          <w:rFonts w:ascii="仿宋" w:hAnsi="仿宋" w:eastAsia="仿宋" w:cs="仿宋"/>
          <w:color w:val="000000" w:themeColor="text1"/>
          <w:sz w:val="28"/>
          <w14:textFill>
            <w14:solidFill>
              <w14:schemeClr w14:val="tx1"/>
            </w14:solidFill>
          </w14:textFill>
        </w:rPr>
        <w:t xml:space="preserve">.5.2 超出政府采购法定期限的质疑。</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8</w:t>
      </w:r>
      <w:r>
        <w:rPr>
          <w:rFonts w:ascii="仿宋" w:hAnsi="仿宋" w:eastAsia="仿宋" w:cs="仿宋"/>
          <w:color w:val="000000" w:themeColor="text1"/>
          <w:sz w:val="28"/>
          <w14:textFill>
            <w14:solidFill>
              <w14:schemeClr w14:val="tx1"/>
            </w14:solidFill>
          </w14:textFill>
        </w:rPr>
        <w:t xml:space="preserve">.5.3 以传真、电子邮件等方式递交的非原件形式的质疑。</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8</w:t>
      </w:r>
      <w:r>
        <w:rPr>
          <w:rFonts w:ascii="仿宋" w:hAnsi="仿宋" w:eastAsia="仿宋" w:cs="仿宋"/>
          <w:color w:val="000000" w:themeColor="text1"/>
          <w:sz w:val="28"/>
          <w14:textFill>
            <w14:solidFill>
              <w14:schemeClr w14:val="tx1"/>
            </w14:solidFill>
          </w14:textFill>
        </w:rPr>
        <w:t xml:space="preserve">.5.4 未参加投标活动的供应商或在投标活动中自身权益未受到损害的供应商所提出的质疑。</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8</w:t>
      </w:r>
      <w:r>
        <w:rPr>
          <w:rFonts w:ascii="仿宋" w:hAnsi="仿宋" w:eastAsia="仿宋" w:cs="仿宋"/>
          <w:color w:val="000000" w:themeColor="text1"/>
          <w:sz w:val="28"/>
          <w14:textFill>
            <w14:solidFill>
              <w14:schemeClr w14:val="tx1"/>
            </w14:solidFill>
          </w14:textFill>
        </w:rPr>
        <w:t xml:space="preserve">.5.5供应商组成联合体参加投标，联合体中任何一方或多方未按要求签字、盖章、加盖公章的质疑。</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rPr>
          <w:rFonts w:hint="eastAsia" w:ascii="仿宋" w:hAnsi="仿宋" w:eastAsia="仿宋" w:cs="仿宋"/>
          <w:color w:val="000000" w:themeColor="text1"/>
          <w:sz w:val="28"/>
          <w14:textFill>
            <w14:solidFill>
              <w14:schemeClr w14:val="tx1"/>
            </w14:solidFill>
          </w14:textFill>
        </w:rPr>
        <w:t xml:space="preserve">8</w:t>
      </w:r>
      <w:r>
        <w:rPr>
          <w:rFonts w:ascii="仿宋" w:hAnsi="仿宋" w:eastAsia="仿宋" w:cs="仿宋"/>
          <w:color w:val="000000" w:themeColor="text1"/>
          <w:sz w:val="28"/>
          <w14:textFill>
            <w14:solidFill>
              <w14:schemeClr w14:val="tx1"/>
            </w14:solidFill>
          </w14:textFill>
        </w:rPr>
        <w:t xml:space="preserve">.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29．</w:t>
      </w:r>
      <w:r>
        <w:rPr>
          <w:rFonts w:ascii="仿宋" w:hAnsi="仿宋" w:eastAsia="仿宋" w:cs="仿宋"/>
          <w:color w:val="000000" w:themeColor="text1"/>
          <w:sz w:val="28"/>
          <w14:textFill>
            <w14:solidFill>
              <w14:schemeClr w14:val="tx1"/>
            </w14:solidFill>
          </w14:textFill>
        </w:rPr>
        <w:t xml:space="preserve">中标通知书</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29</w:t>
      </w:r>
      <w:r>
        <w:rPr>
          <w:rFonts w:ascii="仿宋" w:hAnsi="仿宋" w:eastAsia="仿宋" w:cs="仿宋"/>
          <w:color w:val="000000" w:themeColor="text1"/>
          <w:sz w:val="28"/>
          <w14:textFill>
            <w14:solidFill>
              <w14:schemeClr w14:val="tx1"/>
            </w14:solidFill>
          </w14:textFill>
        </w:rPr>
        <w:t xml:space="preserve">.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29</w:t>
      </w:r>
      <w:r>
        <w:rPr>
          <w:rFonts w:ascii="仿宋" w:hAnsi="仿宋" w:eastAsia="仿宋" w:cs="仿宋"/>
          <w:color w:val="000000" w:themeColor="text1"/>
          <w:sz w:val="28"/>
          <w14:textFill>
            <w14:solidFill>
              <w14:schemeClr w14:val="tx1"/>
            </w14:solidFill>
          </w14:textFill>
        </w:rPr>
        <w:t xml:space="preserve">.2中标通知书将是合同的一个组成部分。对采购人和中标供应商均具有法律效力。中标通知书发出后，采购人改变中标结果的，或者中标供应商放弃中标项目的，应当依法承担法律责任。</w:t>
      </w:r>
      <w:r/>
    </w:p>
    <w:p>
      <w:pPr>
        <w:jc w:val="both"/>
        <w:spacing w:before="145" w:after="145"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七、授予合同</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3</w:t>
      </w:r>
      <w:r>
        <w:rPr>
          <w:rFonts w:hint="eastAsia" w:ascii="仿宋" w:hAnsi="仿宋" w:eastAsia="仿宋" w:cs="仿宋"/>
          <w:color w:val="000000" w:themeColor="text1"/>
          <w:sz w:val="28"/>
          <w14:textFill>
            <w14:solidFill>
              <w14:schemeClr w14:val="tx1"/>
            </w14:solidFill>
          </w14:textFill>
        </w:rPr>
        <w:t xml:space="preserve">0</w:t>
      </w:r>
      <w:r>
        <w:rPr>
          <w:rFonts w:ascii="仿宋" w:hAnsi="仿宋" w:eastAsia="仿宋" w:cs="仿宋"/>
          <w:color w:val="000000" w:themeColor="text1"/>
          <w:sz w:val="28"/>
          <w14:textFill>
            <w14:solidFill>
              <w14:schemeClr w14:val="tx1"/>
            </w14:solidFill>
          </w14:textFill>
        </w:rPr>
        <w:t xml:space="preserve">. 签订合同</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3</w:t>
      </w:r>
      <w:r>
        <w:rPr>
          <w:rFonts w:hint="eastAsia" w:ascii="仿宋" w:hAnsi="仿宋" w:eastAsia="仿宋" w:cs="仿宋"/>
          <w:color w:val="000000" w:themeColor="text1"/>
          <w:sz w:val="28"/>
          <w14:textFill>
            <w14:solidFill>
              <w14:schemeClr w14:val="tx1"/>
            </w14:solidFill>
          </w14:textFill>
        </w:rPr>
        <w:t xml:space="preserve">0</w:t>
      </w:r>
      <w:r>
        <w:rPr>
          <w:rFonts w:ascii="仿宋" w:hAnsi="仿宋" w:eastAsia="仿宋" w:cs="仿宋"/>
          <w:color w:val="000000" w:themeColor="text1"/>
          <w:sz w:val="28"/>
          <w14:textFill>
            <w14:solidFill>
              <w14:schemeClr w14:val="tx1"/>
            </w14:solidFill>
          </w14:textFill>
        </w:rPr>
        <w:t xml:space="preserve">.l中标人应当在中标通知书发出之日起三十日内，按照招标文件确定的事项与采购人签订政府采购合同。</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3</w:t>
      </w:r>
      <w:r>
        <w:rPr>
          <w:rFonts w:hint="eastAsia" w:ascii="仿宋" w:hAnsi="仿宋" w:eastAsia="仿宋" w:cs="仿宋"/>
          <w:color w:val="000000" w:themeColor="text1"/>
          <w:sz w:val="28"/>
          <w14:textFill>
            <w14:solidFill>
              <w14:schemeClr w14:val="tx1"/>
            </w14:solidFill>
          </w14:textFill>
        </w:rPr>
        <w:t xml:space="preserve">0</w:t>
      </w:r>
      <w:r>
        <w:rPr>
          <w:rFonts w:ascii="仿宋" w:hAnsi="仿宋" w:eastAsia="仿宋" w:cs="仿宋"/>
          <w:color w:val="000000" w:themeColor="text1"/>
          <w:sz w:val="28"/>
          <w14:textFill>
            <w14:solidFill>
              <w14:schemeClr w14:val="tx1"/>
            </w14:solidFill>
          </w14:textFill>
        </w:rPr>
        <w:t xml:space="preserve">.2招标文件、中标人的投标文件及招标过程中有关澄清、承诺文件均应作为合同附件。</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3</w:t>
      </w:r>
      <w:r>
        <w:rPr>
          <w:rFonts w:hint="eastAsia" w:ascii="仿宋" w:hAnsi="仿宋" w:eastAsia="仿宋" w:cs="仿宋"/>
          <w:color w:val="000000" w:themeColor="text1"/>
          <w:sz w:val="28"/>
          <w14:textFill>
            <w14:solidFill>
              <w14:schemeClr w14:val="tx1"/>
            </w14:solidFill>
          </w14:textFill>
        </w:rPr>
        <w:t xml:space="preserve">0</w:t>
      </w:r>
      <w:r>
        <w:rPr>
          <w:rFonts w:ascii="仿宋" w:hAnsi="仿宋" w:eastAsia="仿宋" w:cs="仿宋"/>
          <w:color w:val="000000" w:themeColor="text1"/>
          <w:sz w:val="28"/>
          <w14:textFill>
            <w14:solidFill>
              <w14:schemeClr w14:val="tx1"/>
            </w14:solidFill>
          </w14:textFill>
        </w:rPr>
        <w:t xml:space="preserve">.3 签订合同后，</w:t>
      </w:r>
      <w:r>
        <w:rPr>
          <w:rFonts w:ascii="仿宋" w:hAnsi="仿宋" w:eastAsia="仿宋" w:cs="仿宋"/>
          <w:color w:val="000000" w:themeColor="text1"/>
          <w:sz w:val="28"/>
          <w:u w:val="single"/>
          <w14:textFill>
            <w14:solidFill>
              <w14:schemeClr w14:val="tx1"/>
            </w14:solidFill>
          </w14:textFill>
        </w:rPr>
        <w:t xml:space="preserve">中标人不得将合同标的进行转包</w:t>
      </w:r>
      <w:r>
        <w:rPr>
          <w:rFonts w:ascii="仿宋" w:hAnsi="仿宋" w:eastAsia="仿宋" w:cs="仿宋"/>
          <w:color w:val="000000" w:themeColor="text1"/>
          <w:sz w:val="28"/>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3</w:t>
      </w:r>
      <w:r>
        <w:rPr>
          <w:rFonts w:hint="eastAsia" w:ascii="仿宋" w:hAnsi="仿宋" w:eastAsia="仿宋" w:cs="仿宋"/>
          <w:color w:val="000000" w:themeColor="text1"/>
          <w:sz w:val="28"/>
          <w14:textFill>
            <w14:solidFill>
              <w14:schemeClr w14:val="tx1"/>
            </w14:solidFill>
          </w14:textFill>
        </w:rPr>
        <w:t xml:space="preserve">1．</w:t>
      </w:r>
      <w:r>
        <w:rPr>
          <w:rFonts w:ascii="仿宋" w:hAnsi="仿宋" w:eastAsia="仿宋" w:cs="仿宋"/>
          <w:color w:val="000000" w:themeColor="text1"/>
          <w:sz w:val="28"/>
          <w14:textFill>
            <w14:solidFill>
              <w14:schemeClr w14:val="tx1"/>
            </w14:solidFill>
          </w14:textFill>
        </w:rPr>
        <w:t xml:space="preserve">货物（包含与货物相关的服务）的追加</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3</w:t>
      </w:r>
      <w:r>
        <w:rPr>
          <w:rFonts w:hint="eastAsia" w:ascii="仿宋" w:hAnsi="仿宋" w:eastAsia="仿宋" w:cs="仿宋"/>
          <w:color w:val="000000" w:themeColor="text1"/>
          <w:sz w:val="28"/>
          <w14:textFill>
            <w14:solidFill>
              <w14:schemeClr w14:val="tx1"/>
            </w14:solidFill>
          </w14:textFill>
        </w:rPr>
        <w:t xml:space="preserve">1</w:t>
      </w:r>
      <w:r>
        <w:rPr>
          <w:rFonts w:ascii="仿宋" w:hAnsi="仿宋" w:eastAsia="仿宋" w:cs="仿宋"/>
          <w:color w:val="000000" w:themeColor="text1"/>
          <w:sz w:val="28"/>
          <w14:textFill>
            <w14:solidFill>
              <w14:schemeClr w14:val="tx1"/>
            </w14:solidFill>
          </w14:textFill>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3</w:t>
      </w:r>
      <w:r>
        <w:rPr>
          <w:rFonts w:hint="eastAsia" w:ascii="仿宋" w:hAnsi="仿宋" w:eastAsia="仿宋" w:cs="仿宋"/>
          <w:color w:val="000000" w:themeColor="text1"/>
          <w:sz w:val="28"/>
          <w14:textFill>
            <w14:solidFill>
              <w14:schemeClr w14:val="tx1"/>
            </w14:solidFill>
          </w14:textFill>
        </w:rPr>
        <w:t xml:space="preserve">2．</w:t>
      </w:r>
      <w:r>
        <w:rPr>
          <w:rFonts w:ascii="仿宋" w:hAnsi="仿宋" w:eastAsia="仿宋" w:cs="仿宋"/>
          <w:color w:val="000000" w:themeColor="text1"/>
          <w:sz w:val="28"/>
          <w14:textFill>
            <w14:solidFill>
              <w14:schemeClr w14:val="tx1"/>
            </w14:solidFill>
          </w14:textFill>
        </w:rPr>
        <w:t xml:space="preserve">政府采购履约资金扶持政策</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jc w:val="both"/>
        <w:spacing w:line="49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r>
      <w:r/>
    </w:p>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br w:type="page" w:clear="all"/>
      </w:r>
      <w:r/>
    </w:p>
    <w:p>
      <w:pPr>
        <w:pStyle w:val="735"/>
        <w:jc w:val="center"/>
        <w:rPr>
          <w:rFonts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第三章  合同文本</w:t>
      </w:r>
      <w:r/>
    </w:p>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（以下为中标后签订本项目合同通用条款，中标人不应提出实质性的修改。本项目合同根据中标人投标文件响应情况签订具体服务内容）</w:t>
      </w:r>
      <w:r/>
    </w:p>
    <w:p>
      <w:pPr>
        <w:ind w:firstLine="803"/>
        <w:jc w:val="center"/>
        <w:spacing w:line="360" w:lineRule="auto"/>
        <w:rPr>
          <w:rStyle w:val="977"/>
          <w:rFonts w:ascii="宋体" w:hAnsi="宋体" w:eastAsia="宋体" w:cs="宋体"/>
          <w:color w:val="000000" w:themeColor="text1"/>
          <w:sz w:val="40"/>
          <w:szCs w:val="40"/>
          <w14:textFill>
            <w14:solidFill>
              <w14:schemeClr w14:val="tx1"/>
            </w14:solidFill>
          </w14:textFill>
        </w:rPr>
      </w:pPr>
      <w:r>
        <w:rPr>
          <w:rStyle w:val="977"/>
          <w:rFonts w:hint="eastAsia" w:ascii="宋体" w:hAnsi="宋体" w:eastAsia="宋体" w:cs="宋体"/>
          <w:color w:val="000000" w:themeColor="text1"/>
          <w:sz w:val="40"/>
          <w:szCs w:val="40"/>
          <w14:textFill>
            <w14:solidFill>
              <w14:schemeClr w14:val="tx1"/>
            </w14:solidFill>
          </w14:textFill>
        </w:rPr>
        <w:t xml:space="preserve">合同格式及条款</w:t>
      </w:r>
      <w:bookmarkStart w:id="2" w:name="EB92fb24a891e34ea29920d90c75406592"/>
      <w:r/>
      <w:bookmarkEnd w:id="2"/>
      <w:r/>
    </w:p>
    <w:tbl>
      <w:tblPr>
        <w:tblStyle w:val="745"/>
        <w:tblW w:w="0" w:type="auto"/>
        <w:jc w:val="center"/>
        <w:tblLayout w:type="fixed"/>
        <w:tblCellMar>
          <w:left w:w="108" w:type="dxa"/>
          <w:top w:w="0" w:type="dxa"/>
          <w:right w:w="108" w:type="dxa"/>
          <w:bottom w:w="0" w:type="dxa"/>
        </w:tblCellMar>
        <w:tblLook w:val="04A0" w:firstRow="1" w:lastRow="0" w:firstColumn="1" w:lastColumn="0" w:noHBand="0" w:noVBand="1"/>
      </w:tblPr>
      <w:tblGrid>
        <w:gridCol w:w="4452"/>
        <w:gridCol w:w="264"/>
        <w:gridCol w:w="4402"/>
      </w:tblGrid>
      <w:tr>
        <w:trPr>
          <w:cantSplit/>
          <w:jc w:val="center"/>
          <w:trHeight w:val="462"/>
        </w:trPr>
        <w:tc>
          <w:tcPr>
            <w:tcBorders>
              <w:top w:val="single" w:color="auto" w:sz="8" w:space="0"/>
              <w:left w:val="single" w:color="auto" w:sz="8" w:space="0"/>
              <w:bottom w:val="single" w:color="auto" w:sz="4" w:space="0"/>
              <w:right w:val="single" w:color="auto" w:sz="8" w:space="0"/>
            </w:tcBorders>
            <w:tcW w:w="4452" w:type="dxa"/>
            <w:vAlign w:val="center"/>
            <w:textDirection w:val="lrTb"/>
            <w:noWrap w:val="false"/>
          </w:tcPr>
          <w:p>
            <w:pPr>
              <w:ind w:left="-48" w:right="52"/>
              <w:spacing w:line="360" w:lineRule="atLeast"/>
              <w:tabs>
                <w:tab w:val="left" w:pos="4692"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甲方：南京医科大学第二附属医院</w:t>
            </w:r>
            <w:r/>
          </w:p>
        </w:tc>
        <w:tc>
          <w:tcPr>
            <w:tcBorders>
              <w:left w:val="none" w:color="000000" w:sz="4" w:space="0"/>
              <w:right w:val="single" w:color="auto" w:sz="8" w:space="0"/>
            </w:tcBorders>
            <w:tcW w:w="264" w:type="dxa"/>
            <w:vAlign w:val="center"/>
            <w:textDirection w:val="lrTb"/>
            <w:noWrap w:val="false"/>
          </w:tcPr>
          <w:p>
            <w:pPr>
              <w:ind w:left="-48" w:right="52"/>
              <w:spacing w:line="360" w:lineRule="atLeas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tcBorders>
              <w:top w:val="single" w:color="auto" w:sz="8" w:space="0"/>
              <w:left w:val="none" w:color="000000" w:sz="4" w:space="0"/>
              <w:bottom w:val="single" w:color="auto" w:sz="4" w:space="0"/>
              <w:right w:val="single" w:color="auto" w:sz="8" w:space="0"/>
            </w:tcBorders>
            <w:tcW w:w="4402" w:type="dxa"/>
            <w:vAlign w:val="center"/>
            <w:textDirection w:val="lrTb"/>
            <w:noWrap w:val="false"/>
          </w:tcPr>
          <w:p>
            <w:pPr>
              <w:ind w:left="-48" w:right="52"/>
              <w:spacing w:line="360" w:lineRule="atLeast"/>
              <w:tabs>
                <w:tab w:val="left" w:pos="4677"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签订时间：</w:t>
            </w:r>
            <w:r/>
          </w:p>
        </w:tc>
      </w:tr>
      <w:tr>
        <w:trPr>
          <w:cantSplit/>
          <w:jc w:val="center"/>
          <w:trHeight w:val="462"/>
        </w:trPr>
        <w:tc>
          <w:tcPr>
            <w:tcBorders>
              <w:top w:val="single" w:color="auto" w:sz="4" w:space="0"/>
              <w:left w:val="single" w:color="auto" w:sz="8" w:space="0"/>
              <w:bottom w:val="single" w:color="auto" w:sz="8" w:space="0"/>
              <w:right w:val="single" w:color="auto" w:sz="8" w:space="0"/>
            </w:tcBorders>
            <w:tcW w:w="4452" w:type="dxa"/>
            <w:vAlign w:val="center"/>
            <w:textDirection w:val="lrTb"/>
            <w:noWrap w:val="false"/>
          </w:tcPr>
          <w:p>
            <w:pPr>
              <w:ind w:left="-45" w:right="52"/>
              <w:spacing w:line="360" w:lineRule="atLeast"/>
              <w:tabs>
                <w:tab w:val="left" w:pos="4692"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 </w:t>
            </w:r>
            <w:r/>
          </w:p>
        </w:tc>
        <w:tc>
          <w:tcPr>
            <w:tcBorders>
              <w:left w:val="none" w:color="000000" w:sz="4" w:space="0"/>
              <w:right w:val="single" w:color="auto" w:sz="8" w:space="0"/>
            </w:tcBorders>
            <w:tcW w:w="264" w:type="dxa"/>
            <w:vAlign w:val="center"/>
            <w:textDirection w:val="lrTb"/>
            <w:noWrap w:val="false"/>
          </w:tcPr>
          <w:p>
            <w:pPr>
              <w:ind w:left="-48" w:right="52"/>
              <w:spacing w:line="360" w:lineRule="atLeast"/>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8" w:space="0"/>
              <w:right w:val="single" w:color="auto" w:sz="8" w:space="0"/>
            </w:tcBorders>
            <w:tcW w:w="4402" w:type="dxa"/>
            <w:vAlign w:val="center"/>
            <w:textDirection w:val="lrTb"/>
            <w:noWrap w:val="false"/>
          </w:tcPr>
          <w:p>
            <w:pPr>
              <w:ind w:left="-48" w:right="52"/>
              <w:spacing w:line="360" w:lineRule="atLeast"/>
              <w:tabs>
                <w:tab w:val="left" w:pos="4677"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合同编号：</w:t>
            </w:r>
            <w:r/>
          </w:p>
        </w:tc>
      </w:tr>
    </w:tbl>
    <w:p>
      <w:pPr>
        <w:spacing w:line="360" w:lineRule="auto"/>
        <w:rPr>
          <w:rFonts w:ascii="宋体" w:hAnsi="宋体" w:eastAsia="宋体" w:cs="宋体"/>
          <w:color w:val="000000" w:themeColor="text1"/>
          <w:sz w:val="24"/>
          <w:szCs w:val="24"/>
          <w:lang w:val="en-GB"/>
          <w14:textFill>
            <w14:solidFill>
              <w14:schemeClr w14:val="tx1"/>
            </w14:solidFill>
          </w14:textFill>
        </w:rPr>
      </w:pPr>
      <w:r>
        <w:rPr>
          <w:rFonts w:ascii="宋体" w:hAnsi="宋体" w:eastAsia="宋体" w:cs="宋体"/>
          <w:color w:val="000000" w:themeColor="text1"/>
          <w:sz w:val="24"/>
          <w:szCs w:val="24"/>
          <w:lang w:val="en-GB"/>
          <w14:textFill>
            <w14:solidFill>
              <w14:schemeClr w14:val="tx1"/>
            </w14:solidFill>
          </w14:textFill>
        </w:rPr>
      </w:r>
      <w:r/>
    </w:p>
    <w:p>
      <w:pPr>
        <w:ind w:firstLine="480"/>
        <w:spacing w:line="360" w:lineRule="auto"/>
        <w:rPr>
          <w:rFonts w:ascii="宋体" w:hAnsi="宋体" w:eastAsia="宋体" w:cs="宋体"/>
          <w:caps/>
          <w:color w:val="000000" w:themeColor="text1"/>
          <w:spacing w:val="-4"/>
          <w:sz w:val="24"/>
          <w:szCs w:val="24"/>
          <w14:textFill>
            <w14:solidFill>
              <w14:schemeClr w14:val="tx1"/>
            </w14:solidFill>
          </w14:textFill>
        </w:rPr>
      </w:pPr>
      <w:r>
        <w:rPr>
          <w:rFonts w:hint="eastAsia" w:ascii="宋体" w:hAnsi="宋体" w:eastAsia="宋体" w:cs="宋体"/>
          <w:color w:val="000000" w:themeColor="text1"/>
          <w:sz w:val="24"/>
          <w:szCs w:val="24"/>
          <w:lang w:val="en-GB"/>
          <w14:textFill>
            <w14:solidFill>
              <w14:schemeClr w14:val="tx1"/>
            </w14:solidFill>
          </w14:textFill>
        </w:rPr>
        <w:t xml:space="preserve">甲方以节能、提升</w:t>
      </w:r>
      <w:r>
        <w:rPr>
          <w:rFonts w:hint="eastAsia" w:ascii="宋体" w:hAnsi="宋体" w:eastAsia="宋体" w:cs="宋体"/>
          <w:color w:val="000000" w:themeColor="text1"/>
          <w:sz w:val="24"/>
          <w:szCs w:val="24"/>
          <w14:textFill>
            <w14:solidFill>
              <w14:schemeClr w14:val="tx1"/>
            </w14:solidFill>
          </w14:textFill>
        </w:rPr>
        <w:t xml:space="preserve">锅炉和</w:t>
      </w:r>
      <w:r>
        <w:rPr>
          <w:rFonts w:hint="eastAsia" w:ascii="宋体" w:hAnsi="宋体" w:eastAsia="宋体" w:cs="宋体"/>
          <w:color w:val="000000" w:themeColor="text1"/>
          <w:sz w:val="24"/>
          <w:szCs w:val="24"/>
          <w:lang w:val="en-GB"/>
          <w14:textFill>
            <w14:solidFill>
              <w14:schemeClr w14:val="tx1"/>
            </w14:solidFill>
          </w14:textFill>
        </w:rPr>
        <w:t xml:space="preserve">中央空调运营满意度为目的，委托乙方对甲方</w:t>
      </w:r>
      <w:r>
        <w:rPr>
          <w:rFonts w:hint="eastAsia" w:ascii="宋体" w:hAnsi="宋体" w:eastAsia="宋体" w:cs="宋体"/>
          <w:color w:val="000000" w:themeColor="text1"/>
          <w:sz w:val="24"/>
          <w:szCs w:val="24"/>
          <w14:textFill>
            <w14:solidFill>
              <w14:schemeClr w14:val="tx1"/>
            </w14:solidFill>
          </w14:textFill>
        </w:rPr>
        <w:t xml:space="preserve">迈皋桥院区/阅江楼院区</w:t>
      </w:r>
      <w:r>
        <w:rPr>
          <w:rFonts w:hint="eastAsia" w:ascii="宋体" w:hAnsi="宋体" w:eastAsia="宋体" w:cs="宋体"/>
          <w:color w:val="000000" w:themeColor="text1"/>
          <w:sz w:val="24"/>
          <w:szCs w:val="24"/>
          <w:lang w:val="en-GB"/>
          <w14:textFill>
            <w14:solidFill>
              <w14:schemeClr w14:val="tx1"/>
            </w14:solidFill>
          </w14:textFill>
        </w:rPr>
        <w:t xml:space="preserve">锅炉和中央空调设备等用能系统实施节能改造并提供能源托管服务。</w:t>
      </w:r>
      <w:r>
        <w:rPr>
          <w:rFonts w:hint="eastAsia" w:ascii="宋体" w:hAnsi="宋体" w:eastAsia="宋体" w:cs="宋体"/>
          <w:color w:val="000000" w:themeColor="text1"/>
          <w:sz w:val="24"/>
          <w:szCs w:val="24"/>
          <w14:textFill>
            <w14:solidFill>
              <w14:schemeClr w14:val="tx1"/>
            </w14:solidFill>
          </w14:textFill>
        </w:rPr>
        <w:t xml:space="preserve">主要条款如下</w:t>
      </w:r>
      <w:r>
        <w:rPr>
          <w:rFonts w:hint="eastAsia" w:ascii="宋体" w:hAnsi="宋体" w:eastAsia="宋体" w:cs="宋体"/>
          <w:caps/>
          <w:color w:val="000000" w:themeColor="text1"/>
          <w:sz w:val="24"/>
          <w:szCs w:val="24"/>
          <w:lang w:val="en-GB"/>
          <w14:textFill>
            <w14:solidFill>
              <w14:schemeClr w14:val="tx1"/>
            </w14:solidFill>
          </w14:textFill>
        </w:rPr>
        <w:t xml:space="preserve">：</w:t>
      </w:r>
      <w:r/>
    </w:p>
    <w:p>
      <w:pPr>
        <w:rPr>
          <w:rFonts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一、项目概况</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1.地址：品目01 迈皋桥院区，南京市栖霞区和燕路 290 号/品目02 阅江楼院区，鼓楼区建宁路 200 号。</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2.建筑功能：</w:t>
      </w:r>
      <w:bookmarkStart w:id="3" w:name="_Hlk4763584"/>
      <w:r>
        <w:rPr>
          <w:rFonts w:hint="eastAsia" w:ascii="宋体" w:hAnsi="宋体" w:eastAsia="宋体" w:cs="宋体"/>
          <w:color w:val="000000" w:themeColor="text1"/>
          <w:sz w:val="24"/>
          <w:szCs w:val="24"/>
          <w:u w:val="single"/>
          <w14:textFill>
            <w14:solidFill>
              <w14:schemeClr w14:val="tx1"/>
            </w14:solidFill>
          </w14:textFill>
        </w:rPr>
        <w:t xml:space="preserve">医院</w:t>
      </w:r>
      <w:bookmarkEnd w:id="3"/>
      <w:r>
        <w:rPr>
          <w:rFonts w:hint="eastAsia" w:ascii="宋体" w:hAnsi="宋体" w:eastAsia="宋体" w:cs="宋体"/>
          <w:color w:val="000000" w:themeColor="text1"/>
          <w:sz w:val="24"/>
          <w:szCs w:val="24"/>
          <w14:textFill>
            <w14:solidFill>
              <w14:schemeClr w14:val="tx1"/>
            </w14:solidFill>
          </w14:textFill>
        </w:rPr>
        <w:t xml:space="preserve">；建筑面积：品目01 </w:t>
      </w:r>
      <w:r>
        <w:rPr>
          <w:rFonts w:hint="eastAsia" w:ascii="宋体" w:hAnsi="宋体" w:eastAsia="宋体" w:cs="宋体"/>
          <w:bCs/>
          <w:color w:val="000000" w:themeColor="text1"/>
          <w:sz w:val="24"/>
          <w:szCs w:val="24"/>
          <w14:textFill>
            <w14:solidFill>
              <w14:schemeClr w14:val="tx1"/>
            </w14:solidFill>
          </w14:textFill>
        </w:rPr>
        <w:t xml:space="preserve">迈皋桥院区</w:t>
      </w:r>
      <w:r>
        <w:rPr>
          <w:rFonts w:hint="eastAsia" w:ascii="宋体" w:hAnsi="宋体" w:eastAsia="宋体" w:cs="宋体"/>
          <w:color w:val="000000" w:themeColor="text1"/>
          <w:sz w:val="24"/>
          <w:szCs w:val="24"/>
          <w:u w:val="single"/>
          <w14:textFill>
            <w14:solidFill>
              <w14:schemeClr w14:val="tx1"/>
            </w14:solidFill>
          </w14:textFill>
        </w:rPr>
        <w:t xml:space="preserve">70415.62</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m</w:t>
      </w:r>
      <w:r>
        <w:rPr>
          <w:rFonts w:hint="eastAsia" w:ascii="宋体" w:hAnsi="宋体" w:eastAsia="宋体" w:cs="宋体"/>
          <w:color w:val="000000" w:themeColor="text1"/>
          <w:sz w:val="24"/>
          <w:szCs w:val="24"/>
          <w:vertAlign w:val="superscript"/>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/品目02</w:t>
      </w:r>
      <w:r>
        <w:rPr>
          <w:rFonts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阅江楼院区</w:t>
      </w:r>
      <w:r>
        <w:rPr>
          <w:rFonts w:hint="eastAsia" w:ascii="宋体" w:hAnsi="宋体" w:eastAsia="宋体" w:cs="宋体"/>
          <w:color w:val="000000" w:themeColor="text1"/>
          <w:sz w:val="24"/>
          <w:szCs w:val="24"/>
          <w:u w:val="single"/>
          <w14:textFill>
            <w14:solidFill>
              <w14:schemeClr w14:val="tx1"/>
            </w14:solidFill>
          </w14:textFill>
        </w:rPr>
        <w:t xml:space="preserve">11000㎡（</w:t>
      </w:r>
      <w:r>
        <w:rPr>
          <w:rFonts w:hint="eastAsia" w:ascii="宋体" w:hAnsi="宋体" w:eastAsia="宋体" w:cs="宋体"/>
          <w:color w:val="000000" w:themeColor="text1"/>
          <w:sz w:val="24"/>
          <w:szCs w:val="24"/>
          <w14:textFill>
            <w14:solidFill>
              <w14:schemeClr w14:val="tx1"/>
            </w14:solidFill>
          </w14:textFill>
        </w:rPr>
        <w:t xml:space="preserve">本合同服务面积）。</w:t>
      </w:r>
      <w:r/>
    </w:p>
    <w:p>
      <w:pPr>
        <w:pStyle w:val="766"/>
        <w:spacing w:after="0" w:line="360" w:lineRule="auto"/>
        <w:widowControl w:val="off"/>
        <w:rPr>
          <w:rFonts w:ascii="宋体" w:hAnsi="宋体" w:eastAsia="宋体" w:cs="宋体"/>
          <w:color w:val="000000" w:themeColor="text1"/>
          <w:sz w:val="24"/>
          <w:szCs w:val="24"/>
          <w:shd w:val="clear" w:color="auto" w:fill="ffffff"/>
          <w14:textFill>
            <w14:solidFill>
              <w14:schemeClr w14:val="tx1"/>
            </w14:solidFill>
          </w14:textFill>
        </w:rPr>
      </w:pPr>
      <w:r/>
      <w:bookmarkStart w:id="4" w:name="_Hlk4763697"/>
      <w:r>
        <w:rPr>
          <w:rFonts w:hint="eastAsia" w:ascii="宋体" w:hAnsi="宋体" w:eastAsia="宋体" w:cs="宋体"/>
          <w:color w:val="000000" w:themeColor="text1"/>
          <w:sz w:val="24"/>
          <w:szCs w:val="24"/>
          <w14:textFill>
            <w14:solidFill>
              <w14:schemeClr w14:val="tx1"/>
            </w14:solidFill>
          </w14:textFill>
        </w:rPr>
        <w:t xml:space="preserve">3.能源单价：</w:t>
      </w:r>
      <w:bookmarkStart w:id="5" w:name="_Hlk4600945"/>
      <w:r>
        <w:rPr>
          <w:rFonts w:hint="eastAsia" w:ascii="宋体" w:hAnsi="宋体" w:eastAsia="宋体" w:cs="宋体"/>
          <w:color w:val="000000" w:themeColor="text1"/>
          <w:sz w:val="24"/>
          <w:szCs w:val="24"/>
          <w14:textFill>
            <w14:solidFill>
              <w14:schemeClr w14:val="tx1"/>
            </w14:solidFill>
          </w14:textFill>
        </w:rPr>
        <w:t xml:space="preserve">品目01 迈皋桥院区，平均</w:t>
      </w:r>
      <w:bookmarkStart w:id="6" w:name="_Hlk4600924"/>
      <w:r>
        <w:rPr>
          <w:rFonts w:hint="eastAsia" w:ascii="宋体" w:hAnsi="宋体" w:eastAsia="宋体" w:cs="宋体"/>
          <w:color w:val="000000" w:themeColor="text1"/>
          <w:sz w:val="24"/>
          <w:szCs w:val="24"/>
          <w14:textFill>
            <w14:solidFill>
              <w14:schemeClr w14:val="tx1"/>
            </w14:solidFill>
          </w14:textFill>
        </w:rPr>
        <w:t xml:space="preserve">电价</w:t>
      </w:r>
      <w:bookmarkEnd w:id="6"/>
      <w:r>
        <w:rPr>
          <w:rFonts w:ascii="宋体" w:hAnsi="宋体" w:eastAsia="宋体" w:cs="宋体"/>
          <w:color w:val="000000" w:themeColor="text1"/>
          <w:sz w:val="24"/>
          <w:szCs w:val="24"/>
          <w:u w:val="single"/>
          <w14:textFill>
            <w14:solidFill>
              <w14:schemeClr w14:val="tx1"/>
            </w14:solidFill>
          </w14:textFill>
        </w:rPr>
        <w:t xml:space="preserve">0.7306</w:t>
      </w:r>
      <w:r>
        <w:rPr>
          <w:rFonts w:hint="eastAsia" w:ascii="宋体" w:hAnsi="宋体" w:eastAsia="宋体" w:cs="宋体"/>
          <w:color w:val="000000" w:themeColor="text1"/>
          <w:sz w:val="24"/>
          <w:szCs w:val="24"/>
          <w:u w:val="single"/>
          <w14:textFill>
            <w14:solidFill>
              <w14:schemeClr w14:val="tx1"/>
            </w14:solidFill>
          </w14:textFill>
        </w:rPr>
        <w:t xml:space="preserve">元</w:t>
      </w:r>
      <w:r>
        <w:rPr>
          <w:rFonts w:ascii="宋体" w:hAnsi="宋体" w:eastAsia="宋体" w:cs="宋体"/>
          <w:color w:val="000000" w:themeColor="text1"/>
          <w:sz w:val="24"/>
          <w:szCs w:val="24"/>
          <w:u w:val="single"/>
          <w14:textFill>
            <w14:solidFill>
              <w14:schemeClr w14:val="tx1"/>
            </w14:solidFill>
          </w14:textFill>
        </w:rPr>
        <w:t xml:space="preserve">/kWh</w:t>
      </w:r>
      <w:r>
        <w:rPr>
          <w:rFonts w:hint="eastAsia" w:ascii="宋体" w:hAnsi="宋体" w:eastAsia="宋体" w:cs="宋体"/>
          <w:color w:val="000000" w:themeColor="text1"/>
          <w:sz w:val="24"/>
          <w:szCs w:val="24"/>
          <w14:textFill>
            <w14:solidFill>
              <w14:schemeClr w14:val="tx1"/>
            </w14:solidFill>
          </w14:textFill>
        </w:rPr>
        <w:t xml:space="preserve">；平均天然气价</w:t>
      </w:r>
      <w:r>
        <w:rPr>
          <w:rFonts w:ascii="宋体" w:hAnsi="宋体" w:eastAsia="宋体" w:cs="宋体"/>
          <w:color w:val="000000" w:themeColor="text1"/>
          <w:sz w:val="24"/>
          <w:szCs w:val="24"/>
          <w:u w:val="single"/>
          <w:shd w:val="clear" w:color="auto" w:fill="ffffff"/>
          <w14:textFill>
            <w14:solidFill>
              <w14:schemeClr w14:val="tx1"/>
            </w14:solidFill>
          </w14:textFill>
        </w:rPr>
        <w:t xml:space="preserve">4.8453</w:t>
      </w:r>
      <w:r>
        <w:rPr>
          <w:rFonts w:hint="eastAsia" w:ascii="宋体" w:hAnsi="宋体" w:eastAsia="宋体" w:cs="宋体"/>
          <w:color w:val="000000" w:themeColor="text1"/>
          <w:sz w:val="24"/>
          <w:szCs w:val="24"/>
          <w:u w:val="single"/>
          <w14:textFill>
            <w14:solidFill>
              <w14:schemeClr w14:val="tx1"/>
            </w14:solidFill>
          </w14:textFill>
        </w:rPr>
        <w:t xml:space="preserve">元</w:t>
      </w:r>
      <w:r>
        <w:rPr>
          <w:rFonts w:ascii="宋体" w:hAnsi="宋体" w:eastAsia="宋体" w:cs="宋体"/>
          <w:color w:val="000000" w:themeColor="text1"/>
          <w:sz w:val="24"/>
          <w:szCs w:val="24"/>
          <w:u w:val="single"/>
          <w14:textFill>
            <w14:solidFill>
              <w14:schemeClr w14:val="tx1"/>
            </w14:solidFill>
          </w14:textFill>
        </w:rPr>
        <w:t xml:space="preserve">/m³</w:t>
      </w:r>
      <w:r>
        <w:rPr>
          <w:rFonts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品目02 阅江楼院区，平均电价</w:t>
      </w:r>
      <w:r>
        <w:rPr>
          <w:rFonts w:ascii="宋体" w:hAnsi="宋体" w:eastAsia="宋体" w:cs="宋体"/>
          <w:color w:val="000000" w:themeColor="text1"/>
          <w:sz w:val="24"/>
          <w:szCs w:val="24"/>
          <w:u w:val="single"/>
          <w:shd w:val="clear" w:color="auto" w:fill="ffffff"/>
          <w14:textFill>
            <w14:solidFill>
              <w14:schemeClr w14:val="tx1"/>
            </w14:solidFill>
          </w14:textFill>
        </w:rPr>
        <w:t xml:space="preserve">0.7263</w:t>
      </w:r>
      <w:r>
        <w:rPr>
          <w:rFonts w:hint="eastAsia" w:ascii="宋体" w:hAnsi="宋体" w:eastAsia="宋体" w:cs="宋体"/>
          <w:color w:val="000000" w:themeColor="text1"/>
          <w:sz w:val="24"/>
          <w:szCs w:val="24"/>
          <w:u w:val="single"/>
          <w14:textFill>
            <w14:solidFill>
              <w14:schemeClr w14:val="tx1"/>
            </w14:solidFill>
          </w14:textFill>
        </w:rPr>
        <w:t xml:space="preserve">元</w:t>
      </w:r>
      <w:r>
        <w:rPr>
          <w:rFonts w:ascii="宋体" w:hAnsi="宋体" w:eastAsia="宋体" w:cs="宋体"/>
          <w:color w:val="000000" w:themeColor="text1"/>
          <w:sz w:val="24"/>
          <w:szCs w:val="24"/>
          <w:u w:val="single"/>
          <w14:textFill>
            <w14:solidFill>
              <w14:schemeClr w14:val="tx1"/>
            </w14:solidFill>
          </w14:textFill>
        </w:rPr>
        <w:t xml:space="preserve">/kWh</w:t>
      </w:r>
      <w:r>
        <w:rPr>
          <w:rFonts w:hint="eastAsia" w:ascii="宋体" w:hAnsi="宋体" w:eastAsia="宋体" w:cs="宋体"/>
          <w:color w:val="000000" w:themeColor="text1"/>
          <w:sz w:val="24"/>
          <w:szCs w:val="24"/>
          <w14:textFill>
            <w14:solidFill>
              <w14:schemeClr w14:val="tx1"/>
            </w14:solidFill>
          </w14:textFill>
        </w:rPr>
        <w:t xml:space="preserve">；能源单价变化率以此为基准计算。</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4.项目运营期间如有政策性价格优惠，则由甲方得利。</w:t>
      </w:r>
      <w:bookmarkEnd w:id="4"/>
      <w:bookmarkEnd w:id="5"/>
      <w:r/>
    </w:p>
    <w:p>
      <w:pPr>
        <w:rPr>
          <w:rFonts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二、合同能源管理服务</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1.服务内容</w:t>
      </w:r>
      <w:r/>
    </w:p>
    <w:p>
      <w:pPr>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品目01 迈皋桥院区（全院能源总包模式）</w:t>
      </w:r>
      <w:r/>
    </w:p>
    <w:tbl>
      <w:tblPr>
        <w:tblStyle w:val="745"/>
        <w:tblW w:w="95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2142"/>
        <w:gridCol w:w="6496"/>
      </w:tblGrid>
      <w:tr>
        <w:trPr>
          <w:jc w:val="center"/>
          <w:trHeight w:val="685"/>
        </w:trPr>
        <w:tc>
          <w:tcPr>
            <w:shd w:val="clear" w:color="auto" w:fill="auto"/>
            <w:tcW w:w="93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序号</w:t>
            </w:r>
            <w:r/>
          </w:p>
        </w:tc>
        <w:tc>
          <w:tcPr>
            <w:shd w:val="clear" w:color="auto" w:fill="auto"/>
            <w:tcW w:w="2142"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服务内容</w:t>
            </w:r>
            <w:r/>
          </w:p>
        </w:tc>
        <w:tc>
          <w:tcPr>
            <w:shd w:val="clear" w:color="auto" w:fill="auto"/>
            <w:tcW w:w="649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明细</w:t>
            </w:r>
            <w:r/>
          </w:p>
        </w:tc>
      </w:tr>
      <w:tr>
        <w:trPr>
          <w:jc w:val="center"/>
          <w:trHeight w:val="807"/>
        </w:trPr>
        <w:tc>
          <w:tcPr>
            <w:tcW w:w="93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2142"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空调运维人员</w:t>
            </w:r>
            <w:r/>
          </w:p>
        </w:tc>
        <w:tc>
          <w:tcPr>
            <w:tcW w:w="6496" w:type="dxa"/>
            <w:vAlign w:val="center"/>
            <w:textDirection w:val="lrTb"/>
            <w:noWrap/>
          </w:tcPr>
          <w:p>
            <w:pPr>
              <w:rPr>
                <w:rFonts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白班不少于2人，晚班不少于1人</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，具备相关上岗证书和资格要求，按照院区运行的要求，严格执行24小时值班制。</w:t>
            </w:r>
            <w:r/>
          </w:p>
        </w:tc>
      </w:tr>
      <w:tr>
        <w:trPr>
          <w:jc w:val="center"/>
          <w:trHeight w:val="1199"/>
        </w:trPr>
        <w:tc>
          <w:tcPr>
            <w:tcW w:w="93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W w:w="2142"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日常操作</w:t>
            </w:r>
            <w:r/>
          </w:p>
        </w:tc>
        <w:tc>
          <w:tcPr>
            <w:tcW w:w="6496" w:type="dxa"/>
            <w:vAlign w:val="center"/>
            <w:textDirection w:val="lrTb"/>
            <w:noWrap/>
          </w:tcPr>
          <w:p>
            <w:pPr>
              <w:rPr>
                <w:rFonts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1.制冷、采暖、生活热水供应，磁悬浮主机、离心机、冷温水泵、冷却泵、热水循环泵、生活热水泵、冷却塔、燃气锅炉、板换、热水换热罐、太阳能系统、新风系统的操作和管理，具备智能化功能，可对相关数据进行实时分析、反馈。</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2.上述系统故障的应急抢修。</w:t>
            </w:r>
            <w:r/>
          </w:p>
        </w:tc>
      </w:tr>
      <w:tr>
        <w:trPr>
          <w:jc w:val="center"/>
          <w:trHeight w:val="503"/>
        </w:trPr>
        <w:tc>
          <w:tcPr>
            <w:tcW w:w="93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W w:w="2142"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系统维保</w:t>
            </w:r>
            <w:r/>
          </w:p>
        </w:tc>
        <w:tc>
          <w:tcPr>
            <w:tcW w:w="649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磁悬浮主机、离心机、燃气锅炉、卫热换热罐、冷温水泵、冷却泵、热水循环泵、生活热水泵、板换、分集水器、冷却塔、中央空调和卫热系统阀门、太阳能热水系统及新风系统</w:t>
            </w:r>
            <w:r/>
          </w:p>
        </w:tc>
      </w:tr>
      <w:tr>
        <w:trPr>
          <w:jc w:val="center"/>
          <w:trHeight w:val="1236"/>
        </w:trPr>
        <w:tc>
          <w:tcPr>
            <w:tcW w:w="93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W w:w="2142"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系统维修</w:t>
            </w:r>
            <w:r/>
          </w:p>
        </w:tc>
        <w:tc>
          <w:tcPr>
            <w:tcW w:w="649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维修服务范围：涉及燃气锅炉、中央空调、生活热水系统、太阳能系统、新风系统的维修，500元以内的部件由乙方承担。</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因乙方人为原因造成的燃气锅炉、中央空调、生活热水系统、太阳能系统、新风系统设备发生的故障和损坏，由乙方负责修复。</w:t>
            </w:r>
            <w:r/>
          </w:p>
        </w:tc>
      </w:tr>
      <w:tr>
        <w:trPr>
          <w:jc w:val="center"/>
          <w:trHeight w:val="90"/>
        </w:trPr>
        <w:tc>
          <w:tcPr>
            <w:tcW w:w="93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W w:w="2142"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水质管理</w:t>
            </w:r>
            <w:r/>
          </w:p>
        </w:tc>
        <w:tc>
          <w:tcPr>
            <w:tcW w:w="649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中央空调冷却水、冷温水的水质处理</w:t>
            </w:r>
            <w:r/>
          </w:p>
        </w:tc>
      </w:tr>
      <w:tr>
        <w:trPr>
          <w:jc w:val="center"/>
          <w:trHeight w:val="859"/>
        </w:trPr>
        <w:tc>
          <w:tcPr>
            <w:tcW w:w="93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tcW w:w="2142" w:type="dxa"/>
            <w:vAlign w:val="center"/>
            <w:textDirection w:val="lrTb"/>
            <w:noWrap/>
          </w:tcPr>
          <w:p>
            <w:pPr>
              <w:rPr>
                <w:rFonts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末端效果保障</w:t>
            </w:r>
            <w:r/>
          </w:p>
        </w:tc>
        <w:tc>
          <w:tcPr>
            <w:tcW w:w="6496" w:type="dxa"/>
            <w:vAlign w:val="center"/>
            <w:textDirection w:val="lrTb"/>
            <w:noWrap/>
          </w:tcPr>
          <w:p>
            <w:pPr>
              <w:rPr>
                <w:rFonts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中央空调末端（不含手术室、净化区域末端）维护保养，包括末端风机盘管、风柜的定期清洗和日常维护、维修</w:t>
            </w:r>
            <w:r/>
          </w:p>
        </w:tc>
      </w:tr>
      <w:tr>
        <w:trPr>
          <w:jc w:val="center"/>
          <w:trHeight w:val="807"/>
        </w:trPr>
        <w:tc>
          <w:tcPr>
            <w:tcW w:w="93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tcW w:w="2142"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特种设备及安全附件管理</w:t>
            </w:r>
            <w:r/>
          </w:p>
        </w:tc>
        <w:tc>
          <w:tcPr>
            <w:tcW w:w="649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蒸发器、冷凝器等压力容器及压力表、安全阀等安全附件的定期检验。锅炉年检（如需）</w:t>
            </w:r>
            <w:r/>
          </w:p>
        </w:tc>
      </w:tr>
      <w:tr>
        <w:trPr>
          <w:jc w:val="center"/>
          <w:trHeight w:val="519"/>
        </w:trPr>
        <w:tc>
          <w:tcPr>
            <w:tcW w:w="93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w:t>
            </w:r>
            <w:r/>
          </w:p>
        </w:tc>
        <w:tc>
          <w:tcPr>
            <w:tcW w:w="2142"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满意度调查</w:t>
            </w:r>
            <w:r/>
          </w:p>
        </w:tc>
        <w:tc>
          <w:tcPr>
            <w:tcW w:w="6496" w:type="dxa"/>
            <w:vAlign w:val="center"/>
            <w:textDirection w:val="lrTb"/>
            <w:noWrap/>
          </w:tcPr>
          <w:p>
            <w:pPr>
              <w:rPr>
                <w:rFonts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每月提供满意度调查表，满足甲方日常管理要求</w:t>
            </w:r>
            <w:r/>
          </w:p>
        </w:tc>
      </w:tr>
      <w:tr>
        <w:trPr>
          <w:jc w:val="center"/>
          <w:trHeight w:val="610"/>
        </w:trPr>
        <w:tc>
          <w:tcPr>
            <w:tcW w:w="93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w:t>
            </w:r>
            <w:r/>
          </w:p>
        </w:tc>
        <w:tc>
          <w:tcPr>
            <w:tcW w:w="2142"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支付电、燃气费用</w:t>
            </w:r>
            <w:r/>
          </w:p>
        </w:tc>
        <w:tc>
          <w:tcPr>
            <w:tcW w:w="649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承担全院电费、锅炉房天然气（天然气不含食堂）能源费用。 </w:t>
            </w:r>
            <w:r/>
          </w:p>
        </w:tc>
      </w:tr>
    </w:tbl>
    <w:p>
      <w:pPr>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品目02 阅江楼院区（中央空调及生活热水能源总包模式）</w:t>
      </w:r>
      <w:r/>
    </w:p>
    <w:tbl>
      <w:tblPr>
        <w:tblStyle w:val="745"/>
        <w:tblW w:w="95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2142"/>
        <w:gridCol w:w="6496"/>
      </w:tblGrid>
      <w:tr>
        <w:trPr>
          <w:jc w:val="center"/>
          <w:trHeight w:val="685"/>
        </w:trPr>
        <w:tc>
          <w:tcPr>
            <w:shd w:val="clear" w:color="auto" w:fill="auto"/>
            <w:tcW w:w="93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序号</w:t>
            </w:r>
            <w:r/>
          </w:p>
        </w:tc>
        <w:tc>
          <w:tcPr>
            <w:shd w:val="clear" w:color="auto" w:fill="auto"/>
            <w:tcW w:w="2142"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服务内容</w:t>
            </w:r>
            <w:r/>
          </w:p>
        </w:tc>
        <w:tc>
          <w:tcPr>
            <w:shd w:val="clear" w:color="auto" w:fill="auto"/>
            <w:tcW w:w="649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明细</w:t>
            </w:r>
            <w:r/>
          </w:p>
        </w:tc>
      </w:tr>
      <w:tr>
        <w:trPr>
          <w:jc w:val="center"/>
          <w:trHeight w:val="807"/>
        </w:trPr>
        <w:tc>
          <w:tcPr>
            <w:tcW w:w="93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2142"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运维人员</w:t>
            </w:r>
            <w:r/>
          </w:p>
        </w:tc>
        <w:tc>
          <w:tcPr>
            <w:tcW w:w="6496" w:type="dxa"/>
            <w:vAlign w:val="center"/>
            <w:textDirection w:val="lrTb"/>
            <w:noWrap/>
          </w:tcPr>
          <w:p>
            <w:pPr>
              <w:rPr>
                <w:rFonts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白班不少于2人，晚班不少于2人</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，具备相关上岗证书和资格要求，按照院区运行的要求，严格执行24小时值班制</w:t>
            </w:r>
            <w:r/>
          </w:p>
        </w:tc>
      </w:tr>
      <w:tr>
        <w:trPr>
          <w:jc w:val="center"/>
          <w:trHeight w:val="1016"/>
        </w:trPr>
        <w:tc>
          <w:tcPr>
            <w:tcW w:w="93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W w:w="2142"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日常操作</w:t>
            </w:r>
            <w:r/>
          </w:p>
        </w:tc>
        <w:tc>
          <w:tcPr>
            <w:tcW w:w="649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制冷、采暖、生活热水系统操作及供应，</w:t>
            </w:r>
            <w:r>
              <w:rPr>
                <w:rFonts w:hint="eastAsia" w:ascii="宋体" w:hAnsi="宋体" w:eastAsia="宋体" w:cs="宋体"/>
                <w:color w:val="000000" w:themeColor="text1"/>
                <w:sz w:val="24"/>
                <w:szCs w:val="24"/>
                <w14:textFill>
                  <w14:solidFill>
                    <w14:schemeClr w14:val="tx1"/>
                  </w14:solidFill>
                </w14:textFill>
              </w:rPr>
              <w:t xml:space="preserve">配电房及其附属设施的操作与日常保养、故障应对，</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具备智能化功能，可对相关数据进行实时分析、反馈</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2.上述系统故障的应急抢修</w:t>
            </w:r>
            <w:r/>
          </w:p>
        </w:tc>
      </w:tr>
      <w:tr>
        <w:trPr>
          <w:jc w:val="center"/>
          <w:trHeight w:val="503"/>
        </w:trPr>
        <w:tc>
          <w:tcPr>
            <w:tcW w:w="93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W w:w="2142"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系统维保</w:t>
            </w:r>
            <w:r/>
          </w:p>
        </w:tc>
        <w:tc>
          <w:tcPr>
            <w:tcW w:w="649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制冷、采暖、生活热水主机、卫热换热罐、冷温水泵、生活热水泵、中央空调和卫热系统阀门</w:t>
            </w:r>
            <w:r/>
          </w:p>
        </w:tc>
      </w:tr>
      <w:tr>
        <w:trPr>
          <w:jc w:val="center"/>
          <w:trHeight w:val="1236"/>
        </w:trPr>
        <w:tc>
          <w:tcPr>
            <w:tcW w:w="93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W w:w="2142"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系统维修</w:t>
            </w:r>
            <w:r/>
          </w:p>
        </w:tc>
        <w:tc>
          <w:tcPr>
            <w:tcW w:w="649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维修服务范围：涉及中央空调、生活热水系统的维修，500元以内的部件由乙方承担。</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因乙方人为原因造成的中央空调、生活热水系统设备发生的故障和损坏，由乙方负责修复。</w:t>
            </w:r>
            <w:r/>
          </w:p>
        </w:tc>
      </w:tr>
      <w:tr>
        <w:trPr>
          <w:jc w:val="center"/>
          <w:trHeight w:val="525"/>
        </w:trPr>
        <w:tc>
          <w:tcPr>
            <w:tcW w:w="93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W w:w="2142"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水质管理</w:t>
            </w:r>
            <w:r/>
          </w:p>
        </w:tc>
        <w:tc>
          <w:tcPr>
            <w:tcW w:w="649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中央空调冷温水的水质处理</w:t>
            </w:r>
            <w:r/>
          </w:p>
        </w:tc>
      </w:tr>
      <w:tr>
        <w:trPr>
          <w:jc w:val="center"/>
          <w:trHeight w:val="654"/>
        </w:trPr>
        <w:tc>
          <w:tcPr>
            <w:tcW w:w="93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tcW w:w="2142" w:type="dxa"/>
            <w:vAlign w:val="center"/>
            <w:textDirection w:val="lrTb"/>
            <w:noWrap/>
          </w:tcPr>
          <w:p>
            <w:pPr>
              <w:rPr>
                <w:rFonts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末端效果保障</w:t>
            </w:r>
            <w:r/>
          </w:p>
        </w:tc>
        <w:tc>
          <w:tcPr>
            <w:tcW w:w="6496" w:type="dxa"/>
            <w:vAlign w:val="center"/>
            <w:textDirection w:val="lrTb"/>
            <w:noWrap/>
          </w:tcPr>
          <w:p>
            <w:pPr>
              <w:rPr>
                <w:rFonts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中央空调末端维护保养，定期清洗和日常维护、维修</w:t>
            </w:r>
            <w:r/>
          </w:p>
        </w:tc>
      </w:tr>
      <w:tr>
        <w:trPr>
          <w:jc w:val="center"/>
          <w:trHeight w:val="807"/>
        </w:trPr>
        <w:tc>
          <w:tcPr>
            <w:tcW w:w="93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tcW w:w="2142"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特种设备及安全附件管理</w:t>
            </w:r>
            <w:r/>
          </w:p>
        </w:tc>
        <w:tc>
          <w:tcPr>
            <w:tcW w:w="649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蒸发器、冷凝器等压力容器及压力表、安全阀等安全附件的定期检验</w:t>
            </w:r>
            <w:r/>
          </w:p>
        </w:tc>
      </w:tr>
      <w:tr>
        <w:trPr>
          <w:jc w:val="center"/>
          <w:trHeight w:val="577"/>
        </w:trPr>
        <w:tc>
          <w:tcPr>
            <w:tcW w:w="93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w:t>
            </w:r>
            <w:r/>
          </w:p>
        </w:tc>
        <w:tc>
          <w:tcPr>
            <w:tcW w:w="2142"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满意度调查</w:t>
            </w:r>
            <w:r/>
          </w:p>
        </w:tc>
        <w:tc>
          <w:tcPr>
            <w:tcW w:w="6496" w:type="dxa"/>
            <w:vAlign w:val="center"/>
            <w:textDirection w:val="lrTb"/>
            <w:noWrap/>
          </w:tcPr>
          <w:p>
            <w:pPr>
              <w:rPr>
                <w:rFonts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每月提供满意度调查表，满足甲方日常管理要求</w:t>
            </w:r>
            <w:r/>
          </w:p>
        </w:tc>
      </w:tr>
      <w:tr>
        <w:trPr>
          <w:jc w:val="center"/>
          <w:trHeight w:val="645"/>
        </w:trPr>
        <w:tc>
          <w:tcPr>
            <w:tcW w:w="93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w:t>
            </w:r>
            <w:r/>
          </w:p>
        </w:tc>
        <w:tc>
          <w:tcPr>
            <w:tcW w:w="2142"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支付电费</w:t>
            </w:r>
            <w:r/>
          </w:p>
        </w:tc>
        <w:tc>
          <w:tcPr>
            <w:tcW w:w="649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采购结算中央空调主机、生活热水主机及输配泵组电费（包含过渡期内的蒸汽锅炉气费）</w:t>
            </w:r>
            <w:r/>
          </w:p>
        </w:tc>
      </w:tr>
    </w:tbl>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说明：</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①关于空调末端的日常维护，乙方负责人工费、末端清洗（含药剂）以及末端设备中的电容、金属软管、风和水过滤器、润滑油更换等500元内备品备件更换；</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②在机房系统设备的维护保养过程中，由于非乙方原因造成的设备、设施损坏或设备寿命到期，医院应按照双方认可的方案及时维修或者更换（500元以内的备品备件由乙方负责）。</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③关于非乙方投资改造的多联机空调、风冷热泵，乙方负责每年冬、夏两季进行两次例行维护，日常工作包含清洗、日常保障等，备品备件费用由甲方承担。</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④分体空调日常拆移机为有偿服务，包括拆移机产生的管线加长、零配件更换及充氟等费用由甲方负责。</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⑤关于500元以内的备品备件界定问题，按甲方所在地市场询价确定。</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⑥定期检测指本项目相关法规要求的强制定期检测设备、仪表等，包括不限于压力容器及其安全附件、燃气泄漏检测、公共场所集中空调通风系统空气品质。</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2.中央空调及卫生热水供应要求</w:t>
      </w:r>
      <w:r/>
    </w:p>
    <w:p>
      <w:pPr>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品目01 迈皋桥院区</w:t>
      </w:r>
      <w:r/>
    </w:p>
    <w:tbl>
      <w:tblPr>
        <w:tblStyle w:val="745"/>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55"/>
        <w:gridCol w:w="3432"/>
        <w:gridCol w:w="4072"/>
      </w:tblGrid>
      <w:tr>
        <w:trPr>
          <w:jc w:val="center"/>
          <w:trHeight w:val="486"/>
        </w:trPr>
        <w:tc>
          <w:tcPr>
            <w:tcW w:w="1855"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供冷时间</w:t>
            </w:r>
            <w:r/>
          </w:p>
        </w:tc>
        <w:tc>
          <w:tcPr>
            <w:gridSpan w:val="2"/>
            <w:tcW w:w="7504"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5月1日～10月15日   </w:t>
            </w:r>
            <w:r/>
          </w:p>
        </w:tc>
      </w:tr>
      <w:tr>
        <w:trPr>
          <w:jc w:val="center"/>
          <w:trHeight w:val="486"/>
        </w:trPr>
        <w:tc>
          <w:tcPr>
            <w:tcW w:w="1855" w:type="dxa"/>
            <w:vAlign w:val="center"/>
            <w:vMerge w:val="restart"/>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供冷条件            （供冷时段内）</w:t>
            </w:r>
            <w:r/>
          </w:p>
        </w:tc>
        <w:tc>
          <w:tcPr>
            <w:gridSpan w:val="2"/>
            <w:tcW w:w="7504"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室外最高气温连续5天&gt;26℃或2天&gt;29℃或当天&gt;31℃开始供冷</w:t>
            </w:r>
            <w:r/>
          </w:p>
        </w:tc>
      </w:tr>
      <w:tr>
        <w:trPr>
          <w:jc w:val="center"/>
          <w:trHeight w:val="486"/>
        </w:trPr>
        <w:tc>
          <w:tcPr>
            <w:tcW w:w="1855" w:type="dxa"/>
            <w:vAlign w:val="center"/>
            <w:vMerge w:val="continue"/>
            <w:textDirection w:val="lrTb"/>
            <w:noWrap/>
          </w:tcPr>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gridSpan w:val="2"/>
            <w:tcW w:w="7504"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室外最高气温连续5天&lt;24℃或2天&lt;23℃或当天&lt;21℃停止供冷</w:t>
            </w:r>
            <w:r/>
          </w:p>
        </w:tc>
      </w:tr>
      <w:tr>
        <w:trPr>
          <w:jc w:val="center"/>
          <w:trHeight w:val="860"/>
        </w:trPr>
        <w:tc>
          <w:tcPr>
            <w:tcW w:w="1855" w:type="dxa"/>
            <w:vAlign w:val="center"/>
            <w:vMerge w:val="continue"/>
            <w:textDirection w:val="lrTb"/>
            <w:noWrap/>
          </w:tcPr>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gridSpan w:val="2"/>
            <w:tcW w:w="7504"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梅雨季节、天气闷热等特殊情况不受气温限制，根据甲方实际需求制冷。</w:t>
            </w:r>
            <w:r/>
          </w:p>
        </w:tc>
      </w:tr>
      <w:tr>
        <w:trPr>
          <w:jc w:val="center"/>
          <w:trHeight w:val="486"/>
        </w:trPr>
        <w:tc>
          <w:tcPr>
            <w:tcW w:w="1855"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供热时间</w:t>
            </w:r>
            <w:r/>
          </w:p>
        </w:tc>
        <w:tc>
          <w:tcPr>
            <w:gridSpan w:val="2"/>
            <w:tcW w:w="7504"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11月20日～次年3月31日  </w:t>
            </w:r>
            <w:r/>
          </w:p>
        </w:tc>
      </w:tr>
      <w:tr>
        <w:trPr>
          <w:jc w:val="center"/>
          <w:trHeight w:val="486"/>
        </w:trPr>
        <w:tc>
          <w:tcPr>
            <w:tcW w:w="1855" w:type="dxa"/>
            <w:vAlign w:val="center"/>
            <w:vMerge w:val="restart"/>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供热条件             （供热时段内）</w:t>
            </w:r>
            <w:r/>
          </w:p>
        </w:tc>
        <w:tc>
          <w:tcPr>
            <w:gridSpan w:val="2"/>
            <w:tcW w:w="7504"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室外最低气温连续5天&lt;15℃或2天&lt;14℃或当天&lt;11℃开始供热</w:t>
            </w:r>
            <w:r/>
          </w:p>
        </w:tc>
      </w:tr>
      <w:tr>
        <w:trPr>
          <w:jc w:val="center"/>
          <w:trHeight w:val="486"/>
        </w:trPr>
        <w:tc>
          <w:tcPr>
            <w:tcW w:w="1855" w:type="dxa"/>
            <w:vAlign w:val="center"/>
            <w:vMerge w:val="continue"/>
            <w:textDirection w:val="lrTb"/>
            <w:noWrap/>
          </w:tcPr>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gridSpan w:val="2"/>
            <w:tcW w:w="7504"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室外最低气温连续5天&gt;15℃或2天&gt;17℃或当天&gt;20℃停止供热</w:t>
            </w:r>
            <w:r/>
          </w:p>
        </w:tc>
      </w:tr>
      <w:tr>
        <w:trPr>
          <w:jc w:val="center"/>
          <w:trHeight w:val="486"/>
        </w:trPr>
        <w:tc>
          <w:tcPr>
            <w:tcW w:w="1855"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空调标准</w:t>
            </w:r>
            <w:r/>
          </w:p>
        </w:tc>
        <w:tc>
          <w:tcPr>
            <w:gridSpan w:val="2"/>
            <w:tcW w:w="7504"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室内温度：供冷不高于26℃    供热不低于18℃</w:t>
            </w:r>
            <w:r/>
          </w:p>
        </w:tc>
      </w:tr>
      <w:tr>
        <w:trPr>
          <w:jc w:val="center"/>
          <w:trHeight w:val="486"/>
        </w:trPr>
        <w:tc>
          <w:tcPr>
            <w:tcW w:w="1855"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生活热水标准</w:t>
            </w:r>
            <w:r/>
          </w:p>
        </w:tc>
        <w:tc>
          <w:tcPr>
            <w:gridSpan w:val="2"/>
            <w:tcW w:w="7504"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生活热水： 不低于50℃</w:t>
            </w:r>
            <w:r/>
          </w:p>
        </w:tc>
      </w:tr>
      <w:tr>
        <w:trPr>
          <w:jc w:val="center"/>
          <w:trHeight w:val="486"/>
        </w:trPr>
        <w:tc>
          <w:tcPr>
            <w:tcW w:w="1855" w:type="dxa"/>
            <w:vAlign w:val="center"/>
            <w:vMerge w:val="restart"/>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日供时段</w:t>
            </w:r>
            <w:r/>
          </w:p>
        </w:tc>
        <w:tc>
          <w:tcPr>
            <w:tcW w:w="3432"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供冷、供热</w:t>
            </w:r>
            <w:r/>
          </w:p>
        </w:tc>
        <w:tc>
          <w:tcPr>
            <w:tcW w:w="4072"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24小时</w:t>
            </w:r>
            <w:r/>
          </w:p>
        </w:tc>
      </w:tr>
      <w:tr>
        <w:trPr>
          <w:jc w:val="center"/>
          <w:trHeight w:val="521"/>
        </w:trPr>
        <w:tc>
          <w:tcPr>
            <w:tcW w:w="1855" w:type="dxa"/>
            <w:vAlign w:val="center"/>
            <w:vMerge w:val="continue"/>
            <w:textDirection w:val="lrTb"/>
            <w:noWrap/>
          </w:tcPr>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tcW w:w="3432"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生活热水</w:t>
            </w:r>
            <w:r/>
          </w:p>
        </w:tc>
        <w:tc>
          <w:tcPr>
            <w:tcW w:w="4072"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24小时</w:t>
            </w:r>
            <w:r/>
          </w:p>
        </w:tc>
      </w:tr>
      <w:tr>
        <w:trPr>
          <w:jc w:val="center"/>
          <w:trHeight w:val="972"/>
        </w:trPr>
        <w:tc>
          <w:tcPr>
            <w:gridSpan w:val="3"/>
            <w:tcW w:w="9359"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1.特殊情况时，供应标准由双方协商决定；</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2.手术室、ICU等特殊要求区域，按照临床要求供热或供冷。</w:t>
            </w:r>
            <w:r/>
          </w:p>
        </w:tc>
      </w:tr>
    </w:tbl>
    <w:p>
      <w:pPr>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品目02 阅江楼院区</w:t>
      </w:r>
      <w:r/>
    </w:p>
    <w:tbl>
      <w:tblPr>
        <w:tblStyle w:val="745"/>
        <w:tblW w:w="9399" w:type="dxa"/>
        <w:jc w:val="center"/>
        <w:tblLayout w:type="autofit"/>
        <w:tblCellMar>
          <w:left w:w="0" w:type="dxa"/>
          <w:top w:w="0" w:type="dxa"/>
          <w:right w:w="0" w:type="dxa"/>
          <w:bottom w:w="0" w:type="dxa"/>
        </w:tblCellMar>
        <w:tblLook w:val="04A0" w:firstRow="1" w:lastRow="0" w:firstColumn="1" w:lastColumn="0" w:noHBand="0" w:noVBand="1"/>
      </w:tblPr>
      <w:tblGrid>
        <w:gridCol w:w="1348"/>
        <w:gridCol w:w="1081"/>
        <w:gridCol w:w="4262"/>
        <w:gridCol w:w="2708"/>
      </w:tblGrid>
      <w:tr>
        <w:trPr>
          <w:jc w:val="center"/>
          <w:trHeight w:val="133"/>
        </w:trPr>
        <w:tc>
          <w:tcPr>
            <w:gridSpan w:val="2"/>
            <w:tcBorders>
              <w:top w:val="single" w:color="000000" w:sz="6" w:space="0"/>
              <w:left w:val="single" w:color="000000" w:sz="6" w:space="0"/>
              <w:bottom w:val="single" w:color="000000" w:sz="6" w:space="0"/>
              <w:right w:val="single" w:color="000000" w:sz="6" w:space="0"/>
            </w:tcBorders>
            <w:tcMar>
              <w:left w:w="15" w:type="dxa"/>
              <w:top w:w="15" w:type="dxa"/>
              <w:right w:w="15" w:type="dxa"/>
            </w:tcMar>
            <w:tcW w:w="242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tcMar>
            <w:tcW w:w="4262"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供应条件</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tcMar>
            <w:tcW w:w="270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备注</w:t>
            </w:r>
            <w:r/>
          </w:p>
        </w:tc>
      </w:tr>
      <w:tr>
        <w:trPr>
          <w:jc w:val="center"/>
          <w:trHeight w:val="557"/>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tcMar>
            <w:tcW w:w="1348" w:type="dxa"/>
            <w:vAlign w:val="center"/>
            <w:vMerge w:val="restart"/>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空调</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tcMar>
            <w:tcW w:w="108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供冷季</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tcMar>
            <w:tcW w:w="4262"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1.室外最高气温连续5天&gt;26℃或2天&gt;29℃或当天&gt;31℃开始供冷；            </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2.室外最高气温连续5天&lt;24℃或2天&lt;23℃或当天&lt;21℃停止供冷；</w:t>
            </w:r>
            <w:r/>
          </w:p>
          <w:p>
            <w:pPr>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3.梅雨季节、天气闷热等特殊情况不受气温限制，根据甲方实际需求制冷。</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tcMar>
            <w:tcW w:w="2708" w:type="dxa"/>
            <w:vAlign w:val="center"/>
            <w:vMerge w:val="restart"/>
            <w:textDirection w:val="lrTb"/>
            <w:noWrap w:val="false"/>
          </w:tcPr>
          <w:p>
            <w:pP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梅雨季节、天气闷热等</w:t>
            </w:r>
            <w:r>
              <w:rPr>
                <w:rFonts w:hint="eastAsia" w:ascii="宋体" w:hAnsi="宋体" w:eastAsia="宋体" w:cs="宋体"/>
                <w:color w:val="000000" w:themeColor="text1"/>
                <w:sz w:val="24"/>
                <w:szCs w:val="24"/>
                <w14:textFill>
                  <w14:solidFill>
                    <w14:schemeClr w14:val="tx1"/>
                  </w14:solidFill>
                </w14:textFill>
              </w:rPr>
              <w:t xml:space="preserve">特殊情况下可由二临等相关使用部门联系总务处灵活调整空调开启时段及开启时间。</w:t>
            </w:r>
            <w:r/>
          </w:p>
          <w:p>
            <w:pP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2.空调运行温度冬季不高于20℃，夏季不低于26℃，空调运行期间禁止任意开窗。</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3.协助甲方开展节能降耗工作。</w:t>
            </w:r>
            <w:r/>
          </w:p>
        </w:tc>
      </w:tr>
      <w:tr>
        <w:trPr>
          <w:jc w:val="center"/>
          <w:trHeight w:val="282"/>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tcMar>
            <w:tcW w:w="1348" w:type="dxa"/>
            <w:vAlign w:val="center"/>
            <w:vMerge w:val="continue"/>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tcMar>
            <w:tcW w:w="108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供暖季</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tcMar>
            <w:tcW w:w="4262"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室外最低气温连续5天&lt;15℃或2天&lt;14℃或当天&lt;11℃开始供热；</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室外最低气温连续5天&gt;15℃或2天&gt;17℃或当天&gt;20℃停止供热。</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tcMar>
            <w:tcW w:w="2708" w:type="dxa"/>
            <w:vAlign w:val="center"/>
            <w:vMerge w:val="continue"/>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r>
      <w:tr>
        <w:trPr>
          <w:jc w:val="center"/>
          <w:trHeight w:val="377"/>
        </w:trPr>
        <w:tc>
          <w:tcPr>
            <w:gridSpan w:val="2"/>
            <w:tcBorders>
              <w:top w:val="single" w:color="000000" w:sz="6" w:space="0"/>
              <w:left w:val="single" w:color="000000" w:sz="6" w:space="0"/>
              <w:bottom w:val="single" w:color="000000" w:sz="6" w:space="0"/>
              <w:right w:val="single" w:color="000000" w:sz="6" w:space="0"/>
            </w:tcBorders>
            <w:tcMar>
              <w:left w:w="15" w:type="dxa"/>
              <w:top w:w="15" w:type="dxa"/>
              <w:right w:w="15" w:type="dxa"/>
            </w:tcMar>
            <w:tcW w:w="242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热水</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tcMar>
            <w:tcW w:w="4262"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热水供应时间段：24小时。</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tcMar>
            <w:tcW w:w="2708" w:type="dxa"/>
            <w:vAlign w:val="center"/>
            <w:vMerge w:val="continue"/>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r>
    </w:tbl>
    <w:p>
      <w:pP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3.本项目绩效考核细化标准、考核频次、奖惩机制、双方可在合同签署后结合现场实际情况进一步细化。</w:t>
      </w:r>
      <w:r/>
    </w:p>
    <w:p>
      <w:pPr>
        <w:rPr>
          <w:rFonts w:ascii="宋体" w:hAnsi="宋体" w:eastAsia="宋体" w:cs="宋体"/>
          <w:b/>
          <w:bCs/>
          <w:color w:val="000000" w:themeColor="text1"/>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.改造内容</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在不影响医院正常运行以及满足医院门急诊、病房楼及公共区域舒适度的前提下，乙方自行投资开展综合节能改造，所有改造应在规定时间内完成改造，改造方案必须由甲方认可，改造内容如下：</w:t>
      </w:r>
      <w:r/>
    </w:p>
    <w:tbl>
      <w:tblPr>
        <w:tblStyle w:val="776"/>
        <w:tblW w:w="93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57"/>
        <w:gridCol w:w="2409"/>
        <w:gridCol w:w="2410"/>
        <w:gridCol w:w="2410"/>
      </w:tblGrid>
      <w:tr>
        <w:trPr>
          <w:jc w:val="center"/>
        </w:trPr>
        <w:tc>
          <w:tcPr>
            <w:shd w:val="clear" w:color="auto" w:fill="auto"/>
            <w:tcW w:w="2157"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序号</w:t>
            </w:r>
            <w:r/>
          </w:p>
        </w:tc>
        <w:tc>
          <w:tcPr>
            <w:shd w:val="clear" w:color="auto" w:fill="auto"/>
            <w:tcW w:w="2409"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改造项目</w:t>
            </w:r>
            <w:r/>
          </w:p>
        </w:tc>
        <w:tc>
          <w:tcPr>
            <w:shd w:val="clear" w:color="auto" w:fill="auto"/>
            <w:tcW w:w="2410"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改造明细</w:t>
            </w:r>
            <w:r/>
          </w:p>
        </w:tc>
        <w:tc>
          <w:tcPr>
            <w:shd w:val="clear" w:color="auto" w:fill="auto"/>
            <w:tcW w:w="2410"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备注</w:t>
            </w:r>
            <w:r/>
          </w:p>
        </w:tc>
      </w:tr>
      <w:tr>
        <w:trPr>
          <w:jc w:val="center"/>
        </w:trPr>
        <w:tc>
          <w:tcPr>
            <w:shd w:val="clear" w:color="auto" w:fill="auto"/>
            <w:tcW w:w="2157"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shd w:val="clear" w:color="auto" w:fill="auto"/>
            <w:tcW w:w="2409"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改造项目1</w:t>
            </w:r>
            <w:r/>
          </w:p>
        </w:tc>
        <w:tc>
          <w:tcPr>
            <w:shd w:val="clear" w:color="auto" w:fill="auto"/>
            <w:tcW w:w="2410"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shd w:val="clear" w:color="auto" w:fill="auto"/>
            <w:tcW w:w="2410"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r>
      <w:tr>
        <w:trPr>
          <w:jc w:val="center"/>
        </w:trPr>
        <w:tc>
          <w:tcPr>
            <w:shd w:val="clear" w:color="auto" w:fill="auto"/>
            <w:tcW w:w="2157"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shd w:val="clear" w:color="auto" w:fill="auto"/>
            <w:tcW w:w="2409"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改造项目2</w:t>
            </w:r>
            <w:r/>
          </w:p>
        </w:tc>
        <w:tc>
          <w:tcPr>
            <w:shd w:val="clear" w:color="auto" w:fill="auto"/>
            <w:tcW w:w="2410"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shd w:val="clear" w:color="auto" w:fill="auto"/>
            <w:tcW w:w="2410"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r>
      <w:tr>
        <w:trPr>
          <w:jc w:val="center"/>
        </w:trPr>
        <w:tc>
          <w:tcPr>
            <w:shd w:val="clear" w:color="auto" w:fill="auto"/>
            <w:tcW w:w="2157"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tc>
        <w:tc>
          <w:tcPr>
            <w:shd w:val="clear" w:color="auto" w:fill="auto"/>
            <w:tcW w:w="2409"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shd w:val="clear" w:color="auto" w:fill="auto"/>
            <w:tcW w:w="2410"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shd w:val="clear" w:color="auto" w:fill="auto"/>
            <w:tcW w:w="2410"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r>
    </w:tbl>
    <w:p>
      <w:pPr>
        <w:rPr>
          <w:rFonts w:ascii="宋体" w:hAnsi="宋体" w:eastAsia="宋体" w:cs="宋体"/>
          <w:color w:val="000000" w:themeColor="text1"/>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.改造资金</w:t>
      </w:r>
      <w:r/>
    </w:p>
    <w:p>
      <w:pPr>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对于乙方本次节能改造内容以及乙方后期自主改造所需要的改造资金由乙方全额出资。</w:t>
      </w:r>
      <w:r/>
    </w:p>
    <w:p>
      <w:pPr>
        <w:rPr>
          <w:rFonts w:ascii="宋体" w:hAnsi="宋体" w:eastAsia="宋体" w:cs="宋体"/>
          <w:color w:val="000000" w:themeColor="text1"/>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.投资保障</w:t>
      </w:r>
      <w:r/>
    </w:p>
    <w:p>
      <w:pPr>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合同8年服务期内，乙方投资设备产权归乙方；期满且甲方结清全部服务费后，乙方须将完好设备无偿移交甲方，同步移交全套运维资料，并无偿授予甲方仅限本项目使用的相关技术、知识产权永久授权。</w:t>
      </w:r>
      <w:r/>
    </w:p>
    <w:p>
      <w:pPr>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若合作未满8年提前终止，按8年直线折旧法核算乙方剩余未摊销投资成本，甲方于合作终止后付清该款项，款项付清后全部投资设备产权归甲方所有。</w:t>
      </w:r>
      <w:r/>
    </w:p>
    <w:p>
      <w:pPr>
        <w:rPr>
          <w:rFonts w:ascii="宋体" w:hAnsi="宋体" w:eastAsia="宋体" w:cs="宋体"/>
          <w:color w:val="000000" w:themeColor="text1"/>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7</w:t>
      </w:r>
      <w:r>
        <w:rPr>
          <w:rFonts w:hint="eastAsia" w:ascii="宋体" w:hAnsi="宋体" w:eastAsia="宋体" w:cs="宋体"/>
          <w:color w:val="000000" w:themeColor="text1"/>
          <w:sz w:val="24"/>
          <w:szCs w:val="24"/>
          <w14:textFill>
            <w14:solidFill>
              <w14:schemeClr w14:val="tx1"/>
            </w14:solidFill>
          </w14:textFill>
        </w:rPr>
        <w:t xml:space="preserve">.合同收费</w:t>
      </w:r>
      <w:r/>
    </w:p>
    <w:p>
      <w:pPr>
        <w:rPr>
          <w:rFonts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合同额：</w:t>
      </w:r>
      <w:r>
        <w:rPr>
          <w:rFonts w:hint="eastAsia" w:ascii="宋体" w:hAnsi="宋体" w:eastAsia="宋体" w:cs="宋体"/>
          <w:b/>
          <w:bCs/>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元/年</w:t>
      </w: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品目01迈皋桥院区年合同能源管理服务费</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元/年，品目02阅江楼院区年合同能源管理服务费</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元/年），服务期限：</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日 至</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日。正式运营日以双方签字认可的《建筑能源系统管理交接书》约定日期为准，运营年度从双方书面确认的正式运营日开始计算，甲方最迟交付运营时间不超过</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日。</w:t>
      </w:r>
      <w:r/>
    </w:p>
    <w:p>
      <w:pPr>
        <w:rPr>
          <w:rFonts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品目01 迈皋桥院区</w:t>
      </w:r>
      <w:r/>
    </w:p>
    <w:p>
      <w:pPr>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基础服务费</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元/㎡·年，生活热水计量收费：</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元/吨，年合同能源管理服务费：（人民币）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元整（￥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元），</w:t>
      </w:r>
      <w:r/>
    </w:p>
    <w:p>
      <w:pP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年合同能源管理服务费计算公式：</w:t>
      </w:r>
      <w:r/>
    </w:p>
    <w:p>
      <w:pP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基础服务费</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元/㎡·年×70415.62㎡+热水计量费</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元/吨×年预估用水量6600吨</w:t>
      </w:r>
      <w:r/>
    </w:p>
    <w:p>
      <w:pPr>
        <w:rPr>
          <w:rFonts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每月双方对上月医院投用面积、生活热水用量进行确认。</w:t>
      </w:r>
      <w:r/>
    </w:p>
    <w:p>
      <w:pPr>
        <w:rPr>
          <w:rFonts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甲方每月需支付给乙方的能源服务费金额为：</w:t>
      </w:r>
      <w:r/>
    </w:p>
    <w:p>
      <w:pPr>
        <w:rPr>
          <w:rFonts w:ascii="宋体" w:hAnsi="宋体" w:eastAsia="宋体" w:cs="宋体"/>
          <w:color w:val="000000" w:themeColor="text1"/>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实际投用面积×</w:t>
      </w:r>
      <w:r>
        <w:rPr>
          <w:rFonts w:hint="eastAsia" w:ascii="宋体" w:hAnsi="宋体" w:eastAsia="宋体" w:cs="宋体"/>
          <w:color w:val="000000" w:themeColor="text1"/>
          <w:sz w:val="24"/>
          <w:szCs w:val="24"/>
          <w:u w:val="single"/>
          <w:shd w:val="clear" w:color="auto" w:fill="ffffff"/>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元</w:t>
      </w:r>
      <w:r>
        <w:rPr>
          <w:rFonts w:hint="eastAsia" w:ascii="宋体" w:hAnsi="宋体" w:eastAsia="宋体" w:cs="宋体"/>
          <w:color w:val="000000" w:themeColor="text1"/>
          <w:sz w:val="24"/>
          <w:szCs w:val="24"/>
          <w14:textFill>
            <w14:solidFill>
              <w14:schemeClr w14:val="tx1"/>
            </w14:solidFill>
          </w14:textFill>
        </w:rPr>
        <w:t xml:space="preserve">/㎡·月</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基础服务费</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元/㎡·年除以12个月得到月收费单价</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）+生活热水实际用量×</w:t>
      </w:r>
      <w:r>
        <w:rPr>
          <w:rFonts w:hint="eastAsia" w:ascii="宋体" w:hAnsi="宋体" w:eastAsia="宋体" w:cs="宋体"/>
          <w:color w:val="000000" w:themeColor="text1"/>
          <w:sz w:val="24"/>
          <w:szCs w:val="24"/>
          <w14:textFill>
            <w14:solidFill>
              <w14:schemeClr w14:val="tx1"/>
            </w14:solidFill>
          </w14:textFill>
        </w:rPr>
        <w:t xml:space="preserve">生活热水实际用量×</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元/t</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w:t>
      </w:r>
      <w:r/>
    </w:p>
    <w:p>
      <w:pPr>
        <w:rPr>
          <w:rFonts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品目02 阅江楼院区</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空调基础服务费</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元/㎡·年，生活热水计量收费：</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元/t，年合同能源管理服务费：（人民币）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元整（￥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元）。</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年合同能源管理服务费计算公式：</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空调基础服务费</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元/㎡·年×11000㎡+热水计量费</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元/吨×年预估用水量8500吨</w:t>
      </w:r>
      <w:r/>
    </w:p>
    <w:p>
      <w:pPr>
        <w:rPr>
          <w:rFonts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每月双方对上月医院投用面积、生活热水用量进行确认。</w:t>
      </w:r>
      <w:r/>
    </w:p>
    <w:p>
      <w:pPr>
        <w:rPr>
          <w:rFonts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甲方每月需支付给乙方的能源服务费金额为：</w:t>
      </w:r>
      <w:r/>
    </w:p>
    <w:p>
      <w:pPr>
        <w:rPr>
          <w:rFonts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实际投用面积×</w:t>
      </w:r>
      <w:r>
        <w:rPr>
          <w:rFonts w:hint="eastAsia" w:ascii="宋体" w:hAnsi="宋体" w:eastAsia="宋体" w:cs="宋体"/>
          <w:color w:val="000000" w:themeColor="text1"/>
          <w:sz w:val="24"/>
          <w:szCs w:val="24"/>
          <w:u w:val="single"/>
          <w:shd w:val="clear" w:color="auto" w:fill="ffffff"/>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元</w:t>
      </w:r>
      <w:r>
        <w:rPr>
          <w:rFonts w:hint="eastAsia" w:ascii="宋体" w:hAnsi="宋体" w:eastAsia="宋体" w:cs="宋体"/>
          <w:color w:val="000000" w:themeColor="text1"/>
          <w:sz w:val="24"/>
          <w:szCs w:val="24"/>
          <w14:textFill>
            <w14:solidFill>
              <w14:schemeClr w14:val="tx1"/>
            </w14:solidFill>
          </w14:textFill>
        </w:rPr>
        <w:t xml:space="preserve">/㎡·月</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（空调</w:t>
      </w:r>
      <w:r>
        <w:rPr>
          <w:rFonts w:hint="eastAsia" w:ascii="宋体" w:hAnsi="宋体" w:eastAsia="宋体" w:cs="宋体"/>
          <w:color w:val="000000" w:themeColor="text1"/>
          <w:sz w:val="24"/>
          <w:szCs w:val="24"/>
          <w14:textFill>
            <w14:solidFill>
              <w14:schemeClr w14:val="tx1"/>
            </w14:solidFill>
          </w14:textFill>
        </w:rPr>
        <w:t xml:space="preserve">基础服务费</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元/㎡·年除以12个月得到月收费单价</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）+生活热水实际用量×</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元/t</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w:t>
      </w:r>
      <w:r/>
    </w:p>
    <w:p>
      <w:pPr>
        <w:rPr>
          <w:rFonts w:ascii="宋体" w:hAnsi="宋体" w:eastAsia="宋体" w:cs="宋体"/>
          <w:color w:val="000000" w:themeColor="text1"/>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.付款时间与方式</w:t>
      </w:r>
      <w:r/>
    </w:p>
    <w:p>
      <w:pPr>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合同签订5个工作日内甲方向乙方支付</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元整（￥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元）作为预付款，预付款用于冲抵合同期内的合同能源管理服务费。第1个周期结束后10个工作日内，甲方向乙方支付第1个周期的合同能源管理服务费，以后每个周期结束后10个工作日内甲方向乙方支付本周期的合同能源管理服务费。</w:t>
      </w:r>
      <w:r/>
    </w:p>
    <w:p>
      <w:pPr>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甲方按月进行服务检查，并按检查结果实行月度考核支付，从第2个周期开始，每个周期考核数据为上1个周期的月度考核平均分，达不到考核目标的按本办法规定扣除相应的服务经费。服务检查，月度考核分高于90分的（含90分）实得服务检查考核经费，低于90分按考核办法扣除月度考核经费，月度考核经费为=（1-月度考核平均分/90）*服务检查考核经费。</w:t>
      </w:r>
      <w:r/>
    </w:p>
    <w:p>
      <w:pPr>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服务检查考核经费=1个周期的合同能源管理服务费*10%。</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8.年度考核管理</w:t>
      </w:r>
      <w:r/>
    </w:p>
    <w:p>
      <w:pPr>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每年从年度合同总服务费中计提1‰作为年度服务考核专项基金，基金由</w:t>
      </w:r>
      <w:r>
        <w:rPr>
          <w:rFonts w:hint="eastAsia" w:hAnsi="宋体" w:eastAsia="宋体" w:cs="宋体"/>
          <w:color w:val="000000" w:themeColor="text1"/>
          <w:sz w:val="24"/>
          <w:szCs w:val="24"/>
          <w14:textFill>
            <w14:solidFill>
              <w14:schemeClr w14:val="tx1"/>
            </w14:solidFill>
          </w14:textFill>
        </w:rPr>
        <w:t xml:space="preserve">乙方</w:t>
      </w:r>
      <w:r>
        <w:rPr>
          <w:rFonts w:hint="eastAsia" w:ascii="宋体" w:hAnsi="宋体" w:eastAsia="宋体" w:cs="宋体"/>
          <w:color w:val="000000" w:themeColor="text1"/>
          <w:sz w:val="24"/>
          <w:szCs w:val="24"/>
          <w14:textFill>
            <w14:solidFill>
              <w14:schemeClr w14:val="tx1"/>
            </w14:solidFill>
          </w14:textFill>
        </w:rPr>
        <w:t xml:space="preserve">自行管理，使用权归</w:t>
      </w:r>
      <w:r>
        <w:rPr>
          <w:rFonts w:hint="eastAsia" w:hAnsi="宋体" w:eastAsia="宋体" w:cs="宋体"/>
          <w:color w:val="000000" w:themeColor="text1"/>
          <w:sz w:val="24"/>
          <w:szCs w:val="24"/>
          <w14:textFill>
            <w14:solidFill>
              <w14:schemeClr w14:val="tx1"/>
            </w14:solidFill>
          </w14:textFill>
        </w:rPr>
        <w:t xml:space="preserve">甲方</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hAnsi="宋体" w:eastAsia="宋体" w:cs="宋体"/>
          <w:color w:val="000000" w:themeColor="text1"/>
          <w:sz w:val="24"/>
          <w:szCs w:val="24"/>
          <w14:textFill>
            <w14:solidFill>
              <w14:schemeClr w14:val="tx1"/>
            </w14:solidFill>
          </w14:textFill>
        </w:rPr>
        <w:t xml:space="preserve">甲方</w:t>
      </w:r>
      <w:r>
        <w:rPr>
          <w:rFonts w:hint="eastAsia" w:ascii="宋体" w:hAnsi="宋体" w:eastAsia="宋体" w:cs="宋体"/>
          <w:color w:val="000000" w:themeColor="text1"/>
          <w:sz w:val="24"/>
          <w:szCs w:val="24"/>
          <w14:textFill>
            <w14:solidFill>
              <w14:schemeClr w14:val="tx1"/>
            </w14:solidFill>
          </w14:textFill>
        </w:rPr>
        <w:t xml:space="preserve">根据全年月度服务满意度、运维台账、设备维保、供能保障、故障处置、人员在岗等综合考核结果，有权自主分配考核基金（仅用作现场运维相关事项的奖励与考核），提升一线服务积极性。</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调价机制</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①能源单价变化</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基准能源单价：</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品目01 迈皋桥院区</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0.7306</w:t>
      </w:r>
      <w:r>
        <w:rPr>
          <w:rFonts w:hint="eastAsia" w:ascii="宋体" w:hAnsi="宋体" w:eastAsia="宋体" w:cs="宋体"/>
          <w:color w:val="000000" w:themeColor="text1"/>
          <w:sz w:val="24"/>
          <w:szCs w:val="24"/>
          <w14:textFill>
            <w14:solidFill>
              <w14:schemeClr w14:val="tx1"/>
            </w14:solidFill>
          </w14:textFill>
        </w:rPr>
        <w:t xml:space="preserve">元/kWh，气</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4.8453元</w:t>
      </w:r>
      <w:r>
        <w:rPr>
          <w:rFonts w:hint="eastAsia" w:ascii="宋体" w:hAnsi="宋体" w:eastAsia="宋体" w:cs="宋体"/>
          <w:color w:val="000000" w:themeColor="text1"/>
          <w:sz w:val="24"/>
          <w:szCs w:val="24"/>
          <w14:textFill>
            <w14:solidFill>
              <w14:schemeClr w14:val="tx1"/>
            </w14:solidFill>
          </w14:textFill>
        </w:rPr>
        <w:t xml:space="preserve">/m³，</w:t>
      </w:r>
      <w:r/>
    </w:p>
    <w:p>
      <w:pPr>
        <w:pStyle w:val="766"/>
        <w:spacing w:after="0" w:line="360" w:lineRule="auto"/>
        <w:widowControl w:val="off"/>
        <w:rPr>
          <w:rFonts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品目02 阅江楼院区</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0.7263</w:t>
      </w:r>
      <w:r>
        <w:rPr>
          <w:rFonts w:hint="eastAsia" w:ascii="宋体" w:hAnsi="宋体" w:eastAsia="宋体" w:cs="宋体"/>
          <w:color w:val="000000" w:themeColor="text1"/>
          <w:sz w:val="24"/>
          <w:szCs w:val="24"/>
          <w14:textFill>
            <w14:solidFill>
              <w14:schemeClr w14:val="tx1"/>
            </w14:solidFill>
          </w14:textFill>
        </w:rPr>
        <w:t xml:space="preserve">元/kWh。</w:t>
      </w:r>
      <w:r/>
    </w:p>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当电、气价相比基准电、气价单价累计变化≥5%时，则当月起收费标准在原价格基础上进行相应调整。能源价格差额部分由甲方承担或享有，能源价格差额=当月实际能耗×（当期能源单价-基准能源单价），计算结果为负数，差额由甲方享受；计算结果为正数，差额由甲方承担。</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10.设备维保内容</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GB"/>
          <w14:textFill>
            <w14:solidFill>
              <w14:schemeClr w14:val="tx1"/>
            </w14:solidFill>
          </w14:textFill>
        </w:rPr>
        <w:t xml:space="preserve">在合同期限内，</w:t>
      </w:r>
      <w:r>
        <w:rPr>
          <w:rFonts w:hint="eastAsia" w:ascii="宋体" w:hAnsi="宋体" w:eastAsia="宋体" w:cs="宋体"/>
          <w:color w:val="000000" w:themeColor="text1"/>
          <w:sz w:val="24"/>
          <w:szCs w:val="24"/>
          <w14:textFill>
            <w14:solidFill>
              <w14:schemeClr w14:val="tx1"/>
            </w14:solidFill>
          </w14:textFill>
        </w:rPr>
        <w:t xml:space="preserve">乙方</w:t>
      </w:r>
      <w:r>
        <w:rPr>
          <w:rFonts w:hint="eastAsia" w:ascii="宋体" w:hAnsi="宋体" w:eastAsia="宋体" w:cs="宋体"/>
          <w:color w:val="000000" w:themeColor="text1"/>
          <w:sz w:val="24"/>
          <w:szCs w:val="24"/>
          <w:lang w:val="en-GB"/>
          <w14:textFill>
            <w14:solidFill>
              <w14:schemeClr w14:val="tx1"/>
            </w14:solidFill>
          </w14:textFill>
        </w:rPr>
        <w:t xml:space="preserve">负责医院</w:t>
      </w:r>
      <w:r>
        <w:rPr>
          <w:rFonts w:hint="eastAsia" w:ascii="宋体" w:hAnsi="宋体" w:eastAsia="宋体" w:cs="宋体"/>
          <w:color w:val="000000" w:themeColor="text1"/>
          <w:sz w:val="24"/>
          <w:szCs w:val="24"/>
          <w14:textFill>
            <w14:solidFill>
              <w14:schemeClr w14:val="tx1"/>
            </w14:solidFill>
          </w14:textFill>
        </w:rPr>
        <w:t xml:space="preserve">锅炉和</w:t>
      </w:r>
      <w:r>
        <w:rPr>
          <w:rFonts w:hint="eastAsia" w:ascii="宋体" w:hAnsi="宋体" w:eastAsia="宋体" w:cs="宋体"/>
          <w:color w:val="000000" w:themeColor="text1"/>
          <w:sz w:val="24"/>
          <w:szCs w:val="24"/>
          <w:lang w:val="en-GB"/>
          <w14:textFill>
            <w14:solidFill>
              <w14:schemeClr w14:val="tx1"/>
            </w14:solidFill>
          </w14:textFill>
        </w:rPr>
        <w:t xml:space="preserve">中央空调相关设备的维保，</w:t>
      </w:r>
      <w:r>
        <w:rPr>
          <w:rFonts w:hint="eastAsia" w:ascii="宋体" w:hAnsi="宋体" w:eastAsia="宋体" w:cs="宋体"/>
          <w:color w:val="000000" w:themeColor="text1"/>
          <w:sz w:val="24"/>
          <w:szCs w:val="24"/>
          <w14:textFill>
            <w14:solidFill>
              <w14:schemeClr w14:val="tx1"/>
            </w14:solidFill>
          </w14:textFill>
        </w:rPr>
        <w:t xml:space="preserve">维保包含节能技改新增用能设备以及医院锅炉、冷水机组、换热机组、热水管道、水泵、空调水管系统、冷却塔、水质管理、空调末端（末端风机盘管、新风机）的操作与日常保养、故障应对，品目02包含</w:t>
      </w:r>
      <w:r>
        <w:rPr>
          <w:rFonts w:hint="eastAsia" w:ascii="宋体" w:hAnsi="宋体" w:eastAsia="宋体"/>
          <w:bCs/>
          <w:color w:val="000000" w:themeColor="text1"/>
          <w:sz w:val="24"/>
          <w:szCs w:val="24"/>
          <w14:textFill>
            <w14:solidFill>
              <w14:schemeClr w14:val="tx1"/>
            </w14:solidFill>
          </w14:textFill>
        </w:rPr>
        <w:t xml:space="preserve">阅区常规维修</w:t>
      </w:r>
      <w:r>
        <w:rPr>
          <w:rFonts w:hint="eastAsia" w:ascii="宋体" w:hAnsi="宋体" w:eastAsia="宋体" w:cs="宋体"/>
          <w:color w:val="000000" w:themeColor="text1"/>
          <w:sz w:val="24"/>
          <w:szCs w:val="24"/>
          <w:lang w:val="en-GB"/>
          <w14:textFill>
            <w14:solidFill>
              <w14:schemeClr w14:val="tx1"/>
            </w14:solidFill>
          </w14:textFill>
        </w:rPr>
        <w:t xml:space="preserve">。</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合同期内，乙方负责对所有乙方投入的设备的维修以及更换的一切费用。对于非乙方投资设备的维保和运行管理费用按照合同由乙方负责，除寿命到期或者不可抗力外，维修以及更换产生的费用由乙方承担。乙方需要更换甲方的设备，经甲方同意后，方可更换。</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具体要求如下：</w:t>
      </w:r>
      <w:r/>
    </w:p>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品目01 迈皋桥院区</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①离心式冷水机组</w:t>
      </w:r>
      <w:r/>
    </w:p>
    <w:tbl>
      <w:tblPr>
        <w:tblStyle w:val="745"/>
        <w:tblW w:w="955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1638"/>
        <w:gridCol w:w="6855"/>
      </w:tblGrid>
      <w:tr>
        <w:trPr>
          <w:jc w:val="center"/>
          <w:trHeight w:val="380"/>
        </w:trPr>
        <w:tc>
          <w:tcPr>
            <w:shd w:val="clear" w:color="auto" w:fill="auto"/>
            <w:tcW w:w="1066"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序列</w:t>
            </w:r>
            <w:r/>
          </w:p>
        </w:tc>
        <w:tc>
          <w:tcPr>
            <w:shd w:val="clear" w:color="auto" w:fill="auto"/>
            <w:tcW w:w="163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服务项目</w:t>
            </w:r>
            <w:r/>
          </w:p>
        </w:tc>
        <w:tc>
          <w:tcPr>
            <w:shd w:val="clear" w:color="auto" w:fill="auto"/>
            <w:tcW w:w="685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具体内容</w:t>
            </w:r>
            <w:r/>
          </w:p>
        </w:tc>
      </w:tr>
      <w:tr>
        <w:trPr>
          <w:jc w:val="center"/>
          <w:trHeight w:val="1826"/>
        </w:trPr>
        <w:tc>
          <w:tcPr>
            <w:tcW w:w="1066"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163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压缩机</w:t>
            </w:r>
            <w:r/>
          </w:p>
        </w:tc>
        <w:tc>
          <w:tcPr>
            <w:tcW w:w="6855"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1.检查吸、排气温度，吸、排气过热度</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2.检查轴承、压缩机运转声音正常</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3.检查压缩机加卸载情况正常</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4.检查油位正常</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5.检查启动电流、温升正常</w:t>
            </w:r>
            <w:r/>
          </w:p>
        </w:tc>
      </w:tr>
      <w:tr>
        <w:trPr>
          <w:jc w:val="center"/>
          <w:trHeight w:val="1834"/>
        </w:trPr>
        <w:tc>
          <w:tcPr>
            <w:tcW w:w="1066"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W w:w="163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冷媒系统</w:t>
            </w:r>
            <w:r/>
          </w:p>
        </w:tc>
        <w:tc>
          <w:tcPr>
            <w:tcW w:w="6855"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1.检查冷凝、蒸发温度、压力</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2.从视镜检查冷凝器、蒸发器及相关管道液位正常</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3.检查冷媒含湿量</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4.清洗蒸发器冷凝器铜管</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5.更换干燥过滤器</w:t>
            </w:r>
            <w:r/>
          </w:p>
        </w:tc>
      </w:tr>
      <w:tr>
        <w:trPr>
          <w:jc w:val="center"/>
          <w:trHeight w:val="1826"/>
        </w:trPr>
        <w:tc>
          <w:tcPr>
            <w:tcW w:w="1066"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W w:w="163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油系统</w:t>
            </w:r>
            <w:r/>
          </w:p>
        </w:tc>
        <w:tc>
          <w:tcPr>
            <w:tcW w:w="6855"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1.从视镜检查油色、油位正常</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2.检查油泵同时检查油过滤器是否堵塞</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3.从视镜检查冷凝器、蒸发器及相关管道液位正常</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4.检查油温、传感器、加热器</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5.检查油路有无泄漏，换油、换油过滤器</w:t>
            </w:r>
            <w:r/>
          </w:p>
        </w:tc>
      </w:tr>
      <w:tr>
        <w:trPr>
          <w:jc w:val="center"/>
          <w:trHeight w:val="490"/>
        </w:trPr>
        <w:tc>
          <w:tcPr>
            <w:tcW w:w="1066"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W w:w="163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电气系统（启动柜）</w:t>
            </w:r>
            <w:r/>
          </w:p>
        </w:tc>
        <w:tc>
          <w:tcPr>
            <w:tcW w:w="6855"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1.检查压缩机三相电压高低、稳定情况与相间平衡</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2.检查机组主接触器、触点表面情况，若有必要进行更换</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3.检查空气开关脱扣性能，及其它保好的保护装置灵敏度与性能</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4.检查机组内各保险丝通断情况，检查保险丝完好程度</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5.测量压缩机对地绝缘电阻</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6.检查并紧固各接线端子、整理线缆</w:t>
            </w:r>
            <w:r/>
          </w:p>
        </w:tc>
      </w:tr>
      <w:tr>
        <w:trPr>
          <w:jc w:val="center"/>
          <w:trHeight w:val="2089"/>
        </w:trPr>
        <w:tc>
          <w:tcPr>
            <w:tcW w:w="1066"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W w:w="163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电气系统（电控柜）</w:t>
            </w:r>
            <w:r/>
          </w:p>
        </w:tc>
        <w:tc>
          <w:tcPr>
            <w:tcW w:w="6855"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1.检查机组微电脑显示屏是否正常显示</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2.检查机组进出水温、蒸发压力、冷凝压力、排气温度等各项模拟量显示值，必要时对故障元件进行更换或维修</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3.检查机组设定值，包括出水温度与各项保护设定值</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4.检查并紧固各接线端子、整理线缆</w:t>
            </w:r>
            <w:r/>
          </w:p>
        </w:tc>
      </w:tr>
    </w:tbl>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②燃气锅炉</w:t>
      </w:r>
      <w:r/>
    </w:p>
    <w:tbl>
      <w:tblPr>
        <w:tblStyle w:val="745"/>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4"/>
        <w:gridCol w:w="2201"/>
        <w:gridCol w:w="6354"/>
      </w:tblGrid>
      <w:tr>
        <w:trPr>
          <w:jc w:val="center"/>
          <w:trHeight w:val="585"/>
        </w:trPr>
        <w:tc>
          <w:tcPr>
            <w:shd w:val="clear" w:color="auto" w:fill="auto"/>
            <w:tcW w:w="1024"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序列</w:t>
            </w:r>
            <w:r/>
          </w:p>
        </w:tc>
        <w:tc>
          <w:tcPr>
            <w:shd w:val="clear" w:color="auto" w:fill="auto"/>
            <w:tcW w:w="22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服务项目</w:t>
            </w:r>
            <w:r/>
          </w:p>
        </w:tc>
        <w:tc>
          <w:tcPr>
            <w:shd w:val="clear" w:color="auto" w:fill="auto"/>
            <w:tcW w:w="6354"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具体内容</w:t>
            </w:r>
            <w:r/>
          </w:p>
        </w:tc>
      </w:tr>
      <w:tr>
        <w:trPr>
          <w:jc w:val="center"/>
          <w:trHeight w:val="915"/>
        </w:trPr>
        <w:tc>
          <w:tcPr>
            <w:shd w:val="clear" w:color="auto" w:fill="auto"/>
            <w:tcW w:w="1024"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shd w:val="clear" w:color="auto" w:fill="auto"/>
            <w:tcW w:w="22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安全附件</w:t>
            </w:r>
            <w:r/>
          </w:p>
        </w:tc>
        <w:tc>
          <w:tcPr>
            <w:shd w:val="clear" w:color="auto" w:fill="auto"/>
            <w:tcW w:w="6354"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锅炉运行中，重点检查、记录锅炉安全部件和转动设备的运行情况，无超压、过载，炉体无鼓包、裂纹，无液位异常。</w:t>
            </w:r>
            <w:r/>
          </w:p>
        </w:tc>
      </w:tr>
      <w:tr>
        <w:trPr>
          <w:jc w:val="center"/>
          <w:trHeight w:val="323"/>
        </w:trPr>
        <w:tc>
          <w:tcPr>
            <w:shd w:val="clear" w:color="auto" w:fill="auto"/>
            <w:tcW w:w="1024"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shd w:val="clear" w:color="auto" w:fill="auto"/>
            <w:tcW w:w="22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燃烧器</w:t>
            </w:r>
            <w:r/>
          </w:p>
        </w:tc>
        <w:tc>
          <w:tcPr>
            <w:shd w:val="clear" w:color="auto" w:fill="auto"/>
            <w:tcW w:w="6354"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保持现场清洁，做到无杂物、无积灰、无积水、无油垢；2.每季度对燃烧器清理一次，检查控制系统；3.清理燃烧器，点火电极、火焰盘、燃烧头；4.检查、调整燃气蝶阀、空气蝶阀；5.检查、调整一次配风系统，二次配风系统；6.检测燃烧器控制程序；7.检测火焰监测回路，检查跑冒滴漏。</w:t>
            </w:r>
            <w:r/>
          </w:p>
        </w:tc>
      </w:tr>
      <w:tr>
        <w:trPr>
          <w:jc w:val="center"/>
          <w:trHeight w:val="951"/>
        </w:trPr>
        <w:tc>
          <w:tcPr>
            <w:shd w:val="clear" w:color="auto" w:fill="auto"/>
            <w:tcW w:w="1024"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shd w:val="clear" w:color="auto" w:fill="auto"/>
            <w:tcW w:w="22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电控柜</w:t>
            </w:r>
            <w:r/>
          </w:p>
        </w:tc>
        <w:tc>
          <w:tcPr>
            <w:shd w:val="clear" w:color="auto" w:fill="auto"/>
            <w:tcW w:w="6354"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1.每季度电控设备检查一次；2.定期电控柜除尘；3.检查电器设备绝缘与接地。</w:t>
            </w:r>
            <w:r/>
          </w:p>
        </w:tc>
      </w:tr>
      <w:tr>
        <w:trPr>
          <w:jc w:val="center"/>
          <w:trHeight w:val="512"/>
        </w:trPr>
        <w:tc>
          <w:tcPr>
            <w:shd w:val="clear" w:color="auto" w:fill="auto"/>
            <w:tcW w:w="1024"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shd w:val="clear" w:color="auto" w:fill="auto"/>
            <w:tcW w:w="22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给水装置</w:t>
            </w:r>
            <w:r/>
          </w:p>
        </w:tc>
        <w:tc>
          <w:tcPr>
            <w:shd w:val="clear" w:color="auto" w:fill="auto"/>
            <w:tcW w:w="6354"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1.自动给水装置运行正常；2.水泵保养参照泵组保养项目。</w:t>
            </w:r>
            <w:r/>
          </w:p>
        </w:tc>
      </w:tr>
      <w:tr>
        <w:trPr>
          <w:jc w:val="center"/>
          <w:trHeight w:val="2374"/>
        </w:trPr>
        <w:tc>
          <w:tcPr>
            <w:shd w:val="clear" w:color="auto" w:fill="auto"/>
            <w:tcW w:w="1024"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shd w:val="clear" w:color="auto" w:fill="auto"/>
            <w:tcW w:w="22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停炉</w:t>
            </w:r>
            <w:r/>
          </w:p>
        </w:tc>
        <w:tc>
          <w:tcPr>
            <w:shd w:val="clear" w:color="auto" w:fill="auto"/>
            <w:tcW w:w="6354"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短期停炉：可采用湿保养法：停炉后，将炉水加满，将空气全部排出；2.长期停炉：采用干保养法：停炉后将炉水放掉，打开下部手孔，吹干锅内积水，并通过下部手孔处，投入干燥剂，且应定期更换，开始可每月检查更换—次，以后可三个月一次。</w:t>
            </w:r>
            <w:r/>
          </w:p>
        </w:tc>
      </w:tr>
    </w:tbl>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③风冷热泵、空气源热泵</w:t>
      </w:r>
      <w:r/>
    </w:p>
    <w:tbl>
      <w:tblPr>
        <w:tblStyle w:val="776"/>
        <w:tblW w:w="9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2126"/>
        <w:gridCol w:w="6410"/>
      </w:tblGrid>
      <w:tr>
        <w:trPr>
          <w:jc w:val="center"/>
          <w:trHeight w:val="531"/>
        </w:trPr>
        <w:tc>
          <w:tcPr>
            <w:tcW w:w="98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序列</w:t>
            </w:r>
            <w:r/>
          </w:p>
        </w:tc>
        <w:tc>
          <w:tcPr>
            <w:tcW w:w="2126"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服务项目</w:t>
            </w:r>
            <w:r/>
          </w:p>
        </w:tc>
        <w:tc>
          <w:tcPr>
            <w:tcW w:w="641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具体内容</w:t>
            </w:r>
            <w:r/>
          </w:p>
        </w:tc>
      </w:tr>
      <w:tr>
        <w:trPr>
          <w:jc w:val="center"/>
          <w:trHeight w:val="513"/>
        </w:trPr>
        <w:tc>
          <w:tcPr>
            <w:tcW w:w="98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2126"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机组状况</w:t>
            </w:r>
            <w:r/>
          </w:p>
        </w:tc>
        <w:tc>
          <w:tcPr>
            <w:tcW w:w="641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检查保温棉、减震器、主要结构、喷漆工作</w:t>
            </w:r>
            <w:r/>
          </w:p>
        </w:tc>
      </w:tr>
      <w:tr>
        <w:trPr>
          <w:jc w:val="center"/>
          <w:trHeight w:val="907"/>
        </w:trPr>
        <w:tc>
          <w:tcPr>
            <w:tcW w:w="98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W w:w="2126"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常规制冷剂系统</w:t>
            </w:r>
            <w:r/>
          </w:p>
        </w:tc>
        <w:tc>
          <w:tcPr>
            <w:tcW w:w="641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检查安全阀、管路受损情况、泄漏、湿度视液镜、吸气过热度、液体过冷度、电磁阀</w:t>
            </w:r>
            <w:r/>
          </w:p>
        </w:tc>
      </w:tr>
      <w:tr>
        <w:trPr>
          <w:jc w:val="center"/>
          <w:trHeight w:val="513"/>
        </w:trPr>
        <w:tc>
          <w:tcPr>
            <w:tcW w:w="98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W w:w="2126"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压缩机</w:t>
            </w:r>
            <w:r/>
          </w:p>
        </w:tc>
        <w:tc>
          <w:tcPr>
            <w:tcW w:w="641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检查油位、油情况</w:t>
            </w:r>
            <w:r/>
          </w:p>
        </w:tc>
      </w:tr>
      <w:tr>
        <w:trPr>
          <w:jc w:val="center"/>
          <w:trHeight w:val="531"/>
        </w:trPr>
        <w:tc>
          <w:tcPr>
            <w:tcW w:w="98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W w:w="2126"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蒸发器</w:t>
            </w:r>
            <w:r/>
          </w:p>
        </w:tc>
        <w:tc>
          <w:tcPr>
            <w:tcW w:w="641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检查水流量、水压降、加热器垫、pH值/乙二醇浓度</w:t>
            </w:r>
            <w:r/>
          </w:p>
        </w:tc>
      </w:tr>
      <w:tr>
        <w:trPr>
          <w:jc w:val="center"/>
          <w:trHeight w:val="891"/>
        </w:trPr>
        <w:tc>
          <w:tcPr>
            <w:tcW w:w="98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W w:w="2126"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风冷式冷凝器</w:t>
            </w:r>
            <w:r/>
          </w:p>
        </w:tc>
        <w:tc>
          <w:tcPr>
            <w:tcW w:w="641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检查阻碍气流的物体、翅片、风机与风机护网、刷翅片、检查风扇电机轴承</w:t>
            </w:r>
            <w:r/>
          </w:p>
        </w:tc>
      </w:tr>
      <w:tr>
        <w:trPr>
          <w:jc w:val="center"/>
          <w:trHeight w:val="1628"/>
        </w:trPr>
        <w:tc>
          <w:tcPr>
            <w:tcW w:w="98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tcW w:w="2126"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电源、控制系统</w:t>
            </w:r>
            <w:r/>
          </w:p>
        </w:tc>
        <w:tc>
          <w:tcPr>
            <w:tcW w:w="641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检查面板条件、电源与控制系统接线、传感器位置、机械高压开关切断、所有连接线路、压缩机电流接触器、风机电流接触器/过载、感温探头/传感器校准、电机保护、接触器连接情况</w:t>
            </w:r>
            <w:r/>
          </w:p>
        </w:tc>
      </w:tr>
      <w:tr>
        <w:trPr>
          <w:jc w:val="center"/>
          <w:trHeight w:val="891"/>
        </w:trPr>
        <w:tc>
          <w:tcPr>
            <w:tcW w:w="98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tcW w:w="2126"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微处理器控制</w:t>
            </w:r>
            <w:r/>
          </w:p>
        </w:tc>
        <w:tc>
          <w:tcPr>
            <w:tcW w:w="641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检查故障历史、程序设定、高压/低压切断功能、加载/卸载功能、风机控制功能、环境温度切断功能</w:t>
            </w:r>
            <w:r/>
          </w:p>
        </w:tc>
      </w:tr>
    </w:tbl>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④板式换热器</w:t>
      </w:r>
      <w:r/>
    </w:p>
    <w:tbl>
      <w:tblPr>
        <w:tblStyle w:val="745"/>
        <w:tblW w:w="95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5"/>
        <w:gridCol w:w="2177"/>
        <w:gridCol w:w="6336"/>
      </w:tblGrid>
      <w:tr>
        <w:trPr>
          <w:jc w:val="center"/>
          <w:trHeight w:val="388"/>
        </w:trPr>
        <w:tc>
          <w:tcPr>
            <w:shd w:val="clear" w:color="auto" w:fill="auto"/>
            <w:tcW w:w="100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序列</w:t>
            </w:r>
            <w:r/>
          </w:p>
        </w:tc>
        <w:tc>
          <w:tcPr>
            <w:shd w:val="clear" w:color="auto" w:fill="auto"/>
            <w:tcW w:w="2177"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服务项目</w:t>
            </w:r>
            <w:r/>
          </w:p>
        </w:tc>
        <w:tc>
          <w:tcPr>
            <w:shd w:val="clear" w:color="auto" w:fill="auto"/>
            <w:tcW w:w="6336"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具体内容</w:t>
            </w:r>
            <w:r/>
          </w:p>
        </w:tc>
      </w:tr>
      <w:tr>
        <w:trPr>
          <w:jc w:val="center"/>
          <w:trHeight w:val="731"/>
        </w:trPr>
        <w:tc>
          <w:tcPr>
            <w:shd w:val="clear" w:color="auto" w:fill="auto"/>
            <w:tcW w:w="100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shd w:val="clear" w:color="auto" w:fill="auto"/>
            <w:tcW w:w="2177"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板块内部结垢的检查</w:t>
            </w:r>
            <w:r/>
          </w:p>
        </w:tc>
        <w:tc>
          <w:tcPr>
            <w:shd w:val="clear" w:color="auto" w:fill="auto"/>
            <w:tcW w:w="6336"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水中杂质过多时配置过滤器并且经常性拆洗，如果循环水的硬度偏高，应预先进行软化。</w:t>
            </w:r>
            <w:r/>
          </w:p>
        </w:tc>
      </w:tr>
      <w:tr>
        <w:trPr>
          <w:jc w:val="center"/>
          <w:trHeight w:val="794"/>
        </w:trPr>
        <w:tc>
          <w:tcPr>
            <w:shd w:val="clear" w:color="auto" w:fill="auto"/>
            <w:tcW w:w="100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shd w:val="clear" w:color="auto" w:fill="auto"/>
            <w:tcW w:w="2177"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换热器板片、垫片</w:t>
            </w:r>
            <w:r/>
          </w:p>
        </w:tc>
        <w:tc>
          <w:tcPr>
            <w:shd w:val="clear" w:color="auto" w:fill="auto"/>
            <w:tcW w:w="6336"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采取压紧或更换板片的办法，同时按本标准的换热器的维修作业所列相关步骤和要求进行。</w:t>
            </w:r>
            <w:r/>
          </w:p>
        </w:tc>
      </w:tr>
      <w:tr>
        <w:trPr>
          <w:jc w:val="center"/>
          <w:trHeight w:val="388"/>
        </w:trPr>
        <w:tc>
          <w:tcPr>
            <w:shd w:val="clear" w:color="auto" w:fill="auto"/>
            <w:tcW w:w="100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shd w:val="clear" w:color="auto" w:fill="auto"/>
            <w:tcW w:w="2177"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换热器</w:t>
            </w:r>
            <w:r/>
          </w:p>
        </w:tc>
        <w:tc>
          <w:tcPr>
            <w:shd w:val="clear" w:color="auto" w:fill="auto"/>
            <w:tcW w:w="6336"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1.关闭进出阀口，放空换热内的介质；</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2.将夹紧螺栓松开到固定尺寸的1.15倍。</w:t>
            </w:r>
            <w:r/>
          </w:p>
        </w:tc>
      </w:tr>
    </w:tbl>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⑤空调、卫热水泵</w:t>
      </w:r>
      <w:r/>
    </w:p>
    <w:tbl>
      <w:tblPr>
        <w:tblStyle w:val="745"/>
        <w:tblW w:w="955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2"/>
        <w:gridCol w:w="1788"/>
        <w:gridCol w:w="6699"/>
      </w:tblGrid>
      <w:tr>
        <w:trPr>
          <w:jc w:val="center"/>
          <w:trHeight w:val="390"/>
        </w:trPr>
        <w:tc>
          <w:tcPr>
            <w:shd w:val="clear" w:color="auto" w:fill="auto"/>
            <w:tcW w:w="1072"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序列</w:t>
            </w:r>
            <w:r/>
          </w:p>
        </w:tc>
        <w:tc>
          <w:tcPr>
            <w:shd w:val="clear" w:color="auto" w:fill="auto"/>
            <w:tcW w:w="178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服务项目</w:t>
            </w:r>
            <w:r/>
          </w:p>
        </w:tc>
        <w:tc>
          <w:tcPr>
            <w:shd w:val="clear" w:color="auto" w:fill="auto"/>
            <w:tcW w:w="669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具体内容</w:t>
            </w:r>
            <w:r/>
          </w:p>
        </w:tc>
      </w:tr>
      <w:tr>
        <w:trPr>
          <w:jc w:val="center"/>
          <w:trHeight w:val="332"/>
        </w:trPr>
        <w:tc>
          <w:tcPr>
            <w:tcW w:w="1072"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178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润滑油添加</w:t>
            </w:r>
            <w:r/>
          </w:p>
        </w:tc>
        <w:tc>
          <w:tcPr>
            <w:tcW w:w="669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检查油面、油质、油乳化、油无杂质；添加或更换新润滑油。</w:t>
            </w:r>
            <w:r/>
          </w:p>
        </w:tc>
      </w:tr>
      <w:tr>
        <w:trPr>
          <w:jc w:val="center"/>
          <w:trHeight w:val="657"/>
        </w:trPr>
        <w:tc>
          <w:tcPr>
            <w:tcW w:w="1072"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W w:w="178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螺栓、连接件检查及更换</w:t>
            </w:r>
            <w:r/>
          </w:p>
        </w:tc>
        <w:tc>
          <w:tcPr>
            <w:tcW w:w="669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检查及更换紧固螺栓及连接件。</w:t>
            </w:r>
            <w:r/>
          </w:p>
        </w:tc>
      </w:tr>
      <w:tr>
        <w:trPr>
          <w:jc w:val="center"/>
          <w:trHeight w:val="657"/>
        </w:trPr>
        <w:tc>
          <w:tcPr>
            <w:tcW w:w="1072"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W w:w="178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填料轴封维护</w:t>
            </w:r>
            <w:r/>
          </w:p>
        </w:tc>
        <w:tc>
          <w:tcPr>
            <w:tcW w:w="669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1.检查填料式轴封漏水量；2.紧固轴封的填料压盖螺栓或更换成不锈钢螺栓螺帽；3.采用柔性石墨盘根填紧填料式轴封。</w:t>
            </w:r>
            <w:r/>
          </w:p>
        </w:tc>
      </w:tr>
      <w:tr>
        <w:trPr>
          <w:jc w:val="center"/>
          <w:trHeight w:val="657"/>
        </w:trPr>
        <w:tc>
          <w:tcPr>
            <w:tcW w:w="1072"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W w:w="178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机械轴封维护</w:t>
            </w:r>
            <w:r/>
          </w:p>
        </w:tc>
        <w:tc>
          <w:tcPr>
            <w:tcW w:w="669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更换泄漏量大于10ml/h或轴套表面波纹状磨损的轴封。更换橡胶O型圈。</w:t>
            </w:r>
            <w:r/>
          </w:p>
        </w:tc>
      </w:tr>
      <w:tr>
        <w:trPr>
          <w:jc w:val="center"/>
          <w:trHeight w:val="332"/>
        </w:trPr>
        <w:tc>
          <w:tcPr>
            <w:tcW w:w="1072"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W w:w="178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润滑油更换</w:t>
            </w:r>
            <w:r/>
          </w:p>
        </w:tc>
        <w:tc>
          <w:tcPr>
            <w:tcW w:w="669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更换润滑油、清洗油箱。对油箱轴封维护、更换。</w:t>
            </w:r>
            <w:r/>
          </w:p>
        </w:tc>
      </w:tr>
      <w:tr>
        <w:trPr>
          <w:jc w:val="center"/>
          <w:trHeight w:val="680"/>
        </w:trPr>
        <w:tc>
          <w:tcPr>
            <w:tcW w:w="1072"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tcW w:w="178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润滑油脂更换</w:t>
            </w:r>
            <w:r/>
          </w:p>
        </w:tc>
        <w:tc>
          <w:tcPr>
            <w:tcW w:w="669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1.更换润滑脂、清洗轴承座和清除废油脂。2.对油嘴润滑脂的强力充注。3.对超出时限的润滑脂彻底清除、更换。</w:t>
            </w:r>
            <w:r/>
          </w:p>
        </w:tc>
      </w:tr>
      <w:tr>
        <w:trPr>
          <w:jc w:val="center"/>
          <w:trHeight w:val="463"/>
        </w:trPr>
        <w:tc>
          <w:tcPr>
            <w:tcW w:w="1072"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tcW w:w="178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解体检修</w:t>
            </w:r>
            <w:r/>
          </w:p>
        </w:tc>
        <w:tc>
          <w:tcPr>
            <w:tcW w:w="669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对泵壳、叶轮内外面、叶轮流道、密封环、主轴等处清洗、除垢、更换、调整、油漆。</w:t>
            </w:r>
            <w:r/>
          </w:p>
        </w:tc>
      </w:tr>
      <w:tr>
        <w:trPr>
          <w:jc w:val="center"/>
          <w:trHeight w:val="332"/>
        </w:trPr>
        <w:tc>
          <w:tcPr>
            <w:tcW w:w="1072"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w:t>
            </w:r>
            <w:r/>
          </w:p>
        </w:tc>
        <w:tc>
          <w:tcPr>
            <w:tcW w:w="178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电器检查</w:t>
            </w:r>
            <w:r/>
          </w:p>
        </w:tc>
        <w:tc>
          <w:tcPr>
            <w:tcW w:w="669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对电机，控制系统，变频装置等常规检查。</w:t>
            </w:r>
            <w:r/>
          </w:p>
        </w:tc>
      </w:tr>
      <w:tr>
        <w:trPr>
          <w:jc w:val="center"/>
          <w:trHeight w:val="456"/>
        </w:trPr>
        <w:tc>
          <w:tcPr>
            <w:tcW w:w="1072"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w:t>
            </w:r>
            <w:r/>
          </w:p>
        </w:tc>
        <w:tc>
          <w:tcPr>
            <w:tcW w:w="178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电器检修</w:t>
            </w:r>
            <w:r/>
          </w:p>
        </w:tc>
        <w:tc>
          <w:tcPr>
            <w:tcW w:w="669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对电机、低压电器、连接线、连接端子、接地、绝缘等检修。</w:t>
            </w:r>
            <w:r/>
          </w:p>
        </w:tc>
      </w:tr>
      <w:tr>
        <w:trPr>
          <w:jc w:val="center"/>
          <w:trHeight w:val="456"/>
        </w:trPr>
        <w:tc>
          <w:tcPr>
            <w:tcW w:w="1072"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w:t>
            </w:r>
            <w:r/>
          </w:p>
        </w:tc>
        <w:tc>
          <w:tcPr>
            <w:tcW w:w="178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泵体除垢刷漆</w:t>
            </w:r>
            <w:r/>
          </w:p>
        </w:tc>
        <w:tc>
          <w:tcPr>
            <w:tcW w:w="669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对泵内外除锈刷漆。</w:t>
            </w:r>
            <w:r/>
          </w:p>
        </w:tc>
      </w:tr>
      <w:tr>
        <w:trPr>
          <w:jc w:val="center"/>
          <w:trHeight w:val="346"/>
        </w:trPr>
        <w:tc>
          <w:tcPr>
            <w:tcW w:w="1072"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w:t>
            </w:r>
            <w:r/>
          </w:p>
        </w:tc>
        <w:tc>
          <w:tcPr>
            <w:tcW w:w="178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压力表校对</w:t>
            </w:r>
            <w:r/>
          </w:p>
        </w:tc>
        <w:tc>
          <w:tcPr>
            <w:tcW w:w="669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对水泵进出口压力校对及检修。</w:t>
            </w:r>
            <w:r/>
          </w:p>
        </w:tc>
      </w:tr>
    </w:tbl>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⑥冷却塔（制冷季每月一次，制冷季结束拆除电机皮带）</w:t>
      </w:r>
      <w:r/>
    </w:p>
    <w:tbl>
      <w:tblPr>
        <w:tblStyle w:val="745"/>
        <w:tblW w:w="959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3"/>
        <w:gridCol w:w="2501"/>
        <w:gridCol w:w="6075"/>
      </w:tblGrid>
      <w:tr>
        <w:trPr>
          <w:jc w:val="center"/>
          <w:trHeight w:val="509"/>
        </w:trPr>
        <w:tc>
          <w:tcPr>
            <w:shd w:val="clear" w:color="auto" w:fill="auto"/>
            <w:tcW w:w="1023"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序列</w:t>
            </w:r>
            <w:r/>
          </w:p>
        </w:tc>
        <w:tc>
          <w:tcPr>
            <w:shd w:val="clear" w:color="auto" w:fill="auto"/>
            <w:tcW w:w="25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服务项目</w:t>
            </w:r>
            <w:r/>
          </w:p>
        </w:tc>
        <w:tc>
          <w:tcPr>
            <w:shd w:val="clear" w:color="auto" w:fill="auto"/>
            <w:tcW w:w="607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具体内容</w:t>
            </w:r>
            <w:r/>
          </w:p>
        </w:tc>
      </w:tr>
      <w:tr>
        <w:trPr>
          <w:jc w:val="center"/>
          <w:trHeight w:val="333"/>
        </w:trPr>
        <w:tc>
          <w:tcPr>
            <w:shd w:val="clear" w:color="auto" w:fill="auto"/>
            <w:tcW w:w="1023"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shd w:val="clear" w:color="auto" w:fill="auto"/>
            <w:tcW w:w="25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通风装置紧固</w:t>
            </w:r>
            <w:r/>
          </w:p>
        </w:tc>
        <w:tc>
          <w:tcPr>
            <w:shd w:val="clear" w:color="auto" w:fill="auto"/>
            <w:tcW w:w="607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电机、风机减速装置和连接螺栓的紧固。</w:t>
            </w:r>
            <w:r/>
          </w:p>
        </w:tc>
      </w:tr>
      <w:tr>
        <w:trPr>
          <w:jc w:val="center"/>
          <w:trHeight w:val="659"/>
        </w:trPr>
        <w:tc>
          <w:tcPr>
            <w:shd w:val="clear" w:color="auto" w:fill="auto"/>
            <w:tcW w:w="1023"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shd w:val="clear" w:color="auto" w:fill="auto"/>
            <w:tcW w:w="25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风机皮带调整</w:t>
            </w:r>
            <w:r/>
          </w:p>
        </w:tc>
        <w:tc>
          <w:tcPr>
            <w:shd w:val="clear" w:color="auto" w:fill="auto"/>
            <w:tcW w:w="607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1.对皮带的平行度、松紧度的调整；2.对皮带受力均匀检查。</w:t>
            </w:r>
            <w:r/>
          </w:p>
        </w:tc>
      </w:tr>
      <w:tr>
        <w:trPr>
          <w:jc w:val="center"/>
          <w:trHeight w:val="418"/>
        </w:trPr>
        <w:tc>
          <w:tcPr>
            <w:tcW w:w="1023"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W w:w="25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风机叶片检查</w:t>
            </w:r>
            <w:r/>
          </w:p>
        </w:tc>
        <w:tc>
          <w:tcPr>
            <w:tcW w:w="607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1.风机、叶片腐蚀及受损检查；2.风机叶片角度的检查；3.风机叶片固定螺栓的检查；4.风机动静平衡检查；5.风机叶片与排风洞的间隙检查；6.风机震动与噪声检查。</w:t>
            </w:r>
            <w:r/>
          </w:p>
        </w:tc>
      </w:tr>
      <w:tr>
        <w:trPr>
          <w:jc w:val="center"/>
          <w:trHeight w:val="985"/>
        </w:trPr>
        <w:tc>
          <w:tcPr>
            <w:tcW w:w="1023"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W w:w="25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布水装置清洗及维护</w:t>
            </w:r>
            <w:r/>
          </w:p>
        </w:tc>
        <w:tc>
          <w:tcPr>
            <w:tcW w:w="607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1.布水速度的检查；2.布水器的漏水检查；3.布水孔清洗；4.布水管出水与填料夹角角度检查；5.布水管与壳体周边间隙检查；6.布水管与填料间布水高度的检查。</w:t>
            </w:r>
            <w:r/>
          </w:p>
        </w:tc>
      </w:tr>
      <w:tr>
        <w:trPr>
          <w:jc w:val="center"/>
          <w:trHeight w:val="659"/>
        </w:trPr>
        <w:tc>
          <w:tcPr>
            <w:tcW w:w="1023"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W w:w="25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填料清洗</w:t>
            </w:r>
            <w:r/>
          </w:p>
        </w:tc>
        <w:tc>
          <w:tcPr>
            <w:tcW w:w="607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1.填料的破损检查；2.填料油污、泥垢、菌藻检查清洗；3.其它杂物及漂浮物的检查清洗。</w:t>
            </w:r>
            <w:r/>
          </w:p>
        </w:tc>
      </w:tr>
      <w:tr>
        <w:trPr>
          <w:jc w:val="center"/>
          <w:trHeight w:val="333"/>
        </w:trPr>
        <w:tc>
          <w:tcPr>
            <w:tcW w:w="1023"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tcW w:w="25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减速器加油</w:t>
            </w:r>
            <w:r/>
          </w:p>
        </w:tc>
        <w:tc>
          <w:tcPr>
            <w:tcW w:w="607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1.按规定加油；2.检查油面高度及油质；3.杜绝漏油。</w:t>
            </w:r>
            <w:r/>
          </w:p>
        </w:tc>
      </w:tr>
      <w:tr>
        <w:trPr>
          <w:jc w:val="center"/>
          <w:trHeight w:val="523"/>
        </w:trPr>
        <w:tc>
          <w:tcPr>
            <w:tcW w:w="1023"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tcW w:w="25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水盘清洗</w:t>
            </w:r>
            <w:r/>
          </w:p>
        </w:tc>
        <w:tc>
          <w:tcPr>
            <w:tcW w:w="607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1.油污清洗；2.泥垢、菌藻清洗；3.排放污水；4.清扫水盘。</w:t>
            </w:r>
            <w:r/>
          </w:p>
        </w:tc>
      </w:tr>
      <w:tr>
        <w:trPr>
          <w:jc w:val="center"/>
          <w:trHeight w:val="333"/>
        </w:trPr>
        <w:tc>
          <w:tcPr>
            <w:tcW w:w="1023"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w:t>
            </w:r>
            <w:r/>
          </w:p>
        </w:tc>
        <w:tc>
          <w:tcPr>
            <w:tcW w:w="25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减速器换油</w:t>
            </w:r>
            <w:r/>
          </w:p>
        </w:tc>
        <w:tc>
          <w:tcPr>
            <w:tcW w:w="607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按保养要求更换润滑油。</w:t>
            </w:r>
            <w:r/>
          </w:p>
        </w:tc>
      </w:tr>
      <w:tr>
        <w:trPr>
          <w:jc w:val="center"/>
          <w:trHeight w:val="333"/>
        </w:trPr>
        <w:tc>
          <w:tcPr>
            <w:tcW w:w="1023"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w:t>
            </w:r>
            <w:r/>
          </w:p>
        </w:tc>
        <w:tc>
          <w:tcPr>
            <w:tcW w:w="25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风机轴承换油</w:t>
            </w:r>
            <w:r/>
          </w:p>
        </w:tc>
        <w:tc>
          <w:tcPr>
            <w:tcW w:w="607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按保养要求强制性更换润滑脂。</w:t>
            </w:r>
            <w:r/>
          </w:p>
        </w:tc>
      </w:tr>
      <w:tr>
        <w:trPr>
          <w:jc w:val="center"/>
          <w:trHeight w:val="659"/>
        </w:trPr>
        <w:tc>
          <w:tcPr>
            <w:tcW w:w="1023"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w:t>
            </w:r>
            <w:r/>
          </w:p>
        </w:tc>
        <w:tc>
          <w:tcPr>
            <w:tcW w:w="25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电机绝缘检测及机械维护</w:t>
            </w:r>
            <w:r/>
          </w:p>
        </w:tc>
        <w:tc>
          <w:tcPr>
            <w:tcW w:w="607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1.电器、电机的常规检测及维护；2.机械设备的常规检查及维护。</w:t>
            </w:r>
            <w:r/>
          </w:p>
        </w:tc>
      </w:tr>
      <w:tr>
        <w:trPr>
          <w:jc w:val="center"/>
          <w:trHeight w:val="347"/>
        </w:trPr>
        <w:tc>
          <w:tcPr>
            <w:tcW w:w="1023"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w:t>
            </w:r>
            <w:r/>
          </w:p>
        </w:tc>
        <w:tc>
          <w:tcPr>
            <w:tcW w:w="25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构件刷漆</w:t>
            </w:r>
            <w:r/>
          </w:p>
        </w:tc>
        <w:tc>
          <w:tcPr>
            <w:tcW w:w="607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钢构件、螺栓、支撑件、爬梯除锈更换和油漆。</w:t>
            </w:r>
            <w:r/>
          </w:p>
        </w:tc>
      </w:tr>
    </w:tbl>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⑦空调水管</w:t>
      </w:r>
      <w:r/>
    </w:p>
    <w:tbl>
      <w:tblPr>
        <w:tblStyle w:val="745"/>
        <w:tblW w:w="9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0"/>
        <w:gridCol w:w="2418"/>
        <w:gridCol w:w="6001"/>
      </w:tblGrid>
      <w:tr>
        <w:trPr>
          <w:jc w:val="center"/>
          <w:trHeight w:val="361"/>
        </w:trPr>
        <w:tc>
          <w:tcPr>
            <w:shd w:val="clear" w:color="auto" w:fill="auto"/>
            <w:tcW w:w="114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序列</w:t>
            </w:r>
            <w:r/>
          </w:p>
        </w:tc>
        <w:tc>
          <w:tcPr>
            <w:shd w:val="clear" w:color="auto" w:fill="auto"/>
            <w:tcW w:w="241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服务项目</w:t>
            </w:r>
            <w:r/>
          </w:p>
        </w:tc>
        <w:tc>
          <w:tcPr>
            <w:shd w:val="clear" w:color="auto" w:fill="auto"/>
            <w:tcW w:w="60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具体内容</w:t>
            </w:r>
            <w:r/>
          </w:p>
        </w:tc>
      </w:tr>
      <w:tr>
        <w:trPr>
          <w:jc w:val="center"/>
          <w:trHeight w:val="1038"/>
        </w:trPr>
        <w:tc>
          <w:tcPr>
            <w:shd w:val="clear" w:color="auto" w:fill="auto"/>
            <w:tcW w:w="114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shd w:val="clear" w:color="auto" w:fill="auto"/>
            <w:tcW w:w="241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管道保温</w:t>
            </w:r>
            <w:r/>
          </w:p>
        </w:tc>
        <w:tc>
          <w:tcPr>
            <w:shd w:val="clear" w:color="auto" w:fill="auto"/>
            <w:tcW w:w="60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1.检查保温层脱落、破损、翻翘情况；2.保温层连接处泄漏情况；3.保温层的衰老、变质情况的检查；4.维修后复原。</w:t>
            </w:r>
            <w:r/>
          </w:p>
        </w:tc>
      </w:tr>
      <w:tr>
        <w:trPr>
          <w:jc w:val="center"/>
          <w:trHeight w:val="361"/>
        </w:trPr>
        <w:tc>
          <w:tcPr>
            <w:shd w:val="clear" w:color="auto" w:fill="auto"/>
            <w:tcW w:w="114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shd w:val="clear" w:color="auto" w:fill="auto"/>
            <w:tcW w:w="241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自动排气阀</w:t>
            </w:r>
            <w:r/>
          </w:p>
        </w:tc>
        <w:tc>
          <w:tcPr>
            <w:shd w:val="clear" w:color="auto" w:fill="auto"/>
            <w:tcW w:w="60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1.检查工作情况；2.排气阀的清洗及除垢。</w:t>
            </w:r>
            <w:r/>
          </w:p>
        </w:tc>
      </w:tr>
      <w:tr>
        <w:trPr>
          <w:jc w:val="center"/>
          <w:trHeight w:val="361"/>
        </w:trPr>
        <w:tc>
          <w:tcPr>
            <w:shd w:val="clear" w:color="auto" w:fill="auto"/>
            <w:tcW w:w="114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shd w:val="clear" w:color="auto" w:fill="auto"/>
            <w:tcW w:w="241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管道除锈刷漆</w:t>
            </w:r>
            <w:r/>
          </w:p>
        </w:tc>
        <w:tc>
          <w:tcPr>
            <w:shd w:val="clear" w:color="auto" w:fill="auto"/>
            <w:tcW w:w="60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按保养要求除锈刷漆。</w:t>
            </w:r>
            <w:r/>
          </w:p>
        </w:tc>
      </w:tr>
      <w:tr>
        <w:trPr>
          <w:jc w:val="center"/>
          <w:trHeight w:val="700"/>
        </w:trPr>
        <w:tc>
          <w:tcPr>
            <w:shd w:val="clear" w:color="auto" w:fill="auto"/>
            <w:tcW w:w="114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shd w:val="clear" w:color="auto" w:fill="auto"/>
            <w:tcW w:w="241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凝水检查</w:t>
            </w:r>
            <w:r/>
          </w:p>
        </w:tc>
        <w:tc>
          <w:tcPr>
            <w:shd w:val="clear" w:color="auto" w:fill="auto"/>
            <w:tcW w:w="60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1.检查凝水管及支管安装质量及排水通畅；2.凝水管微生物及结垢检查。</w:t>
            </w:r>
            <w:r/>
          </w:p>
        </w:tc>
      </w:tr>
      <w:tr>
        <w:trPr>
          <w:jc w:val="center"/>
          <w:trHeight w:val="700"/>
        </w:trPr>
        <w:tc>
          <w:tcPr>
            <w:shd w:val="clear" w:color="auto" w:fill="auto"/>
            <w:tcW w:w="114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shd w:val="clear" w:color="auto" w:fill="auto"/>
            <w:tcW w:w="241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阀门除锈刷漆</w:t>
            </w:r>
            <w:r/>
          </w:p>
        </w:tc>
        <w:tc>
          <w:tcPr>
            <w:shd w:val="clear" w:color="auto" w:fill="auto"/>
            <w:tcW w:w="60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1.按规定要求除锈刷漆；2.检查开启度；3.检查完好情况。</w:t>
            </w:r>
            <w:r/>
          </w:p>
        </w:tc>
      </w:tr>
      <w:tr>
        <w:trPr>
          <w:jc w:val="center"/>
          <w:trHeight w:val="361"/>
        </w:trPr>
        <w:tc>
          <w:tcPr>
            <w:shd w:val="clear" w:color="auto" w:fill="auto"/>
            <w:tcW w:w="114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shd w:val="clear" w:color="auto" w:fill="auto"/>
            <w:tcW w:w="241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阀杆涂油（室内）</w:t>
            </w:r>
            <w:r/>
          </w:p>
        </w:tc>
        <w:tc>
          <w:tcPr>
            <w:shd w:val="clear" w:color="auto" w:fill="auto"/>
            <w:tcW w:w="60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按保养要求涂油，并检测启闭灵活性。</w:t>
            </w:r>
            <w:r/>
          </w:p>
        </w:tc>
      </w:tr>
      <w:tr>
        <w:trPr>
          <w:jc w:val="center"/>
          <w:trHeight w:val="361"/>
        </w:trPr>
        <w:tc>
          <w:tcPr>
            <w:shd w:val="clear" w:color="auto" w:fill="auto"/>
            <w:tcW w:w="114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shd w:val="clear" w:color="auto" w:fill="auto"/>
            <w:tcW w:w="241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阀杆涂油（室外）</w:t>
            </w:r>
            <w:r/>
          </w:p>
        </w:tc>
        <w:tc>
          <w:tcPr>
            <w:shd w:val="clear" w:color="auto" w:fill="auto"/>
            <w:tcW w:w="60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按保养要求涂油，并检测启闭灵活性。</w:t>
            </w:r>
            <w:r/>
          </w:p>
        </w:tc>
      </w:tr>
      <w:tr>
        <w:trPr>
          <w:jc w:val="center"/>
          <w:trHeight w:val="700"/>
        </w:trPr>
        <w:tc>
          <w:tcPr>
            <w:shd w:val="clear" w:color="auto" w:fill="auto"/>
            <w:tcW w:w="114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w:t>
            </w:r>
            <w:r/>
          </w:p>
        </w:tc>
        <w:tc>
          <w:tcPr>
            <w:shd w:val="clear" w:color="auto" w:fill="auto"/>
            <w:tcW w:w="241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电动阀内变速箱换油</w:t>
            </w:r>
            <w:r/>
          </w:p>
        </w:tc>
        <w:tc>
          <w:tcPr>
            <w:shd w:val="clear" w:color="auto" w:fill="auto"/>
            <w:tcW w:w="60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按保养要求更换润滑油并注意油质及油面高度。</w:t>
            </w:r>
            <w:r/>
          </w:p>
        </w:tc>
      </w:tr>
      <w:tr>
        <w:trPr>
          <w:jc w:val="center"/>
          <w:trHeight w:val="700"/>
        </w:trPr>
        <w:tc>
          <w:tcPr>
            <w:shd w:val="clear" w:color="auto" w:fill="auto"/>
            <w:tcW w:w="114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w:t>
            </w:r>
            <w:r/>
          </w:p>
        </w:tc>
        <w:tc>
          <w:tcPr>
            <w:shd w:val="clear" w:color="auto" w:fill="auto"/>
            <w:tcW w:w="241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电动阀门保养</w:t>
            </w:r>
            <w:r/>
          </w:p>
        </w:tc>
        <w:tc>
          <w:tcPr>
            <w:shd w:val="clear" w:color="auto" w:fill="auto"/>
            <w:tcW w:w="60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1.电机电器及控制系统的保养；2.阀门的机械常规保养。</w:t>
            </w:r>
            <w:r/>
          </w:p>
        </w:tc>
      </w:tr>
      <w:tr>
        <w:trPr>
          <w:jc w:val="center"/>
          <w:trHeight w:val="361"/>
        </w:trPr>
        <w:tc>
          <w:tcPr>
            <w:shd w:val="clear" w:color="auto" w:fill="auto"/>
            <w:tcW w:w="114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w:t>
            </w:r>
            <w:r/>
          </w:p>
        </w:tc>
        <w:tc>
          <w:tcPr>
            <w:shd w:val="clear" w:color="auto" w:fill="auto"/>
            <w:tcW w:w="241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自动阀门检查</w:t>
            </w:r>
            <w:r/>
          </w:p>
        </w:tc>
        <w:tc>
          <w:tcPr>
            <w:shd w:val="clear" w:color="auto" w:fill="auto"/>
            <w:tcW w:w="60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检查阀门的灵活性和可靠性。</w:t>
            </w:r>
            <w:r/>
          </w:p>
        </w:tc>
      </w:tr>
      <w:tr>
        <w:trPr>
          <w:jc w:val="center"/>
          <w:trHeight w:val="700"/>
        </w:trPr>
        <w:tc>
          <w:tcPr>
            <w:shd w:val="clear" w:color="auto" w:fill="auto"/>
            <w:tcW w:w="114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w:t>
            </w:r>
            <w:r/>
          </w:p>
        </w:tc>
        <w:tc>
          <w:tcPr>
            <w:shd w:val="clear" w:color="auto" w:fill="auto"/>
            <w:tcW w:w="241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冷冻水过滤器清洗</w:t>
            </w:r>
            <w:r/>
          </w:p>
        </w:tc>
        <w:tc>
          <w:tcPr>
            <w:shd w:val="clear" w:color="auto" w:fill="auto"/>
            <w:tcW w:w="60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按照运行要求拆卸清洗。</w:t>
            </w:r>
            <w:r/>
          </w:p>
        </w:tc>
      </w:tr>
      <w:tr>
        <w:trPr>
          <w:jc w:val="center"/>
          <w:trHeight w:val="700"/>
        </w:trPr>
        <w:tc>
          <w:tcPr>
            <w:shd w:val="clear" w:color="auto" w:fill="auto"/>
            <w:tcW w:w="114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w:t>
            </w:r>
            <w:r/>
          </w:p>
        </w:tc>
        <w:tc>
          <w:tcPr>
            <w:shd w:val="clear" w:color="auto" w:fill="auto"/>
            <w:tcW w:w="241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冷却水过滤器清洗</w:t>
            </w:r>
            <w:r/>
          </w:p>
        </w:tc>
        <w:tc>
          <w:tcPr>
            <w:shd w:val="clear" w:color="auto" w:fill="auto"/>
            <w:tcW w:w="60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按照运行要求拆卸清洗</w:t>
            </w:r>
            <w:r/>
          </w:p>
        </w:tc>
      </w:tr>
      <w:tr>
        <w:trPr>
          <w:jc w:val="center"/>
          <w:trHeight w:val="1038"/>
        </w:trPr>
        <w:tc>
          <w:tcPr>
            <w:shd w:val="clear" w:color="auto" w:fill="auto"/>
            <w:tcW w:w="114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w:t>
            </w:r>
            <w:r/>
          </w:p>
        </w:tc>
        <w:tc>
          <w:tcPr>
            <w:shd w:val="clear" w:color="auto" w:fill="auto"/>
            <w:tcW w:w="241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膨胀水箱维护</w:t>
            </w:r>
            <w:r/>
          </w:p>
        </w:tc>
        <w:tc>
          <w:tcPr>
            <w:shd w:val="clear" w:color="auto" w:fill="auto"/>
            <w:tcW w:w="60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1.进水浮球阀维护；2.溢水口和溢水管的检查；3.排污阀的检查；4.膨胀管的检查；5.信号管的检查；6.保温层的检查。</w:t>
            </w:r>
            <w:r/>
          </w:p>
        </w:tc>
      </w:tr>
      <w:tr>
        <w:trPr>
          <w:jc w:val="center"/>
          <w:trHeight w:val="361"/>
        </w:trPr>
        <w:tc>
          <w:tcPr>
            <w:shd w:val="clear" w:color="auto" w:fill="auto"/>
            <w:tcW w:w="114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w:t>
            </w:r>
            <w:r/>
          </w:p>
        </w:tc>
        <w:tc>
          <w:tcPr>
            <w:shd w:val="clear" w:color="auto" w:fill="auto"/>
            <w:tcW w:w="241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膨胀水箱刷漆</w:t>
            </w:r>
            <w:r/>
          </w:p>
        </w:tc>
        <w:tc>
          <w:tcPr>
            <w:shd w:val="clear" w:color="auto" w:fill="auto"/>
            <w:tcW w:w="60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按保养要求对膨胀水箱内外壁的除锈刷漆。</w:t>
            </w:r>
            <w:r/>
          </w:p>
        </w:tc>
      </w:tr>
      <w:tr>
        <w:trPr>
          <w:jc w:val="center"/>
          <w:trHeight w:val="383"/>
        </w:trPr>
        <w:tc>
          <w:tcPr>
            <w:shd w:val="clear" w:color="auto" w:fill="auto"/>
            <w:tcW w:w="114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15</w:t>
            </w:r>
            <w:r/>
          </w:p>
        </w:tc>
        <w:tc>
          <w:tcPr>
            <w:shd w:val="clear" w:color="auto" w:fill="auto"/>
            <w:tcW w:w="241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支撑件除锈刷漆</w:t>
            </w:r>
            <w:r/>
          </w:p>
        </w:tc>
        <w:tc>
          <w:tcPr>
            <w:shd w:val="clear" w:color="auto" w:fill="auto"/>
            <w:tcW w:w="60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按保养要求对支承件除锈刷漆。</w:t>
            </w:r>
            <w:r/>
          </w:p>
        </w:tc>
      </w:tr>
    </w:tbl>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⑧水质管理</w:t>
      </w:r>
      <w:r/>
    </w:p>
    <w:tbl>
      <w:tblPr>
        <w:tblStyle w:val="745"/>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9"/>
        <w:gridCol w:w="2093"/>
        <w:gridCol w:w="6416"/>
      </w:tblGrid>
      <w:tr>
        <w:trPr>
          <w:jc w:val="center"/>
          <w:trHeight w:val="625"/>
        </w:trPr>
        <w:tc>
          <w:tcPr>
            <w:tcBorders>
              <w:top w:val="single" w:color="auto" w:sz="4" w:space="0"/>
              <w:left w:val="single" w:color="auto" w:sz="4" w:space="0"/>
              <w:bottom w:val="single" w:color="auto" w:sz="4" w:space="0"/>
              <w:right w:val="single" w:color="auto" w:sz="4" w:space="0"/>
            </w:tcBorders>
            <w:tcW w:w="989"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序列</w:t>
            </w:r>
            <w:r/>
          </w:p>
        </w:tc>
        <w:tc>
          <w:tcPr>
            <w:tcBorders>
              <w:top w:val="single" w:color="auto" w:sz="4" w:space="0"/>
              <w:left w:val="single" w:color="auto" w:sz="4" w:space="0"/>
              <w:bottom w:val="single" w:color="auto" w:sz="4" w:space="0"/>
              <w:right w:val="single" w:color="auto" w:sz="4" w:space="0"/>
            </w:tcBorders>
            <w:tcW w:w="2093"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服务项目</w:t>
            </w:r>
            <w:r/>
          </w:p>
        </w:tc>
        <w:tc>
          <w:tcPr>
            <w:tcBorders>
              <w:top w:val="single" w:color="auto" w:sz="4" w:space="0"/>
              <w:left w:val="single" w:color="auto" w:sz="4" w:space="0"/>
              <w:bottom w:val="single" w:color="auto" w:sz="4" w:space="0"/>
              <w:right w:val="single" w:color="auto" w:sz="4" w:space="0"/>
            </w:tcBorders>
            <w:tcW w:w="6416"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具体内容</w:t>
            </w:r>
            <w:r/>
          </w:p>
        </w:tc>
      </w:tr>
      <w:tr>
        <w:trPr>
          <w:jc w:val="center"/>
          <w:trHeight w:val="90"/>
        </w:trPr>
        <w:tc>
          <w:tcPr>
            <w:tcBorders>
              <w:top w:val="single" w:color="auto" w:sz="4" w:space="0"/>
              <w:left w:val="single" w:color="auto" w:sz="4" w:space="0"/>
              <w:bottom w:val="single" w:color="auto" w:sz="4" w:space="0"/>
              <w:right w:val="single" w:color="auto" w:sz="4" w:space="0"/>
            </w:tcBorders>
            <w:tcW w:w="989"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093"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冷却水水质检查</w:t>
            </w:r>
            <w:r/>
          </w:p>
        </w:tc>
        <w:tc>
          <w:tcPr>
            <w:tcBorders>
              <w:top w:val="single" w:color="auto" w:sz="4" w:space="0"/>
              <w:left w:val="single" w:color="auto" w:sz="4" w:space="0"/>
              <w:bottom w:val="single" w:color="auto" w:sz="4" w:space="0"/>
              <w:right w:val="single" w:color="auto" w:sz="4" w:space="0"/>
            </w:tcBorders>
            <w:tcW w:w="6416"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掌握水质状况，对pH值、电导率、浊度、硬度进行检验。</w:t>
            </w:r>
            <w:r/>
          </w:p>
        </w:tc>
      </w:tr>
      <w:tr>
        <w:trPr>
          <w:jc w:val="center"/>
          <w:trHeight w:val="625"/>
        </w:trPr>
        <w:tc>
          <w:tcPr>
            <w:tcBorders>
              <w:top w:val="single" w:color="auto" w:sz="4" w:space="0"/>
              <w:left w:val="single" w:color="auto" w:sz="4" w:space="0"/>
              <w:bottom w:val="single" w:color="auto" w:sz="4" w:space="0"/>
              <w:right w:val="single" w:color="auto" w:sz="4" w:space="0"/>
            </w:tcBorders>
            <w:tcW w:w="989"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093"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冷却水杀菌</w:t>
            </w:r>
            <w:r/>
          </w:p>
        </w:tc>
        <w:tc>
          <w:tcPr>
            <w:tcBorders>
              <w:top w:val="single" w:color="auto" w:sz="4" w:space="0"/>
              <w:left w:val="single" w:color="auto" w:sz="4" w:space="0"/>
              <w:bottom w:val="single" w:color="auto" w:sz="4" w:space="0"/>
              <w:right w:val="single" w:color="auto" w:sz="4" w:space="0"/>
            </w:tcBorders>
            <w:tcW w:w="6416"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采用化学药剂定期投放，去除菌藻繁殖。</w:t>
            </w:r>
            <w:r/>
          </w:p>
        </w:tc>
      </w:tr>
      <w:tr>
        <w:trPr>
          <w:jc w:val="center"/>
          <w:trHeight w:val="625"/>
        </w:trPr>
        <w:tc>
          <w:tcPr>
            <w:tcBorders>
              <w:top w:val="single" w:color="auto" w:sz="4" w:space="0"/>
              <w:left w:val="single" w:color="auto" w:sz="4" w:space="0"/>
              <w:bottom w:val="single" w:color="auto" w:sz="4" w:space="0"/>
              <w:right w:val="single" w:color="auto" w:sz="4" w:space="0"/>
            </w:tcBorders>
            <w:tcW w:w="989"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093"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冷却水防垢除垢</w:t>
            </w:r>
            <w:r/>
          </w:p>
        </w:tc>
        <w:tc>
          <w:tcPr>
            <w:tcBorders>
              <w:top w:val="single" w:color="auto" w:sz="4" w:space="0"/>
              <w:left w:val="single" w:color="auto" w:sz="4" w:space="0"/>
              <w:bottom w:val="single" w:color="auto" w:sz="4" w:space="0"/>
              <w:right w:val="single" w:color="auto" w:sz="4" w:space="0"/>
            </w:tcBorders>
            <w:tcW w:w="6416"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采用人工清洗、化学处理等手段防垢、除垢。</w:t>
            </w:r>
            <w:r/>
          </w:p>
        </w:tc>
      </w:tr>
      <w:tr>
        <w:trPr>
          <w:jc w:val="center"/>
          <w:trHeight w:val="625"/>
        </w:trPr>
        <w:tc>
          <w:tcPr>
            <w:tcBorders>
              <w:top w:val="single" w:color="auto" w:sz="4" w:space="0"/>
              <w:left w:val="single" w:color="auto" w:sz="4" w:space="0"/>
              <w:bottom w:val="single" w:color="auto" w:sz="4" w:space="0"/>
              <w:right w:val="single" w:color="auto" w:sz="4" w:space="0"/>
            </w:tcBorders>
            <w:tcW w:w="989"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093"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空调水水质检查</w:t>
            </w:r>
            <w:r/>
          </w:p>
        </w:tc>
        <w:tc>
          <w:tcPr>
            <w:tcBorders>
              <w:top w:val="single" w:color="auto" w:sz="4" w:space="0"/>
              <w:left w:val="single" w:color="auto" w:sz="4" w:space="0"/>
              <w:bottom w:val="single" w:color="auto" w:sz="4" w:space="0"/>
              <w:right w:val="single" w:color="auto" w:sz="4" w:space="0"/>
            </w:tcBorders>
            <w:tcW w:w="6416"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对空调水的pH值、电导率、浊度、硬度进行检验。</w:t>
            </w:r>
            <w:r/>
          </w:p>
        </w:tc>
      </w:tr>
      <w:tr>
        <w:trPr>
          <w:jc w:val="center"/>
          <w:trHeight w:val="625"/>
        </w:trPr>
        <w:tc>
          <w:tcPr>
            <w:tcBorders>
              <w:top w:val="single" w:color="auto" w:sz="4" w:space="0"/>
              <w:left w:val="single" w:color="auto" w:sz="4" w:space="0"/>
              <w:bottom w:val="single" w:color="auto" w:sz="4" w:space="0"/>
              <w:right w:val="single" w:color="auto" w:sz="4" w:space="0"/>
            </w:tcBorders>
            <w:tcW w:w="989"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2093"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空调水防垢除垢</w:t>
            </w:r>
            <w:r/>
          </w:p>
        </w:tc>
        <w:tc>
          <w:tcPr>
            <w:tcBorders>
              <w:top w:val="single" w:color="auto" w:sz="4" w:space="0"/>
              <w:left w:val="single" w:color="auto" w:sz="4" w:space="0"/>
              <w:bottom w:val="single" w:color="auto" w:sz="4" w:space="0"/>
              <w:right w:val="single" w:color="auto" w:sz="4" w:space="0"/>
            </w:tcBorders>
            <w:tcW w:w="6416"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采用人工清洗、化学处理等手段防垢、除垢。</w:t>
            </w:r>
            <w:r/>
          </w:p>
        </w:tc>
      </w:tr>
      <w:tr>
        <w:trPr>
          <w:jc w:val="center"/>
          <w:trHeight w:val="936"/>
        </w:trPr>
        <w:tc>
          <w:tcPr>
            <w:gridSpan w:val="3"/>
            <w:tcBorders>
              <w:top w:val="single" w:color="auto" w:sz="4" w:space="0"/>
              <w:left w:val="single" w:color="auto" w:sz="4" w:space="0"/>
              <w:bottom w:val="single" w:color="auto" w:sz="4" w:space="0"/>
              <w:right w:val="single" w:color="auto" w:sz="4" w:space="0"/>
            </w:tcBorders>
            <w:tcW w:w="9498"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对冷温水管路空调水pH值、硬度定期检测，每年1次加药处理，确保水质合格，保证空调效果</w:t>
            </w:r>
            <w:r/>
          </w:p>
        </w:tc>
      </w:tr>
    </w:tbl>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⑨组合式空调箱</w:t>
      </w:r>
      <w:r/>
    </w:p>
    <w:tbl>
      <w:tblPr>
        <w:tblStyle w:val="745"/>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9"/>
        <w:gridCol w:w="2042"/>
        <w:gridCol w:w="6377"/>
      </w:tblGrid>
      <w:tr>
        <w:trPr>
          <w:jc w:val="center"/>
          <w:trHeight w:val="299"/>
        </w:trPr>
        <w:tc>
          <w:tcPr>
            <w:shd w:val="clear" w:color="auto" w:fill="auto"/>
            <w:tcW w:w="1139"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序列</w:t>
            </w:r>
            <w:r/>
          </w:p>
        </w:tc>
        <w:tc>
          <w:tcPr>
            <w:shd w:val="clear" w:color="auto" w:fill="auto"/>
            <w:tcW w:w="2042"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服务项目</w:t>
            </w:r>
            <w:r/>
          </w:p>
        </w:tc>
        <w:tc>
          <w:tcPr>
            <w:shd w:val="clear" w:color="auto" w:fill="auto"/>
            <w:tcW w:w="6377"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具体内容</w:t>
            </w:r>
            <w:r/>
          </w:p>
        </w:tc>
      </w:tr>
      <w:tr>
        <w:trPr>
          <w:jc w:val="center"/>
          <w:trHeight w:val="1121"/>
        </w:trPr>
        <w:tc>
          <w:tcPr>
            <w:shd w:val="clear" w:color="auto" w:fill="auto"/>
            <w:tcW w:w="113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shd w:val="clear" w:color="auto" w:fill="auto"/>
            <w:tcW w:w="2042"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风门调节阀检修</w:t>
            </w:r>
            <w:r/>
          </w:p>
        </w:tc>
        <w:tc>
          <w:tcPr>
            <w:shd w:val="clear" w:color="auto" w:fill="auto"/>
            <w:tcW w:w="6377"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1.检查各风门调节阀开关功能、自身安装牢固性、密闭性；</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2.对调节阀加油；3.检查自动装置的可靠性；4.检查轴柄处密封性；5.噪声检测；6.震动检测。</w:t>
            </w:r>
            <w:r/>
          </w:p>
        </w:tc>
      </w:tr>
      <w:tr>
        <w:trPr>
          <w:jc w:val="center"/>
          <w:trHeight w:val="567"/>
        </w:trPr>
        <w:tc>
          <w:tcPr>
            <w:tcW w:w="113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W w:w="2042"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初效过滤器清洗</w:t>
            </w:r>
            <w:r/>
          </w:p>
        </w:tc>
        <w:tc>
          <w:tcPr>
            <w:tcW w:w="6377"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吸尘器清吸或强力水冲洗。有油污，可采用化学清洗。</w:t>
            </w:r>
            <w:r/>
          </w:p>
        </w:tc>
      </w:tr>
      <w:tr>
        <w:trPr>
          <w:jc w:val="center"/>
          <w:trHeight w:val="567"/>
        </w:trPr>
        <w:tc>
          <w:tcPr>
            <w:tcW w:w="113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W w:w="2042"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中效过滤器清洗</w:t>
            </w:r>
            <w:r/>
          </w:p>
        </w:tc>
        <w:tc>
          <w:tcPr>
            <w:tcW w:w="6377"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吸尘器清吸或强力水冲洗。有油污，可采用化学清洗。</w:t>
            </w:r>
            <w:r/>
          </w:p>
        </w:tc>
      </w:tr>
      <w:tr>
        <w:trPr>
          <w:jc w:val="center"/>
          <w:trHeight w:val="591"/>
        </w:trPr>
        <w:tc>
          <w:tcPr>
            <w:tcW w:w="113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W w:w="2042"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表冷器检修清洗</w:t>
            </w:r>
            <w:r/>
          </w:p>
        </w:tc>
        <w:tc>
          <w:tcPr>
            <w:tcW w:w="6377"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表冷器维护及清洁，如表面有油污或尾部有腐蚀现象，则采用合适的清洗剂进行化学清洗。</w:t>
            </w:r>
            <w:r/>
          </w:p>
        </w:tc>
      </w:tr>
      <w:tr>
        <w:trPr>
          <w:jc w:val="center"/>
          <w:trHeight w:val="591"/>
        </w:trPr>
        <w:tc>
          <w:tcPr>
            <w:tcW w:w="113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W w:w="2042"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挡水板检修</w:t>
            </w:r>
            <w:r/>
          </w:p>
        </w:tc>
        <w:tc>
          <w:tcPr>
            <w:tcW w:w="6377"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对挡水板的锈蚀、折断、倒置、破损等故障进行维护、更换等。</w:t>
            </w:r>
            <w:r/>
          </w:p>
        </w:tc>
      </w:tr>
      <w:tr>
        <w:trPr>
          <w:jc w:val="center"/>
          <w:trHeight w:val="299"/>
        </w:trPr>
        <w:tc>
          <w:tcPr>
            <w:tcW w:w="113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tcW w:w="2042"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接水盘清洗</w:t>
            </w:r>
            <w:r/>
          </w:p>
        </w:tc>
        <w:tc>
          <w:tcPr>
            <w:tcW w:w="6377"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对接水盘清洁、消毒、除藻、下水、保温。</w:t>
            </w:r>
            <w:r/>
          </w:p>
        </w:tc>
      </w:tr>
      <w:tr>
        <w:trPr>
          <w:jc w:val="center"/>
          <w:trHeight w:val="1121"/>
        </w:trPr>
        <w:tc>
          <w:tcPr>
            <w:tcW w:w="113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tcW w:w="2042"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风机机械保养</w:t>
            </w:r>
            <w:r/>
          </w:p>
        </w:tc>
        <w:tc>
          <w:tcPr>
            <w:tcW w:w="6377"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皮带松紧度检查及调整。连接螺母的检查；基础与机架的检查；风机与电机的连接；减震装置的受力检查；润滑油的检查与添加；润滑脂检查与添加；风机的机械检查。</w:t>
            </w:r>
            <w:r/>
          </w:p>
        </w:tc>
      </w:tr>
      <w:tr>
        <w:trPr>
          <w:jc w:val="center"/>
          <w:trHeight w:val="1176"/>
        </w:trPr>
        <w:tc>
          <w:tcPr>
            <w:tcW w:w="113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w:t>
            </w:r>
            <w:r/>
          </w:p>
        </w:tc>
        <w:tc>
          <w:tcPr>
            <w:tcW w:w="2042"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电器电机维修检查</w:t>
            </w:r>
            <w:r/>
          </w:p>
        </w:tc>
        <w:tc>
          <w:tcPr>
            <w:tcW w:w="6377"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1.润滑脂检查与添加；2.轴承检查；3.电机温升的检查；4.电机的绝缘检查；5.接线盒的连线检查；6.电缆检查；7.启动箱及控制装置的检查；8.地脚螺栓的紧固检查；9.电器装置的常规检查。</w:t>
            </w:r>
            <w:r/>
          </w:p>
        </w:tc>
      </w:tr>
      <w:tr>
        <w:trPr>
          <w:jc w:val="center"/>
          <w:trHeight w:val="299"/>
        </w:trPr>
        <w:tc>
          <w:tcPr>
            <w:tcW w:w="113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w:t>
            </w:r>
            <w:r/>
          </w:p>
        </w:tc>
        <w:tc>
          <w:tcPr>
            <w:tcW w:w="2042"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箱体卫生</w:t>
            </w:r>
            <w:r/>
          </w:p>
        </w:tc>
        <w:tc>
          <w:tcPr>
            <w:tcW w:w="6377"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箱体的内外部卫生清扫、清洗及消毒。</w:t>
            </w:r>
            <w:r/>
          </w:p>
        </w:tc>
      </w:tr>
      <w:tr>
        <w:trPr>
          <w:jc w:val="center"/>
          <w:trHeight w:val="844"/>
        </w:trPr>
        <w:tc>
          <w:tcPr>
            <w:tcW w:w="113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w:t>
            </w:r>
            <w:r/>
          </w:p>
        </w:tc>
        <w:tc>
          <w:tcPr>
            <w:tcW w:w="2042"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箱体漏风检查</w:t>
            </w:r>
            <w:r/>
          </w:p>
        </w:tc>
        <w:tc>
          <w:tcPr>
            <w:tcW w:w="6377"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1.各工作段连接处检查；2.检查口检查；3.人孔的检查；</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4.静压箱的检查；5.帆布软接头检查。</w:t>
            </w:r>
            <w:r/>
          </w:p>
        </w:tc>
      </w:tr>
      <w:tr>
        <w:trPr>
          <w:jc w:val="center"/>
          <w:trHeight w:val="591"/>
        </w:trPr>
        <w:tc>
          <w:tcPr>
            <w:tcW w:w="113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w:t>
            </w:r>
            <w:r/>
          </w:p>
        </w:tc>
        <w:tc>
          <w:tcPr>
            <w:tcW w:w="2042"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检查孔检查</w:t>
            </w:r>
            <w:r/>
          </w:p>
        </w:tc>
        <w:tc>
          <w:tcPr>
            <w:tcW w:w="6377"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1.检查密封条；2.孔门的检查；3.孔门锁的检查；4.检查锈蚀；5.检查铰链。</w:t>
            </w:r>
            <w:r/>
          </w:p>
        </w:tc>
      </w:tr>
      <w:tr>
        <w:trPr>
          <w:jc w:val="center"/>
          <w:trHeight w:val="591"/>
        </w:trPr>
        <w:tc>
          <w:tcPr>
            <w:tcW w:w="113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w:t>
            </w:r>
            <w:r/>
          </w:p>
        </w:tc>
        <w:tc>
          <w:tcPr>
            <w:tcW w:w="2042"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保温检查及除锈</w:t>
            </w:r>
            <w:r/>
          </w:p>
        </w:tc>
        <w:tc>
          <w:tcPr>
            <w:tcW w:w="6377"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1.检查保温层是否脱落、破损；2.检查吸水量；3.外壳及基础、钢构件的除锈。</w:t>
            </w:r>
            <w:r/>
          </w:p>
        </w:tc>
      </w:tr>
      <w:tr>
        <w:trPr>
          <w:jc w:val="center"/>
          <w:trHeight w:val="567"/>
        </w:trPr>
        <w:tc>
          <w:tcPr>
            <w:tcW w:w="113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w:t>
            </w:r>
            <w:r/>
          </w:p>
        </w:tc>
        <w:tc>
          <w:tcPr>
            <w:tcW w:w="2042"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进水过滤器清洗</w:t>
            </w:r>
            <w:r/>
          </w:p>
        </w:tc>
        <w:tc>
          <w:tcPr>
            <w:tcW w:w="6377"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1.拆卸清洗过滤网；2.过滤器阀体除垢；3.密封件的检查。</w:t>
            </w:r>
            <w:r/>
          </w:p>
        </w:tc>
      </w:tr>
      <w:tr>
        <w:trPr>
          <w:jc w:val="center"/>
          <w:trHeight w:val="1410"/>
        </w:trPr>
        <w:tc>
          <w:tcPr>
            <w:tcW w:w="113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w:t>
            </w:r>
            <w:r/>
          </w:p>
        </w:tc>
        <w:tc>
          <w:tcPr>
            <w:tcW w:w="2042"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喷雾室检修</w:t>
            </w:r>
            <w:r/>
          </w:p>
        </w:tc>
        <w:tc>
          <w:tcPr>
            <w:tcW w:w="6377"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1.喷头的拆卸、清洗、更换；2.喷水方向及角度的调整；</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3.挡水板的检测；4.浮球阀的检测；5.溢流口及溢流管道的检测；6.二次泵过滤器的检测；7.二次水泵的检测；8.加热、加湿装置的检修。</w:t>
            </w:r>
            <w:r/>
          </w:p>
        </w:tc>
      </w:tr>
    </w:tbl>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⑩风机盘管清洗及服务内容（维保频率：每年四次）</w:t>
      </w:r>
      <w:r/>
    </w:p>
    <w:tbl>
      <w:tblPr>
        <w:tblStyle w:val="745"/>
        <w:tblW w:w="93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4"/>
        <w:gridCol w:w="1908"/>
        <w:gridCol w:w="6346"/>
      </w:tblGrid>
      <w:tr>
        <w:trPr>
          <w:jc w:val="center"/>
          <w:trHeight w:val="355"/>
        </w:trPr>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序列</w:t>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服务项目</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具体内容</w:t>
            </w:r>
            <w:r/>
          </w:p>
        </w:tc>
      </w:tr>
      <w:tr>
        <w:trPr>
          <w:jc w:val="center"/>
          <w:trHeight w:val="740"/>
        </w:trPr>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接水盘清洗</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采用水冲洗，污水由排水管排出；或采用压力水（压缩空气）清洗、吹污排水管；滴水盘再用消毒水刷洗一遍。</w:t>
            </w:r>
            <w:r/>
          </w:p>
        </w:tc>
      </w:tr>
      <w:tr>
        <w:trPr>
          <w:jc w:val="center"/>
          <w:trHeight w:val="476"/>
        </w:trPr>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盘管清洗</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采用吸尘器清吸，或用水冲洗；对油污或化学污染则要采用清洗剂清洗；特殊情况采用整体拆卸清洗。</w:t>
            </w:r>
            <w:r/>
          </w:p>
        </w:tc>
      </w:tr>
      <w:tr>
        <w:trPr>
          <w:jc w:val="center"/>
          <w:trHeight w:val="476"/>
        </w:trPr>
        <w:tc>
          <w:tcPr>
            <w:shd w:val="clear" w:color="auto" w:fill="auto"/>
            <w:tcBorders>
              <w:top w:val="single" w:color="auto" w:sz="4" w:space="0"/>
              <w:left w:val="single" w:color="auto" w:sz="4" w:space="0"/>
              <w:bottom w:val="single" w:color="auto" w:sz="4" w:space="0"/>
              <w:right w:val="single" w:color="auto" w:sz="4" w:space="0"/>
            </w:tcBorders>
            <w:tcW w:w="1084"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908"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过滤网、风口清洗</w:t>
            </w:r>
            <w:r/>
          </w:p>
        </w:tc>
        <w:tc>
          <w:tcPr>
            <w:shd w:val="clear" w:color="auto" w:fill="auto"/>
            <w:tcBorders>
              <w:top w:val="single" w:color="auto" w:sz="4" w:space="0"/>
              <w:left w:val="single" w:color="auto" w:sz="4" w:space="0"/>
              <w:bottom w:val="single" w:color="auto" w:sz="4" w:space="0"/>
              <w:right w:val="single" w:color="auto" w:sz="4" w:space="0"/>
            </w:tcBorders>
            <w:tcW w:w="634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1.采取吸尘器清理方式或拆下过滤网用加压清水冲洗；2.对有油污的采用化学清洗剂的方式清洁；3.对回风口、出风口清洁，特殊情况随时清洗、清洁。</w:t>
            </w:r>
            <w:r/>
          </w:p>
        </w:tc>
      </w:tr>
      <w:tr>
        <w:trPr>
          <w:jc w:val="center"/>
          <w:trHeight w:val="355"/>
        </w:trPr>
        <w:tc>
          <w:tcPr>
            <w:shd w:val="clear" w:color="auto" w:fill="auto"/>
            <w:tcBorders>
              <w:top w:val="single" w:color="auto" w:sz="4" w:space="0"/>
              <w:left w:val="single" w:color="auto" w:sz="4" w:space="0"/>
              <w:bottom w:val="single" w:color="auto" w:sz="4" w:space="0"/>
              <w:right w:val="single" w:color="auto" w:sz="4" w:space="0"/>
            </w:tcBorders>
            <w:tcW w:w="1084"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风机叶轮清洗</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1.采用小型强力吸尘器清洁；2.拆卸清洗。 </w:t>
            </w:r>
            <w:r/>
          </w:p>
        </w:tc>
      </w:tr>
      <w:tr>
        <w:trPr>
          <w:jc w:val="center"/>
          <w:trHeight w:val="695"/>
        </w:trPr>
        <w:tc>
          <w:tcPr>
            <w:shd w:val="clear" w:color="auto" w:fill="auto"/>
            <w:tcBorders>
              <w:top w:val="single" w:color="auto" w:sz="4" w:space="0"/>
              <w:left w:val="single" w:color="auto" w:sz="4" w:space="0"/>
              <w:bottom w:val="single" w:color="auto" w:sz="4" w:space="0"/>
              <w:right w:val="single" w:color="auto" w:sz="4" w:space="0"/>
            </w:tcBorders>
            <w:tcW w:w="1084"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水过滤器清洗</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采用清水冲洗过滤器的同时，对盘管用压力水反冲清洗。</w:t>
            </w:r>
            <w:r/>
          </w:p>
        </w:tc>
      </w:tr>
      <w:tr>
        <w:trPr>
          <w:jc w:val="center"/>
          <w:trHeight w:val="355"/>
        </w:trPr>
        <w:tc>
          <w:tcPr>
            <w:shd w:val="clear" w:color="auto" w:fill="auto"/>
            <w:tcBorders>
              <w:top w:val="single" w:color="auto" w:sz="4" w:space="0"/>
              <w:left w:val="single" w:color="auto" w:sz="4" w:space="0"/>
              <w:bottom w:val="single" w:color="auto" w:sz="4" w:space="0"/>
              <w:right w:val="single" w:color="auto" w:sz="4" w:space="0"/>
            </w:tcBorders>
            <w:tcW w:w="1084"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保温层检查</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检查修理保温层，对损坏、脱胶翻卷处及时修补。</w:t>
            </w:r>
            <w:r/>
          </w:p>
        </w:tc>
      </w:tr>
      <w:tr>
        <w:trPr>
          <w:jc w:val="center"/>
          <w:trHeight w:val="355"/>
        </w:trPr>
        <w:tc>
          <w:tcPr>
            <w:shd w:val="clear" w:color="auto" w:fill="auto"/>
            <w:tcBorders>
              <w:top w:val="single" w:color="auto" w:sz="4" w:space="0"/>
              <w:left w:val="single" w:color="auto" w:sz="4" w:space="0"/>
              <w:bottom w:val="single" w:color="auto" w:sz="4" w:space="0"/>
              <w:right w:val="single" w:color="auto" w:sz="4" w:space="0"/>
            </w:tcBorders>
            <w:tcW w:w="1084"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电器检修</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电器元件及线路常规检查。</w:t>
            </w:r>
            <w:r/>
          </w:p>
        </w:tc>
      </w:tr>
      <w:tr>
        <w:trPr>
          <w:jc w:val="center"/>
          <w:trHeight w:val="355"/>
        </w:trPr>
        <w:tc>
          <w:tcPr>
            <w:shd w:val="clear" w:color="auto" w:fill="auto"/>
            <w:tcBorders>
              <w:top w:val="single" w:color="auto" w:sz="4" w:space="0"/>
              <w:left w:val="single" w:color="auto" w:sz="4" w:space="0"/>
              <w:bottom w:val="single" w:color="auto" w:sz="4" w:space="0"/>
              <w:right w:val="single" w:color="auto" w:sz="4" w:space="0"/>
            </w:tcBorders>
            <w:tcW w:w="1084"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电磁阀检查</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电磁阀检修，主要检测电磁阀的启闭正常，关闭严密。</w:t>
            </w:r>
            <w:r/>
          </w:p>
        </w:tc>
      </w:tr>
      <w:tr>
        <w:trPr>
          <w:jc w:val="center"/>
          <w:trHeight w:val="355"/>
        </w:trPr>
        <w:tc>
          <w:tcPr>
            <w:shd w:val="clear" w:color="auto" w:fill="auto"/>
            <w:tcBorders>
              <w:top w:val="single" w:color="auto" w:sz="4" w:space="0"/>
              <w:left w:val="single" w:color="auto" w:sz="4" w:space="0"/>
              <w:bottom w:val="single" w:color="auto" w:sz="4" w:space="0"/>
              <w:right w:val="single" w:color="auto" w:sz="4" w:space="0"/>
            </w:tcBorders>
            <w:tcW w:w="1084"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风堵开关</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检查动作是否正常。</w:t>
            </w:r>
            <w:r/>
          </w:p>
        </w:tc>
      </w:tr>
      <w:tr>
        <w:trPr>
          <w:jc w:val="center"/>
          <w:trHeight w:val="355"/>
        </w:trPr>
        <w:tc>
          <w:tcPr>
            <w:shd w:val="clear" w:color="auto" w:fill="auto"/>
            <w:tcBorders>
              <w:top w:val="single" w:color="auto" w:sz="4" w:space="0"/>
              <w:left w:val="single" w:color="auto" w:sz="4" w:space="0"/>
              <w:bottom w:val="single" w:color="auto" w:sz="4" w:space="0"/>
              <w:right w:val="single" w:color="auto" w:sz="4" w:space="0"/>
            </w:tcBorders>
            <w:tcW w:w="1084"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噪音</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检查1、2、3挡风机噪音过大的原因。</w:t>
            </w:r>
            <w:r/>
          </w:p>
        </w:tc>
      </w:tr>
      <w:tr>
        <w:trPr>
          <w:jc w:val="center"/>
          <w:trHeight w:val="355"/>
        </w:trPr>
        <w:tc>
          <w:tcPr>
            <w:shd w:val="clear" w:color="auto" w:fill="auto"/>
            <w:tcBorders>
              <w:top w:val="single" w:color="auto" w:sz="4" w:space="0"/>
              <w:left w:val="single" w:color="auto" w:sz="4" w:space="0"/>
              <w:bottom w:val="single" w:color="auto" w:sz="4" w:space="0"/>
              <w:right w:val="single" w:color="auto" w:sz="4" w:space="0"/>
            </w:tcBorders>
            <w:tcW w:w="1084"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电机</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电机常规电气检查</w:t>
            </w:r>
            <w:r/>
          </w:p>
        </w:tc>
      </w:tr>
      <w:tr>
        <w:trPr>
          <w:jc w:val="center"/>
          <w:trHeight w:val="370"/>
        </w:trPr>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叶轮</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检查叶轮变形情况，如变形立即修复</w:t>
            </w:r>
            <w:r/>
          </w:p>
        </w:tc>
      </w:tr>
    </w:tbl>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⑪太阳能系统</w:t>
      </w:r>
      <w:r/>
    </w:p>
    <w:tbl>
      <w:tblPr>
        <w:tblStyle w:val="745"/>
        <w:tblW w:w="9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5"/>
        <w:gridCol w:w="1973"/>
        <w:gridCol w:w="6430"/>
      </w:tblGrid>
      <w:tr>
        <w:trPr>
          <w:jc w:val="center"/>
          <w:trHeight w:val="151"/>
        </w:trPr>
        <w:tc>
          <w:tcPr>
            <w:shd w:val="clear" w:color="auto" w:fill="auto"/>
            <w:tcW w:w="117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序列</w:t>
            </w:r>
            <w:r/>
          </w:p>
        </w:tc>
        <w:tc>
          <w:tcPr>
            <w:shd w:val="clear" w:color="auto" w:fill="auto"/>
            <w:tcW w:w="1973"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服务项目</w:t>
            </w:r>
            <w:r/>
          </w:p>
        </w:tc>
        <w:tc>
          <w:tcPr>
            <w:shd w:val="clear" w:color="auto" w:fill="auto"/>
            <w:tcW w:w="643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具体内容</w:t>
            </w:r>
            <w:r/>
          </w:p>
        </w:tc>
      </w:tr>
      <w:tr>
        <w:trPr>
          <w:jc w:val="center"/>
          <w:trHeight w:val="411"/>
        </w:trPr>
        <w:tc>
          <w:tcPr>
            <w:shd w:val="clear" w:color="auto" w:fill="auto"/>
            <w:tcW w:w="117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shd w:val="clear" w:color="auto" w:fill="auto"/>
            <w:tcW w:w="1973"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太阳能集热器</w:t>
            </w:r>
            <w:r/>
          </w:p>
        </w:tc>
        <w:tc>
          <w:tcPr>
            <w:shd w:val="clear" w:color="auto" w:fill="auto"/>
            <w:tcW w:w="6430"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1.避免太阳能集热系统在运行中发生空晒和闷晒现象；</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2.集热器的清洗和除垢，半年至一年擦洗一次。</w:t>
            </w:r>
            <w:r/>
          </w:p>
        </w:tc>
      </w:tr>
      <w:tr>
        <w:trPr>
          <w:jc w:val="center"/>
          <w:trHeight w:val="2183"/>
        </w:trPr>
        <w:tc>
          <w:tcPr>
            <w:tcW w:w="117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W w:w="1973"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太阳能储热系统</w:t>
            </w:r>
            <w:r/>
          </w:p>
        </w:tc>
        <w:tc>
          <w:tcPr>
            <w:tcW w:w="6430"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1.定期检查贮水箱的密封性和保温层，如发现破坏，及时修补；</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2.定期检查贮水箱的补水阀、安全阀、液位控制器和排气装置工作是否正常，防止空气进入；</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3.定期检查是否有异物进入贮水箱，防止循环管道被堵塞；</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4.定期清除贮水箱内的水垢，每半年至一年清理一次。</w:t>
            </w:r>
            <w:r/>
          </w:p>
        </w:tc>
      </w:tr>
      <w:tr>
        <w:trPr>
          <w:jc w:val="center"/>
          <w:trHeight w:val="1487"/>
        </w:trPr>
        <w:tc>
          <w:tcPr>
            <w:tcW w:w="117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W w:w="1973"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太阳能管路系统维护</w:t>
            </w:r>
            <w:r/>
          </w:p>
        </w:tc>
        <w:tc>
          <w:tcPr>
            <w:tcW w:w="6430"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1.保证管道保温层和表面防潮层不能有破损或者脱落，防止产生热桥和结露滴水现象；</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2.保证管道内没有空气，防止热水气堵而无法输送到各个配水点；</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3.保证系统管道通畅，定期冲洗系统，防止沉积锈垢堵塞管道。</w:t>
            </w:r>
            <w:r/>
          </w:p>
        </w:tc>
      </w:tr>
      <w:tr>
        <w:trPr>
          <w:jc w:val="center"/>
          <w:trHeight w:val="302"/>
        </w:trPr>
        <w:tc>
          <w:tcPr>
            <w:tcW w:w="117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W w:w="1973"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系统清洗与除垢</w:t>
            </w:r>
            <w:r/>
          </w:p>
        </w:tc>
        <w:tc>
          <w:tcPr>
            <w:tcW w:w="6430"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1.物理法和化学法定期除垢；</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2.系统根据运行情况定期清洗。</w:t>
            </w:r>
            <w:r/>
          </w:p>
        </w:tc>
      </w:tr>
    </w:tbl>
    <w:p>
      <w:pP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品目02 阅江楼院区</w:t>
      </w:r>
      <w:r/>
    </w:p>
    <w:p>
      <w:pPr>
        <w:rPr>
          <w:rFonts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①配电房</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1.承担配电房设备操作与日常保养，保证设备完好率。日常记录及保管：应满足运营要求，记录详细完整，可随时备查。</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负责配电室及值班室清洁，保持屋内亮度适中，墙面地面无渗漏水现象，无易燃易爆、杂物等堆放。检查桥架孔洞、墙洞封堵是否脱落，能达到防火、防水、防小动物等要求。各元器件运行状态良好。各切换装置、指示灯、空开等状态符合当前运行要求。</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3.对高压工具及用具进行安全检测并做好记录。根据配电系统配置每月对各用电区域的电力能耗进行统计，并做能耗分析。</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值班人员做到熟悉医院配电房操作流程及时发现故障，严格按照操作规程进行停复电操作及时处理故障。供电部门通知计划停电时值班人员负责通知相关领导并通知重要用电单元。值班人员应本着节约用电的原则，最佳提高配电系统的功率因素，确保设备最合理运行。</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5.接受医院、供电公司等部门的考核和监督管理。</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②风冷热泵、空气源热泵</w:t>
      </w:r>
      <w:r/>
    </w:p>
    <w:tbl>
      <w:tblPr>
        <w:tblStyle w:val="776"/>
        <w:tblW w:w="9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2009"/>
        <w:gridCol w:w="6548"/>
      </w:tblGrid>
      <w:tr>
        <w:trPr>
          <w:jc w:val="center"/>
          <w:trHeight w:val="213"/>
        </w:trPr>
        <w:tc>
          <w:tcPr>
            <w:shd w:val="clear" w:color="auto" w:fill="auto"/>
            <w:tcW w:w="102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序列</w:t>
            </w:r>
            <w:r/>
          </w:p>
        </w:tc>
        <w:tc>
          <w:tcPr>
            <w:shd w:val="clear" w:color="auto" w:fill="auto"/>
            <w:tcW w:w="200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服务项目</w:t>
            </w:r>
            <w:r/>
          </w:p>
        </w:tc>
        <w:tc>
          <w:tcPr>
            <w:shd w:val="clear" w:color="auto" w:fill="auto"/>
            <w:tcW w:w="654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具体内容</w:t>
            </w:r>
            <w:r/>
          </w:p>
        </w:tc>
      </w:tr>
      <w:tr>
        <w:trPr>
          <w:jc w:val="center"/>
          <w:trHeight w:val="213"/>
        </w:trPr>
        <w:tc>
          <w:tcPr>
            <w:tcW w:w="102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200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机组状况</w:t>
            </w:r>
            <w:r/>
          </w:p>
        </w:tc>
        <w:tc>
          <w:tcPr>
            <w:tcW w:w="654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检查保温棉、减震器、主要结构、喷漆工作</w:t>
            </w:r>
            <w:r/>
          </w:p>
        </w:tc>
      </w:tr>
      <w:tr>
        <w:trPr>
          <w:jc w:val="center"/>
          <w:trHeight w:val="419"/>
        </w:trPr>
        <w:tc>
          <w:tcPr>
            <w:tcW w:w="102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W w:w="200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常规制冷剂系统</w:t>
            </w:r>
            <w:r/>
          </w:p>
        </w:tc>
        <w:tc>
          <w:tcPr>
            <w:tcW w:w="654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检查安全阀、管路受损情况、泄漏、湿度视液镜、吸气过热度、液体过冷度、电磁阀</w:t>
            </w:r>
            <w:r/>
          </w:p>
        </w:tc>
      </w:tr>
      <w:tr>
        <w:trPr>
          <w:jc w:val="center"/>
          <w:trHeight w:val="213"/>
        </w:trPr>
        <w:tc>
          <w:tcPr>
            <w:tcW w:w="102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W w:w="200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压缩机</w:t>
            </w:r>
            <w:r/>
          </w:p>
        </w:tc>
        <w:tc>
          <w:tcPr>
            <w:tcW w:w="654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检查油位、油情况</w:t>
            </w:r>
            <w:r/>
          </w:p>
        </w:tc>
      </w:tr>
      <w:tr>
        <w:trPr>
          <w:jc w:val="center"/>
          <w:trHeight w:val="213"/>
        </w:trPr>
        <w:tc>
          <w:tcPr>
            <w:tcW w:w="102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W w:w="200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蒸发器</w:t>
            </w:r>
            <w:r/>
          </w:p>
        </w:tc>
        <w:tc>
          <w:tcPr>
            <w:tcW w:w="654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检查水流量、水压降、加热器垫、pH值/乙二醇浓度</w:t>
            </w:r>
            <w:r/>
          </w:p>
        </w:tc>
      </w:tr>
      <w:tr>
        <w:trPr>
          <w:jc w:val="center"/>
          <w:trHeight w:val="419"/>
        </w:trPr>
        <w:tc>
          <w:tcPr>
            <w:tcW w:w="102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W w:w="200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风冷式冷凝器</w:t>
            </w:r>
            <w:r/>
          </w:p>
        </w:tc>
        <w:tc>
          <w:tcPr>
            <w:tcW w:w="654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检查阻碍气流的物体、翅片、风机与风机护网、刷翅片、检查风扇电机轴承</w:t>
            </w:r>
            <w:r/>
          </w:p>
        </w:tc>
      </w:tr>
      <w:tr>
        <w:trPr>
          <w:jc w:val="center"/>
          <w:trHeight w:val="829"/>
        </w:trPr>
        <w:tc>
          <w:tcPr>
            <w:tcW w:w="102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tcW w:w="200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电源、控制系统</w:t>
            </w:r>
            <w:r/>
          </w:p>
        </w:tc>
        <w:tc>
          <w:tcPr>
            <w:tcW w:w="654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检查面板条件、电源与控制系统接线、传感器位置、机械高压开关切断、所有连接线路、压缩机电流接触器、风机电流接触器/过载、感温探头/传感器校准、电机保护、接触器连接情况</w:t>
            </w:r>
            <w:r/>
          </w:p>
        </w:tc>
      </w:tr>
      <w:tr>
        <w:trPr>
          <w:jc w:val="center"/>
          <w:trHeight w:val="426"/>
        </w:trPr>
        <w:tc>
          <w:tcPr>
            <w:tcW w:w="102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tcW w:w="200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微处理器控制</w:t>
            </w:r>
            <w:r/>
          </w:p>
        </w:tc>
        <w:tc>
          <w:tcPr>
            <w:tcW w:w="654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检查故障历史、程序设定、高压/低压切断功能、加载/卸载功能、风机控制功能、环境温度切断功能</w:t>
            </w:r>
            <w:r/>
          </w:p>
        </w:tc>
      </w:tr>
    </w:tbl>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③空调水管</w:t>
      </w:r>
      <w:r/>
    </w:p>
    <w:tbl>
      <w:tblPr>
        <w:tblStyle w:val="745"/>
        <w:tblW w:w="9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0"/>
        <w:gridCol w:w="2418"/>
        <w:gridCol w:w="6001"/>
      </w:tblGrid>
      <w:tr>
        <w:trPr>
          <w:jc w:val="center"/>
          <w:trHeight w:val="361"/>
        </w:trPr>
        <w:tc>
          <w:tcPr>
            <w:shd w:val="clear" w:color="auto" w:fill="auto"/>
            <w:tcW w:w="114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序列</w:t>
            </w:r>
            <w:r/>
          </w:p>
        </w:tc>
        <w:tc>
          <w:tcPr>
            <w:shd w:val="clear" w:color="auto" w:fill="auto"/>
            <w:tcW w:w="241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服务项目</w:t>
            </w:r>
            <w:r/>
          </w:p>
        </w:tc>
        <w:tc>
          <w:tcPr>
            <w:shd w:val="clear" w:color="auto" w:fill="auto"/>
            <w:tcW w:w="60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具体内容</w:t>
            </w:r>
            <w:r/>
          </w:p>
        </w:tc>
      </w:tr>
      <w:tr>
        <w:trPr>
          <w:jc w:val="center"/>
          <w:trHeight w:val="1038"/>
        </w:trPr>
        <w:tc>
          <w:tcPr>
            <w:shd w:val="clear" w:color="auto" w:fill="auto"/>
            <w:tcW w:w="114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shd w:val="clear" w:color="auto" w:fill="auto"/>
            <w:tcW w:w="241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管道保温</w:t>
            </w:r>
            <w:r/>
          </w:p>
        </w:tc>
        <w:tc>
          <w:tcPr>
            <w:shd w:val="clear" w:color="auto" w:fill="auto"/>
            <w:tcW w:w="60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1.检查保温层脱落、破损、翻翘情况；2.保温层连接处泄漏情况；3.保温层的衰老、变质情况的检查；4.维修后复原。</w:t>
            </w:r>
            <w:r/>
          </w:p>
        </w:tc>
      </w:tr>
      <w:tr>
        <w:trPr>
          <w:jc w:val="center"/>
          <w:trHeight w:val="361"/>
        </w:trPr>
        <w:tc>
          <w:tcPr>
            <w:shd w:val="clear" w:color="auto" w:fill="auto"/>
            <w:tcW w:w="114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shd w:val="clear" w:color="auto" w:fill="auto"/>
            <w:tcW w:w="241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自动排气阀</w:t>
            </w:r>
            <w:r/>
          </w:p>
        </w:tc>
        <w:tc>
          <w:tcPr>
            <w:shd w:val="clear" w:color="auto" w:fill="auto"/>
            <w:tcW w:w="60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1.检查工作情况；2.排气阀的清洗及除垢。</w:t>
            </w:r>
            <w:r/>
          </w:p>
        </w:tc>
      </w:tr>
      <w:tr>
        <w:trPr>
          <w:jc w:val="center"/>
          <w:trHeight w:val="361"/>
        </w:trPr>
        <w:tc>
          <w:tcPr>
            <w:shd w:val="clear" w:color="auto" w:fill="auto"/>
            <w:tcW w:w="114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shd w:val="clear" w:color="auto" w:fill="auto"/>
            <w:tcW w:w="241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管道除锈刷漆</w:t>
            </w:r>
            <w:r/>
          </w:p>
        </w:tc>
        <w:tc>
          <w:tcPr>
            <w:shd w:val="clear" w:color="auto" w:fill="auto"/>
            <w:tcW w:w="60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按保养要求除锈刷漆。</w:t>
            </w:r>
            <w:r/>
          </w:p>
        </w:tc>
      </w:tr>
      <w:tr>
        <w:trPr>
          <w:jc w:val="center"/>
          <w:trHeight w:val="700"/>
        </w:trPr>
        <w:tc>
          <w:tcPr>
            <w:shd w:val="clear" w:color="auto" w:fill="auto"/>
            <w:tcW w:w="114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shd w:val="clear" w:color="auto" w:fill="auto"/>
            <w:tcW w:w="241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凝水检查</w:t>
            </w:r>
            <w:r/>
          </w:p>
        </w:tc>
        <w:tc>
          <w:tcPr>
            <w:shd w:val="clear" w:color="auto" w:fill="auto"/>
            <w:tcW w:w="60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1.检查凝水管及支管安装质量及排水通畅；2.凝水管微生物及结垢检查。</w:t>
            </w:r>
            <w:r/>
          </w:p>
        </w:tc>
      </w:tr>
      <w:tr>
        <w:trPr>
          <w:jc w:val="center"/>
          <w:trHeight w:val="700"/>
        </w:trPr>
        <w:tc>
          <w:tcPr>
            <w:shd w:val="clear" w:color="auto" w:fill="auto"/>
            <w:tcW w:w="114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shd w:val="clear" w:color="auto" w:fill="auto"/>
            <w:tcW w:w="241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阀门除锈刷漆</w:t>
            </w:r>
            <w:r/>
          </w:p>
        </w:tc>
        <w:tc>
          <w:tcPr>
            <w:shd w:val="clear" w:color="auto" w:fill="auto"/>
            <w:tcW w:w="60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1.按规定要求除锈刷漆；2.检查开启度；3.检查完好情况。</w:t>
            </w:r>
            <w:r/>
          </w:p>
        </w:tc>
      </w:tr>
      <w:tr>
        <w:trPr>
          <w:jc w:val="center"/>
          <w:trHeight w:val="361"/>
        </w:trPr>
        <w:tc>
          <w:tcPr>
            <w:shd w:val="clear" w:color="auto" w:fill="auto"/>
            <w:tcW w:w="114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shd w:val="clear" w:color="auto" w:fill="auto"/>
            <w:tcW w:w="241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阀杆涂油（室内）</w:t>
            </w:r>
            <w:r/>
          </w:p>
        </w:tc>
        <w:tc>
          <w:tcPr>
            <w:shd w:val="clear" w:color="auto" w:fill="auto"/>
            <w:tcW w:w="60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按保养要求涂油，并检测启闭灵活性。</w:t>
            </w:r>
            <w:r/>
          </w:p>
        </w:tc>
      </w:tr>
      <w:tr>
        <w:trPr>
          <w:jc w:val="center"/>
          <w:trHeight w:val="361"/>
        </w:trPr>
        <w:tc>
          <w:tcPr>
            <w:shd w:val="clear" w:color="auto" w:fill="auto"/>
            <w:tcW w:w="114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shd w:val="clear" w:color="auto" w:fill="auto"/>
            <w:tcW w:w="241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阀杆涂油（室外）</w:t>
            </w:r>
            <w:r/>
          </w:p>
        </w:tc>
        <w:tc>
          <w:tcPr>
            <w:shd w:val="clear" w:color="auto" w:fill="auto"/>
            <w:tcW w:w="60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按保养要求涂油，并检测启闭灵活性。</w:t>
            </w:r>
            <w:r/>
          </w:p>
        </w:tc>
      </w:tr>
      <w:tr>
        <w:trPr>
          <w:jc w:val="center"/>
          <w:trHeight w:val="700"/>
        </w:trPr>
        <w:tc>
          <w:tcPr>
            <w:shd w:val="clear" w:color="auto" w:fill="auto"/>
            <w:tcW w:w="114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w:t>
            </w:r>
            <w:r/>
          </w:p>
        </w:tc>
        <w:tc>
          <w:tcPr>
            <w:shd w:val="clear" w:color="auto" w:fill="auto"/>
            <w:tcW w:w="241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电动阀内变速箱换油</w:t>
            </w:r>
            <w:r/>
          </w:p>
        </w:tc>
        <w:tc>
          <w:tcPr>
            <w:shd w:val="clear" w:color="auto" w:fill="auto"/>
            <w:tcW w:w="60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按保养要求更换润滑油并注意油质及油面高度。</w:t>
            </w:r>
            <w:r/>
          </w:p>
        </w:tc>
      </w:tr>
      <w:tr>
        <w:trPr>
          <w:jc w:val="center"/>
          <w:trHeight w:val="700"/>
        </w:trPr>
        <w:tc>
          <w:tcPr>
            <w:shd w:val="clear" w:color="auto" w:fill="auto"/>
            <w:tcW w:w="114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w:t>
            </w:r>
            <w:r/>
          </w:p>
        </w:tc>
        <w:tc>
          <w:tcPr>
            <w:shd w:val="clear" w:color="auto" w:fill="auto"/>
            <w:tcW w:w="241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电动阀门保养</w:t>
            </w:r>
            <w:r/>
          </w:p>
        </w:tc>
        <w:tc>
          <w:tcPr>
            <w:shd w:val="clear" w:color="auto" w:fill="auto"/>
            <w:tcW w:w="60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1.电机电器及控制系统的保养；2.阀门的机械常规保养。</w:t>
            </w:r>
            <w:r/>
          </w:p>
        </w:tc>
      </w:tr>
      <w:tr>
        <w:trPr>
          <w:jc w:val="center"/>
          <w:trHeight w:val="361"/>
        </w:trPr>
        <w:tc>
          <w:tcPr>
            <w:shd w:val="clear" w:color="auto" w:fill="auto"/>
            <w:tcW w:w="114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w:t>
            </w:r>
            <w:r/>
          </w:p>
        </w:tc>
        <w:tc>
          <w:tcPr>
            <w:shd w:val="clear" w:color="auto" w:fill="auto"/>
            <w:tcW w:w="241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自动阀门检查</w:t>
            </w:r>
            <w:r/>
          </w:p>
        </w:tc>
        <w:tc>
          <w:tcPr>
            <w:shd w:val="clear" w:color="auto" w:fill="auto"/>
            <w:tcW w:w="60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检查阀门的灵活性和可靠性。</w:t>
            </w:r>
            <w:r/>
          </w:p>
        </w:tc>
      </w:tr>
      <w:tr>
        <w:trPr>
          <w:jc w:val="center"/>
          <w:trHeight w:val="700"/>
        </w:trPr>
        <w:tc>
          <w:tcPr>
            <w:shd w:val="clear" w:color="auto" w:fill="auto"/>
            <w:tcW w:w="114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w:t>
            </w:r>
            <w:r/>
          </w:p>
        </w:tc>
        <w:tc>
          <w:tcPr>
            <w:shd w:val="clear" w:color="auto" w:fill="auto"/>
            <w:tcW w:w="241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冷冻水过滤器清洗</w:t>
            </w:r>
            <w:r/>
          </w:p>
        </w:tc>
        <w:tc>
          <w:tcPr>
            <w:shd w:val="clear" w:color="auto" w:fill="auto"/>
            <w:tcW w:w="60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按照运行要求拆卸清洗。</w:t>
            </w:r>
            <w:r/>
          </w:p>
        </w:tc>
      </w:tr>
      <w:tr>
        <w:trPr>
          <w:jc w:val="center"/>
          <w:trHeight w:val="383"/>
        </w:trPr>
        <w:tc>
          <w:tcPr>
            <w:shd w:val="clear" w:color="auto" w:fill="auto"/>
            <w:tcW w:w="114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w:t>
            </w:r>
            <w:r/>
          </w:p>
        </w:tc>
        <w:tc>
          <w:tcPr>
            <w:shd w:val="clear" w:color="auto" w:fill="auto"/>
            <w:tcW w:w="241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支撑件除锈刷漆</w:t>
            </w:r>
            <w:r/>
          </w:p>
        </w:tc>
        <w:tc>
          <w:tcPr>
            <w:shd w:val="clear" w:color="auto" w:fill="auto"/>
            <w:tcW w:w="6001"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按保养要求对支承件除锈刷漆。</w:t>
            </w:r>
            <w:r/>
          </w:p>
        </w:tc>
      </w:tr>
    </w:tbl>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④水质管理</w:t>
      </w:r>
      <w:r/>
    </w:p>
    <w:tbl>
      <w:tblPr>
        <w:tblStyle w:val="745"/>
        <w:tblW w:w="9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2066"/>
        <w:gridCol w:w="6365"/>
      </w:tblGrid>
      <w:tr>
        <w:trPr>
          <w:jc w:val="center"/>
          <w:trHeight w:val="709"/>
        </w:trPr>
        <w:tc>
          <w:tcPr>
            <w:shd w:val="clear" w:color="auto" w:fill="auto"/>
            <w:tcW w:w="112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序列</w:t>
            </w:r>
            <w:r/>
          </w:p>
        </w:tc>
        <w:tc>
          <w:tcPr>
            <w:shd w:val="clear" w:color="auto" w:fill="auto"/>
            <w:tcW w:w="2066"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服务项目</w:t>
            </w:r>
            <w:r/>
          </w:p>
        </w:tc>
        <w:tc>
          <w:tcPr>
            <w:shd w:val="clear" w:color="auto" w:fill="auto"/>
            <w:tcW w:w="636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具体内容</w:t>
            </w:r>
            <w:r/>
          </w:p>
        </w:tc>
      </w:tr>
      <w:tr>
        <w:trPr>
          <w:jc w:val="center"/>
          <w:trHeight w:val="527"/>
        </w:trPr>
        <w:tc>
          <w:tcPr>
            <w:shd w:val="clear" w:color="auto" w:fill="auto"/>
            <w:tcW w:w="112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shd w:val="clear" w:color="auto" w:fill="auto"/>
            <w:tcW w:w="2066"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空调水水质检查</w:t>
            </w:r>
            <w:r/>
          </w:p>
        </w:tc>
        <w:tc>
          <w:tcPr>
            <w:shd w:val="clear" w:color="auto" w:fill="auto"/>
            <w:tcW w:w="6365"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对空调水的pH值、电导率、浊度、硬度进行检验。</w:t>
            </w:r>
            <w:r/>
          </w:p>
        </w:tc>
      </w:tr>
      <w:tr>
        <w:trPr>
          <w:jc w:val="center"/>
          <w:trHeight w:val="555"/>
        </w:trPr>
        <w:tc>
          <w:tcPr>
            <w:shd w:val="clear" w:color="auto" w:fill="auto"/>
            <w:tcW w:w="1128"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shd w:val="clear" w:color="auto" w:fill="auto"/>
            <w:tcW w:w="2066"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空调水防垢除垢</w:t>
            </w:r>
            <w:r/>
          </w:p>
        </w:tc>
        <w:tc>
          <w:tcPr>
            <w:shd w:val="clear" w:color="auto" w:fill="auto"/>
            <w:tcW w:w="6365"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采用人工清洗、化学处理等手段防垢、除垢。</w:t>
            </w:r>
            <w:r/>
          </w:p>
        </w:tc>
      </w:tr>
      <w:tr>
        <w:trPr>
          <w:jc w:val="center"/>
          <w:trHeight w:val="555"/>
        </w:trPr>
        <w:tc>
          <w:tcPr>
            <w:gridSpan w:val="3"/>
            <w:shd w:val="clear" w:color="auto" w:fill="auto"/>
            <w:tcW w:w="955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对冷温水管路空调水pH值、硬度定期检测，每年1次加药处理，确保水质合格，保证空调效果。</w:t>
            </w:r>
            <w:r/>
          </w:p>
        </w:tc>
      </w:tr>
    </w:tbl>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⑤水泵维护内容</w:t>
      </w:r>
      <w:r/>
    </w:p>
    <w:tbl>
      <w:tblPr>
        <w:tblStyle w:val="745"/>
        <w:tblW w:w="943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9"/>
        <w:gridCol w:w="1804"/>
        <w:gridCol w:w="6525"/>
      </w:tblGrid>
      <w:tr>
        <w:trPr>
          <w:jc w:val="center"/>
          <w:trHeight w:val="448"/>
        </w:trPr>
        <w:tc>
          <w:tcPr>
            <w:tcW w:w="110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序列</w:t>
            </w:r>
            <w:r/>
          </w:p>
        </w:tc>
        <w:tc>
          <w:tcPr>
            <w:tcW w:w="1804"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服务项目</w:t>
            </w:r>
            <w:r/>
          </w:p>
        </w:tc>
        <w:tc>
          <w:tcPr>
            <w:tcW w:w="652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具体内容</w:t>
            </w:r>
            <w:r/>
          </w:p>
        </w:tc>
      </w:tr>
      <w:tr>
        <w:trPr>
          <w:jc w:val="center"/>
          <w:trHeight w:val="868"/>
        </w:trPr>
        <w:tc>
          <w:tcPr>
            <w:tcW w:w="110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1804"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润滑油添加</w:t>
            </w:r>
            <w:r/>
          </w:p>
        </w:tc>
        <w:tc>
          <w:tcPr>
            <w:tcW w:w="652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检查油面、油温、油质、油乳化、油无杂质；添加或更换新润滑油。</w:t>
            </w:r>
            <w:r/>
          </w:p>
        </w:tc>
      </w:tr>
      <w:tr>
        <w:trPr>
          <w:jc w:val="center"/>
          <w:trHeight w:val="868"/>
        </w:trPr>
        <w:tc>
          <w:tcPr>
            <w:tcW w:w="110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W w:w="1804"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螺栓、连接件检查及更换</w:t>
            </w:r>
            <w:r/>
          </w:p>
        </w:tc>
        <w:tc>
          <w:tcPr>
            <w:tcW w:w="652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检查及更换紧固螺栓及连接件。 </w:t>
            </w:r>
            <w:r/>
          </w:p>
        </w:tc>
      </w:tr>
      <w:tr>
        <w:trPr>
          <w:jc w:val="center"/>
          <w:trHeight w:val="868"/>
        </w:trPr>
        <w:tc>
          <w:tcPr>
            <w:tcW w:w="110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W w:w="1804"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填料轴封维护</w:t>
            </w:r>
            <w:r/>
          </w:p>
        </w:tc>
        <w:tc>
          <w:tcPr>
            <w:tcW w:w="652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1.检查填料式轴封漏水量；2.紧固轴封的填料压盖螺栓或更换成不锈钢螺栓螺帽；3.采用柔性石墨盘根填紧填料式轴封。</w:t>
            </w:r>
            <w:r/>
          </w:p>
        </w:tc>
      </w:tr>
      <w:tr>
        <w:trPr>
          <w:jc w:val="center"/>
          <w:trHeight w:val="868"/>
        </w:trPr>
        <w:tc>
          <w:tcPr>
            <w:tcW w:w="110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W w:w="1804"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机械轴封维护</w:t>
            </w:r>
            <w:r/>
          </w:p>
        </w:tc>
        <w:tc>
          <w:tcPr>
            <w:tcW w:w="652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更换泄漏量大于10ml/h或轴套表面波纹状磨损的轴封。更换橡胶O型圈。</w:t>
            </w:r>
            <w:r/>
          </w:p>
        </w:tc>
      </w:tr>
      <w:tr>
        <w:trPr>
          <w:jc w:val="center"/>
          <w:trHeight w:val="439"/>
        </w:trPr>
        <w:tc>
          <w:tcPr>
            <w:tcW w:w="110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W w:w="1804"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润滑油更换</w:t>
            </w:r>
            <w:r/>
          </w:p>
        </w:tc>
        <w:tc>
          <w:tcPr>
            <w:tcW w:w="652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更换润滑油、清洗油箱。对油箱轴封维护、更换。</w:t>
            </w:r>
            <w:r/>
          </w:p>
        </w:tc>
      </w:tr>
      <w:tr>
        <w:trPr>
          <w:jc w:val="center"/>
          <w:trHeight w:val="868"/>
        </w:trPr>
        <w:tc>
          <w:tcPr>
            <w:tcW w:w="110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tcW w:w="1804"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润滑油脂更换</w:t>
            </w:r>
            <w:r/>
          </w:p>
        </w:tc>
        <w:tc>
          <w:tcPr>
            <w:tcW w:w="652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1.更换润滑脂、清洗轴承座和清除废油脂。2.对油嘴润滑脂的强力充注。3.对超出时限的润滑脂彻底清除、更换。</w:t>
            </w:r>
            <w:r/>
          </w:p>
        </w:tc>
      </w:tr>
      <w:tr>
        <w:trPr>
          <w:jc w:val="center"/>
          <w:trHeight w:val="868"/>
        </w:trPr>
        <w:tc>
          <w:tcPr>
            <w:tcW w:w="110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tcW w:w="1804"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解体检修</w:t>
            </w:r>
            <w:r/>
          </w:p>
        </w:tc>
        <w:tc>
          <w:tcPr>
            <w:tcW w:w="652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对泵壳、叶轮内外面、叶轮流道、密封环、主轴等处清洗、除垢、更换、调整、油漆。</w:t>
            </w:r>
            <w:r/>
          </w:p>
        </w:tc>
      </w:tr>
      <w:tr>
        <w:trPr>
          <w:jc w:val="center"/>
          <w:trHeight w:val="439"/>
        </w:trPr>
        <w:tc>
          <w:tcPr>
            <w:tcW w:w="110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w:t>
            </w:r>
            <w:r/>
          </w:p>
        </w:tc>
        <w:tc>
          <w:tcPr>
            <w:tcW w:w="1804"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电气检查</w:t>
            </w:r>
            <w:r/>
          </w:p>
        </w:tc>
        <w:tc>
          <w:tcPr>
            <w:tcW w:w="652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对电机，控制系统，变频装置等常规检查。</w:t>
            </w:r>
            <w:r/>
          </w:p>
        </w:tc>
      </w:tr>
      <w:tr>
        <w:trPr>
          <w:jc w:val="center"/>
          <w:trHeight w:val="439"/>
        </w:trPr>
        <w:tc>
          <w:tcPr>
            <w:tcW w:w="110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w:t>
            </w:r>
            <w:r/>
          </w:p>
        </w:tc>
        <w:tc>
          <w:tcPr>
            <w:tcW w:w="1804"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电气检修</w:t>
            </w:r>
            <w:r/>
          </w:p>
        </w:tc>
        <w:tc>
          <w:tcPr>
            <w:tcW w:w="652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对电机、低压电器、连接线、连接端子、接地、绝缘等检修。</w:t>
            </w:r>
            <w:r/>
          </w:p>
        </w:tc>
      </w:tr>
      <w:tr>
        <w:trPr>
          <w:jc w:val="center"/>
          <w:trHeight w:val="439"/>
        </w:trPr>
        <w:tc>
          <w:tcPr>
            <w:tcW w:w="110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w:t>
            </w:r>
            <w:r/>
          </w:p>
        </w:tc>
        <w:tc>
          <w:tcPr>
            <w:tcW w:w="1804"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泵体除垢刷漆</w:t>
            </w:r>
            <w:r/>
          </w:p>
        </w:tc>
        <w:tc>
          <w:tcPr>
            <w:tcW w:w="652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对泵内外除锈刷漆。</w:t>
            </w:r>
            <w:r/>
          </w:p>
        </w:tc>
      </w:tr>
      <w:tr>
        <w:trPr>
          <w:jc w:val="center"/>
          <w:trHeight w:val="886"/>
        </w:trPr>
        <w:tc>
          <w:tcPr>
            <w:tcW w:w="110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w:t>
            </w:r>
            <w:r/>
          </w:p>
        </w:tc>
        <w:tc>
          <w:tcPr>
            <w:tcW w:w="1804"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压力表状态检查</w:t>
            </w:r>
            <w:r/>
          </w:p>
        </w:tc>
        <w:tc>
          <w:tcPr>
            <w:tcW w:w="652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检查压力表指示是否正确、无跑冒滴漏。</w:t>
            </w:r>
            <w:r/>
          </w:p>
        </w:tc>
      </w:tr>
    </w:tbl>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⑥风机盘管清洗及服务内容（维保频率：每年四次）</w:t>
      </w:r>
      <w:r/>
    </w:p>
    <w:tbl>
      <w:tblPr>
        <w:tblStyle w:val="745"/>
        <w:tblW w:w="93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4"/>
        <w:gridCol w:w="1908"/>
        <w:gridCol w:w="6346"/>
      </w:tblGrid>
      <w:tr>
        <w:trPr>
          <w:jc w:val="center"/>
          <w:trHeight w:val="355"/>
        </w:trPr>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序列</w:t>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服务项目</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具体内容</w:t>
            </w:r>
            <w:r/>
          </w:p>
        </w:tc>
      </w:tr>
      <w:tr>
        <w:trPr>
          <w:jc w:val="center"/>
          <w:trHeight w:val="740"/>
        </w:trPr>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接水盘清洗</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采用水冲洗，污水由排水管排出；或采用压力水（压缩空气）清洗、吹污排水管；滴水盘再用消毒水刷洗一遍。</w:t>
            </w:r>
            <w:r/>
          </w:p>
        </w:tc>
      </w:tr>
      <w:tr>
        <w:trPr>
          <w:jc w:val="center"/>
          <w:trHeight w:val="476"/>
        </w:trPr>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盘管清洗</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采用吸尘器清吸，或用水冲洗；对油污或化学污染则要采用清洗剂清洗；特殊情况采用整体拆卸清洗。</w:t>
            </w:r>
            <w:r/>
          </w:p>
        </w:tc>
      </w:tr>
      <w:tr>
        <w:trPr>
          <w:jc w:val="center"/>
          <w:trHeight w:val="476"/>
        </w:trPr>
        <w:tc>
          <w:tcPr>
            <w:shd w:val="clear" w:color="auto" w:fill="auto"/>
            <w:tcBorders>
              <w:top w:val="single" w:color="auto" w:sz="4" w:space="0"/>
              <w:left w:val="single" w:color="auto" w:sz="4" w:space="0"/>
              <w:bottom w:val="single" w:color="auto" w:sz="4" w:space="0"/>
              <w:right w:val="single" w:color="auto" w:sz="4" w:space="0"/>
            </w:tcBorders>
            <w:tcW w:w="1084"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908"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过滤网、风口清洗</w:t>
            </w:r>
            <w:r/>
          </w:p>
        </w:tc>
        <w:tc>
          <w:tcPr>
            <w:shd w:val="clear" w:color="auto" w:fill="auto"/>
            <w:tcBorders>
              <w:top w:val="single" w:color="auto" w:sz="4" w:space="0"/>
              <w:left w:val="single" w:color="auto" w:sz="4" w:space="0"/>
              <w:bottom w:val="single" w:color="auto" w:sz="4" w:space="0"/>
              <w:right w:val="single" w:color="auto" w:sz="4" w:space="0"/>
            </w:tcBorders>
            <w:tcW w:w="634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1.采取吸尘器清理方式或拆下过滤网用加压清水冲洗；2.对有油污的采用化学清洗剂的方式清洁；3.对回风口、出风口清洁，特殊情况随时清洗、清洁。</w:t>
            </w:r>
            <w:r/>
          </w:p>
        </w:tc>
      </w:tr>
      <w:tr>
        <w:trPr>
          <w:jc w:val="center"/>
          <w:trHeight w:val="355"/>
        </w:trPr>
        <w:tc>
          <w:tcPr>
            <w:shd w:val="clear" w:color="auto" w:fill="auto"/>
            <w:tcBorders>
              <w:top w:val="single" w:color="auto" w:sz="4" w:space="0"/>
              <w:left w:val="single" w:color="auto" w:sz="4" w:space="0"/>
              <w:bottom w:val="single" w:color="auto" w:sz="4" w:space="0"/>
              <w:right w:val="single" w:color="auto" w:sz="4" w:space="0"/>
            </w:tcBorders>
            <w:tcW w:w="1084"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风机叶轮清洗</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1.采用小型强力吸尘器清洁；2.拆卸清洗。 </w:t>
            </w:r>
            <w:r/>
          </w:p>
        </w:tc>
      </w:tr>
      <w:tr>
        <w:trPr>
          <w:jc w:val="center"/>
          <w:trHeight w:val="695"/>
        </w:trPr>
        <w:tc>
          <w:tcPr>
            <w:shd w:val="clear" w:color="auto" w:fill="auto"/>
            <w:tcBorders>
              <w:top w:val="single" w:color="auto" w:sz="4" w:space="0"/>
              <w:left w:val="single" w:color="auto" w:sz="4" w:space="0"/>
              <w:bottom w:val="single" w:color="auto" w:sz="4" w:space="0"/>
              <w:right w:val="single" w:color="auto" w:sz="4" w:space="0"/>
            </w:tcBorders>
            <w:tcW w:w="1084"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水过滤器清洗</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采用清水冲洗过滤器的同时，对盘管用压力水反冲清洗。</w:t>
            </w:r>
            <w:r/>
          </w:p>
        </w:tc>
      </w:tr>
      <w:tr>
        <w:trPr>
          <w:jc w:val="center"/>
          <w:trHeight w:val="355"/>
        </w:trPr>
        <w:tc>
          <w:tcPr>
            <w:shd w:val="clear" w:color="auto" w:fill="auto"/>
            <w:tcBorders>
              <w:top w:val="single" w:color="auto" w:sz="4" w:space="0"/>
              <w:left w:val="single" w:color="auto" w:sz="4" w:space="0"/>
              <w:bottom w:val="single" w:color="auto" w:sz="4" w:space="0"/>
              <w:right w:val="single" w:color="auto" w:sz="4" w:space="0"/>
            </w:tcBorders>
            <w:tcW w:w="1084"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保温层检查</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检查修理保温层，对损坏、脱胶翻卷处及时修补。</w:t>
            </w:r>
            <w:r/>
          </w:p>
        </w:tc>
      </w:tr>
      <w:tr>
        <w:trPr>
          <w:jc w:val="center"/>
          <w:trHeight w:val="355"/>
        </w:trPr>
        <w:tc>
          <w:tcPr>
            <w:shd w:val="clear" w:color="auto" w:fill="auto"/>
            <w:tcBorders>
              <w:top w:val="single" w:color="auto" w:sz="4" w:space="0"/>
              <w:left w:val="single" w:color="auto" w:sz="4" w:space="0"/>
              <w:bottom w:val="single" w:color="auto" w:sz="4" w:space="0"/>
              <w:right w:val="single" w:color="auto" w:sz="4" w:space="0"/>
            </w:tcBorders>
            <w:tcW w:w="1084"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电器检修</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电器元件及线路常规检查。</w:t>
            </w:r>
            <w:r/>
          </w:p>
        </w:tc>
      </w:tr>
      <w:tr>
        <w:trPr>
          <w:jc w:val="center"/>
          <w:trHeight w:val="355"/>
        </w:trPr>
        <w:tc>
          <w:tcPr>
            <w:shd w:val="clear" w:color="auto" w:fill="auto"/>
            <w:tcBorders>
              <w:top w:val="single" w:color="auto" w:sz="4" w:space="0"/>
              <w:left w:val="single" w:color="auto" w:sz="4" w:space="0"/>
              <w:bottom w:val="single" w:color="auto" w:sz="4" w:space="0"/>
              <w:right w:val="single" w:color="auto" w:sz="4" w:space="0"/>
            </w:tcBorders>
            <w:tcW w:w="1084"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电磁阀检查</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电磁阀检修，主要检测电磁阀的启闭正常，关闭严密。</w:t>
            </w:r>
            <w:r/>
          </w:p>
        </w:tc>
      </w:tr>
      <w:tr>
        <w:trPr>
          <w:jc w:val="center"/>
          <w:trHeight w:val="355"/>
        </w:trPr>
        <w:tc>
          <w:tcPr>
            <w:shd w:val="clear" w:color="auto" w:fill="auto"/>
            <w:tcBorders>
              <w:top w:val="single" w:color="auto" w:sz="4" w:space="0"/>
              <w:left w:val="single" w:color="auto" w:sz="4" w:space="0"/>
              <w:bottom w:val="single" w:color="auto" w:sz="4" w:space="0"/>
              <w:right w:val="single" w:color="auto" w:sz="4" w:space="0"/>
            </w:tcBorders>
            <w:tcW w:w="1084"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风堵开关</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检查动作是否正常。</w:t>
            </w:r>
            <w:r/>
          </w:p>
        </w:tc>
      </w:tr>
      <w:tr>
        <w:trPr>
          <w:jc w:val="center"/>
          <w:trHeight w:val="355"/>
        </w:trPr>
        <w:tc>
          <w:tcPr>
            <w:shd w:val="clear" w:color="auto" w:fill="auto"/>
            <w:tcBorders>
              <w:top w:val="single" w:color="auto" w:sz="4" w:space="0"/>
              <w:left w:val="single" w:color="auto" w:sz="4" w:space="0"/>
              <w:bottom w:val="single" w:color="auto" w:sz="4" w:space="0"/>
              <w:right w:val="single" w:color="auto" w:sz="4" w:space="0"/>
            </w:tcBorders>
            <w:tcW w:w="1084"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噪音</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检查1、2、3挡风机噪音过大的原因。</w:t>
            </w:r>
            <w:r/>
          </w:p>
        </w:tc>
      </w:tr>
      <w:tr>
        <w:trPr>
          <w:jc w:val="center"/>
          <w:trHeight w:val="355"/>
        </w:trPr>
        <w:tc>
          <w:tcPr>
            <w:shd w:val="clear" w:color="auto" w:fill="auto"/>
            <w:tcBorders>
              <w:top w:val="single" w:color="auto" w:sz="4" w:space="0"/>
              <w:left w:val="single" w:color="auto" w:sz="4" w:space="0"/>
              <w:bottom w:val="single" w:color="auto" w:sz="4" w:space="0"/>
              <w:right w:val="single" w:color="auto" w:sz="4" w:space="0"/>
            </w:tcBorders>
            <w:tcW w:w="1084"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电机</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电机常规电气检查</w:t>
            </w:r>
            <w:r/>
          </w:p>
        </w:tc>
      </w:tr>
      <w:tr>
        <w:trPr>
          <w:jc w:val="center"/>
          <w:trHeight w:val="370"/>
        </w:trPr>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1908"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叶轮</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检查叶轮变形情况，如变形立即修复</w:t>
            </w:r>
            <w:r/>
          </w:p>
        </w:tc>
      </w:tr>
    </w:tbl>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⑦蒸汽压力锅炉维护内容（节能改造完成前适用）</w:t>
      </w:r>
      <w:r/>
    </w:p>
    <w:tbl>
      <w:tblPr>
        <w:tblStyle w:val="776"/>
        <w:tblW w:w="94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2009"/>
        <w:gridCol w:w="6445"/>
      </w:tblGrid>
      <w:tr>
        <w:trPr>
          <w:jc w:val="center"/>
          <w:trHeight w:val="213"/>
        </w:trPr>
        <w:tc>
          <w:tcPr>
            <w:shd w:val="clear" w:color="auto" w:fill="auto"/>
            <w:tcW w:w="102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序列</w:t>
            </w:r>
            <w:r/>
          </w:p>
        </w:tc>
        <w:tc>
          <w:tcPr>
            <w:shd w:val="clear" w:color="auto" w:fill="auto"/>
            <w:tcW w:w="200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服务项目</w:t>
            </w:r>
            <w:r/>
          </w:p>
        </w:tc>
        <w:tc>
          <w:tcPr>
            <w:shd w:val="clear" w:color="auto" w:fill="auto"/>
            <w:tcW w:w="644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具体内容</w:t>
            </w:r>
            <w:r/>
          </w:p>
        </w:tc>
      </w:tr>
      <w:tr>
        <w:trPr>
          <w:jc w:val="center"/>
          <w:trHeight w:val="213"/>
        </w:trPr>
        <w:tc>
          <w:tcPr>
            <w:shd w:val="clear" w:color="auto" w:fill="auto"/>
            <w:tcW w:w="102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shd w:val="clear" w:color="auto" w:fill="auto"/>
            <w:tcW w:w="200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安全附件</w:t>
            </w:r>
            <w:r/>
          </w:p>
        </w:tc>
        <w:tc>
          <w:tcPr>
            <w:shd w:val="clear" w:color="auto" w:fill="auto"/>
            <w:tcW w:w="644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锅炉运行中，重点检查、记录锅炉安全部件和转动设备的运行情况，无超压、过载，炉体无鼓包、裂纹，无液位异常。</w:t>
            </w:r>
            <w:r/>
          </w:p>
        </w:tc>
      </w:tr>
      <w:tr>
        <w:trPr>
          <w:jc w:val="center"/>
          <w:trHeight w:val="419"/>
        </w:trPr>
        <w:tc>
          <w:tcPr>
            <w:shd w:val="clear" w:color="auto" w:fill="auto"/>
            <w:tcW w:w="102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shd w:val="clear" w:color="auto" w:fill="auto"/>
            <w:tcW w:w="200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燃烧器</w:t>
            </w:r>
            <w:r/>
          </w:p>
        </w:tc>
        <w:tc>
          <w:tcPr>
            <w:shd w:val="clear" w:color="auto" w:fill="auto"/>
            <w:tcW w:w="644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保持现场清洁，做到无杂物、无积灰、无积水、无油垢；2.每季度对燃烧器清理一次，检查控制系统；3.清理燃烧器，点火电极、火焰盘、燃烧头；4.检查、调整燃气蝶阀、空气蝶阀；5.检查、调整一次配风系统，二次配风系统；6.检测燃烧器控制程序；7.检测火焰监测回路，检查跑冒滴漏。</w:t>
            </w:r>
            <w:r/>
          </w:p>
        </w:tc>
      </w:tr>
      <w:tr>
        <w:trPr>
          <w:jc w:val="center"/>
          <w:trHeight w:val="213"/>
        </w:trPr>
        <w:tc>
          <w:tcPr>
            <w:shd w:val="clear" w:color="auto" w:fill="auto"/>
            <w:tcW w:w="102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shd w:val="clear" w:color="auto" w:fill="auto"/>
            <w:tcW w:w="200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电控柜</w:t>
            </w:r>
            <w:r/>
          </w:p>
        </w:tc>
        <w:tc>
          <w:tcPr>
            <w:shd w:val="clear" w:color="auto" w:fill="auto"/>
            <w:tcW w:w="644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1.每季度电控设备检查一次；2.定期电控柜除尘；3.检查电器设备绝缘与接地。</w:t>
            </w:r>
            <w:r/>
          </w:p>
        </w:tc>
      </w:tr>
      <w:tr>
        <w:trPr>
          <w:jc w:val="center"/>
          <w:trHeight w:val="213"/>
        </w:trPr>
        <w:tc>
          <w:tcPr>
            <w:shd w:val="clear" w:color="auto" w:fill="auto"/>
            <w:tcW w:w="102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shd w:val="clear" w:color="auto" w:fill="auto"/>
            <w:tcW w:w="200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给水装置</w:t>
            </w:r>
            <w:r/>
          </w:p>
        </w:tc>
        <w:tc>
          <w:tcPr>
            <w:shd w:val="clear" w:color="auto" w:fill="auto"/>
            <w:tcW w:w="644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1.自动给水装置运行正常；2.水泵保养参照泵组保养项目。</w:t>
            </w:r>
            <w:r/>
          </w:p>
        </w:tc>
      </w:tr>
      <w:tr>
        <w:trPr>
          <w:jc w:val="center"/>
          <w:trHeight w:val="419"/>
        </w:trPr>
        <w:tc>
          <w:tcPr>
            <w:shd w:val="clear" w:color="auto" w:fill="auto"/>
            <w:tcW w:w="102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shd w:val="clear" w:color="auto" w:fill="auto"/>
            <w:tcW w:w="200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水处理</w:t>
            </w:r>
            <w:r/>
          </w:p>
        </w:tc>
        <w:tc>
          <w:tcPr>
            <w:shd w:val="clear" w:color="auto" w:fill="auto"/>
            <w:tcW w:w="644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每月水处理设备检查一次，锅炉运行期间每天水质化验一次；2.定期对低水位切断装置进行检查保养及清洗；3.水位控制器每月至少清洗一次，水位表每天至少冲洗一次；4.水位表冲洗应处于最高水位；5.冲洗后水位不低于最低安全水位，如一次冲洗不净，可多次冲洗，但必须最高水位时冲洗；6.定期排污操作，每天（每班）至少一次，排污后应检查排污阀是否因污物影响而有泄漏现象，如有则必须予以排除。</w:t>
            </w:r>
            <w:r/>
          </w:p>
        </w:tc>
      </w:tr>
      <w:tr>
        <w:trPr>
          <w:jc w:val="center"/>
          <w:trHeight w:val="580"/>
        </w:trPr>
        <w:tc>
          <w:tcPr>
            <w:shd w:val="clear" w:color="auto" w:fill="auto"/>
            <w:tcW w:w="102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shd w:val="clear" w:color="auto" w:fill="auto"/>
            <w:tcW w:w="200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炉膛</w:t>
            </w:r>
            <w:r/>
          </w:p>
        </w:tc>
        <w:tc>
          <w:tcPr>
            <w:shd w:val="clear" w:color="auto" w:fill="auto"/>
            <w:tcW w:w="644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1.定期打开前后门盖，刷除或吹除烟管积灰；2.检查烟管结垢情况并清理。</w:t>
            </w:r>
            <w:r/>
          </w:p>
        </w:tc>
      </w:tr>
      <w:tr>
        <w:trPr>
          <w:jc w:val="center"/>
          <w:trHeight w:val="426"/>
        </w:trPr>
        <w:tc>
          <w:tcPr>
            <w:shd w:val="clear" w:color="auto" w:fill="auto"/>
            <w:tcW w:w="1020"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shd w:val="clear" w:color="auto" w:fill="auto"/>
            <w:tcW w:w="2009"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停炉</w:t>
            </w:r>
            <w:r/>
          </w:p>
        </w:tc>
        <w:tc>
          <w:tcPr>
            <w:shd w:val="clear" w:color="auto" w:fill="auto"/>
            <w:tcW w:w="6445" w:type="dxa"/>
            <w:vAlign w:val="center"/>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短期停炉：可采用湿保养法：停炉后，将炉水加满，将空气全部排出；2.长期停炉：采用干保养法：停炉后将炉水放掉，打开下部手孔，吹干锅内积水，并通过下部手孔处，投入干燥剂，且应定期更换，开始可每月检查更换—次，以后可三个月一次；3.停炉而没有保持蒸汽压力时，锅炉蒸汽空间会产生负压而滞留空气，因此再次升火燃烧时应先打开总汽阀。</w:t>
            </w:r>
            <w:r/>
          </w:p>
        </w:tc>
      </w:tr>
    </w:tbl>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⑧容积式换热器维护内容</w:t>
      </w:r>
      <w:r>
        <w:rPr>
          <w:rFonts w:hint="eastAsia" w:ascii="宋体" w:hAnsi="宋体" w:eastAsia="宋体" w:cs="宋体"/>
          <w:color w:val="000000" w:themeColor="text1"/>
          <w:sz w:val="24"/>
          <w:szCs w:val="24"/>
          <w14:textFill>
            <w14:solidFill>
              <w14:schemeClr w14:val="tx1"/>
            </w14:solidFill>
          </w14:textFill>
        </w:rPr>
        <w:t xml:space="preserve">（节能改造完成前适用）</w:t>
      </w:r>
      <w:r/>
    </w:p>
    <w:tbl>
      <w:tblPr>
        <w:tblStyle w:val="745"/>
        <w:tblW w:w="9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1378"/>
        <w:gridCol w:w="7132"/>
      </w:tblGrid>
      <w:tr>
        <w:trPr>
          <w:jc w:val="center"/>
          <w:trHeight w:val="625"/>
        </w:trPr>
        <w:tc>
          <w:tcPr>
            <w:tcBorders>
              <w:top w:val="single" w:color="auto" w:sz="4" w:space="0"/>
              <w:left w:val="single" w:color="auto" w:sz="4" w:space="0"/>
              <w:bottom w:val="single" w:color="auto" w:sz="4" w:space="0"/>
              <w:right w:val="single" w:color="auto" w:sz="4" w:space="0"/>
            </w:tcBorders>
            <w:tcW w:w="1008"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序列</w:t>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服务项目</w:t>
            </w:r>
            <w:r/>
          </w:p>
        </w:tc>
        <w:tc>
          <w:tcPr>
            <w:tcBorders>
              <w:top w:val="single" w:color="auto" w:sz="4" w:space="0"/>
              <w:left w:val="single" w:color="auto" w:sz="4" w:space="0"/>
              <w:bottom w:val="single" w:color="auto" w:sz="4" w:space="0"/>
              <w:right w:val="single" w:color="auto" w:sz="4" w:space="0"/>
            </w:tcBorders>
            <w:tcW w:w="7132"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具体内容</w:t>
            </w:r>
            <w:r/>
          </w:p>
        </w:tc>
      </w:tr>
      <w:tr>
        <w:trPr>
          <w:jc w:val="center"/>
          <w:trHeight w:val="1030"/>
        </w:trPr>
        <w:tc>
          <w:tcPr>
            <w:tcBorders>
              <w:top w:val="single" w:color="auto" w:sz="4" w:space="0"/>
              <w:left w:val="single" w:color="auto" w:sz="4" w:space="0"/>
              <w:bottom w:val="single" w:color="auto" w:sz="4" w:space="0"/>
              <w:right w:val="single" w:color="auto" w:sz="4" w:space="0"/>
            </w:tcBorders>
            <w:tcW w:w="1008"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罐体、管道密封性</w:t>
            </w:r>
            <w:r/>
          </w:p>
        </w:tc>
        <w:tc>
          <w:tcPr>
            <w:tcBorders>
              <w:top w:val="single" w:color="auto" w:sz="4" w:space="0"/>
              <w:left w:val="single" w:color="auto" w:sz="4" w:space="0"/>
              <w:bottom w:val="single" w:color="auto" w:sz="4" w:space="0"/>
              <w:right w:val="single" w:color="auto" w:sz="4" w:space="0"/>
            </w:tcBorders>
            <w:tcW w:w="7132"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1.蒸汽管道、热水管道、罐体无泄漏；2.主体运行未超压，罐体无鼓包、裂纹，无局部高温现象；3.通过听棒等设备判断罐体内是否异响，确认换热器内部是否存在异常震动、摩擦。</w:t>
            </w:r>
            <w:r/>
          </w:p>
        </w:tc>
      </w:tr>
      <w:tr>
        <w:trPr>
          <w:jc w:val="center"/>
          <w:trHeight w:val="1284"/>
        </w:trPr>
        <w:tc>
          <w:tcPr>
            <w:tcBorders>
              <w:top w:val="single" w:color="auto" w:sz="4" w:space="0"/>
              <w:left w:val="single" w:color="auto" w:sz="4" w:space="0"/>
              <w:bottom w:val="single" w:color="auto" w:sz="4" w:space="0"/>
              <w:right w:val="single" w:color="auto" w:sz="4" w:space="0"/>
            </w:tcBorders>
            <w:tcW w:w="1008"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换热器温度、压力</w:t>
            </w:r>
            <w:r/>
          </w:p>
        </w:tc>
        <w:tc>
          <w:tcPr>
            <w:tcBorders>
              <w:top w:val="single" w:color="auto" w:sz="4" w:space="0"/>
              <w:left w:val="single" w:color="auto" w:sz="4" w:space="0"/>
              <w:bottom w:val="single" w:color="auto" w:sz="4" w:space="0"/>
              <w:right w:val="single" w:color="auto" w:sz="4" w:space="0"/>
            </w:tcBorders>
            <w:tcW w:w="7132"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检查换热器一次侧、二次侧温度、压力，一次侧入口压力不超过0.4MPa，二次侧出口温度不超过60℃（温度过高加速结垢，影响设备换热效率）；2.压力异常应考虑拆洗入口过滤器，确保系统通畅；3.检查管束、罐体是否结垢。</w:t>
            </w:r>
            <w:r/>
          </w:p>
        </w:tc>
      </w:tr>
      <w:tr>
        <w:trPr>
          <w:jc w:val="center"/>
          <w:trHeight w:val="927"/>
        </w:trPr>
        <w:tc>
          <w:tcPr>
            <w:tcBorders>
              <w:top w:val="single" w:color="auto" w:sz="4" w:space="0"/>
              <w:left w:val="single" w:color="auto" w:sz="4" w:space="0"/>
              <w:bottom w:val="single" w:color="auto" w:sz="4" w:space="0"/>
              <w:right w:val="single" w:color="auto" w:sz="4" w:space="0"/>
            </w:tcBorders>
            <w:tcW w:w="1008"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管道、罐体保温</w:t>
            </w:r>
            <w:r/>
          </w:p>
        </w:tc>
        <w:tc>
          <w:tcPr>
            <w:tcBorders>
              <w:top w:val="single" w:color="auto" w:sz="4" w:space="0"/>
              <w:left w:val="single" w:color="auto" w:sz="4" w:space="0"/>
              <w:bottom w:val="single" w:color="auto" w:sz="4" w:space="0"/>
              <w:right w:val="single" w:color="auto" w:sz="4" w:space="0"/>
            </w:tcBorders>
            <w:tcW w:w="7132"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检查完好情况，修复损坏的保温，确保换热效率。</w:t>
            </w:r>
            <w:r/>
          </w:p>
        </w:tc>
      </w:tr>
      <w:tr>
        <w:trPr>
          <w:jc w:val="center"/>
          <w:trHeight w:val="927"/>
        </w:trPr>
        <w:tc>
          <w:tcPr>
            <w:tcBorders>
              <w:top w:val="single" w:color="auto" w:sz="4" w:space="0"/>
              <w:left w:val="single" w:color="auto" w:sz="4" w:space="0"/>
              <w:bottom w:val="single" w:color="auto" w:sz="4" w:space="0"/>
              <w:right w:val="single" w:color="auto" w:sz="4" w:space="0"/>
            </w:tcBorders>
            <w:tcW w:w="1008"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凝水检查</w:t>
            </w:r>
            <w:r/>
          </w:p>
        </w:tc>
        <w:tc>
          <w:tcPr>
            <w:tcBorders>
              <w:top w:val="single" w:color="auto" w:sz="4" w:space="0"/>
              <w:left w:val="single" w:color="auto" w:sz="4" w:space="0"/>
              <w:bottom w:val="single" w:color="auto" w:sz="4" w:space="0"/>
              <w:right w:val="single" w:color="auto" w:sz="4" w:space="0"/>
            </w:tcBorders>
            <w:tcW w:w="7132"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1.检查疏水阀、凝水管及支管安装质量及排水通畅；2．按要求拆洗疏水阀组过滤器。</w:t>
            </w:r>
            <w:r/>
          </w:p>
        </w:tc>
      </w:tr>
      <w:tr>
        <w:trPr>
          <w:jc w:val="center"/>
          <w:trHeight w:val="927"/>
        </w:trPr>
        <w:tc>
          <w:tcPr>
            <w:tcBorders>
              <w:top w:val="single" w:color="auto" w:sz="4" w:space="0"/>
              <w:left w:val="single" w:color="auto" w:sz="4" w:space="0"/>
              <w:bottom w:val="single" w:color="auto" w:sz="4" w:space="0"/>
              <w:right w:val="single" w:color="auto" w:sz="4" w:space="0"/>
            </w:tcBorders>
            <w:tcW w:w="1008"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阀门除锈刷漆</w:t>
            </w:r>
            <w:r/>
          </w:p>
        </w:tc>
        <w:tc>
          <w:tcPr>
            <w:tcBorders>
              <w:top w:val="single" w:color="auto" w:sz="4" w:space="0"/>
              <w:left w:val="single" w:color="auto" w:sz="4" w:space="0"/>
              <w:bottom w:val="single" w:color="auto" w:sz="4" w:space="0"/>
              <w:right w:val="single" w:color="auto" w:sz="4" w:space="0"/>
            </w:tcBorders>
            <w:tcW w:w="7132"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1.按规定要求除锈刷漆；2.检查开启度；3.检查完好情况。</w:t>
            </w:r>
            <w:r/>
          </w:p>
        </w:tc>
      </w:tr>
      <w:tr>
        <w:trPr>
          <w:jc w:val="center"/>
          <w:trHeight w:val="927"/>
        </w:trPr>
        <w:tc>
          <w:tcPr>
            <w:tcBorders>
              <w:top w:val="single" w:color="auto" w:sz="4" w:space="0"/>
              <w:left w:val="single" w:color="auto" w:sz="4" w:space="0"/>
              <w:bottom w:val="single" w:color="auto" w:sz="4" w:space="0"/>
              <w:right w:val="single" w:color="auto" w:sz="4" w:space="0"/>
            </w:tcBorders>
            <w:tcW w:w="1008"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电动阀门保养</w:t>
            </w:r>
            <w:r/>
          </w:p>
        </w:tc>
        <w:tc>
          <w:tcPr>
            <w:tcBorders>
              <w:top w:val="single" w:color="auto" w:sz="4" w:space="0"/>
              <w:left w:val="single" w:color="auto" w:sz="4" w:space="0"/>
              <w:bottom w:val="single" w:color="auto" w:sz="4" w:space="0"/>
              <w:right w:val="single" w:color="auto" w:sz="4" w:space="0"/>
            </w:tcBorders>
            <w:tcW w:w="7132"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1.电机电器及控制系统的保养，控制系统稳定性的确认；2.阀门的机械常规保养。</w:t>
            </w:r>
            <w:r/>
          </w:p>
        </w:tc>
      </w:tr>
      <w:tr>
        <w:trPr>
          <w:jc w:val="center"/>
          <w:trHeight w:val="937"/>
        </w:trPr>
        <w:tc>
          <w:tcPr>
            <w:tcBorders>
              <w:top w:val="single" w:color="auto" w:sz="4" w:space="0"/>
              <w:left w:val="single" w:color="auto" w:sz="4" w:space="0"/>
              <w:bottom w:val="single" w:color="auto" w:sz="4" w:space="0"/>
              <w:right w:val="single" w:color="auto" w:sz="4" w:space="0"/>
            </w:tcBorders>
            <w:tcW w:w="1008"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水箱保温保养</w:t>
            </w:r>
            <w:r/>
          </w:p>
        </w:tc>
        <w:tc>
          <w:tcPr>
            <w:tcBorders>
              <w:top w:val="single" w:color="auto" w:sz="4" w:space="0"/>
              <w:left w:val="single" w:color="auto" w:sz="4" w:space="0"/>
              <w:bottom w:val="single" w:color="auto" w:sz="4" w:space="0"/>
              <w:right w:val="single" w:color="auto" w:sz="4" w:space="0"/>
            </w:tcBorders>
            <w:tcW w:w="7132" w:type="dxa"/>
            <w:vAlign w:val="center"/>
            <w:textDirection w:val="lrTb"/>
            <w:noWrap/>
          </w:tcPr>
          <w:p>
            <w:pPr>
              <w:rPr>
                <w:rFonts w:ascii="宋体" w:hAnsi="宋体" w:eastAsia="宋体" w:cs="宋体"/>
                <w:b/>
                <w:bCs/>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1.按保养要求对水箱除锈刷漆；2.检查完好情况，修复损坏的保温。</w:t>
            </w:r>
            <w:r/>
          </w:p>
        </w:tc>
      </w:tr>
    </w:tbl>
    <w:p>
      <w:pPr>
        <w:rPr>
          <w:rFonts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三、甲方义务</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1.保证按时向乙方交纳本合同约定的合同能源管理服务费。</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协助乙方办理甲方燃气和电费分割手续，实际每月产生的燃气费、电费由乙方承担并直接支付给燃气公司、电力公司，发票抬头为乙方。为了便于管理及核算项目节能量，能源过户时双方应确定各计量仪表的过户数量、覆盖范围、计量底数及仪表编码等。</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3.保证对项目建筑拥有合法、全面的所有权或使用权。</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4.向乙方提供建筑及空调系统图纸等相关技术资料，提供标准机房建设所需场地，以便乙方运行管理。</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5.有新增/减设备或面积的需提前向乙方提供增/减设备或面积情况的书面记录。</w:t>
      </w:r>
      <w:r/>
    </w:p>
    <w:p>
      <w:pPr>
        <w:rPr>
          <w:rFonts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四、乙方义务</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1.负责建筑能源系统的运行管理，建设标准机房，确保按时按标准提供能源服务。</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2.乙方负责院内合同范围内设备设施的管理与运行，并接受甲方监督，定期向甲方提供设备维护、更新情况记录。</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3.发现有私自拆、改、破坏能源系统的行为时及时上报甲方，并马上采取措施制止，若严重威胁到能源系统的可暂停服务。</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4.乙方应对能源使用、设备维保进行检查和监督，制止能源浪费行为。</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5.乙方投资的设备、工程等在合同期内的维保及质量问题由乙方负责。</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6.因乙方未按期缴纳电气费，导致甲方断电断天然气事故或造成其他损失的，责任由乙方承担，但不可抗力或甲方有违约行为的除外。</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负责乙方人员的安全管理，在合同履行期内，因乙方原因出现的安全（工伤）事故由乙方承担，乙方原因造成甲方、第三方人身及财产等损失的，概由乙方承担。乙方运营人员的安全、工资等相关待遇由乙方负责，其他安全事宜详见合同附件《外协单位安全管理责任承诺书》。</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8.乙方不得将该服务转包。</w:t>
      </w:r>
      <w:r/>
    </w:p>
    <w:p>
      <w:pPr>
        <w:rPr>
          <w:rFonts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五、违约规定和责任</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1.在甲方无违约行为情况下，如乙方未按标准提供能源服务，每发生1天，按当年合同能源管理服务费总额1‰支付违约金。</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在乙方无违约行为的情况下，如甲方不按时付款或未按《空调系统管理交接书》约定日期或超出最迟交付运营时间将空调系统交由乙方运营，每延期1天，按当年合同能源管理服务费总额1‰支付违约金，运营期限以乙方实际运营日起算。</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3.在对方无违约行为情况下，任何一方要求解除合同，按合同能源管理服务费一年度合同价的20%支付违约金，并赔偿对方全部损失。</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4.一方出现违约行为，经另一方催告后30天仍未履行义务，另一方有权解除合同并要求违约方按本条第3款承担违约责任。</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5.如违背保密要求，违约方按本条第3款承担违约责任，并承担由此引起的其他法律责任。</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六、其他约定</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1.合同款按照电汇形式汇入乙方指定账户。</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2.本合同一式</w:t>
      </w:r>
      <w:r>
        <w:rPr>
          <w:rFonts w:hint="eastAsia" w:ascii="宋体" w:hAnsi="宋体" w:eastAsia="宋体" w:cs="宋体"/>
          <w:color w:val="000000" w:themeColor="text1"/>
          <w:sz w:val="24"/>
          <w:szCs w:val="24"/>
          <w:u w:val="single"/>
          <w14:textFill>
            <w14:solidFill>
              <w14:schemeClr w14:val="tx1"/>
            </w14:solidFill>
          </w14:textFill>
        </w:rPr>
        <w:t xml:space="preserve">  6  </w:t>
      </w:r>
      <w:r>
        <w:rPr>
          <w:rFonts w:hint="eastAsia" w:ascii="宋体" w:hAnsi="宋体" w:eastAsia="宋体" w:cs="宋体"/>
          <w:color w:val="000000" w:themeColor="text1"/>
          <w:sz w:val="24"/>
          <w:szCs w:val="24"/>
          <w14:textFill>
            <w14:solidFill>
              <w14:schemeClr w14:val="tx1"/>
            </w14:solidFill>
          </w14:textFill>
        </w:rPr>
        <w:t xml:space="preserve">份，甲方执</w:t>
      </w:r>
      <w:r>
        <w:rPr>
          <w:rFonts w:hint="eastAsia" w:ascii="宋体" w:hAnsi="宋体" w:eastAsia="宋体" w:cs="宋体"/>
          <w:color w:val="000000" w:themeColor="text1"/>
          <w:sz w:val="24"/>
          <w:szCs w:val="24"/>
          <w:u w:val="single"/>
          <w14:textFill>
            <w14:solidFill>
              <w14:schemeClr w14:val="tx1"/>
            </w14:solidFill>
          </w14:textFill>
        </w:rPr>
        <w:t xml:space="preserve"> 3  </w:t>
      </w:r>
      <w:r>
        <w:rPr>
          <w:rFonts w:hint="eastAsia" w:ascii="宋体" w:hAnsi="宋体" w:eastAsia="宋体" w:cs="宋体"/>
          <w:color w:val="000000" w:themeColor="text1"/>
          <w:sz w:val="24"/>
          <w:szCs w:val="24"/>
          <w14:textFill>
            <w14:solidFill>
              <w14:schemeClr w14:val="tx1"/>
            </w14:solidFill>
          </w14:textFill>
        </w:rPr>
        <w:t xml:space="preserve">份，乙方执</w:t>
      </w:r>
      <w:r>
        <w:rPr>
          <w:rFonts w:hint="eastAsia" w:ascii="宋体" w:hAnsi="宋体" w:eastAsia="宋体" w:cs="宋体"/>
          <w:color w:val="000000" w:themeColor="text1"/>
          <w:sz w:val="24"/>
          <w:szCs w:val="24"/>
          <w:u w:val="single"/>
          <w14:textFill>
            <w14:solidFill>
              <w14:schemeClr w14:val="tx1"/>
            </w14:solidFill>
          </w14:textFill>
        </w:rPr>
        <w:t xml:space="preserve">  3  </w:t>
      </w:r>
      <w:r>
        <w:rPr>
          <w:rFonts w:hint="eastAsia" w:ascii="宋体" w:hAnsi="宋体" w:eastAsia="宋体" w:cs="宋体"/>
          <w:color w:val="000000" w:themeColor="text1"/>
          <w:sz w:val="24"/>
          <w:szCs w:val="24"/>
          <w14:textFill>
            <w14:solidFill>
              <w14:schemeClr w14:val="tx1"/>
            </w14:solidFill>
          </w14:textFill>
        </w:rPr>
        <w:t xml:space="preserve">份，双方签字并盖章后生效。</w:t>
      </w:r>
      <w:r/>
    </w:p>
    <w:p>
      <w:pPr>
        <w:rPr>
          <w:rFonts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3.双方同意，如因本合同履行产生争议，本合同所示联系地址可作为函件及诉讼（含仲裁）所有程序（包括一审、二审、再审、执行等程序）中相关法律文书的有效送达地址，按该地址送达即视为有效送达。</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4.其他未尽事宜，双方本着友好协商的原则协商解决；协商不成，提交甲方所在地法院提起诉讼解决。</w:t>
      </w:r>
      <w:r/>
    </w:p>
    <w:tbl>
      <w:tblPr>
        <w:tblStyle w:val="7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6"/>
        <w:gridCol w:w="2685"/>
        <w:gridCol w:w="1950"/>
        <w:gridCol w:w="2844"/>
      </w:tblGrid>
      <w:tr>
        <w:trPr>
          <w:jc w:val="center"/>
        </w:trPr>
        <w:tc>
          <w:tcPr>
            <w:tcBorders>
              <w:top w:val="none" w:color="000000" w:sz="4" w:space="0"/>
              <w:left w:val="none" w:color="000000" w:sz="4" w:space="0"/>
              <w:bottom w:val="none" w:color="000000" w:sz="4" w:space="0"/>
              <w:right w:val="none" w:color="000000" w:sz="4" w:space="0"/>
            </w:tcBorders>
            <w:tcW w:w="1876" w:type="dxa"/>
            <w:textDirection w:val="lrTb"/>
            <w:noWrap w:val="false"/>
          </w:tcPr>
          <w:p>
            <w:pPr>
              <w:rPr>
                <w:rFonts w:ascii="宋体" w:hAnsi="宋体" w:eastAsia="宋体" w:cs="宋体"/>
                <w:color w:val="000000" w:themeColor="text1"/>
                <w:spacing w:val="-12"/>
                <w:sz w:val="24"/>
                <w:szCs w:val="24"/>
                <w:lang w:val="en-GB"/>
                <w14:textFill>
                  <w14:solidFill>
                    <w14:schemeClr w14:val="tx1"/>
                  </w14:solidFill>
                </w14:textFill>
              </w:rPr>
            </w:pPr>
            <w:r>
              <w:rPr>
                <w:rFonts w:hint="eastAsia" w:ascii="宋体" w:hAnsi="宋体" w:eastAsia="宋体" w:cs="宋体"/>
                <w:color w:val="000000" w:themeColor="text1"/>
                <w:spacing w:val="-12"/>
                <w:sz w:val="24"/>
                <w:szCs w:val="24"/>
                <w14:textFill>
                  <w14:solidFill>
                    <w14:schemeClr w14:val="tx1"/>
                  </w14:solidFill>
                </w14:textFill>
              </w:rPr>
              <w:t xml:space="preserve">甲 方 单 位：</w:t>
            </w:r>
            <w:r/>
          </w:p>
        </w:tc>
        <w:tc>
          <w:tcPr>
            <w:tcBorders>
              <w:top w:val="none" w:color="000000" w:sz="4" w:space="0"/>
              <w:left w:val="none" w:color="000000" w:sz="4" w:space="0"/>
              <w:bottom w:val="none" w:color="000000" w:sz="4" w:space="0"/>
              <w:right w:val="none" w:color="000000" w:sz="4" w:space="0"/>
            </w:tcBorders>
            <w:tcW w:w="2685" w:type="dxa"/>
            <w:textDirection w:val="lrTb"/>
            <w:noWrap w:val="false"/>
          </w:tcPr>
          <w:p>
            <w:pPr>
              <w:rPr>
                <w:rFonts w:ascii="宋体" w:hAnsi="宋体" w:eastAsia="宋体" w:cs="宋体"/>
                <w:color w:val="000000" w:themeColor="text1"/>
                <w:sz w:val="24"/>
                <w:szCs w:val="24"/>
                <w:lang w:val="en-GB"/>
                <w14:textFill>
                  <w14:solidFill>
                    <w14:schemeClr w14:val="tx1"/>
                  </w14:solidFill>
                </w14:textFill>
              </w:rPr>
            </w:pPr>
            <w:r>
              <w:rPr>
                <w:rFonts w:ascii="宋体" w:hAnsi="宋体" w:eastAsia="宋体" w:cs="宋体"/>
                <w:color w:val="000000" w:themeColor="text1"/>
                <w:sz w:val="24"/>
                <w:szCs w:val="24"/>
                <w:lang w:val="en-GB"/>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1950" w:type="dxa"/>
            <w:textDirection w:val="lrTb"/>
            <w:noWrap w:val="false"/>
          </w:tcPr>
          <w:p>
            <w:pPr>
              <w:rPr>
                <w:rFonts w:ascii="宋体" w:hAnsi="宋体" w:eastAsia="宋体" w:cs="宋体"/>
                <w:color w:val="000000" w:themeColor="text1"/>
                <w:sz w:val="24"/>
                <w:szCs w:val="24"/>
                <w:lang w:val="en-GB"/>
                <w14:textFill>
                  <w14:solidFill>
                    <w14:schemeClr w14:val="tx1"/>
                  </w14:solidFill>
                </w14:textFill>
              </w:rPr>
            </w:pPr>
            <w:r>
              <w:rPr>
                <w:rFonts w:hint="eastAsia" w:ascii="宋体" w:hAnsi="宋体" w:eastAsia="宋体" w:cs="宋体"/>
                <w:color w:val="000000" w:themeColor="text1"/>
                <w:spacing w:val="-12"/>
                <w:sz w:val="24"/>
                <w:szCs w:val="24"/>
                <w14:textFill>
                  <w14:solidFill>
                    <w14:schemeClr w14:val="tx1"/>
                  </w14:solidFill>
                </w14:textFill>
              </w:rPr>
              <w:t xml:space="preserve">乙 方 单 位：</w:t>
            </w:r>
            <w:r/>
          </w:p>
        </w:tc>
        <w:tc>
          <w:tcPr>
            <w:tcBorders>
              <w:top w:val="none" w:color="000000" w:sz="4" w:space="0"/>
              <w:left w:val="none" w:color="000000" w:sz="4" w:space="0"/>
              <w:bottom w:val="none" w:color="000000" w:sz="4" w:space="0"/>
              <w:right w:val="none" w:color="000000" w:sz="4" w:space="0"/>
            </w:tcBorders>
            <w:tcW w:w="2844" w:type="dxa"/>
            <w:textDirection w:val="lrTb"/>
            <w:noWrap w:val="false"/>
          </w:tcPr>
          <w:p>
            <w:pPr>
              <w:rPr>
                <w:rFonts w:ascii="宋体" w:hAnsi="宋体" w:eastAsia="宋体" w:cs="宋体"/>
                <w:bCs/>
                <w:color w:val="000000" w:themeColor="text1"/>
                <w:sz w:val="24"/>
                <w:szCs w:val="24"/>
                <w14:textFill>
                  <w14:solidFill>
                    <w14:schemeClr w14:val="tx1"/>
                  </w14:solidFill>
                </w14:textFill>
              </w:rPr>
            </w:pPr>
            <w:r>
              <w:rPr>
                <w:rFonts w:ascii="宋体" w:hAnsi="宋体" w:eastAsia="宋体" w:cs="宋体"/>
                <w:bCs/>
                <w:color w:val="000000" w:themeColor="text1"/>
                <w:sz w:val="24"/>
                <w:szCs w:val="24"/>
                <w14:textFill>
                  <w14:solidFill>
                    <w14:schemeClr w14:val="tx1"/>
                  </w14:solidFill>
                </w14:textFill>
              </w:rPr>
            </w:r>
            <w:r/>
          </w:p>
        </w:tc>
      </w:tr>
      <w:tr>
        <w:trPr>
          <w:jc w:val="center"/>
        </w:trPr>
        <w:tc>
          <w:tcPr>
            <w:tcBorders>
              <w:top w:val="none" w:color="000000" w:sz="4" w:space="0"/>
              <w:left w:val="none" w:color="000000" w:sz="4" w:space="0"/>
              <w:bottom w:val="none" w:color="000000" w:sz="4" w:space="0"/>
              <w:right w:val="none" w:color="000000" w:sz="4" w:space="0"/>
            </w:tcBorders>
            <w:tcW w:w="1876" w:type="dxa"/>
            <w:textDirection w:val="lrTb"/>
            <w:noWrap w:val="false"/>
          </w:tcPr>
          <w:p>
            <w:pPr>
              <w:rPr>
                <w:rFonts w:ascii="宋体" w:hAnsi="宋体" w:eastAsia="宋体" w:cs="宋体"/>
                <w:color w:val="000000" w:themeColor="text1"/>
                <w:sz w:val="24"/>
                <w:szCs w:val="24"/>
                <w:lang w:val="en-GB"/>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地      址：</w:t>
            </w:r>
            <w:r/>
          </w:p>
        </w:tc>
        <w:tc>
          <w:tcPr>
            <w:tcBorders>
              <w:top w:val="none" w:color="000000" w:sz="4" w:space="0"/>
              <w:left w:val="none" w:color="000000" w:sz="4" w:space="0"/>
              <w:bottom w:val="none" w:color="000000" w:sz="4" w:space="0"/>
              <w:right w:val="none" w:color="000000" w:sz="4" w:space="0"/>
            </w:tcBorders>
            <w:tcW w:w="2685" w:type="dxa"/>
            <w:textDirection w:val="lrTb"/>
            <w:noWrap w:val="false"/>
          </w:tcPr>
          <w:p>
            <w:pPr>
              <w:rPr>
                <w:rFonts w:ascii="宋体" w:hAnsi="宋体" w:eastAsia="宋体" w:cs="宋体"/>
                <w:color w:val="000000" w:themeColor="text1"/>
                <w:sz w:val="24"/>
                <w:szCs w:val="24"/>
                <w:lang w:val="en-GB"/>
                <w14:textFill>
                  <w14:solidFill>
                    <w14:schemeClr w14:val="tx1"/>
                  </w14:solidFill>
                </w14:textFill>
              </w:rPr>
            </w:pPr>
            <w:r>
              <w:rPr>
                <w:rFonts w:ascii="宋体" w:hAnsi="宋体" w:eastAsia="宋体" w:cs="宋体"/>
                <w:color w:val="000000" w:themeColor="text1"/>
                <w:sz w:val="24"/>
                <w:szCs w:val="24"/>
                <w:lang w:val="en-GB"/>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1950" w:type="dxa"/>
            <w:textDirection w:val="lrTb"/>
            <w:noWrap w:val="false"/>
          </w:tcPr>
          <w:p>
            <w:pPr>
              <w:rPr>
                <w:rFonts w:ascii="宋体" w:hAnsi="宋体" w:eastAsia="宋体" w:cs="宋体"/>
                <w:color w:val="000000" w:themeColor="text1"/>
                <w:sz w:val="24"/>
                <w:szCs w:val="24"/>
                <w:lang w:val="en-GB"/>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地      址：</w:t>
            </w:r>
            <w:r/>
          </w:p>
        </w:tc>
        <w:tc>
          <w:tcPr>
            <w:tcBorders>
              <w:top w:val="none" w:color="000000" w:sz="4" w:space="0"/>
              <w:left w:val="none" w:color="000000" w:sz="4" w:space="0"/>
              <w:bottom w:val="none" w:color="000000" w:sz="4" w:space="0"/>
              <w:right w:val="none" w:color="000000" w:sz="4" w:space="0"/>
            </w:tcBorders>
            <w:tcW w:w="2844" w:type="dxa"/>
            <w:textDirection w:val="lrTb"/>
            <w:noWrap w:val="false"/>
          </w:tcPr>
          <w:p>
            <w:pPr>
              <w:rPr>
                <w:rFonts w:ascii="宋体" w:hAnsi="宋体" w:eastAsia="宋体" w:cs="宋体"/>
                <w:color w:val="000000" w:themeColor="text1"/>
                <w:sz w:val="24"/>
                <w:szCs w:val="24"/>
                <w:lang w:val="en-GB"/>
                <w14:textFill>
                  <w14:solidFill>
                    <w14:schemeClr w14:val="tx1"/>
                  </w14:solidFill>
                </w14:textFill>
              </w:rPr>
            </w:pPr>
            <w:r>
              <w:rPr>
                <w:rFonts w:ascii="宋体" w:hAnsi="宋体" w:eastAsia="宋体" w:cs="宋体"/>
                <w:color w:val="000000" w:themeColor="text1"/>
                <w:sz w:val="24"/>
                <w:szCs w:val="24"/>
                <w:lang w:val="en-GB"/>
                <w14:textFill>
                  <w14:solidFill>
                    <w14:schemeClr w14:val="tx1"/>
                  </w14:solidFill>
                </w14:textFill>
              </w:rPr>
            </w:r>
            <w:r/>
          </w:p>
        </w:tc>
      </w:tr>
      <w:tr>
        <w:trPr>
          <w:jc w:val="center"/>
        </w:trPr>
        <w:tc>
          <w:tcPr>
            <w:tcBorders>
              <w:top w:val="none" w:color="000000" w:sz="4" w:space="0"/>
              <w:left w:val="none" w:color="000000" w:sz="4" w:space="0"/>
              <w:bottom w:val="none" w:color="000000" w:sz="4" w:space="0"/>
              <w:right w:val="none" w:color="000000" w:sz="4" w:space="0"/>
            </w:tcBorders>
            <w:tcW w:w="1876" w:type="dxa"/>
            <w:textDirection w:val="lrTb"/>
            <w:noWrap w:val="false"/>
          </w:tcPr>
          <w:p>
            <w:pPr>
              <w:rPr>
                <w:rFonts w:ascii="宋体" w:hAnsi="宋体" w:eastAsia="宋体" w:cs="宋体"/>
                <w:color w:val="000000" w:themeColor="text1"/>
                <w:sz w:val="24"/>
                <w:szCs w:val="24"/>
                <w:lang w:val="en-GB"/>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 xml:space="preserve">委托代理人</w:t>
            </w:r>
            <w:r>
              <w:rPr>
                <w:rFonts w:hint="eastAsia" w:ascii="宋体" w:hAnsi="宋体" w:eastAsia="宋体" w:cs="宋体"/>
                <w:color w:val="000000" w:themeColor="text1"/>
                <w:spacing w:val="-8"/>
                <w:sz w:val="24"/>
                <w:szCs w:val="24"/>
                <w14:textFill>
                  <w14:solidFill>
                    <w14:schemeClr w14:val="tx1"/>
                  </w14:solidFill>
                </w14:textFill>
              </w:rPr>
              <w:t xml:space="preserve">：</w:t>
            </w:r>
            <w:r/>
          </w:p>
        </w:tc>
        <w:tc>
          <w:tcPr>
            <w:tcBorders>
              <w:top w:val="none" w:color="000000" w:sz="4" w:space="0"/>
              <w:left w:val="none" w:color="000000" w:sz="4" w:space="0"/>
              <w:bottom w:val="none" w:color="000000" w:sz="4" w:space="0"/>
              <w:right w:val="none" w:color="000000" w:sz="4" w:space="0"/>
            </w:tcBorders>
            <w:tcW w:w="2685" w:type="dxa"/>
            <w:textDirection w:val="lrTb"/>
            <w:noWrap w:val="false"/>
          </w:tcPr>
          <w:p>
            <w:pPr>
              <w:rPr>
                <w:rFonts w:ascii="宋体" w:hAnsi="宋体" w:eastAsia="宋体" w:cs="宋体"/>
                <w:color w:val="000000" w:themeColor="text1"/>
                <w:sz w:val="24"/>
                <w:szCs w:val="24"/>
                <w:lang w:val="en-GB"/>
                <w14:textFill>
                  <w14:solidFill>
                    <w14:schemeClr w14:val="tx1"/>
                  </w14:solidFill>
                </w14:textFill>
              </w:rPr>
            </w:pPr>
            <w:r>
              <w:rPr>
                <w:rFonts w:ascii="宋体" w:hAnsi="宋体" w:eastAsia="宋体" w:cs="宋体"/>
                <w:color w:val="000000" w:themeColor="text1"/>
                <w:sz w:val="24"/>
                <w:szCs w:val="24"/>
                <w:lang w:val="en-GB"/>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1950" w:type="dxa"/>
            <w:textDirection w:val="lrTb"/>
            <w:noWrap w:val="false"/>
          </w:tcPr>
          <w:p>
            <w:pPr>
              <w:rPr>
                <w:rFonts w:ascii="宋体" w:hAnsi="宋体" w:eastAsia="宋体" w:cs="宋体"/>
                <w:color w:val="000000" w:themeColor="text1"/>
                <w:sz w:val="24"/>
                <w:szCs w:val="24"/>
                <w:lang w:val="en-GB"/>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 xml:space="preserve">委托代理人</w:t>
            </w:r>
            <w:r>
              <w:rPr>
                <w:rFonts w:hint="eastAsia" w:ascii="宋体" w:hAnsi="宋体" w:eastAsia="宋体" w:cs="宋体"/>
                <w:color w:val="000000" w:themeColor="text1"/>
                <w:spacing w:val="-8"/>
                <w:sz w:val="24"/>
                <w:szCs w:val="24"/>
                <w14:textFill>
                  <w14:solidFill>
                    <w14:schemeClr w14:val="tx1"/>
                  </w14:solidFill>
                </w14:textFill>
              </w:rPr>
              <w:t xml:space="preserve">：</w:t>
            </w:r>
            <w:r/>
          </w:p>
        </w:tc>
        <w:tc>
          <w:tcPr>
            <w:tcBorders>
              <w:top w:val="none" w:color="000000" w:sz="4" w:space="0"/>
              <w:left w:val="none" w:color="000000" w:sz="4" w:space="0"/>
              <w:bottom w:val="none" w:color="000000" w:sz="4" w:space="0"/>
              <w:right w:val="none" w:color="000000" w:sz="4" w:space="0"/>
            </w:tcBorders>
            <w:tcW w:w="2844" w:type="dxa"/>
            <w:textDirection w:val="lrTb"/>
            <w:noWrap w:val="false"/>
          </w:tcPr>
          <w:p>
            <w:pPr>
              <w:rPr>
                <w:rFonts w:ascii="宋体" w:hAnsi="宋体" w:eastAsia="宋体" w:cs="宋体"/>
                <w:color w:val="000000" w:themeColor="text1"/>
                <w:sz w:val="24"/>
                <w:szCs w:val="24"/>
                <w:lang w:val="en-GB"/>
                <w14:textFill>
                  <w14:solidFill>
                    <w14:schemeClr w14:val="tx1"/>
                  </w14:solidFill>
                </w14:textFill>
              </w:rPr>
            </w:pPr>
            <w:r>
              <w:rPr>
                <w:rFonts w:ascii="宋体" w:hAnsi="宋体" w:eastAsia="宋体" w:cs="宋体"/>
                <w:color w:val="000000" w:themeColor="text1"/>
                <w:sz w:val="24"/>
                <w:szCs w:val="24"/>
                <w:lang w:val="en-GB"/>
                <w14:textFill>
                  <w14:solidFill>
                    <w14:schemeClr w14:val="tx1"/>
                  </w14:solidFill>
                </w14:textFill>
              </w:rPr>
            </w:r>
            <w:r/>
          </w:p>
        </w:tc>
      </w:tr>
      <w:tr>
        <w:trPr>
          <w:jc w:val="center"/>
        </w:trPr>
        <w:tc>
          <w:tcPr>
            <w:tcBorders>
              <w:top w:val="none" w:color="000000" w:sz="4" w:space="0"/>
              <w:left w:val="none" w:color="000000" w:sz="4" w:space="0"/>
              <w:bottom w:val="none" w:color="000000" w:sz="4" w:space="0"/>
              <w:right w:val="none" w:color="000000" w:sz="4" w:space="0"/>
            </w:tcBorders>
            <w:tcW w:w="1876" w:type="dxa"/>
            <w:textDirection w:val="lrTb"/>
            <w:noWrap w:val="false"/>
          </w:tcPr>
          <w:p>
            <w:pPr>
              <w:rPr>
                <w:rFonts w:ascii="宋体" w:hAnsi="宋体" w:eastAsia="宋体" w:cs="宋体"/>
                <w:color w:val="000000" w:themeColor="text1"/>
                <w:sz w:val="24"/>
                <w:szCs w:val="24"/>
                <w:lang w:val="en-GB"/>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电      话：</w:t>
            </w:r>
            <w:r/>
          </w:p>
        </w:tc>
        <w:tc>
          <w:tcPr>
            <w:tcBorders>
              <w:top w:val="none" w:color="000000" w:sz="4" w:space="0"/>
              <w:left w:val="none" w:color="000000" w:sz="4" w:space="0"/>
              <w:bottom w:val="none" w:color="000000" w:sz="4" w:space="0"/>
              <w:right w:val="none" w:color="000000" w:sz="4" w:space="0"/>
            </w:tcBorders>
            <w:tcW w:w="2685" w:type="dxa"/>
            <w:textDirection w:val="lrTb"/>
            <w:noWrap w:val="false"/>
          </w:tcPr>
          <w:p>
            <w:pPr>
              <w:rPr>
                <w:rFonts w:ascii="宋体" w:hAnsi="宋体" w:eastAsia="宋体" w:cs="宋体"/>
                <w:color w:val="000000" w:themeColor="text1"/>
                <w:sz w:val="24"/>
                <w:szCs w:val="24"/>
                <w:lang w:val="en-GB"/>
                <w14:textFill>
                  <w14:solidFill>
                    <w14:schemeClr w14:val="tx1"/>
                  </w14:solidFill>
                </w14:textFill>
              </w:rPr>
            </w:pPr>
            <w:r>
              <w:rPr>
                <w:rFonts w:ascii="宋体" w:hAnsi="宋体" w:eastAsia="宋体" w:cs="宋体"/>
                <w:color w:val="000000" w:themeColor="text1"/>
                <w:sz w:val="24"/>
                <w:szCs w:val="24"/>
                <w:lang w:val="en-GB"/>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1950" w:type="dxa"/>
            <w:textDirection w:val="lrTb"/>
            <w:noWrap w:val="false"/>
          </w:tcPr>
          <w:p>
            <w:pPr>
              <w:rPr>
                <w:rFonts w:ascii="宋体" w:hAnsi="宋体" w:eastAsia="宋体" w:cs="宋体"/>
                <w:color w:val="000000" w:themeColor="text1"/>
                <w:sz w:val="24"/>
                <w:szCs w:val="24"/>
                <w:lang w:val="en-GB"/>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电      话：</w:t>
            </w:r>
            <w:r/>
          </w:p>
        </w:tc>
        <w:tc>
          <w:tcPr>
            <w:tcBorders>
              <w:top w:val="none" w:color="000000" w:sz="4" w:space="0"/>
              <w:left w:val="none" w:color="000000" w:sz="4" w:space="0"/>
              <w:bottom w:val="none" w:color="000000" w:sz="4" w:space="0"/>
              <w:right w:val="none" w:color="000000" w:sz="4" w:space="0"/>
            </w:tcBorders>
            <w:tcW w:w="2844" w:type="dxa"/>
            <w:textDirection w:val="lrTb"/>
            <w:noWrap w:val="false"/>
          </w:tcPr>
          <w:p>
            <w:pPr>
              <w:rPr>
                <w:rFonts w:ascii="宋体" w:hAnsi="宋体" w:eastAsia="宋体" w:cs="宋体"/>
                <w:color w:val="000000" w:themeColor="text1"/>
                <w:sz w:val="24"/>
                <w:szCs w:val="24"/>
                <w:lang w:val="en-GB"/>
                <w14:textFill>
                  <w14:solidFill>
                    <w14:schemeClr w14:val="tx1"/>
                  </w14:solidFill>
                </w14:textFill>
              </w:rPr>
            </w:pPr>
            <w:r>
              <w:rPr>
                <w:rFonts w:ascii="宋体" w:hAnsi="宋体" w:eastAsia="宋体" w:cs="宋体"/>
                <w:color w:val="000000" w:themeColor="text1"/>
                <w:sz w:val="24"/>
                <w:szCs w:val="24"/>
                <w:lang w:val="en-GB"/>
                <w14:textFill>
                  <w14:solidFill>
                    <w14:schemeClr w14:val="tx1"/>
                  </w14:solidFill>
                </w14:textFill>
              </w:rPr>
            </w:r>
            <w:r/>
          </w:p>
        </w:tc>
      </w:tr>
      <w:tr>
        <w:trPr>
          <w:jc w:val="center"/>
        </w:trPr>
        <w:tc>
          <w:tcPr>
            <w:tcBorders>
              <w:top w:val="none" w:color="000000" w:sz="4" w:space="0"/>
              <w:left w:val="none" w:color="000000" w:sz="4" w:space="0"/>
              <w:bottom w:val="none" w:color="000000" w:sz="4" w:space="0"/>
              <w:right w:val="none" w:color="000000" w:sz="4" w:space="0"/>
            </w:tcBorders>
            <w:tcW w:w="1876" w:type="dxa"/>
            <w:textDirection w:val="lrTb"/>
            <w:noWrap w:val="false"/>
          </w:tcPr>
          <w:p>
            <w:pPr>
              <w:rPr>
                <w:rFonts w:ascii="宋体" w:hAnsi="宋体" w:eastAsia="宋体" w:cs="宋体"/>
                <w:color w:val="000000" w:themeColor="text1"/>
                <w:sz w:val="24"/>
                <w:szCs w:val="24"/>
                <w:lang w:val="en-GB"/>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传      真：</w:t>
            </w:r>
            <w:r/>
          </w:p>
        </w:tc>
        <w:tc>
          <w:tcPr>
            <w:tcBorders>
              <w:top w:val="none" w:color="000000" w:sz="4" w:space="0"/>
              <w:left w:val="none" w:color="000000" w:sz="4" w:space="0"/>
              <w:bottom w:val="none" w:color="000000" w:sz="4" w:space="0"/>
              <w:right w:val="none" w:color="000000" w:sz="4" w:space="0"/>
            </w:tcBorders>
            <w:tcW w:w="2685" w:type="dxa"/>
            <w:textDirection w:val="lrTb"/>
            <w:noWrap w:val="false"/>
          </w:tcPr>
          <w:p>
            <w:pPr>
              <w:rPr>
                <w:rFonts w:ascii="宋体" w:hAnsi="宋体" w:eastAsia="宋体" w:cs="宋体"/>
                <w:color w:val="000000" w:themeColor="text1"/>
                <w:sz w:val="24"/>
                <w:szCs w:val="24"/>
                <w:lang w:val="en-GB"/>
                <w14:textFill>
                  <w14:solidFill>
                    <w14:schemeClr w14:val="tx1"/>
                  </w14:solidFill>
                </w14:textFill>
              </w:rPr>
            </w:pPr>
            <w:r>
              <w:rPr>
                <w:rFonts w:ascii="宋体" w:hAnsi="宋体" w:eastAsia="宋体" w:cs="宋体"/>
                <w:color w:val="000000" w:themeColor="text1"/>
                <w:sz w:val="24"/>
                <w:szCs w:val="24"/>
                <w:lang w:val="en-GB"/>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1950" w:type="dxa"/>
            <w:textDirection w:val="lrTb"/>
            <w:noWrap w:val="false"/>
          </w:tcPr>
          <w:p>
            <w:pPr>
              <w:rPr>
                <w:rFonts w:ascii="宋体" w:hAnsi="宋体" w:eastAsia="宋体" w:cs="宋体"/>
                <w:color w:val="000000" w:themeColor="text1"/>
                <w:sz w:val="24"/>
                <w:szCs w:val="24"/>
                <w:lang w:val="en-GB"/>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传      真：</w:t>
            </w:r>
            <w:r/>
          </w:p>
        </w:tc>
        <w:tc>
          <w:tcPr>
            <w:tcBorders>
              <w:top w:val="none" w:color="000000" w:sz="4" w:space="0"/>
              <w:left w:val="none" w:color="000000" w:sz="4" w:space="0"/>
              <w:bottom w:val="none" w:color="000000" w:sz="4" w:space="0"/>
              <w:right w:val="none" w:color="000000" w:sz="4" w:space="0"/>
            </w:tcBorders>
            <w:tcW w:w="2844" w:type="dxa"/>
            <w:textDirection w:val="lrTb"/>
            <w:noWrap w:val="false"/>
          </w:tcPr>
          <w:p>
            <w:pPr>
              <w:rPr>
                <w:rFonts w:ascii="宋体" w:hAnsi="宋体" w:eastAsia="宋体" w:cs="宋体"/>
                <w:color w:val="000000" w:themeColor="text1"/>
                <w:sz w:val="24"/>
                <w:szCs w:val="24"/>
                <w:lang w:val="en-GB"/>
                <w14:textFill>
                  <w14:solidFill>
                    <w14:schemeClr w14:val="tx1"/>
                  </w14:solidFill>
                </w14:textFill>
              </w:rPr>
            </w:pPr>
            <w:r>
              <w:rPr>
                <w:rFonts w:ascii="宋体" w:hAnsi="宋体" w:eastAsia="宋体" w:cs="宋体"/>
                <w:color w:val="000000" w:themeColor="text1"/>
                <w:sz w:val="24"/>
                <w:szCs w:val="24"/>
                <w:lang w:val="en-GB"/>
                <w14:textFill>
                  <w14:solidFill>
                    <w14:schemeClr w14:val="tx1"/>
                  </w14:solidFill>
                </w14:textFill>
              </w:rPr>
            </w:r>
            <w:r/>
          </w:p>
        </w:tc>
      </w:tr>
      <w:tr>
        <w:trPr>
          <w:jc w:val="center"/>
        </w:trPr>
        <w:tc>
          <w:tcPr>
            <w:tcBorders>
              <w:top w:val="none" w:color="000000" w:sz="4" w:space="0"/>
              <w:left w:val="none" w:color="000000" w:sz="4" w:space="0"/>
              <w:bottom w:val="none" w:color="000000" w:sz="4" w:space="0"/>
              <w:right w:val="none" w:color="000000" w:sz="4" w:space="0"/>
            </w:tcBorders>
            <w:tcW w:w="1876" w:type="dxa"/>
            <w:textDirection w:val="lrTb"/>
            <w:noWrap w:val="false"/>
          </w:tcPr>
          <w:p>
            <w:pPr>
              <w:rPr>
                <w:rFonts w:ascii="宋体" w:hAnsi="宋体" w:eastAsia="宋体" w:cs="宋体"/>
                <w:color w:val="000000" w:themeColor="text1"/>
                <w:sz w:val="24"/>
                <w:szCs w:val="24"/>
                <w:lang w:val="en-GB"/>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开  户  行：</w:t>
            </w:r>
            <w:r/>
          </w:p>
        </w:tc>
        <w:tc>
          <w:tcPr>
            <w:tcBorders>
              <w:top w:val="none" w:color="000000" w:sz="4" w:space="0"/>
              <w:left w:val="none" w:color="000000" w:sz="4" w:space="0"/>
              <w:bottom w:val="none" w:color="000000" w:sz="4" w:space="0"/>
              <w:right w:val="none" w:color="000000" w:sz="4" w:space="0"/>
            </w:tcBorders>
            <w:tcW w:w="2685" w:type="dxa"/>
            <w:textDirection w:val="lrTb"/>
            <w:noWrap w:val="false"/>
          </w:tcPr>
          <w:p>
            <w:pPr>
              <w:rPr>
                <w:rFonts w:ascii="宋体" w:hAnsi="宋体" w:eastAsia="宋体" w:cs="宋体"/>
                <w:color w:val="000000" w:themeColor="text1"/>
                <w:sz w:val="24"/>
                <w:szCs w:val="24"/>
                <w:lang w:val="en-GB"/>
                <w14:textFill>
                  <w14:solidFill>
                    <w14:schemeClr w14:val="tx1"/>
                  </w14:solidFill>
                </w14:textFill>
              </w:rPr>
            </w:pPr>
            <w:r>
              <w:rPr>
                <w:rFonts w:ascii="宋体" w:hAnsi="宋体" w:eastAsia="宋体" w:cs="宋体"/>
                <w:color w:val="000000" w:themeColor="text1"/>
                <w:sz w:val="24"/>
                <w:szCs w:val="24"/>
                <w:lang w:val="en-GB"/>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1950" w:type="dxa"/>
            <w:textDirection w:val="lrTb"/>
            <w:noWrap w:val="false"/>
          </w:tcPr>
          <w:p>
            <w:pPr>
              <w:rPr>
                <w:rFonts w:ascii="宋体" w:hAnsi="宋体" w:eastAsia="宋体" w:cs="宋体"/>
                <w:color w:val="000000" w:themeColor="text1"/>
                <w:sz w:val="24"/>
                <w:szCs w:val="24"/>
                <w:lang w:val="en-GB"/>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开  户  行：</w:t>
            </w:r>
            <w:r/>
          </w:p>
        </w:tc>
        <w:tc>
          <w:tcPr>
            <w:tcBorders>
              <w:top w:val="none" w:color="000000" w:sz="4" w:space="0"/>
              <w:left w:val="none" w:color="000000" w:sz="4" w:space="0"/>
              <w:bottom w:val="none" w:color="000000" w:sz="4" w:space="0"/>
              <w:right w:val="none" w:color="000000" w:sz="4" w:space="0"/>
            </w:tcBorders>
            <w:tcW w:w="2844" w:type="dxa"/>
            <w:textDirection w:val="lrTb"/>
            <w:noWrap w:val="false"/>
          </w:tcPr>
          <w:p>
            <w:pPr>
              <w:rPr>
                <w:rFonts w:ascii="宋体" w:hAnsi="宋体" w:eastAsia="宋体" w:cs="宋体"/>
                <w:color w:val="000000" w:themeColor="text1"/>
                <w:sz w:val="24"/>
                <w:szCs w:val="24"/>
                <w:lang w:val="en-GB"/>
                <w14:textFill>
                  <w14:solidFill>
                    <w14:schemeClr w14:val="tx1"/>
                  </w14:solidFill>
                </w14:textFill>
              </w:rPr>
            </w:pPr>
            <w:r>
              <w:rPr>
                <w:rFonts w:ascii="宋体" w:hAnsi="宋体" w:eastAsia="宋体" w:cs="宋体"/>
                <w:color w:val="000000" w:themeColor="text1"/>
                <w:sz w:val="24"/>
                <w:szCs w:val="24"/>
                <w:lang w:val="en-GB"/>
                <w14:textFill>
                  <w14:solidFill>
                    <w14:schemeClr w14:val="tx1"/>
                  </w14:solidFill>
                </w14:textFill>
              </w:rPr>
            </w:r>
            <w:r/>
          </w:p>
        </w:tc>
      </w:tr>
      <w:tr>
        <w:trPr>
          <w:jc w:val="center"/>
        </w:trPr>
        <w:tc>
          <w:tcPr>
            <w:tcBorders>
              <w:top w:val="none" w:color="000000" w:sz="4" w:space="0"/>
              <w:left w:val="none" w:color="000000" w:sz="4" w:space="0"/>
              <w:bottom w:val="none" w:color="000000" w:sz="4" w:space="0"/>
              <w:right w:val="none" w:color="000000" w:sz="4" w:space="0"/>
            </w:tcBorders>
            <w:tcW w:w="1876" w:type="dxa"/>
            <w:textDirection w:val="lrTb"/>
            <w:noWrap w:val="false"/>
          </w:tcPr>
          <w:p>
            <w:pPr>
              <w:rPr>
                <w:rFonts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税        号：</w:t>
            </w:r>
            <w:r/>
          </w:p>
        </w:tc>
        <w:tc>
          <w:tcPr>
            <w:tcBorders>
              <w:top w:val="none" w:color="000000" w:sz="4" w:space="0"/>
              <w:left w:val="none" w:color="000000" w:sz="4" w:space="0"/>
              <w:bottom w:val="none" w:color="000000" w:sz="4" w:space="0"/>
              <w:right w:val="none" w:color="000000" w:sz="4" w:space="0"/>
            </w:tcBorders>
            <w:tcW w:w="2685" w:type="dxa"/>
            <w:textDirection w:val="lrTb"/>
            <w:noWrap w:val="false"/>
          </w:tcPr>
          <w:p>
            <w:pPr>
              <w:rPr>
                <w:rFonts w:ascii="宋体" w:hAnsi="宋体" w:eastAsia="宋体" w:cs="宋体"/>
                <w:color w:val="000000" w:themeColor="text1"/>
                <w:sz w:val="24"/>
                <w:szCs w:val="24"/>
                <w:lang w:val="en-GB"/>
                <w14:textFill>
                  <w14:solidFill>
                    <w14:schemeClr w14:val="tx1"/>
                  </w14:solidFill>
                </w14:textFill>
              </w:rPr>
            </w:pPr>
            <w:r>
              <w:rPr>
                <w:rFonts w:ascii="宋体" w:hAnsi="宋体" w:eastAsia="宋体" w:cs="宋体"/>
                <w:color w:val="000000" w:themeColor="text1"/>
                <w:sz w:val="24"/>
                <w:szCs w:val="24"/>
                <w:lang w:val="en-GB"/>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1950" w:type="dxa"/>
            <w:textDirection w:val="lrTb"/>
            <w:noWrap w:val="false"/>
          </w:tcPr>
          <w:p>
            <w:pPr>
              <w:rPr>
                <w:rFonts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税        号：</w:t>
            </w:r>
            <w:r/>
          </w:p>
        </w:tc>
        <w:tc>
          <w:tcPr>
            <w:tcBorders>
              <w:top w:val="none" w:color="000000" w:sz="4" w:space="0"/>
              <w:left w:val="none" w:color="000000" w:sz="4" w:space="0"/>
              <w:bottom w:val="none" w:color="000000" w:sz="4" w:space="0"/>
              <w:right w:val="none" w:color="000000" w:sz="4" w:space="0"/>
            </w:tcBorders>
            <w:tcW w:w="2844" w:type="dxa"/>
            <w:textDirection w:val="lrTb"/>
            <w:noWrap w:val="false"/>
          </w:tcPr>
          <w:p>
            <w:pPr>
              <w:rPr>
                <w:rFonts w:ascii="宋体" w:hAnsi="宋体" w:eastAsia="宋体" w:cs="宋体"/>
                <w:color w:val="000000" w:themeColor="text1"/>
                <w:spacing w:val="-8"/>
                <w:sz w:val="24"/>
                <w:szCs w:val="24"/>
                <w14:textFill>
                  <w14:solidFill>
                    <w14:schemeClr w14:val="tx1"/>
                  </w14:solidFill>
                </w14:textFill>
              </w:rPr>
            </w:pPr>
            <w:r>
              <w:rPr>
                <w:rFonts w:ascii="宋体" w:hAnsi="宋体" w:eastAsia="宋体" w:cs="宋体"/>
                <w:color w:val="000000" w:themeColor="text1"/>
                <w:spacing w:val="-8"/>
                <w:sz w:val="24"/>
                <w:szCs w:val="24"/>
                <w14:textFill>
                  <w14:solidFill>
                    <w14:schemeClr w14:val="tx1"/>
                  </w14:solidFill>
                </w14:textFill>
              </w:rPr>
            </w:r>
            <w:r/>
          </w:p>
        </w:tc>
      </w:tr>
      <w:tr>
        <w:trPr>
          <w:jc w:val="center"/>
        </w:trPr>
        <w:tc>
          <w:tcPr>
            <w:tcBorders>
              <w:top w:val="none" w:color="000000" w:sz="4" w:space="0"/>
              <w:left w:val="none" w:color="000000" w:sz="4" w:space="0"/>
              <w:bottom w:val="none" w:color="000000" w:sz="4" w:space="0"/>
              <w:right w:val="none" w:color="000000" w:sz="4" w:space="0"/>
            </w:tcBorders>
            <w:tcW w:w="1876" w:type="dxa"/>
            <w:textDirection w:val="lrTb"/>
            <w:noWrap w:val="false"/>
          </w:tcPr>
          <w:p>
            <w:pPr>
              <w:rPr>
                <w:rFonts w:ascii="宋体" w:hAnsi="宋体" w:eastAsia="宋体" w:cs="宋体"/>
                <w:color w:val="000000" w:themeColor="text1"/>
                <w:sz w:val="24"/>
                <w:szCs w:val="24"/>
                <w:lang w:val="en-GB"/>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账      号：</w:t>
            </w:r>
            <w:r/>
          </w:p>
        </w:tc>
        <w:tc>
          <w:tcPr>
            <w:tcBorders>
              <w:top w:val="none" w:color="000000" w:sz="4" w:space="0"/>
              <w:left w:val="none" w:color="000000" w:sz="4" w:space="0"/>
              <w:bottom w:val="none" w:color="000000" w:sz="4" w:space="0"/>
              <w:right w:val="none" w:color="000000" w:sz="4" w:space="0"/>
            </w:tcBorders>
            <w:tcW w:w="2685" w:type="dxa"/>
            <w:textDirection w:val="lrTb"/>
            <w:noWrap w:val="false"/>
          </w:tcPr>
          <w:p>
            <w:pPr>
              <w:rPr>
                <w:rFonts w:ascii="宋体" w:hAnsi="宋体" w:eastAsia="宋体" w:cs="宋体"/>
                <w:color w:val="000000" w:themeColor="text1"/>
                <w:sz w:val="24"/>
                <w:szCs w:val="24"/>
                <w:lang w:val="en-GB"/>
                <w14:textFill>
                  <w14:solidFill>
                    <w14:schemeClr w14:val="tx1"/>
                  </w14:solidFill>
                </w14:textFill>
              </w:rPr>
            </w:pPr>
            <w:r>
              <w:rPr>
                <w:rFonts w:ascii="宋体" w:hAnsi="宋体" w:eastAsia="宋体" w:cs="宋体"/>
                <w:color w:val="000000" w:themeColor="text1"/>
                <w:sz w:val="24"/>
                <w:szCs w:val="24"/>
                <w:lang w:val="en-GB"/>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1950" w:type="dxa"/>
            <w:textDirection w:val="lrTb"/>
            <w:noWrap w:val="false"/>
          </w:tcPr>
          <w:p>
            <w:pPr>
              <w:rPr>
                <w:rFonts w:ascii="宋体" w:hAnsi="宋体" w:eastAsia="宋体" w:cs="宋体"/>
                <w:color w:val="000000" w:themeColor="text1"/>
                <w:sz w:val="24"/>
                <w:szCs w:val="24"/>
                <w:lang w:val="en-GB"/>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账      号：</w:t>
            </w:r>
            <w:r/>
          </w:p>
        </w:tc>
        <w:tc>
          <w:tcPr>
            <w:tcBorders>
              <w:top w:val="none" w:color="000000" w:sz="4" w:space="0"/>
              <w:left w:val="none" w:color="000000" w:sz="4" w:space="0"/>
              <w:bottom w:val="none" w:color="000000" w:sz="4" w:space="0"/>
              <w:right w:val="none" w:color="000000" w:sz="4" w:space="0"/>
            </w:tcBorders>
            <w:tcW w:w="2844" w:type="dxa"/>
            <w:textDirection w:val="lrTb"/>
            <w:noWrap w:val="false"/>
          </w:tcPr>
          <w:p>
            <w:pPr>
              <w:rPr>
                <w:rFonts w:ascii="宋体" w:hAnsi="宋体" w:eastAsia="宋体" w:cs="宋体"/>
                <w:color w:val="000000" w:themeColor="text1"/>
                <w:sz w:val="24"/>
                <w:szCs w:val="24"/>
                <w:lang w:val="en-GB"/>
                <w14:textFill>
                  <w14:solidFill>
                    <w14:schemeClr w14:val="tx1"/>
                  </w14:solidFill>
                </w14:textFill>
              </w:rPr>
            </w:pPr>
            <w:r>
              <w:rPr>
                <w:rFonts w:ascii="宋体" w:hAnsi="宋体" w:eastAsia="宋体" w:cs="宋体"/>
                <w:color w:val="000000" w:themeColor="text1"/>
                <w:sz w:val="24"/>
                <w:szCs w:val="24"/>
                <w:lang w:val="en-GB"/>
                <w14:textFill>
                  <w14:solidFill>
                    <w14:schemeClr w14:val="tx1"/>
                  </w14:solidFill>
                </w14:textFill>
              </w:rPr>
            </w:r>
            <w:r/>
          </w:p>
        </w:tc>
      </w:tr>
      <w:tr>
        <w:trPr>
          <w:jc w:val="center"/>
        </w:trPr>
        <w:tc>
          <w:tcPr>
            <w:tcBorders>
              <w:top w:val="none" w:color="000000" w:sz="4" w:space="0"/>
              <w:left w:val="none" w:color="000000" w:sz="4" w:space="0"/>
              <w:bottom w:val="none" w:color="000000" w:sz="4" w:space="0"/>
              <w:right w:val="none" w:color="000000" w:sz="4" w:space="0"/>
            </w:tcBorders>
            <w:tcW w:w="1876" w:type="dxa"/>
            <w:textDirection w:val="lrTb"/>
            <w:noWrap w:val="false"/>
          </w:tcPr>
          <w:p>
            <w:pPr>
              <w:rPr>
                <w:rFonts w:ascii="宋体" w:hAnsi="宋体" w:eastAsia="宋体" w:cs="宋体"/>
                <w:color w:val="000000" w:themeColor="text1"/>
                <w:sz w:val="24"/>
                <w:szCs w:val="24"/>
                <w:lang w:val="en-GB"/>
                <w14:textFill>
                  <w14:solidFill>
                    <w14:schemeClr w14:val="tx1"/>
                  </w14:solidFill>
                </w14:textFill>
              </w:rPr>
            </w:pPr>
            <w:r>
              <w:rPr>
                <w:rFonts w:hint="eastAsia" w:ascii="宋体" w:hAnsi="宋体" w:eastAsia="宋体" w:cs="宋体"/>
                <w:color w:val="000000" w:themeColor="text1"/>
                <w:sz w:val="24"/>
                <w:szCs w:val="24"/>
                <w:lang w:val="en-GB"/>
                <w14:textFill>
                  <w14:solidFill>
                    <w14:schemeClr w14:val="tx1"/>
                  </w14:solidFill>
                </w14:textFill>
              </w:rPr>
              <w:t xml:space="preserve">合同签署时间：</w:t>
            </w:r>
            <w:r/>
          </w:p>
        </w:tc>
        <w:tc>
          <w:tcPr>
            <w:tcBorders>
              <w:top w:val="none" w:color="000000" w:sz="4" w:space="0"/>
              <w:left w:val="none" w:color="000000" w:sz="4" w:space="0"/>
              <w:bottom w:val="none" w:color="000000" w:sz="4" w:space="0"/>
              <w:right w:val="none" w:color="000000" w:sz="4" w:space="0"/>
            </w:tcBorders>
            <w:tcW w:w="2685" w:type="dxa"/>
            <w:textDirection w:val="lrTb"/>
            <w:noWrap w:val="false"/>
          </w:tcPr>
          <w:p>
            <w:pPr>
              <w:rPr>
                <w:rFonts w:ascii="宋体" w:hAnsi="宋体" w:eastAsia="宋体" w:cs="宋体"/>
                <w:color w:val="000000" w:themeColor="text1"/>
                <w:sz w:val="24"/>
                <w:szCs w:val="24"/>
                <w:lang w:val="en-GB"/>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年    月    日</w:t>
            </w:r>
            <w:r/>
          </w:p>
        </w:tc>
        <w:tc>
          <w:tcPr>
            <w:tcBorders>
              <w:top w:val="none" w:color="000000" w:sz="4" w:space="0"/>
              <w:left w:val="none" w:color="000000" w:sz="4" w:space="0"/>
              <w:bottom w:val="none" w:color="000000" w:sz="4" w:space="0"/>
              <w:right w:val="none" w:color="000000" w:sz="4" w:space="0"/>
            </w:tcBorders>
            <w:tcW w:w="1950" w:type="dxa"/>
            <w:textDirection w:val="lrTb"/>
            <w:noWrap w:val="false"/>
          </w:tcPr>
          <w:p>
            <w:pPr>
              <w:rPr>
                <w:rFonts w:ascii="宋体" w:hAnsi="宋体" w:eastAsia="宋体" w:cs="宋体"/>
                <w:color w:val="000000" w:themeColor="text1"/>
                <w:sz w:val="24"/>
                <w:szCs w:val="24"/>
                <w:lang w:val="en-GB"/>
                <w14:textFill>
                  <w14:solidFill>
                    <w14:schemeClr w14:val="tx1"/>
                  </w14:solidFill>
                </w14:textFill>
              </w:rPr>
            </w:pPr>
            <w:r>
              <w:rPr>
                <w:rFonts w:hint="eastAsia" w:ascii="宋体" w:hAnsi="宋体" w:eastAsia="宋体" w:cs="宋体"/>
                <w:color w:val="000000" w:themeColor="text1"/>
                <w:sz w:val="24"/>
                <w:szCs w:val="24"/>
                <w:lang w:val="en-GB"/>
                <w14:textFill>
                  <w14:solidFill>
                    <w14:schemeClr w14:val="tx1"/>
                  </w14:solidFill>
                </w14:textFill>
              </w:rPr>
              <w:t xml:space="preserve">合同签署时间：</w:t>
            </w:r>
            <w:r/>
          </w:p>
        </w:tc>
        <w:tc>
          <w:tcPr>
            <w:tcBorders>
              <w:top w:val="none" w:color="000000" w:sz="4" w:space="0"/>
              <w:left w:val="none" w:color="000000" w:sz="4" w:space="0"/>
              <w:bottom w:val="none" w:color="000000" w:sz="4" w:space="0"/>
              <w:right w:val="none" w:color="000000" w:sz="4" w:space="0"/>
            </w:tcBorders>
            <w:tcW w:w="2844" w:type="dxa"/>
            <w:textDirection w:val="lrTb"/>
            <w:noWrap w:val="false"/>
          </w:tcPr>
          <w:p>
            <w:pPr>
              <w:rPr>
                <w:rFonts w:ascii="宋体" w:hAnsi="宋体" w:eastAsia="宋体" w:cs="宋体"/>
                <w:color w:val="000000" w:themeColor="text1"/>
                <w:sz w:val="24"/>
                <w:szCs w:val="24"/>
                <w:lang w:val="en-GB"/>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年    月    日</w:t>
            </w:r>
            <w:r/>
          </w:p>
        </w:tc>
      </w:tr>
    </w:tbl>
    <w:p>
      <w:pPr>
        <w:jc w:val="center"/>
        <w:rPr>
          <w:rFonts w:ascii="仿宋" w:hAnsi="仿宋" w:eastAsia="仿宋" w:cs="仿宋"/>
          <w:color w:val="000000" w:themeColor="text1"/>
          <w:sz w:val="24"/>
          <w:szCs w:val="18"/>
          <w14:textFill>
            <w14:solidFill>
              <w14:schemeClr w14:val="tx1"/>
            </w14:solidFill>
          </w14:textFill>
        </w:rPr>
      </w:pPr>
      <w:r>
        <w:rPr>
          <w:rFonts w:ascii="仿宋" w:hAnsi="仿宋" w:eastAsia="仿宋" w:cs="仿宋"/>
          <w:color w:val="000000" w:themeColor="text1"/>
          <w:sz w:val="24"/>
          <w:szCs w:val="18"/>
          <w14:textFill>
            <w14:solidFill>
              <w14:schemeClr w14:val="tx1"/>
            </w14:solidFill>
          </w14:textFill>
        </w:rPr>
      </w:r>
      <w:r/>
    </w:p>
    <w:p>
      <w:pPr>
        <w:spacing w:before="120" w:line="360" w:lineRule="exact"/>
        <w:rPr>
          <w:rFonts w:ascii="宋体" w:hAnsi="宋体"/>
          <w:color w:val="000000" w:themeColor="text1"/>
          <w:spacing w:val="-2"/>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br w:type="page" w:clear="all"/>
      </w:r>
      <w:r/>
    </w:p>
    <w:p>
      <w:pPr>
        <w:ind w:right="55"/>
        <w:spacing w:before="240" w:after="240" w:line="360" w:lineRule="auto"/>
        <w:rPr>
          <w:rFonts w:ascii="宋体" w:hAnsi="宋体"/>
          <w:b/>
          <w:bCs/>
          <w:color w:val="000000" w:themeColor="text1"/>
          <w:spacing w:val="4"/>
          <w:sz w:val="24"/>
          <w14:textFill>
            <w14:solidFill>
              <w14:schemeClr w14:val="tx1"/>
            </w14:solidFill>
          </w14:textFill>
        </w:rPr>
      </w:pPr>
      <w:r>
        <w:rPr>
          <w:rFonts w:hint="eastAsia" w:ascii="宋体" w:hAnsi="宋体"/>
          <w:b/>
          <w:bCs/>
          <w:color w:val="000000" w:themeColor="text1"/>
          <w:spacing w:val="4"/>
          <w:sz w:val="24"/>
          <w14:textFill>
            <w14:solidFill>
              <w14:schemeClr w14:val="tx1"/>
            </w14:solidFill>
          </w14:textFill>
        </w:rPr>
        <w:t xml:space="preserve">合同附件：外协单位安全管理责任承诺书</w:t>
      </w:r>
      <w:r/>
    </w:p>
    <w:p>
      <w:pPr>
        <w:jc w:val="center"/>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外协单位安全管理责任承诺书</w:t>
      </w:r>
      <w:r/>
    </w:p>
    <w:p>
      <w:pPr>
        <w:spacing w:line="360" w:lineRule="auto"/>
        <w:rPr>
          <w:rFonts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甲方：</w:t>
      </w:r>
      <w:r>
        <w:rPr>
          <w:rFonts w:hint="eastAsia" w:ascii="宋体" w:hAnsi="宋体" w:cs="宋体"/>
          <w:color w:val="000000" w:themeColor="text1"/>
          <w:sz w:val="21"/>
          <w:szCs w:val="21"/>
          <w:u w:val="single"/>
          <w14:textFill>
            <w14:solidFill>
              <w14:schemeClr w14:val="tx1"/>
            </w14:solidFill>
          </w14:textFill>
        </w:rPr>
        <w:t xml:space="preserve">南京医科大学第二附属医院                            </w:t>
      </w:r>
      <w:r>
        <w:rPr>
          <w:rFonts w:hint="eastAsia" w:ascii="宋体" w:hAnsi="宋体" w:cs="宋体"/>
          <w:color w:val="000000" w:themeColor="text1"/>
          <w:sz w:val="21"/>
          <w:szCs w:val="21"/>
          <w:lang w:val="zh-CN"/>
          <w14:textFill>
            <w14:solidFill>
              <w14:schemeClr w14:val="tx1"/>
            </w14:solidFill>
          </w14:textFill>
        </w:rPr>
        <w:t xml:space="preserve">                        </w:t>
      </w:r>
      <w:r/>
    </w:p>
    <w:p>
      <w:pPr>
        <w:spacing w:line="360" w:lineRule="auto"/>
        <w:rPr>
          <w:rFonts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乙方：</w:t>
      </w:r>
      <w:r>
        <w:rPr>
          <w:rFonts w:hint="eastAsia" w:ascii="宋体" w:hAnsi="宋体" w:cs="宋体"/>
          <w:color w:val="000000" w:themeColor="text1"/>
          <w:sz w:val="21"/>
          <w:szCs w:val="21"/>
          <w:u w:val="single"/>
          <w:lang w:val="zh-CN"/>
          <w14:textFill>
            <w14:solidFill>
              <w14:schemeClr w14:val="tx1"/>
            </w14:solidFill>
          </w14:textFill>
        </w:rPr>
        <w:t xml:space="preserve">                                                            </w:t>
      </w:r>
      <w:r>
        <w:rPr>
          <w:rFonts w:hint="eastAsia" w:ascii="宋体" w:hAnsi="宋体" w:cs="宋体"/>
          <w:color w:val="000000" w:themeColor="text1"/>
          <w:sz w:val="21"/>
          <w:szCs w:val="21"/>
          <w:lang w:val="zh-CN"/>
          <w14:textFill>
            <w14:solidFill>
              <w14:schemeClr w14:val="tx1"/>
            </w14:solidFill>
          </w14:textFill>
        </w:rPr>
        <w:t xml:space="preserve">          </w:t>
      </w:r>
      <w:r/>
    </w:p>
    <w:p>
      <w:pPr>
        <w:spacing w:line="360" w:lineRule="auto"/>
        <w:rPr>
          <w:rFonts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    现场负责人：</w:t>
      </w:r>
      <w:r>
        <w:rPr>
          <w:rFonts w:hint="eastAsia" w:ascii="宋体" w:hAnsi="宋体" w:cs="宋体"/>
          <w:color w:val="000000" w:themeColor="text1"/>
          <w:sz w:val="21"/>
          <w:szCs w:val="21"/>
          <w:u w:val="single"/>
          <w:lang w:val="zh-CN"/>
          <w14:textFill>
            <w14:solidFill>
              <w14:schemeClr w14:val="tx1"/>
            </w14:solidFill>
          </w14:textFill>
        </w:rPr>
        <w:t xml:space="preserve">                 </w:t>
      </w:r>
      <w:r>
        <w:rPr>
          <w:rFonts w:hint="eastAsia" w:ascii="宋体" w:hAnsi="宋体" w:cs="宋体"/>
          <w:color w:val="000000" w:themeColor="text1"/>
          <w:sz w:val="21"/>
          <w:szCs w:val="21"/>
          <w:lang w:val="zh-CN"/>
          <w14:textFill>
            <w14:solidFill>
              <w14:schemeClr w14:val="tx1"/>
            </w14:solidFill>
          </w14:textFill>
        </w:rPr>
        <w:t xml:space="preserve"> 电话：</w:t>
      </w:r>
      <w:r>
        <w:rPr>
          <w:rFonts w:hint="eastAsia" w:ascii="宋体" w:hAnsi="宋体" w:cs="宋体"/>
          <w:color w:val="000000" w:themeColor="text1"/>
          <w:sz w:val="21"/>
          <w:szCs w:val="21"/>
          <w:u w:val="single"/>
          <w:lang w:val="zh-CN"/>
          <w14:textFill>
            <w14:solidFill>
              <w14:schemeClr w14:val="tx1"/>
            </w14:solidFill>
          </w14:textFill>
        </w:rPr>
        <w:t xml:space="preserve">                                    </w:t>
      </w:r>
      <w:r>
        <w:rPr>
          <w:rFonts w:hint="eastAsia" w:ascii="宋体" w:hAnsi="宋体" w:cs="宋体"/>
          <w:color w:val="000000" w:themeColor="text1"/>
          <w:sz w:val="21"/>
          <w:szCs w:val="21"/>
          <w:lang w:val="zh-CN"/>
          <w14:textFill>
            <w14:solidFill>
              <w14:schemeClr w14:val="tx1"/>
            </w14:solidFill>
          </w14:textFill>
        </w:rPr>
        <w:t xml:space="preserve">  </w:t>
      </w:r>
      <w:r/>
    </w:p>
    <w:p>
      <w:pPr>
        <w:spacing w:line="360" w:lineRule="auto"/>
        <w:rPr>
          <w:rFonts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    项目名称：</w:t>
      </w:r>
      <w:r>
        <w:rPr>
          <w:rFonts w:hint="eastAsia" w:ascii="宋体" w:hAnsi="宋体" w:cs="宋体"/>
          <w:color w:val="000000" w:themeColor="text1"/>
          <w:sz w:val="21"/>
          <w:szCs w:val="21"/>
          <w:u w:val="single"/>
          <w:lang w:val="zh-CN"/>
          <w14:textFill>
            <w14:solidFill>
              <w14:schemeClr w14:val="tx1"/>
            </w14:solidFill>
          </w14:textFill>
        </w:rPr>
        <w:t xml:space="preserve">                                             </w:t>
      </w:r>
      <w:r>
        <w:rPr>
          <w:rFonts w:hint="eastAsia" w:ascii="宋体" w:hAnsi="宋体" w:cs="宋体"/>
          <w:color w:val="000000" w:themeColor="text1"/>
          <w:sz w:val="21"/>
          <w:szCs w:val="21"/>
          <w:lang w:val="zh-CN"/>
          <w14:textFill>
            <w14:solidFill>
              <w14:schemeClr w14:val="tx1"/>
            </w14:solidFill>
          </w14:textFill>
        </w:rPr>
        <w:t xml:space="preserve">  </w:t>
      </w:r>
      <w:r/>
    </w:p>
    <w:p>
      <w:pPr>
        <w:spacing w:line="360" w:lineRule="auto"/>
        <w:rPr>
          <w:rFonts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    入场作业人数： </w:t>
      </w:r>
      <w:r>
        <w:rPr>
          <w:rFonts w:hint="eastAsia" w:ascii="宋体" w:hAnsi="宋体" w:cs="宋体"/>
          <w:color w:val="000000" w:themeColor="text1"/>
          <w:sz w:val="21"/>
          <w:szCs w:val="21"/>
          <w:u w:val="single"/>
          <w:lang w:val="zh-CN"/>
          <w14:textFill>
            <w14:solidFill>
              <w14:schemeClr w14:val="tx1"/>
            </w14:solidFill>
          </w14:textFill>
        </w:rPr>
        <w:t xml:space="preserve">                                        </w:t>
      </w:r>
      <w:r>
        <w:rPr>
          <w:rFonts w:hint="eastAsia" w:ascii="宋体" w:hAnsi="宋体" w:cs="宋体"/>
          <w:color w:val="000000" w:themeColor="text1"/>
          <w:sz w:val="21"/>
          <w:szCs w:val="21"/>
          <w:lang w:val="zh-CN"/>
          <w14:textFill>
            <w14:solidFill>
              <w14:schemeClr w14:val="tx1"/>
            </w14:solidFill>
          </w14:textFill>
        </w:rPr>
        <w:t xml:space="preserve">                  </w:t>
      </w:r>
      <w:r/>
    </w:p>
    <w:p>
      <w:pPr>
        <w:spacing w:line="360" w:lineRule="auto"/>
        <w:rPr>
          <w:rFonts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    合同期限：自    年   月   日至    年   月   日止       </w:t>
      </w:r>
      <w:r/>
    </w:p>
    <w:p>
      <w:pPr>
        <w:spacing w:line="360" w:lineRule="auto"/>
        <w:rPr>
          <w:rFonts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    </w:t>
      </w:r>
      <w:r>
        <w:rPr>
          <w:rFonts w:hint="eastAsia" w:ascii="宋体" w:hAnsi="宋体" w:cs="宋体"/>
          <w:color w:val="000000" w:themeColor="text1"/>
          <w:sz w:val="21"/>
          <w:szCs w:val="21"/>
          <w:lang w:val="zh-CN"/>
          <w14:textFill>
            <w14:solidFill>
              <w14:schemeClr w14:val="tx1"/>
            </w14:solidFill>
          </w14:textFill>
        </w:rPr>
        <w:t xml:space="preserve">为确保进入甲方区域的外协单位工作顺利完成，防止发生生产安全事故，依据《中华人民共和国安全生产法》和相关法律法规及甲乙双方的各项规章制度，经甲、乙双方平等协商，就乙方在甲方工作期间的安全管理工作签订协议如下：  </w:t>
      </w:r>
      <w:r/>
    </w:p>
    <w:p>
      <w:pPr>
        <w:spacing w:line="360" w:lineRule="auto"/>
        <w:rPr>
          <w:rFonts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    </w:t>
      </w:r>
      <w:r>
        <w:rPr>
          <w:rFonts w:hint="eastAsia" w:ascii="宋体" w:hAnsi="宋体" w:cs="宋体"/>
          <w:color w:val="000000" w:themeColor="text1"/>
          <w:sz w:val="21"/>
          <w:szCs w:val="21"/>
          <w:lang w:val="zh-CN"/>
          <w14:textFill>
            <w14:solidFill>
              <w14:schemeClr w14:val="tx1"/>
            </w14:solidFill>
          </w14:textFill>
        </w:rPr>
        <w:t xml:space="preserve">一、乙方（即外协单位）进入甲方从事各项工作，应当严格遵守甲方的各项管理规定，并接受甲方的监督。 </w:t>
      </w:r>
      <w:r/>
    </w:p>
    <w:p>
      <w:pPr>
        <w:spacing w:line="360" w:lineRule="auto"/>
        <w:rPr>
          <w:rFonts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   </w:t>
      </w:r>
      <w:r>
        <w:rPr>
          <w:rFonts w:hint="eastAsia" w:ascii="宋体" w:hAnsi="宋体" w:cs="宋体"/>
          <w:color w:val="000000" w:themeColor="text1"/>
          <w:sz w:val="21"/>
          <w:szCs w:val="21"/>
          <w:lang w:val="zh-CN"/>
          <w14:textFill>
            <w14:solidFill>
              <w14:schemeClr w14:val="tx1"/>
            </w14:solidFill>
          </w14:textFill>
        </w:rPr>
        <w:t xml:space="preserve"> 二、乙方接受甲方安全管理的内容包括生产安全、人身安全、设备安全、交通安全、环境保护、治安、消防等方面。 </w:t>
      </w:r>
      <w:r/>
    </w:p>
    <w:p>
      <w:pPr>
        <w:spacing w:line="360" w:lineRule="auto"/>
        <w:rPr>
          <w:rFonts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    </w:t>
      </w:r>
      <w:r>
        <w:rPr>
          <w:rFonts w:hint="eastAsia" w:ascii="宋体" w:hAnsi="宋体" w:cs="宋体"/>
          <w:color w:val="000000" w:themeColor="text1"/>
          <w:sz w:val="21"/>
          <w:szCs w:val="21"/>
          <w:lang w:val="zh-CN"/>
          <w14:textFill>
            <w14:solidFill>
              <w14:schemeClr w14:val="tx1"/>
            </w14:solidFill>
          </w14:textFill>
        </w:rPr>
        <w:t xml:space="preserve">三、甲方的权利和义务  </w:t>
      </w:r>
      <w:r/>
    </w:p>
    <w:p>
      <w:pPr>
        <w:spacing w:line="360" w:lineRule="auto"/>
        <w:rPr>
          <w:rFonts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    </w:t>
      </w:r>
      <w:r>
        <w:rPr>
          <w:rFonts w:hint="eastAsia" w:ascii="宋体" w:hAnsi="宋体" w:cs="宋体"/>
          <w:color w:val="000000" w:themeColor="text1"/>
          <w:sz w:val="21"/>
          <w:szCs w:val="21"/>
          <w:lang w:val="zh-CN"/>
          <w14:textFill>
            <w14:solidFill>
              <w14:schemeClr w14:val="tx1"/>
            </w14:solidFill>
          </w14:textFill>
        </w:rPr>
        <w:t xml:space="preserve">1、甲方负责向乙方告知甲方的安全生产管理规定和相关安全注意事项。 </w:t>
      </w:r>
      <w:r/>
    </w:p>
    <w:p>
      <w:pPr>
        <w:spacing w:line="360" w:lineRule="auto"/>
        <w:rPr>
          <w:rFonts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    </w:t>
      </w:r>
      <w:r>
        <w:rPr>
          <w:rFonts w:hint="eastAsia" w:ascii="宋体" w:hAnsi="宋体" w:cs="宋体"/>
          <w:color w:val="000000" w:themeColor="text1"/>
          <w:sz w:val="21"/>
          <w:szCs w:val="21"/>
          <w:lang w:val="zh-CN"/>
          <w14:textFill>
            <w14:solidFill>
              <w14:schemeClr w14:val="tx1"/>
            </w14:solidFill>
          </w14:textFill>
        </w:rPr>
        <w:t xml:space="preserve">2、甲方监督乙方是否根据双方合作合同进入甲方场地工作。 </w:t>
      </w:r>
      <w:r/>
    </w:p>
    <w:p>
      <w:pPr>
        <w:spacing w:line="360" w:lineRule="auto"/>
        <w:rPr>
          <w:rFonts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   </w:t>
      </w:r>
      <w:r>
        <w:rPr>
          <w:rFonts w:hint="eastAsia" w:ascii="宋体" w:hAnsi="宋体" w:cs="宋体"/>
          <w:color w:val="000000" w:themeColor="text1"/>
          <w:sz w:val="21"/>
          <w:szCs w:val="21"/>
          <w:lang w:val="zh-CN"/>
          <w14:textFill>
            <w14:solidFill>
              <w14:schemeClr w14:val="tx1"/>
            </w14:solidFill>
          </w14:textFill>
        </w:rPr>
        <w:t xml:space="preserve"> 3、甲方负责对双方合作合同中有关乙方工作区域、工作内容、安全管理职责等内容进行核对确认。  </w:t>
      </w:r>
      <w:r/>
    </w:p>
    <w:p>
      <w:pPr>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    </w:t>
      </w:r>
      <w:r>
        <w:rPr>
          <w:rFonts w:hint="eastAsia" w:ascii="宋体" w:hAnsi="宋体" w:cs="宋体"/>
          <w:color w:val="000000" w:themeColor="text1"/>
          <w:sz w:val="21"/>
          <w:szCs w:val="21"/>
          <w:lang w:val="zh-CN"/>
          <w14:textFill>
            <w14:solidFill>
              <w14:schemeClr w14:val="tx1"/>
            </w14:solidFill>
          </w14:textFill>
        </w:rPr>
        <w:t xml:space="preserve">4、 对乙方的违章操作行为或不服从甲方监督的行为，甲方有权依据甲方规定给予服务费考核，直至解除合同，所有责任均由乙方承担。</w:t>
      </w:r>
      <w:r/>
    </w:p>
    <w:p>
      <w:pPr>
        <w:spacing w:line="360" w:lineRule="auto"/>
        <w:rPr>
          <w:rFonts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    </w:t>
      </w:r>
      <w:r>
        <w:rPr>
          <w:rFonts w:hint="eastAsia" w:ascii="宋体" w:hAnsi="宋体" w:cs="宋体"/>
          <w:color w:val="000000" w:themeColor="text1"/>
          <w:sz w:val="21"/>
          <w:szCs w:val="21"/>
          <w:lang w:val="zh-CN"/>
          <w14:textFill>
            <w14:solidFill>
              <w14:schemeClr w14:val="tx1"/>
            </w14:solidFill>
          </w14:textFill>
        </w:rPr>
        <w:t xml:space="preserve">四、乙方的权利和义务  </w:t>
      </w:r>
      <w:r/>
    </w:p>
    <w:p>
      <w:pPr>
        <w:spacing w:line="360" w:lineRule="auto"/>
        <w:rPr>
          <w:rFonts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    </w:t>
      </w:r>
      <w:r>
        <w:rPr>
          <w:rFonts w:hint="eastAsia" w:ascii="宋体" w:hAnsi="宋体" w:cs="宋体"/>
          <w:color w:val="000000" w:themeColor="text1"/>
          <w:sz w:val="21"/>
          <w:szCs w:val="21"/>
          <w:lang w:val="zh-CN"/>
          <w14:textFill>
            <w14:solidFill>
              <w14:schemeClr w14:val="tx1"/>
            </w14:solidFill>
          </w14:textFill>
        </w:rPr>
        <w:t xml:space="preserve">1、乙方应该遵守国家、地方政府制定的安全生产法律法规和安全技术规程，遵守甲方所有的规章制度，向每个工作人员传达，并留培训记录。</w:t>
      </w:r>
      <w:r/>
    </w:p>
    <w:p>
      <w:pPr>
        <w:ind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乙方员工自入职之日起须进行入职培训并签订《员工须知》。自觉遵守国家法律法规、公司各项规章制度和医院各项规章制度。</w:t>
      </w:r>
      <w:r/>
    </w:p>
    <w:p>
      <w:pPr>
        <w:spacing w:line="360" w:lineRule="auto"/>
        <w:rPr>
          <w:rFonts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    </w:t>
      </w:r>
      <w:r>
        <w:rPr>
          <w:rFonts w:hint="eastAsia" w:ascii="宋体" w:hAnsi="宋体" w:cs="宋体"/>
          <w:color w:val="000000" w:themeColor="text1"/>
          <w:sz w:val="21"/>
          <w:szCs w:val="21"/>
          <w:lang w:val="zh-CN"/>
          <w14:textFill>
            <w14:solidFill>
              <w14:schemeClr w14:val="tx1"/>
            </w14:solidFill>
          </w14:textFill>
        </w:rPr>
        <w:t xml:space="preserve">3、乙方应接受甲方对乙方安全生产资质审核，按照甲方规定进行登记。</w:t>
      </w:r>
      <w:r/>
    </w:p>
    <w:p>
      <w:pPr>
        <w:ind w:firstLine="420"/>
        <w:spacing w:line="360" w:lineRule="auto"/>
        <w:rPr>
          <w:rFonts w:ascii="宋体" w:hAnsi="宋体" w:cs="宋体"/>
          <w:color w:val="000000" w:themeColor="text1"/>
          <w:sz w:val="21"/>
          <w:szCs w:val="21"/>
          <w:shd w:val="clear" w:color="auto" w:fill="ffffff"/>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4、乙方员工</w:t>
      </w:r>
      <w:r>
        <w:rPr>
          <w:rFonts w:hint="eastAsia" w:ascii="宋体" w:hAnsi="宋体" w:cs="宋体"/>
          <w:color w:val="000000" w:themeColor="text1"/>
          <w:sz w:val="21"/>
          <w:szCs w:val="21"/>
          <w:shd w:val="clear" w:color="auto" w:fill="ffffff"/>
          <w14:textFill>
            <w14:solidFill>
              <w14:schemeClr w14:val="tx1"/>
            </w14:solidFill>
          </w14:textFill>
        </w:rPr>
        <w:t xml:space="preserve">上班时间不得私自脱岗，如需暂时离开，需经项目经理同意，项目经理安排好人员后方可离开，工作时间不准干私活，不准听音乐、玩游戏、睡觉等。严禁上班前及工作时间饮酒。</w:t>
      </w:r>
      <w:r/>
    </w:p>
    <w:p>
      <w:pPr>
        <w:ind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5、乙方严格遵守甲方不良事件上报、管理制度，对不良事件能及时进行分析，及时重塑相关流程，杜绝同类事件发生。</w:t>
      </w:r>
      <w:r/>
    </w:p>
    <w:p>
      <w:pPr>
        <w:ind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6、乙方制定相关工作的应急预案、定期组织演练、落实各项应急措施，对演练出现的各种问题进行持续性整改。</w:t>
      </w:r>
      <w:r/>
    </w:p>
    <w:p>
      <w:pPr>
        <w:spacing w:line="360" w:lineRule="auto"/>
        <w:rPr>
          <w:rFonts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    </w:t>
      </w:r>
      <w:r>
        <w:rPr>
          <w:rFonts w:hint="eastAsia" w:ascii="宋体" w:hAnsi="宋体" w:cs="宋体"/>
          <w:color w:val="000000" w:themeColor="text1"/>
          <w:sz w:val="21"/>
          <w:szCs w:val="21"/>
          <w:lang w:val="zh-CN"/>
          <w14:textFill>
            <w14:solidFill>
              <w14:schemeClr w14:val="tx1"/>
            </w14:solidFill>
          </w14:textFill>
        </w:rPr>
        <w:t xml:space="preserve">7、乙方应该接受甲方工作区域的安全管理工作，负责对所属工作人员进行包含但不限于安全、 消防等教育和培训，指定专人负责日常安全管理工作并接受甲方监督指导：对工作区域、工作内容进行安全指导和检查，对检查发现的安全隐患，及时进行整改。如解决不力所造成的损失由乙方全部承担。 </w:t>
      </w:r>
      <w:r/>
    </w:p>
    <w:p>
      <w:pPr>
        <w:spacing w:line="360" w:lineRule="auto"/>
        <w:rPr>
          <w:rFonts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    </w:t>
      </w:r>
      <w:r>
        <w:rPr>
          <w:rFonts w:hint="eastAsia" w:ascii="宋体" w:hAnsi="宋体" w:cs="宋体"/>
          <w:color w:val="000000" w:themeColor="text1"/>
          <w:sz w:val="21"/>
          <w:szCs w:val="21"/>
          <w:lang w:val="zh-CN"/>
          <w14:textFill>
            <w14:solidFill>
              <w14:schemeClr w14:val="tx1"/>
            </w14:solidFill>
          </w14:textFill>
        </w:rPr>
        <w:t xml:space="preserve">8、乙方应按照法律法规合法用工，严禁使用未成年工、有职业禁忌、患有妨碍工作病症的人员。严禁使用患有传染病、精神病的人员。严禁使用身份不明的人员。违反本规定，导致的所有后果均由乙方承担。  </w:t>
      </w:r>
      <w:r/>
    </w:p>
    <w:p>
      <w:pPr>
        <w:ind w:firstLine="570"/>
        <w:spacing w:line="360" w:lineRule="auto"/>
        <w:rPr>
          <w:rFonts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9、乙方应严格审核委派的特种作业人员的上岗资质，所有特种作业人员应做到持证上岗，并向甲方提供相关证照资料复印件。因提供虚假资料，导致的所有责任均由乙方承担。</w:t>
      </w:r>
      <w:r/>
    </w:p>
    <w:p>
      <w:pPr>
        <w:ind w:firstLine="570"/>
        <w:spacing w:line="360" w:lineRule="auto"/>
        <w:rPr>
          <w:rFonts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10、乙方涉及到危险化学品的，需</w:t>
      </w:r>
      <w:r>
        <w:rPr>
          <w:rFonts w:hint="eastAsia" w:ascii="宋体" w:hAnsi="宋体" w:cs="宋体"/>
          <w:color w:val="000000" w:themeColor="text1"/>
          <w:sz w:val="21"/>
          <w:szCs w:val="21"/>
          <w14:textFill>
            <w14:solidFill>
              <w14:schemeClr w14:val="tx1"/>
            </w14:solidFill>
          </w14:textFill>
        </w:rPr>
        <w:t xml:space="preserve">加强危险化学品存储、使用、废弃处理等环节的安全管理，严格落实各项安全管理制度及各项安全措施，相关工作人员严格执行操作规范。严防发生危化品的泄露、中毒等事故发生。因管理不善造成的一切损失由乙方承担。</w:t>
      </w:r>
      <w:r/>
    </w:p>
    <w:p>
      <w:pPr>
        <w:spacing w:line="360" w:lineRule="auto"/>
        <w:rPr>
          <w:rFonts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    </w:t>
      </w:r>
      <w:r>
        <w:rPr>
          <w:rFonts w:hint="eastAsia" w:ascii="宋体" w:hAnsi="宋体" w:cs="宋体"/>
          <w:color w:val="000000" w:themeColor="text1"/>
          <w:sz w:val="21"/>
          <w:szCs w:val="21"/>
          <w:lang w:val="zh-CN"/>
          <w14:textFill>
            <w14:solidFill>
              <w14:schemeClr w14:val="tx1"/>
            </w14:solidFill>
          </w14:textFill>
        </w:rPr>
        <w:t xml:space="preserve">11、乙方工作中需明火作业时，须到甲方安全生产管理部门办理审批手续。乙方自备的各种机电设备、施工机械要有齐全的安全装置。违反本条导致的所有责任均由乙方承担。  </w:t>
      </w:r>
      <w:r/>
    </w:p>
    <w:p>
      <w:pPr>
        <w:spacing w:line="360" w:lineRule="auto"/>
        <w:rPr>
          <w:rFonts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    </w:t>
      </w:r>
      <w:r>
        <w:rPr>
          <w:rFonts w:hint="eastAsia" w:ascii="宋体" w:hAnsi="宋体" w:cs="宋体"/>
          <w:color w:val="000000" w:themeColor="text1"/>
          <w:sz w:val="21"/>
          <w:szCs w:val="21"/>
          <w:lang w:val="zh-CN"/>
          <w14:textFill>
            <w14:solidFill>
              <w14:schemeClr w14:val="tx1"/>
            </w14:solidFill>
          </w14:textFill>
        </w:rPr>
        <w:t xml:space="preserve">12、乙方应爱护甲方的设备、物资和各种设施，因擅自动用导致的损失，由乙方负责赔偿，乙方自备的各类物资由乙方自行妥善保管，丢失、损坏等均与甲方无关。  </w:t>
      </w:r>
      <w:r/>
    </w:p>
    <w:p>
      <w:pPr>
        <w:spacing w:line="360" w:lineRule="auto"/>
        <w:rPr>
          <w:rFonts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    </w:t>
      </w:r>
      <w:r>
        <w:rPr>
          <w:rFonts w:hint="eastAsia" w:ascii="宋体" w:hAnsi="宋体" w:cs="宋体"/>
          <w:color w:val="000000" w:themeColor="text1"/>
          <w:sz w:val="21"/>
          <w:szCs w:val="21"/>
          <w:lang w:val="zh-CN"/>
          <w14:textFill>
            <w14:solidFill>
              <w14:schemeClr w14:val="tx1"/>
            </w14:solidFill>
          </w14:textFill>
        </w:rPr>
        <w:t xml:space="preserve">13、 在工作过程中，甲方提供的工作区域有安全隐患，乙方有权及时要求甲方整改，否则所造成的责任后果均由乙方承担。  </w:t>
      </w:r>
      <w:r/>
    </w:p>
    <w:p>
      <w:pPr>
        <w:ind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五、在乙方进入甲方工作期间，因乙方人员责任或因乙方对作业现场管理不善等原因，发生生产安全事故、火灾事故、治安案件及刑事案件的，由乙方承担全部责任。对造成甲方及第三方人员伤亡、财产、名誉损失的，甲方有权进行处罚，且乙方承担由此给甲方及第三方造成的全部损失。 </w:t>
      </w:r>
      <w:r/>
    </w:p>
    <w:p>
      <w:pPr>
        <w:ind w:firstLine="570"/>
        <w:spacing w:line="360" w:lineRule="auto"/>
        <w:rPr>
          <w:rFonts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六、 本协议一式贰份，甲乙各持壹份，自双方法定代表人或授权委托人签字盖章之日生效。    </w:t>
      </w:r>
      <w:r/>
    </w:p>
    <w:p>
      <w:pPr>
        <w:ind w:firstLine="570"/>
        <w:spacing w:line="360" w:lineRule="auto"/>
        <w:rPr>
          <w:rFonts w:ascii="宋体" w:hAnsi="宋体" w:cs="宋体"/>
          <w:color w:val="000000" w:themeColor="text1"/>
          <w:sz w:val="21"/>
          <w:szCs w:val="21"/>
          <w:lang w:val="zh-CN"/>
          <w14:textFill>
            <w14:solidFill>
              <w14:schemeClr w14:val="tx1"/>
            </w14:solidFill>
          </w14:textFill>
        </w:rPr>
      </w:pPr>
      <w:r>
        <w:rPr>
          <w:rFonts w:ascii="宋体" w:hAnsi="宋体" w:cs="宋体"/>
          <w:color w:val="000000" w:themeColor="text1"/>
          <w:sz w:val="21"/>
          <w:szCs w:val="21"/>
          <w:lang w:val="zh-CN"/>
          <w14:textFill>
            <w14:solidFill>
              <w14:schemeClr w14:val="tx1"/>
            </w14:solidFill>
          </w14:textFill>
        </w:rPr>
      </w:r>
      <w:r/>
    </w:p>
    <w:p>
      <w:pPr>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总务处负责人签字：                </w:t>
      </w:r>
      <w:r>
        <w:rPr>
          <w:rFonts w:hint="eastAsia" w:ascii="宋体" w:hAnsi="宋体" w:eastAsia="宋体" w:cs="宋体"/>
          <w:color w:val="000000" w:themeColor="text1"/>
          <w:sz w:val="21"/>
          <w:szCs w:val="21"/>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 xml:space="preserve">法定代表人/负责人签字：</w:t>
      </w:r>
      <w:r/>
    </w:p>
    <w:p>
      <w:pPr>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总务处（公章）：                   承诺单位（公章）：</w:t>
      </w:r>
      <w:r/>
    </w:p>
    <w:p>
      <w:pPr>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签署日期：   年   月   日         </w:t>
      </w:r>
      <w:r>
        <w:rPr>
          <w:rFonts w:hint="eastAsia" w:ascii="宋体" w:hAnsi="宋体" w:eastAsia="宋体" w:cs="宋体"/>
          <w:color w:val="000000" w:themeColor="text1"/>
          <w:sz w:val="21"/>
          <w:szCs w:val="21"/>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 xml:space="preserve">签署日期：   年   月   日</w:t>
      </w:r>
      <w:r/>
    </w:p>
    <w:p>
      <w:pPr>
        <w:pStyle w:val="751"/>
        <w:rPr>
          <w:color w:val="000000" w:themeColor="text1"/>
          <w14:textFill>
            <w14:solidFill>
              <w14:schemeClr w14:val="tx1"/>
            </w14:solidFill>
          </w14:textFill>
        </w:rPr>
      </w:pPr>
      <w:r>
        <w:rPr>
          <w:color w:val="000000" w:themeColor="text1"/>
          <w14:textFill>
            <w14:solidFill>
              <w14:schemeClr w14:val="tx1"/>
            </w14:solidFill>
          </w14:textFill>
        </w:rPr>
      </w:r>
      <w:r/>
    </w:p>
    <w:p>
      <w:pPr>
        <w:spacing w:line="240" w:lineRule="auto"/>
        <w:rPr>
          <w:rFonts w:hAnsi="宋体"/>
          <w:bCs/>
          <w:color w:val="000000" w:themeColor="text1"/>
          <w:sz w:val="30"/>
          <w:szCs w:val="30"/>
          <w14:textFill>
            <w14:solidFill>
              <w14:schemeClr w14:val="tx1"/>
            </w14:solidFill>
          </w14:textFill>
        </w:rPr>
      </w:pPr>
      <w:r>
        <w:rPr>
          <w:rFonts w:hAnsi="宋体"/>
          <w:bCs/>
          <w:color w:val="000000" w:themeColor="text1"/>
          <w:sz w:val="30"/>
          <w:szCs w:val="30"/>
          <w14:textFill>
            <w14:solidFill>
              <w14:schemeClr w14:val="tx1"/>
            </w14:solidFill>
          </w14:textFill>
        </w:rPr>
        <w:br w:type="page" w:clear="all"/>
      </w:r>
      <w:r/>
    </w:p>
    <w:p>
      <w:pPr>
        <w:pStyle w:val="735"/>
        <w:jc w:val="center"/>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第四章 采购需求</w:t>
      </w:r>
      <w:r/>
    </w:p>
    <w:p>
      <w:pPr>
        <w:jc w:val="both"/>
        <w:spacing w:line="479" w:lineRule="atLeast"/>
        <w:rPr>
          <w:rFonts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项目属性:服务类项目。</w:t>
      </w:r>
      <w:r/>
    </w:p>
    <w:p>
      <w:pPr>
        <w:pStyle w:val="736"/>
        <w:spacing w:before="0" w:after="0" w:line="98" w:lineRule="atLeast"/>
        <w:rPr>
          <w:rFonts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一、项目概况</w:t>
      </w:r>
      <w:r/>
    </w:p>
    <w:p>
      <w:pPr>
        <w:pStyle w:val="966"/>
        <w:spacing w:before="120" w:after="120" w:line="360" w:lineRule="auto"/>
        <w:rPr>
          <w:rFonts w:ascii="宋体" w:hAnsi="宋体" w:eastAsia="宋体"/>
          <w:b/>
          <w:bCs/>
          <w:color w:val="000000" w:themeColor="text1"/>
          <w:sz w:val="24"/>
          <w:szCs w:val="24"/>
          <w14:textFill>
            <w14:solidFill>
              <w14:schemeClr w14:val="tx1"/>
            </w14:solidFill>
          </w14:textFill>
        </w:rPr>
        <w:outlineLvl w:val="2"/>
      </w:pPr>
      <w:r>
        <w:rPr>
          <w:rFonts w:hint="eastAsia" w:ascii="宋体" w:hAnsi="宋体" w:eastAsia="宋体"/>
          <w:b/>
          <w:bCs/>
          <w:color w:val="000000" w:themeColor="text1"/>
          <w:sz w:val="24"/>
          <w:szCs w:val="24"/>
          <w14:textFill>
            <w14:solidFill>
              <w14:schemeClr w14:val="tx1"/>
            </w14:solidFill>
          </w14:textFill>
        </w:rPr>
        <w:t xml:space="preserve">1、服务需求一览表</w:t>
      </w:r>
      <w:r/>
    </w:p>
    <w:tbl>
      <w:tblPr>
        <w:tblStyle w:val="745"/>
        <w:tblW w:w="9915"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2369"/>
        <w:gridCol w:w="1303"/>
        <w:gridCol w:w="1477"/>
        <w:gridCol w:w="2126"/>
        <w:gridCol w:w="1898"/>
      </w:tblGrid>
      <w:tr>
        <w:trPr>
          <w:jc w:val="center"/>
          <w:trHeight w:val="1064"/>
        </w:trPr>
        <w:tc>
          <w:tcPr>
            <w:tcBorders>
              <w:top w:val="single" w:color="auto" w:sz="4" w:space="0"/>
              <w:left w:val="single" w:color="auto" w:sz="6" w:space="0"/>
              <w:bottom w:val="single" w:color="auto" w:sz="4" w:space="0"/>
              <w:right w:val="single" w:color="auto" w:sz="6" w:space="0"/>
            </w:tcBorders>
            <w:tcW w:w="742" w:type="dxa"/>
            <w:vAlign w:val="center"/>
            <w:textDirection w:val="lrTb"/>
            <w:noWrap w:val="false"/>
          </w:tcPr>
          <w:p>
            <w:pPr>
              <w:pStyle w:val="965"/>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品目</w:t>
            </w:r>
            <w:r/>
          </w:p>
        </w:tc>
        <w:tc>
          <w:tcPr>
            <w:tcBorders>
              <w:top w:val="single" w:color="auto" w:sz="4" w:space="0"/>
              <w:left w:val="single" w:color="auto" w:sz="6" w:space="0"/>
              <w:bottom w:val="single" w:color="auto" w:sz="4" w:space="0"/>
              <w:right w:val="single" w:color="auto" w:sz="6" w:space="0"/>
            </w:tcBorders>
            <w:tcW w:w="2369" w:type="dxa"/>
            <w:vAlign w:val="center"/>
            <w:textDirection w:val="lrTb"/>
            <w:noWrap w:val="false"/>
          </w:tcPr>
          <w:p>
            <w:pPr>
              <w:pStyle w:val="965"/>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服务名称</w:t>
            </w:r>
            <w:r/>
          </w:p>
        </w:tc>
        <w:tc>
          <w:tcPr>
            <w:tcBorders>
              <w:top w:val="single" w:color="auto" w:sz="4" w:space="0"/>
              <w:left w:val="single" w:color="auto" w:sz="6" w:space="0"/>
              <w:bottom w:val="single" w:color="auto" w:sz="4" w:space="0"/>
              <w:right w:val="single" w:color="auto" w:sz="4" w:space="0"/>
            </w:tcBorders>
            <w:tcW w:w="1303" w:type="dxa"/>
            <w:vAlign w:val="center"/>
            <w:textDirection w:val="lrTb"/>
            <w:noWrap w:val="false"/>
          </w:tcPr>
          <w:p>
            <w:pPr>
              <w:pStyle w:val="965"/>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服务期限</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pStyle w:val="965"/>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交付期</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65"/>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交付地点</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965"/>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最高限价</w:t>
            </w:r>
            <w:r/>
          </w:p>
          <w:p>
            <w:pPr>
              <w:pStyle w:val="965"/>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（万元/年）</w:t>
            </w:r>
            <w:r/>
          </w:p>
        </w:tc>
      </w:tr>
      <w:tr>
        <w:trPr>
          <w:jc w:val="center"/>
          <w:trHeight w:val="763"/>
        </w:trPr>
        <w:tc>
          <w:tcPr>
            <w:shd w:val="clear" w:color="auto" w:fill="auto"/>
            <w:tcBorders>
              <w:top w:val="single" w:color="auto" w:sz="4" w:space="0"/>
              <w:left w:val="single" w:color="auto" w:sz="6" w:space="0"/>
              <w:bottom w:val="single" w:color="auto" w:sz="4" w:space="0"/>
              <w:right w:val="single" w:color="auto" w:sz="4" w:space="0"/>
            </w:tcBorders>
            <w:tcW w:w="742" w:type="dxa"/>
            <w:vAlign w:val="center"/>
            <w:textDirection w:val="lrTb"/>
            <w:noWrap w:val="false"/>
          </w:tcPr>
          <w:p>
            <w:pPr>
              <w:pStyle w:val="965"/>
              <w:jc w:val="center"/>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01</w:t>
            </w:r>
            <w:r/>
          </w:p>
        </w:tc>
        <w:tc>
          <w:tcPr>
            <w:shd w:val="clear" w:color="auto" w:fill="auto"/>
            <w:tcBorders>
              <w:top w:val="single" w:color="auto" w:sz="4" w:space="0"/>
              <w:left w:val="single" w:color="auto" w:sz="6" w:space="0"/>
              <w:bottom w:val="single" w:color="auto" w:sz="4" w:space="0"/>
              <w:right w:val="single" w:color="auto" w:sz="4" w:space="0"/>
            </w:tcBorders>
            <w:tcW w:w="2369"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迈皋桥院区能源管理服务项目</w:t>
            </w:r>
            <w:r/>
          </w:p>
        </w:tc>
        <w:tc>
          <w:tcPr>
            <w:shd w:val="clear" w:color="auto" w:fill="ffffff"/>
            <w:tcBorders>
              <w:top w:val="single" w:color="auto" w:sz="4" w:space="0"/>
              <w:left w:val="single" w:color="auto" w:sz="4" w:space="0"/>
              <w:right w:val="single" w:color="auto" w:sz="4" w:space="0"/>
            </w:tcBorders>
            <w:tcW w:w="1303" w:type="dxa"/>
            <w:vAlign w:val="center"/>
            <w:vMerge w:val="restart"/>
            <w:textDirection w:val="lrTb"/>
            <w:noWrap w:val="false"/>
          </w:tcPr>
          <w:p>
            <w:pPr>
              <w:pStyle w:val="965"/>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8年</w:t>
            </w:r>
            <w:r/>
          </w:p>
        </w:tc>
        <w:tc>
          <w:tcPr>
            <w:tcBorders>
              <w:top w:val="single" w:color="auto" w:sz="4" w:space="0"/>
              <w:left w:val="single" w:color="auto" w:sz="4" w:space="0"/>
              <w:right w:val="single" w:color="auto" w:sz="4" w:space="0"/>
            </w:tcBorders>
            <w:tcW w:w="1477" w:type="dxa"/>
            <w:vAlign w:val="center"/>
            <w:vMerge w:val="restart"/>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合同签订后立即执行</w:t>
            </w:r>
            <w:r/>
          </w:p>
        </w:tc>
        <w:tc>
          <w:tcPr>
            <w:tcBorders>
              <w:top w:val="single" w:color="auto" w:sz="4" w:space="0"/>
              <w:left w:val="single" w:color="auto" w:sz="4" w:space="0"/>
              <w:right w:val="single" w:color="auto" w:sz="4" w:space="0"/>
            </w:tcBorders>
            <w:tcW w:w="2126" w:type="dxa"/>
            <w:vAlign w:val="center"/>
            <w:vMerge w:val="restart"/>
            <w:textDirection w:val="lrTb"/>
            <w:noWrap w:val="false"/>
          </w:tcPr>
          <w:p>
            <w:pPr>
              <w:pStyle w:val="965"/>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南京医科大学第二附属医院（迈皋桥院区、阅江楼院区）</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965"/>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810</w:t>
            </w:r>
            <w:r/>
          </w:p>
        </w:tc>
      </w:tr>
      <w:tr>
        <w:trPr>
          <w:jc w:val="center"/>
          <w:trHeight w:val="718"/>
        </w:trPr>
        <w:tc>
          <w:tcPr>
            <w:shd w:val="clear" w:color="auto" w:fill="auto"/>
            <w:tcBorders>
              <w:top w:val="single" w:color="auto" w:sz="4" w:space="0"/>
              <w:left w:val="single" w:color="auto" w:sz="6" w:space="0"/>
              <w:bottom w:val="single" w:color="auto" w:sz="4" w:space="0"/>
              <w:right w:val="single" w:color="auto" w:sz="4" w:space="0"/>
            </w:tcBorders>
            <w:tcW w:w="742" w:type="dxa"/>
            <w:vAlign w:val="center"/>
            <w:textDirection w:val="lrTb"/>
            <w:noWrap w:val="false"/>
          </w:tcPr>
          <w:p>
            <w:pPr>
              <w:pStyle w:val="965"/>
              <w:jc w:val="center"/>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02</w:t>
            </w:r>
            <w:r/>
          </w:p>
        </w:tc>
        <w:tc>
          <w:tcPr>
            <w:shd w:val="clear" w:color="auto" w:fill="auto"/>
            <w:tcBorders>
              <w:top w:val="single" w:color="auto" w:sz="4" w:space="0"/>
              <w:left w:val="single" w:color="auto" w:sz="6" w:space="0"/>
              <w:bottom w:val="single" w:color="auto" w:sz="4" w:space="0"/>
              <w:right w:val="single" w:color="auto" w:sz="4" w:space="0"/>
            </w:tcBorders>
            <w:tcW w:w="2369" w:type="dxa"/>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阅江楼院区能源管理服务项目</w:t>
            </w:r>
            <w:r/>
          </w:p>
        </w:tc>
        <w:tc>
          <w:tcPr>
            <w:shd w:val="clear" w:color="auto" w:fill="ffffff"/>
            <w:tcBorders>
              <w:left w:val="single" w:color="auto" w:sz="4" w:space="0"/>
              <w:bottom w:val="single" w:color="auto" w:sz="4" w:space="0"/>
              <w:right w:val="single" w:color="auto" w:sz="4" w:space="0"/>
            </w:tcBorders>
            <w:tcW w:w="1303" w:type="dxa"/>
            <w:vAlign w:val="center"/>
            <w:vMerge w:val="continue"/>
            <w:textDirection w:val="lrTb"/>
            <w:noWrap w:val="false"/>
          </w:tcPr>
          <w:p>
            <w:pPr>
              <w:pStyle w:val="965"/>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left w:val="single" w:color="auto" w:sz="4" w:space="0"/>
              <w:bottom w:val="single" w:color="auto" w:sz="4" w:space="0"/>
              <w:right w:val="single" w:color="auto" w:sz="4" w:space="0"/>
            </w:tcBorders>
            <w:tcW w:w="1477" w:type="dxa"/>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left w:val="single" w:color="auto" w:sz="4" w:space="0"/>
              <w:bottom w:val="single" w:color="auto" w:sz="4" w:space="0"/>
              <w:right w:val="single" w:color="auto" w:sz="4" w:space="0"/>
            </w:tcBorders>
            <w:tcW w:w="2126" w:type="dxa"/>
            <w:vAlign w:val="center"/>
            <w:vMerge w:val="continue"/>
            <w:textDirection w:val="lrTb"/>
            <w:noWrap w:val="false"/>
          </w:tcPr>
          <w:p>
            <w:pPr>
              <w:pStyle w:val="965"/>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965"/>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168</w:t>
            </w:r>
            <w:r/>
          </w:p>
        </w:tc>
      </w:tr>
    </w:tbl>
    <w:p>
      <w:pPr>
        <w:pStyle w:val="966"/>
        <w:spacing w:before="120" w:after="120" w:line="360" w:lineRule="auto"/>
        <w:rPr>
          <w:rFonts w:ascii="宋体" w:hAnsi="宋体" w:eastAsia="宋体"/>
          <w:b/>
          <w:bCs/>
          <w:color w:val="000000" w:themeColor="text1"/>
          <w:sz w:val="24"/>
          <w:szCs w:val="24"/>
          <w14:textFill>
            <w14:solidFill>
              <w14:schemeClr w14:val="tx1"/>
            </w14:solidFill>
          </w14:textFill>
        </w:rPr>
        <w:outlineLvl w:val="2"/>
      </w:pPr>
      <w:r>
        <w:rPr>
          <w:rFonts w:hint="eastAsia" w:ascii="宋体" w:hAnsi="宋体" w:eastAsia="宋体"/>
          <w:b/>
          <w:bCs/>
          <w:color w:val="000000" w:themeColor="text1"/>
          <w:sz w:val="24"/>
          <w:szCs w:val="24"/>
          <w14:textFill>
            <w14:solidFill>
              <w14:schemeClr w14:val="tx1"/>
            </w14:solidFill>
          </w14:textFill>
        </w:rPr>
        <w:t xml:space="preserve">2、医院概况</w:t>
      </w:r>
      <w:r/>
    </w:p>
    <w:p>
      <w:pPr>
        <w:pStyle w:val="766"/>
        <w:ind w:firstLine="480"/>
        <w:spacing w:after="0" w:line="360" w:lineRule="auto"/>
        <w:widowControl w:val="off"/>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南京医科大学第二附属医院，暨江苏省第二红十字医院、南京医科大学第二临床医学院，创建于1951年。医院是江苏省卫生健康委员会直属的三级甲等综合医院，担负着医疗、教学、科研、公益等重要任务。医院有三个医疗院区（姜家园、萨家湾、迈皋桥院区）和一个教学院区（阅江楼院区），占地面积121亩，建筑面积26万平方米，固定资产22亿元，编制床位数2500张，职工3000余人。</w:t>
      </w:r>
      <w:r/>
    </w:p>
    <w:p>
      <w:pPr>
        <w:pStyle w:val="766"/>
        <w:ind w:firstLine="482"/>
        <w:spacing w:after="0" w:line="360" w:lineRule="auto"/>
        <w:widowControl w:val="off"/>
        <w:rPr>
          <w:rFonts w:ascii="宋体" w:hAnsi="宋体" w:eastAsia="宋体" w:cs="宋体"/>
          <w:b/>
          <w:bCs/>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2.1 能源基准单价</w:t>
      </w:r>
      <w:r/>
    </w:p>
    <w:p>
      <w:pPr>
        <w:pStyle w:val="766"/>
        <w:ind w:firstLine="480"/>
        <w:spacing w:after="0" w:line="360" w:lineRule="auto"/>
        <w:widowControl w:val="off"/>
        <w:rPr>
          <w:rFonts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本次项目能耗基准综合参考迈区2025年度电及天然气能耗使用量（见下表1），阅区2025年5月-2026年4月电及天然气能耗使用量（见下表2）</w:t>
      </w: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能源基准单价（保留4位小数）参照依据：电价：迈皋桥院区参考2025年1月至12月平均价格0.7306元/kWh（以电力公司电费核查联，全年总价除以全年总量），阅江楼院区参考2025年5月至2026年4月平均价格0.7263元/kWh（以电力公司电费核查联，全年总价除以全年总量）；天然气价：迈皋桥院区参考2025年1月至12月平均价格4.8453元/m³（以燃气费用支付发票数据进行统计，全年总价除以全年总量）。</w:t>
      </w:r>
      <w:r/>
    </w:p>
    <w:p>
      <w:pPr>
        <w:pStyle w:val="766"/>
        <w:ind w:firstLine="480"/>
        <w:spacing w:after="0" w:line="360" w:lineRule="auto"/>
        <w:widowControl w:val="off"/>
        <w:rPr>
          <w:rFonts w:ascii="宋体" w:hAnsi="宋体" w:eastAsia="宋体" w:cs="宋体"/>
          <w:color w:val="000000" w:themeColor="text1"/>
          <w:sz w:val="24"/>
          <w:szCs w:val="24"/>
          <w:shd w:val="clear" w:color="auto" w:fill="ffffff"/>
          <w14:textFill>
            <w14:solidFill>
              <w14:schemeClr w14:val="tx1"/>
            </w14:solidFill>
          </w14:textFill>
        </w:rPr>
      </w:pPr>
      <w:r>
        <w:rPr>
          <w:rFonts w:ascii="宋体" w:hAnsi="宋体" w:eastAsia="宋体" w:cs="宋体"/>
          <w:color w:val="000000" w:themeColor="text1"/>
          <w:sz w:val="24"/>
          <w:szCs w:val="24"/>
          <w:shd w:val="clear" w:color="auto" w:fill="ffffff"/>
          <w14:textFill>
            <w14:solidFill>
              <w14:schemeClr w14:val="tx1"/>
            </w14:solidFill>
          </w14:textFill>
        </w:rPr>
      </w:r>
      <w:r/>
    </w:p>
    <w:tbl>
      <w:tblPr>
        <w:tblStyle w:val="745"/>
        <w:tblW w:w="9070" w:type="dxa"/>
        <w:tblInd w:w="0" w:type="dxa"/>
        <w:tblLayout w:type="autofit"/>
        <w:tblCellMar>
          <w:left w:w="108" w:type="dxa"/>
          <w:top w:w="0" w:type="dxa"/>
          <w:right w:w="108" w:type="dxa"/>
          <w:bottom w:w="0" w:type="dxa"/>
        </w:tblCellMar>
        <w:tblLook w:val="04A0" w:firstRow="1" w:lastRow="0" w:firstColumn="1" w:lastColumn="0" w:noHBand="0" w:noVBand="1"/>
      </w:tblPr>
      <w:tblGrid>
        <w:gridCol w:w="1337"/>
        <w:gridCol w:w="2046"/>
        <w:gridCol w:w="1903"/>
        <w:gridCol w:w="1888"/>
        <w:gridCol w:w="1896"/>
      </w:tblGrid>
      <w:tr>
        <w:trPr>
          <w:trHeight w:val="270"/>
        </w:trPr>
        <w:tc>
          <w:tcPr>
            <w:gridSpan w:val="5"/>
            <w:shd w:val="clear" w:color="auto" w:fill="auto"/>
            <w:tcBorders>
              <w:top w:val="none" w:color="000000" w:sz="4" w:space="0"/>
              <w:left w:val="none" w:color="000000" w:sz="4" w:space="0"/>
              <w:bottom w:val="single" w:color="000000" w:sz="4" w:space="0"/>
              <w:right w:val="none" w:color="000000" w:sz="4" w:space="0"/>
            </w:tcBorders>
            <w:tcW w:w="9070" w:type="dxa"/>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表1  迈区基准电耗、锅炉气耗数据</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2025年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电耗（kWh）</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电费（元）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气耗（m³）</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气费（元）</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1月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556400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433525.13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57236</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288240.50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2月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509900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375710.48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47463</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232060.85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3月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521200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374500.56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27070</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126010.85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4月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568900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409449.84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4702</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20628.14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5月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649200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456007.51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2192</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9746.95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6月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738100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525921.13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1607</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7053.61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7月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941800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708046.04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1287</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5484.16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8月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933400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705172.50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1146</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5073.23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9月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785900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572789.30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1154</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4961.16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10月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665600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472769.74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2597</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11074.39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11月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550300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394890.27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7567</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35164.61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12月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592100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425306.28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31336</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152606.32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8012800</w:t>
            </w:r>
            <w:r/>
          </w:p>
        </w:tc>
        <w:tc>
          <w:tcPr>
            <w:shd w:val="clear" w:color="auto" w:fill="auto"/>
            <w:tcBorders>
              <w:top w:val="single" w:color="000000" w:sz="4" w:space="0"/>
              <w:left w:val="single" w:color="000000" w:sz="4" w:space="0"/>
              <w:bottom w:val="single" w:color="000000" w:sz="4" w:space="0"/>
              <w:right w:val="single" w:color="000000" w:sz="4" w:space="0"/>
            </w:tcBorders>
            <w:tcW w:w="1903" w:type="dxa"/>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5854088.78 </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185357</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898104.75 </w:t>
            </w:r>
            <w:r/>
          </w:p>
        </w:tc>
      </w:tr>
    </w:tbl>
    <w:p>
      <w:pPr>
        <w:pStyle w:val="766"/>
        <w:jc w:val="center"/>
        <w:spacing w:after="0" w:line="360" w:lineRule="auto"/>
        <w:widowControl w:val="off"/>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r>
      <w:r/>
    </w:p>
    <w:p>
      <w:pPr>
        <w:pStyle w:val="766"/>
        <w:jc w:val="center"/>
        <w:spacing w:after="0" w:line="360" w:lineRule="auto"/>
        <w:widowControl w:val="off"/>
        <w:rPr>
          <w:rFonts w:ascii="宋体" w:hAnsi="宋体" w:eastAsia="宋体" w:cs="宋体"/>
          <w:color w:val="000000" w:themeColor="text1"/>
          <w:sz w:val="22"/>
          <w:szCs w:val="22"/>
          <w:shd w:val="clear" w:color="auto" w:fill="ffffff"/>
          <w14:textFill>
            <w14:solidFill>
              <w14:schemeClr w14:val="tx1"/>
            </w14:solidFill>
          </w14:textFill>
        </w:rPr>
      </w:pPr>
      <w:r>
        <w:rPr>
          <w:rFonts w:hint="eastAsia"/>
          <w:color w:val="000000" w:themeColor="text1"/>
          <w:sz w:val="22"/>
          <w:szCs w:val="22"/>
          <w14:textFill>
            <w14:solidFill>
              <w14:schemeClr w14:val="tx1"/>
            </w14:solidFill>
          </w14:textFill>
        </w:rPr>
        <w:t xml:space="preserve">表2   阅区基准电耗、锅炉气耗数据</w:t>
      </w:r>
      <w:r/>
    </w:p>
    <w:tbl>
      <w:tblPr>
        <w:tblStyle w:val="745"/>
        <w:tblW w:w="9066" w:type="dxa"/>
        <w:tblInd w:w="0" w:type="dxa"/>
        <w:tblLayout w:type="autofit"/>
        <w:tblCellMar>
          <w:left w:w="108" w:type="dxa"/>
          <w:top w:w="0" w:type="dxa"/>
          <w:right w:w="108" w:type="dxa"/>
          <w:bottom w:w="0" w:type="dxa"/>
        </w:tblCellMar>
        <w:tblLook w:val="04A0" w:firstRow="1" w:lastRow="0" w:firstColumn="1" w:lastColumn="0" w:noHBand="0" w:noVBand="1"/>
      </w:tblPr>
      <w:tblGrid>
        <w:gridCol w:w="1989"/>
        <w:gridCol w:w="1925"/>
        <w:gridCol w:w="1649"/>
        <w:gridCol w:w="1653"/>
        <w:gridCol w:w="1850"/>
      </w:tblGrid>
      <w:tr>
        <w:trPr>
          <w:trHeight w:val="285"/>
        </w:trPr>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时间</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电耗（kWh）</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电费（元）</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燃气（m³）</w:t>
            </w:r>
            <w:r/>
          </w:p>
        </w:tc>
        <w:tc>
          <w:tcPr>
            <w:shd w:val="clear" w:color="auto" w:fill="auto"/>
            <w:tcBorders>
              <w:top w:val="single" w:color="000000" w:sz="8" w:space="0"/>
              <w:left w:val="none" w:color="000000" w:sz="4" w:space="0"/>
              <w:bottom w:val="single" w:color="000000" w:sz="8" w:space="0"/>
              <w:right w:val="single" w:color="000000" w:sz="8" w:space="0"/>
            </w:tcBorders>
            <w:tcW w:w="1850" w:type="dxa"/>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燃气费（元）</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2025年5月</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60870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42840.71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5293</w:t>
            </w:r>
            <w:r/>
          </w:p>
        </w:tc>
        <w:tc>
          <w:tcPr>
            <w:shd w:val="clear" w:color="auto" w:fill="auto"/>
            <w:tcBorders>
              <w:top w:val="none" w:color="000000" w:sz="4" w:space="0"/>
              <w:left w:val="none" w:color="000000" w:sz="4" w:space="0"/>
              <w:bottom w:val="single" w:color="000000" w:sz="8" w:space="0"/>
              <w:right w:val="single" w:color="000000" w:sz="8" w:space="0"/>
            </w:tcBorders>
            <w:tcW w:w="1850" w:type="dxa"/>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23535.85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2025年6月</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103484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74685.32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4978</w:t>
            </w:r>
            <w:r/>
          </w:p>
        </w:tc>
        <w:tc>
          <w:tcPr>
            <w:shd w:val="clear" w:color="auto" w:fill="auto"/>
            <w:tcBorders>
              <w:top w:val="none" w:color="000000" w:sz="4" w:space="0"/>
              <w:left w:val="none" w:color="000000" w:sz="4" w:space="0"/>
              <w:bottom w:val="single" w:color="000000" w:sz="8" w:space="0"/>
              <w:right w:val="single" w:color="000000" w:sz="8" w:space="0"/>
            </w:tcBorders>
            <w:tcW w:w="1850" w:type="dxa"/>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21849.93</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2025年7月</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168665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127087.87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4450</w:t>
            </w:r>
            <w:r/>
          </w:p>
        </w:tc>
        <w:tc>
          <w:tcPr>
            <w:shd w:val="clear" w:color="auto" w:fill="auto"/>
            <w:tcBorders>
              <w:top w:val="none" w:color="000000" w:sz="4" w:space="0"/>
              <w:left w:val="none" w:color="000000" w:sz="4" w:space="0"/>
              <w:bottom w:val="single" w:color="000000" w:sz="8" w:space="0"/>
              <w:right w:val="single" w:color="000000" w:sz="8" w:space="0"/>
            </w:tcBorders>
            <w:tcW w:w="1850" w:type="dxa"/>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18962.34</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2025年8月</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176897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132035.9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4368</w:t>
            </w:r>
            <w:r/>
          </w:p>
        </w:tc>
        <w:tc>
          <w:tcPr>
            <w:shd w:val="clear" w:color="auto" w:fill="auto"/>
            <w:tcBorders>
              <w:top w:val="none" w:color="000000" w:sz="4" w:space="0"/>
              <w:left w:val="none" w:color="000000" w:sz="4" w:space="0"/>
              <w:bottom w:val="single" w:color="000000" w:sz="8" w:space="0"/>
              <w:right w:val="single" w:color="000000" w:sz="8" w:space="0"/>
            </w:tcBorders>
            <w:tcW w:w="1850" w:type="dxa"/>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19336.7</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2025年9月</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153699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112464.26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5264</w:t>
            </w:r>
            <w:r/>
          </w:p>
        </w:tc>
        <w:tc>
          <w:tcPr>
            <w:shd w:val="clear" w:color="auto" w:fill="auto"/>
            <w:tcBorders>
              <w:top w:val="none" w:color="000000" w:sz="4" w:space="0"/>
              <w:left w:val="none" w:color="000000" w:sz="4" w:space="0"/>
              <w:bottom w:val="single" w:color="000000" w:sz="8" w:space="0"/>
              <w:right w:val="single" w:color="000000" w:sz="8" w:space="0"/>
            </w:tcBorders>
            <w:tcW w:w="1850" w:type="dxa"/>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22630.46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2025年10月</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85956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61723.56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6133</w:t>
            </w:r>
            <w:r/>
          </w:p>
        </w:tc>
        <w:tc>
          <w:tcPr>
            <w:shd w:val="clear" w:color="auto" w:fill="auto"/>
            <w:tcBorders>
              <w:top w:val="none" w:color="000000" w:sz="4" w:space="0"/>
              <w:left w:val="none" w:color="000000" w:sz="4" w:space="0"/>
              <w:bottom w:val="single" w:color="000000" w:sz="8" w:space="0"/>
              <w:right w:val="single" w:color="000000" w:sz="8" w:space="0"/>
            </w:tcBorders>
            <w:tcW w:w="1850" w:type="dxa"/>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26152.95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2025年11月</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69925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51015.3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13936</w:t>
            </w:r>
            <w:r/>
          </w:p>
        </w:tc>
        <w:tc>
          <w:tcPr>
            <w:shd w:val="clear" w:color="auto" w:fill="auto"/>
            <w:tcBorders>
              <w:top w:val="none" w:color="000000" w:sz="4" w:space="0"/>
              <w:left w:val="none" w:color="000000" w:sz="4" w:space="0"/>
              <w:bottom w:val="single" w:color="000000" w:sz="8" w:space="0"/>
              <w:right w:val="single" w:color="000000" w:sz="8" w:space="0"/>
            </w:tcBorders>
            <w:tcW w:w="1850" w:type="dxa"/>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64761.99</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2025年12月</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87890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65602.11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25002</w:t>
            </w:r>
            <w:r/>
          </w:p>
        </w:tc>
        <w:tc>
          <w:tcPr>
            <w:shd w:val="clear" w:color="auto" w:fill="auto"/>
            <w:tcBorders>
              <w:top w:val="none" w:color="000000" w:sz="4" w:space="0"/>
              <w:left w:val="none" w:color="000000" w:sz="4" w:space="0"/>
              <w:bottom w:val="single" w:color="000000" w:sz="8" w:space="0"/>
              <w:right w:val="single" w:color="000000" w:sz="8" w:space="0"/>
            </w:tcBorders>
            <w:tcW w:w="1850" w:type="dxa"/>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121759.74</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2026年1月</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93572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67763.58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31246</w:t>
            </w:r>
            <w:r/>
          </w:p>
        </w:tc>
        <w:tc>
          <w:tcPr>
            <w:shd w:val="clear" w:color="auto" w:fill="auto"/>
            <w:tcBorders>
              <w:top w:val="none" w:color="000000" w:sz="4" w:space="0"/>
              <w:left w:val="none" w:color="000000" w:sz="4" w:space="0"/>
              <w:bottom w:val="single" w:color="000000" w:sz="8" w:space="0"/>
              <w:right w:val="single" w:color="000000" w:sz="8" w:space="0"/>
            </w:tcBorders>
            <w:tcW w:w="1850" w:type="dxa"/>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150711.96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2026年2月</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64208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43882.33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20126</w:t>
            </w:r>
            <w:r/>
          </w:p>
        </w:tc>
        <w:tc>
          <w:tcPr>
            <w:shd w:val="clear" w:color="auto" w:fill="auto"/>
            <w:tcBorders>
              <w:top w:val="none" w:color="000000" w:sz="4" w:space="0"/>
              <w:left w:val="none" w:color="000000" w:sz="4" w:space="0"/>
              <w:bottom w:val="single" w:color="000000" w:sz="8" w:space="0"/>
              <w:right w:val="single" w:color="000000" w:sz="8" w:space="0"/>
            </w:tcBorders>
            <w:tcW w:w="1850" w:type="dxa"/>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94131.31</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2026年3月</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75129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51259.88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18815</w:t>
            </w:r>
            <w:r/>
          </w:p>
        </w:tc>
        <w:tc>
          <w:tcPr>
            <w:shd w:val="clear" w:color="auto" w:fill="auto"/>
            <w:tcBorders>
              <w:top w:val="none" w:color="000000" w:sz="4" w:space="0"/>
              <w:left w:val="none" w:color="000000" w:sz="4" w:space="0"/>
              <w:bottom w:val="single" w:color="000000" w:sz="8" w:space="0"/>
              <w:right w:val="single" w:color="000000" w:sz="8" w:space="0"/>
            </w:tcBorders>
            <w:tcW w:w="1850" w:type="dxa"/>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84125.62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2026年4月</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57949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39973.52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7801</w:t>
            </w:r>
            <w:r/>
          </w:p>
        </w:tc>
        <w:tc>
          <w:tcPr>
            <w:shd w:val="clear" w:color="auto" w:fill="auto"/>
            <w:tcBorders>
              <w:top w:val="none" w:color="000000" w:sz="4" w:space="0"/>
              <w:left w:val="none" w:color="000000" w:sz="4" w:space="0"/>
              <w:bottom w:val="single" w:color="000000" w:sz="8" w:space="0"/>
              <w:right w:val="single" w:color="000000" w:sz="8" w:space="0"/>
            </w:tcBorders>
            <w:tcW w:w="1850" w:type="dxa"/>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34879.83</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1989" w:type="dxa"/>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合计</w:t>
            </w:r>
            <w:r/>
          </w:p>
        </w:tc>
        <w:tc>
          <w:tcPr>
            <w:shd w:val="clear" w:color="auto" w:fill="auto"/>
            <w:tcBorders>
              <w:top w:val="none" w:color="000000" w:sz="4" w:space="0"/>
              <w:left w:val="none" w:color="000000" w:sz="4" w:space="0"/>
              <w:bottom w:val="single" w:color="000000" w:sz="8" w:space="0"/>
              <w:right w:val="single" w:color="000000" w:sz="8" w:space="0"/>
            </w:tcBorders>
            <w:tcW w:w="1925" w:type="dxa"/>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1198244</w:t>
            </w:r>
            <w:r/>
          </w:p>
        </w:tc>
        <w:tc>
          <w:tcPr>
            <w:shd w:val="clear" w:color="auto" w:fill="auto"/>
            <w:tcBorders>
              <w:top w:val="none" w:color="000000" w:sz="4" w:space="0"/>
              <w:left w:val="none" w:color="000000" w:sz="4" w:space="0"/>
              <w:bottom w:val="single" w:color="000000" w:sz="8" w:space="0"/>
              <w:right w:val="single" w:color="000000" w:sz="8" w:space="0"/>
            </w:tcBorders>
            <w:tcW w:w="1649" w:type="dxa"/>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870334.34</w:t>
            </w:r>
            <w:r/>
          </w:p>
        </w:tc>
        <w:tc>
          <w:tcPr>
            <w:shd w:val="clear" w:color="auto" w:fill="auto"/>
            <w:tcBorders>
              <w:top w:val="none" w:color="000000" w:sz="4" w:space="0"/>
              <w:left w:val="none" w:color="000000" w:sz="4" w:space="0"/>
              <w:bottom w:val="single" w:color="000000" w:sz="8" w:space="0"/>
              <w:right w:val="single" w:color="000000" w:sz="8" w:space="0"/>
            </w:tcBorders>
            <w:tcW w:w="1653" w:type="dxa"/>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147412</w:t>
            </w:r>
            <w:r/>
          </w:p>
        </w:tc>
        <w:tc>
          <w:tcPr>
            <w:shd w:val="clear" w:color="auto" w:fill="auto"/>
            <w:tcBorders>
              <w:top w:val="none" w:color="000000" w:sz="4" w:space="0"/>
              <w:left w:val="none" w:color="000000" w:sz="4" w:space="0"/>
              <w:bottom w:val="single" w:color="000000" w:sz="8" w:space="0"/>
              <w:right w:val="single" w:color="000000" w:sz="8" w:space="0"/>
            </w:tcBorders>
            <w:tcW w:w="1850" w:type="dxa"/>
            <w:vAlign w:val="center"/>
            <w:textDirection w:val="lrTb"/>
            <w:noWrap/>
          </w:tcPr>
          <w:p>
            <w:pPr>
              <w:jc w:val="center"/>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bidi="ar"/>
                <w14:textFill>
                  <w14:solidFill>
                    <w14:schemeClr w14:val="tx1"/>
                  </w14:solidFill>
                </w14:textFill>
              </w:rPr>
              <w:t xml:space="preserve">682838.68</w:t>
            </w:r>
            <w:r/>
          </w:p>
        </w:tc>
      </w:tr>
    </w:tbl>
    <w:p>
      <w:pPr>
        <w:pStyle w:val="828"/>
        <w:ind w:left="0" w:firstLine="482"/>
        <w:jc w:val="both"/>
        <w:spacing w:line="360" w:lineRule="auto"/>
        <w:widowControl w:val="off"/>
        <w:rPr>
          <w:rFonts w:ascii="宋体" w:hAnsi="宋体" w:eastAsia="宋体" w:cs="宋体"/>
          <w:b/>
          <w:bCs/>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2.2 调价机制</w:t>
      </w:r>
      <w:r/>
    </w:p>
    <w:p>
      <w:pPr>
        <w:pStyle w:val="828"/>
        <w:ind w:left="0" w:firstLine="480"/>
        <w:jc w:val="both"/>
        <w:spacing w:line="360" w:lineRule="auto"/>
        <w:widowControl w:val="off"/>
        <w:rPr>
          <w:rFonts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当任何一种基础能源价格相比基准能源单价累计变化（上涨/下降）≥5％时，则当月起收费标准在原价格基础上进行相应调整。能源价格差额部分由甲方承担或享有，能源价格差额=当月实际能耗×（当期能源单价-基准能源单价），计算结果为负数，此差额由甲方享受；计算结果为正数，此差额由甲方承担。注：上涨/下降率以原价格为基础计算,即价格调整包括5%部分；累计上涨/下降率＜5％时收费标准不调整。</w:t>
      </w:r>
      <w:r/>
    </w:p>
    <w:p>
      <w:pPr>
        <w:ind w:right="55" w:firstLine="480"/>
        <w:jc w:val="both"/>
        <w:spacing w:line="360" w:lineRule="auto"/>
        <w:widowControl w:val="off"/>
        <w:rPr>
          <w:rFonts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能源供应范围发生明显变化，或中央空调供应区域供能面积、床位数及维保设备有增加或者减少，则经双方确认后，按照实际面积，床位数，在用风冷热泵、分体空调、多联机数量计算当月维护运行服务费。</w:t>
      </w:r>
      <w:r/>
    </w:p>
    <w:p>
      <w:pPr>
        <w:ind w:right="55" w:firstLine="480"/>
        <w:jc w:val="both"/>
        <w:spacing w:line="360" w:lineRule="auto"/>
        <w:widowControl w:val="off"/>
        <w:rPr>
          <w:rFonts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收费调整时，乙方向甲方出具收费变更书。此变更书在甲方签字确认之后，自动修正原合同相应条款。同时，甲、乙双方应共同对变更书公示。乙方向甲方出具收费变更书之日起10日内，如果甲方不予回应，视为甲方同意此变更。</w:t>
      </w:r>
      <w:r/>
    </w:p>
    <w:p>
      <w:pPr>
        <w:pStyle w:val="828"/>
        <w:ind w:left="0" w:firstLine="482"/>
        <w:jc w:val="both"/>
        <w:spacing w:line="360" w:lineRule="auto"/>
        <w:widowControl w:val="off"/>
        <w:rPr>
          <w:rFonts w:ascii="宋体" w:hAnsi="宋体" w:eastAsia="宋体" w:cs="宋体"/>
          <w:b/>
          <w:bCs/>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2.3 用能设备增减核算（迈皋桥院区）</w:t>
      </w:r>
      <w:r/>
    </w:p>
    <w:p>
      <w:pPr>
        <w:ind w:firstLine="424"/>
        <w:rPr>
          <w:color w:val="000000" w:themeColor="text1"/>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若增加或者减少大功率的用能设备（单个设备功率大于等于5kW），则按照该设备的实际用能情况对能源服务费用进行增加或者减少。</w:t>
      </w:r>
      <w:r/>
    </w:p>
    <w:p>
      <w:pPr>
        <w:pStyle w:val="828"/>
        <w:ind w:left="0" w:firstLine="482"/>
        <w:jc w:val="both"/>
        <w:spacing w:line="360" w:lineRule="auto"/>
        <w:widowControl w:val="off"/>
        <w:rPr>
          <w:rFonts w:ascii="宋体" w:hAnsi="宋体" w:eastAsia="宋体" w:cs="宋体"/>
          <w:b/>
          <w:bCs/>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2.</w:t>
      </w:r>
      <w:r>
        <w:rPr>
          <w:rFonts w:ascii="宋体" w:hAnsi="宋体" w:eastAsia="宋体" w:cs="宋体"/>
          <w:b/>
          <w:bCs/>
          <w:color w:val="000000" w:themeColor="text1"/>
          <w:sz w:val="24"/>
          <w:szCs w:val="24"/>
          <w:shd w:val="clear" w:color="auto" w:fill="ffffff"/>
          <w14:textFill>
            <w14:solidFill>
              <w14:schemeClr w14:val="tx1"/>
            </w14:solidFill>
          </w14:textFill>
        </w:rPr>
        <w:t xml:space="preserve">4</w:t>
      </w: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 迈皋桥院区</w:t>
      </w:r>
      <w:r/>
    </w:p>
    <w:p>
      <w:pPr>
        <w:pStyle w:val="967"/>
        <w:ind w:firstLine="480"/>
        <w:spacing w:line="360" w:lineRule="auto"/>
        <w:rPr>
          <w:rFonts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迈皋桥院区总建筑面积70415.62㎡，2022年9月份启用。制冷机房采用2台1055kW制冷量的磁悬浮主机，2台2110kW制冷量离心机。锅炉房采用5台1400kW制热量燃气冷凝锅炉用于采暖和提供卫热。屋顶太阳能金属热管集热器制取卫热，集热板面积780平方米，燃气锅炉作为卫热补充。采用全院能源总包合同能源管理模式，由中标单位投资对迈皋桥院区进行节能改造，通过中央空调、锅炉房等精细化运维操作实现节能降耗。</w:t>
      </w:r>
      <w:r/>
    </w:p>
    <w:p>
      <w:pPr>
        <w:pStyle w:val="967"/>
        <w:ind w:firstLine="0"/>
        <w:jc w:val="center"/>
        <w:spacing w:line="360" w:lineRule="auto"/>
        <w:rPr>
          <w:rFonts w:ascii="宋体" w:hAnsi="宋体" w:eastAsia="宋体" w:cs="宋体"/>
          <w:b/>
          <w:bCs/>
          <w:color w:val="000000" w:themeColor="text1"/>
          <w:sz w:val="22"/>
          <w:szCs w:val="24"/>
          <w14:textFill>
            <w14:solidFill>
              <w14:schemeClr w14:val="tx1"/>
            </w14:solidFill>
          </w14:textFill>
        </w:rPr>
      </w:pPr>
      <w:r>
        <w:rPr>
          <w:rFonts w:hint="eastAsia" w:ascii="宋体" w:hAnsi="宋体" w:eastAsia="宋体" w:cs="宋体"/>
          <w:b/>
          <w:bCs/>
          <w:color w:val="000000" w:themeColor="text1"/>
          <w:sz w:val="22"/>
          <w:szCs w:val="24"/>
          <w14:textFill>
            <w14:solidFill>
              <w14:schemeClr w14:val="tx1"/>
            </w14:solidFill>
          </w14:textFill>
        </w:rPr>
        <w:t xml:space="preserve">迈皋桥院区机房核心设备清单</w:t>
      </w:r>
      <w:r/>
    </w:p>
    <w:tbl>
      <w:tblPr>
        <w:tblStyle w:val="776"/>
        <w:tblW w:w="89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03"/>
        <w:gridCol w:w="1347"/>
        <w:gridCol w:w="4133"/>
        <w:gridCol w:w="1275"/>
      </w:tblGrid>
      <w:tr>
        <w:trPr>
          <w:jc w:val="center"/>
          <w:trHeight w:val="139"/>
        </w:trPr>
        <w:tc>
          <w:tcPr>
            <w:tcW w:w="2203" w:type="dxa"/>
            <w:vAlign w:val="center"/>
            <w:textDirection w:val="lrTb"/>
            <w:noWrap w:val="false"/>
          </w:tcPr>
          <w:p>
            <w:pPr>
              <w:jc w:val="center"/>
              <w:spacing w:line="360" w:lineRule="auto"/>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设备名称</w:t>
            </w:r>
            <w:r/>
          </w:p>
        </w:tc>
        <w:tc>
          <w:tcPr>
            <w:tcW w:w="1347" w:type="dxa"/>
            <w:vAlign w:val="center"/>
            <w:textDirection w:val="lrTb"/>
            <w:noWrap w:val="false"/>
          </w:tcPr>
          <w:p>
            <w:pPr>
              <w:jc w:val="center"/>
              <w:spacing w:line="360" w:lineRule="auto"/>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型号</w:t>
            </w:r>
            <w:r/>
          </w:p>
        </w:tc>
        <w:tc>
          <w:tcPr>
            <w:tcW w:w="4133" w:type="dxa"/>
            <w:vAlign w:val="center"/>
            <w:textDirection w:val="lrTb"/>
            <w:noWrap w:val="false"/>
          </w:tcPr>
          <w:p>
            <w:pPr>
              <w:jc w:val="center"/>
              <w:spacing w:line="360" w:lineRule="auto"/>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参数</w:t>
            </w:r>
            <w:r/>
          </w:p>
        </w:tc>
        <w:tc>
          <w:tcPr>
            <w:tcW w:w="1275" w:type="dxa"/>
            <w:vAlign w:val="center"/>
            <w:textDirection w:val="lrTb"/>
            <w:noWrap w:val="false"/>
          </w:tcPr>
          <w:p>
            <w:pPr>
              <w:jc w:val="center"/>
              <w:spacing w:line="360" w:lineRule="auto"/>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数量</w:t>
            </w:r>
            <w:r/>
          </w:p>
        </w:tc>
      </w:tr>
      <w:tr>
        <w:trPr>
          <w:jc w:val="center"/>
          <w:trHeight w:val="139"/>
        </w:trPr>
        <w:tc>
          <w:tcPr>
            <w:tcW w:w="2203"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离心式冷水机组</w:t>
            </w:r>
            <w:r/>
          </w:p>
        </w:tc>
        <w:tc>
          <w:tcPr>
            <w:tcW w:w="1347"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天加</w:t>
            </w:r>
            <w:r/>
          </w:p>
        </w:tc>
        <w:tc>
          <w:tcPr>
            <w:tcW w:w="4133"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制冷量：2100kW</w:t>
            </w:r>
            <w:r/>
          </w:p>
        </w:tc>
        <w:tc>
          <w:tcPr>
            <w:tcW w:w="1275"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r>
      <w:tr>
        <w:trPr>
          <w:jc w:val="center"/>
          <w:trHeight w:val="139"/>
        </w:trPr>
        <w:tc>
          <w:tcPr>
            <w:tcW w:w="2203"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离心式冷水机组</w:t>
            </w:r>
            <w:r/>
          </w:p>
        </w:tc>
        <w:tc>
          <w:tcPr>
            <w:tcW w:w="1347"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广州思茂特</w:t>
            </w:r>
            <w:r/>
          </w:p>
        </w:tc>
        <w:tc>
          <w:tcPr>
            <w:tcW w:w="4133"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制冷量：1055kW</w:t>
            </w:r>
            <w:r/>
          </w:p>
        </w:tc>
        <w:tc>
          <w:tcPr>
            <w:tcW w:w="1275"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r>
      <w:tr>
        <w:trPr>
          <w:jc w:val="center"/>
          <w:trHeight w:val="139"/>
        </w:trPr>
        <w:tc>
          <w:tcPr>
            <w:tcW w:w="2203"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燃气冷凝锅炉</w:t>
            </w:r>
            <w:r/>
          </w:p>
        </w:tc>
        <w:tc>
          <w:tcPr>
            <w:tcW w:w="1347"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Remeha B.V</w:t>
            </w:r>
            <w:r/>
          </w:p>
        </w:tc>
        <w:tc>
          <w:tcPr>
            <w:tcW w:w="4133"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制热量：1400kW</w:t>
            </w:r>
            <w:r/>
          </w:p>
        </w:tc>
        <w:tc>
          <w:tcPr>
            <w:tcW w:w="1275"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r>
      <w:tr>
        <w:trPr>
          <w:jc w:val="center"/>
          <w:trHeight w:val="139"/>
        </w:trPr>
        <w:tc>
          <w:tcPr>
            <w:tcW w:w="2203"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冷却塔</w:t>
            </w:r>
            <w:r/>
          </w:p>
        </w:tc>
        <w:tc>
          <w:tcPr>
            <w:tcW w:w="1347"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江苏意塔</w:t>
            </w:r>
            <w:r/>
          </w:p>
        </w:tc>
        <w:tc>
          <w:tcPr>
            <w:tcW w:w="4133"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冷却水流量520 m³/h，22kW</w:t>
            </w:r>
            <w:r/>
          </w:p>
        </w:tc>
        <w:tc>
          <w:tcPr>
            <w:tcW w:w="1275"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r>
      <w:tr>
        <w:trPr>
          <w:jc w:val="center"/>
          <w:trHeight w:val="139"/>
        </w:trPr>
        <w:tc>
          <w:tcPr>
            <w:tcW w:w="2203"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冷却水泵</w:t>
            </w:r>
            <w:r/>
          </w:p>
        </w:tc>
        <w:tc>
          <w:tcPr>
            <w:tcW w:w="1347"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威乐</w:t>
            </w:r>
            <w:r/>
          </w:p>
        </w:tc>
        <w:tc>
          <w:tcPr>
            <w:tcW w:w="4133"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流量550m³/h，扬程28m，功率55kW</w:t>
            </w:r>
            <w:r/>
          </w:p>
        </w:tc>
        <w:tc>
          <w:tcPr>
            <w:tcW w:w="1275"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r>
      <w:tr>
        <w:trPr>
          <w:jc w:val="center"/>
          <w:trHeight w:val="139"/>
        </w:trPr>
        <w:tc>
          <w:tcPr>
            <w:shd w:val="clear" w:color="auto" w:fill="auto"/>
            <w:tcW w:w="2203"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冷却水泵</w:t>
            </w:r>
            <w:r/>
          </w:p>
        </w:tc>
        <w:tc>
          <w:tcPr>
            <w:shd w:val="clear" w:color="auto" w:fill="auto"/>
            <w:tcW w:w="1347"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威乐</w:t>
            </w:r>
            <w:r/>
          </w:p>
        </w:tc>
        <w:tc>
          <w:tcPr>
            <w:shd w:val="clear" w:color="auto" w:fill="auto"/>
            <w:tcW w:w="4133"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流量270m³/h，扬程28m，功率30kW</w:t>
            </w:r>
            <w:r/>
          </w:p>
        </w:tc>
        <w:tc>
          <w:tcPr>
            <w:shd w:val="clear" w:color="auto" w:fill="auto"/>
            <w:tcW w:w="1275"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r>
      <w:tr>
        <w:trPr>
          <w:jc w:val="center"/>
          <w:trHeight w:val="139"/>
        </w:trPr>
        <w:tc>
          <w:tcPr>
            <w:shd w:val="clear" w:color="auto" w:fill="auto"/>
            <w:tcW w:w="2203"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冷冻水泵</w:t>
            </w:r>
            <w:r/>
          </w:p>
        </w:tc>
        <w:tc>
          <w:tcPr>
            <w:shd w:val="clear" w:color="auto" w:fill="auto"/>
            <w:tcW w:w="1347"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威乐</w:t>
            </w:r>
            <w:r/>
          </w:p>
        </w:tc>
        <w:tc>
          <w:tcPr>
            <w:shd w:val="clear" w:color="auto" w:fill="auto"/>
            <w:tcW w:w="4133"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流量220m³/h，扬程34.5m，功率30kW</w:t>
            </w:r>
            <w:r/>
          </w:p>
        </w:tc>
        <w:tc>
          <w:tcPr>
            <w:shd w:val="clear" w:color="auto" w:fill="auto"/>
            <w:tcW w:w="1275"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r>
      <w:tr>
        <w:trPr>
          <w:jc w:val="center"/>
          <w:trHeight w:val="139"/>
        </w:trPr>
        <w:tc>
          <w:tcPr>
            <w:shd w:val="clear" w:color="auto" w:fill="auto"/>
            <w:tcW w:w="2203"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冷冻水泵</w:t>
            </w:r>
            <w:r/>
          </w:p>
        </w:tc>
        <w:tc>
          <w:tcPr>
            <w:shd w:val="clear" w:color="auto" w:fill="auto"/>
            <w:tcW w:w="1347"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威乐</w:t>
            </w:r>
            <w:r/>
          </w:p>
        </w:tc>
        <w:tc>
          <w:tcPr>
            <w:shd w:val="clear" w:color="auto" w:fill="auto"/>
            <w:tcW w:w="4133"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流量440m³/h，扬程34.5m，功率75kW</w:t>
            </w:r>
            <w:r/>
          </w:p>
        </w:tc>
        <w:tc>
          <w:tcPr>
            <w:shd w:val="clear" w:color="auto" w:fill="auto"/>
            <w:tcW w:w="1275"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r>
      <w:tr>
        <w:trPr>
          <w:jc w:val="center"/>
          <w:trHeight w:val="139"/>
        </w:trPr>
        <w:tc>
          <w:tcPr>
            <w:shd w:val="clear" w:color="auto" w:fill="auto"/>
            <w:tcW w:w="2203"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采暖一次泵</w:t>
            </w:r>
            <w:r/>
          </w:p>
        </w:tc>
        <w:tc>
          <w:tcPr>
            <w:shd w:val="clear" w:color="auto" w:fill="auto"/>
            <w:tcW w:w="1347"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威乐</w:t>
            </w:r>
            <w:r/>
          </w:p>
        </w:tc>
        <w:tc>
          <w:tcPr>
            <w:shd w:val="clear" w:color="auto" w:fill="auto"/>
            <w:tcW w:w="4133"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流量150m³/h，扬程15m，功率11kW</w:t>
            </w:r>
            <w:r/>
          </w:p>
        </w:tc>
        <w:tc>
          <w:tcPr>
            <w:shd w:val="clear" w:color="auto" w:fill="auto"/>
            <w:tcW w:w="1275"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r>
      <w:tr>
        <w:trPr>
          <w:jc w:val="center"/>
          <w:trHeight w:val="139"/>
        </w:trPr>
        <w:tc>
          <w:tcPr>
            <w:shd w:val="clear" w:color="auto" w:fill="auto"/>
            <w:tcW w:w="2203"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采暖二次泵</w:t>
            </w:r>
            <w:r/>
          </w:p>
        </w:tc>
        <w:tc>
          <w:tcPr>
            <w:shd w:val="clear" w:color="auto" w:fill="auto"/>
            <w:tcW w:w="1347"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威乐</w:t>
            </w:r>
            <w:r/>
          </w:p>
        </w:tc>
        <w:tc>
          <w:tcPr>
            <w:shd w:val="clear" w:color="auto" w:fill="auto"/>
            <w:tcW w:w="4133"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流量400m³/h，扬程27m，功率45kW</w:t>
            </w:r>
            <w:r/>
          </w:p>
        </w:tc>
        <w:tc>
          <w:tcPr>
            <w:shd w:val="clear" w:color="auto" w:fill="auto"/>
            <w:tcW w:w="1275"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r>
      <w:tr>
        <w:trPr>
          <w:jc w:val="center"/>
          <w:trHeight w:val="139"/>
        </w:trPr>
        <w:tc>
          <w:tcPr>
            <w:shd w:val="clear" w:color="auto" w:fill="auto"/>
            <w:tcW w:w="2203"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卫热一次循环泵</w:t>
            </w:r>
            <w:r/>
          </w:p>
        </w:tc>
        <w:tc>
          <w:tcPr>
            <w:shd w:val="clear" w:color="auto" w:fill="auto"/>
            <w:tcW w:w="1347"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凯泉</w:t>
            </w:r>
            <w:r/>
          </w:p>
        </w:tc>
        <w:tc>
          <w:tcPr>
            <w:shd w:val="clear" w:color="auto" w:fill="auto"/>
            <w:tcW w:w="4133"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流量85m³/h，扬程16m，功率5.5kW</w:t>
            </w:r>
            <w:r/>
          </w:p>
        </w:tc>
        <w:tc>
          <w:tcPr>
            <w:shd w:val="clear" w:color="auto" w:fill="auto"/>
            <w:tcW w:w="1275"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r>
      <w:tr>
        <w:trPr>
          <w:jc w:val="center"/>
          <w:trHeight w:val="139"/>
        </w:trPr>
        <w:tc>
          <w:tcPr>
            <w:shd w:val="clear" w:color="auto" w:fill="auto"/>
            <w:tcW w:w="2203"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空调补水泵</w:t>
            </w:r>
            <w:r/>
          </w:p>
        </w:tc>
        <w:tc>
          <w:tcPr>
            <w:shd w:val="clear" w:color="auto" w:fill="auto"/>
            <w:tcW w:w="1347"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南方</w:t>
            </w:r>
            <w:r/>
          </w:p>
        </w:tc>
        <w:tc>
          <w:tcPr>
            <w:shd w:val="clear" w:color="auto" w:fill="auto"/>
            <w:tcW w:w="4133"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流量3m³/h，扬程47m，功率0.75kW</w:t>
            </w:r>
            <w:r/>
          </w:p>
        </w:tc>
        <w:tc>
          <w:tcPr>
            <w:shd w:val="clear" w:color="auto" w:fill="auto"/>
            <w:tcW w:w="1275"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r>
      <w:tr>
        <w:trPr>
          <w:jc w:val="center"/>
          <w:trHeight w:val="139"/>
        </w:trPr>
        <w:tc>
          <w:tcPr>
            <w:shd w:val="clear" w:color="auto" w:fill="auto"/>
            <w:tcW w:w="2203"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空调补水泵</w:t>
            </w:r>
            <w:r/>
          </w:p>
        </w:tc>
        <w:tc>
          <w:tcPr>
            <w:shd w:val="clear" w:color="auto" w:fill="auto"/>
            <w:tcW w:w="1347"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南方</w:t>
            </w:r>
            <w:r/>
          </w:p>
        </w:tc>
        <w:tc>
          <w:tcPr>
            <w:shd w:val="clear" w:color="auto" w:fill="auto"/>
            <w:tcW w:w="4133"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流量10m³/h，扬程62m，功率3kW</w:t>
            </w:r>
            <w:r/>
          </w:p>
        </w:tc>
        <w:tc>
          <w:tcPr>
            <w:shd w:val="clear" w:color="auto" w:fill="auto"/>
            <w:tcW w:w="1275"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r>
      <w:tr>
        <w:trPr>
          <w:jc w:val="center"/>
          <w:trHeight w:val="139"/>
        </w:trPr>
        <w:tc>
          <w:tcPr>
            <w:shd w:val="clear" w:color="auto" w:fill="auto"/>
            <w:tcW w:w="2203"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北区太阳能循环水泵</w:t>
            </w:r>
            <w:r/>
          </w:p>
        </w:tc>
        <w:tc>
          <w:tcPr>
            <w:shd w:val="clear" w:color="auto" w:fill="auto"/>
            <w:tcW w:w="1347"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威乐</w:t>
            </w:r>
            <w:r/>
          </w:p>
        </w:tc>
        <w:tc>
          <w:tcPr>
            <w:shd w:val="clear" w:color="auto" w:fill="auto"/>
            <w:tcW w:w="4133"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流量28m³/h，扬程23.9m，功率3kW</w:t>
            </w:r>
            <w:r/>
          </w:p>
        </w:tc>
        <w:tc>
          <w:tcPr>
            <w:shd w:val="clear" w:color="auto" w:fill="auto"/>
            <w:tcW w:w="1275"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r>
      <w:tr>
        <w:trPr>
          <w:jc w:val="center"/>
          <w:trHeight w:val="139"/>
        </w:trPr>
        <w:tc>
          <w:tcPr>
            <w:shd w:val="clear" w:color="auto" w:fill="auto"/>
            <w:tcW w:w="2203"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高区太阳能增压泵</w:t>
            </w:r>
            <w:r/>
          </w:p>
        </w:tc>
        <w:tc>
          <w:tcPr>
            <w:shd w:val="clear" w:color="auto" w:fill="auto"/>
            <w:tcW w:w="1347"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威乐</w:t>
            </w:r>
            <w:r/>
          </w:p>
        </w:tc>
        <w:tc>
          <w:tcPr>
            <w:shd w:val="clear" w:color="auto" w:fill="auto"/>
            <w:tcW w:w="4133"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流量28m³/h，扬程23.9m，功率3kW</w:t>
            </w:r>
            <w:r/>
          </w:p>
        </w:tc>
        <w:tc>
          <w:tcPr>
            <w:shd w:val="clear" w:color="auto" w:fill="auto"/>
            <w:tcW w:w="1275"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r>
      <w:tr>
        <w:trPr>
          <w:jc w:val="center"/>
          <w:trHeight w:val="139"/>
        </w:trPr>
        <w:tc>
          <w:tcPr>
            <w:shd w:val="clear" w:color="auto" w:fill="auto"/>
            <w:tcW w:w="2203"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低区太阳能增压泵</w:t>
            </w:r>
            <w:r/>
          </w:p>
        </w:tc>
        <w:tc>
          <w:tcPr>
            <w:shd w:val="clear" w:color="auto" w:fill="auto"/>
            <w:tcW w:w="1347"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威乐</w:t>
            </w:r>
            <w:r/>
          </w:p>
        </w:tc>
        <w:tc>
          <w:tcPr>
            <w:shd w:val="clear" w:color="auto" w:fill="auto"/>
            <w:tcW w:w="4133"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流量21.5m³/h，扬程15m，功率1.5kW</w:t>
            </w:r>
            <w:r/>
          </w:p>
        </w:tc>
        <w:tc>
          <w:tcPr>
            <w:shd w:val="clear" w:color="auto" w:fill="auto"/>
            <w:tcW w:w="1275"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r>
      <w:tr>
        <w:trPr>
          <w:jc w:val="center"/>
          <w:trHeight w:val="90"/>
        </w:trPr>
        <w:tc>
          <w:tcPr>
            <w:shd w:val="clear" w:color="auto" w:fill="auto"/>
            <w:tcW w:w="2203"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东区太阳能循环水泵</w:t>
            </w:r>
            <w:r/>
          </w:p>
        </w:tc>
        <w:tc>
          <w:tcPr>
            <w:shd w:val="clear" w:color="auto" w:fill="auto"/>
            <w:tcW w:w="1347"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威乐</w:t>
            </w:r>
            <w:r/>
          </w:p>
        </w:tc>
        <w:tc>
          <w:tcPr>
            <w:shd w:val="clear" w:color="auto" w:fill="auto"/>
            <w:tcW w:w="4133"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功率1.5kW，电流3.32A</w:t>
            </w:r>
            <w:r/>
          </w:p>
        </w:tc>
        <w:tc>
          <w:tcPr>
            <w:shd w:val="clear" w:color="auto" w:fill="auto"/>
            <w:tcW w:w="1275"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r>
      <w:tr>
        <w:trPr>
          <w:jc w:val="center"/>
          <w:trHeight w:val="90"/>
        </w:trPr>
        <w:tc>
          <w:tcPr>
            <w:shd w:val="clear" w:color="auto" w:fill="auto"/>
            <w:tcW w:w="2203"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卫热二次循环泵</w:t>
            </w:r>
            <w:r/>
          </w:p>
        </w:tc>
        <w:tc>
          <w:tcPr>
            <w:shd w:val="clear" w:color="auto" w:fill="auto"/>
            <w:tcW w:w="1347"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赛莱默</w:t>
            </w:r>
            <w:r/>
          </w:p>
        </w:tc>
        <w:tc>
          <w:tcPr>
            <w:shd w:val="clear" w:color="auto" w:fill="auto"/>
            <w:tcW w:w="4133"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扬程8.6—21.2m，流量1.2—4.4m³/h，功率0.37kW</w:t>
            </w:r>
            <w:r/>
          </w:p>
        </w:tc>
        <w:tc>
          <w:tcPr>
            <w:shd w:val="clear" w:color="auto" w:fill="auto"/>
            <w:tcW w:w="1275"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16</w:t>
            </w:r>
            <w:r/>
          </w:p>
        </w:tc>
      </w:tr>
    </w:tbl>
    <w:p>
      <w:pPr>
        <w:pStyle w:val="828"/>
        <w:ind w:left="0" w:firstLine="482"/>
        <w:jc w:val="both"/>
        <w:spacing w:line="360" w:lineRule="auto"/>
        <w:widowControl w:val="off"/>
        <w:rPr>
          <w:rFonts w:ascii="宋体" w:hAnsi="宋体" w:eastAsia="宋体" w:cs="宋体"/>
          <w:b/>
          <w:bCs/>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2.</w:t>
      </w:r>
      <w:r>
        <w:rPr>
          <w:rFonts w:ascii="宋体" w:hAnsi="宋体" w:eastAsia="宋体" w:cs="宋体"/>
          <w:b/>
          <w:bCs/>
          <w:color w:val="000000" w:themeColor="text1"/>
          <w:sz w:val="24"/>
          <w:szCs w:val="24"/>
          <w:shd w:val="clear" w:color="auto" w:fill="ffffff"/>
          <w14:textFill>
            <w14:solidFill>
              <w14:schemeClr w14:val="tx1"/>
            </w14:solidFill>
          </w14:textFill>
        </w:rPr>
        <w:t xml:space="preserve">5</w:t>
      </w: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 阅江楼院区</w:t>
      </w:r>
      <w:r/>
    </w:p>
    <w:p>
      <w:pPr>
        <w:pStyle w:val="967"/>
        <w:ind w:firstLine="480"/>
        <w:spacing w:before="120" w:line="360" w:lineRule="auto"/>
        <w:rPr>
          <w:rFonts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阅江楼院区，位于南京市鼓楼区建宁路200号，总占地面积15797.51㎡，共10栋房屋，总建筑面积29016.18㎡</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院区8号楼目前主要功能为学生宿舍、多媒体教室，使用面积11000㎡，配置有中央空调系统，采暖和卫热由锅炉房2台2t燃气蒸汽压力锅炉（出厂日期2011年）及热水机房2台换热包供应，制冷由2台制冷量250冷吨的特灵冷水机组（出厂日期2003年）供应，8号楼共有约370台风机盘管。由于蒸汽锅炉和冷水机组老旧，效率低、浪费大，采用中央空调及热水能源总包合同能源管理模式，通过风冷热泵+空气源热泵对其进行替换改造。并对姜家园121号供暖机房2号楼负一楼供暖系统实施改造，该院区日常能源运维、能耗托管不纳入本次服务范围。</w:t>
      </w:r>
      <w:r/>
    </w:p>
    <w:p>
      <w:pPr>
        <w:pStyle w:val="966"/>
        <w:spacing w:line="360" w:lineRule="auto"/>
        <w:rPr>
          <w:rFonts w:ascii="宋体" w:hAnsi="宋体" w:eastAsia="宋体"/>
          <w:b/>
          <w:bCs/>
          <w:color w:val="000000" w:themeColor="text1"/>
          <w:sz w:val="24"/>
          <w:szCs w:val="24"/>
          <w14:textFill>
            <w14:solidFill>
              <w14:schemeClr w14:val="tx1"/>
            </w14:solidFill>
          </w14:textFill>
        </w:rPr>
        <w:outlineLvl w:val="9"/>
      </w:pPr>
      <w:r>
        <w:rPr>
          <w:rFonts w:hint="eastAsia" w:ascii="宋体" w:hAnsi="宋体" w:eastAsia="宋体"/>
          <w:b/>
          <w:bCs/>
          <w:color w:val="000000" w:themeColor="text1"/>
          <w:sz w:val="24"/>
          <w:szCs w:val="24"/>
          <w14:textFill>
            <w14:solidFill>
              <w14:schemeClr w14:val="tx1"/>
            </w14:solidFill>
          </w14:textFill>
        </w:rPr>
        <w:t xml:space="preserve">阅江楼院区锅炉房设备</w:t>
      </w:r>
      <w:r/>
    </w:p>
    <w:tbl>
      <w:tblPr>
        <w:tblStyle w:val="745"/>
        <w:tblW w:w="8982" w:type="dxa"/>
        <w:jc w:val="center"/>
        <w:tblLayout w:type="fixed"/>
        <w:tblCellMar>
          <w:left w:w="108" w:type="dxa"/>
          <w:top w:w="0" w:type="dxa"/>
          <w:right w:w="108" w:type="dxa"/>
          <w:bottom w:w="0" w:type="dxa"/>
        </w:tblCellMar>
        <w:tblLook w:val="04A0" w:firstRow="1" w:lastRow="0" w:firstColumn="1" w:lastColumn="0" w:noHBand="0" w:noVBand="1"/>
      </w:tblPr>
      <w:tblGrid>
        <w:gridCol w:w="3806"/>
        <w:gridCol w:w="5176"/>
      </w:tblGrid>
      <w:tr>
        <w:trPr>
          <w:jc w:val="center"/>
          <w:trHeight w:val="469"/>
        </w:trPr>
        <w:tc>
          <w:tcPr>
            <w:shd w:val="clear" w:color="auto" w:fill="auto"/>
            <w:tcBorders>
              <w:top w:val="single" w:color="000000" w:sz="4" w:space="0"/>
              <w:left w:val="single" w:color="000000" w:sz="4" w:space="0"/>
              <w:bottom w:val="single" w:color="000000" w:sz="4" w:space="0"/>
              <w:right w:val="single" w:color="000000" w:sz="4" w:space="0"/>
            </w:tcBorders>
            <w:tcW w:w="3806" w:type="dxa"/>
            <w:vAlign w:val="center"/>
            <w:textDirection w:val="lrTb"/>
            <w:noWrap/>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5176" w:type="dxa"/>
            <w:vAlign w:val="center"/>
            <w:textDirection w:val="lrTb"/>
            <w:noWrap/>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蒸汽锅炉</w:t>
            </w:r>
            <w:r/>
          </w:p>
        </w:tc>
      </w:tr>
      <w:tr>
        <w:trPr>
          <w:jc w:val="center"/>
          <w:trHeight w:val="469"/>
        </w:trPr>
        <w:tc>
          <w:tcPr>
            <w:shd w:val="clear" w:color="auto" w:fill="auto"/>
            <w:tcBorders>
              <w:top w:val="single" w:color="000000" w:sz="4" w:space="0"/>
              <w:left w:val="single" w:color="000000" w:sz="4" w:space="0"/>
              <w:bottom w:val="single" w:color="000000" w:sz="4" w:space="0"/>
              <w:right w:val="single" w:color="000000" w:sz="4" w:space="0"/>
            </w:tcBorders>
            <w:tcW w:w="3806" w:type="dxa"/>
            <w:vAlign w:val="center"/>
            <w:textDirection w:val="lrTb"/>
            <w:noWrap/>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台数</w:t>
            </w:r>
            <w:r/>
          </w:p>
        </w:tc>
        <w:tc>
          <w:tcPr>
            <w:shd w:val="clear" w:color="auto" w:fill="auto"/>
            <w:tcBorders>
              <w:top w:val="single" w:color="000000" w:sz="4" w:space="0"/>
              <w:left w:val="single" w:color="000000" w:sz="4" w:space="0"/>
              <w:bottom w:val="single" w:color="000000" w:sz="4" w:space="0"/>
              <w:right w:val="single" w:color="000000" w:sz="4" w:space="0"/>
            </w:tcBorders>
            <w:tcW w:w="5176" w:type="dxa"/>
            <w:vAlign w:val="center"/>
            <w:textDirection w:val="lrTb"/>
            <w:noWrap/>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2</w:t>
            </w:r>
            <w:r/>
          </w:p>
        </w:tc>
      </w:tr>
      <w:tr>
        <w:trPr>
          <w:jc w:val="center"/>
          <w:trHeight w:val="469"/>
        </w:trPr>
        <w:tc>
          <w:tcPr>
            <w:shd w:val="clear" w:color="auto" w:fill="auto"/>
            <w:tcBorders>
              <w:top w:val="single" w:color="000000" w:sz="4" w:space="0"/>
              <w:left w:val="single" w:color="000000" w:sz="4" w:space="0"/>
              <w:bottom w:val="single" w:color="000000" w:sz="4" w:space="0"/>
              <w:right w:val="single" w:color="000000" w:sz="4" w:space="0"/>
            </w:tcBorders>
            <w:tcW w:w="3806" w:type="dxa"/>
            <w:vAlign w:val="center"/>
            <w:textDirection w:val="lrTb"/>
            <w:noWrap/>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5176" w:type="dxa"/>
            <w:vAlign w:val="center"/>
            <w:textDirection w:val="lrTb"/>
            <w:noWrap/>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WNS2-1.0-Y.0</w:t>
            </w:r>
            <w:r/>
          </w:p>
        </w:tc>
      </w:tr>
      <w:tr>
        <w:trPr>
          <w:jc w:val="center"/>
          <w:trHeight w:val="469"/>
        </w:trPr>
        <w:tc>
          <w:tcPr>
            <w:shd w:val="clear" w:color="auto" w:fill="auto"/>
            <w:tcBorders>
              <w:top w:val="single" w:color="000000" w:sz="4" w:space="0"/>
              <w:left w:val="single" w:color="000000" w:sz="4" w:space="0"/>
              <w:bottom w:val="single" w:color="000000" w:sz="4" w:space="0"/>
              <w:right w:val="single" w:color="000000" w:sz="4" w:space="0"/>
            </w:tcBorders>
            <w:tcW w:w="3806" w:type="dxa"/>
            <w:vAlign w:val="center"/>
            <w:textDirection w:val="lrTb"/>
            <w:noWrap/>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5176" w:type="dxa"/>
            <w:vAlign w:val="center"/>
            <w:textDirection w:val="lrTb"/>
            <w:noWrap/>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22249</w:t>
            </w:r>
            <w:r/>
          </w:p>
        </w:tc>
      </w:tr>
      <w:tr>
        <w:trPr>
          <w:jc w:val="center"/>
          <w:trHeight w:val="469"/>
        </w:trPr>
        <w:tc>
          <w:tcPr>
            <w:shd w:val="clear" w:color="auto" w:fill="auto"/>
            <w:tcBorders>
              <w:top w:val="single" w:color="000000" w:sz="4" w:space="0"/>
              <w:left w:val="single" w:color="000000" w:sz="4" w:space="0"/>
              <w:bottom w:val="single" w:color="000000" w:sz="4" w:space="0"/>
              <w:right w:val="single" w:color="000000" w:sz="4" w:space="0"/>
            </w:tcBorders>
            <w:tcW w:w="3806" w:type="dxa"/>
            <w:vAlign w:val="center"/>
            <w:textDirection w:val="lrTb"/>
            <w:noWrap/>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额定蒸发量</w:t>
            </w:r>
            <w:r/>
          </w:p>
        </w:tc>
        <w:tc>
          <w:tcPr>
            <w:shd w:val="clear" w:color="auto" w:fill="auto"/>
            <w:tcBorders>
              <w:top w:val="single" w:color="000000" w:sz="4" w:space="0"/>
              <w:left w:val="single" w:color="000000" w:sz="4" w:space="0"/>
              <w:bottom w:val="single" w:color="000000" w:sz="4" w:space="0"/>
              <w:right w:val="single" w:color="000000" w:sz="4" w:space="0"/>
            </w:tcBorders>
            <w:tcW w:w="5176" w:type="dxa"/>
            <w:vAlign w:val="center"/>
            <w:textDirection w:val="lrTb"/>
            <w:noWrap/>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2t/h</w:t>
            </w:r>
            <w:r/>
          </w:p>
        </w:tc>
      </w:tr>
      <w:tr>
        <w:trPr>
          <w:jc w:val="center"/>
          <w:trHeight w:val="469"/>
        </w:trPr>
        <w:tc>
          <w:tcPr>
            <w:shd w:val="clear" w:color="auto" w:fill="auto"/>
            <w:tcBorders>
              <w:top w:val="single" w:color="000000" w:sz="4" w:space="0"/>
              <w:left w:val="single" w:color="000000" w:sz="4" w:space="0"/>
              <w:bottom w:val="single" w:color="000000" w:sz="4" w:space="0"/>
              <w:right w:val="single" w:color="000000" w:sz="4" w:space="0"/>
            </w:tcBorders>
            <w:tcW w:w="3806" w:type="dxa"/>
            <w:vAlign w:val="center"/>
            <w:textDirection w:val="lrTb"/>
            <w:noWrap/>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额定蒸发温度</w:t>
            </w:r>
            <w:r/>
          </w:p>
        </w:tc>
        <w:tc>
          <w:tcPr>
            <w:shd w:val="clear" w:color="auto" w:fill="auto"/>
            <w:tcBorders>
              <w:top w:val="single" w:color="000000" w:sz="4" w:space="0"/>
              <w:left w:val="single" w:color="000000" w:sz="4" w:space="0"/>
              <w:bottom w:val="single" w:color="000000" w:sz="4" w:space="0"/>
              <w:right w:val="single" w:color="000000" w:sz="4" w:space="0"/>
            </w:tcBorders>
            <w:tcW w:w="5176" w:type="dxa"/>
            <w:vAlign w:val="center"/>
            <w:textDirection w:val="lrTb"/>
            <w:noWrap/>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184℃</w:t>
            </w:r>
            <w:r/>
          </w:p>
        </w:tc>
      </w:tr>
      <w:tr>
        <w:trPr>
          <w:jc w:val="center"/>
          <w:trHeight w:val="469"/>
        </w:trPr>
        <w:tc>
          <w:tcPr>
            <w:shd w:val="clear" w:color="auto" w:fill="auto"/>
            <w:tcBorders>
              <w:top w:val="single" w:color="000000" w:sz="4" w:space="0"/>
              <w:left w:val="single" w:color="000000" w:sz="4" w:space="0"/>
              <w:bottom w:val="single" w:color="000000" w:sz="4" w:space="0"/>
              <w:right w:val="single" w:color="000000" w:sz="4" w:space="0"/>
            </w:tcBorders>
            <w:tcW w:w="3806" w:type="dxa"/>
            <w:vAlign w:val="center"/>
            <w:textDirection w:val="lrTb"/>
            <w:noWrap/>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额定蒸发压力</w:t>
            </w:r>
            <w:r/>
          </w:p>
        </w:tc>
        <w:tc>
          <w:tcPr>
            <w:shd w:val="clear" w:color="auto" w:fill="auto"/>
            <w:tcBorders>
              <w:top w:val="single" w:color="000000" w:sz="4" w:space="0"/>
              <w:left w:val="single" w:color="000000" w:sz="4" w:space="0"/>
              <w:bottom w:val="single" w:color="000000" w:sz="4" w:space="0"/>
              <w:right w:val="single" w:color="000000" w:sz="4" w:space="0"/>
            </w:tcBorders>
            <w:tcW w:w="5176" w:type="dxa"/>
            <w:vAlign w:val="center"/>
            <w:textDirection w:val="lrTb"/>
            <w:noWrap/>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1.0Mpa</w:t>
            </w:r>
            <w:r/>
          </w:p>
        </w:tc>
      </w:tr>
      <w:tr>
        <w:trPr>
          <w:jc w:val="center"/>
          <w:trHeight w:val="469"/>
        </w:trPr>
        <w:tc>
          <w:tcPr>
            <w:shd w:val="clear" w:color="auto" w:fill="auto"/>
            <w:tcBorders>
              <w:top w:val="single" w:color="000000" w:sz="4" w:space="0"/>
              <w:left w:val="single" w:color="000000" w:sz="4" w:space="0"/>
              <w:bottom w:val="single" w:color="000000" w:sz="4" w:space="0"/>
              <w:right w:val="single" w:color="000000" w:sz="4" w:space="0"/>
            </w:tcBorders>
            <w:tcW w:w="3806" w:type="dxa"/>
            <w:vAlign w:val="center"/>
            <w:textDirection w:val="lrTb"/>
            <w:noWrap/>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出厂日期</w:t>
            </w:r>
            <w:r/>
          </w:p>
        </w:tc>
        <w:tc>
          <w:tcPr>
            <w:shd w:val="clear" w:color="auto" w:fill="auto"/>
            <w:tcBorders>
              <w:top w:val="single" w:color="000000" w:sz="4" w:space="0"/>
              <w:left w:val="single" w:color="000000" w:sz="4" w:space="0"/>
              <w:bottom w:val="single" w:color="000000" w:sz="4" w:space="0"/>
              <w:right w:val="single" w:color="000000" w:sz="4" w:space="0"/>
            </w:tcBorders>
            <w:tcW w:w="5176" w:type="dxa"/>
            <w:vAlign w:val="center"/>
            <w:textDirection w:val="lrTb"/>
            <w:noWrap/>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2011.7</w:t>
            </w:r>
            <w:r/>
          </w:p>
        </w:tc>
      </w:tr>
      <w:tr>
        <w:trPr>
          <w:jc w:val="center"/>
          <w:trHeight w:val="504"/>
        </w:trPr>
        <w:tc>
          <w:tcPr>
            <w:shd w:val="clear" w:color="auto" w:fill="auto"/>
            <w:tcBorders>
              <w:top w:val="single" w:color="000000" w:sz="4" w:space="0"/>
              <w:left w:val="single" w:color="000000" w:sz="4" w:space="0"/>
              <w:bottom w:val="single" w:color="000000" w:sz="4" w:space="0"/>
              <w:right w:val="single" w:color="000000" w:sz="4" w:space="0"/>
            </w:tcBorders>
            <w:tcW w:w="3806" w:type="dxa"/>
            <w:vAlign w:val="center"/>
            <w:textDirection w:val="lrTb"/>
            <w:noWrap/>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安装位置</w:t>
            </w:r>
            <w:r/>
          </w:p>
        </w:tc>
        <w:tc>
          <w:tcPr>
            <w:shd w:val="clear" w:color="auto" w:fill="auto"/>
            <w:tcBorders>
              <w:top w:val="single" w:color="000000" w:sz="4" w:space="0"/>
              <w:left w:val="single" w:color="000000" w:sz="4" w:space="0"/>
              <w:bottom w:val="single" w:color="000000" w:sz="4" w:space="0"/>
              <w:right w:val="single" w:color="000000" w:sz="4" w:space="0"/>
            </w:tcBorders>
            <w:tcW w:w="5176" w:type="dxa"/>
            <w:vAlign w:val="center"/>
            <w:textDirection w:val="lrTb"/>
            <w:noWrap/>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锅炉房</w:t>
            </w:r>
            <w:r/>
          </w:p>
        </w:tc>
      </w:tr>
    </w:tbl>
    <w:p>
      <w:pPr>
        <w:pStyle w:val="966"/>
        <w:spacing w:line="360" w:lineRule="auto"/>
        <w:rPr>
          <w:rFonts w:ascii="宋体" w:hAnsi="宋体" w:eastAsia="宋体"/>
          <w:b/>
          <w:bCs/>
          <w:color w:val="000000" w:themeColor="text1"/>
          <w:sz w:val="24"/>
          <w:szCs w:val="24"/>
          <w14:textFill>
            <w14:solidFill>
              <w14:schemeClr w14:val="tx1"/>
            </w14:solidFill>
          </w14:textFill>
        </w:rPr>
        <w:outlineLvl w:val="9"/>
      </w:pPr>
      <w:r>
        <w:rPr>
          <w:rFonts w:hint="eastAsia" w:ascii="宋体" w:hAnsi="宋体" w:eastAsia="宋体"/>
          <w:b/>
          <w:bCs/>
          <w:color w:val="000000" w:themeColor="text1"/>
          <w:sz w:val="24"/>
          <w:szCs w:val="24"/>
          <w14:textFill>
            <w14:solidFill>
              <w14:schemeClr w14:val="tx1"/>
            </w14:solidFill>
          </w14:textFill>
        </w:rPr>
        <w:t xml:space="preserve">阅江楼院区中央空调机房设备</w:t>
      </w:r>
      <w:r/>
    </w:p>
    <w:tbl>
      <w:tblPr>
        <w:tblStyle w:val="745"/>
        <w:tblW w:w="8988" w:type="dxa"/>
        <w:jc w:val="center"/>
        <w:tblLayout w:type="fixed"/>
        <w:tblCellMar>
          <w:left w:w="108" w:type="dxa"/>
          <w:top w:w="0" w:type="dxa"/>
          <w:right w:w="108" w:type="dxa"/>
          <w:bottom w:w="0" w:type="dxa"/>
        </w:tblCellMar>
        <w:tblLook w:val="04A0" w:firstRow="1" w:lastRow="0" w:firstColumn="1" w:lastColumn="0" w:noHBand="0" w:noVBand="1"/>
      </w:tblPr>
      <w:tblGrid>
        <w:gridCol w:w="3800"/>
        <w:gridCol w:w="5188"/>
      </w:tblGrid>
      <w:tr>
        <w:trPr>
          <w:jc w:val="center"/>
          <w:trHeight w:val="388"/>
        </w:trPr>
        <w:tc>
          <w:tcPr>
            <w:shd w:val="clear" w:color="auto" w:fill="auto"/>
            <w:tcBorders>
              <w:top w:val="single" w:color="000000" w:sz="4" w:space="0"/>
              <w:left w:val="single" w:color="000000" w:sz="4" w:space="0"/>
              <w:bottom w:val="single" w:color="000000" w:sz="4" w:space="0"/>
              <w:right w:val="single" w:color="000000" w:sz="4" w:space="0"/>
            </w:tcBorders>
            <w:tcW w:w="3800" w:type="dxa"/>
            <w:vAlign w:val="center"/>
            <w:textDirection w:val="lrTb"/>
            <w:noWrap/>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5188" w:type="dxa"/>
            <w:vAlign w:val="center"/>
            <w:textDirection w:val="lrTb"/>
            <w:noWrap/>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特灵螺杆机</w:t>
            </w:r>
            <w:r/>
          </w:p>
        </w:tc>
      </w:tr>
      <w:tr>
        <w:trPr>
          <w:jc w:val="center"/>
          <w:trHeight w:val="388"/>
        </w:trPr>
        <w:tc>
          <w:tcPr>
            <w:shd w:val="clear" w:color="auto" w:fill="auto"/>
            <w:tcBorders>
              <w:top w:val="single" w:color="000000" w:sz="4" w:space="0"/>
              <w:left w:val="single" w:color="000000" w:sz="4" w:space="0"/>
              <w:bottom w:val="single" w:color="000000" w:sz="4" w:space="0"/>
              <w:right w:val="single" w:color="000000" w:sz="4" w:space="0"/>
            </w:tcBorders>
            <w:tcW w:w="3800" w:type="dxa"/>
            <w:vAlign w:val="center"/>
            <w:textDirection w:val="lrTb"/>
            <w:noWrap/>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台数</w:t>
            </w:r>
            <w:r/>
          </w:p>
        </w:tc>
        <w:tc>
          <w:tcPr>
            <w:shd w:val="clear" w:color="auto" w:fill="auto"/>
            <w:tcBorders>
              <w:top w:val="single" w:color="000000" w:sz="4" w:space="0"/>
              <w:left w:val="single" w:color="000000" w:sz="4" w:space="0"/>
              <w:bottom w:val="single" w:color="000000" w:sz="4" w:space="0"/>
              <w:right w:val="single" w:color="000000" w:sz="4" w:space="0"/>
            </w:tcBorders>
            <w:tcW w:w="5188" w:type="dxa"/>
            <w:vAlign w:val="center"/>
            <w:textDirection w:val="lrTb"/>
            <w:noWrap/>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2</w:t>
            </w:r>
            <w:r/>
          </w:p>
        </w:tc>
      </w:tr>
      <w:tr>
        <w:trPr>
          <w:jc w:val="center"/>
          <w:trHeight w:val="388"/>
        </w:trPr>
        <w:tc>
          <w:tcPr>
            <w:shd w:val="clear" w:color="auto" w:fill="auto"/>
            <w:tcBorders>
              <w:top w:val="single" w:color="000000" w:sz="4" w:space="0"/>
              <w:left w:val="single" w:color="000000" w:sz="4" w:space="0"/>
              <w:bottom w:val="single" w:color="000000" w:sz="4" w:space="0"/>
              <w:right w:val="single" w:color="000000" w:sz="4" w:space="0"/>
            </w:tcBorders>
            <w:tcW w:w="3800" w:type="dxa"/>
            <w:vAlign w:val="center"/>
            <w:textDirection w:val="lrTb"/>
            <w:noWrap/>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5188" w:type="dxa"/>
            <w:vAlign w:val="center"/>
            <w:textDirection w:val="lrTb"/>
            <w:noWrap/>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RTHB3OORUF00LW0000UNN3LF0000A</w:t>
            </w:r>
            <w:r/>
          </w:p>
        </w:tc>
      </w:tr>
      <w:tr>
        <w:trPr>
          <w:jc w:val="center"/>
          <w:trHeight w:val="388"/>
        </w:trPr>
        <w:tc>
          <w:tcPr>
            <w:shd w:val="clear" w:color="auto" w:fill="auto"/>
            <w:tcBorders>
              <w:top w:val="single" w:color="000000" w:sz="4" w:space="0"/>
              <w:left w:val="single" w:color="000000" w:sz="4" w:space="0"/>
              <w:bottom w:val="single" w:color="000000" w:sz="4" w:space="0"/>
              <w:right w:val="single" w:color="000000" w:sz="4" w:space="0"/>
            </w:tcBorders>
            <w:tcW w:w="3800" w:type="dxa"/>
            <w:vAlign w:val="center"/>
            <w:textDirection w:val="lrTb"/>
            <w:noWrap/>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额定电压</w:t>
            </w:r>
            <w:r/>
          </w:p>
        </w:tc>
        <w:tc>
          <w:tcPr>
            <w:shd w:val="clear" w:color="auto" w:fill="auto"/>
            <w:tcBorders>
              <w:top w:val="single" w:color="000000" w:sz="4" w:space="0"/>
              <w:left w:val="single" w:color="000000" w:sz="4" w:space="0"/>
              <w:bottom w:val="single" w:color="000000" w:sz="4" w:space="0"/>
              <w:right w:val="single" w:color="000000" w:sz="4" w:space="0"/>
            </w:tcBorders>
            <w:tcW w:w="5188" w:type="dxa"/>
            <w:vAlign w:val="center"/>
            <w:textDirection w:val="lrTb"/>
            <w:noWrap/>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380</w:t>
            </w:r>
            <w:r/>
          </w:p>
        </w:tc>
      </w:tr>
      <w:tr>
        <w:trPr>
          <w:jc w:val="center"/>
          <w:trHeight w:val="388"/>
        </w:trPr>
        <w:tc>
          <w:tcPr>
            <w:shd w:val="clear" w:color="auto" w:fill="auto"/>
            <w:tcBorders>
              <w:top w:val="single" w:color="000000" w:sz="4" w:space="0"/>
              <w:left w:val="single" w:color="000000" w:sz="4" w:space="0"/>
              <w:bottom w:val="single" w:color="000000" w:sz="4" w:space="0"/>
              <w:right w:val="single" w:color="000000" w:sz="4" w:space="0"/>
            </w:tcBorders>
            <w:tcW w:w="3800" w:type="dxa"/>
            <w:vAlign w:val="center"/>
            <w:textDirection w:val="lrTb"/>
            <w:noWrap/>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电压范围</w:t>
            </w:r>
            <w:r/>
          </w:p>
        </w:tc>
        <w:tc>
          <w:tcPr>
            <w:shd w:val="clear" w:color="auto" w:fill="auto"/>
            <w:tcBorders>
              <w:top w:val="single" w:color="000000" w:sz="4" w:space="0"/>
              <w:left w:val="single" w:color="000000" w:sz="4" w:space="0"/>
              <w:bottom w:val="single" w:color="000000" w:sz="4" w:space="0"/>
              <w:right w:val="single" w:color="000000" w:sz="4" w:space="0"/>
            </w:tcBorders>
            <w:tcW w:w="5188" w:type="dxa"/>
            <w:vAlign w:val="center"/>
            <w:textDirection w:val="lrTb"/>
            <w:noWrap/>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342-418</w:t>
            </w:r>
            <w:r/>
          </w:p>
        </w:tc>
      </w:tr>
      <w:tr>
        <w:trPr>
          <w:jc w:val="center"/>
          <w:trHeight w:val="388"/>
        </w:trPr>
        <w:tc>
          <w:tcPr>
            <w:shd w:val="clear" w:color="auto" w:fill="auto"/>
            <w:tcBorders>
              <w:top w:val="single" w:color="000000" w:sz="4" w:space="0"/>
              <w:left w:val="single" w:color="000000" w:sz="4" w:space="0"/>
              <w:bottom w:val="single" w:color="000000" w:sz="4" w:space="0"/>
              <w:right w:val="single" w:color="000000" w:sz="4" w:space="0"/>
            </w:tcBorders>
            <w:tcW w:w="3800" w:type="dxa"/>
            <w:vAlign w:val="center"/>
            <w:textDirection w:val="lrTb"/>
            <w:noWrap/>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额定负载电流</w:t>
            </w:r>
            <w:r/>
          </w:p>
        </w:tc>
        <w:tc>
          <w:tcPr>
            <w:shd w:val="clear" w:color="auto" w:fill="auto"/>
            <w:tcBorders>
              <w:top w:val="single" w:color="000000" w:sz="4" w:space="0"/>
              <w:left w:val="single" w:color="000000" w:sz="4" w:space="0"/>
              <w:bottom w:val="single" w:color="000000" w:sz="4" w:space="0"/>
              <w:right w:val="single" w:color="000000" w:sz="4" w:space="0"/>
            </w:tcBorders>
            <w:tcW w:w="5188" w:type="dxa"/>
            <w:vAlign w:val="center"/>
            <w:textDirection w:val="lrTb"/>
            <w:noWrap/>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290</w:t>
            </w:r>
            <w:r/>
          </w:p>
        </w:tc>
      </w:tr>
      <w:tr>
        <w:trPr>
          <w:jc w:val="center"/>
          <w:trHeight w:val="388"/>
        </w:trPr>
        <w:tc>
          <w:tcPr>
            <w:shd w:val="clear" w:color="auto" w:fill="auto"/>
            <w:tcBorders>
              <w:top w:val="single" w:color="000000" w:sz="4" w:space="0"/>
              <w:left w:val="single" w:color="000000" w:sz="4" w:space="0"/>
              <w:bottom w:val="single" w:color="000000" w:sz="4" w:space="0"/>
              <w:right w:val="single" w:color="000000" w:sz="4" w:space="0"/>
            </w:tcBorders>
            <w:tcW w:w="3800" w:type="dxa"/>
            <w:vAlign w:val="center"/>
            <w:textDirection w:val="lrTb"/>
            <w:noWrap/>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制冷剂</w:t>
            </w:r>
            <w:r/>
          </w:p>
        </w:tc>
        <w:tc>
          <w:tcPr>
            <w:shd w:val="clear" w:color="auto" w:fill="auto"/>
            <w:tcBorders>
              <w:top w:val="single" w:color="000000" w:sz="4" w:space="0"/>
              <w:left w:val="single" w:color="000000" w:sz="4" w:space="0"/>
              <w:bottom w:val="single" w:color="000000" w:sz="4" w:space="0"/>
              <w:right w:val="single" w:color="000000" w:sz="4" w:space="0"/>
            </w:tcBorders>
            <w:tcW w:w="5188" w:type="dxa"/>
            <w:vAlign w:val="center"/>
            <w:textDirection w:val="lrTb"/>
            <w:noWrap/>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R22</w:t>
            </w:r>
            <w:r/>
          </w:p>
        </w:tc>
      </w:tr>
      <w:tr>
        <w:trPr>
          <w:jc w:val="center"/>
          <w:trHeight w:val="388"/>
        </w:trPr>
        <w:tc>
          <w:tcPr>
            <w:shd w:val="clear" w:color="auto" w:fill="auto"/>
            <w:tcBorders>
              <w:top w:val="single" w:color="000000" w:sz="4" w:space="0"/>
              <w:left w:val="single" w:color="000000" w:sz="4" w:space="0"/>
              <w:bottom w:val="single" w:color="000000" w:sz="4" w:space="0"/>
              <w:right w:val="single" w:color="000000" w:sz="4" w:space="0"/>
            </w:tcBorders>
            <w:tcW w:w="3800" w:type="dxa"/>
            <w:vAlign w:val="center"/>
            <w:textDirection w:val="lrTb"/>
            <w:noWrap/>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冷冻油</w:t>
            </w:r>
            <w:r/>
          </w:p>
        </w:tc>
        <w:tc>
          <w:tcPr>
            <w:shd w:val="clear" w:color="auto" w:fill="auto"/>
            <w:tcBorders>
              <w:top w:val="single" w:color="000000" w:sz="4" w:space="0"/>
              <w:left w:val="single" w:color="000000" w:sz="4" w:space="0"/>
              <w:bottom w:val="single" w:color="000000" w:sz="4" w:space="0"/>
              <w:right w:val="single" w:color="000000" w:sz="4" w:space="0"/>
            </w:tcBorders>
            <w:tcW w:w="5188" w:type="dxa"/>
            <w:vAlign w:val="center"/>
            <w:textDirection w:val="lrTb"/>
            <w:noWrap/>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OIL 31</w:t>
            </w:r>
            <w:r/>
          </w:p>
        </w:tc>
      </w:tr>
      <w:tr>
        <w:trPr>
          <w:jc w:val="center"/>
          <w:trHeight w:val="388"/>
        </w:trPr>
        <w:tc>
          <w:tcPr>
            <w:shd w:val="clear" w:color="auto" w:fill="auto"/>
            <w:tcBorders>
              <w:top w:val="single" w:color="000000" w:sz="4" w:space="0"/>
              <w:left w:val="single" w:color="000000" w:sz="4" w:space="0"/>
              <w:bottom w:val="single" w:color="000000" w:sz="4" w:space="0"/>
              <w:right w:val="single" w:color="000000" w:sz="4" w:space="0"/>
            </w:tcBorders>
            <w:tcW w:w="3800" w:type="dxa"/>
            <w:vAlign w:val="center"/>
            <w:textDirection w:val="lrTb"/>
            <w:noWrap/>
          </w:tcPr>
          <w:p>
            <w:pPr>
              <w:jc w:val="center"/>
              <w:spacing w:line="360" w:lineRule="auto"/>
              <w:rPr>
                <w:rFonts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出厂日期</w:t>
            </w:r>
            <w:r/>
          </w:p>
        </w:tc>
        <w:tc>
          <w:tcPr>
            <w:shd w:val="clear" w:color="auto" w:fill="auto"/>
            <w:tcBorders>
              <w:top w:val="single" w:color="000000" w:sz="4" w:space="0"/>
              <w:left w:val="single" w:color="000000" w:sz="4" w:space="0"/>
              <w:bottom w:val="single" w:color="000000" w:sz="4" w:space="0"/>
              <w:right w:val="single" w:color="000000" w:sz="4" w:space="0"/>
            </w:tcBorders>
            <w:tcW w:w="5188" w:type="dxa"/>
            <w:vAlign w:val="center"/>
            <w:textDirection w:val="lrTb"/>
            <w:noWrap/>
          </w:tcPr>
          <w:p>
            <w:pPr>
              <w:jc w:val="center"/>
              <w:spacing w:line="360" w:lineRule="auto"/>
              <w:rPr>
                <w:rFonts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2003</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3800" w:type="dxa"/>
            <w:vAlign w:val="center"/>
            <w:textDirection w:val="lrTb"/>
            <w:noWrap/>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安装位置</w:t>
            </w:r>
            <w:r/>
          </w:p>
        </w:tc>
        <w:tc>
          <w:tcPr>
            <w:shd w:val="clear" w:color="auto" w:fill="auto"/>
            <w:tcBorders>
              <w:top w:val="single" w:color="000000" w:sz="4" w:space="0"/>
              <w:left w:val="single" w:color="000000" w:sz="4" w:space="0"/>
              <w:bottom w:val="single" w:color="000000" w:sz="4" w:space="0"/>
              <w:right w:val="single" w:color="000000" w:sz="4" w:space="0"/>
            </w:tcBorders>
            <w:tcW w:w="5188" w:type="dxa"/>
            <w:vAlign w:val="center"/>
            <w:textDirection w:val="lrTb"/>
            <w:noWrap/>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电冷机房</w:t>
            </w:r>
            <w:r/>
          </w:p>
        </w:tc>
      </w:tr>
    </w:tbl>
    <w:p>
      <w:pPr>
        <w:pStyle w:val="736"/>
        <w:spacing w:before="0" w:after="0" w:line="276" w:lineRule="auto"/>
        <w:rPr>
          <w:rFonts w:ascii="宋体" w:hAnsi="宋体" w:eastAsia="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二、技术要求</w:t>
      </w:r>
      <w:r/>
    </w:p>
    <w:p>
      <w:pPr>
        <w:pStyle w:val="966"/>
        <w:numPr>
          <w:ilvl w:val="0"/>
          <w:numId w:val="2"/>
        </w:numPr>
        <w:spacing w:before="120" w:after="120" w:line="360" w:lineRule="auto"/>
        <w:rPr>
          <w:rFonts w:ascii="宋体" w:hAnsi="宋体" w:eastAsia="宋体"/>
          <w:b/>
          <w:bCs/>
          <w:color w:val="000000" w:themeColor="text1"/>
          <w:sz w:val="24"/>
          <w:szCs w:val="24"/>
          <w14:textFill>
            <w14:solidFill>
              <w14:schemeClr w14:val="tx1"/>
            </w14:solidFill>
          </w14:textFill>
        </w:rPr>
        <w:outlineLvl w:val="2"/>
      </w:pPr>
      <w:r>
        <w:rPr>
          <w:rFonts w:hint="eastAsia" w:ascii="宋体" w:hAnsi="宋体" w:eastAsia="宋体"/>
          <w:b/>
          <w:bCs/>
          <w:color w:val="000000" w:themeColor="text1"/>
          <w:sz w:val="24"/>
          <w:szCs w:val="24"/>
          <w14:textFill>
            <w14:solidFill>
              <w14:schemeClr w14:val="tx1"/>
            </w14:solidFill>
          </w14:textFill>
        </w:rPr>
        <w:t xml:space="preserve">服务模式</w:t>
      </w:r>
      <w:r/>
    </w:p>
    <w:p>
      <w:pPr>
        <w:pStyle w:val="766"/>
        <w:ind w:firstLine="480"/>
        <w:spacing w:after="0" w:line="360" w:lineRule="auto"/>
        <w:widowControl w:val="off"/>
        <w:rPr>
          <w:rFonts w:ascii="宋体" w:hAnsi="宋体" w:eastAsia="宋体"/>
          <w:bCs/>
          <w:color w:val="000000" w:themeColor="text1"/>
          <w:sz w:val="24"/>
          <w:szCs w:val="24"/>
          <w14:textFill>
            <w14:solidFill>
              <w14:schemeClr w14:val="tx1"/>
            </w14:solidFill>
          </w14:textFill>
        </w:rPr>
      </w:pPr>
      <w:r>
        <w:rPr>
          <w:rFonts w:hint="eastAsia" w:ascii="宋体" w:hAnsi="宋体" w:eastAsia="宋体"/>
          <w:bCs/>
          <w:color w:val="000000" w:themeColor="text1"/>
          <w:sz w:val="24"/>
          <w:szCs w:val="24"/>
          <w14:textFill>
            <w14:solidFill>
              <w14:schemeClr w14:val="tx1"/>
            </w14:solidFill>
          </w14:textFill>
        </w:rPr>
        <w:t xml:space="preserve">本次招标服务范围为南京医科大学第二附属医院迈皋桥院区和阅江楼院区的合同能源管理项目。品目01为迈皋桥院区能源管理服务，品目02为阅江楼院区能源管理服务。</w:t>
      </w:r>
      <w:r/>
    </w:p>
    <w:p>
      <w:pPr>
        <w:pStyle w:val="766"/>
        <w:ind w:firstLine="482"/>
        <w:spacing w:after="0" w:line="360" w:lineRule="auto"/>
        <w:widowControl w:val="off"/>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品目01：迈皋桥院区：全院能源总包模式</w:t>
      </w:r>
      <w:r/>
    </w:p>
    <w:p>
      <w:pPr>
        <w:pStyle w:val="766"/>
        <w:ind w:firstLine="480"/>
        <w:spacing w:after="0" w:line="360" w:lineRule="auto"/>
        <w:widowControl w:val="off"/>
        <w:rPr>
          <w:rFonts w:ascii="宋体" w:hAnsi="宋体" w:eastAsia="宋体"/>
          <w:bCs/>
          <w:color w:val="000000" w:themeColor="text1"/>
          <w:sz w:val="24"/>
          <w:szCs w:val="24"/>
          <w14:textFill>
            <w14:solidFill>
              <w14:schemeClr w14:val="tx1"/>
            </w14:solidFill>
          </w14:textFill>
        </w:rPr>
      </w:pPr>
      <w:r>
        <w:rPr>
          <w:rFonts w:hint="eastAsia" w:ascii="宋体" w:hAnsi="宋体" w:eastAsia="宋体"/>
          <w:bCs/>
          <w:color w:val="000000" w:themeColor="text1"/>
          <w:sz w:val="24"/>
          <w:szCs w:val="24"/>
          <w14:textFill>
            <w14:solidFill>
              <w14:schemeClr w14:val="tx1"/>
            </w14:solidFill>
          </w14:textFill>
        </w:rPr>
        <w:t xml:space="preserve">范围为全院的能源费用总包，由服务公司全面托管院区电费、天然气能源费用（天然气费用不含食堂）、锅炉和中央空调运营人员支出费用、锅炉和中央空调及热水系统相关维保费用、按甲方要求开展标准化机房建设等费用。</w:t>
      </w:r>
      <w:r/>
    </w:p>
    <w:p>
      <w:pPr>
        <w:pStyle w:val="766"/>
        <w:ind w:firstLine="482"/>
        <w:spacing w:after="0" w:line="360" w:lineRule="auto"/>
        <w:widowControl w:val="off"/>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品目02：阅江楼院区：中央空调能源总包模式</w:t>
      </w:r>
      <w:r/>
    </w:p>
    <w:p>
      <w:pPr>
        <w:pStyle w:val="766"/>
        <w:ind w:firstLine="480"/>
        <w:spacing w:after="0" w:line="360" w:lineRule="auto"/>
        <w:widowControl w:val="off"/>
        <w:rPr>
          <w:rFonts w:ascii="宋体" w:hAnsi="宋体" w:eastAsia="宋体"/>
          <w:bCs/>
          <w:color w:val="000000" w:themeColor="text1"/>
          <w:sz w:val="24"/>
          <w:szCs w:val="24"/>
          <w14:textFill>
            <w14:solidFill>
              <w14:schemeClr w14:val="tx1"/>
            </w14:solidFill>
          </w14:textFill>
        </w:rPr>
      </w:pPr>
      <w:r>
        <w:rPr>
          <w:rFonts w:hint="eastAsia" w:ascii="宋体" w:hAnsi="宋体" w:eastAsia="宋体"/>
          <w:bCs/>
          <w:color w:val="000000" w:themeColor="text1"/>
          <w:sz w:val="24"/>
          <w:szCs w:val="24"/>
          <w14:textFill>
            <w14:solidFill>
              <w14:schemeClr w14:val="tx1"/>
            </w14:solidFill>
          </w14:textFill>
        </w:rPr>
        <w:t xml:space="preserve">范围为院区的中央空调及生活热水能源费用总包，含中央空调主机及输配泵组电费，生活热水主机及输配泵组电费，现场空调、热水及配电房运维班组人员工资及空调、热水系统维保费用，阅区常规维修费用，按甲方要求开展标准化机房建设等费用。</w:t>
      </w:r>
      <w:r/>
    </w:p>
    <w:p>
      <w:pPr>
        <w:pStyle w:val="766"/>
        <w:ind w:firstLine="480"/>
        <w:spacing w:after="0" w:line="360" w:lineRule="auto"/>
        <w:widowControl w:val="off"/>
        <w:rPr>
          <w:rFonts w:ascii="宋体" w:hAnsi="宋体" w:eastAsia="宋体"/>
          <w:bCs/>
          <w:color w:val="000000" w:themeColor="text1"/>
          <w:sz w:val="24"/>
          <w:szCs w:val="24"/>
          <w14:textFill>
            <w14:solidFill>
              <w14:schemeClr w14:val="tx1"/>
            </w14:solidFill>
          </w14:textFill>
        </w:rPr>
      </w:pPr>
      <w:r>
        <w:rPr>
          <w:rFonts w:hint="eastAsia" w:ascii="宋体" w:hAnsi="宋体" w:eastAsia="宋体"/>
          <w:bCs/>
          <w:color w:val="000000" w:themeColor="text1"/>
          <w:sz w:val="24"/>
          <w:szCs w:val="24"/>
          <w14:textFill>
            <w14:solidFill>
              <w14:schemeClr w14:val="tx1"/>
            </w14:solidFill>
          </w14:textFill>
        </w:rPr>
        <w:t xml:space="preserve">此次招标迈皋桥院区参照2025年的电、天然气的费用，锅炉和中央空调的运行人员支出及相关维保费用，阅江楼院区参照2025年5月至2026年4月制冷、采暖、卫热主机及输配泵组燃气费用、电费，锅炉、院区8号楼中央空调运行、配电房值班人员工资、维保费用。</w:t>
      </w:r>
      <w:r/>
    </w:p>
    <w:p>
      <w:pPr>
        <w:pStyle w:val="766"/>
        <w:ind w:firstLine="480"/>
        <w:spacing w:after="0" w:line="360" w:lineRule="auto"/>
        <w:widowControl w:val="off"/>
        <w:rPr>
          <w:rFonts w:ascii="宋体" w:hAnsi="宋体" w:eastAsia="宋体"/>
          <w:bCs/>
          <w:color w:val="000000" w:themeColor="text1"/>
          <w:sz w:val="24"/>
          <w:szCs w:val="24"/>
          <w14:textFill>
            <w14:solidFill>
              <w14:schemeClr w14:val="tx1"/>
            </w14:solidFill>
          </w14:textFill>
        </w:rPr>
      </w:pPr>
      <w:r>
        <w:rPr>
          <w:rFonts w:hint="eastAsia" w:ascii="宋体" w:hAnsi="宋体" w:eastAsia="宋体"/>
          <w:bCs/>
          <w:color w:val="000000" w:themeColor="text1"/>
          <w:sz w:val="24"/>
          <w:szCs w:val="24"/>
          <w14:textFill>
            <w14:solidFill>
              <w14:schemeClr w14:val="tx1"/>
            </w14:solidFill>
          </w14:textFill>
        </w:rPr>
        <w:t xml:space="preserve">中标人全额出资实施节能改造，通过8年期精细化运维、节能收益收回前期改造投资；同步降低医院能耗与后勤管理成本，实现双方节能增效。</w:t>
      </w:r>
      <w:r/>
    </w:p>
    <w:p>
      <w:pPr>
        <w:pStyle w:val="966"/>
        <w:numPr>
          <w:ilvl w:val="0"/>
          <w:numId w:val="2"/>
        </w:numPr>
        <w:spacing w:before="120" w:after="120" w:line="360" w:lineRule="auto"/>
        <w:rPr>
          <w:rFonts w:ascii="宋体" w:hAnsi="宋体" w:eastAsia="宋体"/>
          <w:b/>
          <w:bCs/>
          <w:color w:val="000000" w:themeColor="text1"/>
          <w:sz w:val="24"/>
          <w:szCs w:val="24"/>
          <w14:textFill>
            <w14:solidFill>
              <w14:schemeClr w14:val="tx1"/>
            </w14:solidFill>
          </w14:textFill>
        </w:rPr>
        <w:outlineLvl w:val="2"/>
      </w:pPr>
      <w:r>
        <w:rPr>
          <w:rFonts w:hint="eastAsia" w:ascii="宋体" w:hAnsi="宋体" w:eastAsia="宋体"/>
          <w:b/>
          <w:bCs/>
          <w:color w:val="000000" w:themeColor="text1"/>
          <w:sz w:val="24"/>
          <w:szCs w:val="24"/>
          <w14:textFill>
            <w14:solidFill>
              <w14:schemeClr w14:val="tx1"/>
            </w14:solidFill>
          </w14:textFill>
        </w:rPr>
        <w:t xml:space="preserve">节能改造内容</w:t>
      </w:r>
      <w:r/>
    </w:p>
    <w:p>
      <w:pPr>
        <w:pStyle w:val="766"/>
        <w:ind w:firstLine="480"/>
        <w:spacing w:after="0" w:line="360" w:lineRule="auto"/>
        <w:widowControl w:val="off"/>
        <w:rPr>
          <w:rFonts w:ascii="宋体" w:hAnsi="宋体" w:eastAsia="宋体"/>
          <w:bCs/>
          <w:color w:val="000000" w:themeColor="text1"/>
          <w:sz w:val="24"/>
          <w:szCs w:val="24"/>
          <w14:textFill>
            <w14:solidFill>
              <w14:schemeClr w14:val="tx1"/>
            </w14:solidFill>
          </w14:textFill>
        </w:rPr>
      </w:pPr>
      <w:r>
        <w:rPr>
          <w:rFonts w:hint="eastAsia" w:ascii="宋体" w:hAnsi="宋体" w:eastAsia="宋体"/>
          <w:bCs/>
          <w:color w:val="000000" w:themeColor="text1"/>
          <w:sz w:val="24"/>
          <w:szCs w:val="24"/>
          <w14:textFill>
            <w14:solidFill>
              <w14:schemeClr w14:val="tx1"/>
            </w14:solidFill>
          </w14:textFill>
        </w:rPr>
        <w:t xml:space="preserve">项目的改造内容应包含但不限于制冷、采暖、生活热水、照明等，投标人根据项目实际情况以及自身改造能力提供合理的节能改造方案，所有投资项目采购设备满足在-20℃至45℃条件下安全运行条件，同时做好设备机房、设备周边防水措施。自选节能技改项目可不局限于下述内容，如果中标的投标人提供了更多的技改节能项目，实施前须申报方案并经过采购人同意方可实施。节能技改施工期间中标人应精心组织、合理安排、安全文明不得影响或扰乱正常的医疗秩序。否则采购人有权责令中标人停工，工期不顺延。</w:t>
      </w:r>
      <w:r/>
    </w:p>
    <w:p>
      <w:pPr>
        <w:pStyle w:val="766"/>
        <w:ind w:firstLine="480"/>
        <w:spacing w:after="0" w:line="360" w:lineRule="auto"/>
        <w:widowControl w:val="off"/>
        <w:rPr>
          <w:rFonts w:ascii="宋体" w:hAnsi="宋体" w:eastAsia="宋体"/>
          <w:bCs/>
          <w:color w:val="000000" w:themeColor="text1"/>
          <w:sz w:val="24"/>
          <w:szCs w:val="24"/>
          <w14:textFill>
            <w14:solidFill>
              <w14:schemeClr w14:val="tx1"/>
            </w14:solidFill>
          </w14:textFill>
        </w:rPr>
      </w:pPr>
      <w:r>
        <w:rPr>
          <w:rFonts w:hint="eastAsia" w:ascii="宋体" w:hAnsi="宋体" w:eastAsia="宋体"/>
          <w:bCs/>
          <w:color w:val="000000" w:themeColor="text1"/>
          <w:sz w:val="24"/>
          <w:szCs w:val="24"/>
          <w14:textFill>
            <w14:solidFill>
              <w14:schemeClr w14:val="tx1"/>
            </w14:solidFill>
          </w14:textFill>
        </w:rPr>
        <w:t xml:space="preserve">品目02阅区8号楼空调、热水改造的节能改造方案节能效果必须达到或高于医院给定参考的改造方案（见附件），节能改造方案节能效果的认定由医院组织的专家组确定，如果相关改造方案认定不能达到预期节能效果，医院有权终止合同签订流程，直至采购人中标人提出医院认可的节能改造方案。</w:t>
      </w:r>
      <w:r/>
    </w:p>
    <w:p>
      <w:pPr>
        <w:pStyle w:val="766"/>
        <w:ind w:firstLine="480"/>
        <w:spacing w:after="0" w:line="360" w:lineRule="auto"/>
        <w:widowControl w:val="off"/>
        <w:rPr>
          <w:rFonts w:ascii="宋体" w:hAnsi="宋体" w:eastAsia="宋体"/>
          <w:bCs/>
          <w:color w:val="000000" w:themeColor="text1"/>
          <w:sz w:val="24"/>
          <w:szCs w:val="24"/>
          <w14:textFill>
            <w14:solidFill>
              <w14:schemeClr w14:val="tx1"/>
            </w14:solidFill>
          </w14:textFill>
        </w:rPr>
      </w:pPr>
      <w:r>
        <w:rPr>
          <w:rFonts w:hint="eastAsia" w:ascii="宋体" w:hAnsi="宋体" w:eastAsia="宋体"/>
          <w:bCs/>
          <w:color w:val="000000" w:themeColor="text1"/>
          <w:sz w:val="24"/>
          <w:szCs w:val="24"/>
          <w14:textFill>
            <w14:solidFill>
              <w14:schemeClr w14:val="tx1"/>
            </w14:solidFill>
          </w14:textFill>
        </w:rPr>
        <w:t xml:space="preserve">采购人有权对节能改造方案提出合理的优化建议。</w:t>
      </w:r>
      <w:r/>
    </w:p>
    <w:p>
      <w:pPr>
        <w:jc w:val="center"/>
        <w:spacing w:line="360" w:lineRule="auto"/>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品目01 迈皋桥院区</w:t>
      </w:r>
      <w:r/>
    </w:p>
    <w:tbl>
      <w:tblPr>
        <w:tblStyle w:val="745"/>
        <w:tblW w:w="9023" w:type="dxa"/>
        <w:jc w:val="center"/>
        <w:tblLayout w:type="autofit"/>
        <w:tblCellMar>
          <w:left w:w="0" w:type="dxa"/>
          <w:top w:w="0" w:type="dxa"/>
          <w:right w:w="0" w:type="dxa"/>
          <w:bottom w:w="0" w:type="dxa"/>
        </w:tblCellMar>
        <w:tblLook w:val="04A0" w:firstRow="1" w:lastRow="0" w:firstColumn="1" w:lastColumn="0" w:noHBand="0" w:noVBand="1"/>
      </w:tblPr>
      <w:tblGrid>
        <w:gridCol w:w="789"/>
        <w:gridCol w:w="1508"/>
        <w:gridCol w:w="5722"/>
        <w:gridCol w:w="1004"/>
      </w:tblGrid>
      <w:tr>
        <w:trPr>
          <w:jc w:val="center"/>
          <w:trHeight w:val="462"/>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8"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改造措施</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2"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详细改造内容</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备注</w:t>
            </w:r>
            <w:r/>
          </w:p>
        </w:tc>
      </w:tr>
      <w:tr>
        <w:trPr>
          <w:jc w:val="center"/>
          <w:trHeight w:val="79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8"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生活热水系统改造</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2"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新增总制热量≥120kW空气源热泵机，替代部分燃气热源，降低天然气消耗</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jc w:val="center"/>
              <w:spacing w:line="360" w:lineRule="auto"/>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必选</w:t>
            </w:r>
            <w:r/>
          </w:p>
        </w:tc>
      </w:tr>
      <w:tr>
        <w:trPr>
          <w:jc w:val="center"/>
          <w:trHeight w:val="77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8"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门诊玻璃阳光</w:t>
            </w:r>
            <w:r>
              <w:rPr>
                <w:rFonts w:hint="eastAsia" w:ascii="宋体" w:hAnsi="宋体" w:eastAsia="宋体" w:cs="宋体"/>
                <w:color w:val="000000" w:themeColor="text1"/>
                <w:sz w:val="21"/>
                <w:szCs w:val="21"/>
                <w14:textFill>
                  <w14:solidFill>
                    <w14:schemeClr w14:val="tx1"/>
                  </w14:solidFill>
                </w14:textFill>
              </w:rPr>
              <w:br/>
            </w:r>
            <w:r>
              <w:rPr>
                <w:rFonts w:hint="eastAsia" w:ascii="宋体" w:hAnsi="宋体" w:eastAsia="宋体" w:cs="宋体"/>
                <w:color w:val="000000" w:themeColor="text1"/>
                <w:sz w:val="21"/>
                <w:szCs w:val="21"/>
                <w14:textFill>
                  <w14:solidFill>
                    <w14:schemeClr w14:val="tx1"/>
                  </w14:solidFill>
                </w14:textFill>
              </w:rPr>
              <w:t xml:space="preserve">顶棚节能改造</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2"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顶棚外侧加装玻璃隔热膜或外遮阳帘，减少夏季太阳辐射，降低空调负荷</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jc w:val="center"/>
              <w:spacing w:line="360" w:lineRule="auto"/>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必选</w:t>
            </w:r>
            <w:r/>
          </w:p>
        </w:tc>
      </w:tr>
      <w:tr>
        <w:trPr>
          <w:jc w:val="center"/>
          <w:trHeight w:val="641"/>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8"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血透室空调改造</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2" w:type="dxa"/>
            <w:vAlign w:val="center"/>
            <w:textDirection w:val="lrTb"/>
            <w:noWrap w:val="false"/>
          </w:tcPr>
          <w:p>
            <w:pPr>
              <w:numPr>
                <w:ilvl w:val="0"/>
                <w:numId w:val="3"/>
              </w:numPr>
              <w:jc w:val="both"/>
              <w:spacing w:after="0" w:line="360" w:lineRule="auto"/>
              <w:widowControl w:val="off"/>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新增风冷热泵机组，满足血透室过渡季节独立制冷需求</w:t>
            </w:r>
            <w:r/>
          </w:p>
          <w:p>
            <w:pPr>
              <w:numPr>
                <w:ilvl w:val="0"/>
                <w:numId w:val="3"/>
              </w:numPr>
              <w:jc w:val="both"/>
              <w:spacing w:after="0" w:line="360" w:lineRule="auto"/>
              <w:widowControl w:val="off"/>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通过改造，实现血透室办公区域中央空调制冷需求</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jc w:val="center"/>
              <w:spacing w:line="360" w:lineRule="auto"/>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必选</w:t>
            </w:r>
            <w:r/>
          </w:p>
        </w:tc>
      </w:tr>
      <w:tr>
        <w:trPr>
          <w:jc w:val="center"/>
          <w:trHeight w:val="641"/>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8"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-2F库房加装风机盘管</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2"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-2F五个库房新增风机盘管，冷冻供回水从中央空调系统引出，减少用电能耗，美化库房周边环境</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jc w:val="center"/>
              <w:spacing w:line="360" w:lineRule="auto"/>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必选</w:t>
            </w:r>
            <w:r/>
          </w:p>
        </w:tc>
      </w:tr>
      <w:tr>
        <w:trPr>
          <w:jc w:val="center"/>
          <w:trHeight w:val="587"/>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8"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其他系统优化</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2"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地下室更换节能灯具/加装智能感应控制</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可选</w:t>
            </w:r>
            <w:r/>
          </w:p>
        </w:tc>
      </w:tr>
      <w:tr>
        <w:trPr>
          <w:jc w:val="center"/>
          <w:trHeight w:val="587"/>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center"/>
            <w:textDirection w:val="lrTb"/>
            <w:noWrap w:val="false"/>
          </w:tcPr>
          <w:p>
            <w:pPr>
              <w:jc w:val="center"/>
              <w:spacing w:line="360" w:lineRule="auto"/>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8" w:type="dxa"/>
            <w:vAlign w:val="center"/>
            <w:textDirection w:val="lrTb"/>
            <w:noWrap w:val="false"/>
          </w:tcPr>
          <w:p>
            <w:pPr>
              <w:jc w:val="center"/>
              <w:spacing w:line="360" w:lineRule="auto"/>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标准机房建设</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2" w:type="dxa"/>
            <w:vAlign w:val="center"/>
            <w:textDirection w:val="lrTb"/>
            <w:noWrap w:val="false"/>
          </w:tcPr>
          <w:p>
            <w:pPr>
              <w:jc w:val="center"/>
              <w:spacing w:line="360" w:lineRule="auto"/>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包括标识标牌、指示标线等</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4" w:type="dxa"/>
            <w:vAlign w:val="center"/>
            <w:textDirection w:val="lrTb"/>
            <w:noWrap w:val="false"/>
          </w:tcPr>
          <w:p>
            <w:pPr>
              <w:jc w:val="center"/>
              <w:spacing w:line="360" w:lineRule="auto"/>
              <w:rPr>
                <w:rFonts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必选</w:t>
            </w:r>
            <w:r/>
          </w:p>
        </w:tc>
      </w:tr>
    </w:tbl>
    <w:p>
      <w:pPr>
        <w:jc w:val="center"/>
        <w:spacing w:line="360" w:lineRule="auto"/>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品目02 阅江楼院区</w:t>
      </w:r>
      <w:r/>
    </w:p>
    <w:tbl>
      <w:tblPr>
        <w:tblStyle w:val="745"/>
        <w:tblW w:w="9038" w:type="dxa"/>
        <w:jc w:val="center"/>
        <w:tblLayout w:type="autofit"/>
        <w:tblCellMar>
          <w:left w:w="0" w:type="dxa"/>
          <w:top w:w="0" w:type="dxa"/>
          <w:right w:w="0" w:type="dxa"/>
          <w:bottom w:w="0" w:type="dxa"/>
        </w:tblCellMar>
        <w:tblLook w:val="04A0" w:firstRow="1" w:lastRow="0" w:firstColumn="1" w:lastColumn="0" w:noHBand="0" w:noVBand="1"/>
      </w:tblPr>
      <w:tblGrid>
        <w:gridCol w:w="821"/>
        <w:gridCol w:w="1505"/>
        <w:gridCol w:w="5730"/>
        <w:gridCol w:w="982"/>
      </w:tblGrid>
      <w:tr>
        <w:trPr>
          <w:jc w:val="center"/>
          <w:trHeight w:val="396"/>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1"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5"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改造措施</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30"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详细改造内容</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2"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备注</w:t>
            </w:r>
            <w:r/>
          </w:p>
        </w:tc>
      </w:tr>
      <w:tr>
        <w:trPr>
          <w:jc w:val="center"/>
          <w:trHeight w:val="773"/>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1"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5"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制冷、采暖主机替换</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30"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新增总制冷/制热量≥1000kW 风冷热泵，全面替代原有老旧蒸汽锅炉、特灵冷水机组，锅炉房蒸汽锅炉停用</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2" w:type="dxa"/>
            <w:vAlign w:val="center"/>
            <w:textDirection w:val="lrTb"/>
            <w:noWrap w:val="false"/>
          </w:tcPr>
          <w:p>
            <w:pPr>
              <w:jc w:val="center"/>
              <w:spacing w:line="360" w:lineRule="auto"/>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必选</w:t>
            </w:r>
            <w:r/>
          </w:p>
        </w:tc>
      </w:tr>
      <w:tr>
        <w:trPr>
          <w:jc w:val="center"/>
          <w:trHeight w:val="611"/>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1"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5"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生活热水系统改造</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30"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新增总制热量≥400kW 空气源热泵，保障生活热水供应</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2" w:type="dxa"/>
            <w:vAlign w:val="center"/>
            <w:textDirection w:val="lrTb"/>
            <w:noWrap w:val="false"/>
          </w:tcPr>
          <w:p>
            <w:pPr>
              <w:jc w:val="center"/>
              <w:spacing w:line="360" w:lineRule="auto"/>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必选</w:t>
            </w:r>
            <w:r/>
          </w:p>
        </w:tc>
      </w:tr>
      <w:tr>
        <w:trPr>
          <w:jc w:val="center"/>
          <w:trHeight w:val="335"/>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1"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5"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热水储水设备</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30"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新增≥20 吨闭式承压热水水箱</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2" w:type="dxa"/>
            <w:vAlign w:val="center"/>
            <w:textDirection w:val="lrTb"/>
            <w:noWrap w:val="false"/>
          </w:tcPr>
          <w:p>
            <w:pPr>
              <w:jc w:val="center"/>
              <w:spacing w:line="360" w:lineRule="auto"/>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必选</w:t>
            </w:r>
            <w:r/>
          </w:p>
        </w:tc>
      </w:tr>
      <w:tr>
        <w:trPr>
          <w:jc w:val="center"/>
          <w:trHeight w:val="80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1"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5"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热水计量管控</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30"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搭建智能热水计费系统，分户按量计量，实现节水节能管控</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2" w:type="dxa"/>
            <w:vAlign w:val="center"/>
            <w:textDirection w:val="lrTb"/>
            <w:noWrap w:val="false"/>
          </w:tcPr>
          <w:p>
            <w:pPr>
              <w:jc w:val="center"/>
              <w:spacing w:line="360" w:lineRule="auto"/>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必选</w:t>
            </w:r>
            <w:r/>
          </w:p>
        </w:tc>
      </w:tr>
      <w:tr>
        <w:trPr>
          <w:jc w:val="center"/>
          <w:trHeight w:val="58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1"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5"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其他节能技改</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30"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投标人可自主增设</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2"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可选</w:t>
            </w:r>
            <w:r/>
          </w:p>
        </w:tc>
      </w:tr>
      <w:tr>
        <w:trPr>
          <w:jc w:val="center"/>
          <w:trHeight w:val="58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1"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5"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标准机房建设</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30"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包括标识标牌、指示标线等</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2"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必选</w:t>
            </w:r>
            <w:r/>
          </w:p>
        </w:tc>
      </w:tr>
      <w:tr>
        <w:trPr>
          <w:jc w:val="center"/>
          <w:trHeight w:val="58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1"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5"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姜家园121号2号楼负一楼供暖系统改造</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30" w:type="dxa"/>
            <w:vAlign w:val="center"/>
            <w:textDirection w:val="lrTb"/>
            <w:noWrap w:val="false"/>
          </w:tcPr>
          <w:p>
            <w:pPr>
              <w:jc w:val="center"/>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更换蒸汽和采暖系统相关设备，更换采暖水泵及配套配电设施，拆除并更换冷凝水箱，蒸汽板换板片拆洗及更换老旧垫片，采暖控制系统更新改造，满足该楼供暖使用要求。</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2" w:type="dxa"/>
            <w:vAlign w:val="center"/>
            <w:textDirection w:val="lrTb"/>
            <w:noWrap w:val="false"/>
          </w:tcPr>
          <w:p>
            <w:pPr>
              <w:jc w:val="center"/>
              <w:spacing w:line="360" w:lineRule="auto"/>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必选</w:t>
            </w:r>
            <w:r/>
          </w:p>
        </w:tc>
      </w:tr>
    </w:tbl>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改造投入资金：对于投标人节能改造方案中所需要的改造资金由投标人全额出资。</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合同签订后，接采购人通知后，4个月内完成改造，节能措施应符合国家法律法规、产业政策要求以及工艺、设备等相关标准的规定。产品设计及设备安装应符合《合同能源管理技术通则》（GB∕T 24915-2020）规定。项目的技术改造不能影响原设备的使用，并保证项目运行的安全性、可靠性。使用先进、节能的设备替换原有设备的，需要征得采购人同意，并保证新投入设备必须有符合国家规定的证明文件，不影响医院正常运营。</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投标人应严格按照已确认的节能技改方案组织施工，并无条件地接受采购人对项目进度、质量、安全及文明施工的监督管理。</w:t>
      </w:r>
      <w:r/>
    </w:p>
    <w:p>
      <w:pPr>
        <w:pStyle w:val="967"/>
        <w:ind w:firstLine="48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文明施工：</w:t>
      </w:r>
      <w:r/>
    </w:p>
    <w:p>
      <w:pPr>
        <w:pStyle w:val="967"/>
        <w:ind w:firstLine="48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在项目节能改造期间，须严格执行南京市政府发布的《南京市建设项目施工现场管理办法》，由于管理不善，引起政府有关部门罚款、停工整改等处罚，其发生的损失由中标单位自行承担，且采购人保留缓付项目款的权利。</w:t>
      </w:r>
      <w:r/>
    </w:p>
    <w:p>
      <w:pPr>
        <w:pStyle w:val="967"/>
        <w:ind w:firstLine="48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（2）投标人在项目节能改造期间，必须设有专职安全员，建立施工安全方面的制度和措施，并报采购人及有关部门。</w:t>
      </w:r>
      <w:r/>
    </w:p>
    <w:p>
      <w:pPr>
        <w:pStyle w:val="967"/>
        <w:ind w:firstLine="48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人员配备：</w:t>
      </w:r>
      <w:r/>
    </w:p>
    <w:p>
      <w:pPr>
        <w:pStyle w:val="967"/>
        <w:ind w:firstLine="48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（1）投标人投入本项目的员工应具有南京市人力资源和社会保障局或以上级别主管单位颁发的相关岗位证书，身体健康，有良好的口头表达能力。投标人在招聘员工时必须事先报采购人政审合格后方可录用。</w:t>
      </w:r>
      <w:r/>
    </w:p>
    <w:p>
      <w:pPr>
        <w:pStyle w:val="967"/>
        <w:ind w:firstLine="48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（2）两个院区设一名项目负责人，不可与其他项目重复，承担合同能源管理服务日常管理、联系、沟通、协调、解决合同能源管理服务过程中发生的问题等各项工作。</w:t>
      </w:r>
      <w:r/>
    </w:p>
    <w:p>
      <w:pPr>
        <w:pStyle w:val="967"/>
        <w:ind w:firstLine="48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（3）节能改造期间设一名工程主管，具备三年以上相应工作经验及处理日常事务及突发事件的能力。</w:t>
      </w:r>
      <w:r/>
    </w:p>
    <w:p>
      <w:pPr>
        <w:pStyle w:val="967"/>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（4）投标人须从“思想道德、尽职尽责、遵章守纪、实绩突出、工作提高”共五个方面对人员进行定期管理考核，考核合格者方能继续上岗工作，考核不合格者予以清退处理。</w:t>
      </w:r>
      <w:r/>
    </w:p>
    <w:p>
      <w:pPr>
        <w:pStyle w:val="767"/>
        <w:ind w:left="0"/>
        <w:spacing w:before="120" w:after="120" w:line="360" w:lineRule="auto"/>
        <w:rPr>
          <w:rFonts w:ascii="宋体" w:hAnsi="宋体" w:eastAsia="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4、服务内容：</w:t>
      </w:r>
      <w:r/>
    </w:p>
    <w:p>
      <w:pPr>
        <w:pStyle w:val="767"/>
        <w:ind w:left="0"/>
        <w:spacing w:line="360" w:lineRule="auto"/>
        <w:rPr>
          <w:rFonts w:ascii="宋体" w:hAnsi="宋体" w:eastAsia="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品目01 迈皋桥院区</w:t>
      </w:r>
      <w:r/>
    </w:p>
    <w:tbl>
      <w:tblPr>
        <w:tblStyle w:val="745"/>
        <w:tblW w:w="95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2142"/>
        <w:gridCol w:w="6496"/>
      </w:tblGrid>
      <w:tr>
        <w:trPr>
          <w:jc w:val="center"/>
          <w:trHeight w:val="685"/>
        </w:trPr>
        <w:tc>
          <w:tcPr>
            <w:shd w:val="clear" w:color="auto" w:fill="auto"/>
            <w:tcW w:w="936" w:type="dxa"/>
            <w:vAlign w:val="center"/>
            <w:textDirection w:val="lrTb"/>
            <w:noWrap/>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序号</w:t>
            </w:r>
            <w:r/>
          </w:p>
        </w:tc>
        <w:tc>
          <w:tcPr>
            <w:shd w:val="clear" w:color="auto" w:fill="auto"/>
            <w:tcW w:w="2142" w:type="dxa"/>
            <w:vAlign w:val="center"/>
            <w:textDirection w:val="lrTb"/>
            <w:noWrap/>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服务内容</w:t>
            </w:r>
            <w:r/>
          </w:p>
        </w:tc>
        <w:tc>
          <w:tcPr>
            <w:shd w:val="clear" w:color="auto" w:fill="auto"/>
            <w:tcW w:w="6496" w:type="dxa"/>
            <w:vAlign w:val="center"/>
            <w:textDirection w:val="lrTb"/>
            <w:noWrap/>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明细</w:t>
            </w:r>
            <w:r/>
          </w:p>
        </w:tc>
      </w:tr>
      <w:tr>
        <w:trPr>
          <w:jc w:val="center"/>
          <w:trHeight w:val="807"/>
        </w:trPr>
        <w:tc>
          <w:tcPr>
            <w:tcW w:w="936" w:type="dxa"/>
            <w:vAlign w:val="center"/>
            <w:textDirection w:val="lrTb"/>
            <w:noWrap/>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2142" w:type="dxa"/>
            <w:vAlign w:val="center"/>
            <w:textDirection w:val="lrTb"/>
            <w:noWrap/>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空调运维人员</w:t>
            </w:r>
            <w:r/>
          </w:p>
        </w:tc>
        <w:tc>
          <w:tcPr>
            <w:tcW w:w="6496" w:type="dxa"/>
            <w:vAlign w:val="center"/>
            <w:textDirection w:val="lrTb"/>
            <w:noWrap/>
          </w:tcPr>
          <w:p>
            <w:pPr>
              <w:rPr>
                <w:rFonts w:ascii="宋体" w:hAnsi="宋体" w:eastAsia="宋体" w:cs="宋体"/>
                <w:color w:val="000000" w:themeColor="text1"/>
                <w:sz w:val="24"/>
                <w:shd w:val="clear" w:color="auto" w:fill="ffffff"/>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白班不少于2人，晚班不少于1人</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，具备相关上岗证书和资格要求，按照院区运行的要求，严格执行24小时值班制。</w:t>
            </w:r>
            <w:r/>
          </w:p>
        </w:tc>
      </w:tr>
      <w:tr>
        <w:trPr>
          <w:jc w:val="center"/>
          <w:trHeight w:val="1199"/>
        </w:trPr>
        <w:tc>
          <w:tcPr>
            <w:tcW w:w="936" w:type="dxa"/>
            <w:vAlign w:val="center"/>
            <w:textDirection w:val="lrTb"/>
            <w:noWrap/>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W w:w="2142" w:type="dxa"/>
            <w:vAlign w:val="center"/>
            <w:textDirection w:val="lrTb"/>
            <w:noWrap/>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日常操作</w:t>
            </w:r>
            <w:r/>
          </w:p>
        </w:tc>
        <w:tc>
          <w:tcPr>
            <w:tcW w:w="6496" w:type="dxa"/>
            <w:vAlign w:val="center"/>
            <w:textDirection w:val="lrTb"/>
            <w:noWrap/>
          </w:tcPr>
          <w:p>
            <w:pPr>
              <w:rPr>
                <w:rFonts w:ascii="宋体" w:hAnsi="宋体" w:eastAsia="宋体" w:cs="宋体"/>
                <w:color w:val="000000" w:themeColor="text1"/>
                <w:sz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1.制冷、采暖、生活热水供应，磁悬浮主机、离心机、冷温水泵、冷却泵、热水循环泵、生活热水泵、冷却塔、燃气锅炉、板换、热水换热罐、太阳能系统、新风系统的操作和管理，具备智能化功能，可对相关数据进行实时分析、反馈。</w:t>
            </w:r>
            <w:r/>
          </w:p>
          <w:p>
            <w:pPr>
              <w:rPr>
                <w:color w:val="000000" w:themeColor="text1"/>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2.上述系统故障的应急抢修。</w:t>
            </w:r>
            <w:r/>
          </w:p>
        </w:tc>
      </w:tr>
      <w:tr>
        <w:trPr>
          <w:jc w:val="center"/>
          <w:trHeight w:val="503"/>
        </w:trPr>
        <w:tc>
          <w:tcPr>
            <w:tcW w:w="936" w:type="dxa"/>
            <w:vAlign w:val="center"/>
            <w:textDirection w:val="lrTb"/>
            <w:noWrap/>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W w:w="2142" w:type="dxa"/>
            <w:vAlign w:val="center"/>
            <w:textDirection w:val="lrTb"/>
            <w:noWrap/>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系统维保</w:t>
            </w:r>
            <w:r/>
          </w:p>
        </w:tc>
        <w:tc>
          <w:tcPr>
            <w:tcW w:w="6496" w:type="dxa"/>
            <w:vAlign w:val="center"/>
            <w:textDirection w:val="lrTb"/>
            <w:noWrap/>
          </w:tcPr>
          <w:p>
            <w:pP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磁悬浮主机、离心机、燃气锅炉、卫热换热罐、冷温水泵、冷却泵、热水循环泵、生活热水泵、板换、分集水器、冷却塔、中央空调和卫热系统阀门、太阳能热水系统及新风系统</w:t>
            </w:r>
            <w:r/>
          </w:p>
        </w:tc>
      </w:tr>
      <w:tr>
        <w:trPr>
          <w:jc w:val="center"/>
          <w:trHeight w:val="1236"/>
        </w:trPr>
        <w:tc>
          <w:tcPr>
            <w:tcW w:w="936" w:type="dxa"/>
            <w:vAlign w:val="center"/>
            <w:textDirection w:val="lrTb"/>
            <w:noWrap/>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W w:w="2142" w:type="dxa"/>
            <w:vAlign w:val="center"/>
            <w:textDirection w:val="lrTb"/>
            <w:noWrap/>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系统维修</w:t>
            </w:r>
            <w:r/>
          </w:p>
        </w:tc>
        <w:tc>
          <w:tcPr>
            <w:tcW w:w="6496" w:type="dxa"/>
            <w:vAlign w:val="center"/>
            <w:textDirection w:val="lrTb"/>
            <w:noWrap/>
          </w:tcPr>
          <w:p>
            <w:pP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维修服务范围：涉及燃气锅炉、中央空调、生活热水系统、太阳能系统、新风系统的维修，单价500元以内的部件由中标人承担。</w:t>
            </w:r>
            <w:r/>
          </w:p>
          <w:p>
            <w:pPr>
              <w:pStyle w:val="749"/>
              <w:spacing w:line="240" w:lineRule="auto"/>
              <w:rPr>
                <w:rFonts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因中标人人为原因造成的燃气锅炉、中央空调、生活热水系统、太阳能系统、新风系统设备发生的故障和损坏，由中标人负责修复。</w:t>
            </w:r>
            <w:r/>
          </w:p>
        </w:tc>
      </w:tr>
      <w:tr>
        <w:trPr>
          <w:jc w:val="center"/>
          <w:trHeight w:val="90"/>
        </w:trPr>
        <w:tc>
          <w:tcPr>
            <w:tcW w:w="936" w:type="dxa"/>
            <w:vAlign w:val="center"/>
            <w:textDirection w:val="lrTb"/>
            <w:noWrap/>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W w:w="2142" w:type="dxa"/>
            <w:vAlign w:val="center"/>
            <w:textDirection w:val="lrTb"/>
            <w:noWrap/>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水质管理</w:t>
            </w:r>
            <w:r/>
          </w:p>
        </w:tc>
        <w:tc>
          <w:tcPr>
            <w:tcW w:w="6496" w:type="dxa"/>
            <w:vAlign w:val="center"/>
            <w:textDirection w:val="lrTb"/>
            <w:noWrap/>
          </w:tcPr>
          <w:p>
            <w:pP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中央空调冷却水、冷温水的水质处理</w:t>
            </w:r>
            <w:r/>
          </w:p>
        </w:tc>
      </w:tr>
      <w:tr>
        <w:trPr>
          <w:jc w:val="center"/>
          <w:trHeight w:val="859"/>
        </w:trPr>
        <w:tc>
          <w:tcPr>
            <w:tcW w:w="936" w:type="dxa"/>
            <w:vAlign w:val="center"/>
            <w:textDirection w:val="lrTb"/>
            <w:noWrap/>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tcW w:w="2142" w:type="dxa"/>
            <w:vAlign w:val="center"/>
            <w:textDirection w:val="lrTb"/>
            <w:noWrap/>
          </w:tcPr>
          <w:p>
            <w:pPr>
              <w:jc w:val="center"/>
              <w:rPr>
                <w:rFonts w:ascii="宋体" w:hAnsi="宋体" w:eastAsia="宋体" w:cs="宋体"/>
                <w:color w:val="000000" w:themeColor="text1"/>
                <w:sz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末端效果保障</w:t>
            </w:r>
            <w:r/>
          </w:p>
        </w:tc>
        <w:tc>
          <w:tcPr>
            <w:tcW w:w="6496" w:type="dxa"/>
            <w:vAlign w:val="center"/>
            <w:textDirection w:val="lrTb"/>
            <w:noWrap/>
          </w:tcPr>
          <w:p>
            <w:pPr>
              <w:rPr>
                <w:rFonts w:ascii="宋体" w:hAnsi="宋体" w:eastAsia="宋体" w:cs="宋体"/>
                <w:color w:val="000000" w:themeColor="text1"/>
                <w:sz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中央空调末端（不含手术室、净化区域末端）维护保养，包括末端风机盘管、风柜的定期清洗和日常维护、维修</w:t>
            </w:r>
            <w:r/>
          </w:p>
        </w:tc>
      </w:tr>
      <w:tr>
        <w:trPr>
          <w:jc w:val="center"/>
          <w:trHeight w:val="807"/>
        </w:trPr>
        <w:tc>
          <w:tcPr>
            <w:tcW w:w="936" w:type="dxa"/>
            <w:vAlign w:val="center"/>
            <w:textDirection w:val="lrTb"/>
            <w:noWrap/>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tcW w:w="2142" w:type="dxa"/>
            <w:vAlign w:val="center"/>
            <w:textDirection w:val="lrTb"/>
            <w:noWrap/>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特种设备及安全附件管理</w:t>
            </w:r>
            <w:r/>
          </w:p>
        </w:tc>
        <w:tc>
          <w:tcPr>
            <w:tcW w:w="6496" w:type="dxa"/>
            <w:vAlign w:val="center"/>
            <w:textDirection w:val="lrTb"/>
            <w:noWrap/>
          </w:tcPr>
          <w:p>
            <w:pP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蒸发器、冷凝器等压力容器及压力表、安全阀等安全附件的定期检验。锅炉年检（如需）</w:t>
            </w:r>
            <w:r/>
          </w:p>
        </w:tc>
      </w:tr>
      <w:tr>
        <w:trPr>
          <w:jc w:val="center"/>
          <w:trHeight w:val="519"/>
        </w:trPr>
        <w:tc>
          <w:tcPr>
            <w:tcW w:w="936" w:type="dxa"/>
            <w:vAlign w:val="center"/>
            <w:textDirection w:val="lrTb"/>
            <w:noWrap/>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w:t>
            </w:r>
            <w:r/>
          </w:p>
        </w:tc>
        <w:tc>
          <w:tcPr>
            <w:tcW w:w="2142" w:type="dxa"/>
            <w:vAlign w:val="center"/>
            <w:textDirection w:val="lrTb"/>
            <w:noWrap/>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满意度调查</w:t>
            </w:r>
            <w:r/>
          </w:p>
        </w:tc>
        <w:tc>
          <w:tcPr>
            <w:tcW w:w="6496" w:type="dxa"/>
            <w:vAlign w:val="center"/>
            <w:textDirection w:val="lrTb"/>
            <w:noWrap/>
          </w:tcPr>
          <w:p>
            <w:pPr>
              <w:rPr>
                <w:rFonts w:ascii="宋体" w:hAnsi="宋体" w:eastAsia="宋体" w:cs="宋体"/>
                <w:color w:val="000000" w:themeColor="text1"/>
                <w:sz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每月提供满意度调查表，满足采购人日常管理要求</w:t>
            </w:r>
            <w:r/>
          </w:p>
        </w:tc>
      </w:tr>
      <w:tr>
        <w:trPr>
          <w:jc w:val="center"/>
          <w:trHeight w:val="610"/>
        </w:trPr>
        <w:tc>
          <w:tcPr>
            <w:tcW w:w="936" w:type="dxa"/>
            <w:vAlign w:val="center"/>
            <w:textDirection w:val="lrTb"/>
            <w:noWrap/>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w:t>
            </w:r>
            <w:r/>
          </w:p>
        </w:tc>
        <w:tc>
          <w:tcPr>
            <w:tcW w:w="2142" w:type="dxa"/>
            <w:vAlign w:val="center"/>
            <w:textDirection w:val="lrTb"/>
            <w:noWrap/>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支付电、燃气费用</w:t>
            </w:r>
            <w:r/>
          </w:p>
        </w:tc>
        <w:tc>
          <w:tcPr>
            <w:tcW w:w="6496" w:type="dxa"/>
            <w:vAlign w:val="center"/>
            <w:textDirection w:val="lrTb"/>
            <w:noWrap/>
          </w:tcPr>
          <w:p>
            <w:pP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承担全院电费、锅炉房燃气能源费用。 </w:t>
            </w:r>
            <w:r/>
          </w:p>
        </w:tc>
      </w:tr>
      <w:tr>
        <w:trPr>
          <w:jc w:val="center"/>
          <w:trHeight w:val="874"/>
        </w:trPr>
        <w:tc>
          <w:tcPr>
            <w:gridSpan w:val="3"/>
            <w:tcW w:w="9574" w:type="dxa"/>
            <w:vAlign w:val="center"/>
            <w:textDirection w:val="lrTb"/>
            <w:noWrap/>
          </w:tcPr>
          <w:p>
            <w:pPr>
              <w:ind w:right="-23"/>
              <w:tabs>
                <w:tab w:val="left" w:pos="-1740" w:leader="none"/>
                <w:tab w:val="left" w:pos="510" w:leader="none"/>
              </w:tabs>
              <w:rPr>
                <w:color w:val="000000" w:themeColor="text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备注：</w:t>
            </w:r>
            <w:r/>
          </w:p>
          <w:p>
            <w:pPr>
              <w:ind w:right="-23"/>
              <w:tabs>
                <w:tab w:val="left" w:pos="-1740" w:leader="none"/>
                <w:tab w:val="left" w:pos="510" w:leader="none"/>
              </w:tabs>
              <w:rPr>
                <w:color w:val="000000" w:themeColor="text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1.关于空调末端的日常维护，</w:t>
            </w:r>
            <w:r>
              <w:rPr>
                <w:rFonts w:hint="eastAsia" w:eastAsia="宋体"/>
                <w:color w:val="000000" w:themeColor="text1"/>
                <w:sz w:val="21"/>
                <w:szCs w:val="21"/>
                <w14:textFill>
                  <w14:solidFill>
                    <w14:schemeClr w14:val="tx1"/>
                  </w14:solidFill>
                </w14:textFill>
              </w:rPr>
              <w:t xml:space="preserve">投标人</w:t>
            </w:r>
            <w:r>
              <w:rPr>
                <w:rFonts w:hint="eastAsia"/>
                <w:color w:val="000000" w:themeColor="text1"/>
                <w:sz w:val="21"/>
                <w:szCs w:val="21"/>
                <w14:textFill>
                  <w14:solidFill>
                    <w14:schemeClr w14:val="tx1"/>
                  </w14:solidFill>
                </w14:textFill>
              </w:rPr>
              <w:t xml:space="preserve">负责人工费、末端清洗（含药剂）以及末端设备中的电容、金属软管、风和水过滤器、润滑油更换等单价</w:t>
            </w:r>
            <w:r>
              <w:rPr>
                <w:color w:val="000000" w:themeColor="text1"/>
                <w:sz w:val="21"/>
                <w:szCs w:val="21"/>
                <w14:textFill>
                  <w14:solidFill>
                    <w14:schemeClr w14:val="tx1"/>
                  </w14:solidFill>
                </w14:textFill>
              </w:rPr>
              <w:t xml:space="preserve">5</w:t>
            </w:r>
            <w:r>
              <w:rPr>
                <w:rFonts w:hint="eastAsia"/>
                <w:color w:val="000000" w:themeColor="text1"/>
                <w:sz w:val="21"/>
                <w:szCs w:val="21"/>
                <w14:textFill>
                  <w14:solidFill>
                    <w14:schemeClr w14:val="tx1"/>
                  </w14:solidFill>
                </w14:textFill>
              </w:rPr>
              <w:t xml:space="preserve">00元内备品备件更换；</w:t>
            </w:r>
            <w:r/>
          </w:p>
          <w:p>
            <w:pPr>
              <w:ind w:right="-23"/>
              <w:tabs>
                <w:tab w:val="left" w:pos="-1740" w:leader="none"/>
                <w:tab w:val="left" w:pos="510" w:leader="none"/>
              </w:tabs>
              <w:rPr>
                <w:color w:val="000000" w:themeColor="text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2.在机房系统设备的维护保养过程中，由于非</w:t>
            </w:r>
            <w:r>
              <w:rPr>
                <w:rFonts w:hint="eastAsia" w:eastAsia="宋体"/>
                <w:color w:val="000000" w:themeColor="text1"/>
                <w:sz w:val="21"/>
                <w:szCs w:val="21"/>
                <w14:textFill>
                  <w14:solidFill>
                    <w14:schemeClr w14:val="tx1"/>
                  </w14:solidFill>
                </w14:textFill>
              </w:rPr>
              <w:t xml:space="preserve">投标人</w:t>
            </w:r>
            <w:r>
              <w:rPr>
                <w:rFonts w:hint="eastAsia"/>
                <w:color w:val="000000" w:themeColor="text1"/>
                <w:sz w:val="21"/>
                <w:szCs w:val="21"/>
                <w14:textFill>
                  <w14:solidFill>
                    <w14:schemeClr w14:val="tx1"/>
                  </w14:solidFill>
                </w14:textFill>
              </w:rPr>
              <w:t xml:space="preserve">原因造成的设备、设施损坏或设备寿命到期，医院应按照双方认可的方案及时维修或者更换（</w:t>
            </w:r>
            <w:r>
              <w:rPr>
                <w:color w:val="000000" w:themeColor="text1"/>
                <w:sz w:val="21"/>
                <w:szCs w:val="21"/>
                <w14:textFill>
                  <w14:solidFill>
                    <w14:schemeClr w14:val="tx1"/>
                  </w14:solidFill>
                </w14:textFill>
              </w:rPr>
              <w:t xml:space="preserve">5</w:t>
            </w:r>
            <w:r>
              <w:rPr>
                <w:rFonts w:hint="eastAsia"/>
                <w:color w:val="000000" w:themeColor="text1"/>
                <w:sz w:val="21"/>
                <w:szCs w:val="21"/>
                <w14:textFill>
                  <w14:solidFill>
                    <w14:schemeClr w14:val="tx1"/>
                  </w14:solidFill>
                </w14:textFill>
              </w:rPr>
              <w:t xml:space="preserve">00元以内的备品备件由</w:t>
            </w:r>
            <w:r>
              <w:rPr>
                <w:rFonts w:hint="eastAsia" w:eastAsia="宋体"/>
                <w:color w:val="000000" w:themeColor="text1"/>
                <w:sz w:val="21"/>
                <w:szCs w:val="21"/>
                <w14:textFill>
                  <w14:solidFill>
                    <w14:schemeClr w14:val="tx1"/>
                  </w14:solidFill>
                </w14:textFill>
              </w:rPr>
              <w:t xml:space="preserve">投标人</w:t>
            </w:r>
            <w:r>
              <w:rPr>
                <w:rFonts w:hint="eastAsia"/>
                <w:color w:val="000000" w:themeColor="text1"/>
                <w:sz w:val="21"/>
                <w:szCs w:val="21"/>
                <w14:textFill>
                  <w14:solidFill>
                    <w14:schemeClr w14:val="tx1"/>
                  </w14:solidFill>
                </w14:textFill>
              </w:rPr>
              <w:t xml:space="preserve">负责）。</w:t>
            </w:r>
            <w:r/>
          </w:p>
          <w:p>
            <w:pPr>
              <w:ind w:right="-23"/>
              <w:tabs>
                <w:tab w:val="left" w:pos="-1740" w:leader="none"/>
                <w:tab w:val="left" w:pos="510" w:leader="none"/>
              </w:tabs>
              <w:rPr>
                <w:color w:val="000000" w:themeColor="text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3.关于非投标人投资改造的多联机空调、风冷热泵，</w:t>
            </w:r>
            <w:r>
              <w:rPr>
                <w:rFonts w:hint="eastAsia" w:eastAsia="宋体"/>
                <w:color w:val="000000" w:themeColor="text1"/>
                <w:sz w:val="21"/>
                <w:szCs w:val="21"/>
                <w14:textFill>
                  <w14:solidFill>
                    <w14:schemeClr w14:val="tx1"/>
                  </w14:solidFill>
                </w14:textFill>
              </w:rPr>
              <w:t xml:space="preserve">投标人</w:t>
            </w:r>
            <w:r>
              <w:rPr>
                <w:rFonts w:hint="eastAsia"/>
                <w:color w:val="000000" w:themeColor="text1"/>
                <w:sz w:val="21"/>
                <w:szCs w:val="21"/>
                <w14:textFill>
                  <w14:solidFill>
                    <w14:schemeClr w14:val="tx1"/>
                  </w14:solidFill>
                </w14:textFill>
              </w:rPr>
              <w:t xml:space="preserve">负责每年冬、夏两季进行两次例行维护，日常工作包含清洗、日常保障等，备品备件费用由采购人</w:t>
            </w:r>
            <w:r>
              <w:rPr>
                <w:rFonts w:hint="eastAsia" w:eastAsia="宋体"/>
                <w:color w:val="000000" w:themeColor="text1"/>
                <w:sz w:val="21"/>
                <w:szCs w:val="21"/>
                <w14:textFill>
                  <w14:solidFill>
                    <w14:schemeClr w14:val="tx1"/>
                  </w14:solidFill>
                </w14:textFill>
              </w:rPr>
              <w:t xml:space="preserve">承担</w:t>
            </w:r>
            <w:r>
              <w:rPr>
                <w:rFonts w:hint="eastAsia"/>
                <w:color w:val="000000" w:themeColor="text1"/>
                <w:sz w:val="21"/>
                <w:szCs w:val="21"/>
                <w14:textFill>
                  <w14:solidFill>
                    <w14:schemeClr w14:val="tx1"/>
                  </w14:solidFill>
                </w14:textFill>
              </w:rPr>
              <w:t xml:space="preserve">。</w:t>
            </w:r>
            <w:r/>
          </w:p>
          <w:p>
            <w:pPr>
              <w:ind w:right="-23"/>
              <w:tabs>
                <w:tab w:val="left" w:pos="-1740" w:leader="none"/>
                <w:tab w:val="left" w:pos="510" w:leader="none"/>
              </w:tabs>
              <w:rPr>
                <w:rFonts w:eastAsia="宋体"/>
                <w:color w:val="000000" w:themeColor="text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4.分体空调日常拆移机为有偿服务，包括拆移机产生的管线加长、零配件更换及充氟等费用</w:t>
            </w:r>
            <w:r>
              <w:rPr>
                <w:rFonts w:hint="eastAsia" w:eastAsia="宋体"/>
                <w:color w:val="000000" w:themeColor="text1"/>
                <w:sz w:val="21"/>
                <w:szCs w:val="21"/>
                <w14:textFill>
                  <w14:solidFill>
                    <w14:schemeClr w14:val="tx1"/>
                  </w14:solidFill>
                </w14:textFill>
              </w:rPr>
              <w:t xml:space="preserve">由采购人负责</w:t>
            </w:r>
            <w:r>
              <w:rPr>
                <w:rFonts w:hint="eastAsia"/>
                <w:color w:val="000000" w:themeColor="text1"/>
                <w:sz w:val="21"/>
                <w:szCs w:val="21"/>
                <w14:textFill>
                  <w14:solidFill>
                    <w14:schemeClr w14:val="tx1"/>
                  </w14:solidFill>
                </w14:textFill>
              </w:rPr>
              <w:t xml:space="preserve">。</w:t>
            </w:r>
            <w:r/>
          </w:p>
          <w:p>
            <w:pPr>
              <w:rPr>
                <w:color w:val="000000" w:themeColor="text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5.关于500元以内的备品备件界定问题，按采购人所在地市场询价确定。</w:t>
            </w:r>
            <w:r/>
          </w:p>
          <w:p>
            <w:pPr>
              <w:rPr>
                <w:rFonts w:ascii="宋体" w:hAnsi="宋体" w:eastAsia="宋体" w:cs="宋体"/>
                <w:color w:val="000000" w:themeColor="text1"/>
                <w:sz w:val="24"/>
                <w14:textFill>
                  <w14:solidFill>
                    <w14:schemeClr w14:val="tx1"/>
                  </w14:solidFill>
                </w14:textFill>
              </w:rPr>
            </w:pPr>
            <w:r>
              <w:rPr>
                <w:rFonts w:hint="eastAsia"/>
                <w:color w:val="000000" w:themeColor="text1"/>
                <w:sz w:val="21"/>
                <w:szCs w:val="21"/>
                <w14:textFill>
                  <w14:solidFill>
                    <w14:schemeClr w14:val="tx1"/>
                  </w14:solidFill>
                </w14:textFill>
              </w:rPr>
              <w:t xml:space="preserve">6.定期检测指本项目相关法规要求的强制定期检测设备、仪表等，包括不限于压力容器及其安全附件、燃气泄漏检测、公共场所集中空调通风系统空气品质。</w:t>
            </w:r>
            <w:r/>
          </w:p>
        </w:tc>
      </w:tr>
    </w:tbl>
    <w:p>
      <w:pPr>
        <w:pStyle w:val="768"/>
        <w:spacing w:line="360" w:lineRule="auto"/>
        <w:rPr>
          <w:rFonts w:ascii="宋体" w:hAnsi="宋体" w:eastAsia="宋体" w:cs="宋体"/>
          <w:b/>
          <w:bCs/>
          <w:color w:val="000000" w:themeColor="text1"/>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品目02 阅江楼院区</w:t>
      </w:r>
      <w:r/>
    </w:p>
    <w:tbl>
      <w:tblPr>
        <w:tblStyle w:val="745"/>
        <w:tblW w:w="95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2142"/>
        <w:gridCol w:w="6496"/>
      </w:tblGrid>
      <w:tr>
        <w:trPr>
          <w:jc w:val="center"/>
          <w:trHeight w:val="685"/>
        </w:trPr>
        <w:tc>
          <w:tcPr>
            <w:shd w:val="clear" w:color="auto" w:fill="auto"/>
            <w:tcW w:w="936" w:type="dxa"/>
            <w:vAlign w:val="center"/>
            <w:textDirection w:val="lrTb"/>
            <w:noWrap/>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序号</w:t>
            </w:r>
            <w:r/>
          </w:p>
        </w:tc>
        <w:tc>
          <w:tcPr>
            <w:shd w:val="clear" w:color="auto" w:fill="auto"/>
            <w:tcW w:w="2142" w:type="dxa"/>
            <w:vAlign w:val="center"/>
            <w:textDirection w:val="lrTb"/>
            <w:noWrap/>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服务内容</w:t>
            </w:r>
            <w:r/>
          </w:p>
        </w:tc>
        <w:tc>
          <w:tcPr>
            <w:shd w:val="clear" w:color="auto" w:fill="auto"/>
            <w:tcW w:w="6496" w:type="dxa"/>
            <w:vAlign w:val="center"/>
            <w:textDirection w:val="lrTb"/>
            <w:noWrap/>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明细</w:t>
            </w:r>
            <w:r/>
          </w:p>
        </w:tc>
      </w:tr>
      <w:tr>
        <w:trPr>
          <w:jc w:val="center"/>
          <w:trHeight w:val="807"/>
        </w:trPr>
        <w:tc>
          <w:tcPr>
            <w:tcW w:w="936" w:type="dxa"/>
            <w:vAlign w:val="center"/>
            <w:textDirection w:val="lrTb"/>
            <w:noWrap/>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2142" w:type="dxa"/>
            <w:vAlign w:val="center"/>
            <w:textDirection w:val="lrTb"/>
            <w:noWrap/>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运维人员</w:t>
            </w:r>
            <w:r/>
          </w:p>
        </w:tc>
        <w:tc>
          <w:tcPr>
            <w:tcW w:w="6496" w:type="dxa"/>
            <w:vAlign w:val="center"/>
            <w:textDirection w:val="lrTb"/>
            <w:noWrap/>
          </w:tcPr>
          <w:p>
            <w:pPr>
              <w:rPr>
                <w:rFonts w:ascii="宋体" w:hAnsi="宋体" w:eastAsia="宋体" w:cs="宋体"/>
                <w:color w:val="000000" w:themeColor="text1"/>
                <w:sz w:val="24"/>
                <w:shd w:val="clear" w:color="auto" w:fill="ffffff"/>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白班不少于2人，晚班不少于2人（改造期间，白班不少于3人，晚班不少于2人）</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，具备相关上岗证书和资格要求，按照院区运行的要求，严格执行24小时值班制</w:t>
            </w:r>
            <w:r/>
          </w:p>
        </w:tc>
      </w:tr>
      <w:tr>
        <w:trPr>
          <w:jc w:val="center"/>
          <w:trHeight w:val="1016"/>
        </w:trPr>
        <w:tc>
          <w:tcPr>
            <w:tcW w:w="936" w:type="dxa"/>
            <w:vAlign w:val="center"/>
            <w:textDirection w:val="lrTb"/>
            <w:noWrap/>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W w:w="2142" w:type="dxa"/>
            <w:vAlign w:val="center"/>
            <w:textDirection w:val="lrTb"/>
            <w:noWrap/>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日常操作</w:t>
            </w:r>
            <w:r/>
          </w:p>
        </w:tc>
        <w:tc>
          <w:tcPr>
            <w:tcW w:w="6496" w:type="dxa"/>
            <w:vAlign w:val="center"/>
            <w:textDirection w:val="lrTb"/>
            <w:noWrap/>
          </w:tcPr>
          <w:p>
            <w:pPr>
              <w:rPr>
                <w:rFonts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1.</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制冷、采暖、生活热水系统操作及供应，</w:t>
            </w:r>
            <w:r>
              <w:rPr>
                <w:rFonts w:hint="eastAsia" w:ascii="宋体" w:hAnsi="宋体" w:eastAsia="宋体" w:cs="宋体"/>
                <w:color w:val="000000" w:themeColor="text1"/>
                <w:sz w:val="24"/>
                <w:szCs w:val="32"/>
                <w14:textFill>
                  <w14:solidFill>
                    <w14:schemeClr w14:val="tx1"/>
                  </w14:solidFill>
                </w14:textFill>
              </w:rPr>
              <w:t xml:space="preserve">配电房及其附属设施的</w:t>
            </w:r>
            <w:r>
              <w:rPr>
                <w:rFonts w:hint="eastAsia" w:ascii="宋体" w:hAnsi="宋体" w:eastAsia="宋体" w:cs="宋体"/>
                <w:color w:val="000000" w:themeColor="text1"/>
                <w:sz w:val="24"/>
                <w:szCs w:val="24"/>
                <w14:textFill>
                  <w14:solidFill>
                    <w14:schemeClr w14:val="tx1"/>
                  </w14:solidFill>
                </w14:textFill>
              </w:rPr>
              <w:t xml:space="preserve">操作与日常保养、故障应对</w:t>
            </w:r>
            <w:r>
              <w:rPr>
                <w:rFonts w:hint="eastAsia" w:ascii="宋体" w:hAnsi="宋体" w:eastAsia="宋体" w:cs="宋体"/>
                <w:color w:val="000000" w:themeColor="text1"/>
                <w:sz w:val="24"/>
                <w:szCs w:val="32"/>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具备智能化功能，可对相关数据进行实时分析、反馈</w:t>
            </w:r>
            <w:r/>
          </w:p>
          <w:p>
            <w:pPr>
              <w:rPr>
                <w:color w:val="000000" w:themeColor="text1"/>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2.上述系统故障的应急抢修</w:t>
            </w:r>
            <w:r/>
          </w:p>
        </w:tc>
      </w:tr>
      <w:tr>
        <w:trPr>
          <w:jc w:val="center"/>
          <w:trHeight w:val="503"/>
        </w:trPr>
        <w:tc>
          <w:tcPr>
            <w:tcW w:w="936" w:type="dxa"/>
            <w:vAlign w:val="center"/>
            <w:textDirection w:val="lrTb"/>
            <w:noWrap/>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W w:w="2142" w:type="dxa"/>
            <w:vAlign w:val="center"/>
            <w:textDirection w:val="lrTb"/>
            <w:noWrap/>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系统维保</w:t>
            </w:r>
            <w:r/>
          </w:p>
        </w:tc>
        <w:tc>
          <w:tcPr>
            <w:tcW w:w="6496" w:type="dxa"/>
            <w:vAlign w:val="center"/>
            <w:textDirection w:val="lrTb"/>
            <w:noWrap/>
          </w:tcPr>
          <w:p>
            <w:pP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制冷、采暖、生活热水主机、卫热换热罐、冷温水泵、生活热水泵、中央空调和卫热系统阀门</w:t>
            </w:r>
            <w:r/>
          </w:p>
        </w:tc>
      </w:tr>
      <w:tr>
        <w:trPr>
          <w:jc w:val="center"/>
          <w:trHeight w:val="1236"/>
        </w:trPr>
        <w:tc>
          <w:tcPr>
            <w:tcW w:w="936" w:type="dxa"/>
            <w:vAlign w:val="center"/>
            <w:textDirection w:val="lrTb"/>
            <w:noWrap/>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W w:w="2142" w:type="dxa"/>
            <w:vAlign w:val="center"/>
            <w:textDirection w:val="lrTb"/>
            <w:noWrap/>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系统维修</w:t>
            </w:r>
            <w:r/>
          </w:p>
        </w:tc>
        <w:tc>
          <w:tcPr>
            <w:tcW w:w="6496" w:type="dxa"/>
            <w:vAlign w:val="center"/>
            <w:textDirection w:val="lrTb"/>
            <w:noWrap/>
          </w:tcPr>
          <w:p>
            <w:pP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维修服务范围：涉及中央空调、生活热水系统的维修，单价500元以内的部件由中标人承担。</w:t>
            </w:r>
            <w:r/>
          </w:p>
          <w:p>
            <w:pPr>
              <w:pStyle w:val="749"/>
              <w:spacing w:line="240" w:lineRule="auto"/>
              <w:rPr>
                <w:rFonts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因中标人人为原因造成的中央空调、生活热水系统设备发生的故障和损坏，由中标人负责修复。</w:t>
            </w:r>
            <w:r/>
          </w:p>
        </w:tc>
      </w:tr>
      <w:tr>
        <w:trPr>
          <w:jc w:val="center"/>
          <w:trHeight w:val="525"/>
        </w:trPr>
        <w:tc>
          <w:tcPr>
            <w:tcW w:w="936" w:type="dxa"/>
            <w:vAlign w:val="center"/>
            <w:textDirection w:val="lrTb"/>
            <w:noWrap/>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W w:w="2142" w:type="dxa"/>
            <w:vAlign w:val="center"/>
            <w:textDirection w:val="lrTb"/>
            <w:noWrap/>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水质管理</w:t>
            </w:r>
            <w:r/>
          </w:p>
        </w:tc>
        <w:tc>
          <w:tcPr>
            <w:tcW w:w="6496" w:type="dxa"/>
            <w:vAlign w:val="center"/>
            <w:textDirection w:val="lrTb"/>
            <w:noWrap/>
          </w:tcPr>
          <w:p>
            <w:pP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中央空调冷温水的水质处理</w:t>
            </w:r>
            <w:r/>
          </w:p>
        </w:tc>
      </w:tr>
      <w:tr>
        <w:trPr>
          <w:jc w:val="center"/>
          <w:trHeight w:val="654"/>
        </w:trPr>
        <w:tc>
          <w:tcPr>
            <w:tcW w:w="936" w:type="dxa"/>
            <w:vAlign w:val="center"/>
            <w:textDirection w:val="lrTb"/>
            <w:noWrap/>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tcW w:w="2142" w:type="dxa"/>
            <w:vAlign w:val="center"/>
            <w:textDirection w:val="lrTb"/>
            <w:noWrap/>
          </w:tcPr>
          <w:p>
            <w:pPr>
              <w:jc w:val="center"/>
              <w:rPr>
                <w:rFonts w:ascii="宋体" w:hAnsi="宋体" w:eastAsia="宋体" w:cs="宋体"/>
                <w:color w:val="000000" w:themeColor="text1"/>
                <w:sz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末端效果保障</w:t>
            </w:r>
            <w:r/>
          </w:p>
        </w:tc>
        <w:tc>
          <w:tcPr>
            <w:tcW w:w="6496" w:type="dxa"/>
            <w:vAlign w:val="center"/>
            <w:textDirection w:val="lrTb"/>
            <w:noWrap/>
          </w:tcPr>
          <w:p>
            <w:pPr>
              <w:rPr>
                <w:rFonts w:ascii="宋体" w:hAnsi="宋体" w:eastAsia="宋体" w:cs="宋体"/>
                <w:color w:val="000000" w:themeColor="text1"/>
                <w:sz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中央空调末端维护保养，定期清洗和日常维护、维修</w:t>
            </w:r>
            <w:r/>
          </w:p>
        </w:tc>
      </w:tr>
      <w:tr>
        <w:trPr>
          <w:jc w:val="center"/>
          <w:trHeight w:val="807"/>
        </w:trPr>
        <w:tc>
          <w:tcPr>
            <w:tcW w:w="936" w:type="dxa"/>
            <w:vAlign w:val="center"/>
            <w:textDirection w:val="lrTb"/>
            <w:noWrap/>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tcW w:w="2142" w:type="dxa"/>
            <w:vAlign w:val="center"/>
            <w:textDirection w:val="lrTb"/>
            <w:noWrap/>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特种设备及安全附件管理</w:t>
            </w:r>
            <w:r/>
          </w:p>
        </w:tc>
        <w:tc>
          <w:tcPr>
            <w:tcW w:w="6496" w:type="dxa"/>
            <w:vAlign w:val="center"/>
            <w:textDirection w:val="lrTb"/>
            <w:noWrap/>
          </w:tcPr>
          <w:p>
            <w:pP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蒸发器、冷凝器等压力容器及压力表、安全阀等安全附件的定期检验</w:t>
            </w:r>
            <w:r/>
          </w:p>
        </w:tc>
      </w:tr>
      <w:tr>
        <w:trPr>
          <w:jc w:val="center"/>
          <w:trHeight w:val="577"/>
        </w:trPr>
        <w:tc>
          <w:tcPr>
            <w:tcW w:w="936" w:type="dxa"/>
            <w:vAlign w:val="center"/>
            <w:textDirection w:val="lrTb"/>
            <w:noWrap/>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w:t>
            </w:r>
            <w:r/>
          </w:p>
        </w:tc>
        <w:tc>
          <w:tcPr>
            <w:tcW w:w="2142" w:type="dxa"/>
            <w:vAlign w:val="center"/>
            <w:textDirection w:val="lrTb"/>
            <w:noWrap/>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满意度调查</w:t>
            </w:r>
            <w:r/>
          </w:p>
        </w:tc>
        <w:tc>
          <w:tcPr>
            <w:tcW w:w="6496" w:type="dxa"/>
            <w:vAlign w:val="center"/>
            <w:textDirection w:val="lrTb"/>
            <w:noWrap/>
          </w:tcPr>
          <w:p>
            <w:pPr>
              <w:rPr>
                <w:rFonts w:ascii="宋体" w:hAnsi="宋体" w:eastAsia="宋体" w:cs="宋体"/>
                <w:color w:val="000000" w:themeColor="text1"/>
                <w:sz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每月提供满意度调查表，满足采购人日常管理要求</w:t>
            </w:r>
            <w:r/>
          </w:p>
        </w:tc>
      </w:tr>
      <w:tr>
        <w:trPr>
          <w:jc w:val="center"/>
          <w:trHeight w:val="645"/>
        </w:trPr>
        <w:tc>
          <w:tcPr>
            <w:tcW w:w="936" w:type="dxa"/>
            <w:vAlign w:val="center"/>
            <w:textDirection w:val="lrTb"/>
            <w:noWrap/>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w:t>
            </w:r>
            <w:r/>
          </w:p>
        </w:tc>
        <w:tc>
          <w:tcPr>
            <w:tcW w:w="2142" w:type="dxa"/>
            <w:vAlign w:val="center"/>
            <w:textDirection w:val="lrTb"/>
            <w:noWrap/>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支付电费</w:t>
            </w:r>
            <w:r/>
          </w:p>
        </w:tc>
        <w:tc>
          <w:tcPr>
            <w:tcW w:w="6496" w:type="dxa"/>
            <w:vAlign w:val="center"/>
            <w:textDirection w:val="lrTb"/>
            <w:noWrap/>
          </w:tcPr>
          <w:p>
            <w:pP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采购结算中央空调主机、生活热水主机及输配泵组电费</w:t>
            </w:r>
            <w:r/>
          </w:p>
        </w:tc>
      </w:tr>
      <w:tr>
        <w:trPr>
          <w:jc w:val="center"/>
          <w:trHeight w:val="874"/>
        </w:trPr>
        <w:tc>
          <w:tcPr>
            <w:gridSpan w:val="3"/>
            <w:tcW w:w="9574" w:type="dxa"/>
            <w:vAlign w:val="center"/>
            <w:textDirection w:val="lrTb"/>
            <w:noWrap/>
          </w:tcPr>
          <w:p>
            <w:pPr>
              <w:ind w:right="-23"/>
              <w:tabs>
                <w:tab w:val="left" w:pos="-1740" w:leader="none"/>
                <w:tab w:val="left" w:pos="510" w:leader="none"/>
              </w:tabs>
              <w:rPr>
                <w:color w:val="000000" w:themeColor="text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备注：</w:t>
            </w:r>
            <w:r/>
          </w:p>
          <w:p>
            <w:pPr>
              <w:ind w:right="-23"/>
              <w:tabs>
                <w:tab w:val="left" w:pos="-1740" w:leader="none"/>
                <w:tab w:val="left" w:pos="510" w:leader="none"/>
              </w:tabs>
              <w:rPr>
                <w:color w:val="000000" w:themeColor="text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1.关于空调末端的日常维护，</w:t>
            </w:r>
            <w:r>
              <w:rPr>
                <w:rFonts w:hint="eastAsia" w:eastAsia="宋体"/>
                <w:color w:val="000000" w:themeColor="text1"/>
                <w:sz w:val="21"/>
                <w:szCs w:val="21"/>
                <w14:textFill>
                  <w14:solidFill>
                    <w14:schemeClr w14:val="tx1"/>
                  </w14:solidFill>
                </w14:textFill>
              </w:rPr>
              <w:t xml:space="preserve">投标人</w:t>
            </w:r>
            <w:r>
              <w:rPr>
                <w:rFonts w:hint="eastAsia"/>
                <w:color w:val="000000" w:themeColor="text1"/>
                <w:sz w:val="21"/>
                <w:szCs w:val="21"/>
                <w14:textFill>
                  <w14:solidFill>
                    <w14:schemeClr w14:val="tx1"/>
                  </w14:solidFill>
                </w14:textFill>
              </w:rPr>
              <w:t xml:space="preserve">负责人工费、末端清洗（含药剂）以及末端设备中的电容、金属软管、风和水过滤器、润滑油更换等单价</w:t>
            </w:r>
            <w:r>
              <w:rPr>
                <w:color w:val="000000" w:themeColor="text1"/>
                <w:sz w:val="21"/>
                <w:szCs w:val="21"/>
                <w14:textFill>
                  <w14:solidFill>
                    <w14:schemeClr w14:val="tx1"/>
                  </w14:solidFill>
                </w14:textFill>
              </w:rPr>
              <w:t xml:space="preserve">5</w:t>
            </w:r>
            <w:r>
              <w:rPr>
                <w:rFonts w:hint="eastAsia"/>
                <w:color w:val="000000" w:themeColor="text1"/>
                <w:sz w:val="21"/>
                <w:szCs w:val="21"/>
                <w14:textFill>
                  <w14:solidFill>
                    <w14:schemeClr w14:val="tx1"/>
                  </w14:solidFill>
                </w14:textFill>
              </w:rPr>
              <w:t xml:space="preserve">00元内备品备件更换；</w:t>
            </w:r>
            <w:r/>
          </w:p>
          <w:p>
            <w:pPr>
              <w:ind w:right="-23"/>
              <w:tabs>
                <w:tab w:val="left" w:pos="-1740" w:leader="none"/>
                <w:tab w:val="left" w:pos="510" w:leader="none"/>
              </w:tabs>
              <w:rPr>
                <w:color w:val="000000" w:themeColor="text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2.在机房系统设备的维护保养过程中，由于非</w:t>
            </w:r>
            <w:r>
              <w:rPr>
                <w:rFonts w:hint="eastAsia" w:eastAsia="宋体"/>
                <w:color w:val="000000" w:themeColor="text1"/>
                <w:sz w:val="21"/>
                <w:szCs w:val="21"/>
                <w14:textFill>
                  <w14:solidFill>
                    <w14:schemeClr w14:val="tx1"/>
                  </w14:solidFill>
                </w14:textFill>
              </w:rPr>
              <w:t xml:space="preserve">投标人</w:t>
            </w:r>
            <w:r>
              <w:rPr>
                <w:rFonts w:hint="eastAsia"/>
                <w:color w:val="000000" w:themeColor="text1"/>
                <w:sz w:val="21"/>
                <w:szCs w:val="21"/>
                <w14:textFill>
                  <w14:solidFill>
                    <w14:schemeClr w14:val="tx1"/>
                  </w14:solidFill>
                </w14:textFill>
              </w:rPr>
              <w:t xml:space="preserve">原因造成的设备、设施损坏或设备寿命到期，医院应按照双方认可的方案及时维修或者更换（</w:t>
            </w:r>
            <w:r>
              <w:rPr>
                <w:color w:val="000000" w:themeColor="text1"/>
                <w:sz w:val="21"/>
                <w:szCs w:val="21"/>
                <w14:textFill>
                  <w14:solidFill>
                    <w14:schemeClr w14:val="tx1"/>
                  </w14:solidFill>
                </w14:textFill>
              </w:rPr>
              <w:t xml:space="preserve">5</w:t>
            </w:r>
            <w:r>
              <w:rPr>
                <w:rFonts w:hint="eastAsia"/>
                <w:color w:val="000000" w:themeColor="text1"/>
                <w:sz w:val="21"/>
                <w:szCs w:val="21"/>
                <w14:textFill>
                  <w14:solidFill>
                    <w14:schemeClr w14:val="tx1"/>
                  </w14:solidFill>
                </w14:textFill>
              </w:rPr>
              <w:t xml:space="preserve">00元以内的备品备件由</w:t>
            </w:r>
            <w:r>
              <w:rPr>
                <w:rFonts w:hint="eastAsia" w:eastAsia="宋体"/>
                <w:color w:val="000000" w:themeColor="text1"/>
                <w:sz w:val="21"/>
                <w:szCs w:val="21"/>
                <w14:textFill>
                  <w14:solidFill>
                    <w14:schemeClr w14:val="tx1"/>
                  </w14:solidFill>
                </w14:textFill>
              </w:rPr>
              <w:t xml:space="preserve">投标人</w:t>
            </w:r>
            <w:r>
              <w:rPr>
                <w:rFonts w:hint="eastAsia"/>
                <w:color w:val="000000" w:themeColor="text1"/>
                <w:sz w:val="21"/>
                <w:szCs w:val="21"/>
                <w14:textFill>
                  <w14:solidFill>
                    <w14:schemeClr w14:val="tx1"/>
                  </w14:solidFill>
                </w14:textFill>
              </w:rPr>
              <w:t xml:space="preserve">负责）。</w:t>
            </w:r>
            <w:r/>
          </w:p>
          <w:p>
            <w:pPr>
              <w:ind w:right="-23"/>
              <w:tabs>
                <w:tab w:val="left" w:pos="-1740" w:leader="none"/>
                <w:tab w:val="left" w:pos="510" w:leader="none"/>
              </w:tabs>
              <w:rPr>
                <w:color w:val="000000" w:themeColor="text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3.关于非投标人投资改造的多联机空调、风冷热泵，</w:t>
            </w:r>
            <w:r>
              <w:rPr>
                <w:rFonts w:hint="eastAsia" w:eastAsia="宋体"/>
                <w:color w:val="000000" w:themeColor="text1"/>
                <w:sz w:val="21"/>
                <w:szCs w:val="21"/>
                <w14:textFill>
                  <w14:solidFill>
                    <w14:schemeClr w14:val="tx1"/>
                  </w14:solidFill>
                </w14:textFill>
              </w:rPr>
              <w:t xml:space="preserve">投标人</w:t>
            </w:r>
            <w:r>
              <w:rPr>
                <w:rFonts w:hint="eastAsia"/>
                <w:color w:val="000000" w:themeColor="text1"/>
                <w:sz w:val="21"/>
                <w:szCs w:val="21"/>
                <w14:textFill>
                  <w14:solidFill>
                    <w14:schemeClr w14:val="tx1"/>
                  </w14:solidFill>
                </w14:textFill>
              </w:rPr>
              <w:t xml:space="preserve">负责每年冬、夏两季进行两次例行维护，日常工作包含清洗、日常保障等，备品备件费用由采购人</w:t>
            </w:r>
            <w:r>
              <w:rPr>
                <w:rFonts w:hint="eastAsia" w:eastAsia="宋体"/>
                <w:color w:val="000000" w:themeColor="text1"/>
                <w:sz w:val="21"/>
                <w:szCs w:val="21"/>
                <w14:textFill>
                  <w14:solidFill>
                    <w14:schemeClr w14:val="tx1"/>
                  </w14:solidFill>
                </w14:textFill>
              </w:rPr>
              <w:t xml:space="preserve">承担</w:t>
            </w:r>
            <w:r>
              <w:rPr>
                <w:rFonts w:hint="eastAsia"/>
                <w:color w:val="000000" w:themeColor="text1"/>
                <w:sz w:val="21"/>
                <w:szCs w:val="21"/>
                <w14:textFill>
                  <w14:solidFill>
                    <w14:schemeClr w14:val="tx1"/>
                  </w14:solidFill>
                </w14:textFill>
              </w:rPr>
              <w:t xml:space="preserve">。</w:t>
            </w:r>
            <w:r/>
          </w:p>
          <w:p>
            <w:pPr>
              <w:ind w:right="-23"/>
              <w:tabs>
                <w:tab w:val="left" w:pos="-1740" w:leader="none"/>
                <w:tab w:val="left" w:pos="510" w:leader="none"/>
              </w:tabs>
              <w:rPr>
                <w:rFonts w:eastAsia="宋体"/>
                <w:color w:val="000000" w:themeColor="text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4.分体空调日常拆移机为有偿服务，包括拆移机产生的管线加长、零配件更换及充氟等费用</w:t>
            </w:r>
            <w:r>
              <w:rPr>
                <w:rFonts w:hint="eastAsia" w:eastAsia="宋体"/>
                <w:color w:val="000000" w:themeColor="text1"/>
                <w:sz w:val="21"/>
                <w:szCs w:val="21"/>
                <w14:textFill>
                  <w14:solidFill>
                    <w14:schemeClr w14:val="tx1"/>
                  </w14:solidFill>
                </w14:textFill>
              </w:rPr>
              <w:t xml:space="preserve">由采购人负责</w:t>
            </w:r>
            <w:r>
              <w:rPr>
                <w:rFonts w:hint="eastAsia"/>
                <w:color w:val="000000" w:themeColor="text1"/>
                <w:sz w:val="21"/>
                <w:szCs w:val="21"/>
                <w14:textFill>
                  <w14:solidFill>
                    <w14:schemeClr w14:val="tx1"/>
                  </w14:solidFill>
                </w14:textFill>
              </w:rPr>
              <w:t xml:space="preserve">。</w:t>
            </w:r>
            <w:r/>
          </w:p>
          <w:p>
            <w:pPr>
              <w:rPr>
                <w:color w:val="000000" w:themeColor="text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5.关于500元以内的备品备件界定问题，按采购人所在地市场询价确定。</w:t>
            </w:r>
            <w:r/>
          </w:p>
          <w:p>
            <w:pPr>
              <w:rPr>
                <w:rFonts w:ascii="宋体" w:hAnsi="宋体" w:eastAsia="宋体" w:cs="宋体"/>
                <w:color w:val="000000" w:themeColor="text1"/>
                <w:sz w:val="24"/>
                <w:szCs w:val="32"/>
                <w14:textFill>
                  <w14:solidFill>
                    <w14:schemeClr w14:val="tx1"/>
                  </w14:solidFill>
                </w14:textFill>
              </w:rPr>
            </w:pPr>
            <w:r>
              <w:rPr>
                <w:rFonts w:hint="eastAsia"/>
                <w:color w:val="000000" w:themeColor="text1"/>
                <w:sz w:val="21"/>
                <w:szCs w:val="21"/>
                <w14:textFill>
                  <w14:solidFill>
                    <w14:schemeClr w14:val="tx1"/>
                  </w14:solidFill>
                </w14:textFill>
              </w:rPr>
              <w:t xml:space="preserve">6.定期检测指本项目相关法规要求的强制定期检测设备、仪表等，包括不限于压力容器及其安全附件、燃气泄漏检测、公共场所集中空调通风系统空气品质。</w:t>
            </w:r>
            <w:r/>
          </w:p>
        </w:tc>
      </w:tr>
    </w:tbl>
    <w:p>
      <w:pPr>
        <w:pStyle w:val="764"/>
        <w:ind w:left="0" w:firstLine="426"/>
        <w:spacing w:before="12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两个院区设一名项目负责人，不可与其他项目重复，不可担任现场运维人员，按照法定工作日上班，每天工作时间为8：00至18：00，每月根据项目需求至少加班2天，承担合同能源管理服务日常管理、联系、沟通、协调、解决合同能源管理服务过程中发生的问题等各项工作。</w:t>
      </w:r>
      <w:r/>
    </w:p>
    <w:p>
      <w:pPr>
        <w:pStyle w:val="767"/>
        <w:ind w:left="0"/>
        <w:spacing w:before="120" w:after="120" w:line="360" w:lineRule="auto"/>
        <w:rPr>
          <w:rFonts w:ascii="宋体" w:hAnsi="宋体" w:eastAsia="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4.1运营服务要求</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合同期内，采购人的锅炉、中央空调系统（含末端）、生活热水系统和风冷热泵机组及附属设施的运行、维护、保养由投标人负</w:t>
      </w:r>
      <w:r>
        <w:rPr>
          <w:rFonts w:hint="eastAsia" w:ascii="宋体" w:hAnsi="宋体" w:eastAsia="宋体" w:cs="宋体"/>
          <w:color w:val="000000" w:themeColor="text1"/>
          <w:sz w:val="24"/>
          <w:szCs w:val="24"/>
          <w14:textFill>
            <w14:solidFill>
              <w14:schemeClr w14:val="tx1"/>
            </w14:solidFill>
          </w14:textFill>
        </w:rPr>
        <w:t xml:space="preserve">责，服从采购人监管。为了便于投标人的监管以及满足项目管理需求，投标人应设立满意度或评价打分方案并针对服务承诺详细列明相关违约处罚，且评价和处罚方案具备合理性和可操作性。投标人应制定完备的中央空调、风冷热泵机制和锅炉的运行管理章程，根据运行要求调节运行参数，并做好台账记录。项目运营人员具备相关上岗证书和资格要求，按照院区运行的要求，严格执行24小时值班制，因投标人原因出现的安全（工伤）事故由投标人负责。运营人员不得随意更换，如需更换需与采购人提前沟通并获得同意。除不可抗力因素，投标人需保证24小时不间断供能。</w:t>
      </w:r>
      <w:r/>
    </w:p>
    <w:p>
      <w:pPr>
        <w:spacing w:line="360" w:lineRule="auto"/>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空调冷热水及生活热水供应要求</w:t>
      </w:r>
      <w:r/>
    </w:p>
    <w:p>
      <w:pPr>
        <w:spacing w:line="360" w:lineRule="auto"/>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品目01 迈皋桥院区</w:t>
      </w:r>
      <w:r/>
    </w:p>
    <w:tbl>
      <w:tblPr>
        <w:tblStyle w:val="745"/>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22"/>
        <w:gridCol w:w="3165"/>
        <w:gridCol w:w="4072"/>
      </w:tblGrid>
      <w:tr>
        <w:trPr>
          <w:jc w:val="center"/>
          <w:trHeight w:val="486"/>
        </w:trPr>
        <w:tc>
          <w:tcPr>
            <w:tcW w:w="2122"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供冷时间</w:t>
            </w:r>
            <w:r/>
          </w:p>
        </w:tc>
        <w:tc>
          <w:tcPr>
            <w:gridSpan w:val="2"/>
            <w:tcW w:w="7237" w:type="dxa"/>
            <w:vAlign w:val="center"/>
            <w:textDirection w:val="lrTb"/>
            <w:noWrap/>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5月1日～10月15日</w:t>
            </w:r>
            <w:r/>
          </w:p>
        </w:tc>
      </w:tr>
      <w:tr>
        <w:trPr>
          <w:jc w:val="center"/>
          <w:trHeight w:val="486"/>
        </w:trPr>
        <w:tc>
          <w:tcPr>
            <w:tcW w:w="2122" w:type="dxa"/>
            <w:vAlign w:val="center"/>
            <w:vMerge w:val="restart"/>
            <w:textDirection w:val="lrTb"/>
            <w:noWrap/>
          </w:tcPr>
          <w:p>
            <w:pPr>
              <w:jc w:val="cente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供冷条件</w:t>
            </w:r>
            <w:r/>
          </w:p>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（供冷时段内）</w:t>
            </w:r>
            <w:r/>
          </w:p>
        </w:tc>
        <w:tc>
          <w:tcPr>
            <w:gridSpan w:val="2"/>
            <w:tcW w:w="7237" w:type="dxa"/>
            <w:vAlign w:val="center"/>
            <w:textDirection w:val="lrTb"/>
            <w:noWrap/>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室外最高气温连续5天&gt;26℃或2天&gt;29℃或当天&gt;31℃开始供冷</w:t>
            </w:r>
            <w:r/>
          </w:p>
        </w:tc>
      </w:tr>
      <w:tr>
        <w:trPr>
          <w:jc w:val="center"/>
          <w:trHeight w:val="486"/>
        </w:trPr>
        <w:tc>
          <w:tcPr>
            <w:tcW w:w="2122" w:type="dxa"/>
            <w:vAlign w:val="center"/>
            <w:vMerge w:val="continue"/>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gridSpan w:val="2"/>
            <w:tcW w:w="7237" w:type="dxa"/>
            <w:vAlign w:val="center"/>
            <w:textDirection w:val="lrTb"/>
            <w:noWrap/>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室外最高气温连续5天&lt;24℃或2天&lt;23℃或当天&lt;21℃停止供冷</w:t>
            </w:r>
            <w:r/>
          </w:p>
        </w:tc>
      </w:tr>
      <w:tr>
        <w:trPr>
          <w:jc w:val="center"/>
          <w:trHeight w:val="860"/>
        </w:trPr>
        <w:tc>
          <w:tcPr>
            <w:tcW w:w="2122" w:type="dxa"/>
            <w:vAlign w:val="center"/>
            <w:vMerge w:val="continue"/>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gridSpan w:val="2"/>
            <w:tcW w:w="7237" w:type="dxa"/>
            <w:vAlign w:val="center"/>
            <w:textDirection w:val="lrTb"/>
            <w:noWrap/>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梅雨季节、天气闷热等特殊情况不受气温限制，根据采购人实际需求制冷。</w:t>
            </w:r>
            <w:r/>
          </w:p>
        </w:tc>
      </w:tr>
      <w:tr>
        <w:trPr>
          <w:jc w:val="center"/>
          <w:trHeight w:val="486"/>
        </w:trPr>
        <w:tc>
          <w:tcPr>
            <w:tcW w:w="2122"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供热时间</w:t>
            </w:r>
            <w:r/>
          </w:p>
        </w:tc>
        <w:tc>
          <w:tcPr>
            <w:gridSpan w:val="2"/>
            <w:tcW w:w="7237" w:type="dxa"/>
            <w:vAlign w:val="center"/>
            <w:textDirection w:val="lrTb"/>
            <w:noWrap/>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11月20日～次年3月31日  </w:t>
            </w:r>
            <w:r/>
          </w:p>
        </w:tc>
      </w:tr>
      <w:tr>
        <w:trPr>
          <w:jc w:val="center"/>
          <w:trHeight w:val="486"/>
        </w:trPr>
        <w:tc>
          <w:tcPr>
            <w:tcW w:w="2122" w:type="dxa"/>
            <w:vAlign w:val="center"/>
            <w:vMerge w:val="restart"/>
            <w:textDirection w:val="lrTb"/>
            <w:noWrap/>
          </w:tcPr>
          <w:p>
            <w:pPr>
              <w:jc w:val="cente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供热条件</w:t>
            </w:r>
            <w:r/>
          </w:p>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（供热时段内）</w:t>
            </w:r>
            <w:r/>
          </w:p>
        </w:tc>
        <w:tc>
          <w:tcPr>
            <w:gridSpan w:val="2"/>
            <w:tcW w:w="7237" w:type="dxa"/>
            <w:vAlign w:val="center"/>
            <w:textDirection w:val="lrTb"/>
            <w:noWrap/>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室外最低气温连续5天&lt;15℃或2天&lt;14℃或当天&lt;11℃开始供热</w:t>
            </w:r>
            <w:r/>
          </w:p>
        </w:tc>
      </w:tr>
      <w:tr>
        <w:trPr>
          <w:jc w:val="center"/>
          <w:trHeight w:val="486"/>
        </w:trPr>
        <w:tc>
          <w:tcPr>
            <w:tcW w:w="2122" w:type="dxa"/>
            <w:vAlign w:val="center"/>
            <w:vMerge w:val="continue"/>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gridSpan w:val="2"/>
            <w:tcW w:w="7237" w:type="dxa"/>
            <w:vAlign w:val="center"/>
            <w:textDirection w:val="lrTb"/>
            <w:noWrap/>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室外最低气温连续5天&gt;15℃或2天&gt;17℃或当天&gt;20℃停止供热</w:t>
            </w:r>
            <w:r/>
          </w:p>
        </w:tc>
      </w:tr>
      <w:tr>
        <w:trPr>
          <w:jc w:val="center"/>
          <w:trHeight w:val="486"/>
        </w:trPr>
        <w:tc>
          <w:tcPr>
            <w:tcW w:w="2122"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空调标准</w:t>
            </w:r>
            <w:r/>
          </w:p>
        </w:tc>
        <w:tc>
          <w:tcPr>
            <w:gridSpan w:val="2"/>
            <w:tcW w:w="7237" w:type="dxa"/>
            <w:vAlign w:val="center"/>
            <w:textDirection w:val="lrTb"/>
            <w:noWrap/>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室内温度：供冷不高于26℃,供热不低于18℃</w:t>
            </w:r>
            <w:r/>
          </w:p>
        </w:tc>
      </w:tr>
      <w:tr>
        <w:trPr>
          <w:jc w:val="center"/>
          <w:trHeight w:val="486"/>
        </w:trPr>
        <w:tc>
          <w:tcPr>
            <w:tcW w:w="2122"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生活热水标准</w:t>
            </w:r>
            <w:r/>
          </w:p>
        </w:tc>
        <w:tc>
          <w:tcPr>
            <w:gridSpan w:val="2"/>
            <w:tcW w:w="7237" w:type="dxa"/>
            <w:vAlign w:val="center"/>
            <w:textDirection w:val="lrTb"/>
            <w:noWrap/>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生活热水：不低于50℃</w:t>
            </w:r>
            <w:r/>
          </w:p>
        </w:tc>
      </w:tr>
      <w:tr>
        <w:trPr>
          <w:jc w:val="center"/>
          <w:trHeight w:val="486"/>
        </w:trPr>
        <w:tc>
          <w:tcPr>
            <w:tcW w:w="2122" w:type="dxa"/>
            <w:vAlign w:val="center"/>
            <w:vMerge w:val="restart"/>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日供时段</w:t>
            </w:r>
            <w:r/>
          </w:p>
        </w:tc>
        <w:tc>
          <w:tcPr>
            <w:tcW w:w="3165" w:type="dxa"/>
            <w:vAlign w:val="center"/>
            <w:textDirection w:val="lrTb"/>
            <w:noWrap/>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供冷、供热</w:t>
            </w:r>
            <w:r/>
          </w:p>
        </w:tc>
        <w:tc>
          <w:tcPr>
            <w:tcW w:w="4072" w:type="dxa"/>
            <w:vAlign w:val="center"/>
            <w:textDirection w:val="lrTb"/>
            <w:noWrap/>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24小时</w:t>
            </w:r>
            <w:r/>
          </w:p>
        </w:tc>
      </w:tr>
      <w:tr>
        <w:trPr>
          <w:jc w:val="center"/>
          <w:trHeight w:val="521"/>
        </w:trPr>
        <w:tc>
          <w:tcPr>
            <w:tcW w:w="2122" w:type="dxa"/>
            <w:vAlign w:val="center"/>
            <w:vMerge w:val="continue"/>
            <w:textDirection w:val="lrTb"/>
            <w:noWrap/>
          </w:tcPr>
          <w:p>
            <w:pPr>
              <w:spacing w:line="360" w:lineRule="auto"/>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3165" w:type="dxa"/>
            <w:vAlign w:val="center"/>
            <w:textDirection w:val="lrTb"/>
            <w:noWrap/>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生活热水</w:t>
            </w:r>
            <w:r/>
          </w:p>
        </w:tc>
        <w:tc>
          <w:tcPr>
            <w:tcW w:w="4072" w:type="dxa"/>
            <w:vAlign w:val="center"/>
            <w:textDirection w:val="lrTb"/>
            <w:noWrap/>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24小时</w:t>
            </w:r>
            <w:r/>
          </w:p>
        </w:tc>
      </w:tr>
      <w:tr>
        <w:trPr>
          <w:jc w:val="center"/>
          <w:trHeight w:val="972"/>
        </w:trPr>
        <w:tc>
          <w:tcPr>
            <w:gridSpan w:val="3"/>
            <w:tcW w:w="9359" w:type="dxa"/>
            <w:vAlign w:val="center"/>
            <w:textDirection w:val="lrTb"/>
            <w:noWrap/>
          </w:tcPr>
          <w:p>
            <w:pP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w:t>
            </w:r>
            <w:r/>
          </w:p>
          <w:p>
            <w:pP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1、特殊情况时，供应标准由双方协商决定；</w:t>
            </w:r>
            <w:r/>
          </w:p>
          <w:p>
            <w:pP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2、手术室、ICU等特殊要求区域，按照临床要求供热或供冷。</w:t>
            </w:r>
            <w:r/>
          </w:p>
        </w:tc>
      </w:tr>
    </w:tbl>
    <w:p>
      <w:pPr>
        <w:spacing w:line="360" w:lineRule="auto"/>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品目02 阅江楼院区</w:t>
      </w:r>
      <w:r/>
    </w:p>
    <w:tbl>
      <w:tblPr>
        <w:tblStyle w:val="745"/>
        <w:tblW w:w="9399" w:type="dxa"/>
        <w:jc w:val="center"/>
        <w:tblLayout w:type="autofit"/>
        <w:tblCellMar>
          <w:left w:w="0" w:type="dxa"/>
          <w:top w:w="0" w:type="dxa"/>
          <w:right w:w="0" w:type="dxa"/>
          <w:bottom w:w="0" w:type="dxa"/>
        </w:tblCellMar>
        <w:tblLook w:val="04A0" w:firstRow="1" w:lastRow="0" w:firstColumn="1" w:lastColumn="0" w:noHBand="0" w:noVBand="1"/>
      </w:tblPr>
      <w:tblGrid>
        <w:gridCol w:w="1348"/>
        <w:gridCol w:w="1081"/>
        <w:gridCol w:w="3678"/>
        <w:gridCol w:w="3292"/>
      </w:tblGrid>
      <w:tr>
        <w:trPr>
          <w:jc w:val="center"/>
          <w:trHeight w:val="133"/>
        </w:trPr>
        <w:tc>
          <w:tcPr>
            <w:gridSpan w:val="2"/>
            <w:tcBorders>
              <w:top w:val="single" w:color="000000" w:sz="6" w:space="0"/>
              <w:left w:val="single" w:color="000000" w:sz="6" w:space="0"/>
              <w:bottom w:val="single" w:color="000000" w:sz="6" w:space="0"/>
              <w:right w:val="single" w:color="000000" w:sz="6" w:space="0"/>
            </w:tcBorders>
            <w:tcMar>
              <w:left w:w="15" w:type="dxa"/>
              <w:top w:w="15" w:type="dxa"/>
              <w:right w:w="15" w:type="dxa"/>
            </w:tcMar>
            <w:tcW w:w="2429"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tcMar>
            <w:tcW w:w="367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供应条件</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tcMar>
            <w:tcW w:w="3292"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备注</w:t>
            </w:r>
            <w:r/>
          </w:p>
        </w:tc>
      </w:tr>
      <w:tr>
        <w:trPr>
          <w:jc w:val="center"/>
          <w:trHeight w:val="557"/>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tcMar>
            <w:tcW w:w="1348" w:type="dxa"/>
            <w:vAlign w:val="center"/>
            <w:vMerge w:val="restart"/>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空调</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tcMar>
            <w:tcW w:w="1081"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供冷季</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tcMar>
            <w:tcW w:w="3678"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1、室外最高气温连续5天&gt;26℃或2天&gt;29℃或当天&gt;31℃开始供冷；</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2、室外最高气温连续5天&lt;24℃或2天&lt;23℃或当天&lt;21℃停止供冷；</w:t>
            </w:r>
            <w:r/>
          </w:p>
          <w:p>
            <w:pPr>
              <w:pStyle w:val="751"/>
              <w:rPr>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3、梅雨季节、天气闷热等特殊情况不受气温限制，根据采购人实际需求制冷。</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tcMar>
            <w:tcW w:w="3292" w:type="dxa"/>
            <w:vAlign w:val="center"/>
            <w:vMerge w:val="restart"/>
            <w:textDirection w:val="lrTb"/>
            <w:noWrap w:val="false"/>
          </w:tcPr>
          <w:p>
            <w:pPr>
              <w:pStyle w:val="761"/>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梅雨季节、天气闷热等</w:t>
            </w:r>
            <w:r>
              <w:rPr>
                <w:rFonts w:hint="eastAsia" w:ascii="宋体" w:hAnsi="宋体" w:eastAsia="宋体" w:cs="宋体"/>
                <w:color w:val="000000" w:themeColor="text1"/>
                <w:sz w:val="24"/>
                <w:szCs w:val="24"/>
                <w14:textFill>
                  <w14:solidFill>
                    <w14:schemeClr w14:val="tx1"/>
                  </w14:solidFill>
                </w14:textFill>
              </w:rPr>
              <w:t xml:space="preserve">特殊情况下可由二临等相关使用部门联系总务处灵活调整空调开启时段及开启时间。</w:t>
            </w:r>
            <w:r/>
          </w:p>
          <w:p>
            <w:pPr>
              <w:pStyle w:val="761"/>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2、空调运行温度冬季不高于20℃，夏季不低于26℃，空调运行期间禁止任意开窗。</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3、协助采购人开展节能降耗工作。</w:t>
            </w:r>
            <w:r/>
          </w:p>
        </w:tc>
      </w:tr>
      <w:tr>
        <w:trPr>
          <w:jc w:val="center"/>
          <w:trHeight w:val="282"/>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tcMar>
            <w:tcW w:w="1348" w:type="dxa"/>
            <w:vAlign w:val="center"/>
            <w:vMerge w:val="continue"/>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tcMar>
            <w:tcW w:w="1081"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供暖季</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tcMar>
            <w:tcW w:w="3678" w:type="dxa"/>
            <w:vAlign w:val="center"/>
            <w:textDirection w:val="lrTb"/>
            <w:noWrap w:val="false"/>
          </w:tcPr>
          <w:p>
            <w:pPr>
              <w:numPr>
                <w:ilvl w:val="0"/>
                <w:numId w:val="4"/>
              </w:numPr>
              <w:jc w:val="both"/>
              <w:spacing w:after="0" w:line="360" w:lineRule="auto"/>
              <w:widowControl w:val="off"/>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室外最低气温连续5天&lt;15℃或2天&lt;14℃或当天&lt;11℃开始供热；</w:t>
            </w:r>
            <w:r/>
          </w:p>
          <w:p>
            <w:pPr>
              <w:numPr>
                <w:ilvl w:val="0"/>
                <w:numId w:val="4"/>
              </w:numPr>
              <w:jc w:val="both"/>
              <w:spacing w:after="0" w:line="360" w:lineRule="auto"/>
              <w:widowControl w:val="off"/>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室外最低气温连续5天&gt;15℃或2天&gt;17℃或当天&gt;20℃停止供热。</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tcMar>
            <w:tcW w:w="3292" w:type="dxa"/>
            <w:vAlign w:val="center"/>
            <w:vMerge w:val="continue"/>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r>
      <w:tr>
        <w:trPr>
          <w:jc w:val="center"/>
          <w:trHeight w:val="377"/>
        </w:trPr>
        <w:tc>
          <w:tcPr>
            <w:gridSpan w:val="2"/>
            <w:tcBorders>
              <w:top w:val="single" w:color="000000" w:sz="6" w:space="0"/>
              <w:left w:val="single" w:color="000000" w:sz="6" w:space="0"/>
              <w:bottom w:val="single" w:color="000000" w:sz="6" w:space="0"/>
              <w:right w:val="single" w:color="000000" w:sz="6" w:space="0"/>
            </w:tcBorders>
            <w:tcMar>
              <w:left w:w="15" w:type="dxa"/>
              <w:top w:w="15" w:type="dxa"/>
              <w:right w:w="15" w:type="dxa"/>
            </w:tcMar>
            <w:tcW w:w="2429"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热水</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tcMar>
            <w:tcW w:w="3678"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热水供应时间段：24小时。</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tcMar>
            <w:tcW w:w="3292" w:type="dxa"/>
            <w:vAlign w:val="center"/>
            <w:vMerge w:val="continue"/>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r>
    </w:tbl>
    <w:p>
      <w:pPr>
        <w:pStyle w:val="767"/>
        <w:ind w:left="0"/>
        <w:spacing w:before="120" w:after="120" w:line="360" w:lineRule="auto"/>
        <w:rPr>
          <w:rFonts w:ascii="宋体" w:hAnsi="宋体" w:eastAsia="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4.2设备维保要求</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lang w:val="en-GB"/>
          <w14:textFill>
            <w14:solidFill>
              <w14:schemeClr w14:val="tx1"/>
            </w14:solidFill>
          </w14:textFill>
        </w:rPr>
        <w:t xml:space="preserve">在合同期限内，投标人负责医院</w:t>
      </w:r>
      <w:r>
        <w:rPr>
          <w:rFonts w:hint="eastAsia" w:ascii="宋体" w:hAnsi="宋体" w:eastAsia="宋体" w:cs="宋体"/>
          <w:color w:val="000000" w:themeColor="text1"/>
          <w:sz w:val="24"/>
          <w:szCs w:val="24"/>
          <w14:textFill>
            <w14:solidFill>
              <w14:schemeClr w14:val="tx1"/>
            </w14:solidFill>
          </w14:textFill>
        </w:rPr>
        <w:t xml:space="preserve">锅炉和</w:t>
      </w:r>
      <w:r>
        <w:rPr>
          <w:rFonts w:hint="eastAsia" w:ascii="宋体" w:hAnsi="宋体" w:eastAsia="宋体" w:cs="宋体"/>
          <w:color w:val="000000" w:themeColor="text1"/>
          <w:sz w:val="24"/>
          <w:szCs w:val="24"/>
          <w:lang w:val="en-GB"/>
          <w14:textFill>
            <w14:solidFill>
              <w14:schemeClr w14:val="tx1"/>
            </w14:solidFill>
          </w14:textFill>
        </w:rPr>
        <w:t xml:space="preserve">中央空调相关设备的维保，</w:t>
      </w:r>
      <w:r>
        <w:rPr>
          <w:rFonts w:hint="eastAsia" w:ascii="宋体" w:hAnsi="宋体" w:eastAsia="宋体" w:cs="宋体"/>
          <w:color w:val="000000" w:themeColor="text1"/>
          <w:sz w:val="24"/>
          <w:szCs w:val="24"/>
          <w14:textFill>
            <w14:solidFill>
              <w14:schemeClr w14:val="tx1"/>
            </w14:solidFill>
          </w14:textFill>
        </w:rPr>
        <w:t xml:space="preserve">维保包含节能技改新增用能设备以及医院锅炉、冷水机组、换热机组、热水管道、水泵、空调水管系统、冷却塔、水质管理、空调末端（末端风机盘管、新风机）、阅区</w:t>
      </w:r>
      <w:r>
        <w:rPr>
          <w:rFonts w:hint="eastAsia" w:ascii="宋体" w:hAnsi="宋体" w:eastAsia="宋体" w:cs="宋体"/>
          <w:color w:val="000000" w:themeColor="text1"/>
          <w:sz w:val="24"/>
          <w:szCs w:val="32"/>
          <w14:textFill>
            <w14:solidFill>
              <w14:schemeClr w14:val="tx1"/>
            </w14:solidFill>
          </w14:textFill>
        </w:rPr>
        <w:t xml:space="preserve">配电房及其附属设施的</w:t>
      </w:r>
      <w:r>
        <w:rPr>
          <w:rFonts w:hint="eastAsia" w:ascii="宋体" w:hAnsi="宋体" w:eastAsia="宋体" w:cs="宋体"/>
          <w:color w:val="000000" w:themeColor="text1"/>
          <w:sz w:val="24"/>
          <w:szCs w:val="24"/>
          <w14:textFill>
            <w14:solidFill>
              <w14:schemeClr w14:val="tx1"/>
            </w14:solidFill>
          </w14:textFill>
        </w:rPr>
        <w:t xml:space="preserve">操作与日常保养、故障应对</w:t>
      </w:r>
      <w:r>
        <w:rPr>
          <w:rFonts w:hint="eastAsia" w:ascii="宋体" w:hAnsi="宋体" w:eastAsia="宋体" w:cs="宋体"/>
          <w:color w:val="000000" w:themeColor="text1"/>
          <w:sz w:val="24"/>
          <w:szCs w:val="24"/>
          <w:lang w:val="en-GB"/>
          <w14:textFill>
            <w14:solidFill>
              <w14:schemeClr w14:val="tx1"/>
            </w14:solidFill>
          </w14:textFill>
        </w:rPr>
        <w:t xml:space="preserve">。</w:t>
      </w:r>
      <w:r/>
    </w:p>
    <w:p>
      <w:pPr>
        <w:ind w:firstLine="480"/>
        <w:spacing w:line="360" w:lineRule="auto"/>
        <w:rPr>
          <w:rFonts w:ascii="宋体" w:hAnsi="宋体" w:eastAsia="宋体" w:cs="宋体"/>
          <w:color w:val="000000" w:themeColor="text1"/>
          <w:sz w:val="24"/>
          <w:lang w:val="en-GB"/>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应按采购人锅炉和中央空调系统管理要求，按季度提供保养及维护计划，按月度提供设备保养巡检记录，其内容包含中央空调制冷主机、锅炉、生活热水主机、冷却塔、水泵、锅炉和中央空调系统的日常保养维护、巡检记录，同时按国家相关标准执行中央空调末端清洗。投标人还应加强水质管理，对于锅炉、冷冻水系统和冷却水系统均要求进行水质处理，以确保采购人的正常使用需求。</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投标人应提供本次合同管理范围内各类保障设备运行故障的应急预案，以确保在项目实施期间医院24小时保障的需求。</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合同期内，投标人负责对所有投标人投入的设备的维修以及更换的一切费用。对于非投标人投资设备的维保和运行管理费用按照合同由投标人负责，除寿命到期或者不可抗力外，维修以及更换产生的费用由投标人承担。投标人需要更换采购人的设备，经采购人同意后，方可更换。</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具体要求如下：</w:t>
      </w:r>
      <w:r/>
    </w:p>
    <w:p>
      <w:pPr>
        <w:pStyle w:val="764"/>
        <w:ind w:left="0"/>
        <w:spacing w:before="120" w:after="120" w:line="360" w:lineRule="auto"/>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品目01 迈皋桥院区</w:t>
      </w:r>
      <w:r/>
    </w:p>
    <w:p>
      <w:pPr>
        <w:pStyle w:val="764"/>
        <w:ind w:left="0"/>
        <w:spacing w:before="120" w:after="120"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①离心式冷水机组</w:t>
      </w:r>
      <w:r/>
    </w:p>
    <w:tbl>
      <w:tblPr>
        <w:tblStyle w:val="745"/>
        <w:tblW w:w="955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2005"/>
        <w:gridCol w:w="6855"/>
      </w:tblGrid>
      <w:tr>
        <w:trPr>
          <w:jc w:val="center"/>
          <w:trHeight w:val="380"/>
        </w:trPr>
        <w:tc>
          <w:tcPr>
            <w:shd w:val="clear" w:color="auto" w:fill="auto"/>
            <w:tcW w:w="699"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序列</w:t>
            </w:r>
            <w:r/>
          </w:p>
        </w:tc>
        <w:tc>
          <w:tcPr>
            <w:shd w:val="clear" w:color="auto" w:fill="auto"/>
            <w:tcW w:w="200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服务项目</w:t>
            </w:r>
            <w:r/>
          </w:p>
        </w:tc>
        <w:tc>
          <w:tcPr>
            <w:shd w:val="clear" w:color="auto" w:fill="auto"/>
            <w:tcW w:w="685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具体内容</w:t>
            </w:r>
            <w:r/>
          </w:p>
        </w:tc>
      </w:tr>
      <w:tr>
        <w:trPr>
          <w:jc w:val="center"/>
          <w:trHeight w:val="1826"/>
        </w:trPr>
        <w:tc>
          <w:tcPr>
            <w:tcW w:w="699"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200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压缩机</w:t>
            </w:r>
            <w:r/>
          </w:p>
        </w:tc>
        <w:tc>
          <w:tcPr>
            <w:tcW w:w="6855" w:type="dxa"/>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1.检查吸、排气温度，吸、排气过热度</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2.检查轴承、压缩机运转声音正常</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3.检查压缩机加卸载情况正常</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4.检查油位正常</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5.检查启动电流、温升正常</w:t>
            </w:r>
            <w:r/>
          </w:p>
        </w:tc>
      </w:tr>
      <w:tr>
        <w:trPr>
          <w:jc w:val="center"/>
          <w:trHeight w:val="1834"/>
        </w:trPr>
        <w:tc>
          <w:tcPr>
            <w:tcW w:w="699"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W w:w="200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冷媒系统</w:t>
            </w:r>
            <w:r/>
          </w:p>
        </w:tc>
        <w:tc>
          <w:tcPr>
            <w:tcW w:w="6855" w:type="dxa"/>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1.检查冷凝、蒸发温度、压力</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2.从视镜检查冷凝器、蒸发器及相关管道液位正常</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3.检查冷媒含湿量</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4.清洗蒸发器冷凝器铜管</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5.更换干燥过滤器</w:t>
            </w:r>
            <w:r/>
          </w:p>
        </w:tc>
      </w:tr>
      <w:tr>
        <w:trPr>
          <w:jc w:val="center"/>
          <w:trHeight w:val="1826"/>
        </w:trPr>
        <w:tc>
          <w:tcPr>
            <w:tcW w:w="699"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W w:w="200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油系统</w:t>
            </w:r>
            <w:r/>
          </w:p>
        </w:tc>
        <w:tc>
          <w:tcPr>
            <w:tcW w:w="6855" w:type="dxa"/>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1.从视镜检查油色、油位正常</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2.检查油泵同时检查油过滤器是否堵塞</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3.从视镜检查冷凝器、蒸发器及相关管道液位正常</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4.检查油温、传感器、加热器</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5.检查油路有无泄漏，换油、换油过滤器</w:t>
            </w:r>
            <w:r/>
          </w:p>
        </w:tc>
      </w:tr>
      <w:tr>
        <w:trPr>
          <w:jc w:val="center"/>
          <w:trHeight w:val="2190"/>
        </w:trPr>
        <w:tc>
          <w:tcPr>
            <w:tcW w:w="699"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W w:w="200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电气系统（启动柜）</w:t>
            </w:r>
            <w:r/>
          </w:p>
        </w:tc>
        <w:tc>
          <w:tcPr>
            <w:tcW w:w="6855" w:type="dxa"/>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1.检查压缩机三相电压高低、稳定情况与相间平衡</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2.检查机组主接触器、触点表面情况，若有必要进行更换</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3.检查空气开关脱扣性能，及其它保好的护装置灵敏度与性能</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4.检查机组内各保险丝通断情况，检查保险丝完好程度</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5.测量压缩机对地绝缘电阻</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6.检查并紧固各接线端子、整理线缆</w:t>
            </w:r>
            <w:r/>
          </w:p>
        </w:tc>
      </w:tr>
      <w:tr>
        <w:trPr>
          <w:jc w:val="center"/>
          <w:trHeight w:val="2089"/>
        </w:trPr>
        <w:tc>
          <w:tcPr>
            <w:tcW w:w="699"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W w:w="200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电气系统（电控柜）</w:t>
            </w:r>
            <w:r/>
          </w:p>
        </w:tc>
        <w:tc>
          <w:tcPr>
            <w:tcW w:w="6855" w:type="dxa"/>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1.检查机组微电脑显示屏是否正常显示</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2.检查机组进出水温、蒸发压力、冷凝压力、排气温度等各项模拟量显示值，必要时对故障元件进行更换或维修</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3.检查机组设定值，包括出水温度与各项保护设定值</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4.检查并紧固各接线端子、整理线缆</w:t>
            </w:r>
            <w:r/>
          </w:p>
        </w:tc>
      </w:tr>
    </w:tbl>
    <w:p>
      <w:pPr>
        <w:pStyle w:val="764"/>
        <w:ind w:left="0"/>
        <w:spacing w:before="120" w:after="120"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②燃气锅炉</w:t>
      </w:r>
      <w:r/>
    </w:p>
    <w:tbl>
      <w:tblPr>
        <w:tblStyle w:val="745"/>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268"/>
        <w:gridCol w:w="6607"/>
      </w:tblGrid>
      <w:tr>
        <w:trPr>
          <w:jc w:val="center"/>
          <w:trHeight w:val="585"/>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序列</w:t>
            </w:r>
            <w:r/>
          </w:p>
        </w:tc>
        <w:tc>
          <w:tcPr>
            <w:shd w:val="clear" w:color="auto" w:fill="auto"/>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服务项目</w:t>
            </w:r>
            <w:r/>
          </w:p>
        </w:tc>
        <w:tc>
          <w:tcPr>
            <w:shd w:val="clear" w:color="auto" w:fill="auto"/>
            <w:tcW w:w="6607"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具体内容</w:t>
            </w:r>
            <w:r/>
          </w:p>
        </w:tc>
      </w:tr>
      <w:tr>
        <w:trPr>
          <w:jc w:val="center"/>
          <w:trHeight w:val="915"/>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shd w:val="clear" w:color="auto" w:fill="auto"/>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安全附件</w:t>
            </w:r>
            <w:r/>
          </w:p>
        </w:tc>
        <w:tc>
          <w:tcPr>
            <w:shd w:val="clear" w:color="auto" w:fill="auto"/>
            <w:tcW w:w="6607" w:type="dxa"/>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锅炉运行中，重点检查、记录锅炉安全部件和转动设备的运行情况，无超压、过载，炉体无鼓包、裂纹，无液位异常。</w:t>
            </w:r>
            <w:r/>
          </w:p>
        </w:tc>
      </w:tr>
      <w:tr>
        <w:trPr>
          <w:jc w:val="center"/>
          <w:trHeight w:val="323"/>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shd w:val="clear" w:color="auto" w:fill="auto"/>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燃烧器</w:t>
            </w:r>
            <w:r/>
          </w:p>
        </w:tc>
        <w:tc>
          <w:tcPr>
            <w:shd w:val="clear" w:color="auto" w:fill="auto"/>
            <w:tcW w:w="6607" w:type="dxa"/>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保持现场清洁，做到无杂物、无积灰、无积水、无油垢；2.每季度对燃烧器清理一次，检查控制系统；3.清理燃烧器，点火电极、火焰盘、燃烧头；4.检查、调整燃气蝶阀、空气蝶阀；5.检查、调整一次配风系统，二次配风系统；6.检测燃烧器控制程序；7.检测火焰监测回路，检查跑冒滴漏。</w:t>
            </w:r>
            <w:r/>
          </w:p>
        </w:tc>
      </w:tr>
      <w:tr>
        <w:trPr>
          <w:jc w:val="center"/>
          <w:trHeight w:val="951"/>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shd w:val="clear" w:color="auto" w:fill="auto"/>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电控柜</w:t>
            </w:r>
            <w:r/>
          </w:p>
        </w:tc>
        <w:tc>
          <w:tcPr>
            <w:shd w:val="clear" w:color="auto" w:fill="auto"/>
            <w:tcW w:w="6607"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1.每季度电控设备检查一次；2.定期电控柜除尘；3.检查电器设备绝缘与接地。</w:t>
            </w:r>
            <w:r/>
          </w:p>
        </w:tc>
      </w:tr>
      <w:tr>
        <w:trPr>
          <w:jc w:val="center"/>
          <w:trHeight w:val="512"/>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shd w:val="clear" w:color="auto" w:fill="auto"/>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给水装置</w:t>
            </w:r>
            <w:r/>
          </w:p>
        </w:tc>
        <w:tc>
          <w:tcPr>
            <w:shd w:val="clear" w:color="auto" w:fill="auto"/>
            <w:tcW w:w="6607"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1.自动给水装置运行正常；2.水泵保养参照泵组保养项目。</w:t>
            </w:r>
            <w:r/>
          </w:p>
        </w:tc>
      </w:tr>
      <w:tr>
        <w:trPr>
          <w:jc w:val="center"/>
          <w:trHeight w:val="2374"/>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shd w:val="clear" w:color="auto" w:fill="auto"/>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停炉</w:t>
            </w:r>
            <w:r/>
          </w:p>
        </w:tc>
        <w:tc>
          <w:tcPr>
            <w:shd w:val="clear" w:color="auto" w:fill="auto"/>
            <w:tcW w:w="6607" w:type="dxa"/>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短期停炉：可采用湿保养法：停炉后，将炉水加满，将空气全部排出；2.长期停炉：采用干保养法：停炉后将炉水放掉，打开下部手孔，吹干锅内积水，并通过下部手孔处，投入干燥剂，且应定期更换，开始可每月检查更换—次，以后可三个月一次。</w:t>
            </w:r>
            <w:r/>
          </w:p>
        </w:tc>
      </w:tr>
    </w:tbl>
    <w:p>
      <w:pPr>
        <w:pStyle w:val="764"/>
        <w:ind w:left="0"/>
        <w:spacing w:before="120" w:after="120"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③风冷热泵、空气源热泵</w:t>
      </w:r>
      <w:r/>
    </w:p>
    <w:tbl>
      <w:tblPr>
        <w:tblStyle w:val="745"/>
        <w:tblW w:w="9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325"/>
        <w:gridCol w:w="6548"/>
      </w:tblGrid>
      <w:tr>
        <w:trPr>
          <w:jc w:val="center"/>
          <w:trHeight w:val="213"/>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序列</w:t>
            </w:r>
            <w:r/>
          </w:p>
        </w:tc>
        <w:tc>
          <w:tcPr>
            <w:shd w:val="clear" w:color="auto" w:fill="auto"/>
            <w:tcW w:w="232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服务项目</w:t>
            </w:r>
            <w:r/>
          </w:p>
        </w:tc>
        <w:tc>
          <w:tcPr>
            <w:shd w:val="clear" w:color="auto" w:fill="auto"/>
            <w:tcW w:w="654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具体内容</w:t>
            </w:r>
            <w:r/>
          </w:p>
        </w:tc>
      </w:tr>
      <w:tr>
        <w:trPr>
          <w:jc w:val="center"/>
          <w:trHeight w:val="213"/>
        </w:trPr>
        <w:tc>
          <w:tcPr>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232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机组状况</w:t>
            </w:r>
            <w:r/>
          </w:p>
        </w:tc>
        <w:tc>
          <w:tcPr>
            <w:tcW w:w="6548"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检查保温棉、减震器、主要结构、喷漆工作</w:t>
            </w:r>
            <w:r/>
          </w:p>
        </w:tc>
      </w:tr>
      <w:tr>
        <w:trPr>
          <w:jc w:val="center"/>
          <w:trHeight w:val="419"/>
        </w:trPr>
        <w:tc>
          <w:tcPr>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W w:w="232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常规制冷剂系统</w:t>
            </w:r>
            <w:r/>
          </w:p>
        </w:tc>
        <w:tc>
          <w:tcPr>
            <w:tcW w:w="6548"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检查安全阀、管路受损情况、泄露、湿度视液镜、吸气过热度、液体过冷度、电磁阀</w:t>
            </w:r>
            <w:r/>
          </w:p>
        </w:tc>
      </w:tr>
      <w:tr>
        <w:trPr>
          <w:jc w:val="center"/>
          <w:trHeight w:val="213"/>
        </w:trPr>
        <w:tc>
          <w:tcPr>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W w:w="232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压缩机</w:t>
            </w:r>
            <w:r/>
          </w:p>
        </w:tc>
        <w:tc>
          <w:tcPr>
            <w:tcW w:w="6548"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检查油位、油情况</w:t>
            </w:r>
            <w:r/>
          </w:p>
        </w:tc>
      </w:tr>
      <w:tr>
        <w:trPr>
          <w:jc w:val="center"/>
          <w:trHeight w:val="213"/>
        </w:trPr>
        <w:tc>
          <w:tcPr>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W w:w="232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蒸发器</w:t>
            </w:r>
            <w:r/>
          </w:p>
        </w:tc>
        <w:tc>
          <w:tcPr>
            <w:tcW w:w="6548"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检查水流量、水压降、加热器垫、pH值/乙二醇浓度</w:t>
            </w:r>
            <w:r/>
          </w:p>
        </w:tc>
      </w:tr>
      <w:tr>
        <w:trPr>
          <w:jc w:val="center"/>
          <w:trHeight w:val="419"/>
        </w:trPr>
        <w:tc>
          <w:tcPr>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W w:w="232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风冷式冷凝器</w:t>
            </w:r>
            <w:r/>
          </w:p>
        </w:tc>
        <w:tc>
          <w:tcPr>
            <w:tcW w:w="6548"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检查阻碍气流的物体、翅片、风机与风机护网、刷翅片、检查风扇电机轴承</w:t>
            </w:r>
            <w:r/>
          </w:p>
        </w:tc>
      </w:tr>
      <w:tr>
        <w:trPr>
          <w:jc w:val="center"/>
          <w:trHeight w:val="829"/>
        </w:trPr>
        <w:tc>
          <w:tcPr>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tcW w:w="232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电源、控制系统</w:t>
            </w:r>
            <w:r/>
          </w:p>
        </w:tc>
        <w:tc>
          <w:tcPr>
            <w:tcW w:w="6548"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检查面板条件、电源与控制系统接线、传感器位置、机械高压开关切断、所有连接线路、压缩机电流接触器、风机电流接触器/过载、感温探头/传感器校准、电机保护、接触器连接情况</w:t>
            </w:r>
            <w:r/>
          </w:p>
        </w:tc>
      </w:tr>
      <w:tr>
        <w:trPr>
          <w:jc w:val="center"/>
          <w:trHeight w:val="426"/>
        </w:trPr>
        <w:tc>
          <w:tcPr>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tcW w:w="232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微处理器控制</w:t>
            </w:r>
            <w:r/>
          </w:p>
        </w:tc>
        <w:tc>
          <w:tcPr>
            <w:tcW w:w="6548"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检查故障历史、程序设定、高压/低压切断功能、加载/卸载功能、风机控制功能、环境温度切断功能</w:t>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64"/>
        <w:ind w:left="0"/>
        <w:spacing w:before="120" w:after="120"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④板式换热器</w:t>
      </w:r>
      <w:r/>
    </w:p>
    <w:tbl>
      <w:tblPr>
        <w:tblStyle w:val="745"/>
        <w:tblW w:w="95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478"/>
        <w:gridCol w:w="6336"/>
      </w:tblGrid>
      <w:tr>
        <w:trPr>
          <w:jc w:val="center"/>
          <w:trHeight w:val="388"/>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序列</w:t>
            </w:r>
            <w:r/>
          </w:p>
        </w:tc>
        <w:tc>
          <w:tcPr>
            <w:shd w:val="clear" w:color="auto" w:fill="auto"/>
            <w:tcW w:w="247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服务项目</w:t>
            </w:r>
            <w:r/>
          </w:p>
        </w:tc>
        <w:tc>
          <w:tcPr>
            <w:shd w:val="clear" w:color="auto" w:fill="auto"/>
            <w:tcW w:w="6336"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具体内容</w:t>
            </w:r>
            <w:r/>
          </w:p>
        </w:tc>
      </w:tr>
      <w:tr>
        <w:trPr>
          <w:jc w:val="center"/>
          <w:trHeight w:val="731"/>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shd w:val="clear" w:color="auto" w:fill="auto"/>
            <w:tcW w:w="247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板块内部结垢的检查</w:t>
            </w:r>
            <w:r/>
          </w:p>
        </w:tc>
        <w:tc>
          <w:tcPr>
            <w:shd w:val="clear" w:color="auto" w:fill="auto"/>
            <w:tcW w:w="6336"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水中杂质过多时配置过滤器并且经常性拆洗，如果循环水的硬度偏高，应预先进行软化。</w:t>
            </w:r>
            <w:r/>
          </w:p>
        </w:tc>
      </w:tr>
      <w:tr>
        <w:trPr>
          <w:jc w:val="center"/>
          <w:trHeight w:val="794"/>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shd w:val="clear" w:color="auto" w:fill="auto"/>
            <w:tcW w:w="247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换热器板片、垫片</w:t>
            </w:r>
            <w:r/>
          </w:p>
        </w:tc>
        <w:tc>
          <w:tcPr>
            <w:shd w:val="clear" w:color="auto" w:fill="auto"/>
            <w:tcW w:w="6336"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采取压紧或更换板片的办法，同时按本标准的换热器的维修作业所列相关步骤和要求进行。</w:t>
            </w:r>
            <w:r/>
          </w:p>
        </w:tc>
      </w:tr>
      <w:tr>
        <w:trPr>
          <w:jc w:val="center"/>
          <w:trHeight w:val="388"/>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shd w:val="clear" w:color="auto" w:fill="auto"/>
            <w:tcW w:w="247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换热器</w:t>
            </w:r>
            <w:r/>
          </w:p>
        </w:tc>
        <w:tc>
          <w:tcPr>
            <w:shd w:val="clear" w:color="auto" w:fill="auto"/>
            <w:tcW w:w="6336"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1.关闭进出阀口，放空换热内的介质；</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2.将夹紧螺栓松开到固定尺寸的1.15倍。</w:t>
            </w:r>
            <w:r/>
          </w:p>
        </w:tc>
      </w:tr>
    </w:tbl>
    <w:p>
      <w:pPr>
        <w:pStyle w:val="764"/>
        <w:ind w:left="0"/>
        <w:spacing w:before="120" w:after="120"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⑤空调、卫热水泵</w:t>
      </w:r>
      <w:r/>
    </w:p>
    <w:tbl>
      <w:tblPr>
        <w:tblStyle w:val="745"/>
        <w:tblW w:w="955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2161"/>
        <w:gridCol w:w="6699"/>
      </w:tblGrid>
      <w:tr>
        <w:trPr>
          <w:jc w:val="center"/>
          <w:trHeight w:val="390"/>
        </w:trPr>
        <w:tc>
          <w:tcPr>
            <w:shd w:val="clear" w:color="auto" w:fill="auto"/>
            <w:tcW w:w="699"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序列</w:t>
            </w:r>
            <w:r/>
          </w:p>
        </w:tc>
        <w:tc>
          <w:tcPr>
            <w:shd w:val="clear" w:color="auto" w:fill="auto"/>
            <w:tcW w:w="2161"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服务项目</w:t>
            </w:r>
            <w:r/>
          </w:p>
        </w:tc>
        <w:tc>
          <w:tcPr>
            <w:shd w:val="clear" w:color="auto" w:fill="auto"/>
            <w:tcW w:w="6699"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具体内容</w:t>
            </w:r>
            <w:r/>
          </w:p>
        </w:tc>
      </w:tr>
      <w:tr>
        <w:trPr>
          <w:jc w:val="center"/>
          <w:trHeight w:val="332"/>
        </w:trPr>
        <w:tc>
          <w:tcPr>
            <w:tcW w:w="699" w:type="dxa"/>
            <w:vAlign w:val="center"/>
            <w:textDirection w:val="lrTb"/>
            <w:noWrap w:val="false"/>
          </w:tcPr>
          <w:p>
            <w:pPr>
              <w:jc w:val="center"/>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2161" w:type="dxa"/>
            <w:vAlign w:val="center"/>
            <w:textDirection w:val="lrTb"/>
            <w:noWrap w:val="false"/>
          </w:tcPr>
          <w:p>
            <w:pPr>
              <w:jc w:val="center"/>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润滑油添加</w:t>
            </w:r>
            <w:r/>
          </w:p>
        </w:tc>
        <w:tc>
          <w:tcPr>
            <w:tcW w:w="6699" w:type="dxa"/>
            <w:vAlign w:val="center"/>
            <w:textDirection w:val="lrTb"/>
            <w:noWrap w:val="false"/>
          </w:tcPr>
          <w:p>
            <w:pPr>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检查油面、油质、油乳化、油无杂质；添加或更换新润滑油。</w:t>
            </w:r>
            <w:r/>
          </w:p>
        </w:tc>
      </w:tr>
      <w:tr>
        <w:trPr>
          <w:jc w:val="center"/>
          <w:trHeight w:val="657"/>
        </w:trPr>
        <w:tc>
          <w:tcPr>
            <w:tcW w:w="699" w:type="dxa"/>
            <w:vAlign w:val="center"/>
            <w:textDirection w:val="lrTb"/>
            <w:noWrap w:val="false"/>
          </w:tcPr>
          <w:p>
            <w:pPr>
              <w:jc w:val="center"/>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W w:w="2161" w:type="dxa"/>
            <w:vAlign w:val="center"/>
            <w:textDirection w:val="lrTb"/>
            <w:noWrap w:val="false"/>
          </w:tcPr>
          <w:p>
            <w:pPr>
              <w:jc w:val="center"/>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螺栓、连接件检查及更换</w:t>
            </w:r>
            <w:r/>
          </w:p>
        </w:tc>
        <w:tc>
          <w:tcPr>
            <w:tcW w:w="6699" w:type="dxa"/>
            <w:vAlign w:val="center"/>
            <w:textDirection w:val="lrTb"/>
            <w:noWrap w:val="false"/>
          </w:tcPr>
          <w:p>
            <w:pPr>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检查及更换紧固螺栓及连接件。</w:t>
            </w:r>
            <w:r/>
          </w:p>
        </w:tc>
      </w:tr>
      <w:tr>
        <w:trPr>
          <w:jc w:val="center"/>
          <w:trHeight w:val="657"/>
        </w:trPr>
        <w:tc>
          <w:tcPr>
            <w:tcW w:w="699" w:type="dxa"/>
            <w:vAlign w:val="center"/>
            <w:textDirection w:val="lrTb"/>
            <w:noWrap w:val="false"/>
          </w:tcPr>
          <w:p>
            <w:pPr>
              <w:jc w:val="center"/>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W w:w="2161" w:type="dxa"/>
            <w:vAlign w:val="center"/>
            <w:textDirection w:val="lrTb"/>
            <w:noWrap w:val="false"/>
          </w:tcPr>
          <w:p>
            <w:pPr>
              <w:jc w:val="center"/>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填料轴封维护</w:t>
            </w:r>
            <w:r/>
          </w:p>
        </w:tc>
        <w:tc>
          <w:tcPr>
            <w:tcW w:w="6699" w:type="dxa"/>
            <w:vAlign w:val="center"/>
            <w:textDirection w:val="lrTb"/>
            <w:noWrap w:val="false"/>
          </w:tcPr>
          <w:p>
            <w:pPr>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1.检查填料式轴封漏水量；2.紧固轴封的填料压盖螺栓或更换成不锈钢螺栓螺帽；3.采用柔性石墨盘根填紧填料式轴封。</w:t>
            </w:r>
            <w:r/>
          </w:p>
        </w:tc>
      </w:tr>
      <w:tr>
        <w:trPr>
          <w:jc w:val="center"/>
          <w:trHeight w:val="657"/>
        </w:trPr>
        <w:tc>
          <w:tcPr>
            <w:tcW w:w="699" w:type="dxa"/>
            <w:vAlign w:val="center"/>
            <w:textDirection w:val="lrTb"/>
            <w:noWrap w:val="false"/>
          </w:tcPr>
          <w:p>
            <w:pPr>
              <w:jc w:val="center"/>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W w:w="2161" w:type="dxa"/>
            <w:vAlign w:val="center"/>
            <w:textDirection w:val="lrTb"/>
            <w:noWrap w:val="false"/>
          </w:tcPr>
          <w:p>
            <w:pPr>
              <w:jc w:val="center"/>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机械轴封维护</w:t>
            </w:r>
            <w:r/>
          </w:p>
        </w:tc>
        <w:tc>
          <w:tcPr>
            <w:tcW w:w="6699" w:type="dxa"/>
            <w:vAlign w:val="center"/>
            <w:textDirection w:val="lrTb"/>
            <w:noWrap w:val="false"/>
          </w:tcPr>
          <w:p>
            <w:pPr>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更换泄漏量大于10ml/h或轴套表面波纹状磨损的轴封。更换橡胶O型圈。</w:t>
            </w:r>
            <w:r/>
          </w:p>
        </w:tc>
      </w:tr>
      <w:tr>
        <w:trPr>
          <w:jc w:val="center"/>
          <w:trHeight w:val="332"/>
        </w:trPr>
        <w:tc>
          <w:tcPr>
            <w:tcW w:w="699" w:type="dxa"/>
            <w:vAlign w:val="center"/>
            <w:textDirection w:val="lrTb"/>
            <w:noWrap w:val="false"/>
          </w:tcPr>
          <w:p>
            <w:pPr>
              <w:jc w:val="center"/>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W w:w="2161" w:type="dxa"/>
            <w:vAlign w:val="center"/>
            <w:textDirection w:val="lrTb"/>
            <w:noWrap w:val="false"/>
          </w:tcPr>
          <w:p>
            <w:pPr>
              <w:jc w:val="center"/>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润滑油更换</w:t>
            </w:r>
            <w:r/>
          </w:p>
        </w:tc>
        <w:tc>
          <w:tcPr>
            <w:tcW w:w="6699" w:type="dxa"/>
            <w:vAlign w:val="center"/>
            <w:textDirection w:val="lrTb"/>
            <w:noWrap w:val="false"/>
          </w:tcPr>
          <w:p>
            <w:pPr>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更换润滑油、清洗油箱。对油箱轴封维护、更换。</w:t>
            </w:r>
            <w:r/>
          </w:p>
        </w:tc>
      </w:tr>
      <w:tr>
        <w:trPr>
          <w:jc w:val="center"/>
          <w:trHeight w:val="680"/>
        </w:trPr>
        <w:tc>
          <w:tcPr>
            <w:tcW w:w="699" w:type="dxa"/>
            <w:vAlign w:val="center"/>
            <w:textDirection w:val="lrTb"/>
            <w:noWrap w:val="false"/>
          </w:tcPr>
          <w:p>
            <w:pPr>
              <w:jc w:val="center"/>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tcW w:w="2161" w:type="dxa"/>
            <w:vAlign w:val="center"/>
            <w:textDirection w:val="lrTb"/>
            <w:noWrap w:val="false"/>
          </w:tcPr>
          <w:p>
            <w:pPr>
              <w:jc w:val="center"/>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润滑油脂更换</w:t>
            </w:r>
            <w:r/>
          </w:p>
        </w:tc>
        <w:tc>
          <w:tcPr>
            <w:tcW w:w="6699" w:type="dxa"/>
            <w:vAlign w:val="center"/>
            <w:textDirection w:val="lrTb"/>
            <w:noWrap w:val="false"/>
          </w:tcPr>
          <w:p>
            <w:pPr>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1.更换润滑脂、清洗轴承座和清除废油脂。2.对油嘴润滑脂的强力充注。3.对超出时限的润滑脂彻底清除、更换。</w:t>
            </w:r>
            <w:r/>
          </w:p>
        </w:tc>
      </w:tr>
      <w:tr>
        <w:trPr>
          <w:jc w:val="center"/>
          <w:trHeight w:val="463"/>
        </w:trPr>
        <w:tc>
          <w:tcPr>
            <w:tcW w:w="699" w:type="dxa"/>
            <w:vAlign w:val="center"/>
            <w:textDirection w:val="lrTb"/>
            <w:noWrap w:val="false"/>
          </w:tcPr>
          <w:p>
            <w:pPr>
              <w:jc w:val="center"/>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tcW w:w="2161" w:type="dxa"/>
            <w:vAlign w:val="center"/>
            <w:textDirection w:val="lrTb"/>
            <w:noWrap w:val="false"/>
          </w:tcPr>
          <w:p>
            <w:pPr>
              <w:jc w:val="center"/>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解体检修</w:t>
            </w:r>
            <w:r/>
          </w:p>
        </w:tc>
        <w:tc>
          <w:tcPr>
            <w:tcW w:w="6699" w:type="dxa"/>
            <w:vAlign w:val="center"/>
            <w:textDirection w:val="lrTb"/>
            <w:noWrap w:val="false"/>
          </w:tcPr>
          <w:p>
            <w:pPr>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对泵壳、叶轮内外面、叶轮流道、密封环、主轴等处清洗、除垢、更换、调整、油漆。</w:t>
            </w:r>
            <w:r/>
          </w:p>
        </w:tc>
      </w:tr>
      <w:tr>
        <w:trPr>
          <w:jc w:val="center"/>
          <w:trHeight w:val="332"/>
        </w:trPr>
        <w:tc>
          <w:tcPr>
            <w:tcW w:w="699" w:type="dxa"/>
            <w:vAlign w:val="center"/>
            <w:textDirection w:val="lrTb"/>
            <w:noWrap w:val="false"/>
          </w:tcPr>
          <w:p>
            <w:pPr>
              <w:jc w:val="center"/>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w:t>
            </w:r>
            <w:r/>
          </w:p>
        </w:tc>
        <w:tc>
          <w:tcPr>
            <w:tcW w:w="2161" w:type="dxa"/>
            <w:vAlign w:val="center"/>
            <w:textDirection w:val="lrTb"/>
            <w:noWrap w:val="false"/>
          </w:tcPr>
          <w:p>
            <w:pPr>
              <w:jc w:val="center"/>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电器检查</w:t>
            </w:r>
            <w:r/>
          </w:p>
        </w:tc>
        <w:tc>
          <w:tcPr>
            <w:tcW w:w="6699" w:type="dxa"/>
            <w:vAlign w:val="center"/>
            <w:textDirection w:val="lrTb"/>
            <w:noWrap w:val="false"/>
          </w:tcPr>
          <w:p>
            <w:pPr>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对电机，控制系统，变频装置等常规检查。</w:t>
            </w:r>
            <w:r/>
          </w:p>
        </w:tc>
      </w:tr>
      <w:tr>
        <w:trPr>
          <w:jc w:val="center"/>
          <w:trHeight w:val="456"/>
        </w:trPr>
        <w:tc>
          <w:tcPr>
            <w:tcW w:w="699" w:type="dxa"/>
            <w:vAlign w:val="center"/>
            <w:textDirection w:val="lrTb"/>
            <w:noWrap w:val="false"/>
          </w:tcPr>
          <w:p>
            <w:pPr>
              <w:jc w:val="center"/>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w:t>
            </w:r>
            <w:r/>
          </w:p>
        </w:tc>
        <w:tc>
          <w:tcPr>
            <w:tcW w:w="2161" w:type="dxa"/>
            <w:vAlign w:val="center"/>
            <w:textDirection w:val="lrTb"/>
            <w:noWrap w:val="false"/>
          </w:tcPr>
          <w:p>
            <w:pPr>
              <w:jc w:val="center"/>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电器检修</w:t>
            </w:r>
            <w:r/>
          </w:p>
        </w:tc>
        <w:tc>
          <w:tcPr>
            <w:tcW w:w="6699" w:type="dxa"/>
            <w:vAlign w:val="center"/>
            <w:textDirection w:val="lrTb"/>
            <w:noWrap w:val="false"/>
          </w:tcPr>
          <w:p>
            <w:pPr>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对电机、低压电器、连接线、连接端子、接地、绝缘等检修。</w:t>
            </w:r>
            <w:r/>
          </w:p>
        </w:tc>
      </w:tr>
      <w:tr>
        <w:trPr>
          <w:jc w:val="center"/>
          <w:trHeight w:val="456"/>
        </w:trPr>
        <w:tc>
          <w:tcPr>
            <w:tcW w:w="699" w:type="dxa"/>
            <w:vAlign w:val="center"/>
            <w:textDirection w:val="lrTb"/>
            <w:noWrap w:val="false"/>
          </w:tcPr>
          <w:p>
            <w:pPr>
              <w:jc w:val="center"/>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w:t>
            </w:r>
            <w:r/>
          </w:p>
        </w:tc>
        <w:tc>
          <w:tcPr>
            <w:tcW w:w="2161" w:type="dxa"/>
            <w:vAlign w:val="center"/>
            <w:textDirection w:val="lrTb"/>
            <w:noWrap w:val="false"/>
          </w:tcPr>
          <w:p>
            <w:pPr>
              <w:jc w:val="center"/>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泵体除垢刷漆</w:t>
            </w:r>
            <w:r/>
          </w:p>
        </w:tc>
        <w:tc>
          <w:tcPr>
            <w:tcW w:w="6699" w:type="dxa"/>
            <w:vAlign w:val="center"/>
            <w:textDirection w:val="lrTb"/>
            <w:noWrap w:val="false"/>
          </w:tcPr>
          <w:p>
            <w:pPr>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对泵内外除锈刷漆。</w:t>
            </w:r>
            <w:r/>
          </w:p>
        </w:tc>
      </w:tr>
      <w:tr>
        <w:trPr>
          <w:jc w:val="center"/>
          <w:trHeight w:val="346"/>
        </w:trPr>
        <w:tc>
          <w:tcPr>
            <w:tcW w:w="699" w:type="dxa"/>
            <w:vAlign w:val="center"/>
            <w:textDirection w:val="lrTb"/>
            <w:noWrap w:val="false"/>
          </w:tcPr>
          <w:p>
            <w:pPr>
              <w:jc w:val="center"/>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w:t>
            </w:r>
            <w:r/>
          </w:p>
        </w:tc>
        <w:tc>
          <w:tcPr>
            <w:tcW w:w="2161" w:type="dxa"/>
            <w:vAlign w:val="center"/>
            <w:textDirection w:val="lrTb"/>
            <w:noWrap w:val="false"/>
          </w:tcPr>
          <w:p>
            <w:pPr>
              <w:jc w:val="center"/>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压力表校对</w:t>
            </w:r>
            <w:r/>
          </w:p>
        </w:tc>
        <w:tc>
          <w:tcPr>
            <w:tcW w:w="6699" w:type="dxa"/>
            <w:vAlign w:val="center"/>
            <w:textDirection w:val="lrTb"/>
            <w:noWrap w:val="false"/>
          </w:tcPr>
          <w:p>
            <w:pPr>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对水泵进出口压力校对及检修。</w:t>
            </w:r>
            <w:r/>
          </w:p>
        </w:tc>
      </w:tr>
    </w:tbl>
    <w:p>
      <w:pPr>
        <w:pStyle w:val="764"/>
        <w:ind w:left="0"/>
        <w:spacing w:before="120" w:after="120"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⑥冷却塔（制冷季每月一次，制冷季结束拆除电机皮带）</w:t>
      </w:r>
      <w:r/>
    </w:p>
    <w:tbl>
      <w:tblPr>
        <w:tblStyle w:val="745"/>
        <w:tblW w:w="959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2268"/>
        <w:gridCol w:w="6632"/>
      </w:tblGrid>
      <w:tr>
        <w:trPr>
          <w:jc w:val="center"/>
          <w:trHeight w:val="509"/>
        </w:trPr>
        <w:tc>
          <w:tcPr>
            <w:shd w:val="clear" w:color="auto" w:fill="auto"/>
            <w:tcW w:w="699"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序列</w:t>
            </w:r>
            <w:r/>
          </w:p>
        </w:tc>
        <w:tc>
          <w:tcPr>
            <w:shd w:val="clear" w:color="auto" w:fill="auto"/>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服务项目</w:t>
            </w:r>
            <w:r/>
          </w:p>
        </w:tc>
        <w:tc>
          <w:tcPr>
            <w:shd w:val="clear" w:color="auto" w:fill="auto"/>
            <w:tcW w:w="6632"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具体内容</w:t>
            </w:r>
            <w:r/>
          </w:p>
        </w:tc>
      </w:tr>
      <w:tr>
        <w:trPr>
          <w:jc w:val="center"/>
          <w:trHeight w:val="333"/>
        </w:trPr>
        <w:tc>
          <w:tcPr>
            <w:shd w:val="clear" w:color="auto" w:fill="auto"/>
            <w:tcW w:w="699"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shd w:val="clear" w:color="auto" w:fill="auto"/>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通风装置紧固</w:t>
            </w:r>
            <w:r/>
          </w:p>
        </w:tc>
        <w:tc>
          <w:tcPr>
            <w:shd w:val="clear" w:color="auto" w:fill="auto"/>
            <w:tcW w:w="6632"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电机、风机减速装置和连接螺栓的紧固。</w:t>
            </w:r>
            <w:r/>
          </w:p>
        </w:tc>
      </w:tr>
      <w:tr>
        <w:trPr>
          <w:jc w:val="center"/>
          <w:trHeight w:val="659"/>
        </w:trPr>
        <w:tc>
          <w:tcPr>
            <w:shd w:val="clear" w:color="auto" w:fill="auto"/>
            <w:tcW w:w="699"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shd w:val="clear" w:color="auto" w:fill="auto"/>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风机皮带调整</w:t>
            </w:r>
            <w:r/>
          </w:p>
        </w:tc>
        <w:tc>
          <w:tcPr>
            <w:shd w:val="clear" w:color="auto" w:fill="auto"/>
            <w:tcW w:w="6632"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1.对皮带的平行度、松紧度的调整；2.多皮带受力均匀检查。</w:t>
            </w:r>
            <w:r/>
          </w:p>
        </w:tc>
      </w:tr>
      <w:tr>
        <w:trPr>
          <w:jc w:val="center"/>
          <w:trHeight w:val="418"/>
        </w:trPr>
        <w:tc>
          <w:tcPr>
            <w:tcW w:w="699"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风机叶片检查</w:t>
            </w:r>
            <w:r/>
          </w:p>
        </w:tc>
        <w:tc>
          <w:tcPr>
            <w:tcW w:w="6632"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1.风机、叶片腐蚀及受损检查；2.风机叶片角度的检查；3.风机叶片固定螺栓的检查；4.风机动静平衡检查；5.风机叶片与排风洞的间隙检查；6.风机震动与噪声检查。</w:t>
            </w:r>
            <w:r/>
          </w:p>
        </w:tc>
      </w:tr>
      <w:tr>
        <w:trPr>
          <w:jc w:val="center"/>
          <w:trHeight w:val="985"/>
        </w:trPr>
        <w:tc>
          <w:tcPr>
            <w:tcW w:w="699"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布水装置清洗及维护</w:t>
            </w:r>
            <w:r/>
          </w:p>
        </w:tc>
        <w:tc>
          <w:tcPr>
            <w:tcW w:w="6632"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1.布水速度的检查；2.布水器的漏水检查；3.布水孔清洗；4.布水管出水与填料夹角角度检查；5.布水管与壳体周边间隙检查；6.布水管与填料间布水高度的检查。</w:t>
            </w:r>
            <w:r/>
          </w:p>
        </w:tc>
      </w:tr>
      <w:tr>
        <w:trPr>
          <w:jc w:val="center"/>
          <w:trHeight w:val="659"/>
        </w:trPr>
        <w:tc>
          <w:tcPr>
            <w:tcW w:w="699"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填料清洗</w:t>
            </w:r>
            <w:r/>
          </w:p>
        </w:tc>
        <w:tc>
          <w:tcPr>
            <w:tcW w:w="6632"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1.填料的破损检查；2.填料油污、泥垢、菌藻检查清洗；3.其它杂物及漂浮物的检查清洗。</w:t>
            </w:r>
            <w:r/>
          </w:p>
        </w:tc>
      </w:tr>
      <w:tr>
        <w:trPr>
          <w:jc w:val="center"/>
          <w:trHeight w:val="333"/>
        </w:trPr>
        <w:tc>
          <w:tcPr>
            <w:tcW w:w="699"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减速器加油</w:t>
            </w:r>
            <w:r/>
          </w:p>
        </w:tc>
        <w:tc>
          <w:tcPr>
            <w:tcW w:w="6632"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1.按规定加油；2.检查油面高度及油质；3.杜绝漏油。</w:t>
            </w:r>
            <w:r/>
          </w:p>
        </w:tc>
      </w:tr>
      <w:tr>
        <w:trPr>
          <w:jc w:val="center"/>
          <w:trHeight w:val="523"/>
        </w:trPr>
        <w:tc>
          <w:tcPr>
            <w:tcW w:w="699"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水盘清洗</w:t>
            </w:r>
            <w:r/>
          </w:p>
        </w:tc>
        <w:tc>
          <w:tcPr>
            <w:tcW w:w="6632"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1.油污清洗；2.泥垢、菌藻清洗；3.排放污水；4.清扫水盘。</w:t>
            </w:r>
            <w:r/>
          </w:p>
        </w:tc>
      </w:tr>
      <w:tr>
        <w:trPr>
          <w:jc w:val="center"/>
          <w:trHeight w:val="333"/>
        </w:trPr>
        <w:tc>
          <w:tcPr>
            <w:tcW w:w="699"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w:t>
            </w:r>
            <w:r/>
          </w:p>
        </w:tc>
        <w:tc>
          <w:tcPr>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减速器换油</w:t>
            </w:r>
            <w:r/>
          </w:p>
        </w:tc>
        <w:tc>
          <w:tcPr>
            <w:tcW w:w="6632"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按保养要求更换润滑油。</w:t>
            </w:r>
            <w:r/>
          </w:p>
        </w:tc>
      </w:tr>
      <w:tr>
        <w:trPr>
          <w:jc w:val="center"/>
          <w:trHeight w:val="333"/>
        </w:trPr>
        <w:tc>
          <w:tcPr>
            <w:tcW w:w="699"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w:t>
            </w:r>
            <w:r/>
          </w:p>
        </w:tc>
        <w:tc>
          <w:tcPr>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风机轴承换油</w:t>
            </w:r>
            <w:r/>
          </w:p>
        </w:tc>
        <w:tc>
          <w:tcPr>
            <w:tcW w:w="6632"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按保养要求要求强制性更换润滑脂。</w:t>
            </w:r>
            <w:r/>
          </w:p>
        </w:tc>
      </w:tr>
      <w:tr>
        <w:trPr>
          <w:jc w:val="center"/>
          <w:trHeight w:val="659"/>
        </w:trPr>
        <w:tc>
          <w:tcPr>
            <w:tcW w:w="699"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w:t>
            </w:r>
            <w:r/>
          </w:p>
        </w:tc>
        <w:tc>
          <w:tcPr>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电机绝缘检测及机械维护</w:t>
            </w:r>
            <w:r/>
          </w:p>
        </w:tc>
        <w:tc>
          <w:tcPr>
            <w:tcW w:w="6632"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1.电器、电机的常规检测及维护；2.机械设备的常规检查及维护。</w:t>
            </w:r>
            <w:r/>
          </w:p>
        </w:tc>
      </w:tr>
      <w:tr>
        <w:trPr>
          <w:jc w:val="center"/>
          <w:trHeight w:val="347"/>
        </w:trPr>
        <w:tc>
          <w:tcPr>
            <w:tcW w:w="699"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w:t>
            </w:r>
            <w:r/>
          </w:p>
        </w:tc>
        <w:tc>
          <w:tcPr>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构件刷漆</w:t>
            </w:r>
            <w:r/>
          </w:p>
        </w:tc>
        <w:tc>
          <w:tcPr>
            <w:tcW w:w="6632"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钢构件、螺栓、支撑件、爬梯除锈更换和油漆。</w:t>
            </w:r>
            <w:r/>
          </w:p>
        </w:tc>
      </w:tr>
    </w:tbl>
    <w:p>
      <w:pPr>
        <w:pStyle w:val="764"/>
        <w:ind w:left="0"/>
        <w:spacing w:before="120" w:after="120"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⑦空调水管</w:t>
      </w:r>
      <w:r/>
    </w:p>
    <w:tbl>
      <w:tblPr>
        <w:tblStyle w:val="745"/>
        <w:tblW w:w="9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268"/>
        <w:gridCol w:w="6587"/>
      </w:tblGrid>
      <w:tr>
        <w:trPr>
          <w:jc w:val="center"/>
          <w:trHeight w:val="361"/>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序列</w:t>
            </w:r>
            <w:r/>
          </w:p>
        </w:tc>
        <w:tc>
          <w:tcPr>
            <w:shd w:val="clear" w:color="auto" w:fill="auto"/>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服务项目</w:t>
            </w:r>
            <w:r/>
          </w:p>
        </w:tc>
        <w:tc>
          <w:tcPr>
            <w:shd w:val="clear" w:color="auto" w:fill="auto"/>
            <w:tcW w:w="6587"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具体内容</w:t>
            </w:r>
            <w:r/>
          </w:p>
        </w:tc>
      </w:tr>
      <w:tr>
        <w:trPr>
          <w:jc w:val="center"/>
          <w:trHeight w:val="1038"/>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shd w:val="clear" w:color="auto" w:fill="auto"/>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管道保温</w:t>
            </w:r>
            <w:r/>
          </w:p>
        </w:tc>
        <w:tc>
          <w:tcPr>
            <w:shd w:val="clear" w:color="auto" w:fill="auto"/>
            <w:tcW w:w="6587"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1.检查保温层脱落、破损、翻翘情况；2.保温层连接处泄漏情况；3.保温层的衰老、变质情况的检查；4.维修后复原。</w:t>
            </w:r>
            <w:r/>
          </w:p>
        </w:tc>
      </w:tr>
      <w:tr>
        <w:trPr>
          <w:jc w:val="center"/>
          <w:trHeight w:val="361"/>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shd w:val="clear" w:color="auto" w:fill="auto"/>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自动排气阀</w:t>
            </w:r>
            <w:r/>
          </w:p>
        </w:tc>
        <w:tc>
          <w:tcPr>
            <w:shd w:val="clear" w:color="auto" w:fill="auto"/>
            <w:tcW w:w="6587"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1.检查工作情况；2.排气阀的清洗及除垢。</w:t>
            </w:r>
            <w:r/>
          </w:p>
        </w:tc>
      </w:tr>
      <w:tr>
        <w:trPr>
          <w:jc w:val="center"/>
          <w:trHeight w:val="361"/>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shd w:val="clear" w:color="auto" w:fill="auto"/>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管道除锈刷漆</w:t>
            </w:r>
            <w:r/>
          </w:p>
        </w:tc>
        <w:tc>
          <w:tcPr>
            <w:shd w:val="clear" w:color="auto" w:fill="auto"/>
            <w:tcW w:w="6587"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按保养要求除锈刷漆。</w:t>
            </w:r>
            <w:r/>
          </w:p>
        </w:tc>
      </w:tr>
      <w:tr>
        <w:trPr>
          <w:jc w:val="center"/>
          <w:trHeight w:val="700"/>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shd w:val="clear" w:color="auto" w:fill="auto"/>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凝水检查</w:t>
            </w:r>
            <w:r/>
          </w:p>
        </w:tc>
        <w:tc>
          <w:tcPr>
            <w:shd w:val="clear" w:color="auto" w:fill="auto"/>
            <w:tcW w:w="6587"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1.检查凝水管及支管安装质量及排水通畅；2.凝水管微生物及结垢检查。</w:t>
            </w:r>
            <w:r/>
          </w:p>
        </w:tc>
      </w:tr>
      <w:tr>
        <w:trPr>
          <w:jc w:val="center"/>
          <w:trHeight w:val="700"/>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shd w:val="clear" w:color="auto" w:fill="auto"/>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阀门除锈刷漆</w:t>
            </w:r>
            <w:r/>
          </w:p>
        </w:tc>
        <w:tc>
          <w:tcPr>
            <w:shd w:val="clear" w:color="auto" w:fill="auto"/>
            <w:tcW w:w="6587"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1.按规定要求除锈刷漆；2.检查开启度；3.检查完好情况。</w:t>
            </w:r>
            <w:r/>
          </w:p>
        </w:tc>
      </w:tr>
      <w:tr>
        <w:trPr>
          <w:jc w:val="center"/>
          <w:trHeight w:val="361"/>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shd w:val="clear" w:color="auto" w:fill="auto"/>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阀杆涂油（室内）</w:t>
            </w:r>
            <w:r/>
          </w:p>
        </w:tc>
        <w:tc>
          <w:tcPr>
            <w:shd w:val="clear" w:color="auto" w:fill="auto"/>
            <w:tcW w:w="6587"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按保养要求涂油，并检测启闭灵活性。</w:t>
            </w:r>
            <w:r/>
          </w:p>
        </w:tc>
      </w:tr>
      <w:tr>
        <w:trPr>
          <w:jc w:val="center"/>
          <w:trHeight w:val="361"/>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shd w:val="clear" w:color="auto" w:fill="auto"/>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阀杆涂油（室外）</w:t>
            </w:r>
            <w:r/>
          </w:p>
        </w:tc>
        <w:tc>
          <w:tcPr>
            <w:shd w:val="clear" w:color="auto" w:fill="auto"/>
            <w:tcW w:w="6587"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按保养要求涂油，并检测启闭灵活性。</w:t>
            </w:r>
            <w:r/>
          </w:p>
        </w:tc>
      </w:tr>
      <w:tr>
        <w:trPr>
          <w:jc w:val="center"/>
          <w:trHeight w:val="700"/>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w:t>
            </w:r>
            <w:r/>
          </w:p>
        </w:tc>
        <w:tc>
          <w:tcPr>
            <w:shd w:val="clear" w:color="auto" w:fill="auto"/>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电动阀内变速箱换油</w:t>
            </w:r>
            <w:r/>
          </w:p>
        </w:tc>
        <w:tc>
          <w:tcPr>
            <w:shd w:val="clear" w:color="auto" w:fill="auto"/>
            <w:tcW w:w="6587"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按保养要求更换润滑油并注意油质及油面高度。</w:t>
            </w:r>
            <w:r/>
          </w:p>
        </w:tc>
      </w:tr>
      <w:tr>
        <w:trPr>
          <w:jc w:val="center"/>
          <w:trHeight w:val="700"/>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w:t>
            </w:r>
            <w:r/>
          </w:p>
        </w:tc>
        <w:tc>
          <w:tcPr>
            <w:shd w:val="clear" w:color="auto" w:fill="auto"/>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电动阀门保养</w:t>
            </w:r>
            <w:r/>
          </w:p>
        </w:tc>
        <w:tc>
          <w:tcPr>
            <w:shd w:val="clear" w:color="auto" w:fill="auto"/>
            <w:tcW w:w="6587"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1.电机电器及控制系统的保养；2.阀门的机械常规保养。</w:t>
            </w:r>
            <w:r/>
          </w:p>
        </w:tc>
      </w:tr>
      <w:tr>
        <w:trPr>
          <w:jc w:val="center"/>
          <w:trHeight w:val="361"/>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w:t>
            </w:r>
            <w:r/>
          </w:p>
        </w:tc>
        <w:tc>
          <w:tcPr>
            <w:shd w:val="clear" w:color="auto" w:fill="auto"/>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自动阀门检查</w:t>
            </w:r>
            <w:r/>
          </w:p>
        </w:tc>
        <w:tc>
          <w:tcPr>
            <w:shd w:val="clear" w:color="auto" w:fill="auto"/>
            <w:tcW w:w="6587"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检查阀门的灵活性和可靠性。</w:t>
            </w:r>
            <w:r/>
          </w:p>
        </w:tc>
      </w:tr>
      <w:tr>
        <w:trPr>
          <w:jc w:val="center"/>
          <w:trHeight w:val="700"/>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w:t>
            </w:r>
            <w:r/>
          </w:p>
        </w:tc>
        <w:tc>
          <w:tcPr>
            <w:shd w:val="clear" w:color="auto" w:fill="auto"/>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冷冻水过滤器清洗</w:t>
            </w:r>
            <w:r/>
          </w:p>
        </w:tc>
        <w:tc>
          <w:tcPr>
            <w:shd w:val="clear" w:color="auto" w:fill="auto"/>
            <w:tcW w:w="6587"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按照运行要求拆卸清洗。</w:t>
            </w:r>
            <w:r/>
          </w:p>
        </w:tc>
      </w:tr>
      <w:tr>
        <w:trPr>
          <w:jc w:val="center"/>
          <w:trHeight w:val="700"/>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w:t>
            </w:r>
            <w:r/>
          </w:p>
        </w:tc>
        <w:tc>
          <w:tcPr>
            <w:shd w:val="clear" w:color="auto" w:fill="auto"/>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冷却水过滤器清洗</w:t>
            </w:r>
            <w:r/>
          </w:p>
        </w:tc>
        <w:tc>
          <w:tcPr>
            <w:shd w:val="clear" w:color="auto" w:fill="auto"/>
            <w:tcW w:w="6587"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按照运行要求拆卸清洗</w:t>
            </w:r>
            <w:r/>
          </w:p>
        </w:tc>
      </w:tr>
      <w:tr>
        <w:trPr>
          <w:jc w:val="center"/>
          <w:trHeight w:val="1038"/>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w:t>
            </w:r>
            <w:r/>
          </w:p>
        </w:tc>
        <w:tc>
          <w:tcPr>
            <w:shd w:val="clear" w:color="auto" w:fill="auto"/>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膨胀水箱维护</w:t>
            </w:r>
            <w:r/>
          </w:p>
        </w:tc>
        <w:tc>
          <w:tcPr>
            <w:shd w:val="clear" w:color="auto" w:fill="auto"/>
            <w:tcW w:w="6587"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1．进水浮球阀维护；2.溢水口和溢水管的检查；3.排污阀的检查；4.膨胀管的检查；5.信号管的检查；6.保温层的检查。</w:t>
            </w:r>
            <w:r/>
          </w:p>
        </w:tc>
      </w:tr>
      <w:tr>
        <w:trPr>
          <w:jc w:val="center"/>
          <w:trHeight w:val="361"/>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w:t>
            </w:r>
            <w:r/>
          </w:p>
        </w:tc>
        <w:tc>
          <w:tcPr>
            <w:shd w:val="clear" w:color="auto" w:fill="auto"/>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膨胀水箱刷漆</w:t>
            </w:r>
            <w:r/>
          </w:p>
        </w:tc>
        <w:tc>
          <w:tcPr>
            <w:shd w:val="clear" w:color="auto" w:fill="auto"/>
            <w:tcW w:w="6587"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按保养要求对膨胀水箱内外壁的除锈刷漆。</w:t>
            </w:r>
            <w:r/>
          </w:p>
        </w:tc>
      </w:tr>
      <w:tr>
        <w:trPr>
          <w:jc w:val="center"/>
          <w:trHeight w:val="383"/>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15</w:t>
            </w:r>
            <w:r/>
          </w:p>
        </w:tc>
        <w:tc>
          <w:tcPr>
            <w:shd w:val="clear" w:color="auto" w:fill="auto"/>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支承件除锈刷漆</w:t>
            </w:r>
            <w:r/>
          </w:p>
        </w:tc>
        <w:tc>
          <w:tcPr>
            <w:shd w:val="clear" w:color="auto" w:fill="auto"/>
            <w:tcW w:w="6587"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按保养要求对支承件除锈刷漆。</w:t>
            </w:r>
            <w:r/>
          </w:p>
        </w:tc>
      </w:tr>
    </w:tbl>
    <w:p>
      <w:pPr>
        <w:pStyle w:val="764"/>
        <w:ind w:left="0"/>
        <w:spacing w:before="120" w:after="120"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⑧水质管理</w:t>
      </w:r>
      <w:r/>
    </w:p>
    <w:tbl>
      <w:tblPr>
        <w:tblStyle w:val="745"/>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268"/>
        <w:gridCol w:w="6526"/>
      </w:tblGrid>
      <w:tr>
        <w:trPr>
          <w:jc w:val="center"/>
          <w:trHeight w:val="625"/>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序列</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服务项目</w:t>
            </w:r>
            <w:r/>
          </w:p>
        </w:tc>
        <w:tc>
          <w:tcPr>
            <w:tcBorders>
              <w:top w:val="single" w:color="auto" w:sz="4" w:space="0"/>
              <w:left w:val="single" w:color="auto" w:sz="4" w:space="0"/>
              <w:bottom w:val="single" w:color="auto" w:sz="4" w:space="0"/>
              <w:right w:val="single" w:color="auto" w:sz="4" w:space="0"/>
            </w:tcBorders>
            <w:tcW w:w="6526" w:type="dxa"/>
            <w:vAlign w:val="center"/>
            <w:textDirection w:val="lrTb"/>
            <w:noWrap/>
          </w:tcPr>
          <w:p>
            <w:pPr>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具体内容</w:t>
            </w:r>
            <w:r/>
          </w:p>
        </w:tc>
      </w:tr>
      <w:tr>
        <w:trPr>
          <w:jc w:val="center"/>
          <w:trHeight w:val="9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冷却水水质检查</w:t>
            </w:r>
            <w:r/>
          </w:p>
        </w:tc>
        <w:tc>
          <w:tcPr>
            <w:tcBorders>
              <w:top w:val="single" w:color="auto" w:sz="4" w:space="0"/>
              <w:left w:val="single" w:color="auto" w:sz="4" w:space="0"/>
              <w:bottom w:val="single" w:color="auto" w:sz="4" w:space="0"/>
              <w:right w:val="single" w:color="auto" w:sz="4" w:space="0"/>
            </w:tcBorders>
            <w:tcW w:w="6526" w:type="dxa"/>
            <w:vAlign w:val="center"/>
            <w:textDirection w:val="lrTb"/>
            <w:noWrap/>
          </w:tcPr>
          <w:p>
            <w:pP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掌握水质的状况，对PH值、电导率、浊度、硬度进行检验。</w:t>
            </w:r>
            <w:r/>
          </w:p>
        </w:tc>
      </w:tr>
      <w:tr>
        <w:trPr>
          <w:jc w:val="center"/>
          <w:trHeight w:val="625"/>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冷却水杀菌</w:t>
            </w:r>
            <w:r/>
          </w:p>
        </w:tc>
        <w:tc>
          <w:tcPr>
            <w:tcBorders>
              <w:top w:val="single" w:color="auto" w:sz="4" w:space="0"/>
              <w:left w:val="single" w:color="auto" w:sz="4" w:space="0"/>
              <w:bottom w:val="single" w:color="auto" w:sz="4" w:space="0"/>
              <w:right w:val="single" w:color="auto" w:sz="4" w:space="0"/>
            </w:tcBorders>
            <w:tcW w:w="6526" w:type="dxa"/>
            <w:vAlign w:val="center"/>
            <w:textDirection w:val="lrTb"/>
            <w:noWrap/>
          </w:tcPr>
          <w:p>
            <w:pP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采用化学药剂定期投放，去除菌藻繁殖。</w:t>
            </w:r>
            <w:r/>
          </w:p>
        </w:tc>
      </w:tr>
      <w:tr>
        <w:trPr>
          <w:jc w:val="center"/>
          <w:trHeight w:val="625"/>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冷却水防垢除垢</w:t>
            </w:r>
            <w:r/>
          </w:p>
        </w:tc>
        <w:tc>
          <w:tcPr>
            <w:tcBorders>
              <w:top w:val="single" w:color="auto" w:sz="4" w:space="0"/>
              <w:left w:val="single" w:color="auto" w:sz="4" w:space="0"/>
              <w:bottom w:val="single" w:color="auto" w:sz="4" w:space="0"/>
              <w:right w:val="single" w:color="auto" w:sz="4" w:space="0"/>
            </w:tcBorders>
            <w:tcW w:w="6526" w:type="dxa"/>
            <w:vAlign w:val="center"/>
            <w:textDirection w:val="lrTb"/>
            <w:noWrap/>
          </w:tcPr>
          <w:p>
            <w:pP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采用人工清洗、化学处理等手段防垢、除垢。</w:t>
            </w:r>
            <w:r/>
          </w:p>
        </w:tc>
      </w:tr>
      <w:tr>
        <w:trPr>
          <w:jc w:val="center"/>
          <w:trHeight w:val="625"/>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空调水水质检查</w:t>
            </w:r>
            <w:r/>
          </w:p>
        </w:tc>
        <w:tc>
          <w:tcPr>
            <w:tcBorders>
              <w:top w:val="single" w:color="auto" w:sz="4" w:space="0"/>
              <w:left w:val="single" w:color="auto" w:sz="4" w:space="0"/>
              <w:bottom w:val="single" w:color="auto" w:sz="4" w:space="0"/>
              <w:right w:val="single" w:color="auto" w:sz="4" w:space="0"/>
            </w:tcBorders>
            <w:tcW w:w="6526" w:type="dxa"/>
            <w:vAlign w:val="center"/>
            <w:textDirection w:val="lrTb"/>
            <w:noWrap/>
          </w:tcPr>
          <w:p>
            <w:pP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对空调水的PH值、电导率、浊度、硬度进行检验。</w:t>
            </w:r>
            <w:r/>
          </w:p>
        </w:tc>
      </w:tr>
      <w:tr>
        <w:trPr>
          <w:jc w:val="center"/>
          <w:trHeight w:val="625"/>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空调水防垢除垢</w:t>
            </w:r>
            <w:r/>
          </w:p>
        </w:tc>
        <w:tc>
          <w:tcPr>
            <w:tcBorders>
              <w:top w:val="single" w:color="auto" w:sz="4" w:space="0"/>
              <w:left w:val="single" w:color="auto" w:sz="4" w:space="0"/>
              <w:bottom w:val="single" w:color="auto" w:sz="4" w:space="0"/>
              <w:right w:val="single" w:color="auto" w:sz="4" w:space="0"/>
            </w:tcBorders>
            <w:tcW w:w="6526" w:type="dxa"/>
            <w:vAlign w:val="center"/>
            <w:textDirection w:val="lrTb"/>
            <w:noWrap/>
          </w:tcPr>
          <w:p>
            <w:pP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采用人工清洗、化学处理等手段防垢、除垢。</w:t>
            </w:r>
            <w:r/>
          </w:p>
        </w:tc>
      </w:tr>
      <w:tr>
        <w:trPr>
          <w:jc w:val="center"/>
          <w:trHeight w:val="936"/>
        </w:trPr>
        <w:tc>
          <w:tcPr>
            <w:gridSpan w:val="3"/>
            <w:tcBorders>
              <w:top w:val="single" w:color="auto" w:sz="4" w:space="0"/>
              <w:left w:val="single" w:color="auto" w:sz="4" w:space="0"/>
              <w:bottom w:val="single" w:color="auto" w:sz="4" w:space="0"/>
              <w:right w:val="single" w:color="auto" w:sz="4" w:space="0"/>
            </w:tcBorders>
            <w:tcW w:w="9498" w:type="dxa"/>
            <w:vAlign w:val="center"/>
            <w:textDirection w:val="lrTb"/>
            <w:noWrap/>
          </w:tcPr>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对冷温水管路空调水PH值、硬度定期检测，每年1次加药处理，确保水质合格，保证空调效果</w:t>
            </w:r>
            <w:r/>
          </w:p>
        </w:tc>
      </w:tr>
    </w:tbl>
    <w:p>
      <w:pPr>
        <w:pStyle w:val="764"/>
        <w:ind w:left="0"/>
        <w:spacing w:before="120" w:after="120"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⑨组合式空调箱</w:t>
      </w:r>
      <w:r/>
    </w:p>
    <w:tbl>
      <w:tblPr>
        <w:tblStyle w:val="745"/>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477"/>
        <w:gridCol w:w="6377"/>
      </w:tblGrid>
      <w:tr>
        <w:trPr>
          <w:jc w:val="center"/>
          <w:trHeight w:val="299"/>
        </w:trPr>
        <w:tc>
          <w:tcPr>
            <w:shd w:val="clear" w:color="auto" w:fill="auto"/>
            <w:tcW w:w="704" w:type="dxa"/>
            <w:textDirection w:val="lrTb"/>
            <w:noWrap w:val="false"/>
          </w:tcPr>
          <w:p>
            <w:pPr>
              <w:jc w:val="cente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序列</w:t>
            </w:r>
            <w:r/>
          </w:p>
        </w:tc>
        <w:tc>
          <w:tcPr>
            <w:shd w:val="clear" w:color="auto" w:fill="auto"/>
            <w:tcW w:w="2477" w:type="dxa"/>
            <w:vAlign w:val="center"/>
            <w:textDirection w:val="lrTb"/>
            <w:noWrap w:val="false"/>
          </w:tcPr>
          <w:p>
            <w:pPr>
              <w:jc w:val="cente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服务项目</w:t>
            </w:r>
            <w:r/>
          </w:p>
        </w:tc>
        <w:tc>
          <w:tcPr>
            <w:shd w:val="clear" w:color="auto" w:fill="auto"/>
            <w:tcW w:w="6377" w:type="dxa"/>
            <w:vAlign w:val="center"/>
            <w:textDirection w:val="lrTb"/>
            <w:noWrap w:val="false"/>
          </w:tcPr>
          <w:p>
            <w:pPr>
              <w:jc w:val="cente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具体内容</w:t>
            </w:r>
            <w:r/>
          </w:p>
        </w:tc>
      </w:tr>
      <w:tr>
        <w:trPr>
          <w:jc w:val="center"/>
          <w:trHeight w:val="1121"/>
        </w:trPr>
        <w:tc>
          <w:tcPr>
            <w:shd w:val="clear" w:color="auto" w:fill="auto"/>
            <w:tcW w:w="704" w:type="dxa"/>
            <w:vAlign w:val="center"/>
            <w:textDirection w:val="lrTb"/>
            <w:noWrap w:val="false"/>
          </w:tcPr>
          <w:p>
            <w:pPr>
              <w:jc w:val="cente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shd w:val="clear" w:color="auto" w:fill="auto"/>
            <w:tcW w:w="2477" w:type="dxa"/>
            <w:vAlign w:val="center"/>
            <w:textDirection w:val="lrTb"/>
            <w:noWrap w:val="false"/>
          </w:tcPr>
          <w:p>
            <w:pPr>
              <w:jc w:val="cente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风门调节阀检修</w:t>
            </w:r>
            <w:r/>
          </w:p>
        </w:tc>
        <w:tc>
          <w:tcPr>
            <w:shd w:val="clear" w:color="auto" w:fill="auto"/>
            <w:tcW w:w="6377" w:type="dxa"/>
            <w:textDirection w:val="lrTb"/>
            <w:noWrap w:val="false"/>
          </w:tcPr>
          <w:p>
            <w:pP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1.检查各风门调节阀开关功能、自身安装牢固性、密闭性；</w:t>
            </w:r>
            <w:r/>
          </w:p>
          <w:p>
            <w:pP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2.对调节阀加油；</w:t>
            </w:r>
            <w:r/>
          </w:p>
          <w:p>
            <w:pP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3.检查自动装置的可靠性；</w:t>
            </w:r>
            <w:r/>
          </w:p>
          <w:p>
            <w:pP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4.检查轴柄处密封性；</w:t>
            </w:r>
            <w:r/>
          </w:p>
          <w:p>
            <w:pP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5.噪声检测；</w:t>
            </w:r>
            <w:r/>
          </w:p>
          <w:p>
            <w:pP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6.震动检测。</w:t>
            </w:r>
            <w:r/>
          </w:p>
        </w:tc>
      </w:tr>
      <w:tr>
        <w:trPr>
          <w:jc w:val="center"/>
          <w:trHeight w:val="567"/>
        </w:trPr>
        <w:tc>
          <w:tcPr>
            <w:tcW w:w="704" w:type="dxa"/>
            <w:vAlign w:val="center"/>
            <w:textDirection w:val="lrTb"/>
            <w:noWrap w:val="false"/>
          </w:tcPr>
          <w:p>
            <w:pPr>
              <w:jc w:val="cente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W w:w="2477" w:type="dxa"/>
            <w:vAlign w:val="center"/>
            <w:textDirection w:val="lrTb"/>
            <w:noWrap w:val="false"/>
          </w:tcPr>
          <w:p>
            <w:pPr>
              <w:jc w:val="cente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初效过滤器清洗</w:t>
            </w:r>
            <w:r/>
          </w:p>
        </w:tc>
        <w:tc>
          <w:tcPr>
            <w:tcW w:w="6377" w:type="dxa"/>
            <w:textDirection w:val="lrTb"/>
            <w:noWrap w:val="false"/>
          </w:tcPr>
          <w:p>
            <w:pP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吸尘器清吸或强力水冲洗。有油污，可采用化学清洗。</w:t>
            </w:r>
            <w:r/>
          </w:p>
        </w:tc>
      </w:tr>
      <w:tr>
        <w:trPr>
          <w:jc w:val="center"/>
          <w:trHeight w:val="567"/>
        </w:trPr>
        <w:tc>
          <w:tcPr>
            <w:tcW w:w="704" w:type="dxa"/>
            <w:vAlign w:val="center"/>
            <w:textDirection w:val="lrTb"/>
            <w:noWrap w:val="false"/>
          </w:tcPr>
          <w:p>
            <w:pPr>
              <w:jc w:val="cente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W w:w="2477" w:type="dxa"/>
            <w:vAlign w:val="center"/>
            <w:textDirection w:val="lrTb"/>
            <w:noWrap w:val="false"/>
          </w:tcPr>
          <w:p>
            <w:pPr>
              <w:jc w:val="cente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中效过滤器清洗</w:t>
            </w:r>
            <w:r/>
          </w:p>
        </w:tc>
        <w:tc>
          <w:tcPr>
            <w:tcW w:w="6377" w:type="dxa"/>
            <w:textDirection w:val="lrTb"/>
            <w:noWrap w:val="false"/>
          </w:tcPr>
          <w:p>
            <w:pP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吸尘器清吸或强力水冲洗。有油污，可采用化学清洗。</w:t>
            </w:r>
            <w:r/>
          </w:p>
        </w:tc>
      </w:tr>
      <w:tr>
        <w:trPr>
          <w:jc w:val="center"/>
          <w:trHeight w:val="591"/>
        </w:trPr>
        <w:tc>
          <w:tcPr>
            <w:tcW w:w="704" w:type="dxa"/>
            <w:vAlign w:val="center"/>
            <w:textDirection w:val="lrTb"/>
            <w:noWrap w:val="false"/>
          </w:tcPr>
          <w:p>
            <w:pPr>
              <w:jc w:val="cente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W w:w="2477" w:type="dxa"/>
            <w:vAlign w:val="center"/>
            <w:textDirection w:val="lrTb"/>
            <w:noWrap w:val="false"/>
          </w:tcPr>
          <w:p>
            <w:pPr>
              <w:jc w:val="cente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表冷器检修清洗</w:t>
            </w:r>
            <w:r/>
          </w:p>
        </w:tc>
        <w:tc>
          <w:tcPr>
            <w:tcW w:w="6377" w:type="dxa"/>
            <w:textDirection w:val="lrTb"/>
            <w:noWrap w:val="false"/>
          </w:tcPr>
          <w:p>
            <w:pP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表冷器维护及清洁，如表面有油污或尾部有腐蚀现象，则采用合适的清洗剂进行化学清洗。</w:t>
            </w:r>
            <w:r/>
          </w:p>
        </w:tc>
      </w:tr>
      <w:tr>
        <w:trPr>
          <w:jc w:val="center"/>
          <w:trHeight w:val="591"/>
        </w:trPr>
        <w:tc>
          <w:tcPr>
            <w:tcW w:w="704" w:type="dxa"/>
            <w:vAlign w:val="center"/>
            <w:textDirection w:val="lrTb"/>
            <w:noWrap w:val="false"/>
          </w:tcPr>
          <w:p>
            <w:pPr>
              <w:jc w:val="cente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W w:w="2477" w:type="dxa"/>
            <w:vAlign w:val="center"/>
            <w:textDirection w:val="lrTb"/>
            <w:noWrap w:val="false"/>
          </w:tcPr>
          <w:p>
            <w:pPr>
              <w:jc w:val="cente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挡水板检修</w:t>
            </w:r>
            <w:r/>
          </w:p>
        </w:tc>
        <w:tc>
          <w:tcPr>
            <w:tcW w:w="6377" w:type="dxa"/>
            <w:textDirection w:val="lrTb"/>
            <w:noWrap w:val="false"/>
          </w:tcPr>
          <w:p>
            <w:pP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对挡水板的锈蚀、折断、倒置、破损等故障进行维护、更换等。</w:t>
            </w:r>
            <w:r/>
          </w:p>
        </w:tc>
      </w:tr>
      <w:tr>
        <w:trPr>
          <w:jc w:val="center"/>
          <w:trHeight w:val="299"/>
        </w:trPr>
        <w:tc>
          <w:tcPr>
            <w:tcW w:w="704" w:type="dxa"/>
            <w:vAlign w:val="center"/>
            <w:textDirection w:val="lrTb"/>
            <w:noWrap w:val="false"/>
          </w:tcPr>
          <w:p>
            <w:pPr>
              <w:jc w:val="cente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tcW w:w="2477" w:type="dxa"/>
            <w:vAlign w:val="center"/>
            <w:textDirection w:val="lrTb"/>
            <w:noWrap w:val="false"/>
          </w:tcPr>
          <w:p>
            <w:pPr>
              <w:jc w:val="cente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接水盘清洗</w:t>
            </w:r>
            <w:r/>
          </w:p>
        </w:tc>
        <w:tc>
          <w:tcPr>
            <w:tcW w:w="6377" w:type="dxa"/>
            <w:textDirection w:val="lrTb"/>
            <w:noWrap w:val="false"/>
          </w:tcPr>
          <w:p>
            <w:pP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对接水盘清洁、消毒、除藻、下水、保温。</w:t>
            </w:r>
            <w:r/>
          </w:p>
        </w:tc>
      </w:tr>
      <w:tr>
        <w:trPr>
          <w:jc w:val="center"/>
          <w:trHeight w:val="1121"/>
        </w:trPr>
        <w:tc>
          <w:tcPr>
            <w:tcW w:w="704" w:type="dxa"/>
            <w:vAlign w:val="center"/>
            <w:textDirection w:val="lrTb"/>
            <w:noWrap w:val="false"/>
          </w:tcPr>
          <w:p>
            <w:pPr>
              <w:jc w:val="cente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tcW w:w="2477" w:type="dxa"/>
            <w:vAlign w:val="center"/>
            <w:textDirection w:val="lrTb"/>
            <w:noWrap w:val="false"/>
          </w:tcPr>
          <w:p>
            <w:pPr>
              <w:jc w:val="cente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风机机械保养</w:t>
            </w:r>
            <w:r/>
          </w:p>
        </w:tc>
        <w:tc>
          <w:tcPr>
            <w:tcW w:w="6377" w:type="dxa"/>
            <w:textDirection w:val="lrTb"/>
            <w:noWrap w:val="false"/>
          </w:tcPr>
          <w:p>
            <w:pP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皮带松紧度检查及调整。连接螺母的检查；基础与机架的检查；风机与电机的连接；减震装置的受力检查；润滑油的检查与添加；润滑脂检查与添加；风机的机械检查。</w:t>
            </w:r>
            <w:r/>
          </w:p>
        </w:tc>
      </w:tr>
      <w:tr>
        <w:trPr>
          <w:jc w:val="center"/>
          <w:trHeight w:val="1176"/>
        </w:trPr>
        <w:tc>
          <w:tcPr>
            <w:tcW w:w="704" w:type="dxa"/>
            <w:vAlign w:val="center"/>
            <w:textDirection w:val="lrTb"/>
            <w:noWrap w:val="false"/>
          </w:tcPr>
          <w:p>
            <w:pPr>
              <w:jc w:val="cente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w:t>
            </w:r>
            <w:r/>
          </w:p>
        </w:tc>
        <w:tc>
          <w:tcPr>
            <w:tcW w:w="2477" w:type="dxa"/>
            <w:vAlign w:val="center"/>
            <w:textDirection w:val="lrTb"/>
            <w:noWrap w:val="false"/>
          </w:tcPr>
          <w:p>
            <w:pPr>
              <w:jc w:val="cente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电器电机维修检查</w:t>
            </w:r>
            <w:r/>
          </w:p>
        </w:tc>
        <w:tc>
          <w:tcPr>
            <w:tcW w:w="6377" w:type="dxa"/>
            <w:textDirection w:val="lrTb"/>
            <w:noWrap w:val="false"/>
          </w:tcPr>
          <w:p>
            <w:pP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1.润滑脂检查与添加；</w:t>
            </w:r>
            <w:r/>
          </w:p>
          <w:p>
            <w:pP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2.轴承检查；</w:t>
            </w:r>
            <w:r/>
          </w:p>
          <w:p>
            <w:pP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3.电机温升的检查；</w:t>
            </w:r>
            <w:r/>
          </w:p>
          <w:p>
            <w:pP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4.电机的绝缘检查；</w:t>
            </w:r>
            <w:r/>
          </w:p>
          <w:p>
            <w:pP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5.接线盒的连线检查；</w:t>
            </w:r>
            <w:r/>
          </w:p>
          <w:p>
            <w:pP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6.电缆检查；</w:t>
            </w:r>
            <w:r/>
          </w:p>
          <w:p>
            <w:pP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7.启动箱及控制装置的检查；</w:t>
            </w:r>
            <w:r/>
          </w:p>
          <w:p>
            <w:pP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8.地脚螺栓的紧固检查；</w:t>
            </w:r>
            <w:r/>
          </w:p>
          <w:p>
            <w:pP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9.电器装置的常规检查。</w:t>
            </w:r>
            <w:r/>
          </w:p>
        </w:tc>
      </w:tr>
      <w:tr>
        <w:trPr>
          <w:jc w:val="center"/>
          <w:trHeight w:val="299"/>
        </w:trPr>
        <w:tc>
          <w:tcPr>
            <w:tcW w:w="704" w:type="dxa"/>
            <w:vAlign w:val="center"/>
            <w:textDirection w:val="lrTb"/>
            <w:noWrap w:val="false"/>
          </w:tcPr>
          <w:p>
            <w:pPr>
              <w:jc w:val="cente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w:t>
            </w:r>
            <w:r/>
          </w:p>
        </w:tc>
        <w:tc>
          <w:tcPr>
            <w:tcW w:w="2477" w:type="dxa"/>
            <w:vAlign w:val="center"/>
            <w:textDirection w:val="lrTb"/>
            <w:noWrap w:val="false"/>
          </w:tcPr>
          <w:p>
            <w:pPr>
              <w:jc w:val="cente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箱体卫生</w:t>
            </w:r>
            <w:r/>
          </w:p>
        </w:tc>
        <w:tc>
          <w:tcPr>
            <w:tcW w:w="6377" w:type="dxa"/>
            <w:textDirection w:val="lrTb"/>
            <w:noWrap w:val="false"/>
          </w:tcPr>
          <w:p>
            <w:pP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箱体的内外部卫生清扫、清洗及消毒。</w:t>
            </w:r>
            <w:r/>
          </w:p>
        </w:tc>
      </w:tr>
      <w:tr>
        <w:trPr>
          <w:jc w:val="center"/>
          <w:trHeight w:val="844"/>
        </w:trPr>
        <w:tc>
          <w:tcPr>
            <w:tcW w:w="704" w:type="dxa"/>
            <w:vAlign w:val="center"/>
            <w:textDirection w:val="lrTb"/>
            <w:noWrap w:val="false"/>
          </w:tcPr>
          <w:p>
            <w:pPr>
              <w:jc w:val="cente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w:t>
            </w:r>
            <w:r/>
          </w:p>
        </w:tc>
        <w:tc>
          <w:tcPr>
            <w:tcW w:w="2477" w:type="dxa"/>
            <w:vAlign w:val="center"/>
            <w:textDirection w:val="lrTb"/>
            <w:noWrap w:val="false"/>
          </w:tcPr>
          <w:p>
            <w:pPr>
              <w:jc w:val="cente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箱体漏风检查</w:t>
            </w:r>
            <w:r/>
          </w:p>
        </w:tc>
        <w:tc>
          <w:tcPr>
            <w:tcW w:w="6377" w:type="dxa"/>
            <w:textDirection w:val="lrTb"/>
            <w:noWrap w:val="false"/>
          </w:tcPr>
          <w:p>
            <w:pP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1.各工作段连接处检查；</w:t>
            </w:r>
            <w:r/>
          </w:p>
          <w:p>
            <w:pP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2.检查口检查；</w:t>
            </w:r>
            <w:r/>
          </w:p>
          <w:p>
            <w:pP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3.人孔的检查；</w:t>
            </w:r>
            <w:r/>
          </w:p>
          <w:p>
            <w:pP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4.静压箱的检查；</w:t>
            </w:r>
            <w:r/>
          </w:p>
          <w:p>
            <w:pP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5.帆布软接头检查。</w:t>
            </w:r>
            <w:r/>
          </w:p>
        </w:tc>
      </w:tr>
      <w:tr>
        <w:trPr>
          <w:jc w:val="center"/>
          <w:trHeight w:val="591"/>
        </w:trPr>
        <w:tc>
          <w:tcPr>
            <w:tcW w:w="704" w:type="dxa"/>
            <w:vAlign w:val="center"/>
            <w:textDirection w:val="lrTb"/>
            <w:noWrap w:val="false"/>
          </w:tcPr>
          <w:p>
            <w:pPr>
              <w:jc w:val="cente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w:t>
            </w:r>
            <w:r/>
          </w:p>
        </w:tc>
        <w:tc>
          <w:tcPr>
            <w:tcW w:w="2477" w:type="dxa"/>
            <w:vAlign w:val="center"/>
            <w:textDirection w:val="lrTb"/>
            <w:noWrap w:val="false"/>
          </w:tcPr>
          <w:p>
            <w:pPr>
              <w:jc w:val="cente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检查孔检查</w:t>
            </w:r>
            <w:r/>
          </w:p>
        </w:tc>
        <w:tc>
          <w:tcPr>
            <w:tcW w:w="6377" w:type="dxa"/>
            <w:textDirection w:val="lrTb"/>
            <w:noWrap w:val="false"/>
          </w:tcPr>
          <w:p>
            <w:pP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1.检查密封条；</w:t>
            </w:r>
            <w:r/>
          </w:p>
          <w:p>
            <w:pP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2.孔门的检查；</w:t>
            </w:r>
            <w:r/>
          </w:p>
          <w:p>
            <w:pP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3.孔门锁的检查；</w:t>
            </w:r>
            <w:r/>
          </w:p>
          <w:p>
            <w:pP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4.检查锈蚀；</w:t>
            </w:r>
            <w:r/>
          </w:p>
          <w:p>
            <w:pP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5.检查铰链。</w:t>
            </w:r>
            <w:r/>
          </w:p>
        </w:tc>
      </w:tr>
      <w:tr>
        <w:trPr>
          <w:jc w:val="center"/>
          <w:trHeight w:val="591"/>
        </w:trPr>
        <w:tc>
          <w:tcPr>
            <w:tcW w:w="704" w:type="dxa"/>
            <w:vAlign w:val="center"/>
            <w:textDirection w:val="lrTb"/>
            <w:noWrap w:val="false"/>
          </w:tcPr>
          <w:p>
            <w:pPr>
              <w:jc w:val="cente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w:t>
            </w:r>
            <w:r/>
          </w:p>
        </w:tc>
        <w:tc>
          <w:tcPr>
            <w:tcW w:w="2477" w:type="dxa"/>
            <w:vAlign w:val="center"/>
            <w:textDirection w:val="lrTb"/>
            <w:noWrap w:val="false"/>
          </w:tcPr>
          <w:p>
            <w:pPr>
              <w:jc w:val="cente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保温检查及除锈</w:t>
            </w:r>
            <w:r/>
          </w:p>
        </w:tc>
        <w:tc>
          <w:tcPr>
            <w:tcW w:w="6377" w:type="dxa"/>
            <w:textDirection w:val="lrTb"/>
            <w:noWrap w:val="false"/>
          </w:tcPr>
          <w:p>
            <w:pP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1.检查保温层是否脱落、破损；</w:t>
            </w:r>
            <w:r/>
          </w:p>
          <w:p>
            <w:pP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2.检查吸水量；</w:t>
            </w:r>
            <w:r/>
          </w:p>
          <w:p>
            <w:pP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3.外壳及基础、钢构件的除锈。</w:t>
            </w:r>
            <w:r/>
          </w:p>
        </w:tc>
      </w:tr>
      <w:tr>
        <w:trPr>
          <w:jc w:val="center"/>
          <w:trHeight w:val="567"/>
        </w:trPr>
        <w:tc>
          <w:tcPr>
            <w:tcW w:w="704" w:type="dxa"/>
            <w:vAlign w:val="center"/>
            <w:textDirection w:val="lrTb"/>
            <w:noWrap w:val="false"/>
          </w:tcPr>
          <w:p>
            <w:pPr>
              <w:jc w:val="cente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w:t>
            </w:r>
            <w:r/>
          </w:p>
        </w:tc>
        <w:tc>
          <w:tcPr>
            <w:tcW w:w="2477" w:type="dxa"/>
            <w:vAlign w:val="center"/>
            <w:textDirection w:val="lrTb"/>
            <w:noWrap w:val="false"/>
          </w:tcPr>
          <w:p>
            <w:pPr>
              <w:jc w:val="cente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进水过滤器清洗</w:t>
            </w:r>
            <w:r/>
          </w:p>
        </w:tc>
        <w:tc>
          <w:tcPr>
            <w:tcW w:w="6377" w:type="dxa"/>
            <w:textDirection w:val="lrTb"/>
            <w:noWrap w:val="false"/>
          </w:tcPr>
          <w:p>
            <w:pP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1.拆卸清洗过滤网；</w:t>
            </w:r>
            <w:r/>
          </w:p>
          <w:p>
            <w:pP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2.过滤器阀体除垢；</w:t>
            </w:r>
            <w:r/>
          </w:p>
          <w:p>
            <w:pP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3.密封件的检查。</w:t>
            </w:r>
            <w:r/>
          </w:p>
        </w:tc>
      </w:tr>
      <w:tr>
        <w:trPr>
          <w:jc w:val="center"/>
          <w:trHeight w:val="1410"/>
        </w:trPr>
        <w:tc>
          <w:tcPr>
            <w:tcW w:w="704" w:type="dxa"/>
            <w:vAlign w:val="center"/>
            <w:textDirection w:val="lrTb"/>
            <w:noWrap w:val="false"/>
          </w:tcPr>
          <w:p>
            <w:pPr>
              <w:jc w:val="cente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w:t>
            </w:r>
            <w:r/>
          </w:p>
        </w:tc>
        <w:tc>
          <w:tcPr>
            <w:tcW w:w="2477" w:type="dxa"/>
            <w:vAlign w:val="center"/>
            <w:textDirection w:val="lrTb"/>
            <w:noWrap w:val="false"/>
          </w:tcPr>
          <w:p>
            <w:pPr>
              <w:jc w:val="cente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喷雾室检修</w:t>
            </w:r>
            <w:r/>
          </w:p>
        </w:tc>
        <w:tc>
          <w:tcPr>
            <w:tcW w:w="6377" w:type="dxa"/>
            <w:textDirection w:val="lrTb"/>
            <w:noWrap w:val="false"/>
          </w:tcPr>
          <w:p>
            <w:pP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1.喷头的拆卸、清洗、更换；</w:t>
            </w:r>
            <w:r/>
          </w:p>
          <w:p>
            <w:pP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2.喷水方向及角度的调整；</w:t>
            </w:r>
            <w:r/>
          </w:p>
          <w:p>
            <w:pP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3.挡水板的检测；</w:t>
            </w:r>
            <w:r/>
          </w:p>
          <w:p>
            <w:pP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4.浮球阀的检测；</w:t>
            </w:r>
            <w:r/>
          </w:p>
          <w:p>
            <w:pP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5.溢流口及溢流管道的检测；</w:t>
            </w:r>
            <w:r/>
          </w:p>
          <w:p>
            <w:pP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6.二次泵过滤器的检测；</w:t>
            </w:r>
            <w:r/>
          </w:p>
          <w:p>
            <w:pP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7.二次水泵的检测；</w:t>
            </w:r>
            <w:r/>
          </w:p>
          <w:p>
            <w:pPr>
              <w:spacing w:line="24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8.加热、加湿装置的检修。</w:t>
            </w:r>
            <w:r/>
          </w:p>
        </w:tc>
      </w:tr>
    </w:tbl>
    <w:p>
      <w:pPr>
        <w:pStyle w:val="764"/>
        <w:ind w:left="0"/>
        <w:spacing w:before="120" w:after="120"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⑩风机盘管清洗及服务内容（维保频率：每年四次）</w:t>
      </w:r>
      <w:r/>
    </w:p>
    <w:tbl>
      <w:tblPr>
        <w:tblStyle w:val="745"/>
        <w:tblW w:w="93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843"/>
        <w:gridCol w:w="6791"/>
      </w:tblGrid>
      <w:tr>
        <w:trPr>
          <w:jc w:val="center"/>
          <w:trHeight w:val="355"/>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序列</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服务项目</w:t>
            </w:r>
            <w:r/>
          </w:p>
        </w:tc>
        <w:tc>
          <w:tcPr>
            <w:tcBorders>
              <w:top w:val="single" w:color="auto" w:sz="4" w:space="0"/>
              <w:left w:val="single" w:color="auto" w:sz="4" w:space="0"/>
              <w:bottom w:val="single" w:color="auto" w:sz="4" w:space="0"/>
              <w:right w:val="single" w:color="auto" w:sz="4" w:space="0"/>
            </w:tcBorders>
            <w:tcW w:w="6791"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具体内容</w:t>
            </w:r>
            <w:r/>
          </w:p>
        </w:tc>
      </w:tr>
      <w:tr>
        <w:trPr>
          <w:jc w:val="center"/>
          <w:trHeight w:val="74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接水盘清洗</w:t>
            </w:r>
            <w:r/>
          </w:p>
        </w:tc>
        <w:tc>
          <w:tcPr>
            <w:tcBorders>
              <w:top w:val="single" w:color="auto" w:sz="4" w:space="0"/>
              <w:left w:val="single" w:color="auto" w:sz="4" w:space="0"/>
              <w:bottom w:val="single" w:color="auto" w:sz="4" w:space="0"/>
              <w:right w:val="single" w:color="auto" w:sz="4" w:space="0"/>
            </w:tcBorders>
            <w:tcW w:w="6791" w:type="dxa"/>
            <w:vAlign w:val="center"/>
            <w:textDirection w:val="lrTb"/>
            <w:noWrap/>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采用水冲洗，污水由排水管排出；或采用压力水（压缩空气）清洗、吹污排水管；滴水盘再用消毒水刷洗一遍。</w:t>
            </w:r>
            <w:r/>
          </w:p>
        </w:tc>
      </w:tr>
      <w:tr>
        <w:trPr>
          <w:jc w:val="center"/>
          <w:trHeight w:val="476"/>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盘管清洗</w:t>
            </w:r>
            <w:r/>
          </w:p>
        </w:tc>
        <w:tc>
          <w:tcPr>
            <w:tcBorders>
              <w:top w:val="single" w:color="auto" w:sz="4" w:space="0"/>
              <w:left w:val="single" w:color="auto" w:sz="4" w:space="0"/>
              <w:bottom w:val="single" w:color="auto" w:sz="4" w:space="0"/>
              <w:right w:val="single" w:color="auto" w:sz="4" w:space="0"/>
            </w:tcBorders>
            <w:tcW w:w="6791" w:type="dxa"/>
            <w:vAlign w:val="center"/>
            <w:textDirection w:val="lrTb"/>
            <w:noWrap/>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采用吸尘器清吸，或用水冲洗；对油污或化学污染则要采用清洗剂清洗；特殊情况采用整体拆卸清洗。</w:t>
            </w:r>
            <w:r/>
          </w:p>
        </w:tc>
      </w:tr>
      <w:tr>
        <w:trPr>
          <w:jc w:val="center"/>
          <w:trHeight w:val="476"/>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tcPr>
          <w:p>
            <w:pPr>
              <w:pStyle w:val="739"/>
              <w:jc w:val="center"/>
              <w:spacing w:before="120" w:after="120"/>
              <w:rPr>
                <w:rFonts w:ascii="宋体" w:hAnsi="宋体" w:eastAsia="宋体" w:cs="宋体"/>
                <w:b w:val="0"/>
                <w:bCs w:val="0"/>
                <w:color w:val="000000" w:themeColor="text1"/>
                <w14:textFill>
                  <w14:solidFill>
                    <w14:schemeClr w14:val="tx1"/>
                  </w14:solidFill>
                </w14:textFill>
              </w:rPr>
            </w:pPr>
            <w:r>
              <w:rPr>
                <w:rFonts w:hint="eastAsia" w:ascii="宋体" w:hAnsi="宋体" w:eastAsia="宋体" w:cs="宋体"/>
                <w:b w:val="0"/>
                <w:bCs w:val="0"/>
                <w:color w:val="000000" w:themeColor="text1"/>
                <w14:textFill>
                  <w14:solidFill>
                    <w14:schemeClr w14:val="tx1"/>
                  </w14:solidFill>
                </w14:textFill>
              </w:rPr>
              <w:t xml:space="preserve">过滤网、风口清洗</w:t>
            </w:r>
            <w:r/>
          </w:p>
        </w:tc>
        <w:tc>
          <w:tcPr>
            <w:shd w:val="clear" w:color="auto" w:fill="auto"/>
            <w:tcBorders>
              <w:top w:val="single" w:color="auto" w:sz="4" w:space="0"/>
              <w:left w:val="single" w:color="auto" w:sz="4" w:space="0"/>
              <w:bottom w:val="single" w:color="auto" w:sz="4" w:space="0"/>
              <w:right w:val="single" w:color="auto" w:sz="4" w:space="0"/>
            </w:tcBorders>
            <w:tcW w:w="6791" w:type="dxa"/>
            <w:vAlign w:val="center"/>
            <w:textDirection w:val="lrTb"/>
            <w:noWrap/>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1.采取吸尘器清理方式或拆下过滤网用加压清水冲洗；2.对有油污的采用化学清洗剂的方式清洁；3.对回风口、出风口清洁，特殊情况随时清洗、清洁。</w:t>
            </w:r>
            <w:r/>
          </w:p>
        </w:tc>
      </w:tr>
      <w:tr>
        <w:trPr>
          <w:jc w:val="center"/>
          <w:trHeight w:val="355"/>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风机叶轮清洗</w:t>
            </w:r>
            <w:r/>
          </w:p>
        </w:tc>
        <w:tc>
          <w:tcPr>
            <w:tcBorders>
              <w:top w:val="single" w:color="auto" w:sz="4" w:space="0"/>
              <w:left w:val="single" w:color="auto" w:sz="4" w:space="0"/>
              <w:bottom w:val="single" w:color="auto" w:sz="4" w:space="0"/>
              <w:right w:val="single" w:color="auto" w:sz="4" w:space="0"/>
            </w:tcBorders>
            <w:tcW w:w="6791" w:type="dxa"/>
            <w:vAlign w:val="center"/>
            <w:textDirection w:val="lrTb"/>
            <w:noWrap/>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1.采用小型强力吸尘器清洁；2.拆卸清洗。 </w:t>
            </w:r>
            <w:r/>
          </w:p>
        </w:tc>
      </w:tr>
      <w:tr>
        <w:trPr>
          <w:jc w:val="center"/>
          <w:trHeight w:val="695"/>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水过滤器清洗</w:t>
            </w:r>
            <w:r/>
          </w:p>
        </w:tc>
        <w:tc>
          <w:tcPr>
            <w:tcBorders>
              <w:top w:val="single" w:color="auto" w:sz="4" w:space="0"/>
              <w:left w:val="single" w:color="auto" w:sz="4" w:space="0"/>
              <w:bottom w:val="single" w:color="auto" w:sz="4" w:space="0"/>
              <w:right w:val="single" w:color="auto" w:sz="4" w:space="0"/>
            </w:tcBorders>
            <w:tcW w:w="6791" w:type="dxa"/>
            <w:vAlign w:val="center"/>
            <w:textDirection w:val="lrTb"/>
            <w:noWrap/>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采用清水冲洗过滤器的同时，对盘管用压力水反冲清洗。</w:t>
            </w:r>
            <w:r/>
          </w:p>
        </w:tc>
      </w:tr>
      <w:tr>
        <w:trPr>
          <w:jc w:val="center"/>
          <w:trHeight w:val="355"/>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保温层检查</w:t>
            </w:r>
            <w:r/>
          </w:p>
        </w:tc>
        <w:tc>
          <w:tcPr>
            <w:tcBorders>
              <w:top w:val="single" w:color="auto" w:sz="4" w:space="0"/>
              <w:left w:val="single" w:color="auto" w:sz="4" w:space="0"/>
              <w:bottom w:val="single" w:color="auto" w:sz="4" w:space="0"/>
              <w:right w:val="single" w:color="auto" w:sz="4" w:space="0"/>
            </w:tcBorders>
            <w:tcW w:w="6791" w:type="dxa"/>
            <w:vAlign w:val="center"/>
            <w:textDirection w:val="lrTb"/>
            <w:noWrap/>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检查修理保温层，对损坏、脱胶翻卷处及时修补。</w:t>
            </w:r>
            <w:r/>
          </w:p>
        </w:tc>
      </w:tr>
      <w:tr>
        <w:trPr>
          <w:jc w:val="center"/>
          <w:trHeight w:val="355"/>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电器检修</w:t>
            </w:r>
            <w:r/>
          </w:p>
        </w:tc>
        <w:tc>
          <w:tcPr>
            <w:tcBorders>
              <w:top w:val="single" w:color="auto" w:sz="4" w:space="0"/>
              <w:left w:val="single" w:color="auto" w:sz="4" w:space="0"/>
              <w:bottom w:val="single" w:color="auto" w:sz="4" w:space="0"/>
              <w:right w:val="single" w:color="auto" w:sz="4" w:space="0"/>
            </w:tcBorders>
            <w:tcW w:w="6791" w:type="dxa"/>
            <w:vAlign w:val="center"/>
            <w:textDirection w:val="lrTb"/>
            <w:noWrap/>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电器元件及线路常规检查。</w:t>
            </w:r>
            <w:r/>
          </w:p>
        </w:tc>
      </w:tr>
      <w:tr>
        <w:trPr>
          <w:jc w:val="center"/>
          <w:trHeight w:val="355"/>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电磁阀检查</w:t>
            </w:r>
            <w:r/>
          </w:p>
        </w:tc>
        <w:tc>
          <w:tcPr>
            <w:tcBorders>
              <w:top w:val="single" w:color="auto" w:sz="4" w:space="0"/>
              <w:left w:val="single" w:color="auto" w:sz="4" w:space="0"/>
              <w:bottom w:val="single" w:color="auto" w:sz="4" w:space="0"/>
              <w:right w:val="single" w:color="auto" w:sz="4" w:space="0"/>
            </w:tcBorders>
            <w:tcW w:w="6791" w:type="dxa"/>
            <w:vAlign w:val="center"/>
            <w:textDirection w:val="lrTb"/>
            <w:noWrap/>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电磁阀检修，主要检测电磁阀的启闭正常，关闭严密。</w:t>
            </w:r>
            <w:r/>
          </w:p>
        </w:tc>
      </w:tr>
      <w:tr>
        <w:trPr>
          <w:jc w:val="center"/>
          <w:trHeight w:val="355"/>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风堵开关</w:t>
            </w:r>
            <w:r/>
          </w:p>
        </w:tc>
        <w:tc>
          <w:tcPr>
            <w:tcBorders>
              <w:top w:val="single" w:color="auto" w:sz="4" w:space="0"/>
              <w:left w:val="single" w:color="auto" w:sz="4" w:space="0"/>
              <w:bottom w:val="single" w:color="auto" w:sz="4" w:space="0"/>
              <w:right w:val="single" w:color="auto" w:sz="4" w:space="0"/>
            </w:tcBorders>
            <w:tcW w:w="6791" w:type="dxa"/>
            <w:vAlign w:val="center"/>
            <w:textDirection w:val="lrTb"/>
            <w:noWrap/>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检查动作是否正常。</w:t>
            </w:r>
            <w:r/>
          </w:p>
        </w:tc>
      </w:tr>
      <w:tr>
        <w:trPr>
          <w:jc w:val="center"/>
          <w:trHeight w:val="355"/>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噪音</w:t>
            </w:r>
            <w:r/>
          </w:p>
        </w:tc>
        <w:tc>
          <w:tcPr>
            <w:tcBorders>
              <w:top w:val="single" w:color="auto" w:sz="4" w:space="0"/>
              <w:left w:val="single" w:color="auto" w:sz="4" w:space="0"/>
              <w:bottom w:val="single" w:color="auto" w:sz="4" w:space="0"/>
              <w:right w:val="single" w:color="auto" w:sz="4" w:space="0"/>
            </w:tcBorders>
            <w:tcW w:w="6791" w:type="dxa"/>
            <w:vAlign w:val="center"/>
            <w:textDirection w:val="lrTb"/>
            <w:noWrap/>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检查1、2、3挡风机噪音过大的原因。</w:t>
            </w:r>
            <w:r/>
          </w:p>
        </w:tc>
      </w:tr>
      <w:tr>
        <w:trPr>
          <w:jc w:val="center"/>
          <w:trHeight w:val="355"/>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电机</w:t>
            </w:r>
            <w:r/>
          </w:p>
        </w:tc>
        <w:tc>
          <w:tcPr>
            <w:tcBorders>
              <w:top w:val="single" w:color="auto" w:sz="4" w:space="0"/>
              <w:left w:val="single" w:color="auto" w:sz="4" w:space="0"/>
              <w:bottom w:val="single" w:color="auto" w:sz="4" w:space="0"/>
              <w:right w:val="single" w:color="auto" w:sz="4" w:space="0"/>
            </w:tcBorders>
            <w:tcW w:w="6791" w:type="dxa"/>
            <w:vAlign w:val="center"/>
            <w:textDirection w:val="lrTb"/>
            <w:noWrap/>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电机常规电气检查</w:t>
            </w:r>
            <w:r/>
          </w:p>
        </w:tc>
      </w:tr>
      <w:tr>
        <w:trPr>
          <w:jc w:val="center"/>
          <w:trHeight w:val="37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叶轮</w:t>
            </w:r>
            <w:r/>
          </w:p>
        </w:tc>
        <w:tc>
          <w:tcPr>
            <w:tcBorders>
              <w:top w:val="single" w:color="auto" w:sz="4" w:space="0"/>
              <w:left w:val="single" w:color="auto" w:sz="4" w:space="0"/>
              <w:bottom w:val="single" w:color="auto" w:sz="4" w:space="0"/>
              <w:right w:val="single" w:color="auto" w:sz="4" w:space="0"/>
            </w:tcBorders>
            <w:tcW w:w="6791" w:type="dxa"/>
            <w:vAlign w:val="center"/>
            <w:textDirection w:val="lrTb"/>
            <w:noWrap/>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检查叶轮变形情况，如变形立即修复</w:t>
            </w:r>
            <w:r/>
          </w:p>
        </w:tc>
      </w:tr>
    </w:tbl>
    <w:p>
      <w:pPr>
        <w:pStyle w:val="764"/>
        <w:ind w:left="0"/>
        <w:spacing w:before="120" w:after="120"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⑪太阳能系统</w:t>
      </w:r>
      <w:r/>
    </w:p>
    <w:tbl>
      <w:tblPr>
        <w:tblStyle w:val="745"/>
        <w:tblW w:w="9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985"/>
        <w:gridCol w:w="6889"/>
      </w:tblGrid>
      <w:tr>
        <w:trPr>
          <w:jc w:val="center"/>
          <w:trHeight w:val="151"/>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序列</w:t>
            </w:r>
            <w:r/>
          </w:p>
        </w:tc>
        <w:tc>
          <w:tcPr>
            <w:shd w:val="clear" w:color="auto" w:fill="auto"/>
            <w:tcW w:w="198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服务项目</w:t>
            </w:r>
            <w:r/>
          </w:p>
        </w:tc>
        <w:tc>
          <w:tcPr>
            <w:shd w:val="clear" w:color="auto" w:fill="auto"/>
            <w:tcW w:w="6889"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具体内容</w:t>
            </w:r>
            <w:r/>
          </w:p>
        </w:tc>
      </w:tr>
      <w:tr>
        <w:trPr>
          <w:jc w:val="center"/>
          <w:trHeight w:val="411"/>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shd w:val="clear" w:color="auto" w:fill="auto"/>
            <w:tcW w:w="198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太阳能集热器</w:t>
            </w:r>
            <w:r/>
          </w:p>
        </w:tc>
        <w:tc>
          <w:tcPr>
            <w:shd w:val="clear" w:color="auto" w:fill="auto"/>
            <w:tcW w:w="6889" w:type="dxa"/>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1.避免太阳能集热系统在运行中发生空晒和闷晒现象；</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2.集热器的清洗和除垢，半年至一年擦洗一次。</w:t>
            </w:r>
            <w:r/>
          </w:p>
        </w:tc>
      </w:tr>
      <w:tr>
        <w:trPr>
          <w:jc w:val="center"/>
          <w:trHeight w:val="741"/>
        </w:trPr>
        <w:tc>
          <w:tcPr>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W w:w="198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太阳能储热系统</w:t>
            </w:r>
            <w:r/>
          </w:p>
        </w:tc>
        <w:tc>
          <w:tcPr>
            <w:tcW w:w="6889" w:type="dxa"/>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1.定期检查贮水箱的密封性和保温层，如发现破坏，及时修补；</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2.定期检查贮水箱的补水阀、安全阀、液位控制器和排气装置工作是否正常，防止空气进入；</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3.定期检查是否有异物进入贮水箱，防止循环管道被堵塞；</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4.定期清除贮水箱内的水垢，每半年至一年清理一次。</w:t>
            </w:r>
            <w:r/>
          </w:p>
        </w:tc>
      </w:tr>
      <w:tr>
        <w:trPr>
          <w:jc w:val="center"/>
          <w:trHeight w:val="889"/>
        </w:trPr>
        <w:tc>
          <w:tcPr>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W w:w="198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太阳能管路系统维护</w:t>
            </w:r>
            <w:r/>
          </w:p>
        </w:tc>
        <w:tc>
          <w:tcPr>
            <w:tcW w:w="6889" w:type="dxa"/>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1.保证管道保温层和表面防潮层不能有破损或者脱落，防止产生热桥和结露滴水现象；</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2.保证管道内没有空气，防止热水气堵而无法输送到各个配水点；</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3.保证系统管道通畅，定期冲洗系统，防止沉积锈垢堵塞管道。</w:t>
            </w:r>
            <w:r/>
          </w:p>
        </w:tc>
      </w:tr>
      <w:tr>
        <w:trPr>
          <w:jc w:val="center"/>
          <w:trHeight w:val="302"/>
        </w:trPr>
        <w:tc>
          <w:tcPr>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W w:w="198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系统清洗与除垢</w:t>
            </w:r>
            <w:r/>
          </w:p>
        </w:tc>
        <w:tc>
          <w:tcPr>
            <w:tcW w:w="6889" w:type="dxa"/>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1.物理法和化学法定期除垢；</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2.系统根据运行情况定期清洗。</w:t>
            </w:r>
            <w:r/>
          </w:p>
        </w:tc>
      </w:tr>
    </w:tbl>
    <w:p>
      <w:pPr>
        <w:spacing w:line="500" w:lineRule="exact"/>
        <w:rPr>
          <w:rFonts w:ascii="宋体" w:hAnsi="宋体" w:eastAsia="宋体" w:cs="宋体"/>
          <w:b/>
          <w:bCs/>
          <w:color w:val="000000" w:themeColor="text1"/>
          <w:sz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品目02 阅江楼院区</w:t>
      </w:r>
      <w:r/>
    </w:p>
    <w:p>
      <w:pPr>
        <w:spacing w:line="500" w:lineRule="exact"/>
        <w:rPr>
          <w:rFonts w:ascii="宋体" w:hAnsi="宋体" w:eastAsia="宋体" w:cs="宋体"/>
          <w:color w:val="000000" w:themeColor="text1"/>
          <w:sz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①配电房</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1、承担配电房设备操作与日常保养，保证设备完好率。日常记录及保管：应满足运营要求，记录详细完整，可随时备查。</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负责配电室及值班室清洁，保持屋内亮度适中，墙面地面无渗漏水现象，无易燃易爆、杂物等堆放。检查桥架孔洞、墙洞封堵是否脱落，能达到防火、防水、防小动物等要求。各元器件运行状态良好。各切换装置、指示灯、空开等状态符合当前运行要求。</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3、对高压工具及用具进行安全检测并做好记录。根据配电系统配置每月对各用电区域的电力能耗进行统计，并做能耗分析。</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值班人员做到熟悉医院配电房操作流程及时发现故障，严格按照操作规程进行停复电操作及时处理故障。供电部门通知计划停电时值班人员负责通知相关领导并通知到重要用电单元。值班人员应本着节约用电的原则，最佳提高配电系统的功率因素，确保设备最合理运行。</w:t>
      </w:r>
      <w:r/>
    </w:p>
    <w:p>
      <w:pPr>
        <w:ind w:firstLine="480"/>
        <w:spacing w:line="500" w:lineRule="exact"/>
        <w:rPr>
          <w:color w:val="000000" w:themeColor="text1"/>
          <w:sz w:val="24"/>
          <w14:textFill>
            <w14:solidFill>
              <w14:schemeClr w14:val="tx1"/>
            </w14:solidFill>
          </w14:textFill>
        </w:rPr>
      </w:pPr>
      <w:r>
        <w:rPr>
          <w:rFonts w:hint="eastAsia"/>
          <w:color w:val="000000" w:themeColor="text1"/>
          <w:sz w:val="24"/>
          <w:szCs w:val="24"/>
          <w14:textFill>
            <w14:solidFill>
              <w14:schemeClr w14:val="tx1"/>
            </w14:solidFill>
          </w14:textFill>
        </w:rPr>
        <w:t xml:space="preserve">5、接受医院、供电</w:t>
      </w:r>
      <w:r>
        <w:rPr>
          <w:color w:val="000000" w:themeColor="text1"/>
          <w:sz w:val="24"/>
          <w:szCs w:val="24"/>
          <w14:textFill>
            <w14:solidFill>
              <w14:schemeClr w14:val="tx1"/>
            </w14:solidFill>
          </w14:textFill>
        </w:rPr>
        <w:t xml:space="preserve">公司</w:t>
      </w:r>
      <w:r>
        <w:rPr>
          <w:rFonts w:hint="eastAsia"/>
          <w:color w:val="000000" w:themeColor="text1"/>
          <w:sz w:val="24"/>
          <w:szCs w:val="24"/>
          <w14:textFill>
            <w14:solidFill>
              <w14:schemeClr w14:val="tx1"/>
            </w14:solidFill>
          </w14:textFill>
        </w:rPr>
        <w:t xml:space="preserve">等部门的</w:t>
      </w:r>
      <w:r>
        <w:rPr>
          <w:color w:val="000000" w:themeColor="text1"/>
          <w:sz w:val="24"/>
          <w:szCs w:val="24"/>
          <w14:textFill>
            <w14:solidFill>
              <w14:schemeClr w14:val="tx1"/>
            </w14:solidFill>
          </w14:textFill>
        </w:rPr>
        <w:t xml:space="preserve">考核和</w:t>
      </w:r>
      <w:r>
        <w:rPr>
          <w:rFonts w:hint="eastAsia"/>
          <w:color w:val="000000" w:themeColor="text1"/>
          <w:sz w:val="24"/>
          <w:szCs w:val="24"/>
          <w14:textFill>
            <w14:solidFill>
              <w14:schemeClr w14:val="tx1"/>
            </w14:solidFill>
          </w14:textFill>
        </w:rPr>
        <w:t xml:space="preserve">监督管理。</w:t>
      </w:r>
      <w:r/>
    </w:p>
    <w:p>
      <w:pPr>
        <w:pStyle w:val="764"/>
        <w:ind w:left="0"/>
        <w:spacing w:before="120" w:after="120"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②风冷热泵、空气源热泵</w:t>
      </w:r>
      <w:r/>
    </w:p>
    <w:tbl>
      <w:tblPr>
        <w:tblStyle w:val="776"/>
        <w:tblW w:w="95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325"/>
        <w:gridCol w:w="6548"/>
      </w:tblGrid>
      <w:tr>
        <w:trPr>
          <w:jc w:val="center"/>
          <w:trHeight w:val="213"/>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序列</w:t>
            </w:r>
            <w:r/>
          </w:p>
        </w:tc>
        <w:tc>
          <w:tcPr>
            <w:shd w:val="clear" w:color="auto" w:fill="auto"/>
            <w:tcW w:w="232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服务项目</w:t>
            </w:r>
            <w:r/>
          </w:p>
        </w:tc>
        <w:tc>
          <w:tcPr>
            <w:shd w:val="clear" w:color="auto" w:fill="auto"/>
            <w:tcW w:w="654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具体内容</w:t>
            </w:r>
            <w:r/>
          </w:p>
        </w:tc>
      </w:tr>
      <w:tr>
        <w:trPr>
          <w:jc w:val="center"/>
          <w:trHeight w:val="213"/>
        </w:trPr>
        <w:tc>
          <w:tcPr>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232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机组状况</w:t>
            </w:r>
            <w:r/>
          </w:p>
        </w:tc>
        <w:tc>
          <w:tcPr>
            <w:tcW w:w="6548"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检查保温棉、减震器、主要结构、喷漆工作</w:t>
            </w:r>
            <w:r/>
          </w:p>
        </w:tc>
      </w:tr>
      <w:tr>
        <w:trPr>
          <w:jc w:val="center"/>
          <w:trHeight w:val="419"/>
        </w:trPr>
        <w:tc>
          <w:tcPr>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W w:w="232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常规制冷剂系统</w:t>
            </w:r>
            <w:r/>
          </w:p>
        </w:tc>
        <w:tc>
          <w:tcPr>
            <w:tcW w:w="6548"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检查安全阀、管路受损情况、泄露、湿度视液镜、吸气过热度、液体过冷度、电磁阀</w:t>
            </w:r>
            <w:r/>
          </w:p>
        </w:tc>
      </w:tr>
      <w:tr>
        <w:trPr>
          <w:jc w:val="center"/>
          <w:trHeight w:val="213"/>
        </w:trPr>
        <w:tc>
          <w:tcPr>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W w:w="232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压缩机</w:t>
            </w:r>
            <w:r/>
          </w:p>
        </w:tc>
        <w:tc>
          <w:tcPr>
            <w:tcW w:w="6548"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检查油位、油情况</w:t>
            </w:r>
            <w:r/>
          </w:p>
        </w:tc>
      </w:tr>
      <w:tr>
        <w:trPr>
          <w:jc w:val="center"/>
          <w:trHeight w:val="213"/>
        </w:trPr>
        <w:tc>
          <w:tcPr>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W w:w="232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蒸发器</w:t>
            </w:r>
            <w:r/>
          </w:p>
        </w:tc>
        <w:tc>
          <w:tcPr>
            <w:tcW w:w="6548"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检查水流量、水压降、加热器垫、pH值/乙二醇浓度</w:t>
            </w:r>
            <w:r/>
          </w:p>
        </w:tc>
      </w:tr>
      <w:tr>
        <w:trPr>
          <w:jc w:val="center"/>
          <w:trHeight w:val="419"/>
        </w:trPr>
        <w:tc>
          <w:tcPr>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W w:w="232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风冷式冷凝器</w:t>
            </w:r>
            <w:r/>
          </w:p>
        </w:tc>
        <w:tc>
          <w:tcPr>
            <w:tcW w:w="6548"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检查阻碍气流的物体、翅片、风机与风机护网、刷翅片、检查风扇电机轴承</w:t>
            </w:r>
            <w:r/>
          </w:p>
        </w:tc>
      </w:tr>
      <w:tr>
        <w:trPr>
          <w:jc w:val="center"/>
          <w:trHeight w:val="829"/>
        </w:trPr>
        <w:tc>
          <w:tcPr>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tcW w:w="232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电源、控制系统</w:t>
            </w:r>
            <w:r/>
          </w:p>
        </w:tc>
        <w:tc>
          <w:tcPr>
            <w:tcW w:w="6548"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检查面板条件、电源与控制系统接线、传感器位置、机械高压开关切断、所有连接线路、压缩机电流接触器、风机电流接触器/过载、感温探头/传感器校准、电机保护、接触器连接情况</w:t>
            </w:r>
            <w:r/>
          </w:p>
        </w:tc>
      </w:tr>
      <w:tr>
        <w:trPr>
          <w:jc w:val="center"/>
          <w:trHeight w:val="426"/>
        </w:trPr>
        <w:tc>
          <w:tcPr>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tcW w:w="232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微处理器控制</w:t>
            </w:r>
            <w:r/>
          </w:p>
        </w:tc>
        <w:tc>
          <w:tcPr>
            <w:tcW w:w="6548"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检查故障历史、程序设定、高压/低压切断功能、加载/卸载功能、风机控制功能、环境温度切断功能</w:t>
            </w:r>
            <w:r/>
          </w:p>
        </w:tc>
      </w:tr>
    </w:tbl>
    <w:p>
      <w:pPr>
        <w:pStyle w:val="764"/>
        <w:ind w:left="0"/>
        <w:spacing w:before="120" w:after="120"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③空调水管</w:t>
      </w:r>
      <w:r/>
    </w:p>
    <w:tbl>
      <w:tblPr>
        <w:tblStyle w:val="745"/>
        <w:tblW w:w="9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268"/>
        <w:gridCol w:w="6587"/>
      </w:tblGrid>
      <w:tr>
        <w:trPr>
          <w:jc w:val="center"/>
          <w:trHeight w:val="361"/>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序列</w:t>
            </w:r>
            <w:r/>
          </w:p>
        </w:tc>
        <w:tc>
          <w:tcPr>
            <w:shd w:val="clear" w:color="auto" w:fill="auto"/>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服务项目</w:t>
            </w:r>
            <w:r/>
          </w:p>
        </w:tc>
        <w:tc>
          <w:tcPr>
            <w:shd w:val="clear" w:color="auto" w:fill="auto"/>
            <w:tcW w:w="6587"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具体内容</w:t>
            </w:r>
            <w:r/>
          </w:p>
        </w:tc>
      </w:tr>
      <w:tr>
        <w:trPr>
          <w:jc w:val="center"/>
          <w:trHeight w:val="1038"/>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shd w:val="clear" w:color="auto" w:fill="auto"/>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管道保温</w:t>
            </w:r>
            <w:r/>
          </w:p>
        </w:tc>
        <w:tc>
          <w:tcPr>
            <w:shd w:val="clear" w:color="auto" w:fill="auto"/>
            <w:tcW w:w="6587"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1.检查保温层脱落、破损、翻翘情况；2.保温层连接处泄漏情况；3.保温层的衰老、变质情况的检查；4.维修后复原。</w:t>
            </w:r>
            <w:r/>
          </w:p>
        </w:tc>
      </w:tr>
      <w:tr>
        <w:trPr>
          <w:jc w:val="center"/>
          <w:trHeight w:val="361"/>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shd w:val="clear" w:color="auto" w:fill="auto"/>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自动排气阀</w:t>
            </w:r>
            <w:r/>
          </w:p>
        </w:tc>
        <w:tc>
          <w:tcPr>
            <w:shd w:val="clear" w:color="auto" w:fill="auto"/>
            <w:tcW w:w="6587"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1.检查工作情况；2.排气阀的清洗及除垢。</w:t>
            </w:r>
            <w:r/>
          </w:p>
        </w:tc>
      </w:tr>
      <w:tr>
        <w:trPr>
          <w:jc w:val="center"/>
          <w:trHeight w:val="361"/>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shd w:val="clear" w:color="auto" w:fill="auto"/>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管道除锈刷漆</w:t>
            </w:r>
            <w:r/>
          </w:p>
        </w:tc>
        <w:tc>
          <w:tcPr>
            <w:shd w:val="clear" w:color="auto" w:fill="auto"/>
            <w:tcW w:w="6587"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按保养要求除锈刷漆。</w:t>
            </w:r>
            <w:r/>
          </w:p>
        </w:tc>
      </w:tr>
      <w:tr>
        <w:trPr>
          <w:jc w:val="center"/>
          <w:trHeight w:val="700"/>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shd w:val="clear" w:color="auto" w:fill="auto"/>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凝水检查</w:t>
            </w:r>
            <w:r/>
          </w:p>
        </w:tc>
        <w:tc>
          <w:tcPr>
            <w:shd w:val="clear" w:color="auto" w:fill="auto"/>
            <w:tcW w:w="6587"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1.检查凝水管及支管安装质量及排水通畅；2.凝水管微生物及结垢检查。</w:t>
            </w:r>
            <w:r/>
          </w:p>
        </w:tc>
      </w:tr>
      <w:tr>
        <w:trPr>
          <w:jc w:val="center"/>
          <w:trHeight w:val="700"/>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shd w:val="clear" w:color="auto" w:fill="auto"/>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阀门除锈刷漆</w:t>
            </w:r>
            <w:r/>
          </w:p>
        </w:tc>
        <w:tc>
          <w:tcPr>
            <w:shd w:val="clear" w:color="auto" w:fill="auto"/>
            <w:tcW w:w="6587"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1.按规定要求除锈刷漆；2.检查开启度；3.检查完好情况。</w:t>
            </w:r>
            <w:r/>
          </w:p>
        </w:tc>
      </w:tr>
      <w:tr>
        <w:trPr>
          <w:jc w:val="center"/>
          <w:trHeight w:val="361"/>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shd w:val="clear" w:color="auto" w:fill="auto"/>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阀杆涂油（室内）</w:t>
            </w:r>
            <w:r/>
          </w:p>
        </w:tc>
        <w:tc>
          <w:tcPr>
            <w:shd w:val="clear" w:color="auto" w:fill="auto"/>
            <w:tcW w:w="6587"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按保养要求涂油，并检测启闭灵活性。</w:t>
            </w:r>
            <w:r/>
          </w:p>
        </w:tc>
      </w:tr>
      <w:tr>
        <w:trPr>
          <w:jc w:val="center"/>
          <w:trHeight w:val="361"/>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shd w:val="clear" w:color="auto" w:fill="auto"/>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阀杆涂油（室外）</w:t>
            </w:r>
            <w:r/>
          </w:p>
        </w:tc>
        <w:tc>
          <w:tcPr>
            <w:shd w:val="clear" w:color="auto" w:fill="auto"/>
            <w:tcW w:w="6587"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按保养要求涂油，并检测启闭灵活性。</w:t>
            </w:r>
            <w:r/>
          </w:p>
        </w:tc>
      </w:tr>
      <w:tr>
        <w:trPr>
          <w:jc w:val="center"/>
          <w:trHeight w:val="700"/>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w:t>
            </w:r>
            <w:r/>
          </w:p>
        </w:tc>
        <w:tc>
          <w:tcPr>
            <w:shd w:val="clear" w:color="auto" w:fill="auto"/>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电动阀内变速箱换油</w:t>
            </w:r>
            <w:r/>
          </w:p>
        </w:tc>
        <w:tc>
          <w:tcPr>
            <w:shd w:val="clear" w:color="auto" w:fill="auto"/>
            <w:tcW w:w="6587"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按保养要求更换润滑油并注意油质及油面高度。</w:t>
            </w:r>
            <w:r/>
          </w:p>
        </w:tc>
      </w:tr>
      <w:tr>
        <w:trPr>
          <w:jc w:val="center"/>
          <w:trHeight w:val="700"/>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w:t>
            </w:r>
            <w:r/>
          </w:p>
        </w:tc>
        <w:tc>
          <w:tcPr>
            <w:shd w:val="clear" w:color="auto" w:fill="auto"/>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电动阀门保养</w:t>
            </w:r>
            <w:r/>
          </w:p>
        </w:tc>
        <w:tc>
          <w:tcPr>
            <w:shd w:val="clear" w:color="auto" w:fill="auto"/>
            <w:tcW w:w="6587"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1.电机电器及控制系统的保养；2.阀门的机械常规保养。</w:t>
            </w:r>
            <w:r/>
          </w:p>
        </w:tc>
      </w:tr>
      <w:tr>
        <w:trPr>
          <w:jc w:val="center"/>
          <w:trHeight w:val="361"/>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w:t>
            </w:r>
            <w:r/>
          </w:p>
        </w:tc>
        <w:tc>
          <w:tcPr>
            <w:shd w:val="clear" w:color="auto" w:fill="auto"/>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自动阀门检查</w:t>
            </w:r>
            <w:r/>
          </w:p>
        </w:tc>
        <w:tc>
          <w:tcPr>
            <w:shd w:val="clear" w:color="auto" w:fill="auto"/>
            <w:tcW w:w="6587"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检查阀门的灵活性和可靠性。</w:t>
            </w:r>
            <w:r/>
          </w:p>
        </w:tc>
      </w:tr>
      <w:tr>
        <w:trPr>
          <w:jc w:val="center"/>
          <w:trHeight w:val="700"/>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w:t>
            </w:r>
            <w:r/>
          </w:p>
        </w:tc>
        <w:tc>
          <w:tcPr>
            <w:shd w:val="clear" w:color="auto" w:fill="auto"/>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冷冻水过滤器清洗</w:t>
            </w:r>
            <w:r/>
          </w:p>
        </w:tc>
        <w:tc>
          <w:tcPr>
            <w:shd w:val="clear" w:color="auto" w:fill="auto"/>
            <w:tcW w:w="6587"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按照运行要求拆卸清洗。</w:t>
            </w:r>
            <w:r/>
          </w:p>
        </w:tc>
      </w:tr>
      <w:tr>
        <w:trPr>
          <w:jc w:val="center"/>
          <w:trHeight w:val="383"/>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w:t>
            </w:r>
            <w:r/>
          </w:p>
        </w:tc>
        <w:tc>
          <w:tcPr>
            <w:shd w:val="clear" w:color="auto" w:fill="auto"/>
            <w:tcW w:w="226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支承件除锈刷漆</w:t>
            </w:r>
            <w:r/>
          </w:p>
        </w:tc>
        <w:tc>
          <w:tcPr>
            <w:shd w:val="clear" w:color="auto" w:fill="auto"/>
            <w:tcW w:w="6587"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按保养要求对支承件除锈刷漆。</w:t>
            </w:r>
            <w:r/>
          </w:p>
        </w:tc>
      </w:tr>
    </w:tbl>
    <w:p>
      <w:pPr>
        <w:pStyle w:val="764"/>
        <w:ind w:left="0"/>
        <w:spacing w:before="120" w:after="120"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④水质管理</w:t>
      </w:r>
      <w:r/>
    </w:p>
    <w:tbl>
      <w:tblPr>
        <w:tblStyle w:val="745"/>
        <w:tblW w:w="9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835"/>
        <w:gridCol w:w="6020"/>
      </w:tblGrid>
      <w:tr>
        <w:trPr>
          <w:jc w:val="center"/>
          <w:trHeight w:val="709"/>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序列</w:t>
            </w:r>
            <w:r/>
          </w:p>
        </w:tc>
        <w:tc>
          <w:tcPr>
            <w:shd w:val="clear" w:color="auto" w:fill="auto"/>
            <w:tcW w:w="283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服务项目</w:t>
            </w:r>
            <w:r/>
          </w:p>
        </w:tc>
        <w:tc>
          <w:tcPr>
            <w:shd w:val="clear" w:color="auto" w:fill="auto"/>
            <w:tcW w:w="6020"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具体内容</w:t>
            </w:r>
            <w:r/>
          </w:p>
        </w:tc>
      </w:tr>
      <w:tr>
        <w:trPr>
          <w:jc w:val="center"/>
          <w:trHeight w:val="527"/>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shd w:val="clear" w:color="auto" w:fill="auto"/>
            <w:tcW w:w="283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空调水水质检查</w:t>
            </w:r>
            <w:r/>
          </w:p>
        </w:tc>
        <w:tc>
          <w:tcPr>
            <w:shd w:val="clear" w:color="auto" w:fill="auto"/>
            <w:tcW w:w="6020" w:type="dxa"/>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对空调水的PH值、电导率、浊度、硬度进行检验。</w:t>
            </w:r>
            <w:r/>
          </w:p>
        </w:tc>
      </w:tr>
      <w:tr>
        <w:trPr>
          <w:jc w:val="center"/>
          <w:trHeight w:val="555"/>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shd w:val="clear" w:color="auto" w:fill="auto"/>
            <w:tcW w:w="283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空调水防垢除垢</w:t>
            </w:r>
            <w:r/>
          </w:p>
        </w:tc>
        <w:tc>
          <w:tcPr>
            <w:shd w:val="clear" w:color="auto" w:fill="auto"/>
            <w:tcW w:w="6020" w:type="dxa"/>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采用人工清洗、化学处理等手段防垢、除垢。</w:t>
            </w:r>
            <w:r/>
          </w:p>
        </w:tc>
      </w:tr>
      <w:tr>
        <w:trPr>
          <w:jc w:val="center"/>
          <w:trHeight w:val="555"/>
        </w:trPr>
        <w:tc>
          <w:tcPr>
            <w:gridSpan w:val="3"/>
            <w:shd w:val="clear" w:color="auto" w:fill="auto"/>
            <w:tcW w:w="9559"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对冷温水管路空调水PH值、硬度定期检测，每年1次加药处理，确保水质合格，保证空调效果。</w:t>
            </w:r>
            <w:r/>
          </w:p>
        </w:tc>
      </w:tr>
    </w:tbl>
    <w:p>
      <w:pPr>
        <w:pStyle w:val="764"/>
        <w:ind w:left="0"/>
        <w:spacing w:before="120" w:after="120"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⑤水泵维护内容</w:t>
      </w:r>
      <w:r/>
    </w:p>
    <w:tbl>
      <w:tblPr>
        <w:tblStyle w:val="745"/>
        <w:tblW w:w="943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2835"/>
        <w:gridCol w:w="5904"/>
      </w:tblGrid>
      <w:tr>
        <w:trPr>
          <w:jc w:val="center"/>
          <w:trHeight w:val="448"/>
        </w:trPr>
        <w:tc>
          <w:tcPr>
            <w:tcW w:w="699"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序列</w:t>
            </w:r>
            <w:r/>
          </w:p>
        </w:tc>
        <w:tc>
          <w:tcPr>
            <w:tcW w:w="283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服务项目</w:t>
            </w:r>
            <w:r/>
          </w:p>
        </w:tc>
        <w:tc>
          <w:tcPr>
            <w:tcW w:w="59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具体内容</w:t>
            </w:r>
            <w:r/>
          </w:p>
        </w:tc>
      </w:tr>
      <w:tr>
        <w:trPr>
          <w:jc w:val="center"/>
          <w:trHeight w:val="868"/>
        </w:trPr>
        <w:tc>
          <w:tcPr>
            <w:tcW w:w="699"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283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润滑油添加</w:t>
            </w:r>
            <w:r/>
          </w:p>
        </w:tc>
        <w:tc>
          <w:tcPr>
            <w:tcW w:w="5904"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检查油面、油温、油质、油乳化、油无杂质；添加或更换新润滑油。</w:t>
            </w:r>
            <w:r/>
          </w:p>
        </w:tc>
      </w:tr>
      <w:tr>
        <w:trPr>
          <w:jc w:val="center"/>
          <w:trHeight w:val="868"/>
        </w:trPr>
        <w:tc>
          <w:tcPr>
            <w:tcW w:w="699"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W w:w="283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螺栓、连接件检查及更换</w:t>
            </w:r>
            <w:r/>
          </w:p>
        </w:tc>
        <w:tc>
          <w:tcPr>
            <w:tcW w:w="5904"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检查及更换紧固螺栓及连接件。 </w:t>
            </w:r>
            <w:r/>
          </w:p>
        </w:tc>
      </w:tr>
      <w:tr>
        <w:trPr>
          <w:jc w:val="center"/>
          <w:trHeight w:val="868"/>
        </w:trPr>
        <w:tc>
          <w:tcPr>
            <w:tcW w:w="699"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W w:w="283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填料轴封维护</w:t>
            </w:r>
            <w:r/>
          </w:p>
        </w:tc>
        <w:tc>
          <w:tcPr>
            <w:tcW w:w="5904"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1.检查填料式轴封漏水量；2.紧固轴封的填料压盖螺栓或更换成不锈钢螺栓螺帽；3.采用柔性石墨盘根填紧填料式轴封。</w:t>
            </w:r>
            <w:r/>
          </w:p>
        </w:tc>
      </w:tr>
      <w:tr>
        <w:trPr>
          <w:jc w:val="center"/>
          <w:trHeight w:val="868"/>
        </w:trPr>
        <w:tc>
          <w:tcPr>
            <w:tcW w:w="699"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W w:w="283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机械轴封维护</w:t>
            </w:r>
            <w:r/>
          </w:p>
        </w:tc>
        <w:tc>
          <w:tcPr>
            <w:tcW w:w="5904"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更换泄漏量大于10ml/h或轴套表面波纹状磨损的轴封。更换橡胶O型圈。</w:t>
            </w:r>
            <w:r/>
          </w:p>
        </w:tc>
      </w:tr>
      <w:tr>
        <w:trPr>
          <w:jc w:val="center"/>
          <w:trHeight w:val="439"/>
        </w:trPr>
        <w:tc>
          <w:tcPr>
            <w:tcW w:w="699"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W w:w="283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润滑油更换</w:t>
            </w:r>
            <w:r/>
          </w:p>
        </w:tc>
        <w:tc>
          <w:tcPr>
            <w:tcW w:w="5904"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更换润滑油、清洗油箱。对油箱轴封维护、更换。</w:t>
            </w:r>
            <w:r/>
          </w:p>
        </w:tc>
      </w:tr>
      <w:tr>
        <w:trPr>
          <w:jc w:val="center"/>
          <w:trHeight w:val="868"/>
        </w:trPr>
        <w:tc>
          <w:tcPr>
            <w:tcW w:w="699"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tcW w:w="283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润滑油脂更换</w:t>
            </w:r>
            <w:r/>
          </w:p>
        </w:tc>
        <w:tc>
          <w:tcPr>
            <w:tcW w:w="5904"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1.更换润滑脂、清洗轴承座和清除废油脂。2.对油嘴润滑脂的强力充注。3.对超出时限的润滑脂彻底清除、更换。</w:t>
            </w:r>
            <w:r/>
          </w:p>
        </w:tc>
      </w:tr>
      <w:tr>
        <w:trPr>
          <w:jc w:val="center"/>
          <w:trHeight w:val="868"/>
        </w:trPr>
        <w:tc>
          <w:tcPr>
            <w:tcW w:w="699"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tcW w:w="283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解体检修</w:t>
            </w:r>
            <w:r/>
          </w:p>
        </w:tc>
        <w:tc>
          <w:tcPr>
            <w:tcW w:w="5904"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对泵壳、叶轮内外面、叶轮流道、密封环、主轴等处清洗、除垢、更换、调整、油漆。</w:t>
            </w:r>
            <w:r/>
          </w:p>
        </w:tc>
      </w:tr>
      <w:tr>
        <w:trPr>
          <w:jc w:val="center"/>
          <w:trHeight w:val="439"/>
        </w:trPr>
        <w:tc>
          <w:tcPr>
            <w:tcW w:w="699"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w:t>
            </w:r>
            <w:r/>
          </w:p>
        </w:tc>
        <w:tc>
          <w:tcPr>
            <w:tcW w:w="283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电气检查</w:t>
            </w:r>
            <w:r/>
          </w:p>
        </w:tc>
        <w:tc>
          <w:tcPr>
            <w:tcW w:w="5904"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对电机，控制系统，变频装置等常规检查。</w:t>
            </w:r>
            <w:r/>
          </w:p>
        </w:tc>
      </w:tr>
      <w:tr>
        <w:trPr>
          <w:jc w:val="center"/>
          <w:trHeight w:val="439"/>
        </w:trPr>
        <w:tc>
          <w:tcPr>
            <w:tcW w:w="699"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w:t>
            </w:r>
            <w:r/>
          </w:p>
        </w:tc>
        <w:tc>
          <w:tcPr>
            <w:tcW w:w="283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电气检修</w:t>
            </w:r>
            <w:r/>
          </w:p>
        </w:tc>
        <w:tc>
          <w:tcPr>
            <w:tcW w:w="5904"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对电机、低压电器、连接线、连接端子、接地、绝缘等检修。</w:t>
            </w:r>
            <w:r/>
          </w:p>
        </w:tc>
      </w:tr>
      <w:tr>
        <w:trPr>
          <w:jc w:val="center"/>
          <w:trHeight w:val="439"/>
        </w:trPr>
        <w:tc>
          <w:tcPr>
            <w:tcW w:w="699"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w:t>
            </w:r>
            <w:r/>
          </w:p>
        </w:tc>
        <w:tc>
          <w:tcPr>
            <w:tcW w:w="283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泵体除垢刷漆</w:t>
            </w:r>
            <w:r/>
          </w:p>
        </w:tc>
        <w:tc>
          <w:tcPr>
            <w:tcW w:w="5904"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对泵内外除锈刷漆。</w:t>
            </w:r>
            <w:r/>
          </w:p>
        </w:tc>
      </w:tr>
      <w:tr>
        <w:trPr>
          <w:jc w:val="center"/>
          <w:trHeight w:val="886"/>
        </w:trPr>
        <w:tc>
          <w:tcPr>
            <w:tcW w:w="699"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w:t>
            </w:r>
            <w:r/>
          </w:p>
        </w:tc>
        <w:tc>
          <w:tcPr>
            <w:tcW w:w="283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压力表状态检查</w:t>
            </w:r>
            <w:r/>
          </w:p>
        </w:tc>
        <w:tc>
          <w:tcPr>
            <w:tcW w:w="5904"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检查压力表指示是否正确、无跑冒滴漏。</w:t>
            </w:r>
            <w:r/>
          </w:p>
        </w:tc>
      </w:tr>
    </w:tbl>
    <w:p>
      <w:pPr>
        <w:pStyle w:val="764"/>
        <w:ind w:left="0"/>
        <w:spacing w:before="120" w:after="120"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⑥风机盘管清洗及服务内容（维保频率：每年四次）</w:t>
      </w:r>
      <w:r/>
    </w:p>
    <w:tbl>
      <w:tblPr>
        <w:tblStyle w:val="745"/>
        <w:tblW w:w="93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288"/>
        <w:gridCol w:w="6346"/>
      </w:tblGrid>
      <w:tr>
        <w:trPr>
          <w:jc w:val="center"/>
          <w:trHeight w:val="355"/>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序列</w:t>
            </w:r>
            <w:r/>
          </w:p>
        </w:tc>
        <w:tc>
          <w:tcPr>
            <w:tcBorders>
              <w:top w:val="single" w:color="auto" w:sz="4" w:space="0"/>
              <w:left w:val="single" w:color="auto" w:sz="4" w:space="0"/>
              <w:bottom w:val="single" w:color="auto" w:sz="4" w:space="0"/>
              <w:right w:val="single" w:color="auto" w:sz="4" w:space="0"/>
            </w:tcBorders>
            <w:tcW w:w="2288"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服务项目</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具体内容</w:t>
            </w:r>
            <w:r/>
          </w:p>
        </w:tc>
      </w:tr>
      <w:tr>
        <w:trPr>
          <w:jc w:val="center"/>
          <w:trHeight w:val="74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288"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接水盘清洗</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采用水冲洗，污水由排水管排出；或采用压力水（压缩空气）清洗、吹污排水管；滴水盘再用消毒水刷洗一遍。</w:t>
            </w:r>
            <w:r/>
          </w:p>
        </w:tc>
      </w:tr>
      <w:tr>
        <w:trPr>
          <w:jc w:val="center"/>
          <w:trHeight w:val="476"/>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288"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盘管清洗</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采用吸尘器清吸，或用水冲洗；对油污或化学污染则要采用清洗剂清洗；特殊情况采用整体拆卸清洗。</w:t>
            </w:r>
            <w:r/>
          </w:p>
        </w:tc>
      </w:tr>
      <w:tr>
        <w:trPr>
          <w:jc w:val="center"/>
          <w:trHeight w:val="476"/>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288" w:type="dxa"/>
            <w:vAlign w:val="center"/>
            <w:textDirection w:val="lrTb"/>
            <w:noWrap/>
          </w:tcPr>
          <w:p>
            <w:pPr>
              <w:pStyle w:val="739"/>
              <w:jc w:val="center"/>
              <w:spacing w:before="120" w:after="120"/>
              <w:rPr>
                <w:rFonts w:ascii="宋体" w:hAnsi="宋体" w:eastAsia="宋体" w:cs="宋体"/>
                <w:b w:val="0"/>
                <w:bCs w:val="0"/>
                <w:color w:val="000000" w:themeColor="text1"/>
                <w14:textFill>
                  <w14:solidFill>
                    <w14:schemeClr w14:val="tx1"/>
                  </w14:solidFill>
                </w14:textFill>
              </w:rPr>
            </w:pPr>
            <w:r>
              <w:rPr>
                <w:rFonts w:hint="eastAsia" w:ascii="宋体" w:hAnsi="宋体" w:eastAsia="宋体" w:cs="宋体"/>
                <w:b w:val="0"/>
                <w:bCs w:val="0"/>
                <w:color w:val="000000" w:themeColor="text1"/>
                <w14:textFill>
                  <w14:solidFill>
                    <w14:schemeClr w14:val="tx1"/>
                  </w14:solidFill>
                </w14:textFill>
              </w:rPr>
              <w:t xml:space="preserve">过滤网、风口清洗</w:t>
            </w:r>
            <w:r/>
          </w:p>
        </w:tc>
        <w:tc>
          <w:tcPr>
            <w:shd w:val="clear" w:color="auto" w:fill="auto"/>
            <w:tcBorders>
              <w:top w:val="single" w:color="auto" w:sz="4" w:space="0"/>
              <w:left w:val="single" w:color="auto" w:sz="4" w:space="0"/>
              <w:bottom w:val="single" w:color="auto" w:sz="4" w:space="0"/>
              <w:right w:val="single" w:color="auto" w:sz="4" w:space="0"/>
            </w:tcBorders>
            <w:tcW w:w="6346" w:type="dxa"/>
            <w:vAlign w:val="center"/>
            <w:textDirection w:val="lrTb"/>
            <w:noWrap/>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1.采取吸尘器清理方式或拆下过滤网用加压清水冲洗；2.对有油污的采用化学清洗剂的方式清洁；3.对回风口、出风口清洁，特殊情况随时清洗、清洁。</w:t>
            </w:r>
            <w:r/>
          </w:p>
        </w:tc>
      </w:tr>
      <w:tr>
        <w:trPr>
          <w:jc w:val="center"/>
          <w:trHeight w:val="355"/>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288"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风机叶轮清洗</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1.采用小型强力吸尘器清洁；2.拆卸清洗。 </w:t>
            </w:r>
            <w:r/>
          </w:p>
        </w:tc>
      </w:tr>
      <w:tr>
        <w:trPr>
          <w:jc w:val="center"/>
          <w:trHeight w:val="695"/>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2288"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水过滤器清洗</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采用清水冲洗过滤器的同时，对盘管用压力水反冲清洗。</w:t>
            </w:r>
            <w:r/>
          </w:p>
        </w:tc>
      </w:tr>
      <w:tr>
        <w:trPr>
          <w:jc w:val="center"/>
          <w:trHeight w:val="355"/>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2288"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保温层检查</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检查修理保温层，对损坏、脱胶翻卷处及时修补。</w:t>
            </w:r>
            <w:r/>
          </w:p>
        </w:tc>
      </w:tr>
      <w:tr>
        <w:trPr>
          <w:jc w:val="center"/>
          <w:trHeight w:val="355"/>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2288"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电器检修</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电器元件及线路常规检查。</w:t>
            </w:r>
            <w:r/>
          </w:p>
        </w:tc>
      </w:tr>
      <w:tr>
        <w:trPr>
          <w:jc w:val="center"/>
          <w:trHeight w:val="355"/>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2288"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电磁阀检查</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电磁阀检修，主要检测电磁阀的启闭正常，关闭严密。</w:t>
            </w:r>
            <w:r/>
          </w:p>
        </w:tc>
      </w:tr>
      <w:tr>
        <w:trPr>
          <w:jc w:val="center"/>
          <w:trHeight w:val="355"/>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2288"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风堵开关</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检查动作是否正常。</w:t>
            </w:r>
            <w:r/>
          </w:p>
        </w:tc>
      </w:tr>
      <w:tr>
        <w:trPr>
          <w:jc w:val="center"/>
          <w:trHeight w:val="355"/>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2288"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噪音</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检查1、2、3挡风机噪音过大的原因。</w:t>
            </w:r>
            <w:r/>
          </w:p>
        </w:tc>
      </w:tr>
      <w:tr>
        <w:trPr>
          <w:jc w:val="center"/>
          <w:trHeight w:val="355"/>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2288"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电机</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电机常规电气检查</w:t>
            </w:r>
            <w:r/>
          </w:p>
        </w:tc>
      </w:tr>
      <w:tr>
        <w:trPr>
          <w:jc w:val="center"/>
          <w:trHeight w:val="37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2288" w:type="dxa"/>
            <w:vAlign w:val="center"/>
            <w:textDirection w:val="lrTb"/>
            <w:noWrap/>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叶轮</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检查叶轮变形情况，如变形立即修复</w:t>
            </w:r>
            <w:r/>
          </w:p>
        </w:tc>
      </w:tr>
    </w:tbl>
    <w:p>
      <w:pPr>
        <w:spacing w:line="5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⑦蒸汽压力锅炉维护内容（节能改造完成前适用）</w:t>
      </w:r>
      <w:r/>
    </w:p>
    <w:tbl>
      <w:tblPr>
        <w:tblStyle w:val="776"/>
        <w:tblW w:w="95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325"/>
        <w:gridCol w:w="6548"/>
      </w:tblGrid>
      <w:tr>
        <w:trPr>
          <w:jc w:val="center"/>
          <w:trHeight w:val="213"/>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序列</w:t>
            </w:r>
            <w:r/>
          </w:p>
        </w:tc>
        <w:tc>
          <w:tcPr>
            <w:shd w:val="clear" w:color="auto" w:fill="auto"/>
            <w:tcW w:w="232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服务项目</w:t>
            </w:r>
            <w:r/>
          </w:p>
        </w:tc>
        <w:tc>
          <w:tcPr>
            <w:shd w:val="clear" w:color="auto" w:fill="auto"/>
            <w:tcW w:w="6548"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具体内容</w:t>
            </w:r>
            <w:r/>
          </w:p>
        </w:tc>
      </w:tr>
      <w:tr>
        <w:trPr>
          <w:jc w:val="center"/>
          <w:trHeight w:val="213"/>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shd w:val="clear" w:color="auto" w:fill="auto"/>
            <w:tcW w:w="232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安全附件</w:t>
            </w:r>
            <w:r/>
          </w:p>
        </w:tc>
        <w:tc>
          <w:tcPr>
            <w:shd w:val="clear" w:color="auto" w:fill="auto"/>
            <w:tcW w:w="6548"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锅炉运行中，重点检查、记录锅炉安全部件和转动设备的运行情况，无超压、过载，炉体无鼓包、裂纹，无液位异常。</w:t>
            </w:r>
            <w:r/>
          </w:p>
        </w:tc>
      </w:tr>
      <w:tr>
        <w:trPr>
          <w:jc w:val="center"/>
          <w:trHeight w:val="419"/>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shd w:val="clear" w:color="auto" w:fill="auto"/>
            <w:tcW w:w="232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燃烧器</w:t>
            </w:r>
            <w:r/>
          </w:p>
        </w:tc>
        <w:tc>
          <w:tcPr>
            <w:shd w:val="clear" w:color="auto" w:fill="auto"/>
            <w:tcW w:w="6548"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保持现场清洁，做到无杂物、无积灰、无积水、无油垢；2.每季度对燃烧器清理一次，检查控制系统；3.清理燃烧器，点火电极、火焰盘、燃烧头；4.检查、调整燃气蝶阀、空气蝶阀；5.检查、调整一次配风系统，二次配风系统；6.检测燃烧器控制程序；7.检测火焰监测回路，检查跑冒滴漏。</w:t>
            </w:r>
            <w:r/>
          </w:p>
        </w:tc>
      </w:tr>
      <w:tr>
        <w:trPr>
          <w:jc w:val="center"/>
          <w:trHeight w:val="213"/>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shd w:val="clear" w:color="auto" w:fill="auto"/>
            <w:tcW w:w="232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电控柜</w:t>
            </w:r>
            <w:r/>
          </w:p>
        </w:tc>
        <w:tc>
          <w:tcPr>
            <w:shd w:val="clear" w:color="auto" w:fill="auto"/>
            <w:tcW w:w="6548"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1.每季度电控设备检查一次；2.定期电控柜除层；3.检查电器设备绝缘与接地。</w:t>
            </w:r>
            <w:r/>
          </w:p>
        </w:tc>
      </w:tr>
      <w:tr>
        <w:trPr>
          <w:jc w:val="center"/>
          <w:trHeight w:val="213"/>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shd w:val="clear" w:color="auto" w:fill="auto"/>
            <w:tcW w:w="232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给水装置</w:t>
            </w:r>
            <w:r/>
          </w:p>
        </w:tc>
        <w:tc>
          <w:tcPr>
            <w:shd w:val="clear" w:color="auto" w:fill="auto"/>
            <w:tcW w:w="6548"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1.自动给水装置运行正常；2.水泵保养参照泵组保养项目。</w:t>
            </w:r>
            <w:r/>
          </w:p>
        </w:tc>
      </w:tr>
      <w:tr>
        <w:trPr>
          <w:jc w:val="center"/>
          <w:trHeight w:val="419"/>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shd w:val="clear" w:color="auto" w:fill="auto"/>
            <w:tcW w:w="232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水处理</w:t>
            </w:r>
            <w:r/>
          </w:p>
        </w:tc>
        <w:tc>
          <w:tcPr>
            <w:shd w:val="clear" w:color="auto" w:fill="auto"/>
            <w:tcW w:w="6548"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每月水处理设备检查一次，锅炉运行期间每天水质化验一次；2.定期对低水位切断装置进行检查保养及清洗；3.水位控制器每月至少清洗一次，水位表每天至少冲洗一次；4.水位表冲洗应处于最高水位；5.冲洗后水位不低于最低安全水位，如一次冲洗不净，可多次冲洗，但必须最高水位时冲洗；6.定期排污操作，每天（每班）至少一次，排污后应检查排污阀是否因污物影响而有泄漏现象，如有则必须予以排除。</w:t>
            </w:r>
            <w:r/>
          </w:p>
        </w:tc>
      </w:tr>
      <w:tr>
        <w:trPr>
          <w:jc w:val="center"/>
          <w:trHeight w:val="580"/>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shd w:val="clear" w:color="auto" w:fill="auto"/>
            <w:tcW w:w="232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炉膛</w:t>
            </w:r>
            <w:r/>
          </w:p>
        </w:tc>
        <w:tc>
          <w:tcPr>
            <w:shd w:val="clear" w:color="auto" w:fill="auto"/>
            <w:tcW w:w="6548"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1.定期打开前后门盖，刷除或吹除烟管积灰；2.检查烟管结垢情况并清理。</w:t>
            </w:r>
            <w:r/>
          </w:p>
        </w:tc>
      </w:tr>
      <w:tr>
        <w:trPr>
          <w:jc w:val="center"/>
          <w:trHeight w:val="426"/>
        </w:trPr>
        <w:tc>
          <w:tcPr>
            <w:shd w:val="clear" w:color="auto" w:fill="auto"/>
            <w:tcW w:w="704"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shd w:val="clear" w:color="auto" w:fill="auto"/>
            <w:tcW w:w="2325" w:type="dxa"/>
            <w:vAlign w:val="center"/>
            <w:textDirection w:val="lrTb"/>
            <w:noWrap w:val="false"/>
          </w:tcPr>
          <w:p>
            <w:pPr>
              <w:jc w:val="cente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停炉</w:t>
            </w:r>
            <w:r/>
          </w:p>
        </w:tc>
        <w:tc>
          <w:tcPr>
            <w:shd w:val="clear" w:color="auto" w:fill="auto"/>
            <w:tcW w:w="6548"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短期停炉：可采用湿保养法：停炉后，将炉水加满，将空气全部排出；2.长期停炉：采用干保养法：停炉后将炉水放掉，打开下部手孔，吹干锅内积水，并通过下部手孔处，投入干燥剂，且应定期更换，开始可每月检查更换—次，以后可三个月一次；3.停炉而没有保持蒸汽压力时，锅炉蒸汽空间会产生负压而滞留空气，因此再次升火燃烧时应先打开总汽阀。</w:t>
            </w:r>
            <w:r/>
          </w:p>
        </w:tc>
      </w:tr>
    </w:tbl>
    <w:p>
      <w:pPr>
        <w:spacing w:line="50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⑧容积式换热器维护内容（节能改造完成前适用）</w:t>
      </w:r>
      <w:r/>
    </w:p>
    <w:tbl>
      <w:tblPr>
        <w:tblStyle w:val="745"/>
        <w:tblW w:w="9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126"/>
        <w:gridCol w:w="6688"/>
      </w:tblGrid>
      <w:tr>
        <w:trPr>
          <w:jc w:val="center"/>
          <w:trHeight w:val="625"/>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序列</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服务项目</w:t>
            </w:r>
            <w:r/>
          </w:p>
        </w:tc>
        <w:tc>
          <w:tcPr>
            <w:tcBorders>
              <w:top w:val="single" w:color="auto" w:sz="4" w:space="0"/>
              <w:left w:val="single" w:color="auto" w:sz="4" w:space="0"/>
              <w:bottom w:val="single" w:color="auto" w:sz="4" w:space="0"/>
              <w:right w:val="single" w:color="auto" w:sz="4" w:space="0"/>
            </w:tcBorders>
            <w:tcW w:w="6688" w:type="dxa"/>
            <w:vAlign w:val="center"/>
            <w:textDirection w:val="lrTb"/>
            <w:noWrap/>
          </w:tcPr>
          <w:p>
            <w:pPr>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具体内容</w:t>
            </w:r>
            <w:r/>
          </w:p>
        </w:tc>
      </w:tr>
      <w:tr>
        <w:trPr>
          <w:jc w:val="center"/>
          <w:trHeight w:val="103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罐体、管道密封性</w:t>
            </w:r>
            <w:r/>
          </w:p>
        </w:tc>
        <w:tc>
          <w:tcPr>
            <w:tcBorders>
              <w:top w:val="single" w:color="auto" w:sz="4" w:space="0"/>
              <w:left w:val="single" w:color="auto" w:sz="4" w:space="0"/>
              <w:bottom w:val="single" w:color="auto" w:sz="4" w:space="0"/>
              <w:right w:val="single" w:color="auto" w:sz="4" w:space="0"/>
            </w:tcBorders>
            <w:tcW w:w="6688" w:type="dxa"/>
            <w:vAlign w:val="center"/>
            <w:textDirection w:val="lrTb"/>
            <w:noWrap/>
          </w:tcPr>
          <w:p>
            <w:pP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1.蒸汽管道、热水管道、罐体无泄漏；2.主体运行未超压，罐体无鼓包、裂纹，无局部高温现象；3.通过听棒等设备判断罐体内是否异响，确认换热器内部是否存在异常震动、摩擦。</w:t>
            </w:r>
            <w:r/>
          </w:p>
        </w:tc>
      </w:tr>
      <w:tr>
        <w:trPr>
          <w:jc w:val="center"/>
          <w:trHeight w:val="1284"/>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换热器温度、压力</w:t>
            </w:r>
            <w:r/>
          </w:p>
        </w:tc>
        <w:tc>
          <w:tcPr>
            <w:tcBorders>
              <w:top w:val="single" w:color="auto" w:sz="4" w:space="0"/>
              <w:left w:val="single" w:color="auto" w:sz="4" w:space="0"/>
              <w:bottom w:val="single" w:color="auto" w:sz="4" w:space="0"/>
              <w:right w:val="single" w:color="auto" w:sz="4" w:space="0"/>
            </w:tcBorders>
            <w:tcW w:w="6688" w:type="dxa"/>
            <w:vAlign w:val="center"/>
            <w:textDirection w:val="lrTb"/>
            <w:noWrap/>
          </w:tcPr>
          <w:p>
            <w:pP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检查换热器一次侧、二次侧温度、压力，一次侧入口压力不超过0.4MPa，二次侧出口温度不超过60℃（温度过高加速结垢，影响设备换热效率）；2.压力异常应考虑拆洗入口过滤器，确保系统通畅；3.检查管束、罐体是否结垢。</w:t>
            </w:r>
            <w:r/>
          </w:p>
        </w:tc>
      </w:tr>
      <w:tr>
        <w:trPr>
          <w:jc w:val="center"/>
          <w:trHeight w:val="927"/>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管道、罐体保温</w:t>
            </w:r>
            <w:r/>
          </w:p>
        </w:tc>
        <w:tc>
          <w:tcPr>
            <w:tcBorders>
              <w:top w:val="single" w:color="auto" w:sz="4" w:space="0"/>
              <w:left w:val="single" w:color="auto" w:sz="4" w:space="0"/>
              <w:bottom w:val="single" w:color="auto" w:sz="4" w:space="0"/>
              <w:right w:val="single" w:color="auto" w:sz="4" w:space="0"/>
            </w:tcBorders>
            <w:tcW w:w="6688" w:type="dxa"/>
            <w:vAlign w:val="center"/>
            <w:textDirection w:val="lrTb"/>
            <w:noWrap/>
          </w:tcPr>
          <w:p>
            <w:pP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检查完好情况，修复损坏的保温，确保换热效率。</w:t>
            </w:r>
            <w:r/>
          </w:p>
        </w:tc>
      </w:tr>
      <w:tr>
        <w:trPr>
          <w:jc w:val="center"/>
          <w:trHeight w:val="927"/>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凝水检查</w:t>
            </w:r>
            <w:r/>
          </w:p>
        </w:tc>
        <w:tc>
          <w:tcPr>
            <w:tcBorders>
              <w:top w:val="single" w:color="auto" w:sz="4" w:space="0"/>
              <w:left w:val="single" w:color="auto" w:sz="4" w:space="0"/>
              <w:bottom w:val="single" w:color="auto" w:sz="4" w:space="0"/>
              <w:right w:val="single" w:color="auto" w:sz="4" w:space="0"/>
            </w:tcBorders>
            <w:tcW w:w="6688" w:type="dxa"/>
            <w:vAlign w:val="center"/>
            <w:textDirection w:val="lrTb"/>
            <w:noWrap/>
          </w:tcPr>
          <w:p>
            <w:pP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1.检查疏水阀、凝水管及支管安装质量及排水通畅；2．按要求拆洗疏水阀组过滤器。</w:t>
            </w:r>
            <w:r/>
          </w:p>
        </w:tc>
      </w:tr>
      <w:tr>
        <w:trPr>
          <w:jc w:val="center"/>
          <w:trHeight w:val="927"/>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阀门除锈刷漆</w:t>
            </w:r>
            <w:r/>
          </w:p>
        </w:tc>
        <w:tc>
          <w:tcPr>
            <w:tcBorders>
              <w:top w:val="single" w:color="auto" w:sz="4" w:space="0"/>
              <w:left w:val="single" w:color="auto" w:sz="4" w:space="0"/>
              <w:bottom w:val="single" w:color="auto" w:sz="4" w:space="0"/>
              <w:right w:val="single" w:color="auto" w:sz="4" w:space="0"/>
            </w:tcBorders>
            <w:tcW w:w="6688" w:type="dxa"/>
            <w:vAlign w:val="center"/>
            <w:textDirection w:val="lrTb"/>
            <w:noWrap/>
          </w:tcPr>
          <w:p>
            <w:pP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1.按规定要求除锈刷漆；2.检查开启度；3.检查完好情况。</w:t>
            </w:r>
            <w:r/>
          </w:p>
        </w:tc>
      </w:tr>
      <w:tr>
        <w:trPr>
          <w:jc w:val="center"/>
          <w:trHeight w:val="927"/>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电动阀门保养</w:t>
            </w:r>
            <w:r/>
          </w:p>
        </w:tc>
        <w:tc>
          <w:tcPr>
            <w:tcBorders>
              <w:top w:val="single" w:color="auto" w:sz="4" w:space="0"/>
              <w:left w:val="single" w:color="auto" w:sz="4" w:space="0"/>
              <w:bottom w:val="single" w:color="auto" w:sz="4" w:space="0"/>
              <w:right w:val="single" w:color="auto" w:sz="4" w:space="0"/>
            </w:tcBorders>
            <w:tcW w:w="6688" w:type="dxa"/>
            <w:vAlign w:val="center"/>
            <w:textDirection w:val="lrTb"/>
            <w:noWrap/>
          </w:tcPr>
          <w:p>
            <w:pP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1.电机电器及控制系统的保养，控制系统稳定性的确认；2.阀门的机械常规保养。</w:t>
            </w:r>
            <w:r/>
          </w:p>
        </w:tc>
      </w:tr>
      <w:tr>
        <w:trPr>
          <w:jc w:val="center"/>
          <w:trHeight w:val="937"/>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水箱保温保养</w:t>
            </w:r>
            <w:r/>
          </w:p>
        </w:tc>
        <w:tc>
          <w:tcPr>
            <w:tcBorders>
              <w:top w:val="single" w:color="auto" w:sz="4" w:space="0"/>
              <w:left w:val="single" w:color="auto" w:sz="4" w:space="0"/>
              <w:bottom w:val="single" w:color="auto" w:sz="4" w:space="0"/>
              <w:right w:val="single" w:color="auto" w:sz="4" w:space="0"/>
            </w:tcBorders>
            <w:tcW w:w="6688" w:type="dxa"/>
            <w:vAlign w:val="center"/>
            <w:textDirection w:val="lrTb"/>
            <w:noWrap/>
          </w:tcPr>
          <w:p>
            <w:pP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1.按保养要求对水箱除锈刷漆；2.检查完好情况，修复损坏的保温。</w:t>
            </w:r>
            <w:r/>
          </w:p>
        </w:tc>
      </w:tr>
    </w:tbl>
    <w:p>
      <w:pPr>
        <w:pStyle w:val="766"/>
        <w:spacing w:after="0" w:line="360" w:lineRule="auto"/>
        <w:widowControl w:val="off"/>
        <w:rPr>
          <w:rFonts w:ascii="宋体" w:hAnsi="宋体" w:eastAsia="宋体"/>
          <w:bCs/>
          <w:color w:val="000000" w:themeColor="text1"/>
          <w:sz w:val="24"/>
          <w:szCs w:val="24"/>
          <w14:textFill>
            <w14:solidFill>
              <w14:schemeClr w14:val="tx1"/>
            </w14:solidFill>
          </w14:textFill>
        </w:rPr>
      </w:pPr>
      <w:r>
        <w:rPr>
          <w:rFonts w:ascii="宋体" w:hAnsi="宋体" w:eastAsia="宋体"/>
          <w:bCs/>
          <w:color w:val="000000" w:themeColor="text1"/>
          <w:sz w:val="24"/>
          <w:szCs w:val="24"/>
          <w14:textFill>
            <w14:solidFill>
              <w14:schemeClr w14:val="tx1"/>
            </w14:solidFill>
          </w14:textFill>
        </w:rPr>
      </w:r>
      <w:r/>
    </w:p>
    <w:p>
      <w:pPr>
        <w:pStyle w:val="736"/>
        <w:jc w:val="both"/>
        <w:spacing w:before="0" w:after="0" w:line="276" w:lineRule="auto"/>
        <w:rPr>
          <w:rFonts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14:textFill>
            <w14:solidFill>
              <w14:schemeClr w14:val="tx1"/>
            </w14:solidFill>
          </w14:textFill>
        </w:rPr>
        <w:t xml:space="preserve">三、</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b/>
          <w:color w:val="000000" w:themeColor="text1"/>
          <w:sz w:val="24"/>
          <w:szCs w:val="24"/>
          <w14:textFill>
            <w14:solidFill>
              <w14:schemeClr w14:val="tx1"/>
            </w14:solidFill>
          </w14:textFill>
        </w:rPr>
        <w:t xml:space="preserve">商务要求</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项目年度考核管理</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每年从年度合同总服务费中计提</w:t>
      </w:r>
      <w:r>
        <w:rPr>
          <w:rFonts w:hint="eastAsia" w:ascii="宋体" w:hAnsi="宋体" w:eastAsia="宋体" w:cs="宋体"/>
          <w:color w:val="000000" w:themeColor="text1"/>
          <w:sz w:val="24"/>
          <w:szCs w:val="24"/>
          <w14:textFill>
            <w14:solidFill>
              <w14:schemeClr w14:val="tx1"/>
            </w14:solidFill>
          </w14:textFill>
        </w:rPr>
        <w:t xml:space="preserve">1</w:t>
      </w:r>
      <w:r>
        <w:rPr>
          <w:rFonts w:ascii="宋体" w:hAnsi="宋体" w:eastAsia="宋体" w:cs="宋体"/>
          <w:color w:val="000000" w:themeColor="text1"/>
          <w:sz w:val="24"/>
          <w:szCs w:val="24"/>
          <w14:textFill>
            <w14:solidFill>
              <w14:schemeClr w14:val="tx1"/>
            </w14:solidFill>
          </w14:textFill>
        </w:rPr>
        <w:t xml:space="preserve">‰作为年度服务考核专项基金，基金</w:t>
      </w:r>
      <w:r>
        <w:rPr>
          <w:rFonts w:hint="eastAsia" w:ascii="宋体" w:hAnsi="宋体" w:eastAsia="宋体" w:cs="宋体"/>
          <w:color w:val="000000" w:themeColor="text1"/>
          <w:sz w:val="24"/>
          <w:szCs w:val="24"/>
          <w14:textFill>
            <w14:solidFill>
              <w14:schemeClr w14:val="tx1"/>
            </w14:solidFill>
          </w14:textFill>
        </w:rPr>
        <w:t xml:space="preserve">由中标单位自行管理，使用</w:t>
      </w:r>
      <w:r>
        <w:rPr>
          <w:rFonts w:ascii="宋体" w:hAnsi="宋体" w:eastAsia="宋体" w:cs="宋体"/>
          <w:color w:val="000000" w:themeColor="text1"/>
          <w:sz w:val="24"/>
          <w:szCs w:val="24"/>
          <w14:textFill>
            <w14:solidFill>
              <w14:schemeClr w14:val="tx1"/>
            </w14:solidFill>
          </w14:textFill>
        </w:rPr>
        <w:t xml:space="preserve">权归采购人。</w:t>
      </w:r>
      <w:r>
        <w:rPr>
          <w:rFonts w:hint="eastAsia" w:ascii="宋体" w:hAnsi="宋体" w:eastAsia="宋体" w:cs="宋体"/>
          <w:color w:val="000000" w:themeColor="text1"/>
          <w:sz w:val="24"/>
          <w:szCs w:val="24"/>
          <w14:textFill>
            <w14:solidFill>
              <w14:schemeClr w14:val="tx1"/>
            </w14:solidFill>
          </w14:textFill>
        </w:rPr>
        <w:t xml:space="preserve">采购人根据全年月度服务满意度、运维台账、设备维保、供能保障、故障处置、人员在岗等综合考核结果，有权自主分配考核基金（仅用作现场运维相关事项的奖励与考核），提升一线服务积极性。</w:t>
      </w:r>
      <w:r/>
    </w:p>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 合同服务周期</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合同签订当日即刻启动改造、运维服务，合同周期1年，每个合同周期考核合格后可自动续签，最多可续签7次，总服务期不超过8年。</w:t>
      </w:r>
      <w:r/>
    </w:p>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 投资设备要求</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所有由投标人全额出资采购、安装的节能改造设备，技术参数、制冷/制热量、流量、功率等指标必须匹配现场负荷、机房安装空间、配电条件，满足医院全年供冷、采暖、24小时生活热水稳定运行需求</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bCs/>
          <w:color w:val="000000" w:themeColor="text1"/>
          <w:sz w:val="24"/>
          <w:szCs w:val="24"/>
          <w14:textFill>
            <w14:solidFill>
              <w14:schemeClr w14:val="tx1"/>
            </w14:solidFill>
          </w14:textFill>
        </w:rPr>
        <w:t xml:space="preserve">所有投资项目采购设备满足在-20℃至45℃条件下安全运行条件，同时做好设备机房、设备周边防水措施</w:t>
      </w:r>
      <w:r>
        <w:rPr>
          <w:rFonts w:ascii="宋体" w:hAnsi="宋体" w:eastAsia="宋体" w:cs="宋体"/>
          <w:color w:val="000000" w:themeColor="text1"/>
          <w:sz w:val="24"/>
          <w:szCs w:val="24"/>
          <w14:textFill>
            <w14:solidFill>
              <w14:schemeClr w14:val="tx1"/>
            </w14:solidFill>
          </w14:textFill>
        </w:rPr>
        <w:t xml:space="preserve">。</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设备品牌要求：主机、水泵、换热设备、智能计量控制系统等核心设备须选用</w:t>
      </w:r>
      <w:r>
        <w:rPr>
          <w:rFonts w:hint="eastAsia" w:ascii="宋体" w:hAnsi="宋体" w:eastAsia="宋体" w:cs="宋体"/>
          <w:color w:val="000000" w:themeColor="text1"/>
          <w:sz w:val="24"/>
          <w:szCs w:val="24"/>
          <w14:textFill>
            <w14:solidFill>
              <w14:schemeClr w14:val="tx1"/>
            </w14:solidFill>
          </w14:textFill>
        </w:rPr>
        <w:t xml:space="preserve">符合国家标准的优等品，</w:t>
      </w:r>
      <w:r>
        <w:rPr>
          <w:rFonts w:ascii="宋体" w:hAnsi="宋体" w:eastAsia="宋体" w:cs="宋体"/>
          <w:color w:val="000000" w:themeColor="text1"/>
          <w:sz w:val="24"/>
          <w:szCs w:val="24"/>
          <w14:textFill>
            <w14:solidFill>
              <w14:schemeClr w14:val="tx1"/>
            </w14:solidFill>
          </w14:textFill>
        </w:rPr>
        <w:t xml:space="preserve">采购人有权对品牌档次进行审核，不符合要求视为投标无效。</w:t>
      </w:r>
      <w:r/>
    </w:p>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 设备投资分摊</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合同8年服务期内，中标人投资设备产权归中标人；期满且采购人结清全部服务费后，中标人须将完好设备无偿移交采购人，同步移交全套运维资料，并无偿授予采购人仅限本项目使用的相关技术、知识产权永久授权。</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若合作未满8年提前终止，按8年直线折旧法核算中标人剩余未摊销投资成本，采购人于合作终止后付清该款项，款项付清后全部投资设备产权归采购人所有。</w:t>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 阅江楼院区门诊楼远期规划（品目02）</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中标人须配合采购人院区整体建设规划，预留扩容条件，后续采购人实施门诊楼改造时，</w:t>
      </w:r>
      <w:r>
        <w:rPr>
          <w:rFonts w:hint="eastAsia" w:ascii="宋体" w:hAnsi="宋体" w:eastAsia="宋体" w:cs="宋体"/>
          <w:color w:val="000000" w:themeColor="text1"/>
          <w:sz w:val="24"/>
          <w:szCs w:val="24"/>
          <w14:textFill>
            <w14:solidFill>
              <w14:schemeClr w14:val="tx1"/>
            </w14:solidFill>
          </w14:textFill>
        </w:rPr>
        <w:t xml:space="preserve">确保满足</w:t>
      </w:r>
      <w:r>
        <w:rPr>
          <w:rFonts w:ascii="宋体" w:hAnsi="宋体" w:eastAsia="宋体" w:cs="宋体"/>
          <w:color w:val="000000" w:themeColor="text1"/>
          <w:sz w:val="24"/>
          <w:szCs w:val="24"/>
          <w14:textFill>
            <w14:solidFill>
              <w14:schemeClr w14:val="tx1"/>
            </w14:solidFill>
          </w14:textFill>
        </w:rPr>
        <w:t xml:space="preserve">门诊楼整体制冷、采暖</w:t>
      </w:r>
      <w:r>
        <w:rPr>
          <w:rFonts w:hint="eastAsia" w:ascii="宋体" w:hAnsi="宋体" w:eastAsia="宋体" w:cs="宋体"/>
          <w:color w:val="000000" w:themeColor="text1"/>
          <w:sz w:val="24"/>
          <w:szCs w:val="24"/>
          <w14:textFill>
            <w14:solidFill>
              <w14:schemeClr w14:val="tx1"/>
            </w14:solidFill>
          </w14:textFill>
        </w:rPr>
        <w:t xml:space="preserve">的冷热源</w:t>
      </w:r>
      <w:r>
        <w:rPr>
          <w:rFonts w:ascii="宋体" w:hAnsi="宋体" w:eastAsia="宋体" w:cs="宋体"/>
          <w:color w:val="000000" w:themeColor="text1"/>
          <w:sz w:val="24"/>
          <w:szCs w:val="24"/>
          <w14:textFill>
            <w14:solidFill>
              <w14:schemeClr w14:val="tx1"/>
            </w14:solidFill>
          </w14:textFill>
        </w:rPr>
        <w:t xml:space="preserve">供给。</w:t>
      </w:r>
      <w:r/>
    </w:p>
    <w:p>
      <w:pPr>
        <w:ind w:left="6"/>
        <w:spacing w:line="360" w:lineRule="auto"/>
        <w:rPr>
          <w:rFonts w:ascii="宋体" w:hAnsi="宋体" w:eastAsia="宋体" w:cs="宋体"/>
          <w:b/>
          <w:color w:val="000000" w:themeColor="text1"/>
          <w:sz w:val="32"/>
          <w:szCs w:val="32"/>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 中标后投标人须立即开展两个院区投资改造项目，合同签订后，合同期内两个院区能源服务费全部按照中标人投标文件中《投标分项报价表》进行结算（包括投资改造施工期内），且投资改造施工期间，阅江楼院区能源服务费用不受燃气单价变化而调整。</w:t>
      </w:r>
      <w:r/>
    </w:p>
    <w:p>
      <w:pPr>
        <w:ind w:firstLine="480"/>
        <w:spacing w:line="276"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pStyle w:val="736"/>
        <w:jc w:val="both"/>
        <w:spacing w:before="0" w:after="0" w:line="276" w:lineRule="auto"/>
        <w:rPr>
          <w:rFonts w:ascii="宋体" w:hAnsi="宋体" w:eastAsia="宋体" w:cs="宋体"/>
          <w:b/>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14:textFill>
            <w14:solidFill>
              <w14:schemeClr w14:val="tx1"/>
            </w14:solidFill>
          </w14:textFill>
        </w:rPr>
        <w:t xml:space="preserve">四、其他说明</w:t>
      </w:r>
      <w:r/>
    </w:p>
    <w:p>
      <w:pPr>
        <w:ind w:firstLine="480"/>
        <w:jc w:val="both"/>
        <w:rPr>
          <w:rFonts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1</w:t>
      </w:r>
      <w:r>
        <w:rPr>
          <w:rFonts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上述中加注“★”符号的关键条款指标为实质性要求，不允许负偏离，否则投标无效；加注“▲”符号的重要条款指标；其他为一般条款指标。</w:t>
      </w:r>
      <w:r/>
    </w:p>
    <w:p>
      <w:pPr>
        <w:ind w:firstLine="480"/>
        <w:jc w:val="both"/>
        <w:rPr>
          <w:rFonts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14:textFill>
            <w14:solidFill>
              <w14:schemeClr w14:val="tx1"/>
            </w14:solidFill>
          </w14:textFill>
        </w:rPr>
        <w:t xml:space="preserve">2. </w:t>
      </w:r>
      <w:r>
        <w:rPr>
          <w:rFonts w:hint="eastAsia" w:ascii="宋体" w:hAnsi="宋体" w:eastAsia="宋体" w:cs="宋体"/>
          <w:color w:val="000000" w:themeColor="text1"/>
          <w:sz w:val="24"/>
          <w:szCs w:val="24"/>
          <w14:textFill>
            <w14:solidFill>
              <w14:schemeClr w14:val="tx1"/>
            </w14:solidFill>
          </w14:textFill>
        </w:rPr>
        <w:t xml:space="preserve">加注“★”符号的关键条款指标、加注“▲”符号的重要条款指标和一般条款指标要求提供相关材料的，均须提供证明材料，未提供的评委有权认定为负偏离。</w:t>
      </w:r>
      <w:r/>
    </w:p>
    <w:p>
      <w:pPr>
        <w:ind w:firstLine="480"/>
        <w:jc w:val="both"/>
        <w:rPr>
          <w:rFonts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14:textFill>
            <w14:solidFill>
              <w14:schemeClr w14:val="tx1"/>
            </w14:solidFill>
          </w14:textFill>
        </w:rPr>
        <w:t xml:space="preserve">3. </w:t>
      </w:r>
      <w:r>
        <w:rPr>
          <w:rFonts w:hint="eastAsia" w:ascii="宋体" w:hAnsi="宋体" w:eastAsia="宋体" w:cs="宋体"/>
          <w:color w:val="000000" w:themeColor="text1"/>
          <w:sz w:val="24"/>
          <w:szCs w:val="24"/>
          <w14:textFill>
            <w14:solidFill>
              <w14:schemeClr w14:val="tx1"/>
            </w14:solidFill>
          </w14:textFill>
        </w:rPr>
        <w:t xml:space="preserve">商务要求条款均为实质性要求不允许负偏离，否则投标无效。</w:t>
      </w:r>
      <w:r/>
    </w:p>
    <w:p>
      <w:pPr>
        <w:ind w:firstLine="480"/>
        <w:jc w:val="both"/>
        <w:rPr>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14:textFill>
            <w14:solidFill>
              <w14:schemeClr w14:val="tx1"/>
            </w14:solidFill>
          </w14:textFill>
        </w:rPr>
        <w:t xml:space="preserve">4.</w:t>
      </w:r>
      <w:r>
        <w:rPr>
          <w:rFonts w:ascii="宋体" w:hAnsi="宋体" w:eastAsia="宋体" w:cs="宋体"/>
          <w:b/>
          <w:color w:val="000000" w:themeColor="text1"/>
          <w:sz w:val="24"/>
          <w:szCs w:val="24"/>
          <w14:textFill>
            <w14:solidFill>
              <w14:schemeClr w14:val="tx1"/>
            </w14:solidFill>
          </w14:textFill>
        </w:rPr>
        <w:t xml:space="preserve"> </w:t>
      </w:r>
      <w:r>
        <w:rPr>
          <w:rFonts w:hint="eastAsia" w:ascii="宋体" w:hAnsi="宋体" w:eastAsia="宋体" w:cs="宋体"/>
          <w:b/>
          <w:color w:val="000000" w:themeColor="text1"/>
          <w:sz w:val="24"/>
          <w:szCs w:val="24"/>
          <w14:textFill>
            <w14:solidFill>
              <w14:schemeClr w14:val="tx1"/>
            </w14:solidFill>
          </w14:textFill>
        </w:rPr>
        <w:t xml:space="preserve">对应中小企业划分标准所属行业：其他未列明行业。</w:t>
      </w:r>
      <w:r>
        <w:rPr>
          <w:b/>
          <w:color w:val="000000" w:themeColor="text1"/>
          <w14:textFill>
            <w14:solidFill>
              <w14:schemeClr w14:val="tx1"/>
            </w14:solidFill>
          </w14:textFill>
        </w:rPr>
        <w:br w:type="page" w:clear="all"/>
      </w:r>
      <w:r/>
    </w:p>
    <w:p>
      <w:pPr>
        <w:pStyle w:val="735"/>
        <w:jc w:val="center"/>
        <w:rPr>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 xml:space="preserve">第五章</w:t>
      </w:r>
      <w:r>
        <w:rPr>
          <w:color w:val="000000" w:themeColor="text1"/>
          <w14:textFill>
            <w14:solidFill>
              <w14:schemeClr w14:val="tx1"/>
            </w14:solidFill>
          </w14:textFill>
        </w:rPr>
        <w:t xml:space="preserve">  </w:t>
      </w:r>
      <w:r>
        <w:rPr>
          <w:rFonts w:hint="eastAsia" w:ascii="微软雅黑" w:hAnsi="微软雅黑" w:eastAsia="微软雅黑" w:cs="微软雅黑"/>
          <w:color w:val="000000" w:themeColor="text1"/>
          <w14:textFill>
            <w14:solidFill>
              <w14:schemeClr w14:val="tx1"/>
            </w14:solidFill>
          </w14:textFill>
        </w:rPr>
        <w:t xml:space="preserve">评标方法与评标标准</w:t>
      </w:r>
      <w:r/>
    </w:p>
    <w:p>
      <w:pPr>
        <w:jc w:val="both"/>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8"/>
          <w14:textFill>
            <w14:solidFill>
              <w14:schemeClr w14:val="tx1"/>
            </w14:solidFill>
          </w14:textFill>
        </w:rPr>
        <w:t xml:space="preserve"> </w:t>
      </w:r>
      <w:r/>
    </w:p>
    <w:p>
      <w:pPr>
        <w:ind w:firstLine="512"/>
        <w:spacing w:before="120" w:after="120" w:line="360" w:lineRule="auto"/>
        <w:rPr>
          <w:rFonts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0"/>
        <w:spacing w:before="120" w:after="120"/>
      </w:pPr>
      <w:r/>
      <w:r/>
    </w:p>
    <w:p>
      <w:pPr>
        <w:ind w:firstLine="482"/>
        <w:outlineLvl w:val="1"/>
      </w:pPr>
      <w:r/>
      <w:bookmarkStart w:id="7" w:name="_Toc26336"/>
      <w:r/>
      <w:bookmarkStart w:id="8" w:name="_Toc194500889"/>
      <w:r/>
      <w:bookmarkStart w:id="9" w:name="_Toc27458"/>
      <w:r/>
      <w:bookmarkStart w:id="10" w:name="_Toc22996"/>
      <w:r/>
      <w:bookmarkStart w:id="11" w:name="_Toc6416"/>
      <w:r>
        <w:rPr>
          <w:rFonts w:ascii="宋体" w:hAnsi="宋体" w:cs="宋体"/>
          <w:b/>
          <w:color w:val="000000"/>
          <w:sz w:val="24"/>
        </w:rPr>
        <w:t xml:space="preserve">政府采购政策功能落实</w:t>
      </w:r>
      <w:bookmarkEnd w:id="7"/>
      <w:r/>
      <w:bookmarkEnd w:id="8"/>
      <w:r/>
      <w:bookmarkEnd w:id="9"/>
      <w:r/>
      <w:bookmarkEnd w:id="10"/>
      <w:r/>
      <w:bookmarkEnd w:id="11"/>
      <w:r/>
      <w:r/>
    </w:p>
    <w:p>
      <w:pPr>
        <w:ind w:firstLine="480"/>
      </w:pPr>
      <w:r>
        <w:rPr>
          <w:rFonts w:ascii="宋体" w:hAnsi="宋体" w:cs="宋体"/>
          <w:color w:val="000000"/>
          <w:sz w:val="24"/>
        </w:rPr>
        <w:t xml:space="preserve">1、小微型企业价格扣除</w:t>
      </w:r>
      <w:r/>
    </w:p>
    <w:p>
      <w:pPr>
        <w:ind w:firstLine="480"/>
      </w:pPr>
      <w:r>
        <w:rPr>
          <w:rFonts w:ascii="宋体" w:hAnsi="宋体" w:cs="宋体"/>
          <w:color w:val="000000"/>
          <w:sz w:val="24"/>
        </w:rPr>
        <w:t xml:space="preserve">（1）本项目对小型和微型企业产品给予</w:t>
      </w:r>
      <w:r>
        <w:rPr>
          <w:rFonts w:ascii="宋体" w:hAnsi="宋体" w:cs="宋体"/>
          <w:color w:val="000000"/>
          <w:sz w:val="24"/>
          <w:u w:val="single"/>
        </w:rPr>
        <w:t xml:space="preserve">10%</w:t>
      </w:r>
      <w:r>
        <w:rPr>
          <w:rFonts w:ascii="宋体" w:hAnsi="宋体" w:cs="宋体"/>
          <w:color w:val="000000"/>
          <w:sz w:val="24"/>
        </w:rPr>
        <w:t xml:space="preserve">的扣除价格，用扣除后的价格参与评审。</w:t>
      </w:r>
      <w:r/>
    </w:p>
    <w:p>
      <w:pPr>
        <w:ind w:firstLine="480"/>
      </w:pPr>
      <w:r>
        <w:rPr>
          <w:rFonts w:ascii="宋体" w:hAnsi="宋体" w:cs="宋体"/>
          <w:color w:val="000000"/>
          <w:sz w:val="24"/>
        </w:rPr>
        <w:t xml:space="preserve">（2）供应商需按照采购文件的要求提供相应的《小微企业声明函》。</w:t>
      </w:r>
      <w:r/>
    </w:p>
    <w:p>
      <w:pPr>
        <w:ind w:firstLine="480"/>
      </w:pPr>
      <w:r>
        <w:rPr>
          <w:rFonts w:ascii="宋体" w:hAnsi="宋体" w:cs="宋体"/>
          <w:color w:val="000000"/>
          <w:sz w:val="24"/>
        </w:rPr>
        <w:t xml:space="preserve">（3）企业标准请参照《关于印发中小企业划型标准规定的通知》（工信部联企业[2011]300号）文件规定自行填写。</w:t>
      </w:r>
      <w:r/>
    </w:p>
    <w:p>
      <w:pPr>
        <w:ind w:firstLine="480"/>
        <w:spacing w:before="161"/>
      </w:pPr>
      <w:r>
        <w:rPr>
          <w:rFonts w:ascii="宋体" w:hAnsi="宋体" w:cs="宋体"/>
          <w:color w:val="000000"/>
          <w:sz w:val="24"/>
        </w:rPr>
        <w:t xml:space="preserve">2、残疾人福利单位价格扣除</w:t>
      </w:r>
      <w:r/>
    </w:p>
    <w:p>
      <w:pPr>
        <w:ind w:firstLine="480"/>
      </w:pPr>
      <w:r>
        <w:rPr>
          <w:rFonts w:ascii="宋体" w:hAnsi="宋体" w:cs="宋体"/>
          <w:color w:val="000000"/>
          <w:sz w:val="24"/>
        </w:rPr>
        <w:t xml:space="preserve">（1）本项目对残疾人福利性单位视同小型、微型企业，给予</w:t>
      </w:r>
      <w:r>
        <w:rPr>
          <w:rFonts w:ascii="宋体" w:hAnsi="宋体" w:cs="宋体"/>
          <w:color w:val="000000"/>
          <w:sz w:val="24"/>
          <w:u w:val="single"/>
        </w:rPr>
        <w:t xml:space="preserve">10%</w:t>
      </w:r>
      <w:r>
        <w:rPr>
          <w:rFonts w:ascii="宋体" w:hAnsi="宋体" w:cs="宋体"/>
          <w:color w:val="000000"/>
          <w:sz w:val="24"/>
        </w:rPr>
        <w:t xml:space="preserve">的价格扣除，用扣除后的价格参与评审。</w:t>
      </w:r>
      <w:r/>
    </w:p>
    <w:p>
      <w:pPr>
        <w:ind w:firstLine="480"/>
      </w:pPr>
      <w:r>
        <w:rPr>
          <w:rFonts w:ascii="宋体" w:hAnsi="宋体" w:cs="宋体"/>
          <w:color w:val="000000"/>
          <w:sz w:val="24"/>
        </w:rPr>
        <w:t xml:space="preserve">（2）残疾人福利单位需按照采购文件的要求提供《残疾人福利性单位声明函》。</w:t>
      </w:r>
      <w:r/>
    </w:p>
    <w:p>
      <w:pPr>
        <w:ind w:firstLine="480"/>
      </w:pPr>
      <w:r>
        <w:rPr>
          <w:rFonts w:ascii="宋体" w:hAnsi="宋体" w:cs="宋体"/>
          <w:color w:val="000000"/>
          <w:sz w:val="24"/>
        </w:rPr>
        <w:t xml:space="preserve">（3）残疾人福利单位标准请参照《关于促进残疾人就业政府采购政策的通知》（财库〔2017〕141号）。</w:t>
      </w:r>
      <w:r/>
    </w:p>
    <w:p>
      <w:pPr>
        <w:ind w:firstLine="480"/>
        <w:spacing w:before="161"/>
      </w:pPr>
      <w:r>
        <w:rPr>
          <w:rFonts w:ascii="宋体" w:hAnsi="宋体" w:cs="宋体"/>
          <w:color w:val="000000"/>
          <w:sz w:val="24"/>
        </w:rPr>
        <w:t xml:space="preserve">3、监狱和戒毒企业价格扣除</w:t>
      </w:r>
      <w:r/>
    </w:p>
    <w:p>
      <w:pPr>
        <w:ind w:firstLine="480"/>
      </w:pPr>
      <w:r>
        <w:rPr>
          <w:rFonts w:ascii="宋体" w:hAnsi="宋体" w:cs="宋体"/>
          <w:color w:val="000000"/>
          <w:sz w:val="24"/>
        </w:rPr>
        <w:t xml:space="preserve">（1）本项目对监狱和戒毒企业（简称监狱企业）视同小型、微型企业，给予</w:t>
      </w:r>
      <w:r>
        <w:rPr>
          <w:rFonts w:ascii="宋体" w:hAnsi="宋体" w:cs="宋体"/>
          <w:color w:val="000000"/>
          <w:sz w:val="24"/>
          <w:u w:val="single"/>
        </w:rPr>
        <w:t xml:space="preserve">10%</w:t>
      </w:r>
      <w:r>
        <w:rPr>
          <w:rFonts w:ascii="宋体" w:hAnsi="宋体" w:cs="宋体"/>
          <w:color w:val="000000"/>
          <w:sz w:val="24"/>
        </w:rPr>
        <w:t xml:space="preserve">的价格扣除，用扣除后的价格参与评审。</w:t>
      </w:r>
      <w:r/>
    </w:p>
    <w:p>
      <w:pPr>
        <w:ind w:firstLine="480"/>
      </w:pPr>
      <w:r>
        <w:rPr>
          <w:rFonts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pPr>
      <w:r>
        <w:rPr>
          <w:rFonts w:ascii="宋体" w:hAnsi="宋体" w:cs="宋体"/>
          <w:color w:val="000000"/>
          <w:sz w:val="24"/>
        </w:rPr>
        <w:t xml:space="preserve">（3）监狱企业标准请参照《关于政府采购支持监狱企业发展有关问题的通知》（财库[2014]68号）。</w:t>
      </w:r>
      <w:r/>
    </w:p>
    <w:p>
      <w:pPr>
        <w:ind w:firstLine="480"/>
        <w:spacing w:before="161"/>
      </w:pPr>
      <w:r>
        <w:rPr>
          <w:rFonts w:ascii="宋体" w:hAnsi="宋体" w:cs="宋体"/>
          <w:color w:val="000000"/>
          <w:sz w:val="24"/>
        </w:rPr>
        <w:t xml:space="preserve">4、残疾人福利单位、监狱企业属于小型、微型企业的，不重复享受政策。</w:t>
      </w:r>
      <w:r/>
    </w:p>
    <w:p>
      <w:pPr>
        <w:ind w:firstLine="480"/>
        <w:spacing w:before="161"/>
      </w:pPr>
      <w:r>
        <w:rPr>
          <w:rFonts w:ascii="宋体" w:hAnsi="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u w:val="single"/>
        </w:rPr>
        <w:t xml:space="preserve">4%</w:t>
      </w:r>
      <w:r>
        <w:rPr>
          <w:rFonts w:ascii="宋体" w:hAnsi="宋体" w:cs="宋体"/>
          <w:color w:val="000000"/>
          <w:sz w:val="24"/>
        </w:rPr>
        <w:t xml:space="preserve">的价格扣除，用扣除后的价格参与评审。</w:t>
      </w:r>
      <w:r/>
    </w:p>
    <w:p>
      <w:pPr>
        <w:ind w:firstLine="480"/>
        <w:spacing w:before="161" w:line="360" w:lineRule="auto"/>
        <w:rPr>
          <w:rFonts w:ascii="宋体" w:hAnsi="宋体" w:cs="宋体"/>
          <w:color w:val="000000"/>
          <w:sz w:val="24"/>
        </w:rPr>
      </w:pPr>
      <w:r>
        <w:rPr>
          <w:rFonts w:ascii="宋体" w:hAnsi="宋体" w:cs="宋体"/>
          <w:color w:val="000000"/>
          <w:sz w:val="24"/>
        </w:rPr>
        <w:t xml:space="preserve">6、联合体各方均为小型、微型企业（残疾人福利单位、监狱企业）的，联合体享受</w:t>
      </w:r>
      <w:r>
        <w:rPr>
          <w:rFonts w:ascii="宋体" w:hAnsi="宋体" w:cs="宋体"/>
          <w:color w:val="000000"/>
          <w:sz w:val="24"/>
          <w:u w:val="single"/>
        </w:rPr>
        <w:t xml:space="preserve">10%</w:t>
      </w:r>
      <w:r>
        <w:rPr>
          <w:rFonts w:ascii="宋体" w:hAnsi="宋体" w:cs="宋体"/>
          <w:color w:val="000000"/>
          <w:sz w:val="24"/>
        </w:rPr>
        <w:t xml:space="preserve">价格扣除，用扣除后的价格参与评审。</w:t>
      </w:r>
      <w:r/>
    </w:p>
    <w:p>
      <w:pPr>
        <w:ind w:firstLine="480"/>
        <w:spacing w:before="161" w:line="360" w:lineRule="auto"/>
        <w:rPr>
          <w:rFonts w:ascii="宋体" w:hAnsi="宋体" w:cs="宋体"/>
          <w:color w:val="ff0000"/>
          <w:sz w:val="24"/>
        </w:rPr>
      </w:pPr>
      <w:r>
        <w:rPr>
          <w:rFonts w:hint="eastAsia" w:ascii="宋体" w:hAnsi="宋体" w:cs="宋体"/>
          <w:color w:val="ff0000"/>
          <w:sz w:val="24"/>
        </w:rPr>
        <w:t xml:space="preserve">7、采购本国产品的支持政策（</w:t>
      </w:r>
      <w:r>
        <w:rPr>
          <w:rFonts w:hint="eastAsia" w:ascii="宋体" w:hAnsi="宋体" w:cs="宋体"/>
          <w:b/>
          <w:bCs/>
          <w:color w:val="ff0000"/>
          <w:sz w:val="24"/>
        </w:rPr>
        <w:t xml:space="preserve">本项目不适用</w:t>
      </w:r>
      <w:r>
        <w:rPr>
          <w:rFonts w:hint="eastAsia" w:ascii="宋体" w:hAnsi="宋体" w:cs="宋体"/>
          <w:color w:val="ff0000"/>
          <w:sz w:val="24"/>
        </w:rPr>
        <w:t xml:space="preserve">）</w:t>
      </w:r>
      <w:r/>
    </w:p>
    <w:p>
      <w:pPr>
        <w:ind w:firstLine="480"/>
        <w:spacing w:before="161" w:line="360" w:lineRule="auto"/>
        <w:rPr>
          <w:rFonts w:ascii="宋体" w:hAnsi="宋体" w:cs="宋体"/>
          <w:color w:val="ff0000"/>
          <w:sz w:val="24"/>
        </w:rPr>
      </w:pPr>
      <w:r>
        <w:rPr>
          <w:rFonts w:hint="eastAsia" w:ascii="宋体" w:hAnsi="宋体" w:cs="宋体"/>
          <w:color w:val="ff0000"/>
          <w:sz w:val="24"/>
        </w:rPr>
        <w:t xml:space="preserve">7.1 本项目政府采购活动中既有本国产品又有非本国产品参与竞争的，依法对本国产品给予价格评审优惠，对本国产品的报价给予  20%的价格扣除，用扣除后的价格参与评审。</w:t>
      </w:r>
      <w:r/>
    </w:p>
    <w:p>
      <w:pPr>
        <w:ind w:firstLine="480"/>
        <w:spacing w:before="161" w:line="360" w:lineRule="auto"/>
        <w:rPr>
          <w:rFonts w:ascii="宋体" w:hAnsi="宋体" w:cs="宋体"/>
          <w:color w:val="ff0000"/>
          <w:sz w:val="24"/>
        </w:rPr>
      </w:pPr>
      <w:r>
        <w:rPr>
          <w:rFonts w:hint="eastAsia" w:ascii="宋体" w:hAnsi="宋体" w:cs="宋体"/>
          <w:color w:val="ff0000"/>
          <w:sz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before="161" w:line="360" w:lineRule="auto"/>
        <w:rPr>
          <w:rFonts w:ascii="宋体" w:hAnsi="宋体" w:cs="宋体"/>
          <w:color w:val="ff0000"/>
          <w:sz w:val="24"/>
        </w:rPr>
      </w:pPr>
      <w:r>
        <w:rPr>
          <w:rFonts w:hint="eastAsia" w:ascii="宋体" w:hAnsi="宋体" w:cs="宋体"/>
          <w:color w:val="ff0000"/>
          <w:sz w:val="24"/>
        </w:rPr>
        <w:t xml:space="preserve">7.3 供应商需按照招标文件的要求提供《关于符合本国产品标准的声明函》（以下简称《声明函》），如不提供将不享受本国产品价格评审优惠。</w:t>
      </w:r>
      <w:r/>
    </w:p>
    <w:p>
      <w:pPr>
        <w:ind w:firstLine="480"/>
        <w:spacing w:before="161" w:line="360" w:lineRule="auto"/>
        <w:rPr>
          <w:rFonts w:ascii="宋体" w:hAnsi="宋体" w:cs="宋体"/>
          <w:color w:val="ff0000"/>
          <w:sz w:val="24"/>
        </w:rPr>
      </w:pPr>
      <w:r>
        <w:rPr>
          <w:rFonts w:hint="eastAsia" w:ascii="宋体" w:hAnsi="宋体" w:cs="宋体"/>
          <w:color w:val="ff0000"/>
          <w:sz w:val="24"/>
        </w:rPr>
        <w:t xml:space="preserve">7.4 供应商需在《声明函》中逐一、</w:t>
      </w:r>
      <w:r>
        <w:rPr>
          <w:rFonts w:ascii="宋体" w:hAnsi="宋体" w:cs="宋体"/>
          <w:color w:val="ff0000"/>
          <w:sz w:val="24"/>
        </w:rPr>
        <w:t xml:space="preserve">准确</w:t>
      </w:r>
      <w:r>
        <w:rPr>
          <w:rFonts w:hint="eastAsia" w:ascii="宋体" w:hAnsi="宋体" w:cs="宋体"/>
          <w:color w:val="ff0000"/>
          <w:sz w:val="24"/>
        </w:rPr>
        <w:t xml:space="preserve">填写产品名称、厂名、生产厂址三项信息（《声明函》中用斜线划除的地方无需填写），三</w:t>
      </w:r>
      <w:r>
        <w:rPr>
          <w:rFonts w:ascii="宋体" w:hAnsi="宋体" w:cs="宋体"/>
          <w:color w:val="ff0000"/>
          <w:sz w:val="24"/>
        </w:rPr>
        <w:t xml:space="preserve">项信息中</w:t>
      </w:r>
      <w:r>
        <w:rPr>
          <w:rFonts w:hint="eastAsia" w:ascii="宋体" w:hAnsi="宋体" w:cs="宋体"/>
          <w:color w:val="ff0000"/>
          <w:sz w:val="24"/>
        </w:rPr>
        <w:t xml:space="preserve">任意一项未填写的视为该项产品不符合本国产品标准，不享受本国产品价格评审优惠。</w:t>
      </w:r>
      <w:r/>
    </w:p>
    <w:p>
      <w:pPr>
        <w:ind w:firstLine="480"/>
        <w:spacing w:before="161" w:line="360" w:lineRule="auto"/>
        <w:rPr>
          <w:rFonts w:ascii="宋体" w:hAnsi="宋体" w:cs="宋体"/>
          <w:color w:val="ff0000"/>
          <w:sz w:val="24"/>
        </w:rPr>
      </w:pPr>
      <w:r>
        <w:rPr>
          <w:rFonts w:hint="eastAsia" w:ascii="宋体" w:hAnsi="宋体" w:cs="宋体"/>
          <w:color w:val="ff0000"/>
          <w:sz w:val="24"/>
        </w:rPr>
        <w:t xml:space="preserve">7.5 评标过程中，如发现供应商在《声明函》内容</w:t>
      </w:r>
      <w:r>
        <w:rPr>
          <w:rFonts w:ascii="宋体" w:hAnsi="宋体" w:cs="宋体"/>
          <w:color w:val="ff0000"/>
          <w:sz w:val="24"/>
        </w:rPr>
        <w:t xml:space="preserve">含义不明确、同类事项与投</w:t>
      </w:r>
      <w:r>
        <w:rPr>
          <w:rFonts w:hint="eastAsia" w:ascii="宋体" w:hAnsi="宋体" w:cs="宋体"/>
          <w:color w:val="ff0000"/>
          <w:sz w:val="24"/>
        </w:rPr>
        <w:t xml:space="preserve">标</w:t>
      </w:r>
      <w:r>
        <w:rPr>
          <w:rFonts w:ascii="宋体" w:hAnsi="宋体" w:cs="宋体"/>
          <w:color w:val="ff0000"/>
          <w:sz w:val="24"/>
        </w:rPr>
        <w:t xml:space="preserve">（</w:t>
      </w:r>
      <w:r>
        <w:rPr>
          <w:rFonts w:hint="eastAsia" w:ascii="宋体" w:hAnsi="宋体" w:cs="宋体"/>
          <w:color w:val="ff0000"/>
          <w:sz w:val="24"/>
        </w:rPr>
        <w:t xml:space="preserve">响应</w:t>
      </w:r>
      <w:r>
        <w:rPr>
          <w:rFonts w:ascii="宋体" w:hAnsi="宋体" w:cs="宋体"/>
          <w:color w:val="ff0000"/>
          <w:sz w:val="24"/>
        </w:rPr>
        <w:t xml:space="preserve">）</w:t>
      </w:r>
      <w:r>
        <w:rPr>
          <w:rFonts w:hint="eastAsia" w:ascii="宋体" w:hAnsi="宋体" w:cs="宋体"/>
          <w:color w:val="ff0000"/>
          <w:sz w:val="24"/>
        </w:rPr>
        <w:t xml:space="preserve">文件</w:t>
      </w:r>
      <w:r>
        <w:rPr>
          <w:rFonts w:ascii="宋体" w:hAnsi="宋体" w:cs="宋体"/>
          <w:color w:val="ff0000"/>
          <w:sz w:val="24"/>
        </w:rPr>
        <w:t xml:space="preserve">表述不一致或者有</w:t>
      </w:r>
      <w:r>
        <w:rPr>
          <w:rFonts w:hint="eastAsia" w:ascii="宋体" w:hAnsi="宋体" w:cs="宋体"/>
          <w:color w:val="ff0000"/>
          <w:sz w:val="24"/>
        </w:rPr>
        <w:t xml:space="preserve">明显</w:t>
      </w:r>
      <w:r>
        <w:rPr>
          <w:rFonts w:ascii="宋体" w:hAnsi="宋体" w:cs="宋体"/>
          <w:color w:val="ff0000"/>
          <w:sz w:val="24"/>
        </w:rPr>
        <w:t xml:space="preserve">文字错误等情况的</w:t>
      </w:r>
      <w:r>
        <w:rPr>
          <w:rFonts w:hint="eastAsia" w:ascii="宋体" w:hAnsi="宋体" w:cs="宋体"/>
          <w:color w:val="ff0000"/>
          <w:sz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before="161" w:line="360" w:lineRule="auto"/>
        <w:rPr>
          <w:rFonts w:ascii="宋体" w:hAnsi="宋体" w:cs="宋体"/>
          <w:color w:val="ff0000"/>
          <w:sz w:val="24"/>
        </w:rPr>
      </w:pPr>
      <w:r>
        <w:rPr>
          <w:rFonts w:ascii="宋体" w:hAnsi="宋体" w:cs="宋体"/>
          <w:color w:val="ff0000"/>
          <w:sz w:val="24"/>
        </w:rPr>
        <w:t xml:space="preserve">7.6</w:t>
      </w:r>
      <w:r>
        <w:rPr>
          <w:rFonts w:hint="eastAsia" w:ascii="宋体" w:hAnsi="宋体" w:cs="宋体"/>
          <w:color w:val="ff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before="161" w:line="360" w:lineRule="auto"/>
        <w:rPr>
          <w:rFonts w:ascii="宋体" w:hAnsi="宋体" w:cs="宋体"/>
          <w:color w:val="ff0000"/>
          <w:sz w:val="24"/>
        </w:rPr>
      </w:pPr>
      <w:r>
        <w:rPr>
          <w:rFonts w:ascii="宋体" w:hAnsi="宋体" w:cs="宋体"/>
          <w:color w:val="ff0000"/>
          <w:sz w:val="24"/>
        </w:rPr>
        <w:t xml:space="preserve">7.7</w:t>
      </w:r>
      <w:r>
        <w:rPr>
          <w:rFonts w:hint="eastAsia" w:ascii="宋体" w:hAnsi="宋体" w:cs="宋体"/>
          <w:color w:val="ff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51"/>
        <w:rPr>
          <w:color w:val="000000" w:themeColor="text1"/>
          <w14:textFill>
            <w14:solidFill>
              <w14:schemeClr w14:val="tx1"/>
            </w14:solidFill>
          </w14:textFill>
        </w:rPr>
      </w:pPr>
      <w:r>
        <w:rPr>
          <w:color w:val="000000" w:themeColor="text1"/>
          <w14:textFill>
            <w14:solidFill>
              <w14:schemeClr w14:val="tx1"/>
            </w14:solidFill>
          </w14:textFill>
        </w:rPr>
      </w:r>
      <w:r/>
    </w:p>
    <w:p>
      <w:pPr>
        <w:ind w:firstLine="482"/>
        <w:spacing w:line="360" w:lineRule="auto"/>
        <w:rPr>
          <w:color w:val="000000" w:themeColor="text1"/>
          <w14:textFill>
            <w14:solidFill>
              <w14:schemeClr w14:val="tx1"/>
            </w14:solidFill>
          </w14:textFill>
        </w:rPr>
        <w:outlineLvl w:val="1"/>
      </w:pPr>
      <w:r/>
      <w:bookmarkStart w:id="12" w:name="_Toc24524"/>
      <w:r/>
      <w:bookmarkStart w:id="13" w:name="_Toc21141"/>
      <w:r/>
      <w:bookmarkStart w:id="14" w:name="_Toc21053"/>
      <w:r/>
      <w:bookmarkStart w:id="15" w:name="_Toc7136"/>
      <w:r/>
      <w:bookmarkStart w:id="16" w:name="_Toc194500890"/>
      <w:r>
        <w:rPr>
          <w:rFonts w:ascii="宋体" w:hAnsi="宋体" w:cs="宋体"/>
          <w:b/>
          <w:color w:val="000000" w:themeColor="text1"/>
          <w:sz w:val="24"/>
          <w14:textFill>
            <w14:solidFill>
              <w14:schemeClr w14:val="tx1"/>
            </w14:solidFill>
          </w14:textFill>
        </w:rPr>
        <w:t xml:space="preserve">符合性审查内容</w:t>
      </w:r>
      <w:bookmarkEnd w:id="12"/>
      <w:r/>
      <w:bookmarkEnd w:id="13"/>
      <w:r/>
      <w:bookmarkEnd w:id="14"/>
      <w:r/>
      <w:bookmarkEnd w:id="15"/>
      <w:r/>
      <w:bookmarkEnd w:id="16"/>
      <w:r/>
      <w:r/>
    </w:p>
    <w:p>
      <w:pP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（在综合评审之前，评标委员会应当对通过资格审查的投标人的投标文件进行符合性审查；投标文件存在下列情况之一的，属于重大偏差，投标文件无效）</w:t>
      </w:r>
      <w:r/>
    </w:p>
    <w:p>
      <w:pPr>
        <w:numPr>
          <w:ilvl w:val="0"/>
          <w:numId w:val="5"/>
        </w:numPr>
        <w:ind w:firstLine="482"/>
        <w:rPr>
          <w:rFonts w:ascii="宋体" w:hAnsi="宋体"/>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报价要求：</w:t>
      </w:r>
      <w:r>
        <w:rPr>
          <w:rFonts w:hint="eastAsia" w:ascii="宋体" w:hAnsi="宋体" w:cs="宋体"/>
          <w:iCs/>
          <w:color w:val="000000" w:themeColor="text1"/>
          <w:sz w:val="24"/>
          <w14:textFill>
            <w14:solidFill>
              <w14:schemeClr w14:val="tx1"/>
            </w14:solidFill>
          </w14:textFill>
        </w:rPr>
        <w:t xml:space="preserve">具体要求详见报价表要求。</w:t>
      </w:r>
      <w:r/>
    </w:p>
    <w:p>
      <w:pPr>
        <w:numPr>
          <w:ilvl w:val="0"/>
          <w:numId w:val="5"/>
        </w:numPr>
        <w:ind w:firstLine="482"/>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商务要求：</w:t>
      </w:r>
      <w:r/>
    </w:p>
    <w:p>
      <w:pPr>
        <w:ind w:firstLine="480"/>
        <w:spacing w:before="120"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《第六章投标文件格式》中“投标文件构成”有实质性缺漏的；</w:t>
      </w:r>
      <w:r/>
    </w:p>
    <w:p>
      <w:pPr>
        <w:ind w:firstLine="480"/>
        <w:spacing w:before="1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2</w:t>
      </w:r>
      <w:bookmarkStart w:id="17" w:name="_Hlk214887241"/>
      <w:r>
        <w:rPr>
          <w:rFonts w:hint="eastAsia" w:ascii="宋体" w:hAnsi="宋体"/>
          <w:color w:val="000000" w:themeColor="text1"/>
          <w:sz w:val="24"/>
          <w14:textFill>
            <w14:solidFill>
              <w14:schemeClr w14:val="tx1"/>
            </w14:solidFill>
          </w14:textFill>
        </w:rPr>
        <w:t xml:space="preserve">响应文件签字、盖章符合文件要求；</w:t>
      </w:r>
      <w:bookmarkEnd w:id="17"/>
      <w:r/>
      <w:r/>
    </w:p>
    <w:p>
      <w:pPr>
        <w:ind w:firstLine="480"/>
        <w:spacing w:before="1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2.3出现备选投标方案的；</w:t>
      </w:r>
      <w:r/>
    </w:p>
    <w:p>
      <w:pPr>
        <w:ind w:firstLine="480"/>
        <w:spacing w:before="1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2.4出现采购人不能接受的附加条件的；</w:t>
      </w:r>
      <w:r/>
    </w:p>
    <w:p>
      <w:pPr>
        <w:ind w:firstLine="480"/>
        <w:spacing w:before="1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投标文件出现法律、法规和招标文件规定的其他无效情形；</w:t>
      </w:r>
      <w:r/>
    </w:p>
    <w:p>
      <w:pPr>
        <w:numPr>
          <w:ilvl w:val="0"/>
          <w:numId w:val="5"/>
        </w:numPr>
        <w:ind w:firstLine="482"/>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技术要求：</w:t>
      </w:r>
      <w:r/>
    </w:p>
    <w:p>
      <w:pPr>
        <w:ind w:firstLine="480"/>
        <w:spacing w:before="12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3.1</w:t>
      </w:r>
      <w:r>
        <w:rPr>
          <w:rFonts w:hint="eastAsia" w:ascii="宋体" w:hAnsi="宋体"/>
          <w:color w:val="000000" w:themeColor="text1"/>
          <w:sz w:val="24"/>
          <w14:textFill>
            <w14:solidFill>
              <w14:schemeClr w14:val="tx1"/>
            </w14:solidFill>
          </w14:textFill>
        </w:rPr>
        <w:t xml:space="preserve">《技术、商务条款偏离表》中★条款出现任何负偏离的。</w:t>
      </w:r>
      <w:r/>
    </w:p>
    <w:p>
      <w:pPr>
        <w:pStyle w:val="751"/>
        <w:rPr>
          <w:color w:val="000000" w:themeColor="text1"/>
          <w14:textFill>
            <w14:solidFill>
              <w14:schemeClr w14:val="tx1"/>
            </w14:solidFill>
          </w14:textFill>
        </w:rPr>
      </w:pPr>
      <w:r>
        <w:rPr>
          <w:color w:val="000000" w:themeColor="text1"/>
          <w14:textFill>
            <w14:solidFill>
              <w14:schemeClr w14:val="tx1"/>
            </w14:solidFill>
          </w14:textFill>
        </w:rPr>
      </w:r>
      <w:r/>
    </w:p>
    <w:p>
      <w:pPr>
        <w:ind w:firstLine="482"/>
        <w:spacing w:line="360" w:lineRule="auto"/>
        <w:rPr>
          <w:rFonts w:ascii="宋体" w:hAnsi="宋体" w:cs="宋体"/>
          <w:b/>
          <w:color w:val="000000" w:themeColor="text1"/>
          <w:sz w:val="24"/>
          <w14:textFill>
            <w14:solidFill>
              <w14:schemeClr w14:val="tx1"/>
            </w14:solidFill>
          </w14:textFill>
        </w:rPr>
        <w:outlineLvl w:val="1"/>
      </w:pPr>
      <w:r>
        <w:rPr>
          <w:rFonts w:hint="eastAsia" w:ascii="宋体" w:hAnsi="宋体" w:cs="宋体"/>
          <w:b/>
          <w:color w:val="000000" w:themeColor="text1"/>
          <w:sz w:val="24"/>
          <w14:textFill>
            <w14:solidFill>
              <w14:schemeClr w14:val="tx1"/>
            </w14:solidFill>
          </w14:textFill>
        </w:rPr>
        <w:t xml:space="preserve">评标方法与评标标准</w:t>
      </w:r>
      <w:r/>
    </w:p>
    <w:tbl>
      <w:tblPr>
        <w:tblStyle w:val="745"/>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37"/>
        <w:gridCol w:w="936"/>
      </w:tblGrid>
      <w:tr>
        <w:trPr>
          <w:jc w:val="center"/>
          <w:trHeight w:val="255"/>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评审因素</w:t>
            </w:r>
            <w:r/>
          </w:p>
        </w:tc>
        <w:tc>
          <w:tcPr>
            <w:tcBorders>
              <w:top w:val="single" w:color="auto" w:sz="4" w:space="0"/>
              <w:left w:val="single" w:color="auto" w:sz="4" w:space="0"/>
              <w:bottom w:val="single" w:color="auto" w:sz="4" w:space="0"/>
              <w:right w:val="single" w:color="auto" w:sz="4" w:space="0"/>
            </w:tcBorders>
            <w:tcW w:w="7437" w:type="dxa"/>
            <w:vAlign w:val="center"/>
            <w:textDirection w:val="lrTb"/>
            <w:noWrap w:val="false"/>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评分标准</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分值（分）</w:t>
            </w:r>
            <w:r/>
          </w:p>
        </w:tc>
      </w:tr>
      <w:tr>
        <w:trPr>
          <w:jc w:val="center"/>
          <w:trHeight w:val="255"/>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after="0" w:line="24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价格</w:t>
            </w:r>
            <w:r/>
          </w:p>
        </w:tc>
        <w:tc>
          <w:tcPr>
            <w:tcBorders>
              <w:top w:val="single" w:color="auto" w:sz="4" w:space="0"/>
              <w:left w:val="single" w:color="auto" w:sz="4" w:space="0"/>
              <w:bottom w:val="single" w:color="auto" w:sz="4" w:space="0"/>
              <w:right w:val="single" w:color="auto" w:sz="4" w:space="0"/>
            </w:tcBorders>
            <w:tcW w:w="7437" w:type="dxa"/>
            <w:vAlign w:val="center"/>
            <w:textDirection w:val="lrTb"/>
            <w:noWrap w:val="false"/>
          </w:tcPr>
          <w:p>
            <w:pPr>
              <w:spacing w:after="0" w:line="276"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价格分采用低价优先法计算，即满足投标文件要求且价格最低的投标报价为评标基准价，其价格分为满分10分。其他投标人的价格分按照下列公式计算，保留小数点后2位：</w:t>
            </w:r>
            <w:r>
              <w:rPr>
                <w:rFonts w:hint="eastAsia" w:ascii="宋体" w:hAnsi="宋体" w:cs="宋体"/>
                <w:color w:val="000000" w:themeColor="text1"/>
                <w:sz w:val="24"/>
                <w14:textFill>
                  <w14:solidFill>
                    <w14:schemeClr w14:val="tx1"/>
                  </w14:solidFill>
                </w14:textFill>
              </w:rPr>
              <w:t xml:space="preserve">投标报价得分=（评标基准价／投标报价）×10</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w:t>
            </w:r>
            <w:r/>
          </w:p>
        </w:tc>
      </w:tr>
      <w:tr>
        <w:trPr>
          <w:jc w:val="center"/>
          <w:trHeight w:val="2565"/>
        </w:trPr>
        <w:tc>
          <w:tcPr>
            <w:tcBorders>
              <w:top w:val="single" w:color="auto" w:sz="4" w:space="0"/>
              <w:left w:val="single" w:color="auto" w:sz="4" w:space="0"/>
              <w:right w:val="single" w:color="auto" w:sz="4" w:space="0"/>
            </w:tcBorders>
            <w:tcW w:w="1266" w:type="dxa"/>
            <w:vAlign w:val="center"/>
            <w:vMerge w:val="restart"/>
            <w:textDirection w:val="lrTb"/>
            <w:noWrap w:val="false"/>
          </w:tcPr>
          <w:p>
            <w:pPr>
              <w:jc w:val="center"/>
              <w:spacing w:after="0" w:line="24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业绩及满意度</w:t>
            </w:r>
            <w:r/>
          </w:p>
        </w:tc>
        <w:tc>
          <w:tcPr>
            <w:tcBorders>
              <w:top w:val="single" w:color="auto" w:sz="4" w:space="0"/>
              <w:left w:val="single" w:color="auto" w:sz="4" w:space="0"/>
              <w:bottom w:val="single" w:color="auto" w:sz="4" w:space="0"/>
              <w:right w:val="single" w:color="auto" w:sz="4" w:space="0"/>
            </w:tcBorders>
            <w:tcW w:w="7437" w:type="dxa"/>
            <w:vAlign w:val="center"/>
            <w:textDirection w:val="lrTb"/>
            <w:noWrap w:val="false"/>
          </w:tcPr>
          <w:p>
            <w:pPr>
              <w:pStyle w:val="754"/>
              <w:ind w:left="0"/>
              <w:jc w:val="left"/>
              <w:spacing w:line="276"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1、由评委根据投标文件中提供所投服务的业绩情况进行评审：</w:t>
            </w:r>
            <w:r/>
          </w:p>
          <w:p>
            <w:pPr>
              <w:pStyle w:val="754"/>
              <w:ind w:left="0"/>
              <w:jc w:val="left"/>
              <w:spacing w:line="276"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人提供类似本项目（至少包含电及燃气承包）合同业绩，且提供对应合同服务期内任意一次结算发票（例如服务费发票、电费、燃气费用发票等），每提供一份有效业绩得3分，最高得15分，未提供或有缺漏的不得分。</w:t>
            </w:r>
            <w:r/>
          </w:p>
          <w:p>
            <w:pPr>
              <w:pStyle w:val="754"/>
              <w:ind w:left="0"/>
              <w:jc w:val="left"/>
              <w:spacing w:line="276" w:lineRule="auto"/>
              <w:rPr>
                <w:rFonts w:ascii="宋体" w:hAnsi="宋体" w:cs="宋体"/>
                <w:color w:val="000000" w:themeColor="text1"/>
                <w:sz w:val="24"/>
                <w:szCs w:val="24"/>
                <w14:textFill>
                  <w14:solidFill>
                    <w14:schemeClr w14:val="tx1"/>
                  </w14:solidFill>
                </w14:textFill>
              </w:rPr>
            </w:pPr>
            <w:r>
              <w:rPr>
                <w:rFonts w:hint="eastAsia" w:ascii="宋体" w:hAnsi="宋体"/>
                <w:b/>
                <w:bCs w:val="0"/>
                <w:color w:val="000000" w:themeColor="text1"/>
                <w:sz w:val="24"/>
                <w14:textFill>
                  <w14:solidFill>
                    <w14:schemeClr w14:val="tx1"/>
                  </w14:solidFill>
                </w14:textFill>
              </w:rPr>
              <w:t xml:space="preserve">由投标人提供经营业绩情况说明列表，合同内容包括但不限于采购方名称、服务期限、合同金额、签订时间</w:t>
            </w:r>
            <w:bookmarkStart w:id="28" w:name="_GoBack"/>
            <w:r/>
            <w:bookmarkEnd w:id="28"/>
            <w:r>
              <w:rPr>
                <w:rFonts w:hint="eastAsia" w:ascii="宋体" w:hAnsi="宋体"/>
                <w:b/>
                <w:bCs w:val="0"/>
                <w:color w:val="000000" w:themeColor="text1"/>
                <w:sz w:val="24"/>
                <w14:textFill>
                  <w14:solidFill>
                    <w14:schemeClr w14:val="tx1"/>
                  </w14:solidFill>
                </w14:textFill>
              </w:rPr>
              <w:t xml:space="preserve">等。同一采购方业绩不重复得分。</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w:t>
            </w:r>
            <w:r/>
          </w:p>
        </w:tc>
      </w:tr>
      <w:tr>
        <w:trPr>
          <w:jc w:val="center"/>
          <w:trHeight w:val="1036"/>
        </w:trPr>
        <w:tc>
          <w:tcPr>
            <w:tcBorders>
              <w:left w:val="single" w:color="auto" w:sz="4" w:space="0"/>
              <w:bottom w:val="single" w:color="auto" w:sz="4" w:space="0"/>
              <w:right w:val="single" w:color="auto" w:sz="4" w:space="0"/>
            </w:tcBorders>
            <w:tcW w:w="1266" w:type="dxa"/>
            <w:vAlign w:val="center"/>
            <w:vMerge w:val="continue"/>
            <w:textDirection w:val="lrTb"/>
            <w:noWrap w:val="false"/>
          </w:tcPr>
          <w:p>
            <w:pPr>
              <w:jc w:val="center"/>
              <w:spacing w:after="0" w:line="24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437" w:type="dxa"/>
            <w:vAlign w:val="center"/>
            <w:textDirection w:val="lrTb"/>
            <w:noWrap w:val="false"/>
          </w:tcPr>
          <w:p>
            <w:pPr>
              <w:spacing w:after="0"/>
              <w:rPr>
                <w:rFonts w:ascii="宋体" w:hAnsi="宋体" w:cs="宋体"/>
                <w:b/>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2、投标人提供上述有效业绩相对应的业主单位出具的服务满意或优秀或同等级的评价证明材料，每提供一个证明材料得2分，最高得</w:t>
            </w:r>
            <w:r>
              <w:rPr>
                <w:rFonts w:ascii="宋体" w:hAnsi="宋体"/>
                <w:bCs/>
                <w:color w:val="000000" w:themeColor="text1"/>
                <w:sz w:val="24"/>
                <w14:textFill>
                  <w14:solidFill>
                    <w14:schemeClr w14:val="tx1"/>
                  </w14:solidFill>
                </w14:textFill>
              </w:rPr>
              <w:t xml:space="preserve">10</w:t>
            </w:r>
            <w:r>
              <w:rPr>
                <w:rFonts w:hint="eastAsia" w:ascii="宋体" w:hAnsi="宋体"/>
                <w:bCs/>
                <w:color w:val="000000" w:themeColor="text1"/>
                <w:sz w:val="24"/>
                <w14:textFill>
                  <w14:solidFill>
                    <w14:schemeClr w14:val="tx1"/>
                  </w14:solidFill>
                </w14:textFill>
              </w:rPr>
              <w:t xml:space="preserve">分（评价证明材料需加盖业主单位公章，提供出具单位的联系人和联系方式）。</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10</w:t>
            </w:r>
            <w:r/>
          </w:p>
        </w:tc>
      </w:tr>
      <w:tr>
        <w:trPr>
          <w:jc w:val="center"/>
          <w:trHeight w:val="255"/>
        </w:trPr>
        <w:tc>
          <w:tcPr>
            <w:tcBorders>
              <w:top w:val="single" w:color="auto" w:sz="4" w:space="0"/>
              <w:left w:val="single" w:color="auto" w:sz="4" w:space="0"/>
              <w:right w:val="single" w:color="auto" w:sz="4" w:space="0"/>
            </w:tcBorders>
            <w:tcW w:w="1266" w:type="dxa"/>
            <w:vAlign w:val="center"/>
            <w:textDirection w:val="lrTb"/>
            <w:noWrap w:val="false"/>
          </w:tcPr>
          <w:p>
            <w:pPr>
              <w:jc w:val="center"/>
              <w:spacing w:after="0" w:line="24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人员配置</w:t>
            </w:r>
            <w:r/>
          </w:p>
        </w:tc>
        <w:tc>
          <w:tcPr>
            <w:tcBorders>
              <w:top w:val="single" w:color="auto" w:sz="4" w:space="0"/>
              <w:left w:val="single" w:color="auto" w:sz="4" w:space="0"/>
              <w:bottom w:val="single" w:color="auto" w:sz="4" w:space="0"/>
              <w:right w:val="single" w:color="auto" w:sz="4" w:space="0"/>
            </w:tcBorders>
            <w:tcW w:w="7437" w:type="dxa"/>
            <w:vAlign w:val="center"/>
            <w:textDirection w:val="lrTb"/>
            <w:noWrap w:val="false"/>
          </w:tcPr>
          <w:p>
            <w:pPr>
              <w:spacing w:after="0" w:line="276"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投标人提供项目运维团队组织架构，配置符合国家和行业规定的运营服务人员，评委对投标人拟派驻的服务团队中人员情况进行评分：</w:t>
            </w:r>
            <w:r/>
          </w:p>
          <w:p>
            <w:pPr>
              <w:spacing w:after="0" w:line="276"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人需提供相应人员的以下证明材料：①投标人在投标文件递交截止时间前六个月内任一月份为其缴纳社保的证明；②相关身份证、职称、资质证书复印件。未按要求提供证明材料的，不得分。一人多证可跨项重复统计。</w:t>
            </w:r>
            <w:r/>
          </w:p>
          <w:p>
            <w:pPr>
              <w:pStyle w:val="828"/>
              <w:numPr>
                <w:ilvl w:val="0"/>
                <w:numId w:val="6"/>
              </w:numPr>
              <w:spacing w:after="0" w:line="276"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 项目负责人同时具备特种设备安全管理证（A证）及高压电工作业证，得4分；</w:t>
            </w:r>
            <w:r/>
          </w:p>
          <w:p>
            <w:pPr>
              <w:spacing w:after="0" w:line="276"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② 2人及以上持有中级以上职称的专业技术资格（电气、电子、空调制冷、工程管理等相关专业）职业资格证书，得2分；</w:t>
            </w:r>
            <w:r/>
          </w:p>
          <w:p>
            <w:pPr>
              <w:spacing w:after="0" w:line="276"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③ 3人及以上持有锅炉司炉证（G1），得2分；</w:t>
            </w:r>
            <w:r/>
          </w:p>
          <w:p>
            <w:pPr>
              <w:spacing w:after="0" w:line="276"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④ 3人及以上持有锅炉水处理证（G3），得2分；</w:t>
            </w:r>
            <w:r/>
          </w:p>
          <w:p>
            <w:pPr>
              <w:spacing w:after="0" w:line="276"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⑤ 6人及以上持有高压电工证，得2分。</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w:t>
            </w:r>
            <w:r/>
          </w:p>
        </w:tc>
      </w:tr>
      <w:tr>
        <w:trPr>
          <w:jc w:val="center"/>
          <w:trHeight w:val="1687"/>
        </w:trPr>
        <w:tc>
          <w:tcPr>
            <w:tcBorders>
              <w:top w:val="single" w:color="auto" w:sz="4" w:space="0"/>
              <w:left w:val="single" w:color="auto" w:sz="4" w:space="0"/>
              <w:right w:val="single" w:color="auto" w:sz="4" w:space="0"/>
            </w:tcBorders>
            <w:tcW w:w="1266" w:type="dxa"/>
            <w:vAlign w:val="center"/>
            <w:textDirection w:val="lrTb"/>
            <w:noWrap w:val="false"/>
          </w:tcPr>
          <w:p>
            <w:pPr>
              <w:jc w:val="center"/>
              <w:spacing w:after="0" w:line="24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项目负责人业绩</w:t>
            </w:r>
            <w:r/>
          </w:p>
        </w:tc>
        <w:tc>
          <w:tcPr>
            <w:tcBorders>
              <w:top w:val="single" w:color="auto" w:sz="4" w:space="0"/>
              <w:left w:val="single" w:color="auto" w:sz="4" w:space="0"/>
              <w:bottom w:val="single" w:color="auto" w:sz="4" w:space="0"/>
              <w:right w:val="single" w:color="auto" w:sz="4" w:space="0"/>
            </w:tcBorders>
            <w:tcW w:w="7437" w:type="dxa"/>
            <w:vAlign w:val="center"/>
            <w:textDirection w:val="lrTb"/>
            <w:noWrap w:val="false"/>
          </w:tcPr>
          <w:p>
            <w:pPr>
              <w:spacing w:after="0" w:line="24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项目负责人拥有类似规模项目（服务面积不低于5万㎡）运营服务经历满3年的，得</w:t>
            </w:r>
            <w:r>
              <w:rPr>
                <w:rFonts w:ascii="宋体" w:hAnsi="宋体"/>
                <w:bCs/>
                <w:color w:val="000000" w:themeColor="text1"/>
                <w:sz w:val="24"/>
                <w14:textFill>
                  <w14:solidFill>
                    <w14:schemeClr w14:val="tx1"/>
                  </w14:solidFill>
                </w14:textFill>
              </w:rPr>
              <w:t xml:space="preserve">5</w:t>
            </w:r>
            <w:r>
              <w:rPr>
                <w:rFonts w:hint="eastAsia" w:ascii="宋体" w:hAnsi="宋体"/>
                <w:bCs/>
                <w:color w:val="000000" w:themeColor="text1"/>
                <w:sz w:val="24"/>
                <w14:textFill>
                  <w14:solidFill>
                    <w14:schemeClr w14:val="tx1"/>
                  </w14:solidFill>
                </w14:textFill>
              </w:rPr>
              <w:t xml:space="preserve">分，不满足不得分。</w:t>
            </w:r>
            <w:r/>
          </w:p>
          <w:p>
            <w:pPr>
              <w:spacing w:after="0" w:line="240" w:lineRule="auto"/>
              <w:rPr>
                <w:color w:val="000000" w:themeColor="text1"/>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证明要求：提供业绩合同相关页复印件（或提供业主单位盖章的工作经验证明材料），以及投标人在投标文件递交截止时间前六个月内任一月份为其缴纳社保的证明，缺一不可，未提供不得分。</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5</w:t>
            </w:r>
            <w:r/>
          </w:p>
        </w:tc>
      </w:tr>
      <w:tr>
        <w:trPr>
          <w:jc w:val="center"/>
          <w:trHeight w:val="940"/>
        </w:trPr>
        <w:tc>
          <w:tcPr>
            <w:tcBorders>
              <w:top w:val="single" w:color="auto" w:sz="4" w:space="0"/>
              <w:left w:val="single" w:color="auto" w:sz="4" w:space="0"/>
              <w:right w:val="single" w:color="auto" w:sz="4" w:space="0"/>
            </w:tcBorders>
            <w:tcW w:w="1266" w:type="dxa"/>
            <w:vAlign w:val="center"/>
            <w:textDirection w:val="lrTb"/>
            <w:noWrap w:val="false"/>
          </w:tcPr>
          <w:p>
            <w:pPr>
              <w:jc w:val="center"/>
              <w:spacing w:line="24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履约能力</w:t>
            </w:r>
            <w:r/>
          </w:p>
        </w:tc>
        <w:tc>
          <w:tcPr>
            <w:tcBorders>
              <w:top w:val="single" w:color="auto" w:sz="4" w:space="0"/>
              <w:left w:val="single" w:color="auto" w:sz="4" w:space="0"/>
              <w:bottom w:val="single" w:color="auto" w:sz="4" w:space="0"/>
              <w:right w:val="single" w:color="auto" w:sz="4" w:space="0"/>
            </w:tcBorders>
            <w:tcW w:w="7437" w:type="dxa"/>
            <w:vAlign w:val="center"/>
            <w:textDirection w:val="lrTb"/>
            <w:noWrap w:val="false"/>
          </w:tcPr>
          <w:p>
            <w:pPr>
              <w:spacing w:line="24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投标人具有离心式冷水机组、燃气锅炉、风冷热泵、太阳能热水系统</w:t>
            </w:r>
            <w:r/>
          </w:p>
          <w:p>
            <w:pPr>
              <w:spacing w:line="24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的设备运维能力，提供含有上述设备运维内容的合同复印件或能体现上述设备运维内容的相关证明文件，每拥有1项运维能力得2分，最高得8分。</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8</w:t>
            </w:r>
            <w:r/>
          </w:p>
        </w:tc>
      </w:tr>
      <w:tr>
        <w:trPr>
          <w:jc w:val="center"/>
          <w:trHeight w:val="255"/>
        </w:trPr>
        <w:tc>
          <w:tcPr>
            <w:tcBorders>
              <w:top w:val="single" w:color="auto" w:sz="4" w:space="0"/>
              <w:left w:val="single" w:color="auto" w:sz="4" w:space="0"/>
              <w:right w:val="single" w:color="auto" w:sz="4" w:space="0"/>
            </w:tcBorders>
            <w:tcW w:w="1266" w:type="dxa"/>
            <w:vAlign w:val="center"/>
            <w:vMerge w:val="restart"/>
            <w:textDirection w:val="lrTb"/>
            <w:noWrap w:val="false"/>
          </w:tcPr>
          <w:p>
            <w:pPr>
              <w:jc w:val="center"/>
              <w:spacing w:after="0" w:line="24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节能改造方案</w:t>
            </w:r>
            <w:r/>
          </w:p>
        </w:tc>
        <w:tc>
          <w:tcPr>
            <w:tcBorders>
              <w:top w:val="single" w:color="auto" w:sz="4" w:space="0"/>
              <w:left w:val="single" w:color="auto" w:sz="4" w:space="0"/>
              <w:bottom w:val="single" w:color="auto" w:sz="4" w:space="0"/>
              <w:right w:val="single" w:color="auto" w:sz="4" w:space="0"/>
            </w:tcBorders>
            <w:tcW w:w="7437" w:type="dxa"/>
            <w:vAlign w:val="center"/>
            <w:textDirection w:val="lrTb"/>
            <w:noWrap w:val="false"/>
          </w:tcPr>
          <w:p>
            <w:pPr>
              <w:spacing w:after="0" w:line="276"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投标人结合现场踏勘情况提交节能诊断分析，内容须涵盖能耗分析、空调、锅炉、热水主要用能设备能效评估、系统运行工况分析。方案要素齐全、数据翔实、分析科学合理、贴合项目现场实际，得</w:t>
            </w:r>
            <w:r>
              <w:rPr>
                <w:rFonts w:ascii="宋体" w:hAnsi="宋体"/>
                <w:bCs/>
                <w:color w:val="000000" w:themeColor="text1"/>
                <w:sz w:val="24"/>
                <w14:textFill>
                  <w14:solidFill>
                    <w14:schemeClr w14:val="tx1"/>
                  </w14:solidFill>
                </w14:textFill>
              </w:rPr>
              <w:t xml:space="preserve">4分；具备相关诊断内容，但论证深度不足、科学合理性一般，仅基本满足需求，得2分；无节能诊断方案，不得分</w:t>
            </w:r>
            <w:r>
              <w:rPr>
                <w:rFonts w:hint="eastAsia" w:ascii="宋体" w:hAnsi="宋体"/>
                <w:bCs/>
                <w:color w:val="000000" w:themeColor="text1"/>
                <w:sz w:val="24"/>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r>
      <w:tr>
        <w:trPr>
          <w:jc w:val="center"/>
          <w:trHeight w:val="1925"/>
        </w:trPr>
        <w:tc>
          <w:tcPr>
            <w:tcBorders>
              <w:left w:val="single" w:color="auto" w:sz="4" w:space="0"/>
              <w:right w:val="single" w:color="auto" w:sz="4" w:space="0"/>
            </w:tcBorders>
            <w:tcW w:w="1266" w:type="dxa"/>
            <w:vAlign w:val="center"/>
            <w:vMerge w:val="continue"/>
            <w:textDirection w:val="lrTb"/>
            <w:noWrap w:val="false"/>
          </w:tcPr>
          <w:p>
            <w:pPr>
              <w:jc w:val="center"/>
              <w:spacing w:after="0" w:line="24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437" w:type="dxa"/>
            <w:vAlign w:val="center"/>
            <w:textDirection w:val="lrTb"/>
            <w:noWrap w:val="false"/>
          </w:tcPr>
          <w:p>
            <w:pPr>
              <w:spacing w:after="0" w:line="276"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根据投标人提供的节能改造方案，包含实施方案与现场配合、改造施工过程中的重难点描述及采取的针对性措施、质量保证措施、施工总体进度计划及保证措施、文明施工保证措施等。方案体系完整、内容翔实、逻辑严谨，贴合项目实际需求，技术路线科学合理、落地性强，得4分；方案内容基本齐全，可满足项目基础改造需求，但技术论证浅显、针对性不足、科学合理性一般，存在一定优化空间，得2分；未提供节能改造方案或方案内容空缺、无效的，本项不得分。</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r>
      <w:tr>
        <w:trPr>
          <w:jc w:val="center"/>
          <w:trHeight w:val="494"/>
        </w:trPr>
        <w:tc>
          <w:tcPr>
            <w:tcBorders>
              <w:top w:val="single" w:color="auto" w:sz="4" w:space="0"/>
              <w:left w:val="single" w:color="auto" w:sz="4" w:space="0"/>
              <w:right w:val="single" w:color="auto" w:sz="4" w:space="0"/>
            </w:tcBorders>
            <w:tcW w:w="1266" w:type="dxa"/>
            <w:vAlign w:val="center"/>
            <w:vMerge w:val="restart"/>
            <w:textDirection w:val="lrTb"/>
            <w:noWrap w:val="false"/>
          </w:tcPr>
          <w:p>
            <w:pPr>
              <w:jc w:val="center"/>
              <w:spacing w:after="0" w:line="240" w:lineRule="auto"/>
              <w:rPr>
                <w:rFonts w:ascii="宋体" w:hAnsi="宋体" w:cs="宋体"/>
                <w:color w:val="000000" w:themeColor="text1"/>
                <w:sz w:val="24"/>
                <w14:textFill>
                  <w14:solidFill>
                    <w14:schemeClr w14:val="tx1"/>
                  </w14:solidFill>
                </w14:textFill>
              </w:rPr>
            </w:pPr>
            <w:r/>
            <w:bookmarkStart w:id="18" w:name="_Hlk213635243"/>
            <w:r>
              <w:rPr>
                <w:rFonts w:hint="eastAsia" w:ascii="宋体" w:hAnsi="宋体" w:cs="宋体"/>
                <w:color w:val="000000" w:themeColor="text1"/>
                <w:sz w:val="24"/>
                <w14:textFill>
                  <w14:solidFill>
                    <w14:schemeClr w14:val="tx1"/>
                  </w14:solidFill>
                </w14:textFill>
              </w:rPr>
              <w:t xml:space="preserve">运维服务方案</w:t>
            </w:r>
            <w:r/>
          </w:p>
        </w:tc>
        <w:tc>
          <w:tcPr>
            <w:tcBorders>
              <w:top w:val="single" w:color="auto" w:sz="4" w:space="0"/>
              <w:left w:val="single" w:color="auto" w:sz="4" w:space="0"/>
              <w:bottom w:val="single" w:color="auto" w:sz="4" w:space="0"/>
              <w:right w:val="single" w:color="auto" w:sz="4" w:space="0"/>
            </w:tcBorders>
            <w:tcW w:w="7437" w:type="dxa"/>
            <w:vAlign w:val="center"/>
            <w:textDirection w:val="lrTb"/>
            <w:noWrap w:val="false"/>
          </w:tcPr>
          <w:p>
            <w:pPr>
              <w:spacing w:after="0" w:line="276"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中央空调主设备、锅炉维保方案</w:t>
            </w:r>
            <w:r/>
          </w:p>
          <w:p>
            <w:pPr>
              <w:spacing w:after="0" w:line="276" w:lineRule="auto"/>
              <w:rPr>
                <w:rFonts w:ascii="宋体" w:hAnsi="宋体"/>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投标人须结合项目现场勘察情况及项目实际需求，编制冷冻机组、燃气锅炉、板式换热器运行维护保养方案。方案内容完整全面、措施具体可行，技术路线科学规范，维保计划合理适配项目工况，可充分满足项目运维需求的得</w:t>
            </w:r>
            <w:r>
              <w:rPr>
                <w:rFonts w:ascii="宋体" w:hAnsi="宋体" w:cs="宋体"/>
                <w:color w:val="000000" w:themeColor="text1"/>
                <w:sz w:val="24"/>
                <w14:textFill>
                  <w14:solidFill>
                    <w14:schemeClr w14:val="tx1"/>
                  </w14:solidFill>
                </w14:textFill>
              </w:rPr>
              <w:t xml:space="preserve">4 </w:t>
            </w:r>
            <w:r>
              <w:rPr>
                <w:rFonts w:hint="eastAsia" w:ascii="宋体" w:hAnsi="宋体" w:cs="宋体"/>
                <w:color w:val="000000" w:themeColor="text1"/>
                <w:sz w:val="24"/>
                <w14:textFill>
                  <w14:solidFill>
                    <w14:schemeClr w14:val="tx1"/>
                  </w14:solidFill>
                </w14:textFill>
              </w:rPr>
              <w:t xml:space="preserve">分；方案要素基本齐全，维保内容可满足项目基础运维要求的得</w:t>
            </w:r>
            <w:r>
              <w:rPr>
                <w:rFonts w:ascii="宋体" w:hAnsi="宋体" w:cs="宋体"/>
                <w:color w:val="000000" w:themeColor="text1"/>
                <w:sz w:val="24"/>
                <w14:textFill>
                  <w14:solidFill>
                    <w14:schemeClr w14:val="tx1"/>
                  </w14:solidFill>
                </w14:textFill>
              </w:rPr>
              <w:t xml:space="preserve">2分；未提供维保方案或方案内容缺失严重、无法满足项目维保需求的，本项不得分。</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bookmarkEnd w:id="18"/>
            <w:r/>
          </w:p>
        </w:tc>
      </w:tr>
      <w:tr>
        <w:trPr>
          <w:jc w:val="center"/>
          <w:trHeight w:val="494"/>
        </w:trPr>
        <w:tc>
          <w:tcPr>
            <w:tcBorders>
              <w:top w:val="single" w:color="auto" w:sz="4" w:space="0"/>
              <w:left w:val="single" w:color="auto" w:sz="4" w:space="0"/>
              <w:right w:val="single" w:color="auto" w:sz="4" w:space="0"/>
            </w:tcBorders>
            <w:tcW w:w="1266" w:type="dxa"/>
            <w:vAlign w:val="center"/>
            <w:vMerge w:val="continue"/>
            <w:textDirection w:val="lrTb"/>
            <w:noWrap w:val="false"/>
          </w:tcPr>
          <w:p>
            <w:pPr>
              <w:jc w:val="center"/>
              <w:spacing w:after="0" w:line="24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437" w:type="dxa"/>
            <w:vAlign w:val="center"/>
            <w:textDirection w:val="lrTb"/>
            <w:noWrap w:val="false"/>
          </w:tcPr>
          <w:p>
            <w:pPr>
              <w:spacing w:after="0" w:line="276"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中央空调输配及末端维保方案</w:t>
            </w:r>
            <w:r/>
          </w:p>
          <w:p>
            <w:pPr>
              <w:spacing w:after="0" w:line="276"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投标人须结合现场踏勘情况及项目实际工况，编制中央空调输配系统、管路系统维保、水质管理、系统清洗、空调末端（风机盘管、新风机组等）清洗维护方案。方案内容完整翔实、措施具体落地，维保安排适配项目实际需求的得4分；方案要素基本齐备，可满足项目基础运维要求的得2分；未提交维保方案的，本项不得分。</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r>
      <w:tr>
        <w:trPr>
          <w:jc w:val="center"/>
          <w:trHeight w:val="494"/>
        </w:trPr>
        <w:tc>
          <w:tcPr>
            <w:tcBorders>
              <w:left w:val="single" w:color="auto" w:sz="4" w:space="0"/>
              <w:right w:val="single" w:color="auto" w:sz="4" w:space="0"/>
            </w:tcBorders>
            <w:tcW w:w="1266" w:type="dxa"/>
            <w:vAlign w:val="center"/>
            <w:vMerge w:val="continue"/>
            <w:textDirection w:val="lrTb"/>
            <w:noWrap w:val="false"/>
          </w:tcPr>
          <w:p>
            <w:pPr>
              <w:spacing w:after="0" w:line="24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437" w:type="dxa"/>
            <w:vAlign w:val="center"/>
            <w:textDirection w:val="lrTb"/>
            <w:noWrap w:val="false"/>
          </w:tcPr>
          <w:p>
            <w:pPr>
              <w:spacing w:after="0" w:line="276"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太阳能及生活热水系统维保方案</w:t>
            </w:r>
            <w:r/>
          </w:p>
          <w:p>
            <w:pPr>
              <w:spacing w:after="0" w:line="276" w:lineRule="auto"/>
              <w:rPr>
                <w:rFonts w:ascii="宋体" w:hAnsi="宋体"/>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投标人须结合现场踏勘情况，编制太阳能及生活热水系统维保方案，涵盖太阳能集热板、热水换热罐、储热水箱、循环水泵等设施维保内容。方案体系完整、维保措施翔实可行，技术思路科学规范，维保计划贴合项目运行实际，可全面满足运维需求得</w:t>
            </w:r>
            <w:r>
              <w:rPr>
                <w:rFonts w:ascii="宋体" w:hAnsi="宋体" w:cs="宋体"/>
                <w:color w:val="000000" w:themeColor="text1"/>
                <w:sz w:val="24"/>
                <w14:textFill>
                  <w14:solidFill>
                    <w14:schemeClr w14:val="tx1"/>
                  </w14:solidFill>
                </w14:textFill>
              </w:rPr>
              <w:t xml:space="preserve">4分；方案核心要素基本齐全，能够满足项目基础维保要求得2分；未提交维保方案的，本项不得分。</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r>
      <w:tr>
        <w:trPr>
          <w:jc w:val="center"/>
          <w:trHeight w:val="494"/>
        </w:trPr>
        <w:tc>
          <w:tcPr>
            <w:tcBorders>
              <w:left w:val="single" w:color="auto" w:sz="4" w:space="0"/>
              <w:right w:val="single" w:color="auto" w:sz="4" w:space="0"/>
            </w:tcBorders>
            <w:tcW w:w="1266" w:type="dxa"/>
            <w:vAlign w:val="center"/>
            <w:vMerge w:val="continue"/>
            <w:textDirection w:val="lrTb"/>
            <w:noWrap w:val="false"/>
          </w:tcPr>
          <w:p>
            <w:pPr>
              <w:spacing w:after="0" w:line="24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437" w:type="dxa"/>
            <w:vAlign w:val="center"/>
            <w:textDirection w:val="lrTb"/>
            <w:noWrap w:val="false"/>
          </w:tcPr>
          <w:p>
            <w:pPr>
              <w:spacing w:after="0" w:line="24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操作规程</w:t>
            </w:r>
            <w:r/>
          </w:p>
          <w:p>
            <w:pPr>
              <w:spacing w:after="0" w:line="240" w:lineRule="auto"/>
              <w:rPr>
                <w:rFonts w:ascii="宋体" w:hAnsi="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须结合现场踏勘情况，编制完整设备操作规程，包含燃气系统、空调主机、锅炉、水泵、冷却塔、补水、排气、阀门、泄水、管网巡检、新风机、组合式风柜、配电房等相关操作流程。规程内容完整翔实、步骤清晰规范，技术逻辑科学合理，可满足现场安全规范操作要求得</w:t>
            </w:r>
            <w:r>
              <w:rPr>
                <w:rFonts w:ascii="宋体" w:hAnsi="宋体" w:cs="宋体"/>
                <w:color w:val="000000" w:themeColor="text1"/>
                <w:sz w:val="24"/>
                <w14:textFill>
                  <w14:solidFill>
                    <w14:schemeClr w14:val="tx1"/>
                  </w14:solidFill>
                </w14:textFill>
              </w:rPr>
              <w:t xml:space="preserve">4分；规程要素基本齐备，能够满足基础操作管理需求得2分；未提交操作规程的，本项不得分</w:t>
            </w:r>
            <w:r>
              <w:rPr>
                <w:rFonts w:hint="eastAsia" w:ascii="宋体" w:hAnsi="宋体" w:cs="宋体"/>
                <w:color w:val="000000" w:themeColor="text1"/>
                <w:sz w:val="24"/>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r>
      <w:tr>
        <w:trPr>
          <w:jc w:val="center"/>
          <w:trHeight w:val="494"/>
        </w:trPr>
        <w:tc>
          <w:tcPr>
            <w:tcBorders>
              <w:left w:val="single" w:color="auto" w:sz="4" w:space="0"/>
              <w:right w:val="single" w:color="auto" w:sz="4" w:space="0"/>
            </w:tcBorders>
            <w:tcW w:w="1266" w:type="dxa"/>
            <w:vAlign w:val="center"/>
            <w:vMerge w:val="continue"/>
            <w:textDirection w:val="lrTb"/>
            <w:noWrap w:val="false"/>
          </w:tcPr>
          <w:p>
            <w:pPr>
              <w:spacing w:after="0" w:line="24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437" w:type="dxa"/>
            <w:vAlign w:val="center"/>
            <w:textDirection w:val="lrTb"/>
            <w:noWrap w:val="false"/>
          </w:tcPr>
          <w:p>
            <w:pPr>
              <w:spacing w:after="0" w:line="27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标准化机房建设</w:t>
            </w:r>
            <w:r/>
          </w:p>
          <w:p>
            <w:pPr>
              <w:spacing w:after="0" w:line="276" w:lineRule="auto"/>
              <w:rPr>
                <w:rFonts w:ascii="宋体" w:hAnsi="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须结合现场踏勘情况，编制标准化机房建设实施方案，涵盖机房展板布设、系统功能标识、安全警示标识、开关及设备标牌制作安装、管理制度上墙、现场规范化整治等相关内容。方案内容完整翔实，实施措施具体可行，规划科学合规，可全面实现机房标准化管理要求得</w:t>
            </w:r>
            <w:r>
              <w:rPr>
                <w:rFonts w:ascii="宋体" w:hAnsi="宋体" w:cs="宋体"/>
                <w:color w:val="000000" w:themeColor="text1"/>
                <w:sz w:val="24"/>
                <w14:textFill>
                  <w14:solidFill>
                    <w14:schemeClr w14:val="tx1"/>
                  </w14:solidFill>
                </w14:textFill>
              </w:rPr>
              <w:t xml:space="preserve">4分；方案核心要素基本齐全，能够满足机房基础标准化建设需求得2分；未提交建设方案的，本项不得分。</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r>
      <w:tr>
        <w:trPr>
          <w:jc w:val="center"/>
          <w:trHeight w:val="494"/>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after="0" w:line="24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运营服务体系能力建设</w:t>
            </w:r>
            <w:r/>
          </w:p>
        </w:tc>
        <w:tc>
          <w:tcPr>
            <w:tcBorders>
              <w:top w:val="single" w:color="auto" w:sz="4" w:space="0"/>
              <w:left w:val="single" w:color="auto" w:sz="4" w:space="0"/>
              <w:bottom w:val="single" w:color="auto" w:sz="4" w:space="0"/>
              <w:right w:val="single" w:color="auto" w:sz="4" w:space="0"/>
            </w:tcBorders>
            <w:tcW w:w="7437" w:type="dxa"/>
            <w:vAlign w:val="center"/>
            <w:textDirection w:val="lrTb"/>
            <w:noWrap w:val="false"/>
          </w:tcPr>
          <w:p>
            <w:pPr>
              <w:spacing w:after="0" w:line="276" w:lineRule="auto"/>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审依据投标人提交的运营服务体系方案横向对比评审，重点核查运行管理组织架构、岗位职责划分的完整性与合理性，日常管理制度、各岗位标准化作业流程，以及故障问题反馈、处置闭环机制等内容。方案架构完善、制度健全、处置机制清晰科学，可充分保障项目稳定运营得</w:t>
            </w:r>
            <w:r>
              <w:rPr>
                <w:rFonts w:ascii="宋体" w:hAnsi="宋体" w:cs="宋体"/>
                <w:color w:val="000000" w:themeColor="text1"/>
                <w:sz w:val="24"/>
                <w14:textFill>
                  <w14:solidFill>
                    <w14:schemeClr w14:val="tx1"/>
                  </w14:solidFill>
                </w14:textFill>
              </w:rPr>
              <w:t xml:space="preserve">4分；方案要素基本齐全，能够满足项目基础运营管理要求得2 </w:t>
            </w:r>
            <w:r>
              <w:rPr>
                <w:rFonts w:hint="eastAsia" w:ascii="宋体" w:hAnsi="宋体" w:cs="宋体"/>
                <w:color w:val="000000" w:themeColor="text1"/>
                <w:sz w:val="24"/>
                <w14:textFill>
                  <w14:solidFill>
                    <w14:schemeClr w14:val="tx1"/>
                  </w14:solidFill>
                </w14:textFill>
              </w:rPr>
              <w:t xml:space="preserve">分；方案不完善无法满足项目需求或未提供方案的，本项不得分。</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r>
      <w:tr>
        <w:trPr>
          <w:jc w:val="center"/>
          <w:trHeight w:val="494"/>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after="0" w:line="24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组织管理方案</w:t>
            </w:r>
            <w:r/>
          </w:p>
        </w:tc>
        <w:tc>
          <w:tcPr>
            <w:tcBorders>
              <w:top w:val="single" w:color="auto" w:sz="4" w:space="0"/>
              <w:left w:val="single" w:color="auto" w:sz="4" w:space="0"/>
              <w:bottom w:val="single" w:color="auto" w:sz="4" w:space="0"/>
              <w:right w:val="single" w:color="auto" w:sz="4" w:space="0"/>
            </w:tcBorders>
            <w:tcW w:w="7437" w:type="dxa"/>
            <w:vAlign w:val="center"/>
            <w:textDirection w:val="lrTb"/>
            <w:noWrap w:val="false"/>
          </w:tcPr>
          <w:p>
            <w:pPr>
              <w:spacing w:after="0" w:line="276"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评审依据投标人提交的项目组织方案进行横向综合评审，重点考察项目组织架构、配套管理制度、质量管理目标及质量保障措施等核心内容。方案架构健全、制度体系完善、目标清晰明确、保障措施科学具体、可高效落地实施，全面契合项目管理需求得</w:t>
            </w:r>
            <w:r>
              <w:rPr>
                <w:rFonts w:ascii="宋体" w:hAnsi="宋体"/>
                <w:bCs/>
                <w:color w:val="000000" w:themeColor="text1"/>
                <w:sz w:val="24"/>
                <w14:textFill>
                  <w14:solidFill>
                    <w14:schemeClr w14:val="tx1"/>
                  </w14:solidFill>
                </w14:textFill>
              </w:rPr>
              <w:t xml:space="preserve">4分；方案核心要素基本齐全，可满足项目基础管理需求得2分；方案内容不完善、措施缺失，无法适配项目管理要求或未提交方案的，本项不得分。</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r>
      <w:tr>
        <w:trPr>
          <w:jc w:val="center"/>
          <w:trHeight w:val="494"/>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after="0" w:line="24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应急管理方案</w:t>
            </w:r>
            <w:r/>
          </w:p>
        </w:tc>
        <w:tc>
          <w:tcPr>
            <w:tcBorders>
              <w:top w:val="single" w:color="auto" w:sz="4" w:space="0"/>
              <w:left w:val="single" w:color="auto" w:sz="4" w:space="0"/>
              <w:bottom w:val="single" w:color="auto" w:sz="4" w:space="0"/>
              <w:right w:val="single" w:color="auto" w:sz="4" w:space="0"/>
            </w:tcBorders>
            <w:tcW w:w="7437" w:type="dxa"/>
            <w:vAlign w:val="center"/>
            <w:textDirection w:val="lrTb"/>
            <w:noWrap w:val="false"/>
          </w:tcPr>
          <w:p>
            <w:pPr>
              <w:spacing w:after="0" w:line="24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依据投标人提交的能源管理服务应急管理预案进行综合评审，重点核查预案的风险预判、应急处置流程、物资保障、应急响应及事后复盘整改等关键内容。预案体系完整、内容翔实、流程规范、措施科学可行，能够全面保障项目突发工况处置需求得</w:t>
            </w:r>
            <w:r>
              <w:rPr>
                <w:rFonts w:ascii="宋体" w:hAnsi="宋体"/>
                <w:bCs/>
                <w:color w:val="000000" w:themeColor="text1"/>
                <w:sz w:val="24"/>
                <w14:textFill>
                  <w14:solidFill>
                    <w14:schemeClr w14:val="tx1"/>
                  </w14:solidFill>
                </w14:textFill>
              </w:rPr>
              <w:t xml:space="preserve">4分；预案要素基本齐全，可满足项目基础应急管理需求得2分；预案内容残缺、逻辑混乱、无法适配项目应急场景或未提交方案的，本项不得分。</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r>
    </w:tbl>
    <w:p>
      <w:pP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br w:type="page" w:clear="all"/>
      </w:r>
      <w:r/>
    </w:p>
    <w:p>
      <w:pPr>
        <w:pStyle w:val="735"/>
        <w:jc w:val="cente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 xml:space="preserve">第六章</w:t>
      </w:r>
      <w:r>
        <w:rPr>
          <w:rFonts w:ascii="微软雅黑" w:hAnsi="微软雅黑" w:eastAsia="微软雅黑" w:cs="微软雅黑"/>
          <w:color w:val="000000" w:themeColor="text1"/>
          <w14:textFill>
            <w14:solidFill>
              <w14:schemeClr w14:val="tx1"/>
            </w14:solidFill>
          </w14:textFill>
        </w:rPr>
        <w:t xml:space="preserve">  </w:t>
      </w:r>
      <w:r>
        <w:rPr>
          <w:rFonts w:hint="eastAsia" w:ascii="微软雅黑" w:hAnsi="微软雅黑" w:eastAsia="微软雅黑" w:cs="微软雅黑"/>
          <w:color w:val="000000" w:themeColor="text1"/>
          <w14:textFill>
            <w14:solidFill>
              <w14:schemeClr w14:val="tx1"/>
            </w14:solidFill>
          </w14:textFill>
        </w:rPr>
        <w:t xml:space="preserve">投标文件格式</w:t>
      </w:r>
      <w:r/>
    </w:p>
    <w:p>
      <w:pPr>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14:textFill>
            <w14:solidFill>
              <w14:schemeClr w14:val="tx1"/>
            </w14:solidFill>
          </w14:textFill>
        </w:rPr>
        <w:t xml:space="preserve"> </w:t>
      </w:r>
      <w:r/>
    </w:p>
    <w:p>
      <w:pP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14:textFill>
            <w14:solidFill>
              <w14:schemeClr w14:val="tx1"/>
            </w14:solidFill>
          </w14:textFill>
        </w:rPr>
        <w:t xml:space="preserve"> </w:t>
      </w:r>
      <w:r/>
    </w:p>
    <w:p>
      <w:pP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14:textFill>
            <w14:solidFill>
              <w14:schemeClr w14:val="tx1"/>
            </w14:solidFill>
          </w14:textFill>
        </w:rPr>
        <w:t xml:space="preserve"> </w:t>
      </w:r>
      <w:r/>
    </w:p>
    <w:p>
      <w:pP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36"/>
          <w14:textFill>
            <w14:solidFill>
              <w14:schemeClr w14:val="tx1"/>
            </w14:solidFill>
          </w14:textFill>
        </w:rPr>
        <w:t xml:space="preserve"> </w:t>
      </w:r>
      <w:r/>
    </w:p>
    <w:p>
      <w:pPr>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52"/>
          <w14:textFill>
            <w14:solidFill>
              <w14:schemeClr w14:val="tx1"/>
            </w14:solidFill>
          </w14:textFill>
        </w:rPr>
        <w:t xml:space="preserve">投  标  文  件</w:t>
      </w:r>
      <w:r/>
    </w:p>
    <w:p>
      <w:pPr>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14:textFill>
            <w14:solidFill>
              <w14:schemeClr w14:val="tx1"/>
            </w14:solidFill>
          </w14:textFill>
        </w:rPr>
        <w:t xml:space="preserve"> </w:t>
      </w:r>
      <w:r/>
    </w:p>
    <w:p>
      <w:pPr>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14:textFill>
            <w14:solidFill>
              <w14:schemeClr w14:val="tx1"/>
            </w14:solidFill>
          </w14:textFill>
        </w:rPr>
        <w:t xml:space="preserve"> </w:t>
      </w:r>
      <w:r/>
    </w:p>
    <w:p>
      <w:pPr>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14:textFill>
            <w14:solidFill>
              <w14:schemeClr w14:val="tx1"/>
            </w14:solidFill>
          </w14:textFill>
        </w:rPr>
        <w:t xml:space="preserve"> </w:t>
      </w:r>
      <w:r/>
    </w:p>
    <w:p>
      <w:pPr>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14:textFill>
            <w14:solidFill>
              <w14:schemeClr w14:val="tx1"/>
            </w14:solidFill>
          </w14:textFill>
        </w:rPr>
        <w:t xml:space="preserve"> </w:t>
      </w:r>
      <w:r/>
    </w:p>
    <w:p>
      <w:pPr>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14:textFill>
            <w14:solidFill>
              <w14:schemeClr w14:val="tx1"/>
            </w14:solidFill>
          </w14:textFill>
        </w:rPr>
        <w:t xml:space="preserve"> </w:t>
      </w:r>
      <w:r/>
    </w:p>
    <w:p>
      <w:pPr>
        <w:ind w:firstLine="1084"/>
        <w:jc w:val="both"/>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14:textFill>
            <w14:solidFill>
              <w14:schemeClr w14:val="tx1"/>
            </w14:solidFill>
          </w14:textFill>
        </w:rPr>
        <w:t xml:space="preserve">项 目 名 称：</w:t>
      </w:r>
      <w:r/>
    </w:p>
    <w:p>
      <w:pPr>
        <w:ind w:firstLine="1084"/>
        <w:jc w:val="both"/>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14:textFill>
            <w14:solidFill>
              <w14:schemeClr w14:val="tx1"/>
            </w14:solidFill>
          </w14:textFill>
        </w:rPr>
        <w:t xml:space="preserve">项 目 编 号：</w:t>
      </w:r>
      <w:r/>
    </w:p>
    <w:p>
      <w:pPr>
        <w:ind w:firstLine="1084"/>
        <w:jc w:val="both"/>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14:textFill>
            <w14:solidFill>
              <w14:schemeClr w14:val="tx1"/>
            </w14:solidFill>
          </w14:textFill>
        </w:rPr>
        <w:t xml:space="preserve">投标人名称 ：</w:t>
      </w:r>
      <w:r>
        <w:rPr>
          <w:rFonts w:ascii="宋体" w:hAnsi="宋体" w:eastAsia="宋体" w:cs="宋体"/>
          <w:b/>
          <w:color w:val="000000" w:themeColor="text1"/>
          <w:sz w:val="36"/>
          <w:u w:val="single"/>
          <w14:textFill>
            <w14:solidFill>
              <w14:schemeClr w14:val="tx1"/>
            </w14:solidFill>
          </w14:textFill>
        </w:rPr>
        <w:t xml:space="preserve">（加盖CA电子公章）</w:t>
      </w:r>
      <w:r/>
    </w:p>
    <w:p>
      <w:pPr>
        <w:ind w:firstLine="1084"/>
        <w:jc w:val="both"/>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14:textFill>
            <w14:solidFill>
              <w14:schemeClr w14:val="tx1"/>
            </w14:solidFill>
          </w14:textFill>
        </w:rPr>
        <w:t xml:space="preserve">日      期 ：</w:t>
      </w:r>
      <w:r/>
    </w:p>
    <w:p>
      <w:pPr>
        <w:jc w:val="center"/>
        <w:spacing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14:textFill>
            <w14:solidFill>
              <w14:schemeClr w14:val="tx1"/>
            </w14:solidFill>
          </w14:textFill>
        </w:rPr>
        <w:t xml:space="preserve"> </w:t>
      </w:r>
      <w:r/>
    </w:p>
    <w:p>
      <w:pPr>
        <w:jc w:val="both"/>
        <w:spacing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14:textFill>
            <w14:solidFill>
              <w14:schemeClr w14:val="tx1"/>
            </w14:solidFill>
          </w14:textFill>
        </w:rPr>
        <w:t xml:space="preserve"> </w:t>
      </w:r>
      <w:r/>
    </w:p>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br w:type="page" w:clear="all"/>
      </w:r>
      <w:r/>
    </w:p>
    <w:p>
      <w:pPr>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幼圆" w:hAnsi="幼圆" w:eastAsia="幼圆" w:cs="幼圆"/>
          <w:b/>
          <w:color w:val="000000" w:themeColor="text1"/>
          <w:sz w:val="28"/>
          <w14:textFill>
            <w14:solidFill>
              <w14:schemeClr w14:val="tx1"/>
            </w14:solidFill>
          </w14:textFill>
        </w:rPr>
        <w:t xml:space="preserve">投标文件目录</w:t>
      </w:r>
      <w:r/>
    </w:p>
    <w:p>
      <w:pPr>
        <w:jc w:val="center"/>
        <w:spacing w:line="43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14:textFill>
            <w14:solidFill>
              <w14:schemeClr w14:val="tx1"/>
            </w14:solidFill>
          </w14:textFill>
        </w:rPr>
        <w:t xml:space="preserve"> </w:t>
      </w:r>
      <w:r/>
    </w:p>
    <w:p>
      <w:pPr>
        <w:ind w:firstLine="562"/>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一、基本目录</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1.开标一览表（格式见附件1）</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2.投标分项报价表（格式见附件2）</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3.技术要求响应及偏离表（格式见附件3）</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4.商务要求响应及偏离表（格式见附件4）</w:t>
      </w:r>
      <w:r/>
    </w:p>
    <w:p>
      <w:pPr>
        <w:ind w:firstLine="562"/>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二、资格审查</w:t>
      </w:r>
      <w:r/>
    </w:p>
    <w:p>
      <w:pPr>
        <w:ind w:firstLine="560"/>
        <w:jc w:val="both"/>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1.投标人符合《政府采购法》第二十二条规定条件（格式见附件5）</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2.特定资格要求的证明文件（如果本项目对投标人做出特定资格要求的，必须提供）（格式见附件6）</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3.投标函（格式见附件7）</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4.中小微企业声明函（格式见附件8）</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5.残疾人福利性单位声明函（格式见附件9）</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备注：上述“资格审查内容”中1、3条投标人必须在投标文件中提供相关材料，否则作无效投标处理；2条如招标文件要求必须提供相关材料而未提供的，作无效投标处理</w:t>
      </w:r>
      <w:r>
        <w:rPr>
          <w:rFonts w:hint="eastAsia" w:ascii="仿宋" w:hAnsi="仿宋" w:eastAsia="仿宋" w:cs="仿宋"/>
          <w:color w:val="000000" w:themeColor="text1"/>
          <w:sz w:val="28"/>
          <w14:textFill>
            <w14:solidFill>
              <w14:schemeClr w14:val="tx1"/>
            </w14:solidFill>
          </w14:textFill>
        </w:rPr>
        <w:t xml:space="preserve">；4、5条根据政府采购优惠政策落实情况提供——如为专门面向中小企业采购的项目则必须提供</w:t>
      </w:r>
      <w:r>
        <w:rPr>
          <w:rFonts w:ascii="仿宋" w:hAnsi="仿宋" w:eastAsia="仿宋" w:cs="仿宋"/>
          <w:color w:val="000000" w:themeColor="text1"/>
          <w:sz w:val="28"/>
          <w14:textFill>
            <w14:solidFill>
              <w14:schemeClr w14:val="tx1"/>
            </w14:solidFill>
          </w14:textFill>
        </w:rPr>
        <w:t xml:space="preserve">。</w:t>
      </w:r>
      <w:r/>
    </w:p>
    <w:p>
      <w:pPr>
        <w:ind w:firstLine="562"/>
        <w:jc w:val="both"/>
        <w:spacing w:line="479" w:lineRule="atLeast"/>
        <w:rPr>
          <w:rFonts w:ascii="仿宋" w:hAnsi="仿宋" w:eastAsia="仿宋" w:cs="仿宋"/>
          <w:b/>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三、符合性审查</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投标人必须对采购需求中的实质性要求逐条做出响应，并按照招标文件要求提供证明材料，否则做无效投标处理</w:t>
      </w:r>
      <w:r>
        <w:rPr>
          <w:rFonts w:hint="eastAsia" w:ascii="仿宋" w:hAnsi="仿宋" w:eastAsia="仿宋" w:cs="仿宋"/>
          <w:color w:val="000000" w:themeColor="text1"/>
          <w:sz w:val="28"/>
          <w14:textFill>
            <w14:solidFill>
              <w14:schemeClr w14:val="tx1"/>
            </w14:solidFill>
          </w14:textFill>
        </w:rPr>
        <w:t xml:space="preserve">，详见第五章。</w:t>
      </w:r>
      <w:r/>
    </w:p>
    <w:p>
      <w:pPr>
        <w:ind w:firstLine="562"/>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四、价格扣除证明文件</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1.中小微企业声明函（格式见附件8）</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2.残疾人福利性单位声明函（格式见附件9）</w:t>
      </w:r>
      <w:r/>
    </w:p>
    <w:p>
      <w:pPr>
        <w:ind w:left="48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 </w:t>
      </w:r>
      <w:r/>
    </w:p>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br w:type="page" w:clear="all"/>
      </w:r>
      <w:r/>
    </w:p>
    <w:p>
      <w:pPr>
        <w:pStyle w:val="736"/>
        <w:spacing w:before="260" w:after="260" w:line="761" w:lineRule="atLeast"/>
        <w:rPr>
          <w:rFonts w:ascii="仿宋" w:hAnsi="仿宋" w:eastAsia="仿宋" w:cs="仿宋"/>
          <w:b/>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附件1 开标一览表</w:t>
      </w:r>
      <w:r/>
    </w:p>
    <w:p>
      <w:pPr>
        <w:jc w:val="center"/>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开标一览表</w:t>
      </w:r>
      <w:r/>
    </w:p>
    <w:p>
      <w:pPr>
        <w:ind w:firstLine="482"/>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投标人全称（加盖CA电子签章）：</w:t>
      </w:r>
      <w:r/>
    </w:p>
    <w:p>
      <w:pPr>
        <w:ind w:firstLine="482"/>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项目名称：</w:t>
      </w:r>
      <w:r/>
    </w:p>
    <w:p>
      <w:pPr>
        <w:ind w:firstLine="482"/>
        <w:spacing w:line="47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项目编号：</w:t>
      </w:r>
      <w:r/>
    </w:p>
    <w:p>
      <w:pPr>
        <w:ind w:firstLine="482"/>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Calibri" w:hAnsi="Calibri" w:eastAsia="仿宋" w:cs="Calibri"/>
          <w:color w:val="000000" w:themeColor="text1"/>
          <w:sz w:val="28"/>
          <w14:textFill>
            <w14:solidFill>
              <w14:schemeClr w14:val="tx1"/>
            </w14:solidFill>
          </w14:textFill>
        </w:rPr>
        <w:t xml:space="preserve">  </w:t>
      </w:r>
      <w:r>
        <w:rPr>
          <w:rFonts w:ascii="仿宋" w:hAnsi="仿宋" w:eastAsia="仿宋" w:cs="仿宋"/>
          <w:color w:val="000000" w:themeColor="text1"/>
          <w:sz w:val="28"/>
          <w14:textFill>
            <w14:solidFill>
              <w14:schemeClr w14:val="tx1"/>
            </w14:solidFill>
          </w14:textFill>
        </w:rPr>
        <w:t xml:space="preserve"> </w:t>
      </w:r>
      <w:r/>
    </w:p>
    <w:tbl>
      <w:tblPr>
        <w:tblStyle w:val="776"/>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50"/>
      </w:tblGrid>
      <w:tr>
        <w:trPr>
          <w:jc w:val="cente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50" w:type="dxa"/>
            <w:vAlign w:val="center"/>
            <w:textDirection w:val="lrTb"/>
            <w:noWrap w:val="false"/>
          </w:tcPr>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投标总报价</w:t>
            </w:r>
            <w:r/>
          </w:p>
        </w:tc>
      </w:tr>
      <w:tr>
        <w:trPr>
          <w:jc w:val="cente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50" w:type="dxa"/>
            <w:vAlign w:val="center"/>
            <w:textDirection w:val="lrTb"/>
            <w:noWrap w:val="false"/>
          </w:tcPr>
          <w:p>
            <w:pPr>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小写：</w:t>
            </w:r>
            <w:r>
              <w:rPr>
                <w:rFonts w:ascii="Calibri" w:hAnsi="Calibri" w:eastAsia="仿宋" w:cs="Calibri"/>
                <w:color w:val="000000" w:themeColor="text1"/>
                <w:sz w:val="28"/>
                <w14:textFill>
                  <w14:solidFill>
                    <w14:schemeClr w14:val="tx1"/>
                  </w14:solidFill>
                </w14:textFill>
              </w:rPr>
              <w:t xml:space="preserve">     </w:t>
            </w:r>
            <w:r>
              <w:rPr>
                <w:rFonts w:ascii="仿宋" w:hAnsi="仿宋" w:eastAsia="仿宋" w:cs="仿宋"/>
                <w:color w:val="000000" w:themeColor="text1"/>
                <w:sz w:val="28"/>
                <w14:textFill>
                  <w14:solidFill>
                    <w14:schemeClr w14:val="tx1"/>
                  </w14:solidFill>
                </w14:textFill>
              </w:rPr>
              <w:t xml:space="preserve">                          （人民币：</w:t>
            </w:r>
            <w:r>
              <w:rPr>
                <w:rFonts w:hint="eastAsia" w:ascii="仿宋" w:hAnsi="仿宋" w:eastAsia="仿宋" w:cs="仿宋"/>
                <w:color w:val="000000" w:themeColor="text1"/>
                <w:sz w:val="28"/>
                <w14:textFill>
                  <w14:solidFill>
                    <w14:schemeClr w14:val="tx1"/>
                  </w14:solidFill>
                </w14:textFill>
              </w:rPr>
              <w:t xml:space="preserve"> </w:t>
            </w:r>
            <w:r>
              <w:rPr>
                <w:rFonts w:ascii="仿宋" w:hAnsi="仿宋" w:eastAsia="仿宋" w:cs="仿宋"/>
                <w:color w:val="000000" w:themeColor="text1"/>
                <w:sz w:val="28"/>
                <w14:textFill>
                  <w14:solidFill>
                    <w14:schemeClr w14:val="tx1"/>
                  </w14:solidFill>
                </w14:textFill>
              </w:rPr>
              <w:t xml:space="preserve">          元）</w:t>
            </w:r>
            <w:r/>
          </w:p>
        </w:tc>
      </w:tr>
    </w:tbl>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r>
      <w:r/>
    </w:p>
    <w:p>
      <w:pPr>
        <w:ind w:firstLine="48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Calibri" w:hAnsi="Calibri" w:eastAsia="仿宋" w:cs="Calibri"/>
          <w:color w:val="000000" w:themeColor="text1"/>
          <w:sz w:val="28"/>
          <w14:textFill>
            <w14:solidFill>
              <w14:schemeClr w14:val="tx1"/>
            </w14:solidFill>
          </w14:textFill>
        </w:rPr>
        <w:t xml:space="preserve"> </w:t>
      </w:r>
      <w:r>
        <w:rPr>
          <w:rFonts w:hint="eastAsia" w:ascii="仿宋" w:hAnsi="仿宋" w:eastAsia="仿宋" w:cs="仿宋"/>
          <w:color w:val="000000" w:themeColor="text1"/>
          <w:sz w:val="28"/>
          <w14:textFill>
            <w14:solidFill>
              <w14:schemeClr w14:val="tx1"/>
            </w14:solidFill>
          </w14:textFill>
        </w:rPr>
        <w:t xml:space="preserve">备注：本表格式以苏彩云系统内表格为准。</w:t>
      </w:r>
      <w:r/>
    </w:p>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br w:type="page" w:clear="all"/>
      </w:r>
      <w:r/>
    </w:p>
    <w:p>
      <w:pPr>
        <w:pStyle w:val="736"/>
        <w:spacing w:before="260" w:after="260" w:line="761" w:lineRule="atLeast"/>
        <w:rPr>
          <w:rFonts w:ascii="仿宋" w:hAnsi="仿宋" w:eastAsia="仿宋" w:cs="仿宋"/>
          <w:b/>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附件2 投标分项报价表</w:t>
      </w:r>
      <w:r/>
    </w:p>
    <w:p>
      <w:pPr>
        <w:ind w:left="6"/>
        <w:jc w:val="center"/>
        <w:spacing w:line="360" w:lineRule="auto"/>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投标分项报价表</w:t>
      </w:r>
      <w:r/>
    </w:p>
    <w:p>
      <w:pPr>
        <w:pStyle w:val="781"/>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（根据品目填写对应条目，不得超过各品目最高限价）</w:t>
      </w:r>
      <w:r/>
    </w:p>
    <w:tbl>
      <w:tblPr>
        <w:tblStyle w:val="745"/>
        <w:tblW w:w="48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1086"/>
        <w:gridCol w:w="1710"/>
        <w:gridCol w:w="1251"/>
        <w:gridCol w:w="1645"/>
        <w:gridCol w:w="2406"/>
      </w:tblGrid>
      <w:tr>
        <w:trPr>
          <w:jc w:val="center"/>
          <w:trHeight w:val="482"/>
        </w:trPr>
        <w:tc>
          <w:tcPr>
            <w:tcW w:w="378" w:type="pct"/>
            <w:vAlign w:val="center"/>
            <w:textDirection w:val="lrTb"/>
            <w:noWrap/>
          </w:tcPr>
          <w:p>
            <w:pPr>
              <w:jc w:val="center"/>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序列</w:t>
            </w:r>
            <w:r/>
          </w:p>
        </w:tc>
        <w:tc>
          <w:tcPr>
            <w:tcW w:w="620" w:type="pct"/>
            <w:vAlign w:val="center"/>
            <w:textDirection w:val="lrTb"/>
            <w:noWrap/>
          </w:tcPr>
          <w:p>
            <w:pPr>
              <w:jc w:val="center"/>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名称</w:t>
            </w:r>
            <w:r/>
          </w:p>
        </w:tc>
        <w:tc>
          <w:tcPr>
            <w:tcW w:w="976" w:type="pct"/>
            <w:vAlign w:val="center"/>
            <w:textDirection w:val="lrTb"/>
            <w:noWrap/>
          </w:tcPr>
          <w:p>
            <w:pPr>
              <w:jc w:val="center"/>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综合单价</w:t>
            </w:r>
            <w:r/>
          </w:p>
        </w:tc>
        <w:tc>
          <w:tcPr>
            <w:tcW w:w="714" w:type="pct"/>
            <w:vAlign w:val="center"/>
            <w:textDirection w:val="lrTb"/>
            <w:noWrap/>
          </w:tcPr>
          <w:p>
            <w:pPr>
              <w:jc w:val="center"/>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数量</w:t>
            </w:r>
            <w:r/>
          </w:p>
        </w:tc>
        <w:tc>
          <w:tcPr>
            <w:tcW w:w="939" w:type="pct"/>
            <w:vAlign w:val="center"/>
            <w:textDirection w:val="lrTb"/>
            <w:noWrap/>
          </w:tcPr>
          <w:p>
            <w:pPr>
              <w:jc w:val="center"/>
              <w:rPr>
                <w:rFonts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综合合价（元）</w:t>
            </w:r>
            <w:r/>
          </w:p>
        </w:tc>
        <w:tc>
          <w:tcPr>
            <w:tcW w:w="1373" w:type="pct"/>
            <w:vAlign w:val="center"/>
            <w:textDirection w:val="lrTb"/>
            <w:noWrap/>
          </w:tcPr>
          <w:p>
            <w:pPr>
              <w:jc w:val="center"/>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备注</w:t>
            </w:r>
            <w:r/>
          </w:p>
        </w:tc>
      </w:tr>
      <w:tr>
        <w:trPr>
          <w:jc w:val="center"/>
          <w:trHeight w:val="482"/>
        </w:trPr>
        <w:tc>
          <w:tcPr>
            <w:gridSpan w:val="6"/>
            <w:tcW w:w="5000" w:type="pct"/>
            <w:vAlign w:val="center"/>
            <w:textDirection w:val="lrTb"/>
            <w:noWrap/>
          </w:tcPr>
          <w:p>
            <w:pPr>
              <w:jc w:val="center"/>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品目01：迈皋桥院区</w:t>
            </w:r>
            <w:r/>
          </w:p>
        </w:tc>
      </w:tr>
      <w:tr>
        <w:trPr>
          <w:jc w:val="center"/>
          <w:trHeight w:val="2696"/>
        </w:trPr>
        <w:tc>
          <w:tcPr>
            <w:tcW w:w="378" w:type="pct"/>
            <w:vAlign w:val="center"/>
            <w:textDirection w:val="lrTb"/>
            <w:noWrap/>
          </w:tcPr>
          <w:p>
            <w:pPr>
              <w:jc w:val="center"/>
              <w:tabs>
                <w:tab w:val="left" w:pos="284"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620" w:type="pct"/>
            <w:vAlign w:val="center"/>
            <w:textDirection w:val="lrTb"/>
            <w:noWrap/>
          </w:tcPr>
          <w:p>
            <w:pPr>
              <w:tabs>
                <w:tab w:val="left" w:pos="284"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迈区全院能源总包基础服务费</w:t>
            </w:r>
            <w:r/>
          </w:p>
        </w:tc>
        <w:tc>
          <w:tcPr>
            <w:tcW w:w="976" w:type="pct"/>
            <w:vAlign w:val="center"/>
            <w:textDirection w:val="lrTb"/>
            <w:noWrap/>
          </w:tcPr>
          <w:p>
            <w:pPr>
              <w:jc w:val="center"/>
              <w:tabs>
                <w:tab w:val="left" w:pos="284"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元/㎡·年</w:t>
            </w:r>
            <w:r/>
          </w:p>
        </w:tc>
        <w:tc>
          <w:tcPr>
            <w:tcW w:w="714" w:type="pct"/>
            <w:vAlign w:val="center"/>
            <w:textDirection w:val="lrTb"/>
            <w:noWrap/>
          </w:tcPr>
          <w:p>
            <w:pPr>
              <w:jc w:val="center"/>
              <w:tabs>
                <w:tab w:val="left" w:pos="284"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70415.62㎡</w:t>
            </w:r>
            <w:r/>
          </w:p>
        </w:tc>
        <w:tc>
          <w:tcPr>
            <w:tcW w:w="939" w:type="pct"/>
            <w:vAlign w:val="center"/>
            <w:textDirection w:val="lrTb"/>
            <w:noWrap/>
          </w:tcPr>
          <w:p>
            <w:pPr>
              <w:jc w:val="center"/>
              <w:tabs>
                <w:tab w:val="left" w:pos="284" w:leader="none"/>
              </w:tabs>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tcW w:w="1373" w:type="pct"/>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费用组成：全院电费、锅炉房燃气费（不含卫热）、设备设施维护费、运行人工费，单价按总面积均摊核算，含空调末端设备500元以下配件免费更换</w:t>
            </w:r>
            <w:r/>
          </w:p>
        </w:tc>
      </w:tr>
      <w:tr>
        <w:trPr>
          <w:jc w:val="center"/>
          <w:trHeight w:val="558"/>
        </w:trPr>
        <w:tc>
          <w:tcPr>
            <w:tcW w:w="378" w:type="pct"/>
            <w:vAlign w:val="center"/>
            <w:textDirection w:val="lrTb"/>
            <w:noWrap/>
          </w:tcPr>
          <w:p>
            <w:pPr>
              <w:jc w:val="center"/>
              <w:tabs>
                <w:tab w:val="left" w:pos="284"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W w:w="620" w:type="pct"/>
            <w:vAlign w:val="center"/>
            <w:textDirection w:val="lrTb"/>
            <w:noWrap/>
          </w:tcPr>
          <w:p>
            <w:pPr>
              <w:tabs>
                <w:tab w:val="left" w:pos="284"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迈区卫生热水计量费用</w:t>
            </w:r>
            <w:r/>
          </w:p>
        </w:tc>
        <w:tc>
          <w:tcPr>
            <w:tcW w:w="976" w:type="pct"/>
            <w:vAlign w:val="center"/>
            <w:textDirection w:val="lrTb"/>
            <w:noWrap/>
          </w:tcPr>
          <w:p>
            <w:pPr>
              <w:jc w:val="center"/>
              <w:tabs>
                <w:tab w:val="left" w:pos="284"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元/吨</w:t>
            </w:r>
            <w:r/>
          </w:p>
        </w:tc>
        <w:tc>
          <w:tcPr>
            <w:tcW w:w="714" w:type="pct"/>
            <w:vAlign w:val="center"/>
            <w:textDirection w:val="lrTb"/>
            <w:noWrap/>
          </w:tcPr>
          <w:p>
            <w:pPr>
              <w:jc w:val="both"/>
              <w:tabs>
                <w:tab w:val="left" w:pos="284"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6600吨/年</w:t>
            </w:r>
            <w:r/>
          </w:p>
        </w:tc>
        <w:tc>
          <w:tcPr>
            <w:tcW w:w="939" w:type="pct"/>
            <w:vAlign w:val="center"/>
            <w:textDirection w:val="lrTb"/>
            <w:noWrap/>
          </w:tcPr>
          <w:p>
            <w:pPr>
              <w:jc w:val="center"/>
              <w:tabs>
                <w:tab w:val="left" w:pos="284" w:leader="none"/>
              </w:tabs>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tcW w:w="1373" w:type="pct"/>
            <w:vAlign w:val="center"/>
            <w:textDirection w:val="lrTb"/>
            <w:noWrap/>
          </w:tcPr>
          <w:p>
            <w:pPr>
              <w:tabs>
                <w:tab w:val="left" w:pos="284" w:leader="none"/>
              </w:tabs>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综合单价包含卫生热水能源费、热水设备设施维护费、现场运行人工成本；按年度预估用水量6600吨测算总价</w:t>
            </w:r>
            <w:r>
              <w:rPr>
                <w:rFonts w:hint="eastAsia" w:ascii="宋体" w:hAnsi="宋体" w:cs="宋体"/>
                <w:color w:val="000000" w:themeColor="text1"/>
                <w:sz w:val="24"/>
                <w:szCs w:val="24"/>
                <w14:textFill>
                  <w14:solidFill>
                    <w14:schemeClr w14:val="tx1"/>
                  </w14:solidFill>
                </w14:textFill>
              </w:rPr>
              <w:t xml:space="preserve">，</w:t>
            </w:r>
            <w:r>
              <w:rPr>
                <w:rFonts w:ascii="宋体" w:hAnsi="宋体" w:eastAsia="宋体" w:cs="宋体"/>
                <w:color w:val="000000" w:themeColor="text1"/>
                <w:sz w:val="24"/>
                <w:szCs w:val="24"/>
                <w14:textFill>
                  <w14:solidFill>
                    <w14:schemeClr w14:val="tx1"/>
                  </w14:solidFill>
                </w14:textFill>
              </w:rPr>
              <w:t xml:space="preserve">合同执行期间按实际热水使用吨数结算费用</w:t>
            </w:r>
            <w:r/>
          </w:p>
        </w:tc>
      </w:tr>
      <w:tr>
        <w:trPr>
          <w:jc w:val="center"/>
          <w:trHeight w:val="558"/>
        </w:trPr>
        <w:tc>
          <w:tcPr>
            <w:gridSpan w:val="6"/>
            <w:tcW w:w="5000" w:type="pct"/>
            <w:vAlign w:val="center"/>
            <w:textDirection w:val="lrTb"/>
            <w:noWrap/>
          </w:tcPr>
          <w:p>
            <w:pPr>
              <w:jc w:val="center"/>
              <w:tabs>
                <w:tab w:val="left" w:pos="284"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品目02：阅江楼院区</w:t>
            </w:r>
            <w:r/>
          </w:p>
        </w:tc>
      </w:tr>
      <w:tr>
        <w:trPr>
          <w:jc w:val="center"/>
          <w:trHeight w:val="416"/>
        </w:trPr>
        <w:tc>
          <w:tcPr>
            <w:tcW w:w="378" w:type="pct"/>
            <w:vAlign w:val="center"/>
            <w:textDirection w:val="lrTb"/>
            <w:noWrap/>
          </w:tcPr>
          <w:p>
            <w:pPr>
              <w:jc w:val="center"/>
              <w:tabs>
                <w:tab w:val="left" w:pos="284"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620" w:type="pct"/>
            <w:vAlign w:val="center"/>
            <w:textDirection w:val="lrTb"/>
            <w:noWrap/>
          </w:tcPr>
          <w:p>
            <w:pPr>
              <w:tabs>
                <w:tab w:val="left" w:pos="284"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阅区中央空调基础服务费</w:t>
            </w:r>
            <w:r/>
          </w:p>
        </w:tc>
        <w:tc>
          <w:tcPr>
            <w:tcW w:w="976" w:type="pct"/>
            <w:vAlign w:val="center"/>
            <w:textDirection w:val="lrTb"/>
            <w:noWrap/>
          </w:tcPr>
          <w:p>
            <w:pPr>
              <w:jc w:val="center"/>
              <w:tabs>
                <w:tab w:val="left" w:pos="284"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元/㎡·年</w:t>
            </w:r>
            <w:r/>
          </w:p>
        </w:tc>
        <w:tc>
          <w:tcPr>
            <w:tcW w:w="714" w:type="pct"/>
            <w:vAlign w:val="center"/>
            <w:textDirection w:val="lrTb"/>
            <w:noWrap/>
          </w:tcPr>
          <w:p>
            <w:pPr>
              <w:jc w:val="center"/>
              <w:tabs>
                <w:tab w:val="left" w:pos="284"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11000㎡</w:t>
            </w:r>
            <w:r/>
          </w:p>
        </w:tc>
        <w:tc>
          <w:tcPr>
            <w:tcW w:w="939" w:type="pct"/>
            <w:vAlign w:val="center"/>
            <w:textDirection w:val="lrTb"/>
            <w:noWrap/>
          </w:tcPr>
          <w:p>
            <w:pPr>
              <w:jc w:val="center"/>
              <w:tabs>
                <w:tab w:val="left" w:pos="284" w:leader="none"/>
              </w:tabs>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tcW w:w="1373" w:type="pct"/>
            <w:vAlign w:val="center"/>
            <w:textDirection w:val="lrTb"/>
            <w:noWrap/>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费用组成：中央空调能源费，</w:t>
            </w:r>
            <w:r>
              <w:rPr>
                <w:rFonts w:hint="eastAsia" w:ascii="宋体" w:hAnsi="宋体" w:eastAsia="宋体" w:cs="宋体"/>
                <w:color w:val="000000" w:themeColor="text1"/>
                <w:sz w:val="24"/>
                <w:szCs w:val="24"/>
                <w14:textFill>
                  <w14:solidFill>
                    <w14:schemeClr w14:val="tx1"/>
                  </w14:solidFill>
                </w14:textFill>
              </w:rPr>
              <w:t xml:space="preserve">含锅炉气费及空调电费等</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、中央空调设备设施维护费、运行人工费；单价按服务面积均摊核算；包含末端设备 500 元以内配件免费更换</w:t>
            </w:r>
            <w:r/>
          </w:p>
        </w:tc>
      </w:tr>
      <w:tr>
        <w:trPr>
          <w:jc w:val="center"/>
          <w:trHeight w:val="125"/>
        </w:trPr>
        <w:tc>
          <w:tcPr>
            <w:tcW w:w="378" w:type="pct"/>
            <w:vAlign w:val="center"/>
            <w:textDirection w:val="lrTb"/>
            <w:noWrap/>
          </w:tcPr>
          <w:p>
            <w:pPr>
              <w:jc w:val="center"/>
              <w:tabs>
                <w:tab w:val="left" w:pos="284"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W w:w="620" w:type="pct"/>
            <w:vAlign w:val="center"/>
            <w:textDirection w:val="lrTb"/>
            <w:noWrap/>
          </w:tcPr>
          <w:p>
            <w:pPr>
              <w:tabs>
                <w:tab w:val="left" w:pos="284"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阅区卫生热水计量费用</w:t>
            </w:r>
            <w:r/>
          </w:p>
        </w:tc>
        <w:tc>
          <w:tcPr>
            <w:tcW w:w="976" w:type="pct"/>
            <w:vAlign w:val="center"/>
            <w:textDirection w:val="lrTb"/>
            <w:noWrap/>
          </w:tcPr>
          <w:p>
            <w:pPr>
              <w:jc w:val="center"/>
              <w:tabs>
                <w:tab w:val="left" w:pos="284"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元/吨</w:t>
            </w:r>
            <w:r/>
          </w:p>
        </w:tc>
        <w:tc>
          <w:tcPr>
            <w:tcW w:w="714" w:type="pct"/>
            <w:vAlign w:val="center"/>
            <w:textDirection w:val="lrTb"/>
            <w:noWrap/>
          </w:tcPr>
          <w:p>
            <w:pPr>
              <w:jc w:val="center"/>
              <w:tabs>
                <w:tab w:val="left" w:pos="284"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8500吨/年</w:t>
            </w:r>
            <w:r/>
          </w:p>
        </w:tc>
        <w:tc>
          <w:tcPr>
            <w:tcW w:w="939" w:type="pct"/>
            <w:vAlign w:val="center"/>
            <w:textDirection w:val="lrTb"/>
            <w:noWrap/>
          </w:tcPr>
          <w:p>
            <w:pPr>
              <w:jc w:val="center"/>
              <w:tabs>
                <w:tab w:val="left" w:pos="284" w:leader="none"/>
              </w:tabs>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tcW w:w="1373" w:type="pct"/>
            <w:vAlign w:val="center"/>
            <w:textDirection w:val="lrTb"/>
            <w:noWrap/>
          </w:tcPr>
          <w:p>
            <w:pPr>
              <w:tabs>
                <w:tab w:val="left" w:pos="284" w:leader="none"/>
              </w:tabs>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综合单价包含卫生热水能源费、热水设备设施维护费、现场运行人工成本；按年度预估用水量</w:t>
            </w:r>
            <w:r>
              <w:rPr>
                <w:rFonts w:hint="eastAsia" w:ascii="宋体" w:hAnsi="宋体" w:cs="宋体"/>
                <w:color w:val="000000" w:themeColor="text1"/>
                <w:sz w:val="24"/>
                <w:szCs w:val="24"/>
                <w14:textFill>
                  <w14:solidFill>
                    <w14:schemeClr w14:val="tx1"/>
                  </w14:solidFill>
                </w14:textFill>
              </w:rPr>
              <w:t xml:space="preserve">85</w:t>
            </w:r>
            <w:r>
              <w:rPr>
                <w:rFonts w:ascii="宋体" w:hAnsi="宋体" w:eastAsia="宋体" w:cs="宋体"/>
                <w:color w:val="000000" w:themeColor="text1"/>
                <w:sz w:val="24"/>
                <w:szCs w:val="24"/>
                <w14:textFill>
                  <w14:solidFill>
                    <w14:schemeClr w14:val="tx1"/>
                  </w14:solidFill>
                </w14:textFill>
              </w:rPr>
              <w:t xml:space="preserve">00吨测算总价</w:t>
            </w:r>
            <w:r>
              <w:rPr>
                <w:rFonts w:hint="eastAsia" w:ascii="宋体" w:hAnsi="宋体" w:cs="宋体"/>
                <w:color w:val="000000" w:themeColor="text1"/>
                <w:sz w:val="24"/>
                <w:szCs w:val="24"/>
                <w14:textFill>
                  <w14:solidFill>
                    <w14:schemeClr w14:val="tx1"/>
                  </w14:solidFill>
                </w14:textFill>
              </w:rPr>
              <w:t xml:space="preserve">，</w:t>
            </w:r>
            <w:r>
              <w:rPr>
                <w:rFonts w:ascii="宋体" w:hAnsi="宋体" w:eastAsia="宋体" w:cs="宋体"/>
                <w:color w:val="000000" w:themeColor="text1"/>
                <w:sz w:val="24"/>
                <w:szCs w:val="24"/>
                <w14:textFill>
                  <w14:solidFill>
                    <w14:schemeClr w14:val="tx1"/>
                  </w14:solidFill>
                </w14:textFill>
              </w:rPr>
              <w:t xml:space="preserve">合同执行期间按实际热水使用吨数结算费用</w:t>
            </w:r>
            <w:r/>
          </w:p>
        </w:tc>
      </w:tr>
      <w:tr>
        <w:trPr>
          <w:jc w:val="center"/>
          <w:trHeight w:val="672"/>
        </w:trPr>
        <w:tc>
          <w:tcPr>
            <w:gridSpan w:val="4"/>
            <w:tcW w:w="2688" w:type="pct"/>
            <w:vAlign w:val="center"/>
            <w:textDirection w:val="lrTb"/>
            <w:noWrap/>
          </w:tcPr>
          <w:p>
            <w:pPr>
              <w:jc w:val="center"/>
              <w:tabs>
                <w:tab w:val="left" w:pos="284"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合计（元/年）：</w:t>
            </w:r>
            <w:r/>
          </w:p>
        </w:tc>
        <w:tc>
          <w:tcPr>
            <w:tcW w:w="939" w:type="pct"/>
            <w:vAlign w:val="center"/>
            <w:textDirection w:val="lrTb"/>
            <w:noWrap/>
          </w:tcPr>
          <w:p>
            <w:pPr>
              <w:jc w:val="center"/>
              <w:tabs>
                <w:tab w:val="left" w:pos="284" w:leader="none"/>
              </w:tabs>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1373" w:type="pct"/>
            <w:vAlign w:val="center"/>
            <w:textDirection w:val="lrTb"/>
            <w:noWrap/>
          </w:tcPr>
          <w:p>
            <w:pPr>
              <w:jc w:val="center"/>
              <w:tabs>
                <w:tab w:val="left" w:pos="284" w:leader="none"/>
              </w:tabs>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r>
      <w:tr>
        <w:trPr>
          <w:jc w:val="center"/>
          <w:trHeight w:val="672"/>
        </w:trPr>
        <w:tc>
          <w:tcPr>
            <w:gridSpan w:val="4"/>
            <w:tcW w:w="2688" w:type="pct"/>
            <w:vAlign w:val="center"/>
            <w:textDirection w:val="lrTb"/>
            <w:noWrap/>
          </w:tcPr>
          <w:p>
            <w:pPr>
              <w:jc w:val="center"/>
              <w:tabs>
                <w:tab w:val="left" w:pos="284" w:leader="none"/>
              </w:tabs>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投标总报价（元/八年）：</w:t>
            </w:r>
            <w:r/>
          </w:p>
        </w:tc>
        <w:tc>
          <w:tcPr>
            <w:tcW w:w="939" w:type="pct"/>
            <w:vAlign w:val="center"/>
            <w:textDirection w:val="lrTb"/>
            <w:noWrap/>
          </w:tcPr>
          <w:p>
            <w:pPr>
              <w:jc w:val="center"/>
              <w:tabs>
                <w:tab w:val="left" w:pos="284" w:leader="none"/>
              </w:tabs>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1373" w:type="pct"/>
            <w:vAlign w:val="center"/>
            <w:textDirection w:val="lrTb"/>
            <w:noWrap/>
          </w:tcPr>
          <w:p>
            <w:pPr>
              <w:jc w:val="center"/>
              <w:tabs>
                <w:tab w:val="left" w:pos="284" w:leader="none"/>
              </w:tabs>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r>
    </w:tbl>
    <w:p>
      <w:pPr>
        <w:jc w:val="center"/>
        <w:spacing w:line="479" w:lineRule="atLeast"/>
        <w:rPr>
          <w:rFonts w:ascii="仿宋" w:hAnsi="仿宋" w:eastAsia="仿宋" w:cs="仿宋"/>
          <w:b/>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备注：</w:t>
      </w:r>
      <w:r/>
    </w:p>
    <w:p>
      <w:pPr>
        <w:ind w:left="480"/>
        <w:jc w:val="both"/>
        <w:spacing w:line="47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1.投标报价采用总承包方式，“投标总报价”应包括采购人需求的服务（包含与服务相关的货物）价格、培训费用等，项目在指定地点、环境交付、安装、调试、验收所需费用和所有相关税金费用及为完成整个项目所产生的其它所有费用，招标文件另有规定的除外。</w:t>
      </w:r>
      <w:r/>
    </w:p>
    <w:p>
      <w:pPr>
        <w:ind w:left="480"/>
        <w:jc w:val="both"/>
        <w:spacing w:line="47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2.“投标分项报价表”中“投标总报价”数额应当与“开标一览表”中“投标总报价”数额一致。</w:t>
      </w:r>
      <w:r/>
    </w:p>
    <w:p>
      <w:pPr>
        <w:ind w:left="48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3. 项目经办人可以根据项目实际需要对表格结构进行调整。</w:t>
      </w:r>
      <w:r>
        <w:rPr>
          <w:rFonts w:ascii="Calibri" w:hAnsi="Calibri" w:eastAsia="仿宋" w:cs="Calibri"/>
          <w:b/>
          <w:color w:val="000000" w:themeColor="text1"/>
          <w:sz w:val="28"/>
          <w14:textFill>
            <w14:solidFill>
              <w14:schemeClr w14:val="tx1"/>
            </w14:solidFill>
          </w14:textFill>
        </w:rPr>
        <w:t xml:space="preserve"> </w:t>
      </w:r>
      <w:r/>
    </w:p>
    <w:p>
      <w:pPr>
        <w:ind w:left="48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r>
      <w:r/>
    </w:p>
    <w:p>
      <w:pPr>
        <w:jc w:val="center"/>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 </w:t>
      </w:r>
      <w:r/>
    </w:p>
    <w:p>
      <w:pPr>
        <w:ind w:firstLine="560"/>
        <w:spacing w:line="360" w:lineRule="auto"/>
        <w:rPr>
          <w:rFonts w:ascii="仿宋" w:hAnsi="仿宋" w:eastAsia="仿宋"/>
          <w:color w:val="000000" w:themeColor="text1"/>
          <w:sz w:val="28"/>
          <w:szCs w:val="21"/>
          <w14:textFill>
            <w14:solidFill>
              <w14:schemeClr w14:val="tx1"/>
            </w14:solidFill>
          </w14:textFill>
        </w:rPr>
      </w:pPr>
      <w:r>
        <w:rPr>
          <w:rFonts w:hint="eastAsia" w:ascii="仿宋" w:hAnsi="仿宋" w:eastAsia="仿宋"/>
          <w:color w:val="000000" w:themeColor="text1"/>
          <w:sz w:val="28"/>
          <w:szCs w:val="21"/>
          <w14:textFill>
            <w14:solidFill>
              <w14:schemeClr w14:val="tx1"/>
            </w14:solidFill>
          </w14:textFill>
        </w:rPr>
        <w:t xml:space="preserve">投标人名称：</w:t>
      </w:r>
      <w:r>
        <w:rPr>
          <w:rFonts w:ascii="仿宋" w:hAnsi="仿宋" w:eastAsia="仿宋"/>
          <w:color w:val="000000" w:themeColor="text1"/>
          <w:sz w:val="28"/>
          <w:szCs w:val="21"/>
          <w:u w:val="single"/>
          <w14:textFill>
            <w14:solidFill>
              <w14:schemeClr w14:val="tx1"/>
            </w14:solidFill>
          </w14:textFill>
        </w:rPr>
        <w:t xml:space="preserve">     </w:t>
      </w:r>
      <w:r>
        <w:rPr>
          <w:rFonts w:hint="eastAsia" w:ascii="仿宋" w:hAnsi="仿宋" w:eastAsia="仿宋"/>
          <w:color w:val="000000" w:themeColor="text1"/>
          <w:sz w:val="28"/>
          <w:szCs w:val="21"/>
          <w:u w:val="single"/>
          <w14:textFill>
            <w14:solidFill>
              <w14:schemeClr w14:val="tx1"/>
            </w14:solidFill>
          </w14:textFill>
        </w:rPr>
        <w:t xml:space="preserve">            </w:t>
      </w:r>
      <w:r>
        <w:rPr>
          <w:rFonts w:hint="eastAsia" w:ascii="仿宋" w:hAnsi="仿宋" w:eastAsia="仿宋"/>
          <w:color w:val="000000" w:themeColor="text1"/>
          <w:sz w:val="28"/>
          <w:szCs w:val="21"/>
          <w14:textFill>
            <w14:solidFill>
              <w14:schemeClr w14:val="tx1"/>
            </w14:solidFill>
          </w14:textFill>
        </w:rPr>
        <w:t xml:space="preserve">（加盖CA电子公章）</w:t>
      </w:r>
      <w:r>
        <w:rPr>
          <w:rFonts w:ascii="仿宋" w:hAnsi="仿宋" w:eastAsia="仿宋"/>
          <w:color w:val="000000" w:themeColor="text1"/>
          <w:sz w:val="28"/>
          <w:szCs w:val="21"/>
          <w14:textFill>
            <w14:solidFill>
              <w14:schemeClr w14:val="tx1"/>
            </w14:solidFill>
          </w14:textFill>
        </w:rPr>
        <w:t xml:space="preserve"> </w:t>
      </w:r>
      <w:r/>
    </w:p>
    <w:p>
      <w:pPr>
        <w:ind w:firstLine="560"/>
        <w:spacing w:line="360" w:lineRule="auto"/>
        <w:rPr>
          <w:rFonts w:ascii="仿宋" w:hAnsi="仿宋" w:eastAsia="仿宋"/>
          <w:color w:val="000000" w:themeColor="text1"/>
          <w:sz w:val="28"/>
          <w:szCs w:val="21"/>
          <w14:textFill>
            <w14:solidFill>
              <w14:schemeClr w14:val="tx1"/>
            </w14:solidFill>
          </w14:textFill>
        </w:rPr>
      </w:pPr>
      <w:r>
        <w:rPr>
          <w:rFonts w:hint="eastAsia" w:ascii="仿宋" w:hAnsi="仿宋" w:eastAsia="仿宋"/>
          <w:color w:val="000000" w:themeColor="text1"/>
          <w:sz w:val="28"/>
          <w:szCs w:val="21"/>
          <w14:textFill>
            <w14:solidFill>
              <w14:schemeClr w14:val="tx1"/>
            </w14:solidFill>
          </w14:textFill>
        </w:rPr>
        <w:t xml:space="preserve">法定代表人签字/签章或其授权代表签字：</w:t>
      </w:r>
      <w:r>
        <w:rPr>
          <w:rFonts w:ascii="仿宋" w:hAnsi="仿宋" w:eastAsia="仿宋"/>
          <w:color w:val="000000" w:themeColor="text1"/>
          <w:sz w:val="28"/>
          <w:szCs w:val="21"/>
          <w:u w:val="single"/>
          <w14:textFill>
            <w14:solidFill>
              <w14:schemeClr w14:val="tx1"/>
            </w14:solidFill>
          </w14:textFill>
        </w:rPr>
        <w:t xml:space="preserve"> </w:t>
      </w:r>
      <w:r/>
    </w:p>
    <w:p>
      <w:pPr>
        <w:ind w:firstLine="560"/>
        <w:spacing w:line="360" w:lineRule="auto"/>
        <w:rPr>
          <w:rFonts w:ascii="仿宋" w:hAnsi="仿宋" w:eastAsia="仿宋"/>
          <w:color w:val="000000" w:themeColor="text1"/>
          <w:sz w:val="28"/>
          <w:szCs w:val="21"/>
          <w14:textFill>
            <w14:solidFill>
              <w14:schemeClr w14:val="tx1"/>
            </w14:solidFill>
          </w14:textFill>
        </w:rPr>
      </w:pPr>
      <w:r>
        <w:rPr>
          <w:rFonts w:hint="eastAsia" w:ascii="仿宋" w:hAnsi="仿宋" w:eastAsia="仿宋"/>
          <w:color w:val="000000" w:themeColor="text1"/>
          <w:sz w:val="28"/>
          <w:szCs w:val="21"/>
          <w14:textFill>
            <w14:solidFill>
              <w14:schemeClr w14:val="tx1"/>
            </w14:solidFill>
          </w14:textFill>
        </w:rPr>
        <w:t xml:space="preserve">日期：2026年</w:t>
      </w:r>
      <w:r>
        <w:rPr>
          <w:rFonts w:hint="eastAsia" w:ascii="仿宋" w:hAnsi="仿宋" w:eastAsia="仿宋"/>
          <w:color w:val="000000" w:themeColor="text1"/>
          <w:sz w:val="28"/>
          <w:szCs w:val="21"/>
          <w:u w:val="single"/>
          <w14:textFill>
            <w14:solidFill>
              <w14:schemeClr w14:val="tx1"/>
            </w14:solidFill>
          </w14:textFill>
        </w:rPr>
        <w:t xml:space="preserve">    </w:t>
      </w:r>
      <w:r>
        <w:rPr>
          <w:rFonts w:hint="eastAsia" w:ascii="仿宋" w:hAnsi="仿宋" w:eastAsia="仿宋"/>
          <w:color w:val="000000" w:themeColor="text1"/>
          <w:sz w:val="28"/>
          <w:szCs w:val="21"/>
          <w14:textFill>
            <w14:solidFill>
              <w14:schemeClr w14:val="tx1"/>
            </w14:solidFill>
          </w14:textFill>
        </w:rPr>
        <w:t xml:space="preserve">月</w:t>
      </w:r>
      <w:r>
        <w:rPr>
          <w:rFonts w:hint="eastAsia" w:ascii="仿宋" w:hAnsi="仿宋" w:eastAsia="仿宋"/>
          <w:color w:val="000000" w:themeColor="text1"/>
          <w:sz w:val="28"/>
          <w:szCs w:val="21"/>
          <w:u w:val="single"/>
          <w14:textFill>
            <w14:solidFill>
              <w14:schemeClr w14:val="tx1"/>
            </w14:solidFill>
          </w14:textFill>
        </w:rPr>
        <w:t xml:space="preserve">    </w:t>
      </w:r>
      <w:r>
        <w:rPr>
          <w:rFonts w:hint="eastAsia" w:ascii="仿宋" w:hAnsi="仿宋" w:eastAsia="仿宋"/>
          <w:color w:val="000000" w:themeColor="text1"/>
          <w:sz w:val="28"/>
          <w:szCs w:val="21"/>
          <w14:textFill>
            <w14:solidFill>
              <w14:schemeClr w14:val="tx1"/>
            </w14:solidFill>
          </w14:textFill>
        </w:rPr>
        <w:t xml:space="preserve">日</w:t>
      </w:r>
      <w:r>
        <w:rPr>
          <w:rFonts w:ascii="仿宋" w:hAnsi="仿宋" w:eastAsia="仿宋"/>
          <w:color w:val="000000" w:themeColor="text1"/>
          <w:sz w:val="28"/>
          <w:szCs w:val="21"/>
          <w14:textFill>
            <w14:solidFill>
              <w14:schemeClr w14:val="tx1"/>
            </w14:solidFill>
          </w14:textFill>
        </w:rPr>
        <w:br w:type="page" w:clear="all"/>
      </w:r>
      <w:r/>
    </w:p>
    <w:p>
      <w:pPr>
        <w:pStyle w:val="736"/>
        <w:spacing w:before="260" w:after="260" w:line="761" w:lineRule="atLeast"/>
        <w:rPr>
          <w:rFonts w:ascii="仿宋" w:hAnsi="仿宋" w:eastAsia="仿宋" w:cs="仿宋"/>
          <w:b/>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附件3 技术要求响应及偏离表</w:t>
      </w:r>
      <w:r/>
    </w:p>
    <w:p>
      <w:pPr>
        <w:jc w:val="center"/>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技术要求响应及偏离表</w:t>
      </w:r>
      <w:r/>
    </w:p>
    <w:tbl>
      <w:tblPr>
        <w:tblStyle w:val="776"/>
        <w:tblW w:w="920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063"/>
        <w:gridCol w:w="3191"/>
        <w:gridCol w:w="2405"/>
      </w:tblGrid>
      <w:tr>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04" w:type="dxa"/>
            <w:vAlign w:val="center"/>
            <w:textDirection w:val="lrTb"/>
            <w:noWrap w:val="false"/>
          </w:tcPr>
          <w:p>
            <w:pPr>
              <w:spacing w:line="479" w:lineRule="atLeast"/>
              <w:rPr>
                <w:rFonts w:ascii="仿宋" w:hAnsi="仿宋" w:eastAsia="仿宋" w:cs="仿宋"/>
                <w:color w:val="000000" w:themeColor="text1"/>
                <w:sz w:val="28"/>
                <w14:textFill>
                  <w14:solidFill>
                    <w14:schemeClr w14:val="tx1"/>
                  </w14:solidFill>
                </w14:textFill>
              </w:rPr>
            </w:pPr>
            <w:r>
              <w:rPr>
                <w:rFonts w:hint="eastAsia" w:ascii="仿宋" w:hAnsi="仿宋" w:eastAsia="仿宋" w:cs="仿宋"/>
                <w:color w:val="000000" w:themeColor="text1"/>
                <w:sz w:val="28"/>
                <w14:textFill>
                  <w14:solidFill>
                    <w14:schemeClr w14:val="tx1"/>
                  </w14:solidFill>
                </w14:textFill>
              </w:rPr>
              <w:t xml:space="preserve">对本项目技术条款的偏离情况（</w:t>
            </w:r>
            <w:r>
              <w:rPr>
                <w:rFonts w:hint="eastAsia" w:ascii="仿宋" w:hAnsi="仿宋" w:eastAsia="仿宋" w:cs="仿宋"/>
                <w:b/>
                <w:bCs/>
                <w:color w:val="000000" w:themeColor="text1"/>
                <w:sz w:val="28"/>
                <w14:textFill>
                  <w14:solidFill>
                    <w14:schemeClr w14:val="tx1"/>
                  </w14:solidFill>
                </w14:textFill>
              </w:rPr>
              <w:t xml:space="preserve">请进行勾选</w:t>
            </w:r>
            <w:r>
              <w:rPr>
                <w:rFonts w:hint="eastAsia" w:ascii="仿宋" w:hAnsi="仿宋" w:eastAsia="仿宋" w:cs="仿宋"/>
                <w:color w:val="000000" w:themeColor="text1"/>
                <w:sz w:val="28"/>
                <w14:textFill>
                  <w14:solidFill>
                    <w14:schemeClr w14:val="tx1"/>
                  </w14:solidFill>
                </w14:textFill>
              </w:rPr>
              <w:t xml:space="preserve">）：</w:t>
            </w:r>
            <w:r/>
          </w:p>
          <w:p>
            <w:pPr>
              <w:spacing w:line="479" w:lineRule="atLeast"/>
              <w:rPr>
                <w:rFonts w:ascii="仿宋" w:hAnsi="仿宋" w:eastAsia="仿宋" w:cs="仿宋"/>
                <w:b/>
                <w:bCs/>
                <w:color w:val="000000" w:themeColor="text1"/>
                <w:sz w:val="28"/>
                <w14:textFill>
                  <w14:solidFill>
                    <w14:schemeClr w14:val="tx1"/>
                  </w14:solidFill>
                </w14:textFill>
              </w:rPr>
            </w:pPr>
            <w:r>
              <w:rPr>
                <w:rFonts w:hint="eastAsia" w:ascii="仿宋" w:hAnsi="仿宋" w:eastAsia="仿宋" w:cs="仿宋"/>
                <w:b/>
                <w:bCs/>
                <w:color w:val="000000" w:themeColor="text1"/>
                <w:sz w:val="28"/>
                <w14:textFill>
                  <w14:solidFill>
                    <w14:schemeClr w14:val="tx1"/>
                  </w14:solidFill>
                </w14:textFill>
              </w:rPr>
              <w:t xml:space="preserve">□无偏离（如无偏离，仅勾选无偏离即可，视同全部响应）</w:t>
            </w:r>
            <w:r/>
          </w:p>
          <w:p>
            <w:pPr>
              <w:spacing w:line="479" w:lineRule="atLeast"/>
              <w:rPr>
                <w:rFonts w:ascii="仿宋" w:hAnsi="仿宋" w:eastAsia="仿宋" w:cs="仿宋"/>
                <w:b/>
                <w:bCs/>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14:textFill>
                  <w14:solidFill>
                    <w14:schemeClr w14:val="tx1"/>
                  </w14:solidFill>
                </w14:textFill>
              </w:rPr>
              <w:t xml:space="preserve">□有偏离（如有偏离，则应在本表中对偏离项逐一列明）</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5" w:type="dxa"/>
            <w:vAlign w:val="center"/>
            <w:textDirection w:val="lrTb"/>
            <w:noWrap w:val="false"/>
          </w:tcPr>
          <w:p>
            <w:pPr>
              <w:jc w:val="center"/>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响应或正/负偏离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5" w:type="dxa"/>
            <w:textDirection w:val="lrTb"/>
            <w:noWrap w:val="false"/>
          </w:tcPr>
          <w:p>
            <w:pPr>
              <w:jc w:val="center"/>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5" w:type="dxa"/>
            <w:textDirection w:val="lrTb"/>
            <w:noWrap w:val="false"/>
          </w:tcPr>
          <w:p>
            <w:pPr>
              <w:jc w:val="center"/>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 </w:t>
            </w:r>
            <w:r/>
          </w:p>
        </w:tc>
      </w:tr>
    </w:tbl>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附件3-1  证明材料1，证明材料2，……</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 </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备注：</w:t>
      </w:r>
      <w:r/>
    </w:p>
    <w:p>
      <w:pPr>
        <w:jc w:val="both"/>
        <w:spacing w:line="47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1.投标人需对</w:t>
      </w:r>
      <w:r>
        <w:rPr>
          <w:rFonts w:hint="eastAsia" w:ascii="仿宋" w:hAnsi="仿宋" w:eastAsia="仿宋" w:cs="仿宋"/>
          <w:color w:val="000000" w:themeColor="text1"/>
          <w:sz w:val="28"/>
          <w14:textFill>
            <w14:solidFill>
              <w14:schemeClr w14:val="tx1"/>
            </w14:solidFill>
          </w14:textFill>
        </w:rPr>
        <w:t xml:space="preserve">《第四章 采购需求》二、</w:t>
      </w:r>
      <w:r>
        <w:rPr>
          <w:rFonts w:ascii="仿宋" w:hAnsi="仿宋" w:eastAsia="仿宋" w:cs="仿宋"/>
          <w:color w:val="000000" w:themeColor="text1"/>
          <w:sz w:val="28"/>
          <w14:textFill>
            <w14:solidFill>
              <w14:schemeClr w14:val="tx1"/>
            </w14:solidFill>
          </w14:textFill>
        </w:rPr>
        <w:t xml:space="preserve">技术要求逐条做出响应</w:t>
      </w:r>
      <w:r>
        <w:rPr>
          <w:rFonts w:hint="eastAsia" w:ascii="仿宋" w:hAnsi="仿宋" w:eastAsia="仿宋" w:cs="仿宋"/>
          <w:color w:val="000000" w:themeColor="text1"/>
          <w:sz w:val="28"/>
          <w14:textFill>
            <w14:solidFill>
              <w14:schemeClr w14:val="tx1"/>
            </w14:solidFill>
          </w14:textFill>
        </w:rPr>
        <w:t xml:space="preserve">,如有偏离项（不能提供的产品或服务），请于本表中列明偏离内容，如需要可自行延长，其余无偏离内容无须填写</w:t>
      </w:r>
      <w:r>
        <w:rPr>
          <w:rFonts w:ascii="仿宋" w:hAnsi="仿宋" w:eastAsia="仿宋" w:cs="仿宋"/>
          <w:color w:val="000000" w:themeColor="text1"/>
          <w:sz w:val="28"/>
          <w14:textFill>
            <w14:solidFill>
              <w14:schemeClr w14:val="tx1"/>
            </w14:solidFill>
          </w14:textFill>
        </w:rPr>
        <w:t xml:space="preserve">。</w:t>
      </w:r>
      <w:r/>
    </w:p>
    <w:p>
      <w:pPr>
        <w:jc w:val="both"/>
        <w:spacing w:line="47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2</w:t>
      </w:r>
      <w:r>
        <w:rPr>
          <w:rFonts w:ascii="仿宋" w:hAnsi="仿宋" w:eastAsia="仿宋" w:cs="仿宋"/>
          <w:color w:val="000000" w:themeColor="text1"/>
          <w:sz w:val="28"/>
          <w14:textFill>
            <w14:solidFill>
              <w14:schemeClr w14:val="tx1"/>
            </w14:solidFill>
          </w14:textFill>
        </w:rPr>
        <w:t xml:space="preserve">.</w:t>
      </w:r>
      <w:r>
        <w:rPr>
          <w:rFonts w:hint="eastAsia" w:ascii="仿宋" w:hAnsi="仿宋" w:eastAsia="仿宋" w:cs="仿宋"/>
          <w:color w:val="000000" w:themeColor="text1"/>
          <w:sz w:val="28"/>
          <w14:textFill>
            <w14:solidFill>
              <w14:schemeClr w14:val="tx1"/>
            </w14:solidFill>
          </w14:textFill>
        </w:rPr>
        <w:t xml:space="preserve">若逐条响应，本表需根据招标文件《第四部分：采购需求》的全部技术内容应答，不允许缺漏，否则视为无效投标。</w:t>
      </w:r>
      <w:r/>
    </w:p>
    <w:p>
      <w:pPr>
        <w:jc w:val="both"/>
        <w:spacing w:line="47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3.如果招标文件要求提供证明材料，投标人需将证明材料列于该表之下。</w:t>
      </w:r>
      <w:r/>
    </w:p>
    <w:p>
      <w:pPr>
        <w:jc w:val="both"/>
        <w:spacing w:line="47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r>
      <w:r/>
    </w:p>
    <w:p>
      <w:pPr>
        <w:ind w:firstLine="560"/>
        <w:spacing w:line="360" w:lineRule="auto"/>
        <w:rPr>
          <w:rFonts w:ascii="仿宋" w:hAnsi="仿宋" w:eastAsia="仿宋"/>
          <w:color w:val="000000" w:themeColor="text1"/>
          <w:sz w:val="28"/>
          <w:szCs w:val="21"/>
          <w14:textFill>
            <w14:solidFill>
              <w14:schemeClr w14:val="tx1"/>
            </w14:solidFill>
          </w14:textFill>
        </w:rPr>
      </w:pPr>
      <w:r>
        <w:rPr>
          <w:rFonts w:hint="eastAsia" w:ascii="仿宋" w:hAnsi="仿宋" w:eastAsia="仿宋"/>
          <w:color w:val="000000" w:themeColor="text1"/>
          <w:sz w:val="28"/>
          <w:szCs w:val="21"/>
          <w14:textFill>
            <w14:solidFill>
              <w14:schemeClr w14:val="tx1"/>
            </w14:solidFill>
          </w14:textFill>
        </w:rPr>
        <w:t xml:space="preserve">投标人名称：</w:t>
      </w:r>
      <w:r>
        <w:rPr>
          <w:rFonts w:ascii="仿宋" w:hAnsi="仿宋" w:eastAsia="仿宋"/>
          <w:color w:val="000000" w:themeColor="text1"/>
          <w:sz w:val="28"/>
          <w:szCs w:val="21"/>
          <w:u w:val="single"/>
          <w14:textFill>
            <w14:solidFill>
              <w14:schemeClr w14:val="tx1"/>
            </w14:solidFill>
          </w14:textFill>
        </w:rPr>
        <w:t xml:space="preserve">     </w:t>
      </w:r>
      <w:r>
        <w:rPr>
          <w:rFonts w:hint="eastAsia" w:ascii="仿宋" w:hAnsi="仿宋" w:eastAsia="仿宋"/>
          <w:color w:val="000000" w:themeColor="text1"/>
          <w:sz w:val="28"/>
          <w:szCs w:val="21"/>
          <w:u w:val="single"/>
          <w14:textFill>
            <w14:solidFill>
              <w14:schemeClr w14:val="tx1"/>
            </w14:solidFill>
          </w14:textFill>
        </w:rPr>
        <w:t xml:space="preserve">            </w:t>
      </w:r>
      <w:r>
        <w:rPr>
          <w:rFonts w:hint="eastAsia" w:ascii="仿宋" w:hAnsi="仿宋" w:eastAsia="仿宋"/>
          <w:color w:val="000000" w:themeColor="text1"/>
          <w:sz w:val="28"/>
          <w:szCs w:val="21"/>
          <w14:textFill>
            <w14:solidFill>
              <w14:schemeClr w14:val="tx1"/>
            </w14:solidFill>
          </w14:textFill>
        </w:rPr>
        <w:t xml:space="preserve">（加盖CA电子公章）</w:t>
      </w:r>
      <w:r>
        <w:rPr>
          <w:rFonts w:ascii="仿宋" w:hAnsi="仿宋" w:eastAsia="仿宋"/>
          <w:color w:val="000000" w:themeColor="text1"/>
          <w:sz w:val="28"/>
          <w:szCs w:val="21"/>
          <w14:textFill>
            <w14:solidFill>
              <w14:schemeClr w14:val="tx1"/>
            </w14:solidFill>
          </w14:textFill>
        </w:rPr>
        <w:t xml:space="preserve"> </w:t>
      </w:r>
      <w:r/>
    </w:p>
    <w:p>
      <w:pPr>
        <w:ind w:firstLine="560"/>
        <w:spacing w:line="360" w:lineRule="auto"/>
        <w:rPr>
          <w:rFonts w:ascii="仿宋" w:hAnsi="仿宋" w:eastAsia="仿宋"/>
          <w:color w:val="000000" w:themeColor="text1"/>
          <w:sz w:val="28"/>
          <w:szCs w:val="21"/>
          <w14:textFill>
            <w14:solidFill>
              <w14:schemeClr w14:val="tx1"/>
            </w14:solidFill>
          </w14:textFill>
        </w:rPr>
      </w:pPr>
      <w:r>
        <w:rPr>
          <w:rFonts w:hint="eastAsia" w:ascii="仿宋" w:hAnsi="仿宋" w:eastAsia="仿宋"/>
          <w:color w:val="000000" w:themeColor="text1"/>
          <w:sz w:val="28"/>
          <w:szCs w:val="21"/>
          <w14:textFill>
            <w14:solidFill>
              <w14:schemeClr w14:val="tx1"/>
            </w14:solidFill>
          </w14:textFill>
        </w:rPr>
        <w:t xml:space="preserve">法定代表人签字/签章或其授权代表签字：</w:t>
      </w:r>
      <w:r>
        <w:rPr>
          <w:rFonts w:ascii="仿宋" w:hAnsi="仿宋" w:eastAsia="仿宋"/>
          <w:color w:val="000000" w:themeColor="text1"/>
          <w:sz w:val="28"/>
          <w:szCs w:val="21"/>
          <w:u w:val="single"/>
          <w14:textFill>
            <w14:solidFill>
              <w14:schemeClr w14:val="tx1"/>
            </w14:solidFill>
          </w14:textFill>
        </w:rPr>
        <w:t xml:space="preserve"> </w:t>
      </w:r>
      <w:r/>
    </w:p>
    <w:p>
      <w:pPr>
        <w:ind w:firstLine="560"/>
        <w:spacing w:line="360" w:lineRule="auto"/>
        <w:rPr>
          <w:rFonts w:ascii="仿宋" w:hAnsi="仿宋" w:eastAsia="仿宋"/>
          <w:color w:val="000000" w:themeColor="text1"/>
          <w:sz w:val="28"/>
          <w:szCs w:val="21"/>
          <w14:textFill>
            <w14:solidFill>
              <w14:schemeClr w14:val="tx1"/>
            </w14:solidFill>
          </w14:textFill>
        </w:rPr>
      </w:pPr>
      <w:r>
        <w:rPr>
          <w:rFonts w:hint="eastAsia" w:ascii="仿宋" w:hAnsi="仿宋" w:eastAsia="仿宋"/>
          <w:color w:val="000000" w:themeColor="text1"/>
          <w:sz w:val="28"/>
          <w:szCs w:val="21"/>
          <w14:textFill>
            <w14:solidFill>
              <w14:schemeClr w14:val="tx1"/>
            </w14:solidFill>
          </w14:textFill>
        </w:rPr>
        <w:t xml:space="preserve">日期：2026年</w:t>
      </w:r>
      <w:r>
        <w:rPr>
          <w:rFonts w:hint="eastAsia" w:ascii="仿宋" w:hAnsi="仿宋" w:eastAsia="仿宋"/>
          <w:color w:val="000000" w:themeColor="text1"/>
          <w:sz w:val="28"/>
          <w:szCs w:val="21"/>
          <w:u w:val="single"/>
          <w14:textFill>
            <w14:solidFill>
              <w14:schemeClr w14:val="tx1"/>
            </w14:solidFill>
          </w14:textFill>
        </w:rPr>
        <w:t xml:space="preserve">    </w:t>
      </w:r>
      <w:r>
        <w:rPr>
          <w:rFonts w:hint="eastAsia" w:ascii="仿宋" w:hAnsi="仿宋" w:eastAsia="仿宋"/>
          <w:color w:val="000000" w:themeColor="text1"/>
          <w:sz w:val="28"/>
          <w:szCs w:val="21"/>
          <w14:textFill>
            <w14:solidFill>
              <w14:schemeClr w14:val="tx1"/>
            </w14:solidFill>
          </w14:textFill>
        </w:rPr>
        <w:t xml:space="preserve">月</w:t>
      </w:r>
      <w:r>
        <w:rPr>
          <w:rFonts w:hint="eastAsia" w:ascii="仿宋" w:hAnsi="仿宋" w:eastAsia="仿宋"/>
          <w:color w:val="000000" w:themeColor="text1"/>
          <w:sz w:val="28"/>
          <w:szCs w:val="21"/>
          <w:u w:val="single"/>
          <w14:textFill>
            <w14:solidFill>
              <w14:schemeClr w14:val="tx1"/>
            </w14:solidFill>
          </w14:textFill>
        </w:rPr>
        <w:t xml:space="preserve">    </w:t>
      </w:r>
      <w:r>
        <w:rPr>
          <w:rFonts w:hint="eastAsia" w:ascii="仿宋" w:hAnsi="仿宋" w:eastAsia="仿宋"/>
          <w:color w:val="000000" w:themeColor="text1"/>
          <w:sz w:val="28"/>
          <w:szCs w:val="21"/>
          <w14:textFill>
            <w14:solidFill>
              <w14:schemeClr w14:val="tx1"/>
            </w14:solidFill>
          </w14:textFill>
        </w:rPr>
        <w:t xml:space="preserve">日</w:t>
      </w:r>
      <w:r>
        <w:rPr>
          <w:rFonts w:ascii="仿宋" w:hAnsi="仿宋" w:eastAsia="仿宋"/>
          <w:color w:val="000000" w:themeColor="text1"/>
          <w:sz w:val="28"/>
          <w:szCs w:val="21"/>
          <w14:textFill>
            <w14:solidFill>
              <w14:schemeClr w14:val="tx1"/>
            </w14:solidFill>
          </w14:textFill>
        </w:rPr>
        <w:br w:type="page" w:clear="all"/>
      </w:r>
      <w:r/>
    </w:p>
    <w:p>
      <w:pPr>
        <w:pStyle w:val="736"/>
        <w:jc w:val="center"/>
        <w:spacing w:before="260" w:after="260" w:line="761"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附件4 商务要求响应及偏离表</w:t>
      </w:r>
      <w:r/>
    </w:p>
    <w:p>
      <w:pPr>
        <w:jc w:val="center"/>
        <w:spacing w:line="479" w:lineRule="atLeast"/>
        <w:rPr>
          <w:rFonts w:ascii="仿宋" w:hAnsi="仿宋" w:eastAsia="仿宋" w:cs="仿宋"/>
          <w:b/>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商务要求响应及偏离表</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27" w:type="dxa"/>
            <w:vAlign w:val="center"/>
            <w:textDirection w:val="lrTb"/>
            <w:noWrap w:val="false"/>
          </w:tcPr>
          <w:p>
            <w:pPr>
              <w:spacing w:line="479" w:lineRule="atLeast"/>
              <w:rPr>
                <w:rFonts w:ascii="仿宋" w:hAnsi="仿宋" w:eastAsia="仿宋" w:cs="仿宋"/>
                <w:color w:val="000000" w:themeColor="text1"/>
                <w:sz w:val="28"/>
                <w14:textFill>
                  <w14:solidFill>
                    <w14:schemeClr w14:val="tx1"/>
                  </w14:solidFill>
                </w14:textFill>
              </w:rPr>
            </w:pPr>
            <w:r>
              <w:rPr>
                <w:rFonts w:hint="eastAsia" w:ascii="仿宋" w:hAnsi="仿宋" w:eastAsia="仿宋" w:cs="仿宋"/>
                <w:color w:val="000000" w:themeColor="text1"/>
                <w:sz w:val="28"/>
                <w14:textFill>
                  <w14:solidFill>
                    <w14:schemeClr w14:val="tx1"/>
                  </w14:solidFill>
                </w14:textFill>
              </w:rPr>
              <w:t xml:space="preserve">对本项目技术、商务条款的偏离情况（</w:t>
            </w:r>
            <w:r>
              <w:rPr>
                <w:rFonts w:hint="eastAsia" w:ascii="仿宋" w:hAnsi="仿宋" w:eastAsia="仿宋" w:cs="仿宋"/>
                <w:b/>
                <w:bCs/>
                <w:color w:val="000000" w:themeColor="text1"/>
                <w:sz w:val="28"/>
                <w14:textFill>
                  <w14:solidFill>
                    <w14:schemeClr w14:val="tx1"/>
                  </w14:solidFill>
                </w14:textFill>
              </w:rPr>
              <w:t xml:space="preserve">请进行勾选</w:t>
            </w:r>
            <w:r>
              <w:rPr>
                <w:rFonts w:hint="eastAsia" w:ascii="仿宋" w:hAnsi="仿宋" w:eastAsia="仿宋" w:cs="仿宋"/>
                <w:color w:val="000000" w:themeColor="text1"/>
                <w:sz w:val="28"/>
                <w14:textFill>
                  <w14:solidFill>
                    <w14:schemeClr w14:val="tx1"/>
                  </w14:solidFill>
                </w14:textFill>
              </w:rPr>
              <w:t xml:space="preserve">）：</w:t>
            </w:r>
            <w:r/>
          </w:p>
          <w:p>
            <w:pPr>
              <w:spacing w:line="479" w:lineRule="atLeast"/>
              <w:rPr>
                <w:rFonts w:ascii="仿宋" w:hAnsi="仿宋" w:eastAsia="仿宋" w:cs="仿宋"/>
                <w:b/>
                <w:bCs/>
                <w:color w:val="000000" w:themeColor="text1"/>
                <w:sz w:val="28"/>
                <w14:textFill>
                  <w14:solidFill>
                    <w14:schemeClr w14:val="tx1"/>
                  </w14:solidFill>
                </w14:textFill>
              </w:rPr>
            </w:pPr>
            <w:r>
              <w:rPr>
                <w:rFonts w:hint="eastAsia" w:ascii="仿宋" w:hAnsi="仿宋" w:eastAsia="仿宋" w:cs="仿宋"/>
                <w:b/>
                <w:bCs/>
                <w:color w:val="000000" w:themeColor="text1"/>
                <w:sz w:val="28"/>
                <w14:textFill>
                  <w14:solidFill>
                    <w14:schemeClr w14:val="tx1"/>
                  </w14:solidFill>
                </w14:textFill>
              </w:rPr>
              <w:t xml:space="preserve">□无偏离（如无偏离，仅勾选无偏离即可，视同全部响应）</w:t>
            </w:r>
            <w:r/>
          </w:p>
          <w:p>
            <w:pPr>
              <w:spacing w:line="47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14:textFill>
                  <w14:solidFill>
                    <w14:schemeClr w14:val="tx1"/>
                  </w14:solidFill>
                </w14:textFill>
              </w:rPr>
              <w:t xml:space="preserve">□有偏离（如有偏离，则应在本表中对偏离项逐一列明）</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响应或正/负偏离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 </w:t>
            </w:r>
            <w:r/>
          </w:p>
        </w:tc>
      </w:tr>
    </w:tbl>
    <w:p>
      <w:pPr>
        <w:jc w:val="both"/>
        <w:spacing w:line="47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备注：</w:t>
      </w:r>
      <w:r/>
    </w:p>
    <w:p>
      <w:pPr>
        <w:spacing w:line="360" w:lineRule="auto"/>
        <w:rPr>
          <w:rFonts w:ascii="仿宋" w:hAnsi="仿宋" w:eastAsia="仿宋" w:cs="仿宋"/>
          <w:color w:val="000000" w:themeColor="text1"/>
          <w:sz w:val="28"/>
          <w14:textFill>
            <w14:solidFill>
              <w14:schemeClr w14:val="tx1"/>
            </w14:solidFill>
          </w14:textFill>
        </w:rPr>
      </w:pPr>
      <w:r>
        <w:rPr>
          <w:rFonts w:hint="eastAsia" w:ascii="仿宋" w:hAnsi="仿宋" w:eastAsia="仿宋" w:cs="仿宋"/>
          <w:color w:val="000000" w:themeColor="text1"/>
          <w:sz w:val="28"/>
          <w14:textFill>
            <w14:solidFill>
              <w14:schemeClr w14:val="tx1"/>
            </w14:solidFill>
          </w14:textFill>
        </w:rPr>
        <w:t xml:space="preserve">1.投标人需对《第四章 采购需求》三、商务要求逐条做出响应,如有偏离项（不能提供的产品或服务），请于本表中列明偏离内容，如需要可自行延长，其余无偏离内容无须填写。</w:t>
      </w:r>
      <w:r/>
    </w:p>
    <w:p>
      <w:pPr>
        <w:spacing w:line="360" w:lineRule="auto"/>
        <w:rPr>
          <w:rFonts w:ascii="仿宋" w:hAnsi="仿宋" w:eastAsia="仿宋" w:cs="仿宋"/>
          <w:color w:val="000000" w:themeColor="text1"/>
          <w:sz w:val="28"/>
          <w14:textFill>
            <w14:solidFill>
              <w14:schemeClr w14:val="tx1"/>
            </w14:solidFill>
          </w14:textFill>
        </w:rPr>
      </w:pPr>
      <w:r>
        <w:rPr>
          <w:rFonts w:hint="eastAsia" w:ascii="仿宋" w:hAnsi="仿宋" w:eastAsia="仿宋" w:cs="仿宋"/>
          <w:color w:val="000000" w:themeColor="text1"/>
          <w:sz w:val="28"/>
          <w14:textFill>
            <w14:solidFill>
              <w14:schemeClr w14:val="tx1"/>
            </w14:solidFill>
          </w14:textFill>
        </w:rPr>
        <w:t xml:space="preserve">2.若逐条响应，本表需根据招标文件《第四部分：采购需求》的全部商务内容应答，不允许缺漏，否则视为无效投标。</w:t>
      </w:r>
      <w:r/>
    </w:p>
    <w:p>
      <w:pPr>
        <w:ind w:firstLine="560"/>
        <w:spacing w:line="360" w:lineRule="auto"/>
        <w:rPr>
          <w:rFonts w:ascii="仿宋" w:hAnsi="仿宋" w:eastAsia="仿宋" w:cs="仿宋"/>
          <w:color w:val="000000" w:themeColor="text1"/>
          <w:sz w:val="28"/>
          <w14:textFill>
            <w14:solidFill>
              <w14:schemeClr w14:val="tx1"/>
            </w14:solidFill>
          </w14:textFill>
        </w:rPr>
      </w:pPr>
      <w:r>
        <w:rPr>
          <w:rFonts w:ascii="仿宋" w:hAnsi="仿宋" w:eastAsia="仿宋" w:cs="仿宋"/>
          <w:color w:val="000000" w:themeColor="text1"/>
          <w:sz w:val="28"/>
          <w14:textFill>
            <w14:solidFill>
              <w14:schemeClr w14:val="tx1"/>
            </w14:solidFill>
          </w14:textFill>
        </w:rPr>
      </w:r>
      <w:r/>
    </w:p>
    <w:p>
      <w:pPr>
        <w:ind w:firstLine="560"/>
        <w:spacing w:line="360" w:lineRule="auto"/>
        <w:rPr>
          <w:rFonts w:ascii="仿宋" w:hAnsi="仿宋" w:eastAsia="仿宋"/>
          <w:color w:val="000000" w:themeColor="text1"/>
          <w:sz w:val="28"/>
          <w:szCs w:val="21"/>
          <w14:textFill>
            <w14:solidFill>
              <w14:schemeClr w14:val="tx1"/>
            </w14:solidFill>
          </w14:textFill>
        </w:rPr>
      </w:pPr>
      <w:r>
        <w:rPr>
          <w:rFonts w:hint="eastAsia" w:ascii="仿宋" w:hAnsi="仿宋" w:eastAsia="仿宋"/>
          <w:color w:val="000000" w:themeColor="text1"/>
          <w:sz w:val="28"/>
          <w:szCs w:val="21"/>
          <w14:textFill>
            <w14:solidFill>
              <w14:schemeClr w14:val="tx1"/>
            </w14:solidFill>
          </w14:textFill>
        </w:rPr>
        <w:t xml:space="preserve">投标人名称：</w:t>
      </w:r>
      <w:r>
        <w:rPr>
          <w:rFonts w:ascii="仿宋" w:hAnsi="仿宋" w:eastAsia="仿宋"/>
          <w:color w:val="000000" w:themeColor="text1"/>
          <w:sz w:val="28"/>
          <w:szCs w:val="21"/>
          <w:u w:val="single"/>
          <w14:textFill>
            <w14:solidFill>
              <w14:schemeClr w14:val="tx1"/>
            </w14:solidFill>
          </w14:textFill>
        </w:rPr>
        <w:t xml:space="preserve">     </w:t>
      </w:r>
      <w:r>
        <w:rPr>
          <w:rFonts w:hint="eastAsia" w:ascii="仿宋" w:hAnsi="仿宋" w:eastAsia="仿宋"/>
          <w:color w:val="000000" w:themeColor="text1"/>
          <w:sz w:val="28"/>
          <w:szCs w:val="21"/>
          <w:u w:val="single"/>
          <w14:textFill>
            <w14:solidFill>
              <w14:schemeClr w14:val="tx1"/>
            </w14:solidFill>
          </w14:textFill>
        </w:rPr>
        <w:t xml:space="preserve">            </w:t>
      </w:r>
      <w:r>
        <w:rPr>
          <w:rFonts w:hint="eastAsia" w:ascii="仿宋" w:hAnsi="仿宋" w:eastAsia="仿宋"/>
          <w:color w:val="000000" w:themeColor="text1"/>
          <w:sz w:val="28"/>
          <w:szCs w:val="21"/>
          <w14:textFill>
            <w14:solidFill>
              <w14:schemeClr w14:val="tx1"/>
            </w14:solidFill>
          </w14:textFill>
        </w:rPr>
        <w:t xml:space="preserve">（加盖CA电子公章）</w:t>
      </w:r>
      <w:r>
        <w:rPr>
          <w:rFonts w:ascii="仿宋" w:hAnsi="仿宋" w:eastAsia="仿宋"/>
          <w:color w:val="000000" w:themeColor="text1"/>
          <w:sz w:val="28"/>
          <w:szCs w:val="21"/>
          <w14:textFill>
            <w14:solidFill>
              <w14:schemeClr w14:val="tx1"/>
            </w14:solidFill>
          </w14:textFill>
        </w:rPr>
        <w:t xml:space="preserve"> </w:t>
      </w:r>
      <w:r/>
    </w:p>
    <w:p>
      <w:pPr>
        <w:ind w:firstLine="560"/>
        <w:spacing w:line="360" w:lineRule="auto"/>
        <w:rPr>
          <w:rFonts w:ascii="仿宋" w:hAnsi="仿宋" w:eastAsia="仿宋"/>
          <w:color w:val="000000" w:themeColor="text1"/>
          <w:sz w:val="28"/>
          <w:szCs w:val="21"/>
          <w14:textFill>
            <w14:solidFill>
              <w14:schemeClr w14:val="tx1"/>
            </w14:solidFill>
          </w14:textFill>
        </w:rPr>
      </w:pPr>
      <w:r>
        <w:rPr>
          <w:rFonts w:hint="eastAsia" w:ascii="仿宋" w:hAnsi="仿宋" w:eastAsia="仿宋"/>
          <w:color w:val="000000" w:themeColor="text1"/>
          <w:sz w:val="28"/>
          <w:szCs w:val="21"/>
          <w14:textFill>
            <w14:solidFill>
              <w14:schemeClr w14:val="tx1"/>
            </w14:solidFill>
          </w14:textFill>
        </w:rPr>
        <w:t xml:space="preserve">法定代表人签字/签章或其授权代表签字：</w:t>
      </w:r>
      <w:r>
        <w:rPr>
          <w:rFonts w:ascii="仿宋" w:hAnsi="仿宋" w:eastAsia="仿宋"/>
          <w:color w:val="000000" w:themeColor="text1"/>
          <w:sz w:val="28"/>
          <w:szCs w:val="21"/>
          <w:u w:val="single"/>
          <w14:textFill>
            <w14:solidFill>
              <w14:schemeClr w14:val="tx1"/>
            </w14:solidFill>
          </w14:textFill>
        </w:rPr>
        <w:t xml:space="preserve"> </w:t>
      </w:r>
      <w:r/>
    </w:p>
    <w:p>
      <w:pPr>
        <w:ind w:firstLine="560"/>
        <w:spacing w:line="360" w:lineRule="auto"/>
        <w:rPr>
          <w:rFonts w:ascii="仿宋" w:hAnsi="仿宋" w:eastAsia="仿宋"/>
          <w:color w:val="000000" w:themeColor="text1"/>
          <w:sz w:val="28"/>
          <w:szCs w:val="21"/>
          <w14:textFill>
            <w14:solidFill>
              <w14:schemeClr w14:val="tx1"/>
            </w14:solidFill>
          </w14:textFill>
        </w:rPr>
      </w:pPr>
      <w:r>
        <w:rPr>
          <w:rFonts w:hint="eastAsia" w:ascii="仿宋" w:hAnsi="仿宋" w:eastAsia="仿宋"/>
          <w:color w:val="000000" w:themeColor="text1"/>
          <w:sz w:val="28"/>
          <w:szCs w:val="21"/>
          <w14:textFill>
            <w14:solidFill>
              <w14:schemeClr w14:val="tx1"/>
            </w14:solidFill>
          </w14:textFill>
        </w:rPr>
        <w:t xml:space="preserve">日期：2026年</w:t>
      </w:r>
      <w:r>
        <w:rPr>
          <w:rFonts w:hint="eastAsia" w:ascii="仿宋" w:hAnsi="仿宋" w:eastAsia="仿宋"/>
          <w:color w:val="000000" w:themeColor="text1"/>
          <w:sz w:val="28"/>
          <w:szCs w:val="21"/>
          <w:u w:val="single"/>
          <w14:textFill>
            <w14:solidFill>
              <w14:schemeClr w14:val="tx1"/>
            </w14:solidFill>
          </w14:textFill>
        </w:rPr>
        <w:t xml:space="preserve">    </w:t>
      </w:r>
      <w:r>
        <w:rPr>
          <w:rFonts w:hint="eastAsia" w:ascii="仿宋" w:hAnsi="仿宋" w:eastAsia="仿宋"/>
          <w:color w:val="000000" w:themeColor="text1"/>
          <w:sz w:val="28"/>
          <w:szCs w:val="21"/>
          <w14:textFill>
            <w14:solidFill>
              <w14:schemeClr w14:val="tx1"/>
            </w14:solidFill>
          </w14:textFill>
        </w:rPr>
        <w:t xml:space="preserve">月</w:t>
      </w:r>
      <w:r>
        <w:rPr>
          <w:rFonts w:hint="eastAsia" w:ascii="仿宋" w:hAnsi="仿宋" w:eastAsia="仿宋"/>
          <w:color w:val="000000" w:themeColor="text1"/>
          <w:sz w:val="28"/>
          <w:szCs w:val="21"/>
          <w:u w:val="single"/>
          <w14:textFill>
            <w14:solidFill>
              <w14:schemeClr w14:val="tx1"/>
            </w14:solidFill>
          </w14:textFill>
        </w:rPr>
        <w:t xml:space="preserve">    </w:t>
      </w:r>
      <w:r>
        <w:rPr>
          <w:rFonts w:hint="eastAsia" w:ascii="仿宋" w:hAnsi="仿宋" w:eastAsia="仿宋"/>
          <w:color w:val="000000" w:themeColor="text1"/>
          <w:sz w:val="28"/>
          <w:szCs w:val="21"/>
          <w14:textFill>
            <w14:solidFill>
              <w14:schemeClr w14:val="tx1"/>
            </w14:solidFill>
          </w14:textFill>
        </w:rPr>
        <w:t xml:space="preserve">日</w:t>
      </w:r>
      <w:r>
        <w:rPr>
          <w:rFonts w:ascii="仿宋" w:hAnsi="仿宋" w:eastAsia="仿宋"/>
          <w:color w:val="000000" w:themeColor="text1"/>
          <w:sz w:val="28"/>
          <w:szCs w:val="21"/>
          <w14:textFill>
            <w14:solidFill>
              <w14:schemeClr w14:val="tx1"/>
            </w14:solidFill>
          </w14:textFill>
        </w:rPr>
        <w:br w:type="page" w:clear="all"/>
      </w:r>
      <w:r/>
    </w:p>
    <w:p>
      <w:pPr>
        <w:pStyle w:val="736"/>
        <w:spacing w:before="260" w:after="260" w:line="761" w:lineRule="atLeast"/>
        <w:rPr>
          <w:rFonts w:ascii="仿宋" w:hAnsi="仿宋" w:eastAsia="仿宋" w:cs="仿宋"/>
          <w:b/>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附件5 声明函</w:t>
      </w:r>
      <w:r/>
    </w:p>
    <w:p>
      <w:pPr>
        <w:jc w:val="center"/>
        <w:rPr>
          <w:rFonts w:ascii="仿宋" w:hAnsi="仿宋" w:eastAsia="仿宋" w:cs="仿宋"/>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szCs w:val="28"/>
          <w14:textFill>
            <w14:solidFill>
              <w14:schemeClr w14:val="tx1"/>
            </w14:solidFill>
          </w14:textFill>
        </w:rPr>
      </w:r>
      <w:r/>
    </w:p>
    <w:p>
      <w:pPr>
        <w:jc w:val="center"/>
        <w:rPr>
          <w:rFonts w:ascii="仿宋" w:hAnsi="仿宋" w:eastAsia="仿宋" w:cs="仿宋"/>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14:textFill>
            <w14:solidFill>
              <w14:schemeClr w14:val="tx1"/>
            </w14:solidFill>
          </w14:textFill>
        </w:rPr>
        <w:t xml:space="preserve">投标人符合《政府采购法》第二十二条规定条件的声明函</w:t>
      </w:r>
      <w:r/>
    </w:p>
    <w:p>
      <w:pPr>
        <w:jc w:val="both"/>
        <w:spacing w:line="46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14:textFill>
            <w14:solidFill>
              <w14:schemeClr w14:val="tx1"/>
            </w14:solidFill>
          </w14:textFill>
        </w:rPr>
        <w:t xml:space="preserve"> </w:t>
      </w:r>
      <w:r/>
    </w:p>
    <w:p>
      <w:pPr>
        <w:ind w:firstLine="560"/>
        <w:jc w:val="both"/>
        <w:spacing w:line="519" w:lineRule="atLeast"/>
        <w:rPr>
          <w:rFonts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我单位参加</w:t>
      </w:r>
      <w:r>
        <w:rPr>
          <w:rFonts w:hint="eastAsia" w:ascii="仿宋" w:hAnsi="仿宋" w:eastAsia="仿宋" w:cs="仿宋"/>
          <w:color w:val="000000" w:themeColor="text1"/>
          <w:sz w:val="28"/>
          <w:u w:val="single"/>
          <w14:textFill>
            <w14:solidFill>
              <w14:schemeClr w14:val="tx1"/>
            </w14:solidFill>
          </w14:textFill>
        </w:rPr>
        <w:t xml:space="preserve">________________ _</w:t>
      </w:r>
      <w:r>
        <w:rPr>
          <w:rFonts w:hint="eastAsia" w:ascii="仿宋" w:hAnsi="仿宋" w:eastAsia="仿宋" w:cs="仿宋"/>
          <w:color w:val="000000" w:themeColor="text1"/>
          <w:sz w:val="28"/>
          <w14:textFill>
            <w14:solidFill>
              <w14:schemeClr w14:val="tx1"/>
            </w14:solidFill>
          </w14:textFill>
        </w:rPr>
        <w:t xml:space="preserve">（项目名称），</w:t>
      </w:r>
      <w:r>
        <w:rPr>
          <w:rFonts w:hint="eastAsia" w:ascii="仿宋" w:hAnsi="仿宋" w:eastAsia="仿宋" w:cs="仿宋"/>
          <w:color w:val="000000" w:themeColor="text1"/>
          <w:sz w:val="28"/>
          <w:u w:val="single"/>
          <w14:textFill>
            <w14:solidFill>
              <w14:schemeClr w14:val="tx1"/>
            </w14:solidFill>
          </w14:textFill>
        </w:rPr>
        <w:t xml:space="preserve">_______ __________</w:t>
      </w:r>
      <w:r>
        <w:rPr>
          <w:rFonts w:hint="eastAsia" w:ascii="仿宋" w:hAnsi="仿宋" w:eastAsia="仿宋" w:cs="仿宋"/>
          <w:color w:val="000000" w:themeColor="text1"/>
          <w:sz w:val="28"/>
          <w14:textFill>
            <w14:solidFill>
              <w14:schemeClr w14:val="tx1"/>
            </w14:solidFill>
          </w14:textFill>
        </w:rPr>
        <w:t xml:space="preserve">（项目编号）投标活动。针对《中华人民共和国政府采购法》第二十二条规定做出如下声明：</w:t>
      </w:r>
      <w:r/>
    </w:p>
    <w:p>
      <w:pPr>
        <w:ind w:firstLine="560"/>
        <w:jc w:val="both"/>
        <w:spacing w:line="519" w:lineRule="atLeast"/>
        <w:rPr>
          <w:rFonts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1.我单位具有独立承担民事责任的能力；</w:t>
      </w:r>
      <w:r/>
    </w:p>
    <w:p>
      <w:pPr>
        <w:ind w:firstLine="560"/>
        <w:jc w:val="both"/>
        <w:spacing w:line="519" w:lineRule="atLeast"/>
        <w:rPr>
          <w:rFonts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2.我单位具有良好的商业信誉和健全的财务会计制度；</w:t>
      </w:r>
      <w:r/>
    </w:p>
    <w:p>
      <w:pPr>
        <w:ind w:firstLine="560"/>
        <w:jc w:val="both"/>
        <w:spacing w:line="519" w:lineRule="atLeast"/>
        <w:rPr>
          <w:rFonts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3.我单位具有履行合同所必需的设备和专业技术能力；</w:t>
      </w:r>
      <w:r/>
    </w:p>
    <w:p>
      <w:pPr>
        <w:ind w:firstLine="560"/>
        <w:jc w:val="both"/>
        <w:spacing w:line="519" w:lineRule="atLeast"/>
        <w:rPr>
          <w:rFonts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4.我单位有依法缴纳税收和社会保障资金的良好记录；</w:t>
      </w:r>
      <w:r/>
    </w:p>
    <w:p>
      <w:pPr>
        <w:ind w:firstLine="560"/>
        <w:jc w:val="both"/>
        <w:spacing w:line="519" w:lineRule="atLeast"/>
        <w:rPr>
          <w:rFonts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jc w:val="both"/>
        <w:spacing w:line="519" w:lineRule="atLeast"/>
        <w:rPr>
          <w:rFonts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6.我单位满足法律、行政法规规定的其他条件。</w:t>
      </w:r>
      <w:r/>
    </w:p>
    <w:p>
      <w:pPr>
        <w:ind w:firstLine="482"/>
        <w:jc w:val="both"/>
        <w:spacing w:line="499" w:lineRule="atLeast"/>
        <w:rPr>
          <w:rFonts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                                      承诺人名称（公章）：</w:t>
      </w:r>
      <w:r/>
    </w:p>
    <w:p>
      <w:pPr>
        <w:jc w:val="right"/>
        <w:rPr>
          <w:rFonts w:ascii="仿宋" w:hAnsi="仿宋" w:eastAsia="仿宋" w:cs="仿宋"/>
          <w:color w:val="000000" w:themeColor="text1"/>
          <w:sz w:val="28"/>
          <w14:textFill>
            <w14:solidFill>
              <w14:schemeClr w14:val="tx1"/>
            </w14:solidFill>
          </w14:textFill>
        </w:rPr>
      </w:pPr>
      <w:r>
        <w:rPr>
          <w:rFonts w:hint="eastAsia" w:ascii="仿宋" w:hAnsi="仿宋" w:eastAsia="仿宋" w:cs="仿宋"/>
          <w:color w:val="000000" w:themeColor="text1"/>
          <w:sz w:val="28"/>
          <w14:textFill>
            <w14:solidFill>
              <w14:schemeClr w14:val="tx1"/>
            </w14:solidFill>
          </w14:textFill>
        </w:rPr>
        <w:t xml:space="preserve">日期：</w:t>
      </w:r>
      <w:r>
        <w:rPr>
          <w:rFonts w:hint="eastAsia" w:ascii="仿宋" w:hAnsi="仿宋" w:eastAsia="仿宋" w:cs="仿宋"/>
          <w:color w:val="000000" w:themeColor="text1"/>
          <w:sz w:val="28"/>
          <w:u w:val="single"/>
          <w14:textFill>
            <w14:solidFill>
              <w14:schemeClr w14:val="tx1"/>
            </w14:solidFill>
          </w14:textFill>
        </w:rPr>
        <w:t xml:space="preserve">______</w:t>
      </w:r>
      <w:r>
        <w:rPr>
          <w:rFonts w:hint="eastAsia" w:ascii="仿宋" w:hAnsi="仿宋" w:eastAsia="仿宋" w:cs="仿宋"/>
          <w:color w:val="000000" w:themeColor="text1"/>
          <w:sz w:val="28"/>
          <w14:textFill>
            <w14:solidFill>
              <w14:schemeClr w14:val="tx1"/>
            </w14:solidFill>
          </w14:textFill>
        </w:rPr>
        <w:t xml:space="preserve">年</w:t>
      </w:r>
      <w:r>
        <w:rPr>
          <w:rFonts w:hint="eastAsia" w:ascii="仿宋" w:hAnsi="仿宋" w:eastAsia="仿宋" w:cs="仿宋"/>
          <w:color w:val="000000" w:themeColor="text1"/>
          <w:sz w:val="28"/>
          <w:u w:val="single"/>
          <w14:textFill>
            <w14:solidFill>
              <w14:schemeClr w14:val="tx1"/>
            </w14:solidFill>
          </w14:textFill>
        </w:rPr>
        <w:t xml:space="preserve">___</w:t>
      </w:r>
      <w:r>
        <w:rPr>
          <w:rFonts w:hint="eastAsia" w:ascii="仿宋" w:hAnsi="仿宋" w:eastAsia="仿宋" w:cs="仿宋"/>
          <w:color w:val="000000" w:themeColor="text1"/>
          <w:sz w:val="28"/>
          <w14:textFill>
            <w14:solidFill>
              <w14:schemeClr w14:val="tx1"/>
            </w14:solidFill>
          </w14:textFill>
        </w:rPr>
        <w:t xml:space="preserve">月</w:t>
      </w:r>
      <w:r>
        <w:rPr>
          <w:rFonts w:hint="eastAsia" w:ascii="仿宋" w:hAnsi="仿宋" w:eastAsia="仿宋" w:cs="仿宋"/>
          <w:color w:val="000000" w:themeColor="text1"/>
          <w:sz w:val="28"/>
          <w:u w:val="single"/>
          <w14:textFill>
            <w14:solidFill>
              <w14:schemeClr w14:val="tx1"/>
            </w14:solidFill>
          </w14:textFill>
        </w:rPr>
        <w:t xml:space="preserve">___</w:t>
      </w:r>
      <w:r>
        <w:rPr>
          <w:rFonts w:hint="eastAsia" w:ascii="仿宋" w:hAnsi="仿宋" w:eastAsia="仿宋" w:cs="仿宋"/>
          <w:color w:val="000000" w:themeColor="text1"/>
          <w:sz w:val="28"/>
          <w14:textFill>
            <w14:solidFill>
              <w14:schemeClr w14:val="tx1"/>
            </w14:solidFill>
          </w14:textFill>
        </w:rPr>
        <w:t xml:space="preserve">日</w:t>
      </w:r>
      <w:bookmarkStart w:id="19" w:name="_Toc178500680"/>
      <w:r/>
      <w:r/>
    </w:p>
    <w:p>
      <w:pPr>
        <w:rPr>
          <w:rFonts w:ascii="宋体" w:hAnsi="宋体" w:eastAsia="宋体" w:cs="宋体"/>
          <w:b/>
          <w:color w:val="000000" w:themeColor="text1"/>
          <w:sz w:val="28"/>
          <w14:textFill>
            <w14:solidFill>
              <w14:schemeClr w14:val="tx1"/>
            </w14:solidFill>
          </w14:textFill>
        </w:rPr>
      </w:pPr>
      <w:r>
        <w:rPr>
          <w:rFonts w:hint="eastAsia" w:ascii="仿宋" w:hAnsi="仿宋" w:eastAsia="仿宋" w:cs="仿宋"/>
          <w:color w:val="000000" w:themeColor="text1"/>
          <w:sz w:val="28"/>
          <w14:textFill>
            <w14:solidFill>
              <w14:schemeClr w14:val="tx1"/>
            </w14:solidFill>
          </w14:textFill>
        </w:rPr>
        <w:br w:type="page" w:clear="all"/>
      </w:r>
      <w:r/>
    </w:p>
    <w:p>
      <w:pPr>
        <w:rPr>
          <w:rFonts w:ascii="宋体" w:hAnsi="宋体" w:cs="宋体"/>
          <w:iCs/>
          <w:color w:val="000000" w:themeColor="text1"/>
          <w:sz w:val="32"/>
          <w:szCs w:val="32"/>
          <w:u w:val="single"/>
          <w14:textFill>
            <w14:solidFill>
              <w14:schemeClr w14:val="tx1"/>
            </w14:solidFill>
          </w14:textFill>
        </w:rPr>
      </w:pPr>
      <w:r/>
      <w:bookmarkStart w:id="20" w:name="_Hlk209172852"/>
      <w:r>
        <w:rPr>
          <w:rFonts w:hint="eastAsia" w:ascii="宋体" w:hAnsi="宋体" w:cs="宋体"/>
          <w:iCs/>
          <w:color w:val="000000" w:themeColor="text1"/>
          <w:sz w:val="32"/>
          <w:szCs w:val="32"/>
          <w:u w:val="single"/>
          <w14:textFill>
            <w14:solidFill>
              <w14:schemeClr w14:val="tx1"/>
            </w14:solidFill>
          </w14:textFill>
        </w:rPr>
        <w:t xml:space="preserve">一、具有独立承担民事责任的能力</w:t>
      </w:r>
      <w:r/>
    </w:p>
    <w:p>
      <w:pPr>
        <w:ind w:firstLine="480"/>
        <w:spacing w:line="276" w:lineRule="auto"/>
        <w:rPr>
          <w:rFonts w:ascii="宋体" w:hAnsi="宋体" w:cs="宋体"/>
          <w:bCs/>
          <w:iCs/>
          <w:color w:val="000000" w:themeColor="text1"/>
          <w:sz w:val="24"/>
          <w:szCs w:val="21"/>
          <w14:textFill>
            <w14:solidFill>
              <w14:schemeClr w14:val="tx1"/>
            </w14:solidFill>
          </w14:textFill>
        </w:rPr>
      </w:pPr>
      <w:r>
        <w:rPr>
          <w:rFonts w:hint="eastAsia" w:ascii="宋体" w:hAnsi="宋体" w:cs="宋体"/>
          <w:bCs/>
          <w:iCs/>
          <w:color w:val="000000" w:themeColor="text1"/>
          <w:sz w:val="24"/>
          <w:szCs w:val="21"/>
          <w14:textFill>
            <w14:solidFill>
              <w14:schemeClr w14:val="tx1"/>
            </w14:solidFill>
          </w14:textFill>
        </w:rPr>
        <w:t xml:space="preserve">法人或者其他组织的营业执照等证明文件，自然人的身份证明</w:t>
      </w:r>
      <w:bookmarkEnd w:id="19"/>
      <w:r/>
      <w:r/>
    </w:p>
    <w:p>
      <w:pPr>
        <w:spacing w:line="276" w:lineRule="auto"/>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p>
      <w:pPr>
        <w:rPr>
          <w:rFonts w:ascii="宋体" w:hAnsi="宋体" w:cs="宋体"/>
          <w:iCs/>
          <w:color w:val="000000" w:themeColor="text1"/>
          <w:sz w:val="32"/>
          <w:szCs w:val="32"/>
          <w:u w:val="single"/>
          <w14:textFill>
            <w14:solidFill>
              <w14:schemeClr w14:val="tx1"/>
            </w14:solidFill>
          </w14:textFill>
        </w:rPr>
      </w:pPr>
      <w:r/>
      <w:bookmarkStart w:id="21" w:name="_Toc178500681"/>
      <w:r>
        <w:rPr>
          <w:rFonts w:hint="eastAsia" w:ascii="宋体" w:hAnsi="宋体" w:cs="宋体"/>
          <w:iCs/>
          <w:color w:val="000000" w:themeColor="text1"/>
          <w:sz w:val="32"/>
          <w:szCs w:val="32"/>
          <w:u w:val="single"/>
          <w14:textFill>
            <w14:solidFill>
              <w14:schemeClr w14:val="tx1"/>
            </w14:solidFill>
          </w14:textFill>
        </w:rPr>
        <w:t xml:space="preserve">二、</w:t>
      </w:r>
      <w:bookmarkEnd w:id="21"/>
      <w:r>
        <w:rPr>
          <w:rFonts w:hint="eastAsia" w:ascii="宋体" w:hAnsi="宋体" w:cs="宋体"/>
          <w:iCs/>
          <w:color w:val="000000" w:themeColor="text1"/>
          <w:sz w:val="32"/>
          <w:szCs w:val="32"/>
          <w:u w:val="single"/>
          <w14:textFill>
            <w14:solidFill>
              <w14:schemeClr w14:val="tx1"/>
            </w14:solidFill>
          </w14:textFill>
        </w:rPr>
        <w:t xml:space="preserve">具有良好的商业信誉和健全的财务会计制度</w:t>
      </w:r>
      <w:r/>
    </w:p>
    <w:p>
      <w:pPr>
        <w:ind w:firstLine="480"/>
        <w:spacing w:line="276" w:lineRule="auto"/>
        <w:rPr>
          <w:rFonts w:ascii="宋体" w:hAnsi="宋体" w:cs="宋体"/>
          <w:bCs/>
          <w:iCs/>
          <w:color w:val="000000" w:themeColor="text1"/>
          <w:sz w:val="24"/>
          <w:szCs w:val="21"/>
          <w14:textFill>
            <w14:solidFill>
              <w14:schemeClr w14:val="tx1"/>
            </w14:solidFill>
          </w14:textFill>
        </w:rPr>
      </w:pPr>
      <w:r>
        <w:rPr>
          <w:rFonts w:hint="eastAsia" w:ascii="宋体" w:hAnsi="宋体" w:cs="宋体"/>
          <w:bCs/>
          <w:iCs/>
          <w:color w:val="000000" w:themeColor="text1"/>
          <w:sz w:val="24"/>
          <w:szCs w:val="21"/>
          <w14:textFill>
            <w14:solidFill>
              <w14:schemeClr w14:val="tx1"/>
            </w14:solidFill>
          </w14:textFill>
        </w:rPr>
        <w:t xml:space="preserve">提供上一年度的财务状况报告（2025年度经审计的财务报告，或投标截止时间前六个月内任一月份企业编制的会计报表（至少包括资产负债表和利润表），或投标截止时间前六个月内银行出具的资信证明，复印件加盖公章），成立不满一年无需提供</w:t>
      </w:r>
      <w:r/>
    </w:p>
    <w:p>
      <w:pPr>
        <w:spacing w:line="276" w:lineRule="auto"/>
        <w:rPr>
          <w:rFonts w:ascii="宋体" w:hAnsi="宋体" w:cs="宋体"/>
          <w:i/>
          <w:color w:val="000000" w:themeColor="text1"/>
          <w:sz w:val="32"/>
          <w:szCs w:val="32"/>
          <w:u w:val="single"/>
          <w14:textFill>
            <w14:solidFill>
              <w14:schemeClr w14:val="tx1"/>
            </w14:solidFill>
          </w14:textFill>
        </w:rPr>
      </w:pPr>
      <w:r>
        <w:rPr>
          <w:rFonts w:ascii="宋体" w:hAnsi="宋体" w:cs="宋体"/>
          <w:i/>
          <w:color w:val="000000" w:themeColor="text1"/>
          <w:sz w:val="32"/>
          <w:szCs w:val="32"/>
          <w:u w:val="single"/>
          <w14:textFill>
            <w14:solidFill>
              <w14:schemeClr w14:val="tx1"/>
            </w14:solidFill>
          </w14:textFill>
        </w:rPr>
      </w:r>
      <w:r/>
    </w:p>
    <w:p>
      <w:pPr>
        <w:rPr>
          <w:rFonts w:ascii="宋体" w:hAnsi="宋体" w:cs="宋体"/>
          <w:iCs/>
          <w:color w:val="000000" w:themeColor="text1"/>
          <w:sz w:val="32"/>
          <w:szCs w:val="32"/>
          <w:u w:val="single"/>
          <w14:textFill>
            <w14:solidFill>
              <w14:schemeClr w14:val="tx1"/>
            </w14:solidFill>
          </w14:textFill>
        </w:rPr>
      </w:pPr>
      <w:r/>
      <w:bookmarkStart w:id="22" w:name="_Toc178500682"/>
      <w:r>
        <w:rPr>
          <w:rFonts w:hint="eastAsia" w:ascii="宋体" w:hAnsi="宋体" w:cs="宋体"/>
          <w:iCs/>
          <w:color w:val="000000" w:themeColor="text1"/>
          <w:sz w:val="32"/>
          <w:szCs w:val="32"/>
          <w:u w:val="single"/>
          <w14:textFill>
            <w14:solidFill>
              <w14:schemeClr w14:val="tx1"/>
            </w14:solidFill>
          </w14:textFill>
        </w:rPr>
        <w:t xml:space="preserve">三、</w:t>
      </w:r>
      <w:bookmarkEnd w:id="22"/>
      <w:r>
        <w:rPr>
          <w:rFonts w:hint="eastAsia" w:ascii="宋体" w:hAnsi="宋体" w:cs="宋体"/>
          <w:iCs/>
          <w:color w:val="000000" w:themeColor="text1"/>
          <w:sz w:val="32"/>
          <w:szCs w:val="32"/>
          <w:u w:val="single"/>
          <w14:textFill>
            <w14:solidFill>
              <w14:schemeClr w14:val="tx1"/>
            </w14:solidFill>
          </w14:textFill>
        </w:rPr>
        <w:t xml:space="preserve">有依法缴纳税收和社会保障资金的良好记录</w:t>
      </w:r>
      <w:r/>
    </w:p>
    <w:p>
      <w:pPr>
        <w:ind w:firstLine="480"/>
        <w:spacing w:line="276" w:lineRule="auto"/>
        <w:rPr>
          <w:rFonts w:ascii="宋体" w:hAnsi="宋体" w:cs="宋体"/>
          <w:bCs/>
          <w:iCs/>
          <w:color w:val="000000" w:themeColor="text1"/>
          <w:sz w:val="24"/>
          <w:szCs w:val="21"/>
          <w14:textFill>
            <w14:solidFill>
              <w14:schemeClr w14:val="tx1"/>
            </w14:solidFill>
          </w14:textFill>
        </w:rPr>
      </w:pPr>
      <w:r>
        <w:rPr>
          <w:rFonts w:hint="eastAsia" w:ascii="宋体" w:hAnsi="宋体" w:cs="宋体"/>
          <w:bCs/>
          <w:iCs/>
          <w:color w:val="000000" w:themeColor="text1"/>
          <w:sz w:val="24"/>
          <w:szCs w:val="21"/>
          <w14:textFill>
            <w14:solidFill>
              <w14:schemeClr w14:val="tx1"/>
            </w14:solidFill>
          </w14:textFill>
        </w:rPr>
        <w:t xml:space="preserve">依法纳税凭据：提供参加政府采购活动前半年内（2025年12月-2026年05月）的任一月依法纳税的凭据，如完税凭证或税务机关开具的完税证明（个人所得税除外）；</w:t>
      </w:r>
      <w:r/>
    </w:p>
    <w:p>
      <w:pPr>
        <w:ind w:firstLine="480"/>
        <w:spacing w:line="276" w:lineRule="auto"/>
        <w:rPr>
          <w:rFonts w:ascii="宋体" w:hAnsi="宋体" w:cs="宋体"/>
          <w:bCs/>
          <w:iCs/>
          <w:color w:val="000000" w:themeColor="text1"/>
          <w:sz w:val="24"/>
          <w:szCs w:val="21"/>
          <w14:textFill>
            <w14:solidFill>
              <w14:schemeClr w14:val="tx1"/>
            </w14:solidFill>
          </w14:textFill>
        </w:rPr>
      </w:pPr>
      <w:r>
        <w:rPr>
          <w:rFonts w:hint="eastAsia" w:ascii="宋体" w:hAnsi="宋体" w:cs="宋体"/>
          <w:bCs/>
          <w:iCs/>
          <w:color w:val="000000" w:themeColor="text1"/>
          <w:sz w:val="24"/>
          <w:szCs w:val="21"/>
          <w14:textFill>
            <w14:solidFill>
              <w14:schemeClr w14:val="tx1"/>
            </w14:solidFill>
          </w14:textFill>
        </w:rPr>
        <w:t xml:space="preserve">缴纳社会保险的凭据：提供参加政府采购活动前半年内（2025年12月-2026年05月）的任一月缴纳社会保险的凭据，如专用收据或社会保险缴纳清单；</w:t>
      </w:r>
      <w:r/>
    </w:p>
    <w:p>
      <w:pPr>
        <w:ind w:firstLine="480"/>
        <w:spacing w:line="276" w:lineRule="auto"/>
        <w:rPr>
          <w:rFonts w:ascii="宋体" w:hAnsi="宋体" w:cs="宋体"/>
          <w:bCs/>
          <w:iCs/>
          <w:color w:val="000000" w:themeColor="text1"/>
          <w:sz w:val="24"/>
          <w:szCs w:val="21"/>
          <w14:textFill>
            <w14:solidFill>
              <w14:schemeClr w14:val="tx1"/>
            </w14:solidFill>
          </w14:textFill>
        </w:rPr>
      </w:pPr>
      <w:r>
        <w:rPr>
          <w:rFonts w:hint="eastAsia" w:ascii="宋体" w:hAnsi="宋体" w:cs="宋体"/>
          <w:bCs/>
          <w:iCs/>
          <w:color w:val="000000" w:themeColor="text1"/>
          <w:sz w:val="24"/>
          <w:szCs w:val="21"/>
          <w14:textFill>
            <w14:solidFill>
              <w14:schemeClr w14:val="tx1"/>
            </w14:solidFill>
          </w14:textFill>
        </w:rPr>
        <w:t xml:space="preserve">依法免税或不需要缴纳社会保障资金的证明文件：如果供应商依法免税或不需要缴纳社会保障资金，则须提供相应的证明文件，以说明其免税或无需缴纳的依据和情况。</w:t>
      </w:r>
      <w:r/>
    </w:p>
    <w:p>
      <w:pPr>
        <w:pStyle w:val="751"/>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宋体" w:hAnsi="宋体" w:cs="宋体"/>
          <w:iCs/>
          <w:color w:val="000000" w:themeColor="text1"/>
          <w:sz w:val="32"/>
          <w:szCs w:val="32"/>
          <w:u w:val="single"/>
          <w14:textFill>
            <w14:solidFill>
              <w14:schemeClr w14:val="tx1"/>
            </w14:solidFill>
          </w14:textFill>
        </w:rPr>
      </w:pPr>
      <w:r/>
      <w:bookmarkStart w:id="23" w:name="_Toc178500683"/>
      <w:r>
        <w:rPr>
          <w:rFonts w:hint="eastAsia" w:ascii="宋体" w:hAnsi="宋体" w:cs="宋体"/>
          <w:iCs/>
          <w:color w:val="000000" w:themeColor="text1"/>
          <w:sz w:val="32"/>
          <w:szCs w:val="32"/>
          <w:u w:val="single"/>
          <w14:textFill>
            <w14:solidFill>
              <w14:schemeClr w14:val="tx1"/>
            </w14:solidFill>
          </w14:textFill>
        </w:rPr>
        <w:t xml:space="preserve">四、具备履行合同所必需的设备和专业技术能力</w:t>
      </w:r>
      <w:bookmarkEnd w:id="23"/>
      <w:r/>
      <w:r/>
    </w:p>
    <w:p>
      <w:pPr>
        <w:ind w:firstLine="480"/>
        <w:spacing w:line="276" w:lineRule="auto"/>
        <w:rPr>
          <w:rFonts w:ascii="宋体" w:hAnsi="宋体" w:cs="宋体"/>
          <w:bCs/>
          <w:color w:val="000000" w:themeColor="text1"/>
          <w:sz w:val="24"/>
          <w:szCs w:val="21"/>
          <w14:textFill>
            <w14:solidFill>
              <w14:schemeClr w14:val="tx1"/>
            </w14:solidFill>
          </w14:textFill>
        </w:rPr>
      </w:pPr>
      <w:r>
        <w:rPr>
          <w:rFonts w:hint="eastAsia" w:ascii="宋体" w:hAnsi="宋体" w:cs="宋体"/>
          <w:bCs/>
          <w:color w:val="000000" w:themeColor="text1"/>
          <w:sz w:val="24"/>
          <w:szCs w:val="21"/>
          <w14:textFill>
            <w14:solidFill>
              <w14:schemeClr w14:val="tx1"/>
            </w14:solidFill>
          </w14:textFill>
        </w:rPr>
        <w:t xml:space="preserve">提供书面声明：</w:t>
      </w:r>
      <w:r/>
    </w:p>
    <w:p>
      <w:pPr>
        <w:jc w:val="center"/>
        <w:spacing w:line="276" w:lineRule="auto"/>
        <w:rPr>
          <w:rFonts w:ascii="宋体" w:hAnsi="宋体" w:cs="宋体"/>
          <w:bCs/>
          <w:color w:val="000000" w:themeColor="text1"/>
          <w:sz w:val="32"/>
          <w:szCs w:val="32"/>
          <w14:textFill>
            <w14:solidFill>
              <w14:schemeClr w14:val="tx1"/>
            </w14:solidFill>
          </w14:textFill>
        </w:rPr>
      </w:pPr>
      <w:r>
        <w:rPr>
          <w:rFonts w:hint="eastAsia" w:ascii="宋体" w:hAnsi="宋体" w:cs="宋体"/>
          <w:bCs/>
          <w:color w:val="000000" w:themeColor="text1"/>
          <w:sz w:val="32"/>
          <w:szCs w:val="32"/>
          <w14:textFill>
            <w14:solidFill>
              <w14:schemeClr w14:val="tx1"/>
            </w14:solidFill>
          </w14:textFill>
        </w:rPr>
        <w:t xml:space="preserve">声明</w:t>
      </w:r>
      <w:r/>
    </w:p>
    <w:p>
      <w:pPr>
        <w:ind w:firstLine="480"/>
        <w:spacing w:line="276"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致：</w:t>
      </w:r>
      <w:r>
        <w:rPr>
          <w:rFonts w:hint="eastAsia" w:ascii="宋体" w:hAnsi="宋体" w:cs="宋体"/>
          <w:bCs/>
          <w:color w:val="000000" w:themeColor="text1"/>
          <w:sz w:val="24"/>
          <w:u w:val="single"/>
          <w14:textFill>
            <w14:solidFill>
              <w14:schemeClr w14:val="tx1"/>
            </w14:solidFill>
          </w14:textFill>
        </w:rPr>
        <w:t xml:space="preserve">（采购人）</w:t>
      </w:r>
      <w:r/>
    </w:p>
    <w:p>
      <w:pPr>
        <w:ind w:left="400"/>
        <w:spacing w:line="276"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我公司郑重声明：具有履行编号为</w:t>
      </w:r>
      <w:r>
        <w:rPr>
          <w:rFonts w:hint="eastAsia" w:ascii="仿宋" w:hAnsi="仿宋" w:eastAsia="仿宋"/>
          <w:color w:val="000000" w:themeColor="text1"/>
          <w:sz w:val="28"/>
          <w:szCs w:val="28"/>
          <w14:textFill>
            <w14:solidFill>
              <w14:schemeClr w14:val="tx1"/>
            </w14:solidFill>
          </w14:textFill>
        </w:rPr>
        <w:t xml:space="preserve">JSZC-</w:t>
      </w:r>
      <w:r>
        <w:rPr>
          <w:rFonts w:ascii="仿宋" w:hAnsi="仿宋" w:eastAsia="仿宋"/>
          <w:color w:val="000000" w:themeColor="text1"/>
          <w:sz w:val="28"/>
          <w:szCs w:val="28"/>
          <w14:textFill>
            <w14:solidFill>
              <w14:schemeClr w14:val="tx1"/>
            </w14:solidFill>
          </w14:textFill>
        </w:rPr>
        <w:t xml:space="preserve">320</w:t>
      </w:r>
      <w:r>
        <w:rPr>
          <w:rFonts w:ascii="仿宋" w:hAnsi="仿宋" w:eastAsia="仿宋"/>
          <w:color w:val="000000" w:themeColor="text1"/>
          <w:sz w:val="28"/>
          <w:szCs w:val="28"/>
          <w:u w:val="single"/>
          <w14:textFill>
            <w14:solidFill>
              <w14:schemeClr w14:val="tx1"/>
            </w14:solidFill>
          </w14:textFill>
        </w:rPr>
        <w:t xml:space="preserve">***</w:t>
      </w:r>
      <w:r>
        <w:rPr>
          <w:rFonts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SHGK-</w:t>
      </w:r>
      <w:r>
        <w:rPr>
          <w:rFonts w:ascii="仿宋" w:hAnsi="仿宋" w:eastAsia="仿宋"/>
          <w:color w:val="000000" w:themeColor="text1"/>
          <w:sz w:val="28"/>
          <w:szCs w:val="28"/>
          <w:u w:val="single"/>
          <w14:textFill>
            <w14:solidFill>
              <w14:schemeClr w14:val="tx1"/>
            </w14:solidFill>
          </w14:textFill>
        </w:rPr>
        <w:t xml:space="preserve">*****</w:t>
      </w:r>
      <w:r>
        <w:rPr>
          <w:rFonts w:ascii="仿宋" w:hAnsi="仿宋" w:eastAsia="仿宋"/>
          <w:color w:val="000000" w:themeColor="text1"/>
          <w:sz w:val="28"/>
          <w:szCs w:val="28"/>
          <w14:textFill>
            <w14:solidFill>
              <w14:schemeClr w14:val="tx1"/>
            </w14:solidFill>
          </w14:textFill>
        </w:rPr>
        <w:t xml:space="preserve">-</w:t>
      </w:r>
      <w:r>
        <w:rPr>
          <w:rFonts w:ascii="仿宋" w:hAnsi="仿宋" w:eastAsia="仿宋"/>
          <w:color w:val="000000" w:themeColor="text1"/>
          <w:sz w:val="28"/>
          <w:szCs w:val="28"/>
          <w:u w:val="single"/>
          <w14:textFill>
            <w14:solidFill>
              <w14:schemeClr w14:val="tx1"/>
            </w14:solidFill>
          </w14:textFill>
        </w:rPr>
        <w:t xml:space="preserve">****</w:t>
      </w:r>
      <w:r>
        <w:rPr>
          <w:rFonts w:hint="eastAsia" w:ascii="宋体" w:hAnsi="宋体" w:cs="宋体"/>
          <w:bCs/>
          <w:color w:val="000000" w:themeColor="text1"/>
          <w:sz w:val="24"/>
          <w14:textFill>
            <w14:solidFill>
              <w14:schemeClr w14:val="tx1"/>
            </w14:solidFill>
          </w14:textFill>
        </w:rPr>
        <w:t xml:space="preserve">项下采购项目合同的设备和专业技术能力。</w:t>
      </w:r>
      <w:r/>
    </w:p>
    <w:p>
      <w:pPr>
        <w:ind w:firstLine="480"/>
        <w:spacing w:line="276" w:lineRule="auto"/>
        <w:rPr>
          <w:rFonts w:ascii="宋体" w:hAnsi="宋体" w:cs="宋体"/>
          <w:bCs/>
          <w:color w:val="000000" w:themeColor="text1"/>
          <w:sz w:val="24"/>
          <w:szCs w:val="21"/>
          <w14:textFill>
            <w14:solidFill>
              <w14:schemeClr w14:val="tx1"/>
            </w14:solidFill>
          </w14:textFill>
        </w:rPr>
      </w:pPr>
      <w:r>
        <w:rPr>
          <w:rFonts w:hint="eastAsia" w:ascii="宋体" w:hAnsi="宋体" w:cs="宋体"/>
          <w:bCs/>
          <w:color w:val="000000" w:themeColor="text1"/>
          <w:sz w:val="24"/>
          <w:szCs w:val="21"/>
          <w14:textFill>
            <w14:solidFill>
              <w14:schemeClr w14:val="tx1"/>
            </w14:solidFill>
          </w14:textFill>
        </w:rPr>
        <w:t xml:space="preserve">特此声明！</w:t>
      </w:r>
      <w:r/>
    </w:p>
    <w:p>
      <w:pPr>
        <w:ind w:firstLine="480"/>
        <w:spacing w:line="276" w:lineRule="auto"/>
        <w:rPr>
          <w:rFonts w:ascii="宋体" w:hAnsi="宋体" w:cs="宋体"/>
          <w:bCs/>
          <w:color w:val="000000" w:themeColor="text1"/>
          <w:sz w:val="24"/>
          <w:szCs w:val="21"/>
          <w14:textFill>
            <w14:solidFill>
              <w14:schemeClr w14:val="tx1"/>
            </w14:solidFill>
          </w14:textFill>
        </w:rPr>
      </w:pPr>
      <w:r>
        <w:rPr>
          <w:rFonts w:ascii="宋体" w:hAnsi="宋体" w:cs="宋体"/>
          <w:bCs/>
          <w:color w:val="000000" w:themeColor="text1"/>
          <w:sz w:val="24"/>
          <w:szCs w:val="21"/>
          <w14:textFill>
            <w14:solidFill>
              <w14:schemeClr w14:val="tx1"/>
            </w14:solidFill>
          </w14:textFill>
        </w:rPr>
      </w:r>
      <w:r/>
    </w:p>
    <w:p>
      <w:pPr>
        <w:ind w:firstLine="480"/>
        <w:spacing w:line="276" w:lineRule="auto"/>
        <w:rPr>
          <w:rFonts w:ascii="宋体" w:hAnsi="宋体" w:cs="宋体"/>
          <w:bCs/>
          <w:color w:val="000000" w:themeColor="text1"/>
          <w:sz w:val="24"/>
          <w:szCs w:val="21"/>
          <w:u w:val="single"/>
          <w14:textFill>
            <w14:solidFill>
              <w14:schemeClr w14:val="tx1"/>
            </w14:solidFill>
          </w14:textFill>
        </w:rPr>
      </w:pPr>
      <w:r>
        <w:rPr>
          <w:rFonts w:hint="eastAsia" w:ascii="宋体" w:hAnsi="宋体" w:cs="宋体"/>
          <w:bCs/>
          <w:color w:val="000000" w:themeColor="text1"/>
          <w:sz w:val="24"/>
          <w:szCs w:val="21"/>
          <w14:textFill>
            <w14:solidFill>
              <w14:schemeClr w14:val="tx1"/>
            </w14:solidFill>
          </w14:textFill>
        </w:rPr>
        <w:t xml:space="preserve">投标人名称：</w:t>
      </w:r>
      <w:r>
        <w:rPr>
          <w:rFonts w:hint="eastAsia" w:ascii="宋体" w:hAnsi="宋体" w:cs="宋体"/>
          <w:bCs/>
          <w:color w:val="000000" w:themeColor="text1"/>
          <w:sz w:val="24"/>
          <w:szCs w:val="21"/>
          <w:u w:val="single"/>
          <w14:textFill>
            <w14:solidFill>
              <w14:schemeClr w14:val="tx1"/>
            </w14:solidFill>
          </w14:textFill>
        </w:rPr>
        <w:t xml:space="preserve">（加盖CA电子公章）</w:t>
      </w:r>
      <w:r/>
    </w:p>
    <w:p>
      <w:pPr>
        <w:ind w:firstLine="480"/>
        <w:spacing w:line="276" w:lineRule="auto"/>
        <w:rPr>
          <w:rFonts w:ascii="宋体" w:hAnsi="宋体" w:cs="宋体"/>
          <w:bCs/>
          <w:color w:val="000000" w:themeColor="text1"/>
          <w:sz w:val="24"/>
          <w:szCs w:val="21"/>
          <w14:textFill>
            <w14:solidFill>
              <w14:schemeClr w14:val="tx1"/>
            </w14:solidFill>
          </w14:textFill>
        </w:rPr>
      </w:pPr>
      <w:r>
        <w:rPr>
          <w:rFonts w:hint="eastAsia" w:ascii="宋体" w:hAnsi="宋体" w:cs="宋体"/>
          <w:bCs/>
          <w:color w:val="000000" w:themeColor="text1"/>
          <w:sz w:val="24"/>
          <w:szCs w:val="21"/>
          <w14:textFill>
            <w14:solidFill>
              <w14:schemeClr w14:val="tx1"/>
            </w14:solidFill>
          </w14:textFill>
        </w:rPr>
        <w:t xml:space="preserve">法定代表人（或授权代表）签字：</w:t>
      </w:r>
      <w:r/>
    </w:p>
    <w:p>
      <w:pPr>
        <w:ind w:firstLine="480"/>
        <w:spacing w:line="276" w:lineRule="auto"/>
        <w:rPr>
          <w:rFonts w:ascii="宋体" w:hAnsi="宋体" w:cs="宋体"/>
          <w:bCs/>
          <w:color w:val="000000" w:themeColor="text1"/>
          <w:sz w:val="24"/>
          <w:szCs w:val="21"/>
          <w14:textFill>
            <w14:solidFill>
              <w14:schemeClr w14:val="tx1"/>
            </w14:solidFill>
          </w14:textFill>
        </w:rPr>
      </w:pPr>
      <w:r>
        <w:rPr>
          <w:rFonts w:hint="eastAsia" w:ascii="宋体" w:hAnsi="宋体" w:cs="宋体"/>
          <w:bCs/>
          <w:color w:val="000000" w:themeColor="text1"/>
          <w:sz w:val="24"/>
          <w:szCs w:val="21"/>
          <w14:textFill>
            <w14:solidFill>
              <w14:schemeClr w14:val="tx1"/>
            </w14:solidFill>
          </w14:textFill>
        </w:rPr>
        <w:t xml:space="preserve">投标日期：2026年XX月XX日</w:t>
      </w:r>
      <w:r/>
    </w:p>
    <w:p>
      <w:pPr>
        <w:spacing w:line="276" w:lineRule="auto"/>
        <w:rPr>
          <w:rFonts w:ascii="宋体" w:hAnsi="宋体" w:cs="宋体"/>
          <w:color w:val="000000" w:themeColor="text1"/>
          <w:sz w:val="32"/>
          <w:szCs w:val="32"/>
          <w14:textFill>
            <w14:solidFill>
              <w14:schemeClr w14:val="tx1"/>
            </w14:solidFill>
          </w14:textFill>
        </w:rPr>
      </w:pPr>
      <w:r>
        <w:rPr>
          <w:rFonts w:ascii="宋体" w:hAnsi="宋体" w:cs="宋体"/>
          <w:color w:val="000000" w:themeColor="text1"/>
          <w:sz w:val="32"/>
          <w:szCs w:val="32"/>
          <w14:textFill>
            <w14:solidFill>
              <w14:schemeClr w14:val="tx1"/>
            </w14:solidFill>
          </w14:textFill>
        </w:rPr>
      </w:r>
      <w:r/>
    </w:p>
    <w:p>
      <w:pPr>
        <w:rPr>
          <w:rFonts w:ascii="宋体" w:hAnsi="宋体" w:cs="宋体"/>
          <w:iCs/>
          <w:color w:val="000000" w:themeColor="text1"/>
          <w:sz w:val="32"/>
          <w:szCs w:val="32"/>
          <w:u w:val="single"/>
          <w14:textFill>
            <w14:solidFill>
              <w14:schemeClr w14:val="tx1"/>
            </w14:solidFill>
          </w14:textFill>
        </w:rPr>
      </w:pPr>
      <w:r/>
      <w:bookmarkStart w:id="24" w:name="_Toc178500684"/>
      <w:r>
        <w:rPr>
          <w:rFonts w:hint="eastAsia" w:ascii="宋体" w:hAnsi="宋体" w:cs="宋体"/>
          <w:iCs/>
          <w:color w:val="000000" w:themeColor="text1"/>
          <w:sz w:val="32"/>
          <w:szCs w:val="32"/>
          <w:u w:val="single"/>
          <w14:textFill>
            <w14:solidFill>
              <w14:schemeClr w14:val="tx1"/>
            </w14:solidFill>
          </w14:textFill>
        </w:rPr>
        <w:t xml:space="preserve">五、参加政府采购活动前 3 年内在经营活动中没有重大违法记录</w:t>
      </w:r>
      <w:bookmarkEnd w:id="24"/>
      <w:r/>
      <w:r/>
    </w:p>
    <w:p>
      <w:pPr>
        <w:ind w:firstLine="480"/>
        <w:spacing w:line="276" w:lineRule="auto"/>
        <w:rPr>
          <w:rFonts w:ascii="宋体" w:hAnsi="宋体" w:cs="宋体"/>
          <w:bCs/>
          <w:color w:val="000000" w:themeColor="text1"/>
          <w:sz w:val="24"/>
          <w:szCs w:val="21"/>
          <w14:textFill>
            <w14:solidFill>
              <w14:schemeClr w14:val="tx1"/>
            </w14:solidFill>
          </w14:textFill>
        </w:rPr>
      </w:pPr>
      <w:r>
        <w:rPr>
          <w:rFonts w:hint="eastAsia" w:ascii="宋体" w:hAnsi="宋体" w:cs="宋体"/>
          <w:bCs/>
          <w:color w:val="000000" w:themeColor="text1"/>
          <w:sz w:val="24"/>
          <w:szCs w:val="21"/>
          <w14:textFill>
            <w14:solidFill>
              <w14:schemeClr w14:val="tx1"/>
            </w14:solidFill>
          </w14:textFill>
        </w:rPr>
        <w:t xml:space="preserve">提供书面声明：</w:t>
      </w:r>
      <w:r/>
    </w:p>
    <w:p>
      <w:pPr>
        <w:jc w:val="center"/>
        <w:spacing w:line="276"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32"/>
          <w:szCs w:val="32"/>
          <w14:textFill>
            <w14:solidFill>
              <w14:schemeClr w14:val="tx1"/>
            </w14:solidFill>
          </w14:textFill>
        </w:rPr>
        <w:t xml:space="preserve">声明</w:t>
      </w:r>
      <w:r/>
    </w:p>
    <w:p>
      <w:pPr>
        <w:ind w:firstLine="480"/>
        <w:spacing w:line="276" w:lineRule="auto"/>
        <w:rPr>
          <w:rFonts w:ascii="宋体" w:hAnsi="宋体" w:cs="宋体"/>
          <w:b/>
          <w:bCs/>
          <w:color w:val="000000" w:themeColor="text1"/>
          <w:sz w:val="44"/>
          <w:szCs w:val="4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致：</w:t>
      </w:r>
      <w:r>
        <w:rPr>
          <w:rFonts w:hint="eastAsia" w:ascii="宋体" w:hAnsi="宋体" w:cs="宋体"/>
          <w:bCs/>
          <w:color w:val="000000" w:themeColor="text1"/>
          <w:sz w:val="24"/>
          <w:u w:val="single"/>
          <w14:textFill>
            <w14:solidFill>
              <w14:schemeClr w14:val="tx1"/>
            </w14:solidFill>
          </w14:textFill>
        </w:rPr>
        <w:t xml:space="preserve">（采购人）</w:t>
      </w:r>
      <w:r/>
    </w:p>
    <w:p>
      <w:pPr>
        <w:spacing w:line="276" w:lineRule="auto"/>
        <w:rPr>
          <w:rFonts w:ascii="宋体" w:hAnsi="宋体" w:cs="宋体"/>
          <w:bCs/>
          <w:color w:val="000000" w:themeColor="text1"/>
          <w:sz w:val="24"/>
          <w:szCs w:val="21"/>
          <w14:textFill>
            <w14:solidFill>
              <w14:schemeClr w14:val="tx1"/>
            </w14:solidFill>
          </w14:textFill>
        </w:rPr>
      </w:pPr>
      <w:r>
        <w:rPr>
          <w:rFonts w:hint="eastAsia" w:ascii="宋体" w:hAnsi="宋体" w:cs="宋体"/>
          <w:bCs/>
          <w:color w:val="000000" w:themeColor="text1"/>
          <w:sz w:val="24"/>
          <w:szCs w:val="21"/>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276" w:lineRule="auto"/>
        <w:rPr>
          <w:rFonts w:ascii="宋体" w:hAnsi="宋体" w:cs="宋体"/>
          <w:bCs/>
          <w:color w:val="000000" w:themeColor="text1"/>
          <w:sz w:val="24"/>
          <w:szCs w:val="21"/>
          <w14:textFill>
            <w14:solidFill>
              <w14:schemeClr w14:val="tx1"/>
            </w14:solidFill>
          </w14:textFill>
        </w:rPr>
      </w:pPr>
      <w:r>
        <w:rPr>
          <w:rFonts w:hint="eastAsia" w:ascii="宋体" w:hAnsi="宋体" w:cs="宋体"/>
          <w:bCs/>
          <w:color w:val="000000" w:themeColor="text1"/>
          <w:sz w:val="24"/>
          <w:szCs w:val="21"/>
          <w14:textFill>
            <w14:solidFill>
              <w14:schemeClr w14:val="tx1"/>
            </w14:solidFill>
          </w14:textFill>
        </w:rPr>
        <w:t xml:space="preserve">特此声明！</w:t>
      </w:r>
      <w:r/>
    </w:p>
    <w:p>
      <w:pPr>
        <w:ind w:firstLine="480"/>
        <w:spacing w:line="276" w:lineRule="auto"/>
        <w:rPr>
          <w:rFonts w:ascii="宋体" w:hAnsi="宋体" w:cs="宋体"/>
          <w:bCs/>
          <w:color w:val="000000" w:themeColor="text1"/>
          <w:sz w:val="24"/>
          <w:szCs w:val="21"/>
          <w14:textFill>
            <w14:solidFill>
              <w14:schemeClr w14:val="tx1"/>
            </w14:solidFill>
          </w14:textFill>
        </w:rPr>
      </w:pPr>
      <w:r>
        <w:rPr>
          <w:rFonts w:ascii="宋体" w:hAnsi="宋体" w:cs="宋体"/>
          <w:bCs/>
          <w:color w:val="000000" w:themeColor="text1"/>
          <w:sz w:val="24"/>
          <w:szCs w:val="21"/>
          <w14:textFill>
            <w14:solidFill>
              <w14:schemeClr w14:val="tx1"/>
            </w14:solidFill>
          </w14:textFill>
        </w:rPr>
      </w:r>
      <w:r/>
    </w:p>
    <w:p>
      <w:pPr>
        <w:ind w:firstLine="426"/>
        <w:spacing w:line="276" w:lineRule="auto"/>
        <w:rPr>
          <w:rFonts w:ascii="宋体" w:hAnsi="宋体" w:cs="宋体"/>
          <w:bCs/>
          <w:color w:val="000000" w:themeColor="text1"/>
          <w:sz w:val="24"/>
          <w:szCs w:val="21"/>
          <w:u w:val="single"/>
          <w14:textFill>
            <w14:solidFill>
              <w14:schemeClr w14:val="tx1"/>
            </w14:solidFill>
          </w14:textFill>
        </w:rPr>
      </w:pPr>
      <w:r>
        <w:rPr>
          <w:rFonts w:hint="eastAsia" w:ascii="宋体" w:hAnsi="宋体" w:cs="宋体"/>
          <w:bCs/>
          <w:color w:val="000000" w:themeColor="text1"/>
          <w:sz w:val="24"/>
          <w:szCs w:val="21"/>
          <w14:textFill>
            <w14:solidFill>
              <w14:schemeClr w14:val="tx1"/>
            </w14:solidFill>
          </w14:textFill>
        </w:rPr>
        <w:t xml:space="preserve">投标人名称：</w:t>
      </w:r>
      <w:r>
        <w:rPr>
          <w:rFonts w:hint="eastAsia" w:ascii="宋体" w:hAnsi="宋体" w:cs="宋体"/>
          <w:bCs/>
          <w:color w:val="000000" w:themeColor="text1"/>
          <w:sz w:val="24"/>
          <w:szCs w:val="21"/>
          <w:u w:val="single"/>
          <w14:textFill>
            <w14:solidFill>
              <w14:schemeClr w14:val="tx1"/>
            </w14:solidFill>
          </w14:textFill>
        </w:rPr>
        <w:t xml:space="preserve">（加盖CA电子公章）</w:t>
      </w:r>
      <w:r/>
    </w:p>
    <w:p>
      <w:pPr>
        <w:ind w:firstLine="426"/>
        <w:spacing w:line="276" w:lineRule="auto"/>
        <w:rPr>
          <w:rFonts w:ascii="宋体" w:hAnsi="宋体" w:cs="宋体"/>
          <w:bCs/>
          <w:color w:val="000000" w:themeColor="text1"/>
          <w:sz w:val="24"/>
          <w:szCs w:val="21"/>
          <w14:textFill>
            <w14:solidFill>
              <w14:schemeClr w14:val="tx1"/>
            </w14:solidFill>
          </w14:textFill>
        </w:rPr>
      </w:pPr>
      <w:r>
        <w:rPr>
          <w:rFonts w:hint="eastAsia" w:ascii="宋体" w:hAnsi="宋体" w:cs="宋体"/>
          <w:bCs/>
          <w:color w:val="000000" w:themeColor="text1"/>
          <w:sz w:val="24"/>
          <w:szCs w:val="21"/>
          <w14:textFill>
            <w14:solidFill>
              <w14:schemeClr w14:val="tx1"/>
            </w14:solidFill>
          </w14:textFill>
        </w:rPr>
        <w:t xml:space="preserve">法定代表人（或授权代表）签字：</w:t>
      </w:r>
      <w:r/>
    </w:p>
    <w:p>
      <w:pPr>
        <w:ind w:firstLine="424"/>
        <w:jc w:val="both"/>
        <w:spacing w:line="519" w:lineRule="atLeast"/>
        <w:rPr>
          <w:rFonts w:ascii="宋体" w:hAnsi="宋体" w:cs="宋体"/>
          <w:iCs/>
          <w:color w:val="000000" w:themeColor="text1"/>
          <w:sz w:val="32"/>
          <w:szCs w:val="32"/>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szCs w:val="21"/>
          <w14:textFill>
            <w14:solidFill>
              <w14:schemeClr w14:val="tx1"/>
            </w14:solidFill>
          </w14:textFill>
        </w:rPr>
        <w:t xml:space="preserve">投标日期：2026年XX月XX日</w:t>
      </w:r>
      <w:bookmarkStart w:id="25" w:name="_Toc178500685"/>
      <w:r>
        <w:rPr>
          <w:rFonts w:ascii="宋体" w:hAnsi="宋体" w:cs="宋体"/>
          <w:bCs/>
          <w:color w:val="000000" w:themeColor="text1"/>
          <w:sz w:val="24"/>
          <w:szCs w:val="21"/>
          <w14:textFill>
            <w14:solidFill>
              <w14:schemeClr w14:val="tx1"/>
            </w14:solidFill>
          </w14:textFill>
        </w:rPr>
        <w:br w:type="page" w:clear="all"/>
      </w:r>
      <w:r>
        <w:rPr>
          <w:rFonts w:hint="eastAsia" w:ascii="宋体" w:hAnsi="宋体" w:cs="宋体"/>
          <w:iCs/>
          <w:color w:val="000000" w:themeColor="text1"/>
          <w:sz w:val="32"/>
          <w:szCs w:val="32"/>
          <w:u w:val="single"/>
          <w14:textFill>
            <w14:solidFill>
              <w14:schemeClr w14:val="tx1"/>
            </w14:solidFill>
          </w14:textFill>
        </w:rPr>
        <w:t xml:space="preserve">六、具备法律、行政法规规定的其他资格条件的声明</w:t>
      </w:r>
      <w:r/>
    </w:p>
    <w:p>
      <w:pPr>
        <w:ind w:firstLine="560"/>
        <w:jc w:val="center"/>
        <w:spacing w:line="51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声明</w:t>
      </w:r>
      <w:r/>
    </w:p>
    <w:p>
      <w:pPr>
        <w:ind w:firstLine="560"/>
        <w:jc w:val="both"/>
        <w:spacing w:line="51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致：南京医科大学第二附属医院</w:t>
      </w:r>
      <w:r/>
    </w:p>
    <w:p>
      <w:pPr>
        <w:ind w:firstLine="560"/>
        <w:jc w:val="both"/>
        <w:spacing w:line="51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我公司郑重声明：我公司具有XXXXX项目（项目编号XXXXXX）法律、行政法规规定的其他资格条件。</w:t>
      </w:r>
      <w:r/>
    </w:p>
    <w:p>
      <w:pPr>
        <w:ind w:firstLine="560"/>
        <w:jc w:val="both"/>
        <w:spacing w:line="51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特此声明！</w:t>
      </w:r>
      <w:r/>
    </w:p>
    <w:p>
      <w:pPr>
        <w:ind w:firstLine="560"/>
        <w:jc w:val="both"/>
        <w:spacing w:line="51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r>
      <w:r/>
    </w:p>
    <w:p>
      <w:pPr>
        <w:ind w:firstLine="425"/>
        <w:spacing w:line="360" w:lineRule="auto"/>
        <w:rPr>
          <w:rFonts w:ascii="仿宋" w:hAnsi="仿宋" w:eastAsia="仿宋"/>
          <w:color w:val="000000" w:themeColor="text1"/>
          <w:sz w:val="28"/>
          <w:szCs w:val="21"/>
          <w14:textFill>
            <w14:solidFill>
              <w14:schemeClr w14:val="tx1"/>
            </w14:solidFill>
          </w14:textFill>
        </w:rPr>
      </w:pPr>
      <w:r>
        <w:rPr>
          <w:rFonts w:hint="eastAsia" w:ascii="仿宋" w:hAnsi="仿宋" w:eastAsia="仿宋"/>
          <w:color w:val="000000" w:themeColor="text1"/>
          <w:sz w:val="28"/>
          <w:szCs w:val="21"/>
          <w14:textFill>
            <w14:solidFill>
              <w14:schemeClr w14:val="tx1"/>
            </w14:solidFill>
          </w14:textFill>
        </w:rPr>
        <w:t xml:space="preserve">投标人名称：</w:t>
      </w:r>
      <w:r>
        <w:rPr>
          <w:rFonts w:ascii="仿宋" w:hAnsi="仿宋" w:eastAsia="仿宋"/>
          <w:color w:val="000000" w:themeColor="text1"/>
          <w:sz w:val="28"/>
          <w:szCs w:val="21"/>
          <w:u w:val="single"/>
          <w14:textFill>
            <w14:solidFill>
              <w14:schemeClr w14:val="tx1"/>
            </w14:solidFill>
          </w14:textFill>
        </w:rPr>
        <w:t xml:space="preserve">     </w:t>
      </w:r>
      <w:r>
        <w:rPr>
          <w:rFonts w:hint="eastAsia" w:ascii="仿宋" w:hAnsi="仿宋" w:eastAsia="仿宋"/>
          <w:color w:val="000000" w:themeColor="text1"/>
          <w:sz w:val="28"/>
          <w:szCs w:val="21"/>
          <w:u w:val="single"/>
          <w14:textFill>
            <w14:solidFill>
              <w14:schemeClr w14:val="tx1"/>
            </w14:solidFill>
          </w14:textFill>
        </w:rPr>
        <w:t xml:space="preserve">            </w:t>
      </w:r>
      <w:r>
        <w:rPr>
          <w:rFonts w:hint="eastAsia" w:ascii="仿宋" w:hAnsi="仿宋" w:eastAsia="仿宋"/>
          <w:color w:val="000000" w:themeColor="text1"/>
          <w:sz w:val="28"/>
          <w:szCs w:val="21"/>
          <w14:textFill>
            <w14:solidFill>
              <w14:schemeClr w14:val="tx1"/>
            </w14:solidFill>
          </w14:textFill>
        </w:rPr>
        <w:t xml:space="preserve">（加盖CA电子公章）</w:t>
      </w:r>
      <w:r>
        <w:rPr>
          <w:rFonts w:ascii="仿宋" w:hAnsi="仿宋" w:eastAsia="仿宋"/>
          <w:color w:val="000000" w:themeColor="text1"/>
          <w:sz w:val="28"/>
          <w:szCs w:val="21"/>
          <w14:textFill>
            <w14:solidFill>
              <w14:schemeClr w14:val="tx1"/>
            </w14:solidFill>
          </w14:textFill>
        </w:rPr>
        <w:t xml:space="preserve"> </w:t>
      </w:r>
      <w:r/>
    </w:p>
    <w:p>
      <w:pPr>
        <w:ind w:firstLine="425"/>
        <w:spacing w:line="360" w:lineRule="auto"/>
        <w:rPr>
          <w:rFonts w:ascii="仿宋" w:hAnsi="仿宋" w:eastAsia="仿宋"/>
          <w:color w:val="000000" w:themeColor="text1"/>
          <w:sz w:val="28"/>
          <w:szCs w:val="21"/>
          <w14:textFill>
            <w14:solidFill>
              <w14:schemeClr w14:val="tx1"/>
            </w14:solidFill>
          </w14:textFill>
        </w:rPr>
      </w:pPr>
      <w:r>
        <w:rPr>
          <w:rFonts w:hint="eastAsia" w:ascii="仿宋" w:hAnsi="仿宋" w:eastAsia="仿宋"/>
          <w:color w:val="000000" w:themeColor="text1"/>
          <w:sz w:val="28"/>
          <w:szCs w:val="21"/>
          <w14:textFill>
            <w14:solidFill>
              <w14:schemeClr w14:val="tx1"/>
            </w14:solidFill>
          </w14:textFill>
        </w:rPr>
        <w:t xml:space="preserve">法定代表人签字/签章或其授权代表签字：</w:t>
      </w:r>
      <w:r>
        <w:rPr>
          <w:rFonts w:ascii="仿宋" w:hAnsi="仿宋" w:eastAsia="仿宋"/>
          <w:color w:val="000000" w:themeColor="text1"/>
          <w:sz w:val="28"/>
          <w:szCs w:val="21"/>
          <w:u w:val="single"/>
          <w14:textFill>
            <w14:solidFill>
              <w14:schemeClr w14:val="tx1"/>
            </w14:solidFill>
          </w14:textFill>
        </w:rPr>
        <w:t xml:space="preserve"> </w:t>
      </w:r>
      <w:r/>
    </w:p>
    <w:p>
      <w:pPr>
        <w:ind w:firstLine="425"/>
        <w:rPr>
          <w:rFonts w:ascii="仿宋" w:hAnsi="仿宋" w:eastAsia="仿宋"/>
          <w:color w:val="000000" w:themeColor="text1"/>
          <w:sz w:val="28"/>
          <w:szCs w:val="21"/>
          <w14:textFill>
            <w14:solidFill>
              <w14:schemeClr w14:val="tx1"/>
            </w14:solidFill>
          </w14:textFill>
        </w:rPr>
      </w:pPr>
      <w:r>
        <w:rPr>
          <w:rFonts w:hint="eastAsia" w:ascii="仿宋" w:hAnsi="仿宋" w:eastAsia="仿宋"/>
          <w:color w:val="000000" w:themeColor="text1"/>
          <w:sz w:val="28"/>
          <w:szCs w:val="21"/>
          <w14:textFill>
            <w14:solidFill>
              <w14:schemeClr w14:val="tx1"/>
            </w14:solidFill>
          </w14:textFill>
        </w:rPr>
        <w:t xml:space="preserve">日期：2026年</w:t>
      </w:r>
      <w:r>
        <w:rPr>
          <w:rFonts w:hint="eastAsia" w:ascii="仿宋" w:hAnsi="仿宋" w:eastAsia="仿宋"/>
          <w:color w:val="000000" w:themeColor="text1"/>
          <w:sz w:val="28"/>
          <w:szCs w:val="21"/>
          <w:u w:val="single"/>
          <w14:textFill>
            <w14:solidFill>
              <w14:schemeClr w14:val="tx1"/>
            </w14:solidFill>
          </w14:textFill>
        </w:rPr>
        <w:t xml:space="preserve">    </w:t>
      </w:r>
      <w:r>
        <w:rPr>
          <w:rFonts w:hint="eastAsia" w:ascii="仿宋" w:hAnsi="仿宋" w:eastAsia="仿宋"/>
          <w:color w:val="000000" w:themeColor="text1"/>
          <w:sz w:val="28"/>
          <w:szCs w:val="21"/>
          <w14:textFill>
            <w14:solidFill>
              <w14:schemeClr w14:val="tx1"/>
            </w14:solidFill>
          </w14:textFill>
        </w:rPr>
        <w:t xml:space="preserve">月</w:t>
      </w:r>
      <w:r>
        <w:rPr>
          <w:rFonts w:hint="eastAsia" w:ascii="仿宋" w:hAnsi="仿宋" w:eastAsia="仿宋"/>
          <w:color w:val="000000" w:themeColor="text1"/>
          <w:sz w:val="28"/>
          <w:szCs w:val="21"/>
          <w:u w:val="single"/>
          <w14:textFill>
            <w14:solidFill>
              <w14:schemeClr w14:val="tx1"/>
            </w14:solidFill>
          </w14:textFill>
        </w:rPr>
        <w:t xml:space="preserve">    </w:t>
      </w:r>
      <w:r>
        <w:rPr>
          <w:rFonts w:hint="eastAsia" w:ascii="仿宋" w:hAnsi="仿宋" w:eastAsia="仿宋"/>
          <w:color w:val="000000" w:themeColor="text1"/>
          <w:sz w:val="28"/>
          <w:szCs w:val="21"/>
          <w14:textFill>
            <w14:solidFill>
              <w14:schemeClr w14:val="tx1"/>
            </w14:solidFill>
          </w14:textFill>
        </w:rPr>
        <w:t xml:space="preserve">日</w:t>
      </w:r>
      <w:bookmarkEnd w:id="20"/>
      <w:r/>
    </w:p>
    <w:p>
      <w:pPr>
        <w:pStyle w:val="775"/>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736"/>
        <w:spacing w:before="260" w:after="260" w:line="761" w:lineRule="atLeast"/>
        <w:rPr>
          <w:rFonts w:ascii="仿宋" w:hAnsi="仿宋" w:eastAsia="仿宋" w:cs="仿宋"/>
          <w:b/>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附件6</w:t>
      </w:r>
      <w:r>
        <w:rPr>
          <w:rFonts w:hint="eastAsia" w:ascii="仿宋" w:hAnsi="仿宋" w:eastAsia="仿宋" w:cs="仿宋"/>
          <w:b/>
          <w:color w:val="000000" w:themeColor="text1"/>
          <w:sz w:val="28"/>
          <w14:textFill>
            <w14:solidFill>
              <w14:schemeClr w14:val="tx1"/>
            </w14:solidFill>
          </w14:textFill>
        </w:rPr>
        <w:t xml:space="preserve">特定资格要求的证明文件</w:t>
      </w:r>
      <w:bookmarkEnd w:id="25"/>
      <w:r/>
      <w:r/>
    </w:p>
    <w:p>
      <w:pPr>
        <w:ind w:firstLine="560"/>
        <w:jc w:val="both"/>
        <w:spacing w:line="47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无</w:t>
      </w:r>
      <w:r/>
    </w:p>
    <w:p>
      <w:pPr>
        <w:ind w:firstLine="560"/>
        <w:jc w:val="both"/>
        <w:spacing w:line="479" w:lineRule="atLeast"/>
        <w:tabs>
          <w:tab w:val="left" w:pos="360" w:leader="none"/>
        </w:tabs>
        <w:rPr>
          <w:iCs/>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iCs/>
          <w:color w:val="000000" w:themeColor="text1"/>
          <w14:textFill>
            <w14:solidFill>
              <w14:schemeClr w14:val="tx1"/>
            </w14:solidFill>
          </w14:textFill>
        </w:rPr>
        <w:br w:type="page" w:clear="all"/>
      </w:r>
      <w:r/>
    </w:p>
    <w:p>
      <w:pPr>
        <w:pStyle w:val="736"/>
        <w:jc w:val="center"/>
        <w:spacing w:before="260" w:after="260" w:line="761" w:lineRule="atLeast"/>
        <w:rPr>
          <w:rFonts w:ascii="仿宋" w:hAnsi="仿宋" w:eastAsia="仿宋" w:cs="仿宋"/>
          <w:b/>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附件7投标函</w:t>
      </w:r>
      <w:r/>
    </w:p>
    <w:p>
      <w:pPr>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投标函</w:t>
      </w:r>
      <w:r/>
    </w:p>
    <w:p>
      <w:pPr>
        <w:spacing w:line="479" w:lineRule="atLeast"/>
        <w:rPr>
          <w:rFonts w:eastAsia="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致：</w:t>
      </w:r>
      <w:r>
        <w:rPr>
          <w:rFonts w:hint="eastAsia" w:ascii="仿宋" w:hAnsi="仿宋" w:eastAsia="仿宋" w:cs="仿宋"/>
          <w:color w:val="000000" w:themeColor="text1"/>
          <w:sz w:val="28"/>
          <w14:textFill>
            <w14:solidFill>
              <w14:schemeClr w14:val="tx1"/>
            </w14:solidFill>
          </w14:textFill>
        </w:rPr>
        <w:t xml:space="preserve">江苏苏豪创新科技集团高科有限公司</w:t>
      </w:r>
      <w:r/>
    </w:p>
    <w:p>
      <w:pPr>
        <w:ind w:firstLine="560"/>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根据贵方的</w:t>
      </w:r>
      <w:r>
        <w:rPr>
          <w:rFonts w:hint="eastAsia" w:ascii="仿宋" w:hAnsi="仿宋" w:eastAsia="仿宋"/>
          <w:color w:val="000000" w:themeColor="text1"/>
          <w:sz w:val="28"/>
          <w:szCs w:val="28"/>
          <w14:textFill>
            <w14:solidFill>
              <w14:schemeClr w14:val="tx1"/>
            </w14:solidFill>
          </w14:textFill>
        </w:rPr>
        <w:t xml:space="preserve">JSZC-320***-SHGK-*****-****</w:t>
      </w:r>
      <w:r>
        <w:rPr>
          <w:rFonts w:ascii="仿宋" w:hAnsi="仿宋" w:eastAsia="仿宋" w:cs="仿宋"/>
          <w:color w:val="000000" w:themeColor="text1"/>
          <w:sz w:val="28"/>
          <w14:textFill>
            <w14:solidFill>
              <w14:schemeClr w14:val="tx1"/>
            </w14:solidFill>
          </w14:textFill>
        </w:rPr>
        <w:t xml:space="preserve">号招标文件，正式授权下述签字人_____(姓名)代表我方_______（投标人的名称），全权处理本次项目投标的有关事宜。</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据此函，__________签字人兹宣布同意如下：</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1.按招标文件规定的各项要求，向买方提供所需货物（包含与货物相关的服务）。</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2.我们完全理解贵方不一定将合同授予最低报价的投标人。</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3.我们已详细审核全部招标文件及其有效补充文件，我们知道必须放弃提出含糊不清或误解问题的权利。</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4.我们同意从规定的开标日期起遵循本投标文件，并在规定的投标有效期期满之前均具有约束力。</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5.同意向贵方提供贵方可能另外要求的与投标有关的任何证据或资料，并保证我方已提供和将要提供的文件是真实的、准确的。</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7.与本投标有关的正式通讯地址为：</w:t>
      </w:r>
      <w:r/>
    </w:p>
    <w:p>
      <w:pPr>
        <w:ind w:firstLine="560"/>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地         址：</w:t>
      </w:r>
      <w:r/>
    </w:p>
    <w:p>
      <w:pPr>
        <w:ind w:firstLine="560"/>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邮         编：</w:t>
      </w:r>
      <w:r/>
    </w:p>
    <w:p>
      <w:pPr>
        <w:ind w:firstLine="560"/>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电         话：</w:t>
      </w:r>
      <w:r/>
    </w:p>
    <w:p>
      <w:pPr>
        <w:ind w:firstLine="560"/>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传         真：</w:t>
      </w:r>
      <w:r/>
    </w:p>
    <w:p>
      <w:pPr>
        <w:ind w:firstLine="560"/>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投标人开户行：</w:t>
      </w:r>
      <w:r/>
    </w:p>
    <w:p>
      <w:pPr>
        <w:ind w:firstLine="560"/>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账         号： </w:t>
      </w:r>
      <w:r/>
    </w:p>
    <w:p>
      <w:pPr>
        <w:ind w:firstLine="560"/>
        <w:spacing w:line="47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日         期：________年____月____日</w:t>
      </w:r>
      <w:r/>
    </w:p>
    <w:p>
      <w:pPr>
        <w:pStyle w:val="775"/>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pStyle w:val="736"/>
        <w:jc w:val="center"/>
        <w:spacing w:before="260" w:after="260" w:line="761"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附件8 中小微企业声明函</w:t>
      </w:r>
      <w:r/>
    </w:p>
    <w:p>
      <w:pPr>
        <w:ind w:firstLine="281"/>
        <w:jc w:val="center"/>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中小企业声明函（</w:t>
      </w:r>
      <w:r>
        <w:rPr>
          <w:rFonts w:hint="eastAsia" w:ascii="仿宋" w:hAnsi="仿宋" w:eastAsia="仿宋" w:cs="仿宋"/>
          <w:b/>
          <w:color w:val="000000" w:themeColor="text1"/>
          <w:sz w:val="28"/>
          <w14:textFill>
            <w14:solidFill>
              <w14:schemeClr w14:val="tx1"/>
            </w14:solidFill>
          </w14:textFill>
        </w:rPr>
        <w:t xml:space="preserve">服务</w:t>
      </w:r>
      <w:r>
        <w:rPr>
          <w:rFonts w:ascii="仿宋" w:hAnsi="仿宋" w:eastAsia="仿宋" w:cs="仿宋"/>
          <w:b/>
          <w:color w:val="000000" w:themeColor="text1"/>
          <w:sz w:val="28"/>
          <w14:textFill>
            <w14:solidFill>
              <w14:schemeClr w14:val="tx1"/>
            </w14:solidFill>
          </w14:textFill>
        </w:rPr>
        <w:t xml:space="preserve">类项目）</w:t>
      </w:r>
      <w:r/>
    </w:p>
    <w:p>
      <w:pPr>
        <w:ind w:firstLine="560"/>
        <w:jc w:val="both"/>
        <w:spacing w:line="276" w:lineRule="auto"/>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本公司（联合体）郑重声明，根据《政府采购促进中小企业发展管理办法》(财库[2020]46号)的规定，本公司（联合体）参加</w:t>
      </w:r>
      <w:r>
        <w:rPr>
          <w:rFonts w:ascii="仿宋" w:hAnsi="仿宋" w:eastAsia="仿宋" w:cs="仿宋"/>
          <w:color w:val="000000" w:themeColor="text1"/>
          <w:sz w:val="28"/>
          <w14:textFill>
            <w14:solidFill>
              <w14:schemeClr w14:val="tx1"/>
            </w14:solidFill>
          </w14:textFill>
        </w:rPr>
        <w:t xml:space="preserve">江苏苏豪创新科技集团高科有限公司</w:t>
      </w:r>
      <w:r>
        <w:rPr>
          <w:rFonts w:hint="eastAsia" w:ascii="仿宋" w:hAnsi="仿宋" w:eastAsia="仿宋" w:cs="仿宋"/>
          <w:color w:val="000000" w:themeColor="text1"/>
          <w:sz w:val="28"/>
          <w14:textFill>
            <w14:solidFill>
              <w14:schemeClr w14:val="tx1"/>
            </w14:solidFill>
          </w14:textFill>
        </w:rPr>
        <w:t xml:space="preserve">组织的（单位名称）采购编号为</w:t>
      </w:r>
      <w:r>
        <w:rPr>
          <w:rFonts w:ascii="仿宋" w:hAnsi="仿宋" w:eastAsia="仿宋" w:cs="仿宋"/>
          <w:color w:val="000000" w:themeColor="text1"/>
          <w:sz w:val="28"/>
          <w14:textFill>
            <w14:solidFill>
              <w14:schemeClr w14:val="tx1"/>
            </w14:solidFill>
          </w14:textFill>
        </w:rPr>
        <w:t xml:space="preserve">JSZC-320</w:t>
      </w:r>
      <w:r>
        <w:rPr>
          <w:rFonts w:ascii="仿宋" w:hAnsi="仿宋" w:eastAsia="仿宋" w:cs="仿宋"/>
          <w:color w:val="000000" w:themeColor="text1"/>
          <w:sz w:val="28"/>
          <w:u w:val="single"/>
          <w14:textFill>
            <w14:solidFill>
              <w14:schemeClr w14:val="tx1"/>
            </w14:solidFill>
          </w14:textFill>
        </w:rPr>
        <w:t xml:space="preserve">***</w:t>
      </w:r>
      <w:r>
        <w:rPr>
          <w:rFonts w:ascii="仿宋" w:hAnsi="仿宋" w:eastAsia="仿宋" w:cs="仿宋"/>
          <w:color w:val="000000" w:themeColor="text1"/>
          <w:sz w:val="28"/>
          <w14:textFill>
            <w14:solidFill>
              <w14:schemeClr w14:val="tx1"/>
            </w14:solidFill>
          </w14:textFill>
        </w:rPr>
        <w:t xml:space="preserve">-</w:t>
      </w:r>
      <w:r>
        <w:rPr>
          <w:rFonts w:ascii="仿宋" w:hAnsi="仿宋" w:eastAsia="仿宋" w:cs="仿宋"/>
          <w:color w:val="000000" w:themeColor="text1"/>
          <w:sz w:val="28"/>
          <w:u w:val="single"/>
          <w14:textFill>
            <w14:solidFill>
              <w14:schemeClr w14:val="tx1"/>
            </w14:solidFill>
          </w14:textFill>
        </w:rPr>
        <w:t xml:space="preserve">****</w:t>
      </w:r>
      <w:r>
        <w:rPr>
          <w:rFonts w:ascii="仿宋" w:hAnsi="仿宋" w:eastAsia="仿宋" w:cs="仿宋"/>
          <w:color w:val="000000" w:themeColor="text1"/>
          <w:sz w:val="28"/>
          <w14:textFill>
            <w14:solidFill>
              <w14:schemeClr w14:val="tx1"/>
            </w14:solidFill>
          </w14:textFill>
        </w:rPr>
        <w:t xml:space="preserve">-</w:t>
      </w:r>
      <w:r>
        <w:rPr>
          <w:rFonts w:ascii="仿宋" w:hAnsi="仿宋" w:eastAsia="仿宋" w:cs="仿宋"/>
          <w:color w:val="000000" w:themeColor="text1"/>
          <w:sz w:val="28"/>
          <w:u w:val="single"/>
          <w14:textFill>
            <w14:solidFill>
              <w14:schemeClr w14:val="tx1"/>
            </w14:solidFill>
          </w14:textFill>
        </w:rPr>
        <w:t xml:space="preserve">****</w:t>
      </w:r>
      <w:r>
        <w:rPr>
          <w:rFonts w:hint="eastAsia" w:ascii="仿宋" w:hAnsi="仿宋" w:eastAsia="仿宋" w:cs="仿宋"/>
          <w:color w:val="000000" w:themeColor="text1"/>
          <w:sz w:val="28"/>
          <w14:textFill>
            <w14:solidFill>
              <w14:schemeClr w14:val="tx1"/>
            </w14:solidFill>
          </w14:textFill>
        </w:rPr>
        <w:t xml:space="preserve">，（项目名称）（分包号：</w:t>
      </w:r>
      <w:r>
        <w:rPr>
          <w:rFonts w:ascii="仿宋" w:hAnsi="仿宋" w:eastAsia="仿宋" w:cs="仿宋"/>
          <w:color w:val="000000" w:themeColor="text1"/>
          <w:sz w:val="28"/>
          <w:u w:val="single"/>
          <w14:textFill>
            <w14:solidFill>
              <w14:schemeClr w14:val="tx1"/>
            </w14:solidFill>
          </w14:textFill>
        </w:rPr>
        <w:t xml:space="preserve">**</w:t>
      </w:r>
      <w:r>
        <w:rPr>
          <w:rFonts w:hint="eastAsia" w:ascii="仿宋" w:hAnsi="仿宋" w:eastAsia="仿宋" w:cs="仿宋"/>
          <w:color w:val="000000" w:themeColor="text1"/>
          <w:sz w:val="28"/>
          <w14:textFill>
            <w14:solidFill>
              <w14:schemeClr w14:val="tx1"/>
            </w14:solidFill>
          </w14:textFill>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276" w:lineRule="auto"/>
        <w:rPr>
          <w:rFonts w:ascii="仿宋" w:hAnsi="仿宋" w:eastAsia="仿宋"/>
          <w:i/>
          <w:color w:val="000000" w:themeColor="text1"/>
          <w:sz w:val="28"/>
          <w:szCs w:val="28"/>
          <w:u w:val="singl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w:t>
      </w:r>
      <w:r>
        <w:rPr>
          <w:rFonts w:hint="eastAsia" w:ascii="仿宋" w:hAnsi="仿宋" w:eastAsia="仿宋"/>
          <w:color w:val="000000" w:themeColor="text1"/>
          <w:sz w:val="28"/>
          <w:szCs w:val="28"/>
          <w:u w:val="single"/>
          <w14:textFill>
            <w14:solidFill>
              <w14:schemeClr w14:val="tx1"/>
            </w14:solidFill>
          </w14:textFill>
        </w:rPr>
        <w:t xml:space="preserve">（标的名称）</w:t>
      </w:r>
      <w:r>
        <w:rPr>
          <w:rFonts w:hint="eastAsia" w:ascii="仿宋" w:hAnsi="仿宋" w:eastAsia="仿宋"/>
          <w:i/>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属于</w:t>
      </w:r>
      <w:r>
        <w:rPr>
          <w:rFonts w:hint="eastAsia" w:ascii="仿宋" w:hAnsi="仿宋" w:eastAsia="仿宋"/>
          <w:color w:val="000000" w:themeColor="text1"/>
          <w:sz w:val="28"/>
          <w:szCs w:val="28"/>
          <w:u w:val="single"/>
          <w14:textFill>
            <w14:solidFill>
              <w14:schemeClr w14:val="tx1"/>
            </w14:solidFill>
          </w14:textFill>
        </w:rPr>
        <w:t xml:space="preserve">其他未列明行业</w:t>
      </w:r>
      <w:r>
        <w:rPr>
          <w:rFonts w:hint="eastAsia" w:ascii="仿宋" w:hAnsi="仿宋" w:eastAsia="仿宋"/>
          <w:color w:val="000000" w:themeColor="text1"/>
          <w:sz w:val="28"/>
          <w:szCs w:val="28"/>
          <w14:textFill>
            <w14:solidFill>
              <w14:schemeClr w14:val="tx1"/>
            </w14:solidFill>
          </w14:textFill>
        </w:rPr>
        <w:t xml:space="preserve">行业；承接企业为</w:t>
      </w:r>
      <w:r>
        <w:rPr>
          <w:rFonts w:hint="eastAsia" w:ascii="仿宋" w:hAnsi="仿宋" w:eastAsia="仿宋"/>
          <w:color w:val="000000" w:themeColor="text1"/>
          <w:sz w:val="28"/>
          <w:szCs w:val="28"/>
          <w:u w:val="single"/>
          <w14:textFill>
            <w14:solidFill>
              <w14:schemeClr w14:val="tx1"/>
            </w14:solidFill>
          </w14:textFill>
        </w:rPr>
        <w:t xml:space="preserve">（企业名称）</w:t>
      </w:r>
      <w:r>
        <w:rPr>
          <w:rFonts w:hint="eastAsia" w:ascii="仿宋" w:hAnsi="仿宋" w:eastAsia="仿宋"/>
          <w:color w:val="000000" w:themeColor="text1"/>
          <w:sz w:val="28"/>
          <w:szCs w:val="28"/>
          <w14:textFill>
            <w14:solidFill>
              <w14:schemeClr w14:val="tx1"/>
            </w14:solidFill>
          </w14:textFill>
        </w:rPr>
        <w:t xml:space="preserve">，从业人员</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人，营业收入为</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万元，资产总额为</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万元</w:t>
      </w:r>
      <w:r>
        <w:rPr>
          <w:rFonts w:hint="eastAsia" w:ascii="仿宋" w:hAnsi="仿宋" w:eastAsia="仿宋"/>
          <w:color w:val="000000" w:themeColor="text1"/>
          <w:sz w:val="28"/>
          <w:szCs w:val="28"/>
          <w:vertAlign w:val="superscript"/>
          <w14:textFill>
            <w14:solidFill>
              <w14:schemeClr w14:val="tx1"/>
            </w14:solidFill>
          </w14:textFill>
        </w:rPr>
        <w:t xml:space="preserve">1</w:t>
      </w:r>
      <w:r>
        <w:rPr>
          <w:rFonts w:hint="eastAsia" w:ascii="仿宋" w:hAnsi="仿宋" w:eastAsia="仿宋"/>
          <w:color w:val="000000" w:themeColor="text1"/>
          <w:sz w:val="28"/>
          <w:szCs w:val="28"/>
          <w14:textFill>
            <w14:solidFill>
              <w14:schemeClr w14:val="tx1"/>
            </w14:solidFill>
          </w14:textFill>
        </w:rPr>
        <w:t xml:space="preserve">，属于</w:t>
      </w:r>
      <w:r>
        <w:rPr>
          <w:rFonts w:hint="eastAsia" w:ascii="仿宋" w:hAnsi="仿宋" w:eastAsia="仿宋"/>
          <w:color w:val="000000" w:themeColor="text1"/>
          <w:sz w:val="28"/>
          <w:szCs w:val="28"/>
          <w:u w:val="single"/>
          <w14:textFill>
            <w14:solidFill>
              <w14:schemeClr w14:val="tx1"/>
            </w14:solidFill>
          </w14:textFill>
        </w:rPr>
        <w:t xml:space="preserve">（□中型企业 □小型企业 □微型企业）；</w:t>
      </w:r>
      <w:r/>
    </w:p>
    <w:p>
      <w:pPr>
        <w:ind w:firstLine="360"/>
        <w:spacing w:line="276" w:lineRule="auto"/>
        <w:rPr>
          <w:rFonts w:ascii="仿宋" w:hAnsi="仿宋" w:eastAsia="仿宋"/>
          <w:i/>
          <w:color w:val="000000" w:themeColor="text1"/>
          <w:sz w:val="28"/>
          <w:szCs w:val="28"/>
          <w:u w:val="singl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w:t>
      </w:r>
      <w:r>
        <w:rPr>
          <w:rFonts w:hint="eastAsia" w:ascii="仿宋" w:hAnsi="仿宋" w:eastAsia="仿宋"/>
          <w:color w:val="000000" w:themeColor="text1"/>
          <w:sz w:val="28"/>
          <w:szCs w:val="28"/>
          <w:u w:val="single"/>
          <w14:textFill>
            <w14:solidFill>
              <w14:schemeClr w14:val="tx1"/>
            </w14:solidFill>
          </w14:textFill>
        </w:rPr>
        <w:t xml:space="preserve">（标的名称）</w:t>
      </w:r>
      <w:r>
        <w:rPr>
          <w:rFonts w:hint="eastAsia" w:ascii="仿宋" w:hAnsi="仿宋" w:eastAsia="仿宋"/>
          <w:i/>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属于</w:t>
      </w:r>
      <w:r>
        <w:rPr>
          <w:rFonts w:hint="eastAsia" w:ascii="仿宋" w:hAnsi="仿宋" w:eastAsia="仿宋"/>
          <w:color w:val="000000" w:themeColor="text1"/>
          <w:sz w:val="28"/>
          <w:szCs w:val="28"/>
          <w:u w:val="single"/>
          <w14:textFill>
            <w14:solidFill>
              <w14:schemeClr w14:val="tx1"/>
            </w14:solidFill>
          </w14:textFill>
        </w:rPr>
        <w:t xml:space="preserve">其他未列明行业</w:t>
      </w:r>
      <w:r>
        <w:rPr>
          <w:rFonts w:hint="eastAsia" w:ascii="仿宋" w:hAnsi="仿宋" w:eastAsia="仿宋"/>
          <w:color w:val="000000" w:themeColor="text1"/>
          <w:sz w:val="28"/>
          <w:szCs w:val="28"/>
          <w14:textFill>
            <w14:solidFill>
              <w14:schemeClr w14:val="tx1"/>
            </w14:solidFill>
          </w14:textFill>
        </w:rPr>
        <w:t xml:space="preserve">行业；承接企业为</w:t>
      </w:r>
      <w:r>
        <w:rPr>
          <w:rFonts w:hint="eastAsia" w:ascii="仿宋" w:hAnsi="仿宋" w:eastAsia="仿宋"/>
          <w:color w:val="000000" w:themeColor="text1"/>
          <w:sz w:val="28"/>
          <w:szCs w:val="28"/>
          <w:u w:val="single"/>
          <w14:textFill>
            <w14:solidFill>
              <w14:schemeClr w14:val="tx1"/>
            </w14:solidFill>
          </w14:textFill>
        </w:rPr>
        <w:t xml:space="preserve">（企业名称）</w:t>
      </w:r>
      <w:r>
        <w:rPr>
          <w:rFonts w:hint="eastAsia" w:ascii="仿宋" w:hAnsi="仿宋" w:eastAsia="仿宋"/>
          <w:color w:val="000000" w:themeColor="text1"/>
          <w:sz w:val="28"/>
          <w:szCs w:val="28"/>
          <w14:textFill>
            <w14:solidFill>
              <w14:schemeClr w14:val="tx1"/>
            </w14:solidFill>
          </w14:textFill>
        </w:rPr>
        <w:t xml:space="preserve">，从业人员</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人，营业收入为</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万元，资产总额为</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万元</w:t>
      </w:r>
      <w:r>
        <w:rPr>
          <w:rFonts w:hint="eastAsia" w:ascii="仿宋" w:hAnsi="仿宋" w:eastAsia="仿宋"/>
          <w:color w:val="000000" w:themeColor="text1"/>
          <w:sz w:val="28"/>
          <w:szCs w:val="28"/>
          <w:vertAlign w:val="superscript"/>
          <w14:textFill>
            <w14:solidFill>
              <w14:schemeClr w14:val="tx1"/>
            </w14:solidFill>
          </w14:textFill>
        </w:rPr>
        <w:t xml:space="preserve">1</w:t>
      </w:r>
      <w:r>
        <w:rPr>
          <w:rFonts w:hint="eastAsia" w:ascii="仿宋" w:hAnsi="仿宋" w:eastAsia="仿宋"/>
          <w:color w:val="000000" w:themeColor="text1"/>
          <w:sz w:val="28"/>
          <w:szCs w:val="28"/>
          <w14:textFill>
            <w14:solidFill>
              <w14:schemeClr w14:val="tx1"/>
            </w14:solidFill>
          </w14:textFill>
        </w:rPr>
        <w:t xml:space="preserve">，属于</w:t>
      </w:r>
      <w:r>
        <w:rPr>
          <w:rFonts w:hint="eastAsia" w:ascii="仿宋" w:hAnsi="仿宋" w:eastAsia="仿宋"/>
          <w:color w:val="000000" w:themeColor="text1"/>
          <w:sz w:val="28"/>
          <w:szCs w:val="28"/>
          <w:u w:val="single"/>
          <w14:textFill>
            <w14:solidFill>
              <w14:schemeClr w14:val="tx1"/>
            </w14:solidFill>
          </w14:textFill>
        </w:rPr>
        <w:t xml:space="preserve">（□中型企业 □小型企业 □微型企业）；</w:t>
      </w:r>
      <w:r/>
    </w:p>
    <w:p>
      <w:pPr>
        <w:ind w:firstLine="560"/>
        <w:jc w:val="both"/>
        <w:spacing w:line="276" w:lineRule="auto"/>
        <w:rPr>
          <w:rFonts w:ascii="仿宋" w:hAnsi="仿宋" w:eastAsia="仿宋" w:cs="仿宋"/>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14:textFill>
            <w14:solidFill>
              <w14:schemeClr w14:val="tx1"/>
            </w14:solidFill>
          </w14:textFill>
        </w:rPr>
        <w:t xml:space="preserve">……</w:t>
      </w:r>
      <w:r/>
    </w:p>
    <w:p>
      <w:pPr>
        <w:ind w:firstLine="560"/>
        <w:jc w:val="both"/>
        <w:spacing w:line="47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以上企业，不属于大企业的分支机构，不存在控股股东为大企业的情形，也不存在与大企业的负责人为同一人的情形。</w:t>
      </w:r>
      <w:r/>
    </w:p>
    <w:p>
      <w:pPr>
        <w:ind w:firstLine="560"/>
        <w:jc w:val="both"/>
        <w:spacing w:line="47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本企业对上述声明内容的真实性负责。如有虚假，将依法承担相应责任</w:t>
      </w:r>
      <w:r/>
    </w:p>
    <w:p>
      <w:pPr>
        <w:ind w:right="72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Calibri" w:hAnsi="Calibri" w:eastAsia="仿宋" w:cs="Calibri"/>
          <w:color w:val="000000" w:themeColor="text1"/>
          <w:sz w:val="28"/>
          <w14:textFill>
            <w14:solidFill>
              <w14:schemeClr w14:val="tx1"/>
            </w14:solidFill>
          </w14:textFill>
        </w:rPr>
        <w:t xml:space="preserve"> </w:t>
      </w:r>
      <w:r/>
    </w:p>
    <w:p>
      <w:pPr>
        <w:ind w:right="180" w:firstLine="420"/>
        <w:jc w:val="right"/>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企业名称（加盖CA电子公章）：</w:t>
      </w:r>
      <w:r/>
    </w:p>
    <w:p>
      <w:pPr>
        <w:ind w:right="480" w:firstLine="6300"/>
        <w:jc w:val="both"/>
        <w:spacing w:line="47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日</w:t>
      </w:r>
      <w:r>
        <w:rPr>
          <w:rFonts w:ascii="Calibri" w:hAnsi="Calibri" w:eastAsia="仿宋" w:cs="Calibri"/>
          <w:color w:val="000000" w:themeColor="text1"/>
          <w:sz w:val="28"/>
          <w14:textFill>
            <w14:solidFill>
              <w14:schemeClr w14:val="tx1"/>
            </w14:solidFill>
          </w14:textFill>
        </w:rPr>
        <w:t xml:space="preserve"> </w:t>
      </w:r>
      <w:r>
        <w:rPr>
          <w:rFonts w:ascii="仿宋" w:hAnsi="仿宋" w:eastAsia="仿宋" w:cs="仿宋"/>
          <w:color w:val="000000" w:themeColor="text1"/>
          <w:sz w:val="28"/>
          <w14:textFill>
            <w14:solidFill>
              <w14:schemeClr w14:val="tx1"/>
            </w14:solidFill>
          </w14:textFill>
        </w:rPr>
        <w:t xml:space="preserve"> 期：</w:t>
      </w:r>
      <w:r/>
    </w:p>
    <w:p>
      <w:pPr>
        <w:ind w:right="480" w:firstLine="630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备注：</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1.从业人员、营业收入、资产总额填报上一年度数据，无上一年度数据的新成立企业可不填报。</w:t>
      </w:r>
      <w:r/>
    </w:p>
    <w:p>
      <w:pPr>
        <w:ind w:firstLine="562"/>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2.专门面向中小企业采购的项目，供应商如不提供此声明函，则不能通过资格审查；非专门面向中小企业采购的项目，供应商如不提供此声明函，价格将不做相应扣除。</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3.供应商自行勾选企业规模类型。</w:t>
      </w:r>
      <w:r/>
    </w:p>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br w:type="page" w:clear="all"/>
      </w:r>
      <w:r/>
    </w:p>
    <w:p>
      <w:pPr>
        <w:pStyle w:val="736"/>
        <w:jc w:val="center"/>
        <w:spacing w:before="260" w:after="260" w:line="761"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附件9残疾人福利性单位声明函</w:t>
      </w:r>
      <w:r/>
    </w:p>
    <w:p>
      <w:pPr>
        <w:ind w:left="561" w:hanging="141"/>
        <w:jc w:val="center"/>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残疾人福利性单位声明函（</w:t>
      </w:r>
      <w:r>
        <w:rPr>
          <w:rFonts w:hint="eastAsia" w:ascii="仿宋" w:hAnsi="仿宋" w:eastAsia="仿宋" w:cs="仿宋"/>
          <w:b/>
          <w:color w:val="000000" w:themeColor="text1"/>
          <w:sz w:val="28"/>
          <w14:textFill>
            <w14:solidFill>
              <w14:schemeClr w14:val="tx1"/>
            </w14:solidFill>
          </w14:textFill>
        </w:rPr>
        <w:t xml:space="preserve">服务</w:t>
      </w:r>
      <w:r>
        <w:rPr>
          <w:rFonts w:ascii="仿宋" w:hAnsi="仿宋" w:eastAsia="仿宋" w:cs="仿宋"/>
          <w:b/>
          <w:color w:val="000000" w:themeColor="text1"/>
          <w:sz w:val="28"/>
          <w14:textFill>
            <w14:solidFill>
              <w14:schemeClr w14:val="tx1"/>
            </w14:solidFill>
          </w14:textFill>
        </w:rPr>
        <w:t xml:space="preserve">类项目）</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w:t>
      </w:r>
      <w:r>
        <w:rPr>
          <w:rFonts w:ascii="仿宋" w:hAnsi="仿宋" w:eastAsia="仿宋" w:cs="仿宋"/>
          <w:color w:val="000000" w:themeColor="text1"/>
          <w:sz w:val="28"/>
          <w:u w:val="single"/>
          <w14:textFill>
            <w14:solidFill>
              <w14:schemeClr w14:val="tx1"/>
            </w14:solidFill>
          </w14:textFill>
        </w:rPr>
        <w:t xml:space="preserve">***</w:t>
      </w:r>
      <w:r>
        <w:rPr>
          <w:rFonts w:ascii="仿宋" w:hAnsi="仿宋" w:eastAsia="仿宋" w:cs="仿宋"/>
          <w:color w:val="000000" w:themeColor="text1"/>
          <w:sz w:val="28"/>
          <w14:textFill>
            <w14:solidFill>
              <w14:schemeClr w14:val="tx1"/>
            </w14:solidFill>
          </w14:textFill>
        </w:rPr>
        <w:t xml:space="preserve">-</w:t>
      </w:r>
      <w:r>
        <w:rPr>
          <w:rFonts w:ascii="仿宋" w:hAnsi="仿宋" w:eastAsia="仿宋" w:cs="仿宋"/>
          <w:color w:val="000000" w:themeColor="text1"/>
          <w:sz w:val="28"/>
          <w:u w:val="single"/>
          <w14:textFill>
            <w14:solidFill>
              <w14:schemeClr w14:val="tx1"/>
            </w14:solidFill>
          </w14:textFill>
        </w:rPr>
        <w:t xml:space="preserve">*****</w:t>
      </w:r>
      <w:r>
        <w:rPr>
          <w:rFonts w:ascii="仿宋" w:hAnsi="仿宋" w:eastAsia="仿宋" w:cs="仿宋"/>
          <w:color w:val="000000" w:themeColor="text1"/>
          <w:sz w:val="28"/>
          <w14:textFill>
            <w14:solidFill>
              <w14:schemeClr w14:val="tx1"/>
            </w14:solidFill>
          </w14:textFill>
        </w:rPr>
        <w:t xml:space="preserve">-</w:t>
      </w:r>
      <w:r>
        <w:rPr>
          <w:rFonts w:ascii="仿宋" w:hAnsi="仿宋" w:eastAsia="仿宋" w:cs="仿宋"/>
          <w:color w:val="000000" w:themeColor="text1"/>
          <w:sz w:val="28"/>
          <w:u w:val="single"/>
          <w14:textFill>
            <w14:solidFill>
              <w14:schemeClr w14:val="tx1"/>
            </w14:solidFill>
          </w14:textFill>
        </w:rPr>
        <w:t xml:space="preserve">****</w:t>
      </w:r>
      <w:r>
        <w:rPr>
          <w:rFonts w:ascii="仿宋" w:hAnsi="仿宋" w:eastAsia="仿宋" w:cs="仿宋"/>
          <w:color w:val="000000" w:themeColor="text1"/>
          <w:sz w:val="28"/>
          <w14:textFill>
            <w14:solidFill>
              <w14:schemeClr w14:val="tx1"/>
            </w14:solidFill>
          </w14:textFill>
        </w:rPr>
        <w:t xml:space="preserve">的</w:t>
      </w:r>
      <w:r>
        <w:rPr>
          <w:rFonts w:hint="eastAsia" w:ascii="仿宋" w:hAnsi="仿宋" w:eastAsia="仿宋" w:cs="仿宋"/>
          <w:color w:val="000000" w:themeColor="text1"/>
          <w:sz w:val="28"/>
          <w:u w:val="single"/>
          <w14:textFill>
            <w14:solidFill>
              <w14:schemeClr w14:val="tx1"/>
            </w14:solidFill>
          </w14:textFill>
        </w:rPr>
        <w:t xml:space="preserve"> </w:t>
      </w:r>
      <w:r>
        <w:rPr>
          <w:rFonts w:ascii="仿宋" w:hAnsi="仿宋" w:eastAsia="仿宋" w:cs="仿宋"/>
          <w:color w:val="000000" w:themeColor="text1"/>
          <w:sz w:val="28"/>
          <w:u w:val="single"/>
          <w14:textFill>
            <w14:solidFill>
              <w14:schemeClr w14:val="tx1"/>
            </w14:solidFill>
          </w14:textFill>
        </w:rPr>
        <w:t xml:space="preserve">            </w:t>
      </w:r>
      <w:r>
        <w:rPr>
          <w:rFonts w:ascii="仿宋" w:hAnsi="仿宋" w:eastAsia="仿宋" w:cs="仿宋"/>
          <w:color w:val="000000" w:themeColor="text1"/>
          <w:sz w:val="28"/>
          <w14:textFill>
            <w14:solidFill>
              <w14:schemeClr w14:val="tx1"/>
            </w14:solidFill>
          </w14:textFill>
        </w:rPr>
        <w:t xml:space="preserve">项目采购活动提</w:t>
      </w:r>
      <w:r>
        <w:rPr>
          <w:rFonts w:hint="eastAsia" w:ascii="仿宋" w:hAnsi="仿宋" w:eastAsia="仿宋" w:cs="仿宋"/>
          <w:color w:val="000000" w:themeColor="text1"/>
          <w:sz w:val="28"/>
          <w14:textFill>
            <w14:solidFill>
              <w14:schemeClr w14:val="tx1"/>
            </w14:solidFill>
          </w14:textFill>
        </w:rPr>
        <w:t xml:space="preserve">由本单位提供服务</w:t>
      </w:r>
      <w:r>
        <w:rPr>
          <w:rFonts w:ascii="仿宋" w:hAnsi="仿宋" w:eastAsia="仿宋" w:cs="仿宋"/>
          <w:color w:val="000000" w:themeColor="text1"/>
          <w:sz w:val="28"/>
          <w14:textFill>
            <w14:solidFill>
              <w14:schemeClr w14:val="tx1"/>
            </w14:solidFill>
          </w14:textFill>
        </w:rPr>
        <w:t xml:space="preserve">。</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本单位对上述声明的真实性负责。如有虚假，将依法承担相应责任。</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Calibri" w:hAnsi="Calibri" w:eastAsia="仿宋" w:cs="Calibri"/>
          <w:color w:val="000000" w:themeColor="text1"/>
          <w:sz w:val="28"/>
          <w14:textFill>
            <w14:solidFill>
              <w14:schemeClr w14:val="tx1"/>
            </w14:solidFill>
          </w14:textFill>
        </w:rPr>
        <w:t xml:space="preserve"> </w:t>
      </w:r>
      <w:r/>
    </w:p>
    <w:p>
      <w:pPr>
        <w:ind w:firstLine="560"/>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备注：</w:t>
      </w:r>
      <w:r/>
    </w:p>
    <w:p>
      <w:pPr>
        <w:ind w:firstLine="584"/>
        <w:jc w:val="both"/>
        <w:spacing w:line="479" w:lineRule="atLeast"/>
        <w:rPr>
          <w:rFonts w:ascii="仿宋" w:hAnsi="仿宋" w:eastAsia="仿宋" w:cs="仿宋"/>
          <w:b/>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14:textFill>
            <w14:solidFill>
              <w14:schemeClr w14:val="tx1"/>
            </w14:solidFill>
          </w14:textFill>
        </w:rPr>
        <w:t xml:space="preserve">1.专门面向中小微型企业采购的项目，供应商为残疾人福利性单位并提供服务的必须提供此声明函，否则将不能通过资格审查。</w:t>
      </w:r>
      <w:r/>
    </w:p>
    <w:p>
      <w:pPr>
        <w:ind w:firstLine="584"/>
        <w:jc w:val="both"/>
        <w:spacing w:line="479" w:lineRule="atLeast"/>
        <w:rPr>
          <w:rFonts w:ascii="仿宋" w:hAnsi="仿宋" w:eastAsia="仿宋" w:cs="仿宋"/>
          <w:bCs/>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themeColor="text1"/>
          <w:sz w:val="28"/>
          <w14:textFill>
            <w14:solidFill>
              <w14:schemeClr w14:val="tx1"/>
            </w14:solidFill>
          </w14:textFill>
        </w:rPr>
        <w:t xml:space="preserve">2.非专门面向中小微型企业采购的项目，供应商如不提供此声明函，价格将不做相应扣除。</w:t>
      </w:r>
      <w:r/>
    </w:p>
    <w:p>
      <w:pPr>
        <w:ind w:firstLine="584"/>
        <w:jc w:val="both"/>
        <w:spacing w:line="479" w:lineRule="atLeast"/>
        <w:rPr>
          <w:bCs/>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themeColor="text1"/>
          <w:sz w:val="28"/>
          <w14:textFill>
            <w14:solidFill>
              <w14:schemeClr w14:val="tx1"/>
            </w14:solidFill>
          </w14:textFill>
        </w:rPr>
        <w:t xml:space="preserve">3.中标/成交供应商为残疾人福利性单位的，此声明函将随中标/成交结果同时公告，接受社会监督。</w:t>
      </w:r>
      <w:r>
        <w:rPr>
          <w:rFonts w:ascii="Calibri" w:hAnsi="Calibri" w:eastAsia="仿宋" w:cs="Calibri"/>
          <w:bCs/>
          <w:color w:val="000000" w:themeColor="text1"/>
          <w:spacing w:val="6"/>
          <w:sz w:val="28"/>
          <w14:textFill>
            <w14:solidFill>
              <w14:schemeClr w14:val="tx1"/>
            </w14:solidFill>
          </w14:textFill>
        </w:rPr>
        <w:t xml:space="preserve"> </w:t>
      </w:r>
      <w:r/>
    </w:p>
    <w:p>
      <w:pPr>
        <w:ind w:right="873" w:firstLine="584"/>
        <w:jc w:val="center"/>
        <w:spacing w:line="479" w:lineRule="atLeast"/>
        <w:tabs>
          <w:tab w:val="left" w:pos="4860" w:leader="none"/>
        </w:tabs>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Calibri" w:hAnsi="Calibri" w:eastAsia="仿宋" w:cs="Calibri"/>
          <w:color w:val="000000" w:themeColor="text1"/>
          <w:sz w:val="28"/>
          <w14:textFill>
            <w14:solidFill>
              <w14:schemeClr w14:val="tx1"/>
            </w14:solidFill>
          </w14:textFill>
        </w:rPr>
        <w:t xml:space="preserve">      </w:t>
      </w:r>
      <w:r>
        <w:rPr>
          <w:rFonts w:ascii="仿宋" w:hAnsi="仿宋" w:eastAsia="仿宋" w:cs="仿宋"/>
          <w:color w:val="000000" w:themeColor="text1"/>
          <w:sz w:val="28"/>
          <w14:textFill>
            <w14:solidFill>
              <w14:schemeClr w14:val="tx1"/>
            </w14:solidFill>
          </w14:textFill>
        </w:rPr>
        <w:t xml:space="preserve"> 供应商全称（加盖CA电子章）：</w:t>
      </w:r>
      <w:r/>
    </w:p>
    <w:p>
      <w:pPr>
        <w:ind w:right="1559" w:firstLine="560"/>
        <w:jc w:val="center"/>
        <w:spacing w:line="479" w:lineRule="atLeast"/>
        <w:tabs>
          <w:tab w:val="left" w:pos="4860" w:leader="none"/>
        </w:tabs>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Calibri" w:hAnsi="Calibri" w:eastAsia="仿宋" w:cs="Calibri"/>
          <w:color w:val="000000" w:themeColor="text1"/>
          <w:sz w:val="28"/>
          <w14:textFill>
            <w14:solidFill>
              <w14:schemeClr w14:val="tx1"/>
            </w14:solidFill>
          </w14:textFill>
        </w:rPr>
        <w:t xml:space="preserve">       </w:t>
      </w:r>
      <w:r>
        <w:rPr>
          <w:rFonts w:ascii="仿宋" w:hAnsi="仿宋" w:eastAsia="仿宋" w:cs="仿宋"/>
          <w:color w:val="000000" w:themeColor="text1"/>
          <w:sz w:val="28"/>
          <w14:textFill>
            <w14:solidFill>
              <w14:schemeClr w14:val="tx1"/>
            </w14:solidFill>
          </w14:textFill>
        </w:rPr>
        <w:t xml:space="preserve"> 日</w:t>
      </w:r>
      <w:r>
        <w:rPr>
          <w:rFonts w:ascii="Calibri" w:hAnsi="Calibri" w:eastAsia="仿宋" w:cs="Calibri"/>
          <w:color w:val="000000" w:themeColor="text1"/>
          <w:sz w:val="28"/>
          <w14:textFill>
            <w14:solidFill>
              <w14:schemeClr w14:val="tx1"/>
            </w14:solidFill>
          </w14:textFill>
        </w:rPr>
        <w:t xml:space="preserve"> </w:t>
      </w:r>
      <w:r>
        <w:rPr>
          <w:rFonts w:ascii="仿宋" w:hAnsi="仿宋" w:eastAsia="仿宋" w:cs="仿宋"/>
          <w:color w:val="000000" w:themeColor="text1"/>
          <w:sz w:val="28"/>
          <w14:textFill>
            <w14:solidFill>
              <w14:schemeClr w14:val="tx1"/>
            </w14:solidFill>
          </w14:textFill>
        </w:rPr>
        <w:t xml:space="preserve"> 期：</w:t>
      </w:r>
      <w:r/>
    </w:p>
    <w:p>
      <w:pPr>
        <w:ind w:right="1559" w:firstLine="560"/>
        <w:jc w:val="center"/>
        <w:spacing w:line="479" w:lineRule="atLeast"/>
        <w:tabs>
          <w:tab w:val="left" w:pos="4860" w:leader="none"/>
        </w:tabs>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r>
      <w:r/>
    </w:p>
    <w:p>
      <w:pPr>
        <w:jc w:val="center"/>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 </w:t>
      </w:r>
      <w:r/>
    </w:p>
    <w:p>
      <w:pPr>
        <w:jc w:val="center"/>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r>
      <w:r/>
    </w:p>
    <w:p>
      <w:pPr>
        <w:pStyle w:val="736"/>
        <w:jc w:val="center"/>
        <w:spacing w:before="260" w:after="260" w:line="761" w:lineRule="atLeast"/>
        <w:rPr>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附件10实质性要求响应及偏离表</w:t>
      </w:r>
      <w:r/>
    </w:p>
    <w:p>
      <w:pPr>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实质性要求响应及偏离表</w:t>
      </w:r>
      <w:r/>
    </w:p>
    <w:tbl>
      <w:tblPr>
        <w:tblStyle w:val="776"/>
        <w:tblW w:w="8921"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9"/>
        <w:gridCol w:w="3876"/>
        <w:gridCol w:w="2835"/>
        <w:gridCol w:w="1701"/>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76" w:type="dxa"/>
            <w:vAlign w:val="center"/>
            <w:textDirection w:val="lrTb"/>
            <w:noWrap w:val="false"/>
          </w:tcPr>
          <w:p>
            <w:pPr>
              <w:jc w:val="center"/>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技术要求和商务要求中的实质性要求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jc w:val="center"/>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响应或正/负偏离</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textDirection w:val="lrTb"/>
            <w:noWrap w:val="false"/>
          </w:tcPr>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textDirection w:val="lrTb"/>
            <w:noWrap w:val="false"/>
          </w:tcPr>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 </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textDirection w:val="lrTb"/>
            <w:noWrap w:val="false"/>
          </w:tcPr>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textDirection w:val="lrTb"/>
            <w:noWrap w:val="false"/>
          </w:tcPr>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 </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textDirection w:val="lrTb"/>
            <w:noWrap w:val="false"/>
          </w:tcPr>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textDirection w:val="lrTb"/>
            <w:noWrap w:val="false"/>
          </w:tcPr>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 </w:t>
            </w:r>
            <w:r/>
          </w:p>
        </w:tc>
      </w:tr>
    </w:tbl>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附件证明材料1，证明材料2，……</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 </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备注：</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1.投标人必须对技术要求和商务要求中的实质性要求逐条做出明确响应，否则作无效投标处理。</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2.如果招标文件要求提供证明材料，投标人必须将证明材料列于该表之下。</w:t>
      </w:r>
      <w:r/>
    </w:p>
    <w:p>
      <w:pPr>
        <w:jc w:val="both"/>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3.投标人未对实质性要求逐条作出明确响应的，或未按招标文件要求提供证明材料的，该分包作无效投标处理。</w:t>
      </w:r>
      <w:r/>
    </w:p>
    <w:p>
      <w:pPr>
        <w:pStyle w:val="736"/>
        <w:jc w:val="center"/>
        <w:spacing w:before="260" w:after="260" w:line="761" w:lineRule="atLeast"/>
        <w:rPr>
          <w:rFonts w:ascii="仿宋" w:hAnsi="仿宋" w:eastAsia="仿宋" w:cs="仿宋"/>
          <w:b/>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br w:type="page" w:clear="all"/>
      </w:r>
      <w:r>
        <w:rPr>
          <w:rFonts w:ascii="仿宋" w:hAnsi="仿宋" w:eastAsia="仿宋" w:cs="仿宋"/>
          <w:b/>
          <w:color w:val="000000" w:themeColor="text1"/>
          <w:sz w:val="28"/>
          <w14:textFill>
            <w14:solidFill>
              <w14:schemeClr w14:val="tx1"/>
            </w14:solidFill>
          </w14:textFill>
        </w:rPr>
        <w:t xml:space="preserve">附件1</w:t>
      </w:r>
      <w:r>
        <w:rPr>
          <w:rFonts w:hint="eastAsia" w:ascii="仿宋" w:hAnsi="仿宋" w:eastAsia="仿宋" w:cs="仿宋"/>
          <w:b/>
          <w:color w:val="000000" w:themeColor="text1"/>
          <w:sz w:val="28"/>
          <w14:textFill>
            <w14:solidFill>
              <w14:schemeClr w14:val="tx1"/>
            </w14:solidFill>
          </w14:textFill>
        </w:rPr>
        <w:t xml:space="preserve">1授权委托书</w:t>
      </w:r>
      <w:r>
        <w:rPr>
          <w:rFonts w:ascii="仿宋" w:hAnsi="仿宋" w:eastAsia="仿宋" w:cs="仿宋"/>
          <w:b/>
          <w:color w:val="000000" w:themeColor="text1"/>
          <w:sz w:val="28"/>
          <w14:textFill>
            <w14:solidFill>
              <w14:schemeClr w14:val="tx1"/>
            </w14:solidFill>
          </w14:textFill>
        </w:rPr>
        <w:t xml:space="preserve">（如有）</w:t>
      </w:r>
      <w:r/>
    </w:p>
    <w:p>
      <w:pPr>
        <w:ind w:firstLine="480"/>
        <w:jc w:val="center"/>
        <w:spacing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r>
      <w:r/>
    </w:p>
    <w:p>
      <w:pPr>
        <w:ind w:firstLine="560"/>
        <w:jc w:val="both"/>
        <w:spacing w:line="479" w:lineRule="atLeast"/>
        <w:tabs>
          <w:tab w:val="left" w:pos="360" w:leader="none"/>
        </w:tabs>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本授权书声明：____________（</w:t>
      </w:r>
      <w:r>
        <w:rPr>
          <w:rFonts w:hint="eastAsia" w:ascii="仿宋" w:hAnsi="仿宋" w:eastAsia="仿宋" w:cs="仿宋"/>
          <w:color w:val="000000" w:themeColor="text1"/>
          <w:sz w:val="28"/>
          <w14:textFill>
            <w14:solidFill>
              <w14:schemeClr w14:val="tx1"/>
            </w14:solidFill>
          </w14:textFill>
        </w:rPr>
        <w:t xml:space="preserve">投标人名称</w:t>
      </w:r>
      <w:r>
        <w:rPr>
          <w:rFonts w:ascii="仿宋" w:hAnsi="仿宋" w:eastAsia="仿宋" w:cs="仿宋"/>
          <w:color w:val="000000" w:themeColor="text1"/>
          <w:sz w:val="28"/>
          <w14:textFill>
            <w14:solidFill>
              <w14:schemeClr w14:val="tx1"/>
            </w14:solidFill>
          </w14:textFill>
        </w:rPr>
        <w:t xml:space="preserve">）授权_____________（</w:t>
      </w:r>
      <w:r>
        <w:rPr>
          <w:rFonts w:hint="eastAsia" w:ascii="仿宋" w:hAnsi="仿宋" w:eastAsia="仿宋" w:cs="仿宋"/>
          <w:color w:val="000000" w:themeColor="text1"/>
          <w:sz w:val="28"/>
          <w14:textFill>
            <w14:solidFill>
              <w14:schemeClr w14:val="tx1"/>
            </w14:solidFill>
          </w14:textFill>
        </w:rPr>
        <w:t xml:space="preserve">授权代表</w:t>
      </w:r>
      <w:r>
        <w:rPr>
          <w:rFonts w:ascii="仿宋" w:hAnsi="仿宋" w:eastAsia="仿宋" w:cs="仿宋"/>
          <w:color w:val="000000" w:themeColor="text1"/>
          <w:sz w:val="28"/>
          <w14:textFill>
            <w14:solidFill>
              <w14:schemeClr w14:val="tx1"/>
            </w14:solidFill>
          </w14:textFill>
        </w:rPr>
        <w:t xml:space="preserve">的姓名）为我方就</w:t>
      </w:r>
      <w:r>
        <w:rPr>
          <w:rFonts w:hint="eastAsia" w:ascii="仿宋" w:hAnsi="仿宋" w:eastAsia="仿宋"/>
          <w:color w:val="000000" w:themeColor="text1"/>
          <w:sz w:val="28"/>
          <w:szCs w:val="28"/>
          <w14:textFill>
            <w14:solidFill>
              <w14:schemeClr w14:val="tx1"/>
            </w14:solidFill>
          </w14:textFill>
        </w:rPr>
        <w:t xml:space="preserve">JSZC-</w:t>
      </w:r>
      <w:r>
        <w:rPr>
          <w:rFonts w:ascii="仿宋" w:hAnsi="仿宋" w:eastAsia="仿宋"/>
          <w:color w:val="000000" w:themeColor="text1"/>
          <w:sz w:val="28"/>
          <w:szCs w:val="28"/>
          <w14:textFill>
            <w14:solidFill>
              <w14:schemeClr w14:val="tx1"/>
            </w14:solidFill>
          </w14:textFill>
        </w:rPr>
        <w:t xml:space="preserve">320</w:t>
      </w:r>
      <w:r>
        <w:rPr>
          <w:rFonts w:ascii="仿宋" w:hAnsi="仿宋" w:eastAsia="仿宋"/>
          <w:color w:val="000000" w:themeColor="text1"/>
          <w:sz w:val="28"/>
          <w:szCs w:val="28"/>
          <w:u w:val="single"/>
          <w14:textFill>
            <w14:solidFill>
              <w14:schemeClr w14:val="tx1"/>
            </w14:solidFill>
          </w14:textFill>
        </w:rPr>
        <w:t xml:space="preserve">***</w:t>
      </w:r>
      <w:r>
        <w:rPr>
          <w:rFonts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SHGK</w:t>
      </w:r>
      <w:r>
        <w:rPr>
          <w:rFonts w:ascii="仿宋" w:hAnsi="仿宋" w:eastAsia="仿宋"/>
          <w:color w:val="000000" w:themeColor="text1"/>
          <w:sz w:val="28"/>
          <w:szCs w:val="28"/>
          <w14:textFill>
            <w14:solidFill>
              <w14:schemeClr w14:val="tx1"/>
            </w14:solidFill>
          </w14:textFill>
        </w:rPr>
        <w:t xml:space="preserve">-</w:t>
      </w:r>
      <w:r>
        <w:rPr>
          <w:rFonts w:ascii="仿宋" w:hAnsi="仿宋" w:eastAsia="仿宋"/>
          <w:color w:val="000000" w:themeColor="text1"/>
          <w:sz w:val="28"/>
          <w:szCs w:val="28"/>
          <w:u w:val="single"/>
          <w14:textFill>
            <w14:solidFill>
              <w14:schemeClr w14:val="tx1"/>
            </w14:solidFill>
          </w14:textFill>
        </w:rPr>
        <w:t xml:space="preserve">*****</w:t>
      </w:r>
      <w:r>
        <w:rPr>
          <w:rFonts w:ascii="仿宋" w:hAnsi="仿宋" w:eastAsia="仿宋"/>
          <w:color w:val="000000" w:themeColor="text1"/>
          <w:sz w:val="28"/>
          <w:szCs w:val="28"/>
          <w14:textFill>
            <w14:solidFill>
              <w14:schemeClr w14:val="tx1"/>
            </w14:solidFill>
          </w14:textFill>
        </w:rPr>
        <w:t xml:space="preserve">-</w:t>
      </w:r>
      <w:r>
        <w:rPr>
          <w:rFonts w:ascii="仿宋" w:hAnsi="仿宋" w:eastAsia="仿宋"/>
          <w:color w:val="000000" w:themeColor="text1"/>
          <w:sz w:val="28"/>
          <w:szCs w:val="28"/>
          <w:u w:val="single"/>
          <w14:textFill>
            <w14:solidFill>
              <w14:schemeClr w14:val="tx1"/>
            </w14:solidFill>
          </w14:textFill>
        </w:rPr>
        <w:t xml:space="preserve">****</w:t>
      </w:r>
      <w:r>
        <w:rPr>
          <w:rFonts w:ascii="仿宋" w:hAnsi="仿宋" w:eastAsia="仿宋" w:cs="仿宋"/>
          <w:color w:val="000000" w:themeColor="text1"/>
          <w:sz w:val="28"/>
          <w14:textFill>
            <w14:solidFill>
              <w14:schemeClr w14:val="tx1"/>
            </w14:solidFill>
          </w14:textFill>
        </w:rPr>
        <w:t xml:space="preserve">号项目采购活动的合法代理人，以本单位名义全权处理一切与该项目采购有关的事务。</w:t>
      </w:r>
      <w:r/>
    </w:p>
    <w:p>
      <w:pPr>
        <w:ind w:firstLine="560"/>
        <w:jc w:val="both"/>
        <w:spacing w:line="479" w:lineRule="atLeast"/>
        <w:tabs>
          <w:tab w:val="left" w:pos="360" w:leader="none"/>
        </w:tabs>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本授权书于______年____月____日起生效，特此声明。</w:t>
      </w:r>
      <w:r/>
    </w:p>
    <w:p>
      <w:pPr>
        <w:jc w:val="both"/>
        <w:spacing w:line="479" w:lineRule="atLeast"/>
        <w:tabs>
          <w:tab w:val="left" w:pos="360" w:leader="none"/>
        </w:tabs>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r>
      <w:r/>
    </w:p>
    <w:p>
      <w:pPr>
        <w:jc w:val="both"/>
        <w:spacing w:line="479" w:lineRule="atLeast"/>
        <w:tabs>
          <w:tab w:val="left" w:pos="360" w:leader="none"/>
        </w:tabs>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r>
      <w:r/>
    </w:p>
    <w:p>
      <w:pPr>
        <w:jc w:val="both"/>
        <w:spacing w:line="479" w:lineRule="atLeast"/>
        <w:tabs>
          <w:tab w:val="left" w:pos="360" w:leader="none"/>
        </w:tabs>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授权代表姓名：</w:t>
      </w:r>
      <w:r/>
    </w:p>
    <w:p>
      <w:pPr>
        <w:jc w:val="both"/>
        <w:spacing w:line="479" w:lineRule="atLeast"/>
        <w:tabs>
          <w:tab w:val="left" w:pos="360" w:leader="none"/>
        </w:tabs>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授权代表</w:t>
      </w:r>
      <w:r>
        <w:rPr>
          <w:rFonts w:ascii="仿宋" w:hAnsi="仿宋" w:eastAsia="仿宋" w:cs="仿宋"/>
          <w:color w:val="000000" w:themeColor="text1"/>
          <w:sz w:val="28"/>
          <w14:textFill>
            <w14:solidFill>
              <w14:schemeClr w14:val="tx1"/>
            </w14:solidFill>
          </w14:textFill>
        </w:rPr>
        <w:t xml:space="preserve">身份证号码：</w:t>
      </w:r>
      <w:r/>
    </w:p>
    <w:p>
      <w:pPr>
        <w:jc w:val="both"/>
        <w:spacing w:line="479" w:lineRule="atLeast"/>
        <w:tabs>
          <w:tab w:val="left" w:pos="360" w:leader="none"/>
        </w:tabs>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授权代表</w:t>
      </w:r>
      <w:r>
        <w:rPr>
          <w:rFonts w:ascii="仿宋" w:hAnsi="仿宋" w:eastAsia="仿宋" w:cs="仿宋"/>
          <w:color w:val="000000" w:themeColor="text1"/>
          <w:sz w:val="28"/>
          <w14:textFill>
            <w14:solidFill>
              <w14:schemeClr w14:val="tx1"/>
            </w14:solidFill>
          </w14:textFill>
        </w:rPr>
        <w:t xml:space="preserve">联系电话：（手机）</w:t>
      </w:r>
      <w:r/>
    </w:p>
    <w:p>
      <w:pPr>
        <w:jc w:val="both"/>
        <w:spacing w:line="479" w:lineRule="atLeast"/>
        <w:tabs>
          <w:tab w:val="left" w:pos="360" w:leader="none"/>
        </w:tabs>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投标人</w:t>
      </w:r>
      <w:r>
        <w:rPr>
          <w:rFonts w:ascii="仿宋" w:hAnsi="仿宋" w:eastAsia="仿宋" w:cs="仿宋"/>
          <w:color w:val="000000" w:themeColor="text1"/>
          <w:sz w:val="28"/>
          <w14:textFill>
            <w14:solidFill>
              <w14:schemeClr w14:val="tx1"/>
            </w14:solidFill>
          </w14:textFill>
        </w:rPr>
        <w:t xml:space="preserve">名称：</w:t>
      </w:r>
      <w:r>
        <w:rPr>
          <w:rFonts w:ascii="仿宋" w:hAnsi="仿宋" w:eastAsia="仿宋" w:cs="仿宋"/>
          <w:color w:val="000000" w:themeColor="text1"/>
          <w:sz w:val="28"/>
          <w:u w:val="single"/>
          <w14:textFill>
            <w14:solidFill>
              <w14:schemeClr w14:val="tx1"/>
            </w14:solidFill>
          </w14:textFill>
        </w:rPr>
        <w:t xml:space="preserve">（加盖CA电子公章）</w:t>
      </w:r>
      <w:r/>
    </w:p>
    <w:p>
      <w:pPr>
        <w:jc w:val="both"/>
        <w:spacing w:line="479" w:lineRule="atLeast"/>
        <w:tabs>
          <w:tab w:val="left" w:pos="360" w:leader="none"/>
        </w:tabs>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单位地址：</w:t>
      </w:r>
      <w:r/>
    </w:p>
    <w:p>
      <w:pPr>
        <w:jc w:val="both"/>
        <w:spacing w:line="479" w:lineRule="atLeast"/>
        <w:tabs>
          <w:tab w:val="left" w:pos="360" w:leader="none"/>
        </w:tabs>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14:textFill>
            <w14:solidFill>
              <w14:schemeClr w14:val="tx1"/>
            </w14:solidFill>
          </w14:textFill>
        </w:rPr>
        <w:t xml:space="preserve">日期：</w:t>
      </w:r>
      <w:r/>
    </w:p>
    <w:p>
      <w:pPr>
        <w:ind w:firstLine="560"/>
        <w:jc w:val="both"/>
        <w:spacing w:line="479" w:lineRule="atLeast"/>
        <w:tabs>
          <w:tab w:val="left" w:pos="360" w:leader="none"/>
        </w:tabs>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说明:</w:t>
      </w:r>
      <w:r/>
    </w:p>
    <w:p>
      <w:pPr>
        <w:ind w:firstLine="560"/>
        <w:jc w:val="both"/>
        <w:spacing w:line="479" w:lineRule="atLeast"/>
        <w:tabs>
          <w:tab w:val="left" w:pos="360" w:leader="none"/>
        </w:tabs>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(1)本授权委托书之后需附上授权代表身份证复印件。</w:t>
      </w:r>
      <w:r/>
    </w:p>
    <w:p>
      <w:pPr>
        <w:ind w:firstLine="560"/>
        <w:jc w:val="both"/>
        <w:spacing w:line="479" w:lineRule="atLeast"/>
        <w:tabs>
          <w:tab w:val="left" w:pos="360" w:leader="none"/>
        </w:tabs>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(2)如果投标人有法定代表人且由其直接参与投标的可以不提供，但必须在营业执照后附法定代表人身份证复印件。</w:t>
      </w:r>
      <w:r/>
    </w:p>
    <w:p>
      <w:pPr>
        <w:ind w:firstLine="560"/>
        <w:jc w:val="both"/>
        <w:spacing w:line="479" w:lineRule="atLeast"/>
        <w:tabs>
          <w:tab w:val="left" w:pos="360" w:leader="none"/>
        </w:tabs>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14:textFill>
            <w14:solidFill>
              <w14:schemeClr w14:val="tx1"/>
            </w14:solidFill>
          </w14:textFill>
        </w:rPr>
        <w:t xml:space="preserve">(3)未按上述规定随附身份证复印件的，投标无效。</w:t>
      </w:r>
      <w:r/>
    </w:p>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r>
      <w:r/>
    </w:p>
    <w:p>
      <w:pPr>
        <w:pStyle w:val="736"/>
        <w:jc w:val="center"/>
        <w:spacing w:before="260" w:after="260" w:line="761" w:lineRule="atLeast"/>
        <w:rPr>
          <w:rFonts w:ascii="仿宋" w:hAnsi="仿宋" w:eastAsia="仿宋" w:cs="仿宋"/>
          <w:b/>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附件1</w:t>
      </w:r>
      <w:r>
        <w:rPr>
          <w:rFonts w:hint="eastAsia" w:ascii="仿宋" w:hAnsi="仿宋" w:eastAsia="仿宋" w:cs="仿宋"/>
          <w:b/>
          <w:color w:val="000000" w:themeColor="text1"/>
          <w:sz w:val="28"/>
          <w14:textFill>
            <w14:solidFill>
              <w14:schemeClr w14:val="tx1"/>
            </w14:solidFill>
          </w14:textFill>
        </w:rPr>
        <w:t xml:space="preserve">2</w:t>
      </w:r>
      <w:r>
        <w:rPr>
          <w:rFonts w:ascii="仿宋" w:hAnsi="仿宋" w:eastAsia="仿宋" w:cs="仿宋"/>
          <w:b/>
          <w:color w:val="000000" w:themeColor="text1"/>
          <w:sz w:val="28"/>
          <w14:textFill>
            <w14:solidFill>
              <w14:schemeClr w14:val="tx1"/>
            </w14:solidFill>
          </w14:textFill>
        </w:rPr>
        <w:t xml:space="preserve">相关业绩案例一览表（如有）</w:t>
      </w:r>
      <w:r/>
    </w:p>
    <w:tbl>
      <w:tblPr>
        <w:tblStyle w:val="776"/>
        <w:tblW w:w="905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796"/>
        <w:gridCol w:w="2209"/>
        <w:gridCol w:w="980"/>
        <w:gridCol w:w="980"/>
        <w:gridCol w:w="2344"/>
      </w:tblGrid>
      <w:tr>
        <w:trPr>
          <w:trHeight w:val="730"/>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jc w:val="center"/>
              <w:spacing w:before="240" w:after="240" w:line="400" w:lineRule="atLeast"/>
              <w:rPr>
                <w:rFonts w:ascii="仿宋" w:hAnsi="仿宋" w:eastAsia="仿宋" w:cs="方正仿宋_GBK"/>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color w:val="000000" w:themeColor="text1"/>
                <w:sz w:val="28"/>
                <w14:textFill>
                  <w14:solidFill>
                    <w14:schemeClr w14:val="tx1"/>
                  </w14:solidFill>
                </w14:textFill>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jc w:val="center"/>
              <w:spacing w:before="240" w:after="240" w:line="400" w:lineRule="atLeast"/>
              <w:rPr>
                <w:rFonts w:ascii="仿宋" w:hAnsi="仿宋" w:eastAsia="仿宋" w:cs="方正仿宋_GBK"/>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color w:val="000000" w:themeColor="text1"/>
                <w:sz w:val="28"/>
                <w14:textFill>
                  <w14:solidFill>
                    <w14:schemeClr w14:val="tx1"/>
                  </w14:solidFill>
                </w14:textFill>
              </w:rPr>
              <w:t xml:space="preserve">项目名称</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jc w:val="center"/>
              <w:spacing w:before="240" w:after="240" w:line="400" w:lineRule="atLeast"/>
              <w:rPr>
                <w:rFonts w:ascii="仿宋" w:hAnsi="仿宋" w:eastAsia="仿宋" w:cs="方正仿宋_GBK"/>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color w:val="000000" w:themeColor="text1"/>
                <w:sz w:val="28"/>
                <w14:textFill>
                  <w14:solidFill>
                    <w14:schemeClr w14:val="tx1"/>
                  </w14:solidFill>
                </w14:textFill>
              </w:rPr>
              <w:t xml:space="preserve">供货设备清单</w:t>
            </w:r>
            <w:r/>
          </w:p>
          <w:p>
            <w:pPr>
              <w:jc w:val="center"/>
              <w:spacing w:before="240" w:after="240" w:line="400" w:lineRule="atLeast"/>
              <w:rPr>
                <w:rFonts w:ascii="仿宋" w:hAnsi="仿宋" w:eastAsia="仿宋" w:cs="方正仿宋_GBK"/>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color w:val="000000" w:themeColor="text1"/>
                <w:sz w:val="28"/>
                <w14:textFill>
                  <w14:solidFill>
                    <w14:schemeClr w14:val="tx1"/>
                  </w14:solidFill>
                </w14:textFill>
              </w:rPr>
              <w:t xml:space="preserve">（品牌、型号）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spacing w:before="240" w:after="240" w:line="400" w:lineRule="atLeast"/>
              <w:rPr>
                <w:rFonts w:ascii="仿宋" w:hAnsi="仿宋" w:eastAsia="仿宋" w:cs="方正仿宋_GBK"/>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color w:val="000000" w:themeColor="text1"/>
                <w:sz w:val="28"/>
                <w14:textFill>
                  <w14:solidFill>
                    <w14:schemeClr w14:val="tx1"/>
                  </w14:solidFill>
                </w14:textFill>
              </w:rPr>
              <w:t xml:space="preserve">数量</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spacing w:before="240" w:after="240" w:line="400" w:lineRule="atLeast"/>
              <w:rPr>
                <w:rFonts w:ascii="仿宋" w:hAnsi="仿宋" w:eastAsia="仿宋" w:cs="方正仿宋_GBK"/>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color w:val="000000" w:themeColor="text1"/>
                <w:sz w:val="28"/>
                <w14:textFill>
                  <w14:solidFill>
                    <w14:schemeClr w14:val="tx1"/>
                  </w14:solidFill>
                </w14:textFill>
              </w:rPr>
              <w:t xml:space="preserve">签订时间</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jc w:val="center"/>
              <w:spacing w:before="240" w:after="240" w:line="400" w:lineRule="atLeast"/>
              <w:rPr>
                <w:rFonts w:ascii="仿宋" w:hAnsi="仿宋" w:eastAsia="仿宋" w:cs="方正仿宋_GBK"/>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color w:val="000000" w:themeColor="text1"/>
                <w:sz w:val="28"/>
                <w14:textFill>
                  <w14:solidFill>
                    <w14:schemeClr w14:val="tx1"/>
                  </w14:solidFill>
                </w14:textFill>
              </w:rPr>
              <w:t xml:space="preserve">业主名称</w:t>
            </w:r>
            <w:r/>
          </w:p>
          <w:p>
            <w:pPr>
              <w:jc w:val="center"/>
              <w:spacing w:before="240" w:after="240" w:line="400" w:lineRule="atLeast"/>
              <w:rPr>
                <w:rFonts w:ascii="仿宋" w:hAnsi="仿宋" w:eastAsia="仿宋" w:cs="方正仿宋_GBK"/>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color w:val="000000" w:themeColor="text1"/>
                <w:sz w:val="28"/>
                <w14:textFill>
                  <w14:solidFill>
                    <w14:schemeClr w14:val="tx1"/>
                  </w14:solidFill>
                </w14:textFill>
              </w:rPr>
              <w:t xml:space="preserve">联系人/电话</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ascii="仿宋" w:hAnsi="仿宋" w:eastAsia="仿宋" w:cs="方正仿宋_GBK"/>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color w:val="000000" w:themeColor="text1"/>
                <w:sz w:val="28"/>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ascii="仿宋" w:hAnsi="仿宋" w:eastAsia="仿宋" w:cs="方正仿宋_GBK"/>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Calibri" w:hAnsi="Calibri" w:eastAsia="仿宋" w:cs="Calibri"/>
                <w:color w:val="000000" w:themeColor="text1"/>
                <w:sz w:val="28"/>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ascii="仿宋" w:hAnsi="仿宋" w:eastAsia="仿宋" w:cs="方正仿宋_GBK"/>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Calibri" w:hAnsi="Calibri" w:eastAsia="仿宋" w:cs="Calibri"/>
                <w:b/>
                <w:color w:val="000000" w:themeColor="text1"/>
                <w:sz w:val="28"/>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cs="方正仿宋_GBK"/>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Calibri" w:hAnsi="Calibri" w:eastAsia="仿宋" w:cs="Calibri"/>
                <w:b/>
                <w:color w:val="000000" w:themeColor="text1"/>
                <w:sz w:val="28"/>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cs="方正仿宋_GBK"/>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Calibri" w:hAnsi="Calibri" w:eastAsia="仿宋" w:cs="Calibri"/>
                <w:b/>
                <w:color w:val="000000" w:themeColor="text1"/>
                <w:sz w:val="28"/>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ascii="仿宋" w:hAnsi="仿宋" w:eastAsia="仿宋" w:cs="方正仿宋_GBK"/>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Calibri" w:hAnsi="Calibri" w:eastAsia="仿宋" w:cs="Calibri"/>
                <w:b/>
                <w:color w:val="000000" w:themeColor="text1"/>
                <w:sz w:val="28"/>
                <w14:textFill>
                  <w14:solidFill>
                    <w14:schemeClr w14:val="tx1"/>
                  </w14:solidFill>
                </w14:textFill>
              </w:rPr>
              <w:t xml:space="preserve"> </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ascii="仿宋" w:hAnsi="仿宋" w:eastAsia="仿宋" w:cs="方正仿宋_GBK"/>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color w:val="000000" w:themeColor="text1"/>
                <w:sz w:val="28"/>
                <w14:textFill>
                  <w14:solidFill>
                    <w14:schemeClr w14:val="tx1"/>
                  </w14:solidFill>
                </w14:textFill>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ascii="仿宋" w:hAnsi="仿宋" w:eastAsia="仿宋" w:cs="方正仿宋_GBK"/>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Calibri" w:hAnsi="Calibri" w:eastAsia="仿宋" w:cs="Calibri"/>
                <w:color w:val="000000" w:themeColor="text1"/>
                <w:sz w:val="28"/>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ascii="仿宋" w:hAnsi="仿宋" w:eastAsia="仿宋" w:cs="方正仿宋_GBK"/>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Calibri" w:hAnsi="Calibri" w:eastAsia="仿宋" w:cs="Calibri"/>
                <w:b/>
                <w:color w:val="000000" w:themeColor="text1"/>
                <w:sz w:val="28"/>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cs="方正仿宋_GBK"/>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Calibri" w:hAnsi="Calibri" w:eastAsia="仿宋" w:cs="Calibri"/>
                <w:b/>
                <w:color w:val="000000" w:themeColor="text1"/>
                <w:sz w:val="28"/>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cs="方正仿宋_GBK"/>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Calibri" w:hAnsi="Calibri" w:eastAsia="仿宋" w:cs="Calibri"/>
                <w:b/>
                <w:color w:val="000000" w:themeColor="text1"/>
                <w:sz w:val="28"/>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ascii="仿宋" w:hAnsi="仿宋" w:eastAsia="仿宋" w:cs="方正仿宋_GBK"/>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Calibri" w:hAnsi="Calibri" w:eastAsia="仿宋" w:cs="Calibri"/>
                <w:b/>
                <w:color w:val="000000" w:themeColor="text1"/>
                <w:sz w:val="28"/>
                <w14:textFill>
                  <w14:solidFill>
                    <w14:schemeClr w14:val="tx1"/>
                  </w14:solidFill>
                </w14:textFill>
              </w:rPr>
              <w:t xml:space="preserve"> </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ascii="仿宋" w:hAnsi="仿宋" w:eastAsia="仿宋" w:cs="方正仿宋_GBK"/>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color w:val="000000" w:themeColor="text1"/>
                <w:sz w:val="28"/>
                <w14:textFill>
                  <w14:solidFill>
                    <w14:schemeClr w14:val="tx1"/>
                  </w14:solidFill>
                </w14:textFill>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ascii="仿宋" w:hAnsi="仿宋" w:eastAsia="仿宋" w:cs="方正仿宋_GBK"/>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Calibri" w:hAnsi="Calibri" w:eastAsia="仿宋" w:cs="Calibri"/>
                <w:color w:val="000000" w:themeColor="text1"/>
                <w:sz w:val="28"/>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ascii="仿宋" w:hAnsi="仿宋" w:eastAsia="仿宋" w:cs="方正仿宋_GBK"/>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Calibri" w:hAnsi="Calibri" w:eastAsia="仿宋" w:cs="Calibri"/>
                <w:b/>
                <w:color w:val="000000" w:themeColor="text1"/>
                <w:sz w:val="28"/>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cs="方正仿宋_GBK"/>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Calibri" w:hAnsi="Calibri" w:eastAsia="仿宋" w:cs="Calibri"/>
                <w:b/>
                <w:color w:val="000000" w:themeColor="text1"/>
                <w:sz w:val="28"/>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cs="方正仿宋_GBK"/>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Calibri" w:hAnsi="Calibri" w:eastAsia="仿宋" w:cs="Calibri"/>
                <w:b/>
                <w:color w:val="000000" w:themeColor="text1"/>
                <w:sz w:val="28"/>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ascii="仿宋" w:hAnsi="仿宋" w:eastAsia="仿宋" w:cs="方正仿宋_GBK"/>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Calibri" w:hAnsi="Calibri" w:eastAsia="仿宋" w:cs="Calibri"/>
                <w:b/>
                <w:color w:val="000000" w:themeColor="text1"/>
                <w:sz w:val="28"/>
                <w14:textFill>
                  <w14:solidFill>
                    <w14:schemeClr w14:val="tx1"/>
                  </w14:solidFill>
                </w14:textFill>
              </w:rPr>
              <w:t xml:space="preserve"> </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ascii="仿宋" w:hAnsi="仿宋" w:eastAsia="仿宋" w:cs="方正仿宋_GBK"/>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color w:val="000000" w:themeColor="text1"/>
                <w:sz w:val="28"/>
                <w14:textFill>
                  <w14:solidFill>
                    <w14:schemeClr w14:val="tx1"/>
                  </w14:solidFill>
                </w14:textFill>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ascii="仿宋" w:hAnsi="仿宋" w:eastAsia="仿宋" w:cs="方正仿宋_GBK"/>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Calibri" w:hAnsi="Calibri" w:eastAsia="仿宋" w:cs="Calibri"/>
                <w:color w:val="000000" w:themeColor="text1"/>
                <w:sz w:val="28"/>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ascii="仿宋" w:hAnsi="仿宋" w:eastAsia="仿宋" w:cs="方正仿宋_GBK"/>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Calibri" w:hAnsi="Calibri" w:eastAsia="仿宋" w:cs="Calibri"/>
                <w:b/>
                <w:color w:val="000000" w:themeColor="text1"/>
                <w:sz w:val="28"/>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cs="方正仿宋_GBK"/>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Calibri" w:hAnsi="Calibri" w:eastAsia="仿宋" w:cs="Calibri"/>
                <w:b/>
                <w:color w:val="000000" w:themeColor="text1"/>
                <w:sz w:val="28"/>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cs="方正仿宋_GBK"/>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Calibri" w:hAnsi="Calibri" w:eastAsia="仿宋" w:cs="Calibri"/>
                <w:b/>
                <w:color w:val="000000" w:themeColor="text1"/>
                <w:sz w:val="28"/>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ascii="仿宋" w:hAnsi="仿宋" w:eastAsia="仿宋" w:cs="方正仿宋_GBK"/>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Calibri" w:hAnsi="Calibri" w:eastAsia="仿宋" w:cs="Calibri"/>
                <w:b/>
                <w:color w:val="000000" w:themeColor="text1"/>
                <w:sz w:val="28"/>
                <w14:textFill>
                  <w14:solidFill>
                    <w14:schemeClr w14:val="tx1"/>
                  </w14:solidFill>
                </w14:textFill>
              </w:rPr>
              <w:t xml:space="preserve"> </w:t>
            </w:r>
            <w:r/>
          </w:p>
        </w:tc>
      </w:tr>
      <w:tr>
        <w:trPr>
          <w:trHeight w:val="642"/>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ascii="仿宋" w:hAnsi="仿宋" w:eastAsia="仿宋" w:cs="方正仿宋_GBK"/>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color w:val="000000" w:themeColor="text1"/>
                <w:sz w:val="28"/>
                <w14:textFill>
                  <w14:solidFill>
                    <w14:schemeClr w14:val="tx1"/>
                  </w14:solidFill>
                </w14:textFill>
              </w:rPr>
              <w:t xml:space="preserve">5</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ascii="仿宋" w:hAnsi="仿宋" w:eastAsia="仿宋" w:cs="方正仿宋_GBK"/>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Calibri" w:hAnsi="Calibri" w:eastAsia="仿宋" w:cs="Calibri"/>
                <w:color w:val="000000" w:themeColor="text1"/>
                <w:sz w:val="28"/>
                <w14:textFill>
                  <w14:solidFill>
                    <w14:schemeClr w14:val="tx1"/>
                  </w14:solidFill>
                </w14:textFill>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ascii="仿宋" w:hAnsi="仿宋" w:eastAsia="仿宋" w:cs="方正仿宋_GBK"/>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Calibri" w:hAnsi="Calibri" w:eastAsia="仿宋" w:cs="Calibri"/>
                <w:b/>
                <w:color w:val="000000" w:themeColor="text1"/>
                <w:sz w:val="28"/>
                <w14:textFill>
                  <w14:solidFill>
                    <w14:schemeClr w14:val="tx1"/>
                  </w14:solidFill>
                </w14:textFill>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cs="方正仿宋_GBK"/>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Calibri" w:hAnsi="Calibri" w:eastAsia="仿宋" w:cs="Calibri"/>
                <w:b/>
                <w:color w:val="000000" w:themeColor="text1"/>
                <w:sz w:val="28"/>
                <w14:textFill>
                  <w14:solidFill>
                    <w14:schemeClr w14:val="tx1"/>
                  </w14:solidFill>
                </w14:textFill>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cs="方正仿宋_GBK"/>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Calibri" w:hAnsi="Calibri" w:eastAsia="仿宋" w:cs="Calibri"/>
                <w:b/>
                <w:color w:val="000000" w:themeColor="text1"/>
                <w:sz w:val="28"/>
                <w14:textFill>
                  <w14:solidFill>
                    <w14:schemeClr w14:val="tx1"/>
                  </w14:solidFill>
                </w14:textFill>
              </w:rPr>
              <w:t xml:space="preserve"> </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ascii="仿宋" w:hAnsi="仿宋" w:eastAsia="仿宋" w:cs="方正仿宋_GBK"/>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Calibri" w:hAnsi="Calibri" w:eastAsia="仿宋" w:cs="Calibri"/>
                <w:b/>
                <w:color w:val="000000" w:themeColor="text1"/>
                <w:sz w:val="28"/>
                <w14:textFill>
                  <w14:solidFill>
                    <w14:schemeClr w14:val="tx1"/>
                  </w14:solidFill>
                </w14:textFill>
              </w:rPr>
              <w:t xml:space="preserve"> </w:t>
            </w:r>
            <w:r/>
          </w:p>
        </w:tc>
      </w:tr>
    </w:tbl>
    <w:p>
      <w:pPr>
        <w:jc w:val="both"/>
        <w:spacing w:line="68" w:lineRule="atLeast"/>
        <w:rPr>
          <w:rFonts w:ascii="仿宋" w:hAnsi="仿宋" w:eastAsia="仿宋" w:cs="方正仿宋_GBK"/>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color w:val="000000" w:themeColor="text1"/>
          <w:spacing w:val="-6"/>
          <w:sz w:val="28"/>
          <w14:textFill>
            <w14:solidFill>
              <w14:schemeClr w14:val="tx1"/>
            </w14:solidFill>
          </w14:textFill>
        </w:rPr>
        <w:t xml:space="preserve">说明：</w:t>
      </w:r>
      <w:r/>
    </w:p>
    <w:p>
      <w:pPr>
        <w:jc w:val="both"/>
        <w:spacing w:line="68" w:lineRule="atLeast"/>
        <w:rPr>
          <w:rFonts w:ascii="仿宋" w:hAnsi="仿宋" w:eastAsia="仿宋" w:cs="方正仿宋_GBK"/>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color w:val="000000" w:themeColor="text1"/>
          <w:spacing w:val="-6"/>
          <w:sz w:val="28"/>
          <w14:textFill>
            <w14:solidFill>
              <w14:schemeClr w14:val="tx1"/>
            </w14:solidFill>
          </w14:textFill>
        </w:rPr>
        <w:t xml:space="preserve">1.投标人须提供上述业绩合同复印件；</w:t>
      </w:r>
      <w:r/>
    </w:p>
    <w:p>
      <w:pPr>
        <w:jc w:val="both"/>
        <w:spacing w:line="68" w:lineRule="atLeast"/>
        <w:rPr>
          <w:rFonts w:ascii="仿宋" w:hAnsi="仿宋" w:eastAsia="仿宋" w:cs="方正仿宋_GBK"/>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color w:val="000000" w:themeColor="text1"/>
          <w:spacing w:val="-6"/>
          <w:sz w:val="28"/>
          <w14:textFill>
            <w14:solidFill>
              <w14:schemeClr w14:val="tx1"/>
            </w14:solidFill>
          </w14:textFill>
        </w:rPr>
        <w:t xml:space="preserve">2.所有合同复印件应清晰，应能体现合同签订时间、双方签名盖章等内容；</w:t>
      </w:r>
      <w:r/>
    </w:p>
    <w:p>
      <w:pPr>
        <w:jc w:val="both"/>
        <w:spacing w:line="68" w:lineRule="atLeast"/>
        <w:rPr>
          <w:rFonts w:ascii="仿宋" w:hAnsi="仿宋" w:eastAsia="仿宋" w:cs="方正仿宋_GBK"/>
          <w:color w:val="000000" w:themeColor="text1"/>
          <w:spacing w:val="-6"/>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color w:val="000000" w:themeColor="text1"/>
          <w:spacing w:val="-6"/>
          <w:sz w:val="28"/>
          <w14:textFill>
            <w14:solidFill>
              <w14:schemeClr w14:val="tx1"/>
            </w14:solidFill>
          </w14:textFill>
        </w:rPr>
        <w:t xml:space="preserve">3.投标人应在不涉及商业秘密的前提下尽可能提供详细的合同复印件内容。</w:t>
      </w:r>
      <w:r/>
    </w:p>
    <w:p>
      <w:pPr>
        <w:pStyle w:val="751"/>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736"/>
        <w:jc w:val="center"/>
        <w:spacing w:before="260" w:after="260" w:line="761" w:lineRule="atLeast"/>
        <w:rPr>
          <w:rFonts w:ascii="仿宋" w:hAnsi="仿宋" w:eastAsia="仿宋" w:cs="仿宋"/>
          <w:b/>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26" w:name="_Hlk196402685"/>
      <w:r>
        <w:rPr>
          <w:rFonts w:ascii="仿宋" w:hAnsi="仿宋" w:eastAsia="仿宋" w:cs="仿宋"/>
          <w:b/>
          <w:color w:val="000000" w:themeColor="text1"/>
          <w:sz w:val="28"/>
          <w14:textFill>
            <w14:solidFill>
              <w14:schemeClr w14:val="tx1"/>
            </w14:solidFill>
          </w14:textFill>
        </w:rPr>
        <w:t xml:space="preserve">附件1</w:t>
      </w:r>
      <w:r>
        <w:rPr>
          <w:rFonts w:hint="eastAsia" w:ascii="仿宋" w:hAnsi="仿宋" w:eastAsia="仿宋" w:cs="仿宋"/>
          <w:b/>
          <w:color w:val="000000" w:themeColor="text1"/>
          <w:sz w:val="28"/>
          <w14:textFill>
            <w14:solidFill>
              <w14:schemeClr w14:val="tx1"/>
            </w14:solidFill>
          </w14:textFill>
        </w:rPr>
        <w:t xml:space="preserve">3踏勘现场供应商签到表</w:t>
      </w:r>
      <w:bookmarkEnd w:id="26"/>
      <w:r/>
      <w:r/>
    </w:p>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现场踏勘说明：</w:t>
      </w:r>
      <w:r/>
    </w:p>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签到时间：2026年0</w:t>
      </w:r>
      <w:r>
        <w:rPr>
          <w:rFonts w:ascii="宋体" w:hAnsi="宋体"/>
          <w:color w:val="000000" w:themeColor="text1"/>
          <w:szCs w:val="21"/>
          <w14:textFill>
            <w14:solidFill>
              <w14:schemeClr w14:val="tx1"/>
            </w14:solidFill>
          </w14:textFill>
        </w:rPr>
        <w:t xml:space="preserve">9</w:t>
      </w:r>
      <w:r>
        <w:rPr>
          <w:rFonts w:hint="eastAsia" w:ascii="宋体" w:hAnsi="宋体"/>
          <w:color w:val="000000" w:themeColor="text1"/>
          <w:szCs w:val="21"/>
          <w14:textFill>
            <w14:solidFill>
              <w14:schemeClr w14:val="tx1"/>
            </w14:solidFill>
          </w14:textFill>
        </w:rPr>
        <w:t xml:space="preserve">月1</w:t>
      </w:r>
      <w:r>
        <w:rPr>
          <w:rFonts w:ascii="宋体" w:hAnsi="宋体"/>
          <w:color w:val="000000" w:themeColor="text1"/>
          <w:szCs w:val="21"/>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日 </w:t>
      </w:r>
      <w:r>
        <w:rPr>
          <w:rFonts w:ascii="宋体" w:hAnsi="宋体"/>
          <w:color w:val="000000" w:themeColor="text1"/>
          <w:szCs w:val="21"/>
          <w14:textFill>
            <w14:solidFill>
              <w14:schemeClr w14:val="tx1"/>
            </w14:solidFill>
          </w14:textFill>
        </w:rPr>
        <w:t xml:space="preserve">14</w:t>
      </w:r>
      <w:r>
        <w:rPr>
          <w:rFonts w:hint="eastAsia" w:ascii="宋体" w:hAnsi="宋体"/>
          <w:color w:val="000000" w:themeColor="text1"/>
          <w:szCs w:val="21"/>
          <w14:textFill>
            <w14:solidFill>
              <w14:schemeClr w14:val="tx1"/>
            </w14:solidFill>
          </w14:textFill>
        </w:rPr>
        <w:t xml:space="preserve">：00</w:t>
      </w:r>
      <w:r/>
    </w:p>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签到地点：南京医科大学第二附属医院阅江楼院区（南京市鼓楼区建宁路200号）</w:t>
      </w:r>
      <w:r/>
    </w:p>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联系人：张老师</w:t>
      </w:r>
      <w:r/>
    </w:p>
    <w:p>
      <w:pPr>
        <w:rPr>
          <w:rFonts w:ascii="宋体" w:hAnsi="宋体"/>
          <w:b/>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联系方式：025-58509946、</w:t>
      </w:r>
      <w:r>
        <w:rPr>
          <w:rFonts w:ascii="宋体" w:hAnsi="宋体"/>
          <w:color w:val="000000" w:themeColor="text1"/>
          <w:szCs w:val="21"/>
          <w14:textFill>
            <w14:solidFill>
              <w14:schemeClr w14:val="tx1"/>
            </w14:solidFill>
          </w14:textFill>
        </w:rPr>
        <w:t xml:space="preserve">18851734781</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参与本项目踏勘的供应商打印并携带《踏勘现场供应商签到表》按上述时间地点要求前往采购人现场踏勘，经采购人签字确认后将此表于响应文件中一并提交。</w:t>
      </w:r>
      <w:r/>
    </w:p>
    <w:tbl>
      <w:tblPr>
        <w:tblStyle w:val="745"/>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3794"/>
        <w:gridCol w:w="4678"/>
      </w:tblGrid>
      <w:tr>
        <w:trPr>
          <w:trHeight w:val="450"/>
        </w:trPr>
        <w:tc>
          <w:tcPr>
            <w:gridSpan w:val="2"/>
            <w:tcBorders>
              <w:top w:val="none" w:color="000000" w:sz="4" w:space="0"/>
              <w:left w:val="none" w:color="000000" w:sz="4" w:space="0"/>
              <w:bottom w:val="none" w:color="000000" w:sz="4" w:space="0"/>
              <w:right w:val="none" w:color="000000" w:sz="4" w:space="0"/>
            </w:tcBorders>
            <w:tcW w:w="8472" w:type="dxa"/>
            <w:vAlign w:val="bottom"/>
            <w:textDirection w:val="lrTb"/>
            <w:noWrap w:val="false"/>
          </w:tcPr>
          <w:p>
            <w:pPr>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踏勘现场供应商签到表</w:t>
            </w:r>
            <w:r/>
          </w:p>
        </w:tc>
      </w:tr>
      <w:tr>
        <w:trPr>
          <w:trHeight w:val="542"/>
        </w:trPr>
        <w:tc>
          <w:tcPr>
            <w:tcBorders>
              <w:top w:val="single" w:color="auto" w:sz="8" w:space="0"/>
              <w:left w:val="single" w:color="auto" w:sz="8" w:space="0"/>
              <w:bottom w:val="single" w:color="auto" w:sz="8" w:space="0"/>
              <w:right w:val="single" w:color="auto" w:sz="8" w:space="0"/>
            </w:tcBorders>
            <w:tcW w:w="3794" w:type="dxa"/>
            <w:vAlign w:val="bottom"/>
            <w:textDirection w:val="lrTb"/>
            <w:noWrap w:val="false"/>
          </w:tcPr>
          <w:p>
            <w:pPr>
              <w:jc w:val="center"/>
              <w:spacing w:after="120"/>
              <w:rPr>
                <w:rFonts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供应商名称</w:t>
            </w:r>
            <w:r/>
          </w:p>
        </w:tc>
        <w:tc>
          <w:tcPr>
            <w:tcBorders>
              <w:top w:val="single" w:color="auto" w:sz="8" w:space="0"/>
              <w:left w:val="none" w:color="000000" w:sz="4" w:space="0"/>
              <w:bottom w:val="single" w:color="auto" w:sz="8" w:space="0"/>
              <w:right w:val="single" w:color="auto" w:sz="8" w:space="0"/>
            </w:tcBorders>
            <w:tcW w:w="4678" w:type="dxa"/>
            <w:vAlign w:val="bottom"/>
            <w:textDirection w:val="lrTb"/>
            <w:noWrap w:val="false"/>
          </w:tcPr>
          <w:p>
            <w:pPr>
              <w:jc w:val="center"/>
              <w:spacing w:after="12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　</w:t>
            </w:r>
            <w:r/>
          </w:p>
        </w:tc>
      </w:tr>
      <w:tr>
        <w:trPr>
          <w:trHeight w:val="550"/>
        </w:trPr>
        <w:tc>
          <w:tcPr>
            <w:tcBorders>
              <w:top w:val="none" w:color="000000" w:sz="4" w:space="0"/>
              <w:left w:val="single" w:color="auto" w:sz="8" w:space="0"/>
              <w:bottom w:val="single" w:color="auto" w:sz="8" w:space="0"/>
              <w:right w:val="single" w:color="auto" w:sz="8" w:space="0"/>
            </w:tcBorders>
            <w:tcW w:w="3794" w:type="dxa"/>
            <w:vAlign w:val="bottom"/>
            <w:textDirection w:val="lrTb"/>
            <w:noWrap w:val="false"/>
          </w:tcPr>
          <w:p>
            <w:pPr>
              <w:jc w:val="center"/>
              <w:spacing w:after="12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供应商法定代表人姓名</w:t>
            </w:r>
            <w:r/>
          </w:p>
        </w:tc>
        <w:tc>
          <w:tcPr>
            <w:tcBorders>
              <w:top w:val="none" w:color="000000" w:sz="4" w:space="0"/>
              <w:left w:val="none" w:color="000000" w:sz="4" w:space="0"/>
              <w:bottom w:val="single" w:color="auto" w:sz="8" w:space="0"/>
              <w:right w:val="single" w:color="auto" w:sz="8" w:space="0"/>
            </w:tcBorders>
            <w:tcW w:w="4678" w:type="dxa"/>
            <w:vAlign w:val="bottom"/>
            <w:textDirection w:val="lrTb"/>
            <w:noWrap w:val="false"/>
          </w:tcPr>
          <w:p>
            <w:pPr>
              <w:jc w:val="center"/>
              <w:spacing w:after="12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　</w:t>
            </w:r>
            <w:r/>
          </w:p>
        </w:tc>
      </w:tr>
      <w:tr>
        <w:trPr>
          <w:trHeight w:val="544"/>
        </w:trPr>
        <w:tc>
          <w:tcPr>
            <w:tcBorders>
              <w:top w:val="none" w:color="000000" w:sz="4" w:space="0"/>
              <w:left w:val="single" w:color="auto" w:sz="8" w:space="0"/>
              <w:bottom w:val="single" w:color="auto" w:sz="8" w:space="0"/>
              <w:right w:val="single" w:color="auto" w:sz="8" w:space="0"/>
            </w:tcBorders>
            <w:tcW w:w="3794" w:type="dxa"/>
            <w:vAlign w:val="bottom"/>
            <w:textDirection w:val="lrTb"/>
            <w:noWrap w:val="false"/>
          </w:tcPr>
          <w:p>
            <w:pPr>
              <w:jc w:val="center"/>
              <w:spacing w:after="12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踏勘人/委托代理人姓名</w:t>
            </w:r>
            <w:r/>
          </w:p>
        </w:tc>
        <w:tc>
          <w:tcPr>
            <w:tcBorders>
              <w:top w:val="none" w:color="000000" w:sz="4" w:space="0"/>
              <w:left w:val="none" w:color="000000" w:sz="4" w:space="0"/>
              <w:bottom w:val="single" w:color="auto" w:sz="8" w:space="0"/>
              <w:right w:val="single" w:color="auto" w:sz="8" w:space="0"/>
            </w:tcBorders>
            <w:tcW w:w="4678" w:type="dxa"/>
            <w:vAlign w:val="bottom"/>
            <w:textDirection w:val="lrTb"/>
            <w:noWrap w:val="false"/>
          </w:tcPr>
          <w:p>
            <w:pPr>
              <w:jc w:val="center"/>
              <w:spacing w:after="12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　</w:t>
            </w:r>
            <w:r/>
          </w:p>
        </w:tc>
      </w:tr>
      <w:tr>
        <w:trPr>
          <w:trHeight w:val="552"/>
        </w:trPr>
        <w:tc>
          <w:tcPr>
            <w:tcBorders>
              <w:top w:val="none" w:color="000000" w:sz="4" w:space="0"/>
              <w:left w:val="single" w:color="auto" w:sz="8" w:space="0"/>
              <w:bottom w:val="single" w:color="auto" w:sz="8" w:space="0"/>
              <w:right w:val="single" w:color="auto" w:sz="8" w:space="0"/>
            </w:tcBorders>
            <w:tcW w:w="3794" w:type="dxa"/>
            <w:vAlign w:val="bottom"/>
            <w:textDirection w:val="lrTb"/>
            <w:noWrap w:val="false"/>
          </w:tcPr>
          <w:p>
            <w:pPr>
              <w:jc w:val="center"/>
              <w:spacing w:after="12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踏勘人/委托代理人身份证号</w:t>
            </w:r>
            <w:r/>
          </w:p>
        </w:tc>
        <w:tc>
          <w:tcPr>
            <w:tcBorders>
              <w:top w:val="none" w:color="000000" w:sz="4" w:space="0"/>
              <w:left w:val="none" w:color="000000" w:sz="4" w:space="0"/>
              <w:bottom w:val="single" w:color="auto" w:sz="8" w:space="0"/>
              <w:right w:val="single" w:color="auto" w:sz="8" w:space="0"/>
            </w:tcBorders>
            <w:tcW w:w="4678" w:type="dxa"/>
            <w:vAlign w:val="bottom"/>
            <w:textDirection w:val="lrTb"/>
            <w:noWrap w:val="false"/>
          </w:tcPr>
          <w:p>
            <w:pPr>
              <w:jc w:val="center"/>
              <w:spacing w:after="12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　</w:t>
            </w:r>
            <w:r/>
          </w:p>
        </w:tc>
      </w:tr>
      <w:tr>
        <w:trPr>
          <w:trHeight w:val="546"/>
        </w:trPr>
        <w:tc>
          <w:tcPr>
            <w:tcBorders>
              <w:top w:val="none" w:color="000000" w:sz="4" w:space="0"/>
              <w:left w:val="single" w:color="auto" w:sz="8" w:space="0"/>
              <w:bottom w:val="single" w:color="auto" w:sz="8" w:space="0"/>
              <w:right w:val="single" w:color="auto" w:sz="8" w:space="0"/>
            </w:tcBorders>
            <w:tcW w:w="3794" w:type="dxa"/>
            <w:vAlign w:val="bottom"/>
            <w:textDirection w:val="lrTb"/>
            <w:noWrap w:val="false"/>
          </w:tcPr>
          <w:p>
            <w:pPr>
              <w:jc w:val="center"/>
              <w:spacing w:after="12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踏勘人/委托代理人联系方式</w:t>
            </w:r>
            <w:r/>
          </w:p>
        </w:tc>
        <w:tc>
          <w:tcPr>
            <w:tcBorders>
              <w:top w:val="none" w:color="000000" w:sz="4" w:space="0"/>
              <w:left w:val="none" w:color="000000" w:sz="4" w:space="0"/>
              <w:bottom w:val="single" w:color="auto" w:sz="8" w:space="0"/>
              <w:right w:val="single" w:color="auto" w:sz="8" w:space="0"/>
            </w:tcBorders>
            <w:tcW w:w="4678" w:type="dxa"/>
            <w:vAlign w:val="bottom"/>
            <w:textDirection w:val="lrTb"/>
            <w:noWrap w:val="false"/>
          </w:tcPr>
          <w:p>
            <w:pPr>
              <w:jc w:val="center"/>
              <w:spacing w:after="12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　</w:t>
            </w:r>
            <w:r/>
          </w:p>
        </w:tc>
      </w:tr>
      <w:tr>
        <w:trPr>
          <w:trHeight w:val="475"/>
        </w:trPr>
        <w:tc>
          <w:tcPr>
            <w:gridSpan w:val="2"/>
            <w:tcBorders>
              <w:top w:val="single" w:color="auto" w:sz="8" w:space="0"/>
              <w:left w:val="single" w:color="auto" w:sz="8" w:space="0"/>
              <w:bottom w:val="single" w:color="000000" w:sz="8" w:space="0"/>
              <w:right w:val="single" w:color="000000" w:sz="8" w:space="0"/>
            </w:tcBorders>
            <w:tcW w:w="8472" w:type="dxa"/>
            <w:vMerge w:val="restart"/>
            <w:textDirection w:val="lrTb"/>
            <w:noWrap w:val="false"/>
          </w:tcPr>
          <w:p>
            <w:pPr>
              <w:ind w:left="221" w:hanging="221"/>
              <w:spacing w:after="120"/>
              <w:rPr>
                <w:rFonts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现场踏勘情况总结：</w:t>
            </w:r>
            <w:r/>
          </w:p>
          <w:p>
            <w:pPr>
              <w:ind w:left="220" w:hanging="220"/>
              <w:spacing w:after="120"/>
              <w:rPr>
                <w:rFonts w:ascii="宋体" w:hAnsi="宋体" w:cs="宋体"/>
                <w:b/>
                <w:bCs/>
                <w:color w:val="000000" w:themeColor="text1"/>
                <w:sz w:val="22"/>
                <w:szCs w:val="22"/>
                <w14:textFill>
                  <w14:solidFill>
                    <w14:schemeClr w14:val="tx1"/>
                  </w14:solidFill>
                </w14:textFill>
              </w:rPr>
            </w:pPr>
            <w:r>
              <w:rPr>
                <w:rFonts w:hint="eastAsia" w:ascii="宋体" w:hAnsi="宋体" w:cs="宋体"/>
                <w:bCs/>
                <w:color w:val="000000" w:themeColor="text1"/>
                <w:sz w:val="22"/>
                <w:szCs w:val="22"/>
                <w14:textFill>
                  <w14:solidFill>
                    <w14:schemeClr w14:val="tx1"/>
                  </w14:solidFill>
                </w14:textFill>
              </w:rPr>
              <w:t xml:space="preserve">我方已对项目的状况、要求完全清楚。</w:t>
            </w:r>
            <w:r/>
          </w:p>
        </w:tc>
      </w:tr>
      <w:tr>
        <w:trPr>
          <w:trHeight w:val="475"/>
        </w:trPr>
        <w:tc>
          <w:tcPr>
            <w:gridSpan w:val="2"/>
            <w:tcBorders>
              <w:top w:val="single" w:color="auto" w:sz="8" w:space="0"/>
              <w:left w:val="single" w:color="auto" w:sz="8" w:space="0"/>
              <w:bottom w:val="single" w:color="000000" w:sz="8" w:space="0"/>
              <w:right w:val="single" w:color="000000" w:sz="8" w:space="0"/>
            </w:tcBorders>
            <w:tcW w:w="8472" w:type="dxa"/>
            <w:vAlign w:val="center"/>
            <w:vMerge w:val="continue"/>
            <w:textDirection w:val="lrTb"/>
            <w:noWrap w:val="false"/>
          </w:tcPr>
          <w:p>
            <w:pPr>
              <w:spacing w:after="120"/>
              <w:rPr>
                <w:rFonts w:ascii="宋体" w:hAnsi="宋体" w:cs="宋体"/>
                <w:b/>
                <w:bCs/>
                <w:color w:val="000000" w:themeColor="text1"/>
                <w:sz w:val="22"/>
                <w:szCs w:val="22"/>
                <w14:textFill>
                  <w14:solidFill>
                    <w14:schemeClr w14:val="tx1"/>
                  </w14:solidFill>
                </w14:textFill>
              </w:rPr>
            </w:pPr>
            <w:r>
              <w:rPr>
                <w:rFonts w:ascii="宋体" w:hAnsi="宋体" w:cs="宋体"/>
                <w:b/>
                <w:bCs/>
                <w:color w:val="000000" w:themeColor="text1"/>
                <w:sz w:val="22"/>
                <w:szCs w:val="22"/>
                <w14:textFill>
                  <w14:solidFill>
                    <w14:schemeClr w14:val="tx1"/>
                  </w14:solidFill>
                </w14:textFill>
              </w:rPr>
            </w:r>
            <w:r/>
          </w:p>
        </w:tc>
      </w:tr>
      <w:tr>
        <w:trPr>
          <w:trHeight w:val="508"/>
        </w:trPr>
        <w:tc>
          <w:tcPr>
            <w:tcBorders>
              <w:top w:val="none" w:color="000000" w:sz="4" w:space="0"/>
              <w:left w:val="single" w:color="auto" w:sz="8" w:space="0"/>
              <w:bottom w:val="single" w:color="auto" w:sz="8" w:space="0"/>
              <w:right w:val="single" w:color="auto" w:sz="8" w:space="0"/>
            </w:tcBorders>
            <w:tcW w:w="3794" w:type="dxa"/>
            <w:vAlign w:val="bottom"/>
            <w:textDirection w:val="lrTb"/>
            <w:noWrap w:val="false"/>
          </w:tcPr>
          <w:p>
            <w:pPr>
              <w:jc w:val="center"/>
              <w:spacing w:after="120"/>
              <w:rPr>
                <w:rFonts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踏勘人/授权委托人签字</w:t>
            </w:r>
            <w:r/>
          </w:p>
        </w:tc>
        <w:tc>
          <w:tcPr>
            <w:tcBorders>
              <w:top w:val="none" w:color="000000" w:sz="4" w:space="0"/>
              <w:left w:val="none" w:color="000000" w:sz="4" w:space="0"/>
              <w:bottom w:val="single" w:color="auto" w:sz="8" w:space="0"/>
              <w:right w:val="single" w:color="auto" w:sz="8" w:space="0"/>
            </w:tcBorders>
            <w:tcW w:w="4678" w:type="dxa"/>
            <w:vAlign w:val="bottom"/>
            <w:textDirection w:val="lrTb"/>
            <w:noWrap w:val="false"/>
          </w:tcPr>
          <w:p>
            <w:pPr>
              <w:spacing w:after="12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　</w:t>
            </w:r>
            <w:r/>
          </w:p>
        </w:tc>
      </w:tr>
      <w:tr>
        <w:trPr>
          <w:trHeight w:val="558"/>
        </w:trPr>
        <w:tc>
          <w:tcPr>
            <w:tcBorders>
              <w:top w:val="none" w:color="000000" w:sz="4" w:space="0"/>
              <w:left w:val="single" w:color="auto" w:sz="8" w:space="0"/>
              <w:bottom w:val="single" w:color="auto" w:sz="8" w:space="0"/>
              <w:right w:val="single" w:color="auto" w:sz="8" w:space="0"/>
            </w:tcBorders>
            <w:tcW w:w="3794" w:type="dxa"/>
            <w:vAlign w:val="bottom"/>
            <w:textDirection w:val="lrTb"/>
            <w:noWrap w:val="false"/>
          </w:tcPr>
          <w:p>
            <w:pPr>
              <w:jc w:val="center"/>
              <w:spacing w:after="120"/>
              <w:rPr>
                <w:rFonts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采购人/验证人签字</w:t>
            </w:r>
            <w:r/>
          </w:p>
        </w:tc>
        <w:tc>
          <w:tcPr>
            <w:tcBorders>
              <w:top w:val="none" w:color="000000" w:sz="4" w:space="0"/>
              <w:left w:val="none" w:color="000000" w:sz="4" w:space="0"/>
              <w:bottom w:val="single" w:color="auto" w:sz="8" w:space="0"/>
              <w:right w:val="single" w:color="auto" w:sz="8" w:space="0"/>
            </w:tcBorders>
            <w:tcW w:w="4678" w:type="dxa"/>
            <w:vAlign w:val="bottom"/>
            <w:textDirection w:val="lrTb"/>
            <w:noWrap w:val="false"/>
          </w:tcPr>
          <w:p>
            <w:pPr>
              <w:spacing w:after="120"/>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trHeight w:val="538"/>
        </w:trPr>
        <w:tc>
          <w:tcPr>
            <w:tcBorders>
              <w:top w:val="none" w:color="000000" w:sz="4" w:space="0"/>
              <w:left w:val="single" w:color="auto" w:sz="8" w:space="0"/>
              <w:bottom w:val="single" w:color="auto" w:sz="8" w:space="0"/>
              <w:right w:val="single" w:color="auto" w:sz="8" w:space="0"/>
            </w:tcBorders>
            <w:tcW w:w="3794" w:type="dxa"/>
            <w:vAlign w:val="bottom"/>
            <w:textDirection w:val="lrTb"/>
            <w:noWrap w:val="false"/>
          </w:tcPr>
          <w:p>
            <w:pPr>
              <w:jc w:val="center"/>
              <w:spacing w:after="120"/>
              <w:rPr>
                <w:rFonts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验证时间</w:t>
            </w:r>
            <w:r/>
          </w:p>
        </w:tc>
        <w:tc>
          <w:tcPr>
            <w:tcBorders>
              <w:top w:val="none" w:color="000000" w:sz="4" w:space="0"/>
              <w:left w:val="none" w:color="000000" w:sz="4" w:space="0"/>
              <w:bottom w:val="single" w:color="auto" w:sz="8" w:space="0"/>
              <w:right w:val="single" w:color="auto" w:sz="8" w:space="0"/>
            </w:tcBorders>
            <w:tcW w:w="4678" w:type="dxa"/>
            <w:vAlign w:val="bottom"/>
            <w:textDirection w:val="lrTb"/>
            <w:noWrap w:val="false"/>
          </w:tcPr>
          <w:p>
            <w:pPr>
              <w:jc w:val="center"/>
              <w:spacing w:after="120"/>
              <w:rPr>
                <w:rFonts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 年    月    日   时   分</w:t>
            </w:r>
            <w:r/>
          </w:p>
        </w:tc>
      </w:tr>
      <w:tr>
        <w:trPr>
          <w:trHeight w:val="2250"/>
        </w:trPr>
        <w:tc>
          <w:tcPr>
            <w:gridSpan w:val="2"/>
            <w:tcBorders>
              <w:top w:val="single" w:color="auto" w:sz="8" w:space="0"/>
              <w:left w:val="none" w:color="000000" w:sz="4" w:space="0"/>
              <w:bottom w:val="none" w:color="000000" w:sz="4" w:space="0"/>
              <w:right w:val="none" w:color="000000" w:sz="4" w:space="0"/>
            </w:tcBorders>
            <w:tcW w:w="8472" w:type="dxa"/>
            <w:vAlign w:val="bottom"/>
            <w:textDirection w:val="lrTb"/>
            <w:noWrap w:val="false"/>
          </w:tcPr>
          <w:p>
            <w:pPr>
              <w:spacing w:after="120" w:line="240" w:lineRule="atLeas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备注：</w:t>
            </w:r>
            <w:r/>
          </w:p>
          <w:p>
            <w:pPr>
              <w:spacing w:after="120" w:line="240" w:lineRule="atLeas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1、参与踏勘的供应商必须携带营业执照（复印件）、授权委托书（原件）及踏勘授权代表身份证（复印件）加盖公章。</w:t>
            </w:r>
            <w:r/>
          </w:p>
          <w:p>
            <w:pPr>
              <w:spacing w:after="120" w:line="240" w:lineRule="atLeas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2、若参与现场踏勘的供应商未按本通知准时参与或未按照要求提供相关证件，采购人将拒绝其踏勘要求；</w:t>
            </w:r>
            <w:r/>
          </w:p>
        </w:tc>
      </w:tr>
    </w:tbl>
    <w:p>
      <w:pPr>
        <w:rPr>
          <w:rFonts w:ascii="宋体" w:hAnsi="宋体" w:cs="宋体"/>
          <w:color w:val="000000" w:themeColor="text1"/>
          <w:sz w:val="32"/>
          <w14:textFill>
            <w14:solidFill>
              <w14:schemeClr w14:val="tx1"/>
            </w14:solidFill>
          </w14:textFill>
        </w:rPr>
      </w:pPr>
      <w:r>
        <w:rPr>
          <w:rFonts w:ascii="宋体" w:hAnsi="宋体" w:cs="宋体"/>
          <w:color w:val="000000" w:themeColor="text1"/>
          <w:sz w:val="32"/>
          <w14:textFill>
            <w14:solidFill>
              <w14:schemeClr w14:val="tx1"/>
            </w14:solidFill>
          </w14:textFill>
        </w:rPr>
      </w:r>
      <w:r/>
    </w:p>
    <w:p>
      <w:pPr>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br w:type="page" w:clear="all"/>
      </w:r>
      <w:r/>
    </w:p>
    <w:p>
      <w:pPr>
        <w:jc w:val="center"/>
        <w:rPr>
          <w:rFonts w:ascii="宋体" w:hAnsi="宋体" w:cs="仿宋"/>
          <w:b/>
          <w:bCs/>
          <w:color w:val="000000" w:themeColor="text1"/>
          <w:sz w:val="32"/>
          <w:szCs w:val="32"/>
          <w14:textFill>
            <w14:solidFill>
              <w14:schemeClr w14:val="tx1"/>
            </w14:solidFill>
          </w14:textFill>
        </w:rPr>
      </w:pPr>
      <w:r/>
      <w:bookmarkStart w:id="27" w:name="_Toc17176"/>
      <w:r>
        <w:rPr>
          <w:rFonts w:hint="eastAsia" w:ascii="宋体" w:hAnsi="宋体" w:cs="仿宋"/>
          <w:b/>
          <w:bCs/>
          <w:color w:val="000000" w:themeColor="text1"/>
          <w:sz w:val="32"/>
          <w:szCs w:val="32"/>
          <w14:textFill>
            <w14:solidFill>
              <w14:schemeClr w14:val="tx1"/>
            </w14:solidFill>
          </w14:textFill>
        </w:rPr>
        <w:t xml:space="preserve">质疑函范本</w:t>
      </w:r>
      <w:bookmarkEnd w:id="27"/>
      <w:r/>
      <w:r/>
    </w:p>
    <w:p>
      <w:pPr>
        <w:spacing w:before="290" w:line="360" w:lineRule="auto"/>
        <w:rPr>
          <w:rFonts w:ascii="宋体" w:hAnsi="宋体" w:cs="仿宋"/>
          <w:bCs/>
          <w:color w:val="000000" w:themeColor="text1"/>
          <w:sz w:val="24"/>
          <w14:textFill>
            <w14:solidFill>
              <w14:schemeClr w14:val="tx1"/>
            </w14:solidFill>
          </w14:textFill>
        </w:rPr>
      </w:pPr>
      <w:r>
        <w:rPr>
          <w:rFonts w:hint="eastAsia" w:ascii="宋体" w:hAnsi="宋体" w:cs="仿宋"/>
          <w:bCs/>
          <w:color w:val="000000" w:themeColor="text1"/>
          <w:sz w:val="24"/>
          <w14:textFill>
            <w14:solidFill>
              <w14:schemeClr w14:val="tx1"/>
            </w14:solidFill>
          </w14:textFill>
        </w:rPr>
        <w:t xml:space="preserve">一、质疑供应商基本信息</w:t>
      </w:r>
      <w:r/>
    </w:p>
    <w:p>
      <w:pPr>
        <w:spacing w:line="360" w:lineRule="auto"/>
        <w:rPr>
          <w:rFonts w:ascii="宋体" w:hAnsi="宋体" w:cs="仿宋"/>
          <w:color w:val="000000" w:themeColor="text1"/>
          <w:sz w:val="24"/>
          <w:u w:val="single"/>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质疑供应商：</w:t>
      </w:r>
      <w:r>
        <w:rPr>
          <w:rFonts w:hint="eastAsia" w:ascii="宋体" w:hAnsi="宋体" w:cs="仿宋"/>
          <w:color w:val="000000" w:themeColor="text1"/>
          <w:sz w:val="24"/>
          <w:u w:val="single"/>
          <w14:textFill>
            <w14:solidFill>
              <w14:schemeClr w14:val="tx1"/>
            </w14:solidFill>
          </w14:textFill>
        </w:rPr>
        <w:t xml:space="preserve">                                                         </w:t>
      </w:r>
      <w:r/>
    </w:p>
    <w:p>
      <w:pPr>
        <w:spacing w:line="360" w:lineRule="auto"/>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地址：</w:t>
      </w:r>
      <w:r>
        <w:rPr>
          <w:rFonts w:hint="eastAsia" w:ascii="宋体" w:hAnsi="宋体" w:cs="仿宋"/>
          <w:color w:val="000000" w:themeColor="text1"/>
          <w:sz w:val="24"/>
          <w:u w:val="single"/>
          <w14:textFill>
            <w14:solidFill>
              <w14:schemeClr w14:val="tx1"/>
            </w14:solidFill>
          </w14:textFill>
        </w:rPr>
        <w:t xml:space="preserve">                             </w:t>
      </w:r>
      <w:r>
        <w:rPr>
          <w:rFonts w:hint="eastAsia" w:ascii="宋体" w:hAnsi="宋体" w:cs="仿宋"/>
          <w:color w:val="000000" w:themeColor="text1"/>
          <w:sz w:val="24"/>
          <w14:textFill>
            <w14:solidFill>
              <w14:schemeClr w14:val="tx1"/>
            </w14:solidFill>
          </w14:textFill>
        </w:rPr>
        <w:t xml:space="preserve">邮编：</w:t>
      </w:r>
      <w:r>
        <w:rPr>
          <w:rFonts w:hint="eastAsia" w:ascii="宋体" w:hAnsi="宋体" w:cs="仿宋"/>
          <w:color w:val="000000" w:themeColor="text1"/>
          <w:sz w:val="24"/>
          <w:u w:val="single"/>
          <w14:textFill>
            <w14:solidFill>
              <w14:schemeClr w14:val="tx1"/>
            </w14:solidFill>
          </w14:textFill>
        </w:rPr>
        <w:t xml:space="preserve">                            </w:t>
      </w:r>
      <w:r/>
    </w:p>
    <w:p>
      <w:pPr>
        <w:spacing w:line="360" w:lineRule="auto"/>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联系人：</w:t>
      </w:r>
      <w:r>
        <w:rPr>
          <w:rFonts w:hint="eastAsia" w:ascii="宋体" w:hAnsi="宋体" w:cs="仿宋"/>
          <w:color w:val="000000" w:themeColor="text1"/>
          <w:sz w:val="24"/>
          <w:u w:val="single"/>
          <w14:textFill>
            <w14:solidFill>
              <w14:schemeClr w14:val="tx1"/>
            </w14:solidFill>
          </w14:textFill>
        </w:rPr>
        <w:t xml:space="preserve">                      </w:t>
      </w:r>
      <w:r>
        <w:rPr>
          <w:rFonts w:hint="eastAsia" w:ascii="宋体" w:hAnsi="宋体" w:cs="仿宋"/>
          <w:color w:val="000000" w:themeColor="text1"/>
          <w:sz w:val="24"/>
          <w14:textFill>
            <w14:solidFill>
              <w14:schemeClr w14:val="tx1"/>
            </w14:solidFill>
          </w14:textFill>
        </w:rPr>
        <w:t xml:space="preserve">联系电话：</w:t>
      </w:r>
      <w:r>
        <w:rPr>
          <w:rFonts w:hint="eastAsia" w:ascii="宋体" w:hAnsi="宋体" w:cs="仿宋"/>
          <w:color w:val="000000" w:themeColor="text1"/>
          <w:sz w:val="24"/>
          <w:u w:val="single"/>
          <w14:textFill>
            <w14:solidFill>
              <w14:schemeClr w14:val="tx1"/>
            </w14:solidFill>
          </w14:textFill>
        </w:rPr>
        <w:t xml:space="preserve">                             </w:t>
      </w:r>
      <w:r/>
    </w:p>
    <w:p>
      <w:pPr>
        <w:spacing w:line="360" w:lineRule="auto"/>
        <w:rPr>
          <w:rFonts w:ascii="宋体" w:hAnsi="宋体" w:cs="仿宋"/>
          <w:color w:val="000000" w:themeColor="text1"/>
          <w:sz w:val="24"/>
          <w:u w:val="single"/>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授权代表：</w:t>
      </w:r>
      <w:r>
        <w:rPr>
          <w:rFonts w:hint="eastAsia" w:ascii="宋体" w:hAnsi="宋体" w:cs="仿宋"/>
          <w:color w:val="000000" w:themeColor="text1"/>
          <w:sz w:val="24"/>
          <w:u w:val="single"/>
          <w14:textFill>
            <w14:solidFill>
              <w14:schemeClr w14:val="tx1"/>
            </w14:solidFill>
          </w14:textFill>
        </w:rPr>
        <w:t xml:space="preserve">                                                           </w:t>
      </w:r>
      <w:r/>
    </w:p>
    <w:p>
      <w:pPr>
        <w:spacing w:line="360" w:lineRule="auto"/>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联系电话：</w:t>
      </w:r>
      <w:r>
        <w:rPr>
          <w:rFonts w:hint="eastAsia" w:ascii="宋体" w:hAnsi="宋体" w:cs="仿宋"/>
          <w:color w:val="000000" w:themeColor="text1"/>
          <w:sz w:val="24"/>
          <w:u w:val="single"/>
          <w14:textFill>
            <w14:solidFill>
              <w14:schemeClr w14:val="tx1"/>
            </w14:solidFill>
          </w14:textFill>
        </w:rPr>
        <w:t xml:space="preserve">                                                           </w:t>
      </w:r>
      <w:r/>
    </w:p>
    <w:p>
      <w:pPr>
        <w:spacing w:line="360" w:lineRule="auto"/>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地址：</w:t>
      </w:r>
      <w:r>
        <w:rPr>
          <w:rFonts w:ascii="宋体" w:hAnsi="宋体" w:cs="仿宋"/>
          <w:color w:val="000000" w:themeColor="text1"/>
          <w:sz w:val="24"/>
          <w14:textFill>
            <w14:solidFill>
              <w14:schemeClr w14:val="tx1"/>
            </w14:solidFill>
          </w14:textFill>
        </w:rPr>
        <w:t xml:space="preserve"> </w:t>
      </w:r>
      <w:r>
        <w:rPr>
          <w:rFonts w:hint="eastAsia" w:ascii="宋体" w:hAnsi="宋体" w:cs="仿宋"/>
          <w:color w:val="000000" w:themeColor="text1"/>
          <w:sz w:val="24"/>
          <w:u w:val="single"/>
          <w14:textFill>
            <w14:solidFill>
              <w14:schemeClr w14:val="tx1"/>
            </w14:solidFill>
          </w14:textFill>
        </w:rPr>
        <w:t xml:space="preserve">                        </w:t>
      </w:r>
      <w:r>
        <w:rPr>
          <w:rFonts w:hint="eastAsia" w:ascii="宋体" w:hAnsi="宋体" w:cs="仿宋"/>
          <w:color w:val="000000" w:themeColor="text1"/>
          <w:sz w:val="24"/>
          <w14:textFill>
            <w14:solidFill>
              <w14:schemeClr w14:val="tx1"/>
            </w14:solidFill>
          </w14:textFill>
        </w:rPr>
        <w:t xml:space="preserve">邮编：</w:t>
      </w:r>
      <w:r>
        <w:rPr>
          <w:rFonts w:hint="eastAsia" w:ascii="宋体" w:hAnsi="宋体" w:cs="仿宋"/>
          <w:color w:val="000000" w:themeColor="text1"/>
          <w:sz w:val="24"/>
          <w:u w:val="single"/>
          <w14:textFill>
            <w14:solidFill>
              <w14:schemeClr w14:val="tx1"/>
            </w14:solidFill>
          </w14:textFill>
        </w:rPr>
        <w:t xml:space="preserve">                                </w:t>
      </w:r>
      <w:r/>
    </w:p>
    <w:p>
      <w:pPr>
        <w:spacing w:line="360" w:lineRule="auto"/>
        <w:rPr>
          <w:rFonts w:ascii="宋体" w:hAnsi="宋体" w:cs="仿宋"/>
          <w:bCs/>
          <w:color w:val="000000" w:themeColor="text1"/>
          <w:sz w:val="24"/>
          <w14:textFill>
            <w14:solidFill>
              <w14:schemeClr w14:val="tx1"/>
            </w14:solidFill>
          </w14:textFill>
        </w:rPr>
      </w:pPr>
      <w:r>
        <w:rPr>
          <w:rFonts w:hint="eastAsia" w:ascii="宋体" w:hAnsi="宋体" w:cs="仿宋"/>
          <w:bCs/>
          <w:color w:val="000000" w:themeColor="text1"/>
          <w:sz w:val="24"/>
          <w14:textFill>
            <w14:solidFill>
              <w14:schemeClr w14:val="tx1"/>
            </w14:solidFill>
          </w14:textFill>
        </w:rPr>
        <w:t xml:space="preserve">二、质疑项目基本情况</w:t>
      </w:r>
      <w:r/>
    </w:p>
    <w:p>
      <w:pPr>
        <w:spacing w:line="360" w:lineRule="auto"/>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质疑项目的名称：</w:t>
      </w:r>
      <w:r>
        <w:rPr>
          <w:rFonts w:hint="eastAsia" w:ascii="宋体" w:hAnsi="宋体" w:cs="仿宋"/>
          <w:color w:val="000000" w:themeColor="text1"/>
          <w:sz w:val="24"/>
          <w:u w:val="single"/>
          <w14:textFill>
            <w14:solidFill>
              <w14:schemeClr w14:val="tx1"/>
            </w14:solidFill>
          </w14:textFill>
        </w:rPr>
        <w:t xml:space="preserve">                                                     </w:t>
      </w:r>
      <w:r/>
    </w:p>
    <w:p>
      <w:pPr>
        <w:spacing w:line="360" w:lineRule="auto"/>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质疑项目的编号：</w:t>
      </w:r>
      <w:r>
        <w:rPr>
          <w:rFonts w:hint="eastAsia" w:ascii="宋体" w:hAnsi="宋体" w:cs="仿宋"/>
          <w:color w:val="000000" w:themeColor="text1"/>
          <w:sz w:val="24"/>
          <w:u w:val="single"/>
          <w14:textFill>
            <w14:solidFill>
              <w14:schemeClr w14:val="tx1"/>
            </w14:solidFill>
          </w14:textFill>
        </w:rPr>
        <w:t xml:space="preserve">                         </w:t>
      </w:r>
      <w:r>
        <w:rPr>
          <w:rFonts w:hint="eastAsia" w:ascii="宋体" w:hAnsi="宋体" w:cs="仿宋"/>
          <w:color w:val="000000" w:themeColor="text1"/>
          <w:sz w:val="24"/>
          <w14:textFill>
            <w14:solidFill>
              <w14:schemeClr w14:val="tx1"/>
            </w14:solidFill>
          </w14:textFill>
        </w:rPr>
        <w:t xml:space="preserve">包号：</w:t>
      </w:r>
      <w:r>
        <w:rPr>
          <w:rFonts w:hint="eastAsia" w:ascii="宋体" w:hAnsi="宋体" w:cs="仿宋"/>
          <w:color w:val="000000" w:themeColor="text1"/>
          <w:sz w:val="24"/>
          <w:u w:val="single"/>
          <w14:textFill>
            <w14:solidFill>
              <w14:schemeClr w14:val="tx1"/>
            </w14:solidFill>
          </w14:textFill>
        </w:rPr>
        <w:t xml:space="preserve">                      </w:t>
      </w:r>
      <w:r/>
    </w:p>
    <w:p>
      <w:pPr>
        <w:spacing w:line="360" w:lineRule="auto"/>
        <w:rPr>
          <w:rFonts w:ascii="宋体" w:hAnsi="宋体" w:cs="仿宋"/>
          <w:color w:val="000000" w:themeColor="text1"/>
          <w:sz w:val="24"/>
          <w:u w:val="single"/>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采购人名称：</w:t>
      </w:r>
      <w:r>
        <w:rPr>
          <w:rFonts w:hint="eastAsia" w:ascii="宋体" w:hAnsi="宋体" w:cs="仿宋"/>
          <w:color w:val="000000" w:themeColor="text1"/>
          <w:sz w:val="24"/>
          <w:u w:val="single"/>
          <w14:textFill>
            <w14:solidFill>
              <w14:schemeClr w14:val="tx1"/>
            </w14:solidFill>
          </w14:textFill>
        </w:rPr>
        <w:t xml:space="preserve">                                                         </w:t>
      </w:r>
      <w:r/>
    </w:p>
    <w:p>
      <w:pPr>
        <w:spacing w:line="360" w:lineRule="auto"/>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采购文件获取日期：</w:t>
      </w:r>
      <w:r>
        <w:rPr>
          <w:rFonts w:hint="eastAsia" w:ascii="宋体" w:hAnsi="宋体" w:cs="仿宋"/>
          <w:color w:val="000000" w:themeColor="text1"/>
          <w:sz w:val="24"/>
          <w:u w:val="single"/>
          <w14:textFill>
            <w14:solidFill>
              <w14:schemeClr w14:val="tx1"/>
            </w14:solidFill>
          </w14:textFill>
        </w:rPr>
        <w:t xml:space="preserve">                                                   </w:t>
      </w:r>
      <w:r/>
    </w:p>
    <w:p>
      <w:pPr>
        <w:spacing w:line="360" w:lineRule="auto"/>
        <w:rPr>
          <w:rFonts w:ascii="宋体" w:hAnsi="宋体" w:cs="仿宋"/>
          <w:bCs/>
          <w:color w:val="000000" w:themeColor="text1"/>
          <w:sz w:val="24"/>
          <w14:textFill>
            <w14:solidFill>
              <w14:schemeClr w14:val="tx1"/>
            </w14:solidFill>
          </w14:textFill>
        </w:rPr>
      </w:pPr>
      <w:r>
        <w:rPr>
          <w:rFonts w:hint="eastAsia" w:ascii="宋体" w:hAnsi="宋体" w:cs="仿宋"/>
          <w:bCs/>
          <w:color w:val="000000" w:themeColor="text1"/>
          <w:sz w:val="24"/>
          <w14:textFill>
            <w14:solidFill>
              <w14:schemeClr w14:val="tx1"/>
            </w14:solidFill>
          </w14:textFill>
        </w:rPr>
        <w:t xml:space="preserve">三、质疑事项具体内容</w:t>
      </w:r>
      <w:r/>
    </w:p>
    <w:p>
      <w:pPr>
        <w:spacing w:line="360" w:lineRule="auto"/>
        <w:rPr>
          <w:rFonts w:ascii="宋体" w:hAnsi="宋体" w:cs="仿宋"/>
          <w:color w:val="000000" w:themeColor="text1"/>
          <w:sz w:val="24"/>
          <w:u w:val="single"/>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质疑事项1：</w:t>
      </w:r>
      <w:r>
        <w:rPr>
          <w:rFonts w:hint="eastAsia" w:ascii="宋体" w:hAnsi="宋体" w:cs="仿宋"/>
          <w:color w:val="000000" w:themeColor="text1"/>
          <w:sz w:val="24"/>
          <w:u w:val="single"/>
          <w14:textFill>
            <w14:solidFill>
              <w14:schemeClr w14:val="tx1"/>
            </w14:solidFill>
          </w14:textFill>
        </w:rPr>
        <w:t xml:space="preserve">                                                          </w:t>
      </w:r>
      <w:r/>
    </w:p>
    <w:p>
      <w:pPr>
        <w:spacing w:line="360" w:lineRule="auto"/>
        <w:rPr>
          <w:rFonts w:ascii="宋体" w:hAnsi="宋体" w:cs="仿宋"/>
          <w:color w:val="000000" w:themeColor="text1"/>
          <w:sz w:val="24"/>
          <w:u w:val="single"/>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事实依据：</w:t>
      </w:r>
      <w:r>
        <w:rPr>
          <w:rFonts w:hint="eastAsia" w:ascii="宋体" w:hAnsi="宋体" w:cs="仿宋"/>
          <w:color w:val="000000" w:themeColor="text1"/>
          <w:sz w:val="24"/>
          <w:u w:val="single"/>
          <w14:textFill>
            <w14:solidFill>
              <w14:schemeClr w14:val="tx1"/>
            </w14:solidFill>
          </w14:textFill>
        </w:rPr>
        <w:t xml:space="preserve">                                                           </w:t>
      </w:r>
      <w:r/>
    </w:p>
    <w:p>
      <w:pPr>
        <w:spacing w:line="360" w:lineRule="auto"/>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u w:val="single"/>
          <w14:textFill>
            <w14:solidFill>
              <w14:schemeClr w14:val="tx1"/>
            </w14:solidFill>
          </w14:textFill>
        </w:rPr>
        <w:t xml:space="preserve">                                                                     </w:t>
      </w:r>
      <w:r/>
    </w:p>
    <w:p>
      <w:pPr>
        <w:spacing w:line="360" w:lineRule="auto"/>
        <w:rPr>
          <w:rFonts w:ascii="宋体" w:hAnsi="宋体" w:cs="仿宋"/>
          <w:color w:val="000000" w:themeColor="text1"/>
          <w:sz w:val="24"/>
          <w:u w:val="single"/>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法律依据：</w:t>
      </w:r>
      <w:r>
        <w:rPr>
          <w:rFonts w:hint="eastAsia" w:ascii="宋体" w:hAnsi="宋体" w:cs="仿宋"/>
          <w:color w:val="000000" w:themeColor="text1"/>
          <w:sz w:val="24"/>
          <w:u w:val="single"/>
          <w14:textFill>
            <w14:solidFill>
              <w14:schemeClr w14:val="tx1"/>
            </w14:solidFill>
          </w14:textFill>
        </w:rPr>
        <w:t xml:space="preserve">                                                           </w:t>
      </w:r>
      <w:r/>
    </w:p>
    <w:p>
      <w:pPr>
        <w:spacing w:line="360" w:lineRule="auto"/>
        <w:rPr>
          <w:rFonts w:ascii="宋体" w:hAnsi="宋体" w:cs="仿宋"/>
          <w:color w:val="000000" w:themeColor="text1"/>
          <w:sz w:val="24"/>
          <w:u w:val="single"/>
          <w14:textFill>
            <w14:solidFill>
              <w14:schemeClr w14:val="tx1"/>
            </w14:solidFill>
          </w14:textFill>
        </w:rPr>
      </w:pPr>
      <w:r>
        <w:rPr>
          <w:rFonts w:hint="eastAsia" w:ascii="宋体" w:hAnsi="宋体" w:cs="仿宋"/>
          <w:color w:val="000000" w:themeColor="text1"/>
          <w:sz w:val="24"/>
          <w:u w:val="single"/>
          <w14:textFill>
            <w14:solidFill>
              <w14:schemeClr w14:val="tx1"/>
            </w14:solidFill>
          </w14:textFill>
        </w:rPr>
        <w:t xml:space="preserve">                                                                     </w:t>
      </w:r>
      <w:r/>
    </w:p>
    <w:p>
      <w:pPr>
        <w:spacing w:line="360" w:lineRule="auto"/>
        <w:rPr>
          <w:rFonts w:ascii="宋体" w:hAnsi="宋体" w:cs="仿宋"/>
          <w:color w:val="000000" w:themeColor="text1"/>
          <w:sz w:val="24"/>
          <w:u w:val="single"/>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质疑事项2</w:t>
      </w:r>
      <w:r/>
    </w:p>
    <w:p>
      <w:pPr>
        <w:spacing w:line="360" w:lineRule="auto"/>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w:t>
      </w:r>
      <w:r/>
    </w:p>
    <w:p>
      <w:pPr>
        <w:spacing w:line="360" w:lineRule="auto"/>
        <w:rPr>
          <w:rFonts w:ascii="宋体" w:hAnsi="宋体" w:cs="仿宋"/>
          <w:bCs/>
          <w:color w:val="000000" w:themeColor="text1"/>
          <w:sz w:val="24"/>
          <w14:textFill>
            <w14:solidFill>
              <w14:schemeClr w14:val="tx1"/>
            </w14:solidFill>
          </w14:textFill>
        </w:rPr>
      </w:pPr>
      <w:r>
        <w:rPr>
          <w:rFonts w:hint="eastAsia" w:ascii="宋体" w:hAnsi="宋体" w:cs="仿宋"/>
          <w:bCs/>
          <w:color w:val="000000" w:themeColor="text1"/>
          <w:sz w:val="24"/>
          <w14:textFill>
            <w14:solidFill>
              <w14:schemeClr w14:val="tx1"/>
            </w14:solidFill>
          </w14:textFill>
        </w:rPr>
        <w:t xml:space="preserve">四、与质疑事项相关的质疑请求</w:t>
      </w:r>
      <w:r/>
    </w:p>
    <w:p>
      <w:pPr>
        <w:spacing w:line="360" w:lineRule="auto"/>
        <w:rPr>
          <w:rFonts w:ascii="宋体" w:hAnsi="宋体" w:cs="仿宋"/>
          <w:color w:val="000000" w:themeColor="text1"/>
          <w:sz w:val="24"/>
          <w:u w:val="single"/>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请求：</w:t>
      </w:r>
      <w:r>
        <w:rPr>
          <w:rFonts w:hint="eastAsia" w:ascii="宋体" w:hAnsi="宋体" w:cs="仿宋"/>
          <w:color w:val="000000" w:themeColor="text1"/>
          <w:sz w:val="24"/>
          <w:u w:val="single"/>
          <w14:textFill>
            <w14:solidFill>
              <w14:schemeClr w14:val="tx1"/>
            </w14:solidFill>
          </w14:textFill>
        </w:rPr>
        <w:t xml:space="preserve">                                                                     </w:t>
      </w:r>
      <w:r/>
    </w:p>
    <w:p>
      <w:pP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签字(签章)：                   电子公章：                      </w:t>
      </w:r>
      <w:r/>
    </w:p>
    <w:p>
      <w:pP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日期：    </w:t>
      </w:r>
      <w:r/>
    </w:p>
    <w:p>
      <w:pPr>
        <w:spacing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质疑函制作说明：</w:t>
      </w:r>
      <w:r/>
    </w:p>
    <w:p>
      <w:pPr>
        <w:ind w:firstLine="480"/>
        <w:spacing w:line="4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1.供应商提出质疑时，应提交质疑函和必要的证明材料。</w:t>
      </w:r>
      <w:r/>
    </w:p>
    <w:p>
      <w:pPr>
        <w:ind w:firstLine="480"/>
        <w:spacing w:line="4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2.质疑供应商若委托代理人进行质疑的，质疑函应按要求列明“授权代表”的有关内容，并在附件中提交由质疑</w:t>
      </w:r>
      <w:r>
        <w:rPr>
          <w:rFonts w:hint="eastAsia" w:ascii="宋体" w:hAnsi="宋体" w:cs="宋体"/>
          <w:color w:val="000000" w:themeColor="text1"/>
          <w:sz w:val="24"/>
          <w14:textFill>
            <w14:solidFill>
              <w14:schemeClr w14:val="tx1"/>
            </w14:solidFill>
          </w14:textFill>
        </w:rPr>
        <w:t xml:space="preserve">供应商签署的授权委托书。授权委托书应载明代理人的姓名或者名称、代理事项、具体权限、期限和相关事项。</w:t>
      </w:r>
      <w:r/>
    </w:p>
    <w:p>
      <w:pPr>
        <w:ind w:firstLine="480"/>
        <w:spacing w:line="4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3.质疑供应商若对项目的某一分包进行质疑，质疑函中应列明具体分包号。</w:t>
      </w:r>
      <w:r/>
    </w:p>
    <w:p>
      <w:pPr>
        <w:ind w:firstLine="480"/>
        <w:spacing w:line="4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4.质疑函的质疑事项应具体、明确，并有必要的事实依据和法律依据。</w:t>
      </w:r>
      <w:r/>
    </w:p>
    <w:p>
      <w:pPr>
        <w:ind w:firstLine="480"/>
        <w:spacing w:line="4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5.质疑函的质疑请求应与质疑事项相关。</w:t>
      </w:r>
      <w:r/>
    </w:p>
    <w:p>
      <w:pPr>
        <w:ind w:firstLine="480"/>
        <w:spacing w:line="4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6.质疑供应商为自然人的，质疑函应由本人签字；质疑供应商为法人或者其他组织的，质疑函应由法定代表人、主要负责人，或者其授权代表签字或者盖章，并加盖电子公章。</w:t>
      </w:r>
      <w:r/>
    </w:p>
    <w:p>
      <w:pPr>
        <w:jc w:val="both"/>
        <w:spacing w:line="68" w:lineRule="atLeast"/>
        <w:rPr>
          <w:rFonts w:ascii="仿宋" w:hAnsi="仿宋" w:eastAsia="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olor w:val="000000" w:themeColor="text1"/>
          <w14:textFill>
            <w14:solidFill>
              <w14:schemeClr w14:val="tx1"/>
            </w14:solidFill>
          </w14:textFill>
        </w:rPr>
      </w:r>
      <w:r/>
    </w:p>
    <w:sectPr>
      <w:headerReference w:type="default" r:id="rId12"/>
      <w:footerReference w:type="default" r:id="rId15"/>
      <w:footnotePr/>
      <w:endnotePr/>
      <w:type w:val="nextPage"/>
      <w:pgSz w:w="11906" w:h="16838" w:orient="portrait"/>
      <w:pgMar w:top="1134" w:right="1418" w:bottom="1134" w:left="1418"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方正中等线简体">
    <w:panose1 w:val="020B0503020202020204"/>
  </w:font>
  <w:font w:name="方正仿宋_GBK">
    <w:panose1 w:val="020B0503020202020204"/>
  </w:font>
  <w:font w:name="Cambria">
    <w:panose1 w:val="02040503050406030204"/>
  </w:font>
  <w:font w:name="微软雅黑">
    <w:panose1 w:val="020B0503020204020204"/>
  </w:font>
  <w:font w:name="Calibri">
    <w:panose1 w:val="020F0502020204030204"/>
  </w:font>
  <w:font w:name="楷体_GB2312">
    <w:panose1 w:val="02010609060101010101"/>
  </w:font>
  <w:font w:name="幼圆">
    <w:panose1 w:val="020105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ind w:left="482"/>
      <w:jc w:val="center"/>
      <w:tabs>
        <w:tab w:val="center" w:pos="4153" w:leader="none"/>
        <w:tab w:val="clear" w:pos="7143" w:leader="none"/>
        <w:tab w:val="right" w:pos="8306" w:leader="none"/>
        <w:tab w:val="clear" w:pos="14287" w:leader="none"/>
      </w:tabs>
    </w:pPr>
    <w:r/>
    <w:r/>
  </w:p>
  <w:p>
    <w:pPr>
      <w:pStyle w:val="761"/>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34081143"/>
      <w:rPr/>
    </w:sdtPr>
    <w:sdtContent>
      <w:p>
        <w:pPr>
          <w:pStyle w:val="761"/>
          <w:jc w:val="center"/>
        </w:pPr>
        <w:r>
          <w:fldChar w:fldCharType="begin"/>
        </w:r>
        <w:r>
          <w:instrText xml:space="preserve">PAGE   \* MERGEFORMAT</w:instrText>
        </w:r>
        <w:r>
          <w:fldChar w:fldCharType="separate"/>
        </w:r>
        <w:r>
          <w:rPr>
            <w:lang w:val="zh-CN"/>
          </w:rPr>
          <w:t xml:space="preserve">99</w:t>
        </w:r>
        <w:r>
          <w:rPr>
            <w:lang w:val="zh-CN"/>
          </w:rPr>
          <w:fldChar w:fldCharType="end"/>
        </w:r>
        <w:r/>
      </w:p>
    </w:sdtContent>
  </w:sdt>
  <w:p>
    <w:pPr>
      <w:pStyle w:val="7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right"/>
      <w:tabs>
        <w:tab w:val="center" w:pos="4153" w:leader="none"/>
        <w:tab w:val="clear" w:pos="7143" w:leader="none"/>
        <w:tab w:val="right" w:pos="8306" w:leader="none"/>
        <w:tab w:val="clear" w:pos="14287" w:leader="none"/>
      </w:tabs>
      <w:rPr>
        <w:rFonts w:ascii="宋体" w:hAnsi="宋体" w:eastAsia="宋体" w:cs="宋体"/>
        <w:bCs/>
      </w:rPr>
      <w:pBdr>
        <w:bottom w:val="single" w:color="auto" w:sz="4" w:space="0"/>
      </w:pBdr>
    </w:pPr>
    <w:r>
      <w:rPr>
        <w:rFonts w:hint="eastAsia" w:ascii="宋体" w:hAnsi="宋体" w:cs="宋体"/>
        <w:bCs/>
      </w:rPr>
      <w:t xml:space="preserve">江苏苏豪创新科技集团高科有限公司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right"/>
      <w:tabs>
        <w:tab w:val="center" w:pos="4153" w:leader="none"/>
        <w:tab w:val="clear" w:pos="7143" w:leader="none"/>
        <w:tab w:val="right" w:pos="8306" w:leader="none"/>
        <w:tab w:val="clear" w:pos="14287" w:leader="none"/>
      </w:tabs>
      <w:rPr>
        <w:rFonts w:eastAsia="宋体"/>
      </w:rPr>
    </w:pPr>
    <w:r>
      <w:rPr>
        <w:rFonts w:hint="eastAsia"/>
      </w:rPr>
      <w:t xml:space="preserve">江苏苏豪创新科技集团高科有限公司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right"/>
      <w:tabs>
        <w:tab w:val="center" w:pos="4153" w:leader="none"/>
        <w:tab w:val="clear" w:pos="7143" w:leader="none"/>
        <w:tab w:val="right" w:pos="8306" w:leader="none"/>
        <w:tab w:val="clear" w:pos="14287" w:leader="none"/>
      </w:tabs>
      <w:rPr>
        <w:rFonts w:ascii="宋体" w:hAnsi="宋体" w:eastAsia="宋体" w:cs="宋体"/>
        <w:bCs/>
      </w:rPr>
      <w:pBdr>
        <w:bottom w:val="single" w:color="auto" w:sz="4" w:space="0"/>
      </w:pBdr>
    </w:pPr>
    <w:r>
      <w:rPr>
        <w:rFonts w:hint="eastAsia" w:ascii="宋体" w:hAnsi="宋体" w:cs="宋体"/>
        <w:bCs/>
      </w:rPr>
      <w:t xml:space="preserve">江苏苏豪创新科技集团高科有限公司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840" w:hanging="1440"/>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1"/>
  </w:num>
  <w:num w:numId="2">
    <w:abstractNumId w:val="4"/>
  </w:num>
  <w:num w:numId="3">
    <w:abstractNumId w:val="2"/>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34" w:default="1">
    <w:name w:val="Normal"/>
    <w:uiPriority w:val="0"/>
    <w:qFormat/>
    <w:pPr>
      <w:spacing w:after="160" w:line="278" w:lineRule="auto"/>
    </w:pPr>
    <w:rPr>
      <w:rFonts w:ascii="Times New Roman" w:hAnsi="Times New Roman" w:cs="Times New Roman" w:eastAsiaTheme="minorEastAsia"/>
      <w:lang w:val="en-US" w:eastAsia="zh-CN" w:bidi="ar-SA"/>
    </w:rPr>
  </w:style>
  <w:style w:type="paragraph" w:styleId="735">
    <w:name w:val="Heading 1"/>
    <w:basedOn w:val="734"/>
    <w:next w:val="734"/>
    <w:link w:val="977"/>
    <w:uiPriority w:val="0"/>
    <w:qFormat/>
    <w:pPr>
      <w:keepLines/>
      <w:keepNext/>
      <w:spacing w:before="480" w:after="200"/>
      <w:outlineLvl w:val="0"/>
    </w:pPr>
    <w:rPr>
      <w:rFonts w:ascii="Arial" w:hAnsi="Arial" w:eastAsia="Arial" w:cs="Arial"/>
      <w:sz w:val="40"/>
      <w:szCs w:val="40"/>
    </w:rPr>
  </w:style>
  <w:style w:type="paragraph" w:styleId="736">
    <w:name w:val="Heading 2"/>
    <w:next w:val="734"/>
    <w:link w:val="820"/>
    <w:uiPriority w:val="0"/>
    <w:unhideWhenUsed/>
    <w:qFormat/>
    <w:pPr>
      <w:keepLines/>
      <w:keepNext/>
      <w:spacing w:before="360" w:after="200" w:line="278" w:lineRule="auto"/>
      <w:outlineLvl w:val="1"/>
    </w:pPr>
    <w:rPr>
      <w:rFonts w:ascii="Arial" w:hAnsi="Arial" w:eastAsia="Arial" w:cs="Arial"/>
      <w:sz w:val="34"/>
      <w:lang w:val="en-US" w:eastAsia="zh-CN" w:bidi="ar-SA"/>
    </w:rPr>
  </w:style>
  <w:style w:type="paragraph" w:styleId="737">
    <w:name w:val="Heading 3"/>
    <w:next w:val="734"/>
    <w:link w:val="821"/>
    <w:uiPriority w:val="0"/>
    <w:unhideWhenUsed/>
    <w:qFormat/>
    <w:pPr>
      <w:keepLines/>
      <w:keepNext/>
      <w:spacing w:before="320" w:after="200" w:line="278" w:lineRule="auto"/>
      <w:outlineLvl w:val="2"/>
    </w:pPr>
    <w:rPr>
      <w:rFonts w:ascii="Arial" w:hAnsi="Arial" w:eastAsia="Arial" w:cs="Arial"/>
      <w:sz w:val="30"/>
      <w:szCs w:val="30"/>
      <w:lang w:val="en-US" w:eastAsia="zh-CN" w:bidi="ar-SA"/>
    </w:rPr>
  </w:style>
  <w:style w:type="paragraph" w:styleId="738">
    <w:name w:val="Heading 4"/>
    <w:next w:val="734"/>
    <w:link w:val="822"/>
    <w:uiPriority w:val="9"/>
    <w:unhideWhenUsed/>
    <w:qFormat/>
    <w:pPr>
      <w:keepLines/>
      <w:keepNext/>
      <w:spacing w:before="320" w:after="200" w:line="278" w:lineRule="auto"/>
      <w:outlineLvl w:val="3"/>
    </w:pPr>
    <w:rPr>
      <w:rFonts w:ascii="Arial" w:hAnsi="Arial" w:eastAsia="Arial" w:cs="Arial"/>
      <w:b/>
      <w:bCs/>
      <w:sz w:val="26"/>
      <w:szCs w:val="26"/>
      <w:lang w:val="en-US" w:eastAsia="zh-CN" w:bidi="ar-SA"/>
    </w:rPr>
  </w:style>
  <w:style w:type="paragraph" w:styleId="739">
    <w:name w:val="Heading 5"/>
    <w:basedOn w:val="734"/>
    <w:next w:val="746"/>
    <w:link w:val="823"/>
    <w:uiPriority w:val="0"/>
    <w:unhideWhenUsed/>
    <w:qFormat/>
    <w:pPr>
      <w:keepLines/>
      <w:keepNext/>
      <w:spacing w:before="320" w:after="200"/>
      <w:outlineLvl w:val="4"/>
    </w:pPr>
    <w:rPr>
      <w:rFonts w:ascii="Arial" w:hAnsi="Arial" w:eastAsia="Arial" w:cs="Arial"/>
      <w:b/>
      <w:bCs/>
      <w:sz w:val="24"/>
      <w:szCs w:val="24"/>
    </w:rPr>
  </w:style>
  <w:style w:type="paragraph" w:styleId="740">
    <w:name w:val="Heading 6"/>
    <w:next w:val="734"/>
    <w:link w:val="824"/>
    <w:uiPriority w:val="9"/>
    <w:unhideWhenUsed/>
    <w:qFormat/>
    <w:pPr>
      <w:keepLines/>
      <w:keepNext/>
      <w:spacing w:before="320" w:after="200" w:line="278" w:lineRule="auto"/>
      <w:outlineLvl w:val="5"/>
    </w:pPr>
    <w:rPr>
      <w:rFonts w:ascii="Arial" w:hAnsi="Arial" w:eastAsia="Arial" w:cs="Arial"/>
      <w:b/>
      <w:bCs/>
      <w:sz w:val="22"/>
      <w:szCs w:val="22"/>
      <w:lang w:val="en-US" w:eastAsia="zh-CN" w:bidi="ar-SA"/>
    </w:rPr>
  </w:style>
  <w:style w:type="paragraph" w:styleId="741">
    <w:name w:val="Heading 7"/>
    <w:next w:val="734"/>
    <w:link w:val="825"/>
    <w:uiPriority w:val="9"/>
    <w:unhideWhenUsed/>
    <w:qFormat/>
    <w:pPr>
      <w:keepLines/>
      <w:keepNext/>
      <w:spacing w:before="320" w:after="200" w:line="278" w:lineRule="auto"/>
      <w:outlineLvl w:val="6"/>
    </w:pPr>
    <w:rPr>
      <w:rFonts w:ascii="Arial" w:hAnsi="Arial" w:eastAsia="Arial" w:cs="Arial"/>
      <w:b/>
      <w:bCs/>
      <w:i/>
      <w:iCs/>
      <w:sz w:val="22"/>
      <w:szCs w:val="22"/>
      <w:lang w:val="en-US" w:eastAsia="zh-CN" w:bidi="ar-SA"/>
    </w:rPr>
  </w:style>
  <w:style w:type="paragraph" w:styleId="742">
    <w:name w:val="Heading 8"/>
    <w:next w:val="734"/>
    <w:link w:val="826"/>
    <w:uiPriority w:val="9"/>
    <w:unhideWhenUsed/>
    <w:qFormat/>
    <w:pPr>
      <w:keepLines/>
      <w:keepNext/>
      <w:spacing w:before="320" w:after="200" w:line="278" w:lineRule="auto"/>
      <w:outlineLvl w:val="7"/>
    </w:pPr>
    <w:rPr>
      <w:rFonts w:ascii="Arial" w:hAnsi="Arial" w:eastAsia="Arial" w:cs="Arial"/>
      <w:i/>
      <w:iCs/>
      <w:sz w:val="22"/>
      <w:szCs w:val="22"/>
      <w:lang w:val="en-US" w:eastAsia="zh-CN" w:bidi="ar-SA"/>
    </w:rPr>
  </w:style>
  <w:style w:type="paragraph" w:styleId="743">
    <w:name w:val="Heading 9"/>
    <w:next w:val="734"/>
    <w:link w:val="827"/>
    <w:uiPriority w:val="9"/>
    <w:unhideWhenUsed/>
    <w:qFormat/>
    <w:pPr>
      <w:keepLines/>
      <w:keepNext/>
      <w:spacing w:before="320" w:after="200" w:line="278" w:lineRule="auto"/>
      <w:outlineLvl w:val="8"/>
    </w:pPr>
    <w:rPr>
      <w:rFonts w:ascii="Arial" w:hAnsi="Arial" w:eastAsia="Arial" w:cs="Arial"/>
      <w:i/>
      <w:iCs/>
      <w:sz w:val="21"/>
      <w:szCs w:val="21"/>
      <w:lang w:val="en-US" w:eastAsia="zh-CN" w:bidi="ar-SA"/>
    </w:rPr>
  </w:style>
  <w:style w:type="character" w:styleId="744" w:default="1">
    <w:name w:val="Default Paragraph Font"/>
    <w:uiPriority w:val="1"/>
    <w:semiHidden/>
    <w:unhideWhenUsed/>
    <w:qFormat/>
  </w:style>
  <w:style w:type="table" w:styleId="745" w:default="1">
    <w:name w:val="Normal Table"/>
    <w:uiPriority w:val="99"/>
    <w:semiHidden/>
    <w:unhideWhenUsed/>
    <w:tblPr>
      <w:tblCellMar>
        <w:left w:w="108" w:type="dxa"/>
        <w:top w:w="0" w:type="dxa"/>
        <w:right w:w="108" w:type="dxa"/>
        <w:bottom w:w="0" w:type="dxa"/>
      </w:tblCellMar>
    </w:tblPr>
  </w:style>
  <w:style w:type="paragraph" w:styleId="746">
    <w:name w:val="Normal Indent"/>
    <w:basedOn w:val="734"/>
    <w:uiPriority w:val="0"/>
    <w:qFormat/>
    <w:pPr>
      <w:ind w:firstLine="420"/>
      <w:jc w:val="both"/>
      <w:spacing w:after="0" w:line="240" w:lineRule="auto"/>
      <w:widowControl w:val="off"/>
    </w:pPr>
    <w:rPr>
      <w:rFonts w:asciiTheme="minorHAnsi" w:hAnsiTheme="minorHAnsi" w:cstheme="minorBidi"/>
      <w:sz w:val="21"/>
      <w:szCs w:val="24"/>
    </w:rPr>
  </w:style>
  <w:style w:type="paragraph" w:styleId="747">
    <w:name w:val="toc 7"/>
    <w:next w:val="734"/>
    <w:uiPriority w:val="39"/>
    <w:unhideWhenUsed/>
    <w:qFormat/>
    <w:pPr>
      <w:ind w:left="1701"/>
      <w:spacing w:after="57" w:line="278" w:lineRule="auto"/>
    </w:pPr>
    <w:rPr>
      <w:rFonts w:ascii="Times New Roman" w:hAnsi="Times New Roman" w:cs="Times New Roman" w:eastAsiaTheme="minorEastAsia"/>
      <w:lang w:val="en-US" w:eastAsia="zh-CN" w:bidi="ar-SA"/>
    </w:rPr>
  </w:style>
  <w:style w:type="paragraph" w:styleId="748">
    <w:name w:val="Caption"/>
    <w:next w:val="734"/>
    <w:uiPriority w:val="35"/>
    <w:semiHidden/>
    <w:unhideWhenUsed/>
    <w:qFormat/>
    <w:pPr>
      <w:spacing w:after="160" w:line="276" w:lineRule="auto"/>
    </w:pPr>
    <w:rPr>
      <w:rFonts w:ascii="Times New Roman" w:hAnsi="Times New Roman" w:cs="Times New Roman" w:eastAsiaTheme="minorEastAsia"/>
      <w:b/>
      <w:bCs/>
      <w:color w:val="4f81bd" w:themeColor="accent1"/>
      <w:sz w:val="18"/>
      <w:szCs w:val="18"/>
      <w:lang w:val="en-US" w:eastAsia="zh-CN" w:bidi="ar-SA"/>
      <w14:textFill>
        <w14:solidFill>
          <w14:schemeClr w14:val="accent1"/>
        </w14:solidFill>
      </w14:textFill>
    </w:rPr>
  </w:style>
  <w:style w:type="paragraph" w:styleId="749">
    <w:name w:val="toa heading"/>
    <w:basedOn w:val="734"/>
    <w:next w:val="734"/>
    <w:uiPriority w:val="0"/>
    <w:qFormat/>
    <w:pPr>
      <w:jc w:val="center"/>
      <w:spacing w:before="200" w:after="0" w:line="360" w:lineRule="atLeast"/>
    </w:pPr>
    <w:rPr>
      <w:rFonts w:ascii="Arial" w:hAnsi="Arial" w:eastAsia="黑体" w:cs="Arial"/>
      <w:color w:val="000000"/>
      <w:sz w:val="44"/>
      <w:lang w:eastAsia="en-US"/>
    </w:rPr>
  </w:style>
  <w:style w:type="paragraph" w:styleId="750">
    <w:name w:val="annotation text"/>
    <w:basedOn w:val="734"/>
    <w:link w:val="949"/>
    <w:uiPriority w:val="0"/>
    <w:unhideWhenUsed/>
    <w:qFormat/>
  </w:style>
  <w:style w:type="paragraph" w:styleId="751">
    <w:name w:val="Body Text"/>
    <w:basedOn w:val="734"/>
    <w:link w:val="968"/>
    <w:uiPriority w:val="0"/>
    <w:qFormat/>
    <w:rPr>
      <w:rFonts w:ascii="楷体_GB2312" w:hAnsi="Arial" w:eastAsia="楷体_GB2312"/>
      <w:sz w:val="28"/>
      <w:szCs w:val="28"/>
    </w:rPr>
  </w:style>
  <w:style w:type="paragraph" w:styleId="752">
    <w:name w:val="Body Text Indent"/>
    <w:basedOn w:val="734"/>
    <w:next w:val="753"/>
    <w:link w:val="969"/>
    <w:uiPriority w:val="0"/>
    <w:qFormat/>
    <w:pPr>
      <w:ind w:firstLine="225"/>
      <w:jc w:val="both"/>
      <w:spacing w:after="0" w:line="240" w:lineRule="auto"/>
      <w:widowControl w:val="off"/>
    </w:pPr>
    <w:rPr>
      <w:rFonts w:ascii="仿宋_GB2312" w:eastAsia="仿宋_GB2312" w:hAnsiTheme="minorHAnsi" w:cstheme="minorBidi"/>
      <w:sz w:val="32"/>
      <w:szCs w:val="24"/>
    </w:rPr>
  </w:style>
  <w:style w:type="paragraph" w:styleId="753">
    <w:name w:val="Body Text First Indent 2"/>
    <w:basedOn w:val="752"/>
    <w:next w:val="746"/>
    <w:link w:val="970"/>
    <w:uiPriority w:val="0"/>
    <w:qFormat/>
    <w:pPr>
      <w:ind w:left="200" w:firstLine="200"/>
      <w:spacing w:after="120"/>
    </w:pPr>
    <w:rPr>
      <w:rFonts w:ascii="Times New Roman"/>
      <w:sz w:val="24"/>
    </w:rPr>
  </w:style>
  <w:style w:type="paragraph" w:styleId="754">
    <w:name w:val="index 4"/>
    <w:basedOn w:val="734"/>
    <w:next w:val="734"/>
    <w:uiPriority w:val="0"/>
    <w:qFormat/>
    <w:pPr>
      <w:ind w:left="600"/>
      <w:jc w:val="both"/>
      <w:spacing w:after="0" w:line="240" w:lineRule="auto"/>
      <w:widowControl w:val="off"/>
    </w:pPr>
    <w:rPr>
      <w:rFonts w:ascii="Calibri" w:hAnsi="Calibri" w:eastAsia="宋体"/>
      <w:sz w:val="21"/>
      <w:szCs w:val="22"/>
    </w:rPr>
  </w:style>
  <w:style w:type="paragraph" w:styleId="755">
    <w:name w:val="toc 5"/>
    <w:next w:val="734"/>
    <w:uiPriority w:val="39"/>
    <w:unhideWhenUsed/>
    <w:qFormat/>
    <w:pPr>
      <w:ind w:left="1134"/>
      <w:spacing w:after="57" w:line="278" w:lineRule="auto"/>
    </w:pPr>
    <w:rPr>
      <w:rFonts w:ascii="Times New Roman" w:hAnsi="Times New Roman" w:cs="Times New Roman" w:eastAsiaTheme="minorEastAsia"/>
      <w:lang w:val="en-US" w:eastAsia="zh-CN" w:bidi="ar-SA"/>
    </w:rPr>
  </w:style>
  <w:style w:type="paragraph" w:styleId="756">
    <w:name w:val="toc 3"/>
    <w:next w:val="734"/>
    <w:uiPriority w:val="39"/>
    <w:unhideWhenUsed/>
    <w:qFormat/>
    <w:pPr>
      <w:ind w:left="567"/>
      <w:spacing w:after="57" w:line="278" w:lineRule="auto"/>
    </w:pPr>
    <w:rPr>
      <w:rFonts w:ascii="Times New Roman" w:hAnsi="Times New Roman" w:cs="Times New Roman" w:eastAsiaTheme="minorEastAsia"/>
      <w:lang w:val="en-US" w:eastAsia="zh-CN" w:bidi="ar-SA"/>
    </w:rPr>
  </w:style>
  <w:style w:type="paragraph" w:styleId="757">
    <w:name w:val="toc 8"/>
    <w:next w:val="734"/>
    <w:uiPriority w:val="39"/>
    <w:unhideWhenUsed/>
    <w:qFormat/>
    <w:pPr>
      <w:ind w:left="1984"/>
      <w:spacing w:after="57" w:line="278" w:lineRule="auto"/>
    </w:pPr>
    <w:rPr>
      <w:rFonts w:ascii="Times New Roman" w:hAnsi="Times New Roman" w:cs="Times New Roman" w:eastAsiaTheme="minorEastAsia"/>
      <w:lang w:val="en-US" w:eastAsia="zh-CN" w:bidi="ar-SA"/>
    </w:rPr>
  </w:style>
  <w:style w:type="paragraph" w:styleId="758">
    <w:name w:val="Body Text Indent 2"/>
    <w:basedOn w:val="734"/>
    <w:link w:val="971"/>
    <w:uiPriority w:val="0"/>
    <w:qFormat/>
    <w:pPr>
      <w:ind w:left="420"/>
      <w:jc w:val="both"/>
      <w:spacing w:after="120" w:line="480" w:lineRule="auto"/>
      <w:widowControl w:val="off"/>
    </w:pPr>
    <w:rPr>
      <w:rFonts w:asciiTheme="minorHAnsi" w:hAnsiTheme="minorHAnsi" w:cstheme="minorBidi"/>
      <w:sz w:val="22"/>
      <w:szCs w:val="24"/>
      <w:lang w:eastAsia="en-US"/>
    </w:rPr>
  </w:style>
  <w:style w:type="paragraph" w:styleId="759">
    <w:name w:val="endnote text"/>
    <w:link w:val="946"/>
    <w:uiPriority w:val="99"/>
    <w:semiHidden/>
    <w:unhideWhenUsed/>
    <w:qFormat/>
    <w:pPr>
      <w:spacing w:after="160" w:line="278" w:lineRule="auto"/>
    </w:pPr>
    <w:rPr>
      <w:rFonts w:ascii="Times New Roman" w:hAnsi="Times New Roman" w:cs="Times New Roman" w:eastAsiaTheme="minorEastAsia"/>
      <w:lang w:val="en-US" w:eastAsia="zh-CN" w:bidi="ar-SA"/>
    </w:rPr>
  </w:style>
  <w:style w:type="paragraph" w:styleId="760">
    <w:name w:val="Balloon Text"/>
    <w:basedOn w:val="734"/>
    <w:link w:val="951"/>
    <w:uiPriority w:val="99"/>
    <w:semiHidden/>
    <w:unhideWhenUsed/>
    <w:qFormat/>
    <w:rPr>
      <w:sz w:val="18"/>
      <w:szCs w:val="18"/>
    </w:rPr>
  </w:style>
  <w:style w:type="paragraph" w:styleId="761">
    <w:name w:val="Footer"/>
    <w:basedOn w:val="734"/>
    <w:link w:val="838"/>
    <w:uiPriority w:val="99"/>
    <w:unhideWhenUsed/>
    <w:qFormat/>
    <w:pPr>
      <w:tabs>
        <w:tab w:val="center" w:pos="7143" w:leader="none"/>
        <w:tab w:val="right" w:pos="14287" w:leader="none"/>
      </w:tabs>
    </w:pPr>
  </w:style>
  <w:style w:type="paragraph" w:styleId="762">
    <w:name w:val="Header"/>
    <w:basedOn w:val="734"/>
    <w:link w:val="836"/>
    <w:uiPriority w:val="0"/>
    <w:unhideWhenUsed/>
    <w:qFormat/>
    <w:pPr>
      <w:tabs>
        <w:tab w:val="center" w:pos="7143" w:leader="none"/>
        <w:tab w:val="right" w:pos="14287" w:leader="none"/>
      </w:tabs>
    </w:pPr>
  </w:style>
  <w:style w:type="paragraph" w:styleId="763">
    <w:name w:val="toc 1"/>
    <w:next w:val="734"/>
    <w:uiPriority w:val="39"/>
    <w:unhideWhenUsed/>
    <w:qFormat/>
    <w:pPr>
      <w:spacing w:after="57" w:line="278" w:lineRule="auto"/>
    </w:pPr>
    <w:rPr>
      <w:rFonts w:ascii="Times New Roman" w:hAnsi="Times New Roman" w:cs="Times New Roman" w:eastAsiaTheme="minorEastAsia"/>
      <w:lang w:val="en-US" w:eastAsia="zh-CN" w:bidi="ar-SA"/>
    </w:rPr>
  </w:style>
  <w:style w:type="paragraph" w:styleId="764">
    <w:name w:val="toc 4"/>
    <w:next w:val="734"/>
    <w:uiPriority w:val="39"/>
    <w:unhideWhenUsed/>
    <w:qFormat/>
    <w:pPr>
      <w:ind w:left="850"/>
      <w:spacing w:after="57" w:line="278" w:lineRule="auto"/>
    </w:pPr>
    <w:rPr>
      <w:rFonts w:ascii="Times New Roman" w:hAnsi="Times New Roman" w:cs="Times New Roman" w:eastAsiaTheme="minorEastAsia"/>
      <w:lang w:val="en-US" w:eastAsia="zh-CN" w:bidi="ar-SA"/>
    </w:rPr>
  </w:style>
  <w:style w:type="paragraph" w:styleId="765">
    <w:name w:val="Subtitle"/>
    <w:link w:val="831"/>
    <w:uiPriority w:val="11"/>
    <w:qFormat/>
    <w:pPr>
      <w:spacing w:before="200" w:after="200" w:line="278" w:lineRule="auto"/>
    </w:pPr>
    <w:rPr>
      <w:rFonts w:ascii="Times New Roman" w:hAnsi="Times New Roman" w:cs="Times New Roman" w:eastAsiaTheme="minorEastAsia"/>
      <w:sz w:val="24"/>
      <w:szCs w:val="24"/>
      <w:lang w:val="en-US" w:eastAsia="zh-CN" w:bidi="ar-SA"/>
    </w:rPr>
  </w:style>
  <w:style w:type="paragraph" w:styleId="766">
    <w:name w:val="footnote text"/>
    <w:link w:val="945"/>
    <w:uiPriority w:val="0"/>
    <w:unhideWhenUsed/>
    <w:qFormat/>
    <w:pPr>
      <w:spacing w:after="40" w:line="278" w:lineRule="auto"/>
    </w:pPr>
    <w:rPr>
      <w:rFonts w:ascii="Times New Roman" w:hAnsi="Times New Roman" w:cs="Times New Roman" w:eastAsiaTheme="minorEastAsia"/>
      <w:sz w:val="18"/>
      <w:lang w:val="en-US" w:eastAsia="zh-CN" w:bidi="ar-SA"/>
    </w:rPr>
  </w:style>
  <w:style w:type="paragraph" w:styleId="767">
    <w:name w:val="toc 6"/>
    <w:next w:val="734"/>
    <w:uiPriority w:val="39"/>
    <w:unhideWhenUsed/>
    <w:qFormat/>
    <w:pPr>
      <w:ind w:left="1417"/>
      <w:spacing w:after="57" w:line="278" w:lineRule="auto"/>
    </w:pPr>
    <w:rPr>
      <w:rFonts w:ascii="Times New Roman" w:hAnsi="Times New Roman" w:cs="Times New Roman" w:eastAsiaTheme="minorEastAsia"/>
      <w:lang w:val="en-US" w:eastAsia="zh-CN" w:bidi="ar-SA"/>
    </w:rPr>
  </w:style>
  <w:style w:type="paragraph" w:styleId="768">
    <w:name w:val="table of figures"/>
    <w:next w:val="734"/>
    <w:uiPriority w:val="99"/>
    <w:unhideWhenUsed/>
    <w:qFormat/>
    <w:pPr>
      <w:spacing w:after="160" w:line="278" w:lineRule="auto"/>
    </w:pPr>
    <w:rPr>
      <w:rFonts w:ascii="Times New Roman" w:hAnsi="Times New Roman" w:cs="Times New Roman" w:eastAsiaTheme="minorEastAsia"/>
      <w:lang w:val="en-US" w:eastAsia="zh-CN" w:bidi="ar-SA"/>
    </w:rPr>
  </w:style>
  <w:style w:type="paragraph" w:styleId="769">
    <w:name w:val="toc 2"/>
    <w:next w:val="734"/>
    <w:uiPriority w:val="39"/>
    <w:unhideWhenUsed/>
    <w:qFormat/>
    <w:pPr>
      <w:ind w:left="283"/>
      <w:spacing w:after="57" w:line="278" w:lineRule="auto"/>
    </w:pPr>
    <w:rPr>
      <w:rFonts w:ascii="Times New Roman" w:hAnsi="Times New Roman" w:cs="Times New Roman" w:eastAsiaTheme="minorEastAsia"/>
      <w:lang w:val="en-US" w:eastAsia="zh-CN" w:bidi="ar-SA"/>
    </w:rPr>
  </w:style>
  <w:style w:type="paragraph" w:styleId="770">
    <w:name w:val="toc 9"/>
    <w:next w:val="734"/>
    <w:uiPriority w:val="39"/>
    <w:unhideWhenUsed/>
    <w:qFormat/>
    <w:pPr>
      <w:ind w:left="2268"/>
      <w:spacing w:after="57" w:line="278" w:lineRule="auto"/>
    </w:pPr>
    <w:rPr>
      <w:rFonts w:ascii="Times New Roman" w:hAnsi="Times New Roman" w:cs="Times New Roman" w:eastAsiaTheme="minorEastAsia"/>
      <w:lang w:val="en-US" w:eastAsia="zh-CN" w:bidi="ar-SA"/>
    </w:rPr>
  </w:style>
  <w:style w:type="paragraph" w:styleId="771">
    <w:name w:val="Body Text 2"/>
    <w:basedOn w:val="734"/>
    <w:link w:val="972"/>
    <w:uiPriority w:val="0"/>
    <w:qFormat/>
    <w:pPr>
      <w:jc w:val="center"/>
      <w:spacing w:after="0" w:line="240" w:lineRule="auto"/>
    </w:pPr>
    <w:rPr>
      <w:rFonts w:asciiTheme="minorHAnsi" w:hAnsiTheme="minorHAnsi" w:cstheme="minorBidi"/>
      <w:szCs w:val="24"/>
    </w:rPr>
  </w:style>
  <w:style w:type="paragraph" w:styleId="772">
    <w:name w:val="Normal (Web)"/>
    <w:basedOn w:val="734"/>
    <w:uiPriority w:val="99"/>
    <w:qFormat/>
    <w:pPr>
      <w:spacing w:before="100" w:beforeAutospacing="1" w:after="100" w:afterAutospacing="1" w:line="240" w:lineRule="auto"/>
    </w:pPr>
    <w:rPr>
      <w:rFonts w:ascii="Arial" w:hAnsi="Arial" w:cs="Arial"/>
      <w:sz w:val="24"/>
      <w:szCs w:val="24"/>
    </w:rPr>
  </w:style>
  <w:style w:type="paragraph" w:styleId="773">
    <w:name w:val="Title"/>
    <w:link w:val="830"/>
    <w:uiPriority w:val="10"/>
    <w:qFormat/>
    <w:pPr>
      <w:contextualSpacing/>
      <w:spacing w:before="300" w:after="200" w:line="278" w:lineRule="auto"/>
    </w:pPr>
    <w:rPr>
      <w:rFonts w:ascii="Times New Roman" w:hAnsi="Times New Roman" w:cs="Times New Roman" w:eastAsiaTheme="minorEastAsia"/>
      <w:sz w:val="48"/>
      <w:szCs w:val="48"/>
      <w:lang w:val="en-US" w:eastAsia="zh-CN" w:bidi="ar-SA"/>
    </w:rPr>
  </w:style>
  <w:style w:type="paragraph" w:styleId="774">
    <w:name w:val="annotation subject"/>
    <w:basedOn w:val="750"/>
    <w:next w:val="750"/>
    <w:link w:val="950"/>
    <w:uiPriority w:val="99"/>
    <w:semiHidden/>
    <w:unhideWhenUsed/>
    <w:qFormat/>
    <w:rPr>
      <w:b/>
      <w:bCs/>
    </w:rPr>
  </w:style>
  <w:style w:type="paragraph" w:styleId="775">
    <w:name w:val="Body Text First Indent"/>
    <w:basedOn w:val="734"/>
    <w:link w:val="973"/>
    <w:uiPriority w:val="0"/>
    <w:qFormat/>
    <w:pPr>
      <w:ind w:firstLine="420"/>
      <w:spacing w:after="120"/>
    </w:pPr>
    <w:rPr>
      <w:sz w:val="21"/>
      <w:szCs w:val="24"/>
      <w:lang w:val="zh-CN"/>
    </w:rPr>
  </w:style>
  <w:style w:type="table" w:styleId="776">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endnote reference"/>
    <w:uiPriority w:val="99"/>
    <w:semiHidden/>
    <w:unhideWhenUsed/>
    <w:qFormat/>
    <w:rPr>
      <w:vertAlign w:val="superscript"/>
    </w:rPr>
  </w:style>
  <w:style w:type="character" w:styleId="778">
    <w:name w:val="Hyperlink"/>
    <w:uiPriority w:val="99"/>
    <w:unhideWhenUsed/>
    <w:qFormat/>
    <w:rPr>
      <w:color w:val="0000ff" w:themeColor="hyperlink"/>
      <w:u w:val="single"/>
      <w14:textFill>
        <w14:solidFill>
          <w14:schemeClr w14:val="hlink"/>
        </w14:solidFill>
      </w14:textFill>
    </w:rPr>
  </w:style>
  <w:style w:type="character" w:styleId="779">
    <w:name w:val="annotation reference"/>
    <w:basedOn w:val="744"/>
    <w:uiPriority w:val="0"/>
    <w:unhideWhenUsed/>
    <w:qFormat/>
    <w:rPr>
      <w:sz w:val="21"/>
      <w:szCs w:val="21"/>
    </w:rPr>
  </w:style>
  <w:style w:type="character" w:styleId="780">
    <w:name w:val="footnote reference"/>
    <w:uiPriority w:val="99"/>
    <w:unhideWhenUsed/>
    <w:qFormat/>
    <w:rPr>
      <w:vertAlign w:val="superscript"/>
    </w:rPr>
  </w:style>
  <w:style w:type="paragraph" w:styleId="781" w:customStyle="1">
    <w:name w:val="正文1"/>
    <w:basedOn w:val="734"/>
    <w:next w:val="734"/>
    <w:uiPriority w:val="0"/>
    <w:qFormat/>
    <w:pPr>
      <w:ind w:firstLine="510"/>
      <w:jc w:val="both"/>
      <w:spacing w:before="156" w:after="0" w:line="360" w:lineRule="auto"/>
      <w:widowControl w:val="off"/>
    </w:pPr>
    <w:rPr>
      <w:rFonts w:asciiTheme="minorHAnsi" w:hAnsiTheme="minorHAnsi" w:cstheme="minorBidi"/>
      <w:sz w:val="24"/>
    </w:rPr>
  </w:style>
  <w:style w:type="character" w:styleId="782" w:customStyle="1">
    <w:name w:val="Heading 1 Char"/>
    <w:basedOn w:val="744"/>
    <w:uiPriority w:val="9"/>
    <w:qFormat/>
    <w:rPr>
      <w:rFonts w:ascii="Arial" w:hAnsi="Arial" w:eastAsia="Arial" w:cs="Arial"/>
      <w:sz w:val="40"/>
      <w:szCs w:val="40"/>
    </w:rPr>
  </w:style>
  <w:style w:type="character" w:styleId="783" w:customStyle="1">
    <w:name w:val="Heading 2 Char"/>
    <w:basedOn w:val="744"/>
    <w:uiPriority w:val="9"/>
    <w:qFormat/>
    <w:rPr>
      <w:rFonts w:ascii="Arial" w:hAnsi="Arial" w:eastAsia="Arial" w:cs="Arial"/>
      <w:sz w:val="34"/>
    </w:rPr>
  </w:style>
  <w:style w:type="character" w:styleId="784" w:customStyle="1">
    <w:name w:val="Heading 3 Char"/>
    <w:basedOn w:val="744"/>
    <w:uiPriority w:val="9"/>
    <w:qFormat/>
    <w:rPr>
      <w:rFonts w:ascii="Arial" w:hAnsi="Arial" w:eastAsia="Arial" w:cs="Arial"/>
      <w:sz w:val="30"/>
      <w:szCs w:val="30"/>
    </w:rPr>
  </w:style>
  <w:style w:type="character" w:styleId="785" w:customStyle="1">
    <w:name w:val="Heading 4 Char"/>
    <w:basedOn w:val="744"/>
    <w:uiPriority w:val="9"/>
    <w:qFormat/>
    <w:rPr>
      <w:rFonts w:ascii="Arial" w:hAnsi="Arial" w:eastAsia="Arial" w:cs="Arial"/>
      <w:b/>
      <w:bCs/>
      <w:sz w:val="26"/>
      <w:szCs w:val="26"/>
    </w:rPr>
  </w:style>
  <w:style w:type="character" w:styleId="786" w:customStyle="1">
    <w:name w:val="Heading 5 Char"/>
    <w:basedOn w:val="744"/>
    <w:uiPriority w:val="9"/>
    <w:qFormat/>
    <w:rPr>
      <w:rFonts w:ascii="Arial" w:hAnsi="Arial" w:eastAsia="Arial" w:cs="Arial"/>
      <w:b/>
      <w:bCs/>
      <w:sz w:val="24"/>
      <w:szCs w:val="24"/>
    </w:rPr>
  </w:style>
  <w:style w:type="character" w:styleId="787" w:customStyle="1">
    <w:name w:val="Heading 6 Char"/>
    <w:basedOn w:val="744"/>
    <w:uiPriority w:val="9"/>
    <w:qFormat/>
    <w:rPr>
      <w:rFonts w:ascii="Arial" w:hAnsi="Arial" w:eastAsia="Arial" w:cs="Arial"/>
      <w:b/>
      <w:bCs/>
      <w:sz w:val="22"/>
      <w:szCs w:val="22"/>
    </w:rPr>
  </w:style>
  <w:style w:type="character" w:styleId="788" w:customStyle="1">
    <w:name w:val="Heading 7 Char"/>
    <w:basedOn w:val="744"/>
    <w:uiPriority w:val="9"/>
    <w:qFormat/>
    <w:rPr>
      <w:rFonts w:ascii="Arial" w:hAnsi="Arial" w:eastAsia="Arial" w:cs="Arial"/>
      <w:b/>
      <w:bCs/>
      <w:i/>
      <w:iCs/>
      <w:sz w:val="22"/>
      <w:szCs w:val="22"/>
    </w:rPr>
  </w:style>
  <w:style w:type="character" w:styleId="789" w:customStyle="1">
    <w:name w:val="Heading 8 Char"/>
    <w:basedOn w:val="744"/>
    <w:uiPriority w:val="9"/>
    <w:qFormat/>
    <w:rPr>
      <w:rFonts w:ascii="Arial" w:hAnsi="Arial" w:eastAsia="Arial" w:cs="Arial"/>
      <w:i/>
      <w:iCs/>
      <w:sz w:val="22"/>
      <w:szCs w:val="22"/>
    </w:rPr>
  </w:style>
  <w:style w:type="character" w:styleId="790" w:customStyle="1">
    <w:name w:val="Heading 9 Char"/>
    <w:basedOn w:val="744"/>
    <w:uiPriority w:val="9"/>
    <w:qFormat/>
    <w:rPr>
      <w:rFonts w:ascii="Arial" w:hAnsi="Arial" w:eastAsia="Arial" w:cs="Arial"/>
      <w:i/>
      <w:iCs/>
      <w:sz w:val="21"/>
      <w:szCs w:val="21"/>
    </w:rPr>
  </w:style>
  <w:style w:type="character" w:styleId="791" w:customStyle="1">
    <w:name w:val="Title Char"/>
    <w:basedOn w:val="744"/>
    <w:uiPriority w:val="10"/>
    <w:qFormat/>
    <w:rPr>
      <w:sz w:val="48"/>
      <w:szCs w:val="48"/>
    </w:rPr>
  </w:style>
  <w:style w:type="character" w:styleId="792" w:customStyle="1">
    <w:name w:val="Subtitle Char"/>
    <w:basedOn w:val="744"/>
    <w:uiPriority w:val="11"/>
    <w:qFormat/>
    <w:rPr>
      <w:sz w:val="24"/>
      <w:szCs w:val="24"/>
    </w:rPr>
  </w:style>
  <w:style w:type="character" w:styleId="793" w:customStyle="1">
    <w:name w:val="Quote Char"/>
    <w:uiPriority w:val="29"/>
    <w:qFormat/>
    <w:rPr>
      <w:i/>
    </w:rPr>
  </w:style>
  <w:style w:type="character" w:styleId="794" w:customStyle="1">
    <w:name w:val="Intense Quote Char"/>
    <w:uiPriority w:val="30"/>
    <w:qFormat/>
    <w:rPr>
      <w:i/>
    </w:rPr>
  </w:style>
  <w:style w:type="character" w:styleId="795" w:customStyle="1">
    <w:name w:val="Header Char"/>
    <w:basedOn w:val="744"/>
    <w:uiPriority w:val="99"/>
    <w:qFormat/>
  </w:style>
  <w:style w:type="character" w:styleId="796" w:customStyle="1">
    <w:name w:val="Caption Char"/>
    <w:uiPriority w:val="99"/>
    <w:qFormat/>
  </w:style>
  <w:style w:type="table" w:styleId="797" w:customStyle="1">
    <w:name w:val="无格式表格 11"/>
    <w:basedOn w:val="7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无格式表格 21"/>
    <w:basedOn w:val="74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无格式表格 31"/>
    <w:basedOn w:val="74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customStyle="1">
    <w:name w:val="无格式表格 41"/>
    <w:basedOn w:val="74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customStyle="1">
    <w:name w:val="无格式表格 51"/>
    <w:basedOn w:val="74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2" w:customStyle="1">
    <w:name w:val="网格表 1 浅色1"/>
    <w:basedOn w:val="74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3" w:customStyle="1">
    <w:name w:val="网格表 21"/>
    <w:basedOn w:val="7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4" w:customStyle="1">
    <w:name w:val="网格表 31"/>
    <w:basedOn w:val="7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网格表 41"/>
    <w:basedOn w:val="74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网格表 5 深色1"/>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网格表 6 彩色1"/>
    <w:basedOn w:val="74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8" w:customStyle="1">
    <w:name w:val="网格表 7 彩色1"/>
    <w:basedOn w:val="74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清单表 1 浅色1"/>
    <w:basedOn w:val="745"/>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清单表 21"/>
    <w:basedOn w:val="74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清单表 31"/>
    <w:basedOn w:val="7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清单表 41"/>
    <w:basedOn w:val="7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清单表 5 深色1"/>
    <w:basedOn w:val="74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清单表 6 彩色1"/>
    <w:basedOn w:val="745"/>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5" w:customStyle="1">
    <w:name w:val="清单表 7 彩色1"/>
    <w:basedOn w:val="745"/>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6" w:customStyle="1">
    <w:name w:val="Footnote Text Char"/>
    <w:uiPriority w:val="99"/>
    <w:qFormat/>
    <w:rPr>
      <w:sz w:val="18"/>
    </w:rPr>
  </w:style>
  <w:style w:type="character" w:styleId="817" w:customStyle="1">
    <w:name w:val="Endnote Text Char"/>
    <w:uiPriority w:val="99"/>
    <w:qFormat/>
    <w:rPr>
      <w:sz w:val="20"/>
    </w:rPr>
  </w:style>
  <w:style w:type="paragraph" w:styleId="818" w:customStyle="1">
    <w:name w:val="TOC 标题1"/>
    <w:uiPriority w:val="39"/>
    <w:unhideWhenUsed/>
    <w:qFormat/>
    <w:pPr>
      <w:spacing w:after="160" w:line="278" w:lineRule="auto"/>
    </w:pPr>
    <w:rPr>
      <w:rFonts w:ascii="Times New Roman" w:hAnsi="Times New Roman" w:cs="Times New Roman" w:eastAsiaTheme="minorEastAsia"/>
      <w:lang w:val="en-US" w:eastAsia="zh-CN" w:bidi="ar-SA"/>
    </w:rPr>
  </w:style>
  <w:style w:type="character" w:styleId="819" w:customStyle="1">
    <w:name w:val="标题 1 字符"/>
    <w:uiPriority w:val="0"/>
    <w:qFormat/>
    <w:rPr>
      <w:rFonts w:ascii="Arial" w:hAnsi="Arial" w:eastAsia="Arial" w:cs="Arial"/>
      <w:sz w:val="40"/>
      <w:szCs w:val="40"/>
    </w:rPr>
  </w:style>
  <w:style w:type="character" w:styleId="820" w:customStyle="1">
    <w:name w:val="标题 2 字符"/>
    <w:link w:val="736"/>
    <w:uiPriority w:val="0"/>
    <w:qFormat/>
    <w:rPr>
      <w:rFonts w:ascii="Arial" w:hAnsi="Arial" w:eastAsia="Arial" w:cs="Arial"/>
      <w:sz w:val="34"/>
    </w:rPr>
  </w:style>
  <w:style w:type="character" w:styleId="821" w:customStyle="1">
    <w:name w:val="标题 3 字符"/>
    <w:link w:val="737"/>
    <w:uiPriority w:val="0"/>
    <w:qFormat/>
    <w:rPr>
      <w:rFonts w:ascii="Arial" w:hAnsi="Arial" w:eastAsia="Arial" w:cs="Arial"/>
      <w:sz w:val="30"/>
      <w:szCs w:val="30"/>
    </w:rPr>
  </w:style>
  <w:style w:type="character" w:styleId="822" w:customStyle="1">
    <w:name w:val="标题 4 字符"/>
    <w:link w:val="738"/>
    <w:uiPriority w:val="9"/>
    <w:qFormat/>
    <w:rPr>
      <w:rFonts w:ascii="Arial" w:hAnsi="Arial" w:eastAsia="Arial" w:cs="Arial"/>
      <w:b/>
      <w:bCs/>
      <w:sz w:val="26"/>
      <w:szCs w:val="26"/>
    </w:rPr>
  </w:style>
  <w:style w:type="character" w:styleId="823" w:customStyle="1">
    <w:name w:val="标题 5 字符"/>
    <w:link w:val="739"/>
    <w:uiPriority w:val="0"/>
    <w:qFormat/>
    <w:rPr>
      <w:rFonts w:ascii="Arial" w:hAnsi="Arial" w:eastAsia="Arial" w:cs="Arial"/>
      <w:b/>
      <w:bCs/>
      <w:sz w:val="24"/>
      <w:szCs w:val="24"/>
    </w:rPr>
  </w:style>
  <w:style w:type="character" w:styleId="824" w:customStyle="1">
    <w:name w:val="标题 6 字符"/>
    <w:link w:val="740"/>
    <w:uiPriority w:val="9"/>
    <w:qFormat/>
    <w:rPr>
      <w:rFonts w:ascii="Arial" w:hAnsi="Arial" w:eastAsia="Arial" w:cs="Arial"/>
      <w:b/>
      <w:bCs/>
      <w:sz w:val="22"/>
      <w:szCs w:val="22"/>
    </w:rPr>
  </w:style>
  <w:style w:type="character" w:styleId="825" w:customStyle="1">
    <w:name w:val="标题 7 字符"/>
    <w:link w:val="741"/>
    <w:uiPriority w:val="9"/>
    <w:qFormat/>
    <w:rPr>
      <w:rFonts w:ascii="Arial" w:hAnsi="Arial" w:eastAsia="Arial" w:cs="Arial"/>
      <w:b/>
      <w:bCs/>
      <w:i/>
      <w:iCs/>
      <w:sz w:val="22"/>
      <w:szCs w:val="22"/>
    </w:rPr>
  </w:style>
  <w:style w:type="character" w:styleId="826" w:customStyle="1">
    <w:name w:val="标题 8 字符"/>
    <w:link w:val="742"/>
    <w:uiPriority w:val="9"/>
    <w:qFormat/>
    <w:rPr>
      <w:rFonts w:ascii="Arial" w:hAnsi="Arial" w:eastAsia="Arial" w:cs="Arial"/>
      <w:i/>
      <w:iCs/>
      <w:sz w:val="22"/>
      <w:szCs w:val="22"/>
    </w:rPr>
  </w:style>
  <w:style w:type="character" w:styleId="827" w:customStyle="1">
    <w:name w:val="标题 9 字符"/>
    <w:link w:val="743"/>
    <w:uiPriority w:val="9"/>
    <w:qFormat/>
    <w:rPr>
      <w:rFonts w:ascii="Arial" w:hAnsi="Arial" w:eastAsia="Arial" w:cs="Arial"/>
      <w:i/>
      <w:iCs/>
      <w:sz w:val="21"/>
      <w:szCs w:val="21"/>
    </w:rPr>
  </w:style>
  <w:style w:type="paragraph" w:styleId="828">
    <w:name w:val="List Paragraph"/>
    <w:basedOn w:val="734"/>
    <w:uiPriority w:val="99"/>
    <w:qFormat/>
    <w:pPr>
      <w:contextualSpacing/>
      <w:ind w:left="720"/>
    </w:pPr>
  </w:style>
  <w:style w:type="paragraph" w:styleId="829">
    <w:name w:val="No Spacing"/>
    <w:uiPriority w:val="1"/>
    <w:qFormat/>
    <w:pPr>
      <w:spacing w:after="160" w:line="278" w:lineRule="auto"/>
    </w:pPr>
    <w:rPr>
      <w:rFonts w:ascii="Times New Roman" w:hAnsi="Times New Roman" w:cs="Times New Roman" w:eastAsiaTheme="minorEastAsia"/>
      <w:lang w:val="en-US" w:eastAsia="zh-CN" w:bidi="ar-SA"/>
    </w:rPr>
  </w:style>
  <w:style w:type="character" w:styleId="830" w:customStyle="1">
    <w:name w:val="标题 字符"/>
    <w:link w:val="773"/>
    <w:uiPriority w:val="10"/>
    <w:qFormat/>
    <w:rPr>
      <w:sz w:val="48"/>
      <w:szCs w:val="48"/>
    </w:rPr>
  </w:style>
  <w:style w:type="character" w:styleId="831" w:customStyle="1">
    <w:name w:val="副标题 字符"/>
    <w:link w:val="765"/>
    <w:uiPriority w:val="11"/>
    <w:qFormat/>
    <w:rPr>
      <w:sz w:val="24"/>
      <w:szCs w:val="24"/>
    </w:rPr>
  </w:style>
  <w:style w:type="paragraph" w:styleId="832">
    <w:name w:val="Quote"/>
    <w:link w:val="833"/>
    <w:uiPriority w:val="29"/>
    <w:qFormat/>
    <w:pPr>
      <w:ind w:left="720" w:right="720"/>
      <w:spacing w:after="160" w:line="278" w:lineRule="auto"/>
    </w:pPr>
    <w:rPr>
      <w:rFonts w:ascii="Times New Roman" w:hAnsi="Times New Roman" w:cs="Times New Roman" w:eastAsiaTheme="minorEastAsia"/>
      <w:i/>
      <w:lang w:val="en-US" w:eastAsia="zh-CN" w:bidi="ar-SA"/>
    </w:rPr>
  </w:style>
  <w:style w:type="character" w:styleId="833" w:customStyle="1">
    <w:name w:val="引用 字符"/>
    <w:link w:val="832"/>
    <w:uiPriority w:val="29"/>
    <w:qFormat/>
    <w:rPr>
      <w:i/>
    </w:rPr>
  </w:style>
  <w:style w:type="paragraph" w:styleId="834">
    <w:name w:val="Intense Quote"/>
    <w:link w:val="835"/>
    <w:uiPriority w:val="30"/>
    <w:qFormat/>
    <w:pPr>
      <w:ind w:left="720" w:right="720"/>
      <w:spacing w:after="160" w:line="278" w:lineRule="auto"/>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cs="Times New Roman" w:eastAsiaTheme="minorEastAsia"/>
      <w:i/>
      <w:lang w:val="en-US" w:eastAsia="zh-CN" w:bidi="ar-SA"/>
    </w:rPr>
  </w:style>
  <w:style w:type="character" w:styleId="835" w:customStyle="1">
    <w:name w:val="明显引用 字符"/>
    <w:link w:val="834"/>
    <w:uiPriority w:val="30"/>
    <w:qFormat/>
    <w:rPr>
      <w:i/>
    </w:rPr>
  </w:style>
  <w:style w:type="character" w:styleId="836" w:customStyle="1">
    <w:name w:val="页眉 字符"/>
    <w:link w:val="762"/>
    <w:uiPriority w:val="0"/>
    <w:qFormat/>
  </w:style>
  <w:style w:type="character" w:styleId="837" w:customStyle="1">
    <w:name w:val="Footer Char"/>
    <w:uiPriority w:val="99"/>
    <w:qFormat/>
  </w:style>
  <w:style w:type="character" w:styleId="838" w:customStyle="1">
    <w:name w:val="页脚 字符"/>
    <w:link w:val="761"/>
    <w:uiPriority w:val="99"/>
    <w:qFormat/>
  </w:style>
  <w:style w:type="table" w:styleId="83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5" w:customStyle="1">
    <w:name w:val="脚注文本 字符"/>
    <w:link w:val="766"/>
    <w:uiPriority w:val="0"/>
    <w:qFormat/>
    <w:rPr>
      <w:sz w:val="18"/>
    </w:rPr>
  </w:style>
  <w:style w:type="character" w:styleId="946" w:customStyle="1">
    <w:name w:val="尾注文本 字符"/>
    <w:link w:val="759"/>
    <w:uiPriority w:val="99"/>
    <w:qFormat/>
    <w:rPr>
      <w:sz w:val="20"/>
    </w:rPr>
  </w:style>
  <w:style w:type="paragraph" w:styleId="947" w:customStyle="1">
    <w:name w:val="TOC 标题11"/>
    <w:uiPriority w:val="39"/>
    <w:unhideWhenUsed/>
    <w:qFormat/>
    <w:pPr>
      <w:spacing w:after="160" w:line="278" w:lineRule="auto"/>
    </w:pPr>
    <w:rPr>
      <w:rFonts w:ascii="Times New Roman" w:hAnsi="Times New Roman" w:cs="Times New Roman" w:eastAsiaTheme="minorEastAsia"/>
      <w:lang w:val="en-US" w:eastAsia="zh-CN" w:bidi="ar-SA"/>
    </w:rPr>
  </w:style>
  <w:style w:type="paragraph" w:styleId="948" w:customStyle="1">
    <w:name w:val="修订1"/>
    <w:hidden/>
    <w:uiPriority w:val="99"/>
    <w:semiHidden/>
    <w:qFormat/>
    <w:pPr>
      <w:spacing w:after="160" w:line="278" w:lineRule="auto"/>
    </w:pPr>
    <w:rPr>
      <w:rFonts w:ascii="Times New Roman" w:hAnsi="Times New Roman" w:cs="Times New Roman" w:eastAsiaTheme="minorEastAsia"/>
      <w:lang w:val="en-US" w:eastAsia="zh-CN" w:bidi="ar-SA"/>
    </w:rPr>
  </w:style>
  <w:style w:type="character" w:styleId="949" w:customStyle="1">
    <w:name w:val="批注文字 字符"/>
    <w:basedOn w:val="744"/>
    <w:link w:val="750"/>
    <w:uiPriority w:val="0"/>
    <w:qFormat/>
  </w:style>
  <w:style w:type="character" w:styleId="950" w:customStyle="1">
    <w:name w:val="批注主题 字符"/>
    <w:basedOn w:val="949"/>
    <w:link w:val="774"/>
    <w:uiPriority w:val="99"/>
    <w:semiHidden/>
    <w:qFormat/>
    <w:rPr>
      <w:b/>
      <w:bCs/>
    </w:rPr>
  </w:style>
  <w:style w:type="character" w:styleId="951" w:customStyle="1">
    <w:name w:val="批注框文本 字符"/>
    <w:basedOn w:val="744"/>
    <w:link w:val="760"/>
    <w:uiPriority w:val="99"/>
    <w:semiHidden/>
    <w:qFormat/>
    <w:rPr>
      <w:sz w:val="18"/>
      <w:szCs w:val="18"/>
    </w:rPr>
  </w:style>
  <w:style w:type="paragraph" w:styleId="952" w:customStyle="1">
    <w:name w:val="修订2"/>
    <w:hidden/>
    <w:uiPriority w:val="99"/>
    <w:unhideWhenUsed/>
    <w:qFormat/>
    <w:pPr>
      <w:spacing w:after="160" w:line="278" w:lineRule="auto"/>
    </w:pPr>
    <w:rPr>
      <w:rFonts w:ascii="Times New Roman" w:hAnsi="Times New Roman" w:cs="Times New Roman" w:eastAsiaTheme="minorEastAsia"/>
      <w:lang w:val="en-US" w:eastAsia="zh-CN" w:bidi="ar-SA"/>
    </w:rPr>
  </w:style>
  <w:style w:type="paragraph" w:styleId="953" w:customStyle="1">
    <w:name w:val="修订3"/>
    <w:hidden/>
    <w:uiPriority w:val="99"/>
    <w:semiHidden/>
    <w:qFormat/>
    <w:pPr>
      <w:spacing w:after="160" w:line="278" w:lineRule="auto"/>
    </w:pPr>
    <w:rPr>
      <w:rFonts w:ascii="Times New Roman" w:hAnsi="Times New Roman" w:cs="Times New Roman" w:eastAsiaTheme="minorEastAsia"/>
      <w:lang w:val="en-US" w:eastAsia="zh-CN" w:bidi="ar-SA"/>
    </w:rPr>
  </w:style>
  <w:style w:type="paragraph" w:styleId="954" w:customStyle="1">
    <w:name w:val="普通正文"/>
    <w:basedOn w:val="734"/>
    <w:uiPriority w:val="0"/>
    <w:qFormat/>
    <w:pPr>
      <w:ind w:firstLine="480"/>
      <w:spacing w:before="120" w:after="120" w:line="360" w:lineRule="auto"/>
    </w:pPr>
    <w:rPr>
      <w:rFonts w:ascii="Arial" w:hAnsi="Arial"/>
      <w:szCs w:val="24"/>
    </w:rPr>
  </w:style>
  <w:style w:type="paragraph" w:styleId="955" w:customStyle="1">
    <w:name w:val="_Style 226"/>
    <w:basedOn w:val="735"/>
    <w:next w:val="734"/>
    <w:uiPriority w:val="0"/>
    <w:qFormat/>
    <w:pPr>
      <w:spacing w:line="276" w:lineRule="auto"/>
      <w:outlineLvl w:val="9"/>
    </w:pPr>
    <w:rPr>
      <w:rFonts w:ascii="Cambria" w:hAnsi="Cambria" w:eastAsia="宋体"/>
      <w:bCs/>
      <w:color w:val="365f91"/>
    </w:rPr>
  </w:style>
  <w:style w:type="paragraph" w:styleId="956" w:customStyle="1">
    <w:name w:val="修订4"/>
    <w:hidden/>
    <w:uiPriority w:val="99"/>
    <w:semiHidden/>
    <w:qFormat/>
    <w:pPr>
      <w:spacing w:after="160" w:line="278" w:lineRule="auto"/>
    </w:pPr>
    <w:rPr>
      <w:rFonts w:ascii="Times New Roman" w:hAnsi="Times New Roman" w:cs="Times New Roman" w:eastAsiaTheme="minorEastAsia"/>
      <w:lang w:val="en-US" w:eastAsia="zh-CN" w:bidi="ar-SA"/>
    </w:rPr>
  </w:style>
  <w:style w:type="paragraph" w:styleId="957" w:customStyle="1">
    <w:name w:val="修订5"/>
    <w:hidden/>
    <w:uiPriority w:val="99"/>
    <w:unhideWhenUsed/>
    <w:qFormat/>
    <w:pPr>
      <w:spacing w:after="160" w:line="278" w:lineRule="auto"/>
    </w:pPr>
    <w:rPr>
      <w:rFonts w:ascii="Times New Roman" w:hAnsi="Times New Roman" w:cs="Times New Roman" w:eastAsiaTheme="minorEastAsia"/>
      <w:lang w:val="en-US" w:eastAsia="zh-CN" w:bidi="ar-SA"/>
    </w:rPr>
  </w:style>
  <w:style w:type="paragraph" w:styleId="958" w:customStyle="1">
    <w:name w:val="修订6"/>
    <w:hidden/>
    <w:uiPriority w:val="99"/>
    <w:semiHidden/>
    <w:qFormat/>
    <w:pPr>
      <w:spacing w:after="160" w:line="278" w:lineRule="auto"/>
    </w:pPr>
    <w:rPr>
      <w:rFonts w:ascii="Times New Roman" w:hAnsi="Times New Roman" w:cs="Times New Roman" w:eastAsiaTheme="minorEastAsia"/>
      <w:lang w:val="en-US" w:eastAsia="zh-CN" w:bidi="ar-SA"/>
    </w:rPr>
  </w:style>
  <w:style w:type="paragraph" w:styleId="959" w:customStyle="1">
    <w:name w:val="修订7"/>
    <w:hidden/>
    <w:uiPriority w:val="99"/>
    <w:semiHidden/>
    <w:qFormat/>
    <w:pPr>
      <w:spacing w:after="160" w:line="278" w:lineRule="auto"/>
    </w:pPr>
    <w:rPr>
      <w:rFonts w:ascii="Times New Roman" w:hAnsi="Times New Roman" w:cs="Times New Roman" w:eastAsiaTheme="minorEastAsia"/>
      <w:lang w:val="en-US" w:eastAsia="zh-CN" w:bidi="ar-SA"/>
    </w:rPr>
  </w:style>
  <w:style w:type="paragraph" w:styleId="960" w:customStyle="1">
    <w:name w:val="修订8"/>
    <w:hidden/>
    <w:uiPriority w:val="99"/>
    <w:semiHidden/>
    <w:qFormat/>
    <w:pPr>
      <w:spacing w:after="160" w:line="278" w:lineRule="auto"/>
    </w:pPr>
    <w:rPr>
      <w:rFonts w:ascii="Times New Roman" w:hAnsi="Times New Roman" w:cs="Times New Roman" w:eastAsiaTheme="minorEastAsia"/>
      <w:lang w:val="en-US" w:eastAsia="zh-CN" w:bidi="ar-SA"/>
    </w:rPr>
  </w:style>
  <w:style w:type="paragraph" w:styleId="961" w:customStyle="1">
    <w:name w:val="Table Text"/>
    <w:basedOn w:val="734"/>
    <w:uiPriority w:val="0"/>
    <w:semiHidden/>
    <w:qFormat/>
    <w:pPr>
      <w:jc w:val="center"/>
      <w:spacing w:before="22" w:line="195" w:lineRule="auto"/>
      <w:framePr w:hSpace="180" w:wrap="around" w:vAnchor="text" w:hAnchor="page" w:xAlign="center" w:y="29"/>
    </w:pPr>
    <w:rPr>
      <w:rFonts w:ascii="宋体" w:hAnsi="宋体" w:eastAsia="宋体" w:cs="宋体"/>
      <w:color w:val="000000"/>
      <w:sz w:val="22"/>
      <w:szCs w:val="22"/>
      <w:lang w:eastAsia="en-US"/>
    </w:rPr>
  </w:style>
  <w:style w:type="paragraph" w:styleId="962" w:customStyle="1">
    <w:name w:val="修订9"/>
    <w:hidden/>
    <w:uiPriority w:val="99"/>
    <w:unhideWhenUsed/>
    <w:qFormat/>
    <w:pPr>
      <w:spacing w:after="160" w:line="278" w:lineRule="auto"/>
    </w:pPr>
    <w:rPr>
      <w:rFonts w:ascii="Times New Roman" w:hAnsi="Times New Roman" w:cs="Times New Roman" w:eastAsiaTheme="minorEastAsia"/>
      <w:lang w:val="en-US" w:eastAsia="zh-CN" w:bidi="ar-SA"/>
    </w:rPr>
  </w:style>
  <w:style w:type="paragraph" w:styleId="963" w:customStyle="1">
    <w:name w:val="修订10"/>
    <w:hidden/>
    <w:uiPriority w:val="99"/>
    <w:unhideWhenUsed/>
    <w:qFormat/>
    <w:rPr>
      <w:rFonts w:ascii="Times New Roman" w:hAnsi="Times New Roman" w:cs="Times New Roman" w:eastAsiaTheme="minorEastAsia"/>
      <w:lang w:val="en-US" w:eastAsia="zh-CN" w:bidi="ar-SA"/>
    </w:rPr>
  </w:style>
  <w:style w:type="paragraph" w:styleId="964" w:customStyle="1">
    <w:name w:val="修订11"/>
    <w:hidden/>
    <w:uiPriority w:val="99"/>
    <w:qFormat/>
    <w:rPr>
      <w:rFonts w:ascii="Times New Roman" w:hAnsi="Times New Roman" w:cs="Times New Roman" w:eastAsiaTheme="minorEastAsia"/>
      <w:lang w:val="en-US" w:eastAsia="zh-CN" w:bidi="ar-SA"/>
    </w:rPr>
  </w:style>
  <w:style w:type="paragraph" w:styleId="965"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966" w:customStyle="1">
    <w:name w:val="样式 标题 2 + Times New Roman 四号 非加粗 段前: 5 磅 段后: 0 磅 行距: 固定值 20..."/>
    <w:basedOn w:val="736"/>
    <w:uiPriority w:val="0"/>
    <w:qFormat/>
    <w:pPr>
      <w:jc w:val="both"/>
      <w:spacing w:before="100" w:after="0" w:line="400" w:lineRule="exact"/>
      <w:widowControl w:val="off"/>
    </w:pPr>
    <w:rPr>
      <w:rFonts w:ascii="Times New Roman" w:hAnsi="Times New Roman" w:eastAsia="黑体" w:cs="宋体"/>
      <w:sz w:val="28"/>
    </w:rPr>
  </w:style>
  <w:style w:type="paragraph" w:styleId="967" w:customStyle="1">
    <w:name w:val="段落大意"/>
    <w:uiPriority w:val="0"/>
    <w:qFormat/>
    <w:pPr>
      <w:ind w:firstLine="200"/>
      <w:jc w:val="both"/>
      <w:spacing w:line="300" w:lineRule="auto"/>
    </w:pPr>
    <w:rPr>
      <w:rFonts w:ascii="方正中等线简体" w:hAnsi="方正中等线简体" w:eastAsia="方正中等线简体" w:cs="方正中等线简体"/>
      <w:sz w:val="21"/>
      <w:szCs w:val="22"/>
      <w:lang w:val="en-US" w:eastAsia="zh-CN" w:bidi="ar-SA"/>
    </w:rPr>
  </w:style>
  <w:style w:type="character" w:styleId="968" w:customStyle="1">
    <w:name w:val="正文文本 字符"/>
    <w:basedOn w:val="744"/>
    <w:link w:val="751"/>
    <w:uiPriority w:val="0"/>
    <w:qFormat/>
    <w:rPr>
      <w:rFonts w:ascii="楷体_GB2312" w:hAnsi="Arial" w:eastAsia="楷体_GB2312"/>
      <w:sz w:val="28"/>
      <w:szCs w:val="28"/>
    </w:rPr>
  </w:style>
  <w:style w:type="character" w:styleId="969" w:customStyle="1">
    <w:name w:val="正文文本缩进 字符"/>
    <w:basedOn w:val="744"/>
    <w:link w:val="752"/>
    <w:uiPriority w:val="0"/>
    <w:qFormat/>
    <w:rPr>
      <w:rFonts w:ascii="仿宋_GB2312" w:eastAsia="仿宋_GB2312" w:hAnsiTheme="minorHAnsi" w:cstheme="minorBidi"/>
      <w:sz w:val="32"/>
      <w:szCs w:val="24"/>
    </w:rPr>
  </w:style>
  <w:style w:type="character" w:styleId="970" w:customStyle="1">
    <w:name w:val="正文文本首行缩进 2 字符"/>
    <w:basedOn w:val="969"/>
    <w:link w:val="753"/>
    <w:uiPriority w:val="0"/>
    <w:qFormat/>
    <w:rPr>
      <w:rFonts w:ascii="仿宋_GB2312" w:eastAsia="仿宋_GB2312" w:hAnsiTheme="minorHAnsi" w:cstheme="minorBidi"/>
      <w:sz w:val="24"/>
      <w:szCs w:val="24"/>
    </w:rPr>
  </w:style>
  <w:style w:type="character" w:styleId="971" w:customStyle="1">
    <w:name w:val="正文文本缩进 2 字符"/>
    <w:basedOn w:val="744"/>
    <w:link w:val="758"/>
    <w:uiPriority w:val="0"/>
    <w:qFormat/>
    <w:rPr>
      <w:rFonts w:asciiTheme="minorHAnsi" w:hAnsiTheme="minorHAnsi" w:cstheme="minorBidi"/>
      <w:sz w:val="22"/>
      <w:szCs w:val="24"/>
      <w:lang w:eastAsia="en-US"/>
    </w:rPr>
  </w:style>
  <w:style w:type="character" w:styleId="972" w:customStyle="1">
    <w:name w:val="正文文本 2 字符"/>
    <w:basedOn w:val="744"/>
    <w:link w:val="771"/>
    <w:uiPriority w:val="0"/>
    <w:qFormat/>
    <w:rPr>
      <w:rFonts w:asciiTheme="minorHAnsi" w:hAnsiTheme="minorHAnsi" w:cstheme="minorBidi"/>
      <w:szCs w:val="24"/>
    </w:rPr>
  </w:style>
  <w:style w:type="character" w:styleId="973" w:customStyle="1">
    <w:name w:val="正文文本首行缩进 字符"/>
    <w:basedOn w:val="968"/>
    <w:link w:val="775"/>
    <w:uiPriority w:val="0"/>
    <w:qFormat/>
    <w:rPr>
      <w:rFonts w:ascii="楷体_GB2312" w:hAnsi="Arial" w:eastAsia="楷体_GB2312"/>
      <w:sz w:val="21"/>
      <w:szCs w:val="24"/>
      <w:lang w:val="zh-CN"/>
    </w:rPr>
  </w:style>
  <w:style w:type="paragraph" w:styleId="974" w:customStyle="1">
    <w:name w:val="样式 标题 3 + (中文) 黑体 小四 非加粗 段前: 7.8 磅 段后: 0 磅 行距: 固定值 20 磅"/>
    <w:basedOn w:val="737"/>
    <w:uiPriority w:val="0"/>
    <w:qFormat/>
    <w:pPr>
      <w:jc w:val="both"/>
      <w:spacing w:before="0" w:after="0" w:line="400" w:lineRule="exact"/>
      <w:widowControl w:val="off"/>
    </w:pPr>
    <w:rPr>
      <w:rFonts w:eastAsia="黑体" w:asciiTheme="minorHAnsi" w:hAnsiTheme="minorHAnsi" w:cstheme="minorBidi"/>
      <w:sz w:val="24"/>
      <w:szCs w:val="20"/>
    </w:rPr>
  </w:style>
  <w:style w:type="paragraph" w:styleId="975" w:customStyle="1">
    <w:name w:val="(符号)标书正文"/>
    <w:basedOn w:val="734"/>
    <w:uiPriority w:val="0"/>
    <w:qFormat/>
    <w:pPr>
      <w:ind w:left="420"/>
      <w:jc w:val="both"/>
      <w:spacing w:before="100" w:beforeAutospacing="1" w:after="100" w:afterAutospacing="1" w:line="460" w:lineRule="exact"/>
      <w:widowControl w:val="off"/>
    </w:pPr>
    <w:rPr>
      <w:rFonts w:ascii="宋体" w:hAnsi="宋体" w:cstheme="minorBidi"/>
      <w:color w:val="000000"/>
      <w:sz w:val="21"/>
      <w:szCs w:val="22"/>
    </w:rPr>
  </w:style>
  <w:style w:type="paragraph" w:styleId="976" w:customStyle="1">
    <w:name w:val="修订12"/>
    <w:hidden/>
    <w:uiPriority w:val="99"/>
    <w:semiHidden/>
    <w:qFormat/>
    <w:rPr>
      <w:rFonts w:ascii="Times New Roman" w:hAnsi="Times New Roman" w:cs="Times New Roman" w:eastAsiaTheme="minorEastAsia"/>
      <w:lang w:val="en-US" w:eastAsia="zh-CN" w:bidi="ar-SA"/>
    </w:rPr>
  </w:style>
  <w:style w:type="character" w:styleId="977" w:customStyle="1">
    <w:name w:val="标题 1 字符1"/>
    <w:link w:val="735"/>
    <w:uiPriority w:val="0"/>
    <w:qFormat/>
    <w:rPr>
      <w:b/>
      <w:sz w:val="44"/>
      <w:szCs w:val="20"/>
    </w:rPr>
  </w:style>
  <w:style w:type="paragraph" w:styleId="978" w:customStyle="1">
    <w:name w:val="正文+缩进"/>
    <w:basedOn w:val="734"/>
    <w:uiPriority w:val="0"/>
    <w:qFormat/>
    <w:pPr>
      <w:ind w:firstLine="200"/>
    </w:pPr>
  </w:style>
  <w:style w:type="paragraph" w:styleId="979" w:customStyle="1">
    <w:name w:val="Table Paragraph"/>
    <w:basedOn w:val="734"/>
    <w:uiPriority w:val="1"/>
    <w:qFormat/>
    <w:rPr>
      <w:rFonts w:ascii="宋体" w:hAnsi="宋体" w:eastAsia="宋体" w:cs="宋体"/>
    </w:rPr>
  </w:style>
  <w:style w:type="paragraph" w:styleId="980" w:customStyle="1">
    <w:name w:val="Revision"/>
    <w:hidden/>
    <w:uiPriority w:val="99"/>
    <w:semiHidden/>
    <w:qFormat/>
    <w:rPr>
      <w:rFonts w:ascii="Times New Roman" w:hAnsi="Times New Roman" w:cs="Times New Roman" w:eastAsiaTheme="minorEastAsia"/>
      <w:lang w:val="en-US" w:eastAsia="zh-CN" w:bidi="ar-SA"/>
    </w:rPr>
  </w:style>
  <w:style w:type="numbering" w:styleId="245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0FE3AE-FAB4-4F51-888B-FDC5F94E95A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吴岢非</cp:lastModifiedBy>
  <cp:revision>5</cp:revision>
  <dcterms:created xsi:type="dcterms:W3CDTF">2026-09-04T07:00:00Z</dcterms:created>
  <dcterms:modified xsi:type="dcterms:W3CDTF">2026-09-10T03:18:09Z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75F72EAAA251422F85353CD91F5AB273_13</vt:lpwstr>
  </property>
  <property fmtid="{D5CDD505-2E9C-101B-9397-08002B2CF9AE}" pid="4" name="KSOTemplateDocerSaveRecord">
    <vt:lpwstr>eyJoZGlkIjoiODUzODAzNjQ1NTk4OWE1ODEyODlkNzkzODE2ZTllMjYiLCJ1c2VySWQiOiIzMTk2NTAxNDYifQ==</vt:lpwstr>
  </property>
</Properties>
</file>