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r>
      <w:r/>
    </w:p>
    <w:p>
      <w:pPr>
        <w:jc w:val="center"/>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t xml:space="preserve">竞争性磋商文件</w:t>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both"/>
        <w:spacing w:before="120" w:after="120" w:line="360" w:lineRule="auto"/>
        <w:rPr>
          <w:rFonts w:hint="eastAsia" w:ascii="宋体" w:hAnsi="宋体"/>
          <w:b/>
          <w:bCs/>
          <w:color w:val="auto"/>
          <w:sz w:val="36"/>
          <w:szCs w:val="28"/>
          <w:highlight w:val="none"/>
          <w:lang w:val="en-US" w:eastAsia="zh-CN"/>
        </w:rPr>
      </w:pPr>
      <w:r>
        <w:rPr>
          <w:rFonts w:hint="eastAsia" w:ascii="宋体" w:hAnsi="宋体"/>
          <w:b/>
          <w:bCs/>
          <w:color w:val="auto"/>
          <w:sz w:val="36"/>
          <w:szCs w:val="28"/>
          <w:highlight w:val="none"/>
        </w:rPr>
        <w:t xml:space="preserve">项目名称：</w:t>
      </w:r>
      <w:r>
        <w:rPr>
          <w:rFonts w:hint="eastAsia" w:ascii="宋体" w:hAnsi="宋体"/>
          <w:b/>
          <w:bCs/>
          <w:color w:val="auto"/>
          <w:sz w:val="36"/>
          <w:szCs w:val="28"/>
          <w:highlight w:val="none"/>
          <w:lang w:eastAsia="zh-CN"/>
        </w:rPr>
        <w:t xml:space="preserve">海安市教育体育局2026年全民健身场地设施采购项目（包一：</w:t>
      </w:r>
      <w:r>
        <w:rPr>
          <w:rFonts w:hint="eastAsia" w:ascii="宋体" w:hAnsi="宋体"/>
          <w:b/>
          <w:bCs/>
          <w:color w:val="auto"/>
          <w:sz w:val="36"/>
          <w:szCs w:val="28"/>
          <w:highlight w:val="none"/>
          <w:lang w:val="en-US" w:eastAsia="zh-CN"/>
        </w:rPr>
        <w:t xml:space="preserve">一代健身路径采购</w:t>
      </w:r>
      <w:r>
        <w:rPr>
          <w:rFonts w:hint="eastAsia" w:ascii="宋体" w:hAnsi="宋体"/>
          <w:b/>
          <w:bCs/>
          <w:color w:val="auto"/>
          <w:sz w:val="36"/>
          <w:szCs w:val="28"/>
          <w:highlight w:val="none"/>
          <w:lang w:eastAsia="zh-CN"/>
        </w:rPr>
        <w:t xml:space="preserve">）（</w:t>
      </w:r>
      <w:r>
        <w:rPr>
          <w:rFonts w:hint="eastAsia" w:ascii="宋体" w:hAnsi="宋体"/>
          <w:b/>
          <w:bCs/>
          <w:color w:val="auto"/>
          <w:sz w:val="36"/>
          <w:szCs w:val="28"/>
          <w:highlight w:val="none"/>
          <w:lang w:val="en-US" w:eastAsia="zh-CN"/>
        </w:rPr>
        <w:t xml:space="preserve">二次</w:t>
      </w:r>
      <w:r>
        <w:rPr>
          <w:rFonts w:hint="eastAsia" w:ascii="宋体" w:hAnsi="宋体"/>
          <w:b/>
          <w:bCs/>
          <w:color w:val="auto"/>
          <w:sz w:val="36"/>
          <w:szCs w:val="28"/>
          <w:highlight w:val="none"/>
          <w:lang w:eastAsia="zh-CN"/>
        </w:rPr>
        <w:t xml:space="preserve">）</w:t>
      </w:r>
      <w:r/>
    </w:p>
    <w:p>
      <w:pPr>
        <w:jc w:val="both"/>
        <w:spacing w:before="120" w:after="120" w:line="360" w:lineRule="auto"/>
        <w:rPr>
          <w:rFonts w:ascii="宋体" w:hAnsi="宋体"/>
          <w:b/>
          <w:bCs/>
          <w:color w:val="auto"/>
          <w:sz w:val="32"/>
          <w:szCs w:val="24"/>
          <w:highlight w:val="none"/>
        </w:rPr>
      </w:pPr>
      <w:r>
        <w:rPr>
          <w:rFonts w:hint="eastAsia" w:ascii="宋体" w:hAnsi="宋体"/>
          <w:b/>
          <w:bCs/>
          <w:color w:val="auto"/>
          <w:sz w:val="36"/>
          <w:szCs w:val="28"/>
          <w:highlight w:val="none"/>
        </w:rPr>
        <w:t xml:space="preserve">项目编号：</w:t>
      </w:r>
      <w:r>
        <w:rPr>
          <w:rFonts w:hint="eastAsia" w:ascii="宋体" w:hAnsi="宋体"/>
          <w:b/>
          <w:bCs/>
          <w:color w:val="auto"/>
          <w:sz w:val="36"/>
          <w:szCs w:val="28"/>
          <w:highlight w:val="none"/>
          <w:lang w:eastAsia="zh-CN"/>
        </w:rPr>
        <w:t xml:space="preserve">JSZC-320685-JSHS-C2026-0035</w:t>
      </w:r>
      <w:r>
        <w:rPr>
          <w:rFonts w:ascii="宋体" w:hAnsi="宋体"/>
          <w:b/>
          <w:bCs/>
          <w:color w:val="auto"/>
          <w:sz w:val="32"/>
          <w:szCs w:val="24"/>
          <w:highlight w:val="none"/>
        </w:rPr>
        <w:t xml:space="preserve">       </w:t>
      </w:r>
      <w:r/>
    </w:p>
    <w:p>
      <w:pPr>
        <w:ind w:firstLine="1470"/>
        <w:jc w:val="left"/>
        <w:spacing w:before="120" w:after="120" w:line="360" w:lineRule="auto"/>
        <w:rPr>
          <w:rFonts w:hint="eastAsia"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eastAsia="宋体"/>
          <w:b/>
          <w:bCs/>
          <w:color w:val="auto"/>
          <w:sz w:val="32"/>
          <w:szCs w:val="24"/>
          <w:highlight w:val="none"/>
          <w:lang w:eastAsia="zh-CN"/>
        </w:rPr>
      </w:pPr>
      <w:r>
        <w:rPr>
          <w:rFonts w:hint="eastAsia" w:ascii="宋体" w:hAnsi="宋体"/>
          <w:b/>
          <w:bCs/>
          <w:color w:val="auto"/>
          <w:sz w:val="32"/>
          <w:szCs w:val="24"/>
          <w:highlight w:val="none"/>
        </w:rPr>
        <w:t xml:space="preserve">采购人：</w:t>
      </w:r>
      <w:r>
        <w:rPr>
          <w:rFonts w:hint="eastAsia" w:ascii="宋体" w:hAnsi="宋体"/>
          <w:b/>
          <w:bCs/>
          <w:color w:val="auto"/>
          <w:sz w:val="32"/>
          <w:szCs w:val="24"/>
          <w:highlight w:val="none"/>
          <w:lang w:eastAsia="zh-CN"/>
        </w:rPr>
        <w:t xml:space="preserve">海安市教育体育局</w:t>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t xml:space="preserve"> 2026年</w:t>
      </w:r>
      <w:r>
        <w:rPr>
          <w:rFonts w:hint="eastAsia" w:ascii="宋体" w:hAnsi="宋体"/>
          <w:b/>
          <w:bCs/>
          <w:color w:val="auto"/>
          <w:sz w:val="32"/>
          <w:szCs w:val="24"/>
          <w:highlight w:val="none"/>
          <w:lang w:val="en-US" w:eastAsia="zh-CN"/>
        </w:rPr>
        <w:t xml:space="preserve">9</w:t>
      </w:r>
      <w:r>
        <w:rPr>
          <w:rFonts w:hint="eastAsia" w:ascii="宋体" w:hAnsi="宋体"/>
          <w:b/>
          <w:bCs/>
          <w:color w:val="auto"/>
          <w:sz w:val="32"/>
          <w:szCs w:val="24"/>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jc w:val="center"/>
        <w:spacing w:line="480" w:lineRule="auto"/>
        <w:rPr>
          <w:rFonts w:ascii="宋体" w:hAnsi="宋体"/>
          <w:color w:val="auto"/>
          <w:szCs w:val="21"/>
          <w:highlight w:val="none"/>
        </w:rPr>
        <w:outlineLvl w:val="0"/>
      </w:pPr>
      <w:r>
        <w:rPr>
          <w:rFonts w:ascii="宋体" w:hAnsi="宋体"/>
          <w:color w:val="auto"/>
          <w:szCs w:val="21"/>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
    </w:p>
    <w:p>
      <w:pPr>
        <w:jc w:val="center"/>
        <w:spacing w:line="480" w:lineRule="auto"/>
        <w:rPr>
          <w:rFonts w:ascii="宋体" w:hAnsi="宋体"/>
          <w:color w:val="auto"/>
          <w:szCs w:val="21"/>
          <w:highlight w:val="none"/>
        </w:rPr>
        <w:outlineLvl w:val="0"/>
      </w:pPr>
      <w:r>
        <w:rPr>
          <w:rFonts w:hint="eastAsia" w:ascii="宋体" w:hAnsi="宋体"/>
          <w:b/>
          <w:color w:val="auto"/>
          <w:sz w:val="44"/>
          <w:szCs w:val="21"/>
          <w:highlight w:val="none"/>
        </w:rPr>
        <w:t xml:space="preserve">总  目  录</w:t>
      </w:r>
      <w:r/>
    </w:p>
    <w:p>
      <w:pPr>
        <w:spacing w:line="480" w:lineRule="auto"/>
        <w:rPr>
          <w:rFonts w:hint="eastAsia" w:ascii="宋体" w:hAnsi="宋体"/>
          <w:b/>
          <w:color w:val="auto"/>
          <w:sz w:val="28"/>
          <w:szCs w:val="21"/>
          <w:highlight w:val="none"/>
        </w:rPr>
      </w:pPr>
      <w:r>
        <w:rPr>
          <w:rFonts w:hint="eastAsia" w:ascii="宋体" w:hAnsi="宋体"/>
          <w:b/>
          <w:color w:val="auto"/>
          <w:sz w:val="28"/>
          <w:szCs w:val="21"/>
          <w:highlight w:val="none"/>
        </w:rPr>
      </w:r>
      <w:r/>
    </w:p>
    <w:p>
      <w:pPr>
        <w:numPr>
          <w:ilvl w:val="0"/>
          <w:numId w:val="1"/>
        </w:numPr>
        <w:spacing w:line="480" w:lineRule="auto"/>
        <w:rPr>
          <w:rFonts w:hint="eastAsia" w:ascii="宋体" w:hAnsi="宋体"/>
          <w:color w:val="auto"/>
          <w:sz w:val="32"/>
          <w:szCs w:val="21"/>
          <w:highlight w:val="none"/>
        </w:rPr>
        <w:outlineLvl w:val="0"/>
      </w:pPr>
      <w:r>
        <w:rPr>
          <w:rFonts w:hint="eastAsia" w:ascii="宋体" w:hAnsi="宋体"/>
          <w:color w:val="auto"/>
          <w:sz w:val="36"/>
          <w:szCs w:val="21"/>
          <w:highlight w:val="none"/>
        </w:rPr>
        <w:t xml:space="preserve">磋商邀请</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供应商须知</w:t>
      </w:r>
      <w:r>
        <w:rPr>
          <w:rFonts w:hint="eastAsia" w:ascii="宋体" w:hAnsi="宋体"/>
          <w:color w:val="auto"/>
          <w:sz w:val="36"/>
          <w:szCs w:val="21"/>
          <w:highlight w:val="none"/>
        </w:rPr>
        <w:t xml:space="preserve"> </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采购需求</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评审方法与评审标准</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响应文件格式</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bookmarkEnd w:id="0"/>
      <w:r/>
    </w:p>
    <w:p>
      <w:pPr>
        <w:rPr>
          <w:rFonts w:hint="eastAsia" w:ascii="宋体" w:hAnsi="宋体"/>
          <w:color w:val="auto"/>
          <w:szCs w:val="21"/>
          <w:highlight w:val="none"/>
        </w:rPr>
      </w:pPr>
      <w:r>
        <w:rPr>
          <w:rFonts w:hint="eastAsia" w:ascii="宋体" w:hAnsi="宋体"/>
          <w:color w:val="auto"/>
          <w:szCs w:val="21"/>
          <w:highlight w:val="none"/>
        </w:rPr>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t xml:space="preserve">第一章  磋商邀请</w:t>
      </w:r>
      <w:r>
        <w:rPr>
          <w:rFonts w:hint="eastAsia" w:ascii="宋体" w:hAnsi="宋体"/>
          <w:color w:val="auto"/>
          <w:sz w:val="44"/>
          <w:szCs w:val="44"/>
          <w:highlight w:val="none"/>
        </w:rPr>
        <w:t xml:space="preserve">（</w:t>
      </w:r>
      <w:r>
        <w:rPr>
          <w:rFonts w:hint="eastAsia" w:ascii="宋体" w:hAnsi="宋体"/>
          <w:color w:val="auto"/>
          <w:sz w:val="44"/>
          <w:szCs w:val="44"/>
          <w:highlight w:val="none"/>
        </w:rPr>
        <w:t xml:space="preserve">二次</w:t>
      </w:r>
      <w:r>
        <w:rPr>
          <w:rFonts w:hint="eastAsia" w:ascii="宋体" w:hAnsi="宋体"/>
          <w:color w:val="auto"/>
          <w:sz w:val="44"/>
          <w:szCs w:val="44"/>
          <w:highlight w:val="none"/>
        </w:rPr>
        <w:t xml:space="preserve">）</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海安市教育体育局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海安市教育体育局2026年全民健身场地设施采购项目</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JSZC-320685-JSHS-C2026-0035</w:t>
      </w:r>
      <w:r>
        <w:rPr>
          <w:rFonts w:hint="eastAsia" w:ascii="宋体" w:hAnsi="宋体"/>
          <w:color w:val="auto"/>
          <w:sz w:val="24"/>
          <w:szCs w:val="24"/>
          <w:highlight w:val="none"/>
        </w:rPr>
        <w:t xml:space="preserve">)项目进行竞争性磋商采购，欢迎符合条件的供应商参加磋商。</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海安市教育体育局2026年全民健身场地设施采购项目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18</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14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u w:val="none"/>
        </w:rPr>
        <w:t xml:space="preserve">（</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rFonts w:ascii="宋体" w:hAnsi="宋体"/>
          <w:b/>
          <w:bCs/>
          <w:color w:val="auto"/>
          <w:sz w:val="32"/>
          <w:szCs w:val="32"/>
          <w:highlight w:val="none"/>
        </w:rPr>
        <w:outlineLvl w:val="2"/>
      </w:pPr>
      <w:r/>
      <w:bookmarkStart w:id="6" w:name="_Toc28359079"/>
      <w:r/>
      <w:bookmarkStart w:id="7" w:name="_Hlk24379207"/>
      <w:r/>
      <w:bookmarkStart w:id="8" w:name="_Toc38985263"/>
      <w:r/>
      <w:bookmarkStart w:id="9" w:name="_Toc28359002"/>
      <w:r/>
      <w:bookmarkStart w:id="10" w:name="_Toc35393621"/>
      <w:r/>
      <w:bookmarkStart w:id="11" w:name="_Toc35393790"/>
      <w:r>
        <w:rPr>
          <w:rFonts w:hint="eastAsia" w:ascii="宋体" w:hAnsi="宋体"/>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JSZC-320685-JSHS-C2026-0035</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海安市教育体育局2026年全民健身场地设施采购项目</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包一为一代健身路径采购，</w:t>
      </w:r>
      <w:r>
        <w:rPr>
          <w:rFonts w:hint="eastAsia" w:ascii="宋体" w:hAnsi="宋体"/>
          <w:color w:val="auto"/>
          <w:sz w:val="24"/>
          <w:szCs w:val="24"/>
          <w:highlight w:val="none"/>
        </w:rPr>
        <w:t xml:space="preserve">最高限价为63万元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报价超过最高限价的将作为无效响应处理。</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p>
    <w:p>
      <w:pPr>
        <w:ind w:firstLine="480"/>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8.合同履行期限：详见磋商文件</w:t>
      </w:r>
      <w:r/>
    </w:p>
    <w:p>
      <w:pPr>
        <w:ind w:firstLine="498"/>
        <w:keepLines/>
        <w:keepNext/>
        <w:spacing w:line="560" w:lineRule="exact"/>
        <w:rPr>
          <w:rFonts w:ascii="宋体" w:hAnsi="宋体"/>
          <w:b/>
          <w:bCs/>
          <w:color w:val="auto"/>
          <w:sz w:val="32"/>
          <w:szCs w:val="32"/>
          <w:highlight w:val="none"/>
        </w:rPr>
        <w:outlineLvl w:val="2"/>
      </w:pPr>
      <w:r/>
      <w:bookmarkStart w:id="12" w:name="_Toc35393622"/>
      <w:r/>
      <w:bookmarkStart w:id="13" w:name="_Toc28359003"/>
      <w:r/>
      <w:bookmarkStart w:id="14" w:name="_Toc35393791"/>
      <w:r/>
      <w:bookmarkStart w:id="15" w:name="_Toc38985264"/>
      <w:r/>
      <w:bookmarkStart w:id="16" w:name="_Toc28359080"/>
      <w:r>
        <w:rPr>
          <w:rFonts w:hint="eastAsia" w:ascii="宋体" w:hAnsi="宋体"/>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auto"/>
          <w:sz w:val="24"/>
          <w:szCs w:val="24"/>
          <w:highlight w:val="none"/>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(4)具备履行合同所必需的设备和专业技术能力的证明材料（提供承诺书）；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(5)参加政府采购活动前3年内在经营活动中没有重大违法记录的书面声明（提供书面声明）；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22" w:name="OLE_LINK82"/>
      <w:r/>
      <w:bookmarkStart w:id="23" w:name="OLE_LINK81"/>
      <w:r>
        <w:rPr>
          <w:rFonts w:hint="eastAsia" w:ascii="宋体" w:hAnsi="宋体"/>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（提供承诺函，格式详见附件）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三、获取</w:t>
      </w:r>
      <w:bookmarkEnd w:id="17"/>
      <w:r/>
      <w:bookmarkEnd w:id="18"/>
      <w:r/>
      <w:bookmarkEnd w:id="19"/>
      <w:r/>
      <w:bookmarkEnd w:id="20"/>
      <w:r/>
      <w:bookmarkEnd w:id="21"/>
      <w:r>
        <w:rPr>
          <w:rFonts w:hint="eastAsia" w:ascii="宋体" w:hAnsi="宋体"/>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日至2026年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（提供期限自本公告发布之日起不得少于5个工作日）。</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四、提交</w:t>
      </w:r>
      <w:bookmarkEnd w:id="24"/>
      <w:r/>
      <w:bookmarkEnd w:id="25"/>
      <w:r>
        <w:rPr>
          <w:rFonts w:hint="eastAsia" w:ascii="宋体" w:hAnsi="宋体"/>
          <w:b/>
          <w:bCs/>
          <w:color w:val="auto"/>
          <w:sz w:val="32"/>
          <w:szCs w:val="32"/>
          <w:highlight w:val="none"/>
        </w:rPr>
        <w:t xml:space="preserve">响应文件截止时间</w:t>
      </w:r>
      <w:bookmarkEnd w:id="26"/>
      <w:r/>
      <w:bookmarkEnd w:id="27"/>
      <w:r/>
      <w:bookmarkEnd w:id="28"/>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18</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14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color w:val="auto"/>
          <w:sz w:val="24"/>
          <w:szCs w:val="21"/>
          <w:highlight w:val="none"/>
          <w:lang w:val="en-US" w:eastAsia="zh-CN"/>
        </w:rPr>
        <w:t xml:space="preserve">0</w:t>
      </w:r>
      <w:r>
        <w:rPr>
          <w:rFonts w:hint="eastAsia" w:ascii="宋体" w:hAnsi="宋体" w:cs="宋体"/>
          <w:b/>
          <w:color w:val="auto"/>
          <w:sz w:val="24"/>
          <w:szCs w:val="21"/>
          <w:highlight w:val="none"/>
        </w:rPr>
        <w:t xml:space="preserve">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color w:val="auto"/>
          <w:sz w:val="32"/>
          <w:szCs w:val="32"/>
          <w:highlight w:val="none"/>
        </w:rPr>
        <w:outlineLvl w:val="2"/>
      </w:pPr>
      <w:r/>
      <w:bookmarkStart w:id="29" w:name="_Toc28359007"/>
      <w:r/>
      <w:bookmarkStart w:id="30" w:name="_Toc35393625"/>
      <w:r/>
      <w:bookmarkStart w:id="31" w:name="_Toc28359084"/>
      <w:r/>
      <w:bookmarkStart w:id="32" w:name="_Toc38985267"/>
      <w:r/>
      <w:bookmarkStart w:id="33" w:name="_Toc35393794"/>
      <w:r>
        <w:rPr>
          <w:rFonts w:hint="eastAsia" w:ascii="宋体" w:hAnsi="宋体"/>
          <w:b/>
          <w:bCs/>
          <w:color w:val="auto"/>
          <w:sz w:val="32"/>
          <w:szCs w:val="32"/>
          <w:highlight w:val="none"/>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auto"/>
          <w:sz w:val="24"/>
          <w:szCs w:val="24"/>
          <w:highlight w:val="none"/>
        </w:rPr>
      </w:pPr>
      <w:r/>
      <w:bookmarkStart w:id="34" w:name="_Toc38985268"/>
      <w:r/>
      <w:bookmarkStart w:id="35" w:name="_Toc35393626"/>
      <w:r/>
      <w:bookmarkStart w:id="36"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六、其他补充事宜</w:t>
      </w:r>
      <w:bookmarkEnd w:id="34"/>
      <w:r/>
      <w:bookmarkEnd w:id="35"/>
      <w:r/>
      <w:bookmarkEnd w:id="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3.项目演示、样品、答辩等（如有请描述）：详见项目需求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color w:val="auto"/>
          <w:sz w:val="32"/>
          <w:szCs w:val="32"/>
          <w:highlight w:val="none"/>
        </w:rPr>
        <w:outlineLvl w:val="2"/>
      </w:pPr>
      <w:r/>
      <w:bookmarkStart w:id="37" w:name="_Toc28359008"/>
      <w:r/>
      <w:bookmarkStart w:id="38" w:name="_Toc35393627"/>
      <w:r/>
      <w:bookmarkStart w:id="39" w:name="_Toc28359085"/>
      <w:r/>
      <w:bookmarkStart w:id="40" w:name="_Toc35393796"/>
      <w:r/>
      <w:bookmarkStart w:id="41" w:name="_Toc38985269"/>
      <w:r>
        <w:rPr>
          <w:rFonts w:hint="eastAsia" w:ascii="宋体" w:hAnsi="宋体"/>
          <w:b/>
          <w:bCs/>
          <w:color w:val="auto"/>
          <w:sz w:val="32"/>
          <w:szCs w:val="32"/>
          <w:highlight w:val="none"/>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海安市教育体育局</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 址：海安市黄海大道西3号</w:t>
      </w:r>
      <w:r>
        <w:rPr>
          <w:rFonts w:ascii="宋体" w:hAnsi="宋体" w:cs="宋体"/>
          <w:color w:val="auto"/>
          <w:sz w:val="24"/>
          <w:highlight w:val="none"/>
        </w:rPr>
        <w:t xml:space="preserve"> </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联系人：张睿涵</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联系方式：0513-88919916</w:t>
      </w:r>
      <w:r/>
    </w:p>
    <w:p>
      <w:pPr>
        <w:ind w:left="1079" w:hanging="300"/>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 </w:t>
      </w:r>
      <w:r/>
    </w:p>
    <w:p>
      <w:pPr>
        <w:ind w:firstLine="720"/>
        <w:spacing w:line="560" w:lineRule="exact"/>
        <w:rPr>
          <w:rFonts w:ascii="宋体" w:hAnsi="宋体" w:eastAsia="宋体"/>
          <w:color w:val="auto"/>
          <w:highlight w:val="none"/>
          <w:lang w:val="en-US" w:eastAsia="zh-CN"/>
        </w:rPr>
      </w:pPr>
      <w:r>
        <w:rPr>
          <w:rFonts w:hint="eastAsia" w:ascii="宋体" w:hAnsi="宋体"/>
          <w:color w:val="auto"/>
          <w:sz w:val="24"/>
          <w:szCs w:val="24"/>
          <w:highlight w:val="none"/>
        </w:rPr>
        <w:t xml:space="preserve">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址：海安市</w:t>
      </w:r>
      <w:r>
        <w:rPr>
          <w:rFonts w:hint="eastAsia" w:ascii="宋体" w:hAnsi="宋体"/>
          <w:color w:val="auto"/>
          <w:sz w:val="24"/>
          <w:szCs w:val="24"/>
          <w:highlight w:val="none"/>
          <w:lang w:val="en-US" w:eastAsia="zh-CN"/>
        </w:rPr>
        <w:t xml:space="preserve">长江中路122号</w:t>
      </w:r>
      <w:r/>
    </w:p>
    <w:p>
      <w:pPr>
        <w:ind w:firstLine="72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val="en-US" w:eastAsia="zh-CN"/>
        </w:rPr>
        <w:t xml:space="preserve">徐迪徇</w:t>
      </w:r>
      <w:r/>
    </w:p>
    <w:p>
      <w:pPr>
        <w:ind w:firstLine="720"/>
        <w:spacing w:line="56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磋商文件制作人: </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项目磋商经办人：0513-88919916</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0519-86722801、0519-8672280</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line="520" w:lineRule="exact"/>
        <w:rPr>
          <w:rFonts w:hint="eastAsia" w:ascii="宋体" w:hAnsi="宋体" w:cs="Arial"/>
          <w:color w:val="auto"/>
          <w:sz w:val="44"/>
          <w:szCs w:val="44"/>
          <w:highlight w:val="none"/>
        </w:rPr>
        <w:outlineLvl w:val="1"/>
      </w:pPr>
      <w:r/>
      <w:bookmarkStart w:id="42" w:name="_Toc120614211"/>
      <w:r>
        <w:rPr>
          <w:rFonts w:hint="eastAsia" w:ascii="宋体" w:hAnsi="宋体" w:cs="Arial"/>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Arial"/>
          <w:b/>
          <w:bCs/>
          <w:color w:val="auto"/>
          <w:sz w:val="44"/>
          <w:szCs w:val="44"/>
          <w:highlight w:val="none"/>
        </w:rPr>
        <w:t xml:space="preserve">供应商须知</w:t>
      </w:r>
      <w:r/>
    </w:p>
    <w:p>
      <w:pPr>
        <w:keepLines/>
        <w:keepNext/>
        <w:spacing w:line="520" w:lineRule="exact"/>
        <w:rPr>
          <w:rFonts w:hint="eastAsia" w:ascii="宋体" w:hAnsi="宋体"/>
          <w:b/>
          <w:bCs/>
          <w:color w:val="auto"/>
          <w:sz w:val="32"/>
          <w:szCs w:val="32"/>
          <w:highlight w:val="none"/>
        </w:rPr>
        <w:outlineLvl w:val="2"/>
      </w:pPr>
      <w:r/>
      <w:bookmarkStart w:id="43" w:name="_Toc16938519"/>
      <w:r/>
      <w:bookmarkStart w:id="44" w:name="_Toc20823275"/>
      <w:r/>
      <w:bookmarkStart w:id="45" w:name="_Toc120614214"/>
      <w:r/>
      <w:bookmarkStart w:id="46" w:name="_Toc513029203"/>
      <w:r>
        <w:rPr>
          <w:rFonts w:hint="eastAsia" w:ascii="宋体" w:hAnsi="宋体"/>
          <w:b/>
          <w:bCs/>
          <w:color w:val="auto"/>
          <w:sz w:val="32"/>
          <w:szCs w:val="32"/>
          <w:highlight w:val="none"/>
        </w:rPr>
        <w:t xml:space="preserve">一、总则</w:t>
      </w:r>
      <w:bookmarkEnd w:id="43"/>
      <w:r/>
      <w:bookmarkEnd w:id="44"/>
      <w:r/>
      <w:bookmarkEnd w:id="45"/>
      <w:r/>
      <w:bookmarkEnd w:id="46"/>
      <w:r/>
      <w:r/>
    </w:p>
    <w:p>
      <w:pPr>
        <w:ind w:firstLine="420"/>
        <w:keepLines/>
        <w:keepNext/>
        <w:spacing w:line="520" w:lineRule="exact"/>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宋体" w:hAnsi="宋体" w:cs="Arial"/>
          <w:color w:val="auto"/>
          <w:sz w:val="28"/>
          <w:szCs w:val="28"/>
          <w:highlight w:val="none"/>
        </w:rPr>
        <w:t xml:space="preserve">1</w:t>
      </w:r>
      <w:bookmarkEnd w:id="48"/>
      <w:r>
        <w:rPr>
          <w:rFonts w:hint="eastAsia" w:ascii="宋体" w:hAnsi="宋体" w:cs="Arial"/>
          <w:color w:val="auto"/>
          <w:sz w:val="28"/>
          <w:szCs w:val="28"/>
          <w:highlight w:val="none"/>
        </w:rPr>
        <w:t xml:space="preserve">.采购方式</w:t>
      </w:r>
      <w:bookmarkEnd w:id="49"/>
      <w:r/>
      <w:bookmarkEnd w:id="50"/>
      <w:r/>
      <w:bookmarkEnd w:id="51"/>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color w:val="auto"/>
          <w:sz w:val="28"/>
          <w:szCs w:val="28"/>
          <w:highlight w:val="none"/>
        </w:rPr>
        <w:outlineLvl w:val="3"/>
      </w:pPr>
      <w:r/>
      <w:bookmarkStart w:id="52" w:name="_Toc20823277"/>
      <w:r/>
      <w:bookmarkStart w:id="53" w:name="_Toc16938521"/>
      <w:r/>
      <w:bookmarkStart w:id="54" w:name="_Toc513029205"/>
      <w:r>
        <w:rPr>
          <w:rFonts w:hint="eastAsia" w:ascii="宋体" w:hAnsi="宋体" w:cs="Arial"/>
          <w:color w:val="auto"/>
          <w:sz w:val="28"/>
          <w:szCs w:val="28"/>
          <w:highlight w:val="none"/>
        </w:rPr>
        <w:t xml:space="preserve">2.合格的</w:t>
      </w:r>
      <w:bookmarkEnd w:id="52"/>
      <w:r/>
      <w:bookmarkEnd w:id="53"/>
      <w:r/>
      <w:bookmarkEnd w:id="54"/>
      <w:r>
        <w:rPr>
          <w:rFonts w:hint="eastAsia" w:ascii="宋体" w:hAnsi="宋体" w:cs="Arial"/>
          <w:color w:val="auto"/>
          <w:sz w:val="28"/>
          <w:szCs w:val="28"/>
          <w:highlight w:val="none"/>
        </w:rPr>
        <w:t xml:space="preserve">供应商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hint="eastAsia" w:ascii="宋体" w:hAnsi="宋体" w:cs="Arial"/>
          <w:color w:val="auto"/>
          <w:sz w:val="28"/>
          <w:szCs w:val="28"/>
          <w:highlight w:val="none"/>
        </w:rPr>
        <w:outlineLvl w:val="3"/>
      </w:pPr>
      <w:r/>
      <w:bookmarkStart w:id="55" w:name="_Toc16938522"/>
      <w:r/>
      <w:bookmarkStart w:id="56" w:name="_Toc20823278"/>
      <w:r/>
      <w:bookmarkStart w:id="57" w:name="_Toc513029206"/>
      <w:r>
        <w:rPr>
          <w:rFonts w:hint="eastAsia" w:ascii="宋体" w:hAnsi="宋体" w:cs="Arial"/>
          <w:color w:val="auto"/>
          <w:sz w:val="28"/>
          <w:szCs w:val="28"/>
          <w:highlight w:val="none"/>
        </w:rPr>
        <w:t xml:space="preserve">3.适用法律</w:t>
      </w:r>
      <w:bookmarkEnd w:id="55"/>
      <w:r/>
      <w:bookmarkEnd w:id="56"/>
      <w:r/>
      <w:bookmarkEnd w:id="57"/>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hint="eastAsia" w:ascii="宋体" w:hAnsi="宋体" w:cs="Arial"/>
          <w:color w:val="auto"/>
          <w:sz w:val="28"/>
          <w:szCs w:val="28"/>
          <w:highlight w:val="none"/>
        </w:rPr>
        <w:outlineLvl w:val="3"/>
      </w:pPr>
      <w:r/>
      <w:bookmarkStart w:id="58" w:name="_Toc462564067"/>
      <w:r/>
      <w:bookmarkStart w:id="59" w:name="_Toc20823279"/>
      <w:r/>
      <w:bookmarkStart w:id="60" w:name="_Toc513029207"/>
      <w:r/>
      <w:bookmarkStart w:id="61" w:name="_Toc16938523"/>
      <w:r>
        <w:rPr>
          <w:rFonts w:hint="eastAsia" w:ascii="宋体" w:hAnsi="宋体" w:cs="Arial"/>
          <w:color w:val="auto"/>
          <w:sz w:val="28"/>
          <w:szCs w:val="28"/>
          <w:highlight w:val="none"/>
        </w:rPr>
        <w:t xml:space="preserve">4.磋商费用</w:t>
      </w:r>
      <w:bookmarkEnd w:id="58"/>
      <w:r/>
      <w:bookmarkEnd w:id="59"/>
      <w:r/>
      <w:bookmarkEnd w:id="60"/>
      <w:r/>
      <w:bookmarkEnd w:id="61"/>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4.3本项目招标代理服务费按照《江苏省招标代理服务收费的指导意见》（苏招协〔2022〕2号）收费标准的</w:t>
      </w:r>
      <w:r>
        <w:rPr>
          <w:rFonts w:hint="eastAsia" w:ascii="宋体" w:hAnsi="宋体"/>
          <w:color w:val="auto"/>
          <w:sz w:val="24"/>
          <w:szCs w:val="21"/>
          <w:highlight w:val="none"/>
          <w:lang w:val="en-US" w:eastAsia="zh-CN"/>
        </w:rPr>
        <w:t xml:space="preserve">60</w:t>
      </w:r>
      <w:r>
        <w:rPr>
          <w:rFonts w:hint="eastAsia" w:ascii="宋体" w:hAnsi="宋体"/>
          <w:color w:val="auto"/>
          <w:sz w:val="24"/>
          <w:szCs w:val="21"/>
          <w:highlight w:val="none"/>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color w:val="auto"/>
          <w:sz w:val="28"/>
          <w:szCs w:val="28"/>
          <w:highlight w:val="none"/>
        </w:rPr>
        <w:outlineLvl w:val="3"/>
      </w:pPr>
      <w:r>
        <w:rPr>
          <w:rFonts w:hint="eastAsia" w:ascii="宋体" w:hAnsi="宋体" w:cs="Arial"/>
          <w:b/>
          <w:bCs/>
          <w:color w:val="auto"/>
          <w:sz w:val="30"/>
          <w:szCs w:val="28"/>
          <w:highlight w:val="none"/>
        </w:rPr>
        <w:t xml:space="preserve">5.</w:t>
      </w:r>
      <w:r>
        <w:rPr>
          <w:rFonts w:hint="eastAsia" w:ascii="宋体" w:hAnsi="宋体" w:cs="Arial"/>
          <w:color w:val="auto"/>
          <w:sz w:val="28"/>
          <w:szCs w:val="28"/>
          <w:highlight w:val="none"/>
        </w:rPr>
        <w:t xml:space="preserve">磋商文件的约束力</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keepLines/>
        <w:keepNext/>
        <w:spacing w:line="520" w:lineRule="exact"/>
        <w:rPr>
          <w:rFonts w:hint="eastAsia" w:ascii="宋体" w:hAnsi="宋体"/>
          <w:b/>
          <w:bCs/>
          <w:color w:val="auto"/>
          <w:sz w:val="32"/>
          <w:szCs w:val="32"/>
          <w:highlight w:val="none"/>
        </w:rPr>
        <w:outlineLvl w:val="2"/>
      </w:pPr>
      <w:r/>
      <w:bookmarkStart w:id="62" w:name="_Toc20823281"/>
      <w:r/>
      <w:bookmarkStart w:id="63" w:name="_Toc16938525"/>
      <w:r/>
      <w:bookmarkStart w:id="64" w:name="_Toc120614215"/>
      <w:r/>
      <w:bookmarkStart w:id="65" w:name="_Toc513029209"/>
      <w:r>
        <w:rPr>
          <w:rFonts w:hint="eastAsia" w:ascii="宋体" w:hAnsi="宋体"/>
          <w:b/>
          <w:bCs/>
          <w:color w:val="auto"/>
          <w:sz w:val="32"/>
          <w:szCs w:val="32"/>
          <w:highlight w:val="none"/>
        </w:rPr>
        <w:t xml:space="preserve">二、</w:t>
      </w:r>
      <w:bookmarkEnd w:id="62"/>
      <w:r/>
      <w:bookmarkEnd w:id="63"/>
      <w:r/>
      <w:bookmarkEnd w:id="64"/>
      <w:r/>
      <w:bookmarkEnd w:id="65"/>
      <w:r>
        <w:rPr>
          <w:rFonts w:hint="eastAsia" w:ascii="宋体" w:hAnsi="宋体"/>
          <w:b/>
          <w:bCs/>
          <w:color w:val="auto"/>
          <w:sz w:val="32"/>
          <w:szCs w:val="32"/>
          <w:highlight w:val="none"/>
        </w:rPr>
        <w:t xml:space="preserve">磋商文件</w:t>
      </w:r>
      <w:r/>
    </w:p>
    <w:p>
      <w:pPr>
        <w:ind w:firstLine="420"/>
        <w:keepLines/>
        <w:keepNext/>
        <w:spacing w:line="520" w:lineRule="exact"/>
        <w:rPr>
          <w:rFonts w:hint="eastAsia" w:ascii="宋体" w:hAnsi="宋体" w:cs="Arial"/>
          <w:color w:val="auto"/>
          <w:sz w:val="28"/>
          <w:szCs w:val="28"/>
          <w:highlight w:val="none"/>
        </w:rPr>
        <w:outlineLvl w:val="3"/>
      </w:pPr>
      <w:r/>
      <w:bookmarkStart w:id="66" w:name="_Toc20823282"/>
      <w:r/>
      <w:bookmarkStart w:id="67" w:name="_Toc16938526"/>
      <w:r/>
      <w:bookmarkStart w:id="68" w:name="_Toc513029210"/>
      <w:r>
        <w:rPr>
          <w:rFonts w:hint="eastAsia" w:ascii="宋体" w:hAnsi="宋体" w:cs="Arial"/>
          <w:color w:val="auto"/>
          <w:sz w:val="28"/>
          <w:szCs w:val="28"/>
          <w:highlight w:val="none"/>
        </w:rPr>
        <w:t xml:space="preserve">6.磋商文件构成</w:t>
      </w:r>
      <w:bookmarkEnd w:id="66"/>
      <w:r/>
      <w:bookmarkEnd w:id="67"/>
      <w:r/>
      <w:bookmarkEnd w:id="68"/>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（4）评审方法与评审标准</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color w:val="auto"/>
          <w:sz w:val="28"/>
          <w:szCs w:val="28"/>
          <w:highlight w:val="none"/>
        </w:rPr>
        <w:outlineLvl w:val="3"/>
      </w:pPr>
      <w:r/>
      <w:bookmarkStart w:id="69" w:name="_Toc16938527"/>
      <w:r/>
      <w:bookmarkStart w:id="70" w:name="_Toc20823283"/>
      <w:r/>
      <w:bookmarkStart w:id="71" w:name="_Toc462564070"/>
      <w:r/>
      <w:bookmarkStart w:id="72" w:name="_Toc513029211"/>
      <w:r>
        <w:rPr>
          <w:rFonts w:hint="eastAsia" w:ascii="宋体" w:hAnsi="宋体" w:cs="Arial"/>
          <w:color w:val="auto"/>
          <w:sz w:val="28"/>
          <w:szCs w:val="28"/>
          <w:highlight w:val="none"/>
        </w:rPr>
        <w:t xml:space="preserve">7.磋商文件的澄清</w:t>
      </w:r>
      <w:bookmarkEnd w:id="69"/>
      <w:r/>
      <w:bookmarkEnd w:id="70"/>
      <w:r/>
      <w:bookmarkEnd w:id="71"/>
      <w:r/>
      <w:bookmarkEnd w:id="72"/>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宋体" w:hAnsi="宋体"/>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hint="eastAsia" w:ascii="宋体" w:hAnsi="宋体" w:cs="Arial"/>
          <w:color w:val="auto"/>
          <w:sz w:val="28"/>
          <w:szCs w:val="28"/>
          <w:highlight w:val="none"/>
        </w:rPr>
        <w:outlineLvl w:val="3"/>
      </w:pPr>
      <w:r/>
      <w:bookmarkStart w:id="73" w:name="_Toc462564071"/>
      <w:r/>
      <w:bookmarkStart w:id="74" w:name="_Toc513029212"/>
      <w:r/>
      <w:bookmarkStart w:id="75" w:name="_Toc16938528"/>
      <w:r/>
      <w:bookmarkStart w:id="76" w:name="_Toc20823284"/>
      <w:r>
        <w:rPr>
          <w:rFonts w:hint="eastAsia" w:ascii="宋体" w:hAnsi="宋体" w:cs="Arial"/>
          <w:color w:val="auto"/>
          <w:sz w:val="28"/>
          <w:szCs w:val="28"/>
          <w:highlight w:val="none"/>
        </w:rPr>
        <w:t xml:space="preserve">8.磋商文件的澄清和修改</w:t>
      </w:r>
      <w:bookmarkEnd w:id="73"/>
      <w:r/>
      <w:bookmarkEnd w:id="74"/>
      <w:r/>
      <w:bookmarkEnd w:id="75"/>
      <w:r/>
      <w:bookmarkEnd w:id="76"/>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在响应文件提交截止时间前，采购人或采购代理机构可以对磋商文件进行澄清和修改,</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color w:val="auto"/>
          <w:sz w:val="32"/>
          <w:szCs w:val="32"/>
          <w:highlight w:val="none"/>
        </w:rPr>
        <w:outlineLvl w:val="2"/>
      </w:pPr>
      <w:r/>
      <w:bookmarkStart w:id="77" w:name="_Toc462564072"/>
      <w:r/>
      <w:bookmarkStart w:id="78" w:name="_Toc120614216"/>
      <w:r/>
      <w:bookmarkStart w:id="79" w:name="_Toc20823285"/>
      <w:r/>
      <w:bookmarkStart w:id="80" w:name="_Toc16938529"/>
      <w:r/>
      <w:bookmarkStart w:id="81" w:name="_Toc513029213"/>
      <w:r>
        <w:rPr>
          <w:rFonts w:hint="eastAsia" w:ascii="宋体" w:hAnsi="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color w:val="auto"/>
          <w:sz w:val="28"/>
          <w:szCs w:val="28"/>
          <w:highlight w:val="none"/>
        </w:rPr>
        <w:outlineLvl w:val="3"/>
      </w:pPr>
      <w:r/>
      <w:bookmarkStart w:id="82" w:name="_Toc513029214"/>
      <w:r/>
      <w:bookmarkStart w:id="83" w:name="_Toc16938530"/>
      <w:r/>
      <w:bookmarkStart w:id="84" w:name="_Toc462564073"/>
      <w:r/>
      <w:bookmarkStart w:id="85" w:name="_Toc20823286"/>
      <w:r>
        <w:rPr>
          <w:rFonts w:hint="eastAsia" w:ascii="宋体" w:hAnsi="宋体" w:cs="Arial"/>
          <w:color w:val="auto"/>
          <w:sz w:val="28"/>
          <w:szCs w:val="28"/>
          <w:highlight w:val="none"/>
        </w:rPr>
        <w:t xml:space="preserve">9.响应文件的语言及度量衡单位</w:t>
      </w:r>
      <w:bookmarkEnd w:id="82"/>
      <w:r/>
      <w:bookmarkEnd w:id="83"/>
      <w:r/>
      <w:bookmarkEnd w:id="84"/>
      <w:r/>
      <w:bookmarkEnd w:id="85"/>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color w:val="auto"/>
          <w:sz w:val="28"/>
          <w:szCs w:val="28"/>
          <w:highlight w:val="none"/>
        </w:rPr>
        <w:outlineLvl w:val="3"/>
      </w:pPr>
      <w:r/>
      <w:bookmarkStart w:id="86" w:name="_Toc20823287"/>
      <w:r/>
      <w:bookmarkStart w:id="87" w:name="_Toc513029215"/>
      <w:r/>
      <w:bookmarkStart w:id="88" w:name="_Toc16938531"/>
      <w:r/>
      <w:bookmarkStart w:id="89" w:name="_Toc462564074"/>
      <w:r>
        <w:rPr>
          <w:rFonts w:hint="eastAsia" w:ascii="宋体" w:hAnsi="宋体" w:cs="Arial"/>
          <w:color w:val="auto"/>
          <w:sz w:val="28"/>
          <w:szCs w:val="28"/>
          <w:highlight w:val="none"/>
        </w:rPr>
        <w:t xml:space="preserve">10.响应文件构成</w:t>
      </w:r>
      <w:bookmarkEnd w:id="86"/>
      <w:r/>
      <w:bookmarkEnd w:id="87"/>
      <w:r/>
      <w:bookmarkEnd w:id="88"/>
      <w:r/>
      <w:bookmarkEnd w:id="89"/>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color w:val="auto"/>
          <w:sz w:val="28"/>
          <w:szCs w:val="28"/>
          <w:highlight w:val="none"/>
        </w:rPr>
        <w:outlineLvl w:val="3"/>
      </w:pPr>
      <w:r/>
      <w:bookmarkStart w:id="90" w:name="_Hlt26668975"/>
      <w:r/>
      <w:bookmarkEnd w:id="90"/>
      <w:r/>
      <w:bookmarkStart w:id="91" w:name="_Hlt26670360"/>
      <w:r/>
      <w:bookmarkEnd w:id="91"/>
      <w:r/>
      <w:bookmarkStart w:id="92" w:name="_Hlt26954838"/>
      <w:r/>
      <w:bookmarkEnd w:id="92"/>
      <w:r/>
      <w:bookmarkStart w:id="93" w:name="_Toc513029219"/>
      <w:r/>
      <w:bookmarkStart w:id="94" w:name="_Toc14577354"/>
      <w:r/>
      <w:bookmarkStart w:id="95" w:name="_Toc49090507"/>
      <w:r/>
      <w:bookmarkStart w:id="96" w:name="_Toc49090509"/>
      <w:r/>
      <w:bookmarkStart w:id="97" w:name="_Toc14577357"/>
      <w:r/>
      <w:bookmarkStart w:id="98" w:name="_Toc513029216"/>
      <w:r/>
      <w:bookmarkStart w:id="99" w:name="_Toc49090508"/>
      <w:r/>
      <w:bookmarkStart w:id="100" w:name="_Toc14577355"/>
      <w:r>
        <w:rPr>
          <w:rFonts w:hint="eastAsia" w:ascii="宋体" w:hAnsi="宋体" w:cs="Arial"/>
          <w:color w:val="auto"/>
          <w:sz w:val="28"/>
          <w:szCs w:val="28"/>
          <w:highlight w:val="none"/>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12.分项报价表</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hint="eastAsia" w:ascii="宋体" w:hAnsi="宋体" w:cs="Arial"/>
          <w:color w:val="auto"/>
          <w:sz w:val="28"/>
          <w:szCs w:val="28"/>
          <w:highlight w:val="none"/>
        </w:rPr>
        <w:outlineLvl w:val="3"/>
      </w:pPr>
      <w:r/>
      <w:bookmarkStart w:id="101" w:name="_Hlt26670486"/>
      <w:r/>
      <w:bookmarkEnd w:id="101"/>
      <w:r/>
      <w:bookmarkStart w:id="102" w:name="_Hlt26670482"/>
      <w:r/>
      <w:bookmarkEnd w:id="102"/>
      <w:r/>
      <w:bookmarkStart w:id="103" w:name="_Hlt26954848"/>
      <w:r/>
      <w:bookmarkEnd w:id="103"/>
      <w:r/>
      <w:bookmarkStart w:id="104" w:name="_Hlt26954846"/>
      <w:r/>
      <w:bookmarkEnd w:id="104"/>
      <w:r/>
      <w:bookmarkStart w:id="105" w:name="_Hlt26954731"/>
      <w:r/>
      <w:bookmarkEnd w:id="105"/>
      <w:r>
        <w:rPr>
          <w:rFonts w:hint="eastAsia" w:ascii="宋体" w:hAnsi="宋体" w:cs="Arial"/>
          <w:color w:val="auto"/>
          <w:sz w:val="28"/>
          <w:szCs w:val="28"/>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lang w:val="zh-CN"/>
        </w:rPr>
        <w:t xml:space="preserve">1</w:t>
      </w:r>
      <w:r>
        <w:rPr>
          <w:rFonts w:hint="eastAsia" w:ascii="宋体" w:hAnsi="宋体" w:cs="宋体"/>
          <w:bCs/>
          <w:color w:val="auto"/>
          <w:sz w:val="24"/>
          <w:szCs w:val="21"/>
          <w:highlight w:val="none"/>
          <w:lang w:val="zh-CN"/>
        </w:rPr>
        <w:t xml:space="preserve">3</w:t>
      </w:r>
      <w:r>
        <w:rPr>
          <w:rFonts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14.服务承诺、培训计划、人员安排及其他</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宋体"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宋体" w:hAnsi="宋体" w:cs="Arial"/>
          <w:color w:val="auto"/>
          <w:sz w:val="28"/>
          <w:szCs w:val="28"/>
          <w:highlight w:val="none"/>
        </w:rPr>
        <w:outlineLvl w:val="3"/>
      </w:pPr>
      <w:r/>
      <w:bookmarkStart w:id="106" w:name="_Toc14577359"/>
      <w:r/>
      <w:bookmarkStart w:id="107" w:name="_Toc49090510"/>
      <w:r>
        <w:rPr>
          <w:rFonts w:hint="eastAsia" w:ascii="宋体" w:hAnsi="宋体" w:cs="Arial"/>
          <w:color w:val="auto"/>
          <w:sz w:val="28"/>
          <w:szCs w:val="28"/>
          <w:highlight w:val="none"/>
        </w:rPr>
        <w:t xml:space="preserve">15.磋商响应函</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color w:val="auto"/>
          <w:sz w:val="28"/>
          <w:szCs w:val="28"/>
          <w:highlight w:val="none"/>
        </w:rPr>
        <w:outlineLvl w:val="3"/>
      </w:pPr>
      <w:r/>
      <w:bookmarkStart w:id="108" w:name="_Toc14577360"/>
      <w:r/>
      <w:bookmarkStart w:id="109" w:name="_Toc49090511"/>
      <w:r>
        <w:rPr>
          <w:rFonts w:hint="eastAsia" w:ascii="宋体" w:hAnsi="宋体" w:cs="Arial"/>
          <w:color w:val="auto"/>
          <w:sz w:val="28"/>
          <w:szCs w:val="28"/>
          <w:highlight w:val="none"/>
        </w:rPr>
        <w:t xml:space="preserve">16.磋商有效期</w:t>
      </w:r>
      <w:bookmarkEnd w:id="108"/>
      <w:r/>
      <w:bookmarkEnd w:id="109"/>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宋体" w:hAnsi="宋体"/>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7</w:t>
      </w:r>
      <w:r>
        <w:rPr>
          <w:rFonts w:hint="eastAsia" w:ascii="宋体" w:hAnsi="宋体" w:cs="Arial"/>
          <w:color w:val="auto"/>
          <w:sz w:val="28"/>
          <w:szCs w:val="28"/>
          <w:highlight w:val="none"/>
        </w:rPr>
        <w:t xml:space="preserve">.磋商有效期的延长</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keepLines/>
        <w:keepNext/>
        <w:spacing w:line="520" w:lineRule="exact"/>
        <w:rPr>
          <w:rFonts w:hint="eastAsia" w:ascii="宋体" w:hAnsi="宋体"/>
          <w:b/>
          <w:bCs/>
          <w:color w:val="auto"/>
          <w:sz w:val="32"/>
          <w:szCs w:val="32"/>
          <w:highlight w:val="none"/>
        </w:rPr>
        <w:outlineLvl w:val="2"/>
      </w:pPr>
      <w:r/>
      <w:bookmarkStart w:id="110" w:name="_Hlt26954739"/>
      <w:r/>
      <w:bookmarkEnd w:id="110"/>
      <w:r/>
      <w:bookmarkStart w:id="111" w:name="_Hlt26954852"/>
      <w:r/>
      <w:bookmarkEnd w:id="111"/>
      <w:r/>
      <w:bookmarkStart w:id="112" w:name="_Toc513029224"/>
      <w:r/>
      <w:bookmarkStart w:id="113" w:name="_Toc120614217"/>
      <w:r/>
      <w:bookmarkStart w:id="114" w:name="_Toc20823296"/>
      <w:r/>
      <w:bookmarkStart w:id="115" w:name="_Toc16938540"/>
      <w:r>
        <w:rPr>
          <w:rFonts w:hint="eastAsia" w:ascii="宋体" w:hAnsi="宋体"/>
          <w:b/>
          <w:bCs/>
          <w:color w:val="auto"/>
          <w:sz w:val="32"/>
          <w:szCs w:val="32"/>
          <w:highlight w:val="none"/>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color w:val="auto"/>
          <w:sz w:val="28"/>
          <w:szCs w:val="28"/>
          <w:highlight w:val="none"/>
        </w:rPr>
        <w:outlineLvl w:val="3"/>
      </w:pPr>
      <w:r/>
      <w:bookmarkStart w:id="116" w:name="_Toc513029225"/>
      <w:r/>
      <w:bookmarkStart w:id="117" w:name="_Toc462564084"/>
      <w:r/>
      <w:bookmarkStart w:id="118" w:name="_Toc20823297"/>
      <w:r/>
      <w:bookmarkStart w:id="119" w:name="_Toc16938541"/>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8</w:t>
      </w:r>
      <w:r>
        <w:rPr>
          <w:rFonts w:hint="eastAsia" w:ascii="宋体" w:hAnsi="宋体" w:cs="Arial"/>
          <w:color w:val="auto"/>
          <w:sz w:val="28"/>
          <w:szCs w:val="28"/>
          <w:highlight w:val="none"/>
        </w:rPr>
        <w:t xml:space="preserve">.电子磋商</w:t>
      </w:r>
      <w:bookmarkEnd w:id="116"/>
      <w:r/>
      <w:bookmarkEnd w:id="117"/>
      <w:r/>
      <w:bookmarkEnd w:id="118"/>
      <w:r/>
      <w:bookmarkEnd w:id="119"/>
      <w:r>
        <w:rPr>
          <w:rFonts w:hint="eastAsia" w:ascii="宋体" w:hAnsi="宋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0" w:name="_Toc20823298"/>
      <w:r/>
      <w:bookmarkStart w:id="121" w:name="_Toc513029226"/>
      <w:r/>
      <w:bookmarkStart w:id="122" w:name="_Toc16938542"/>
      <w:r/>
      <w:r/>
    </w:p>
    <w:p>
      <w:pPr>
        <w:ind w:firstLine="560"/>
        <w:keepLines/>
        <w:keepNext/>
        <w:spacing w:line="520" w:lineRule="exact"/>
        <w:rPr>
          <w:rFonts w:hint="eastAsia" w:ascii="宋体" w:hAnsi="宋体" w:cs="Arial"/>
          <w:bCs/>
          <w:color w:val="auto"/>
          <w:sz w:val="24"/>
          <w:szCs w:val="28"/>
          <w:highlight w:val="none"/>
        </w:rPr>
        <w:outlineLvl w:val="3"/>
      </w:pPr>
      <w:r>
        <w:rPr>
          <w:rFonts w:ascii="宋体" w:hAnsi="宋体" w:cs="Arial"/>
          <w:bCs/>
          <w:color w:val="auto"/>
          <w:sz w:val="28"/>
          <w:szCs w:val="28"/>
          <w:highlight w:val="none"/>
        </w:rPr>
        <w:t xml:space="preserve">19</w:t>
      </w:r>
      <w:r>
        <w:rPr>
          <w:rFonts w:hint="eastAsia" w:ascii="宋体" w:hAnsi="宋体" w:cs="Arial"/>
          <w:bCs/>
          <w:color w:val="auto"/>
          <w:sz w:val="28"/>
          <w:szCs w:val="28"/>
          <w:highlight w:val="none"/>
        </w:rPr>
        <w:t xml:space="preserve">.提交响应文件截止时间</w:t>
      </w:r>
      <w:bookmarkEnd w:id="120"/>
      <w:r/>
      <w:bookmarkEnd w:id="121"/>
      <w:r/>
      <w:bookmarkEnd w:id="122"/>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color w:val="auto"/>
          <w:sz w:val="28"/>
          <w:szCs w:val="28"/>
          <w:highlight w:val="none"/>
        </w:rPr>
        <w:outlineLvl w:val="3"/>
      </w:pPr>
      <w:r/>
      <w:bookmarkStart w:id="123" w:name="_Toc20823299"/>
      <w:r/>
      <w:bookmarkStart w:id="124" w:name="_Toc16938543"/>
      <w:r/>
      <w:bookmarkStart w:id="125" w:name="_Toc51302922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0</w:t>
      </w:r>
      <w:r>
        <w:rPr>
          <w:rFonts w:hint="eastAsia" w:ascii="宋体" w:hAnsi="宋体" w:cs="Arial"/>
          <w:color w:val="auto"/>
          <w:sz w:val="28"/>
          <w:szCs w:val="28"/>
          <w:highlight w:val="none"/>
        </w:rPr>
        <w:t xml:space="preserve">.响应文件</w:t>
      </w:r>
      <w:bookmarkEnd w:id="123"/>
      <w:r/>
      <w:bookmarkEnd w:id="124"/>
      <w:r/>
      <w:bookmarkEnd w:id="125"/>
      <w:r>
        <w:rPr>
          <w:rFonts w:hint="eastAsia" w:ascii="宋体" w:hAnsi="宋体" w:cs="Arial"/>
          <w:color w:val="auto"/>
          <w:sz w:val="28"/>
          <w:szCs w:val="28"/>
          <w:highlight w:val="none"/>
        </w:rPr>
        <w:t xml:space="preserve">的拒收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color w:val="auto"/>
          <w:sz w:val="28"/>
          <w:szCs w:val="28"/>
          <w:highlight w:val="none"/>
        </w:rPr>
        <w:outlineLvl w:val="3"/>
      </w:pPr>
      <w:r/>
      <w:bookmarkStart w:id="126" w:name="_Toc16938544"/>
      <w:r/>
      <w:bookmarkStart w:id="127" w:name="_Toc20823300"/>
      <w:r/>
      <w:bookmarkStart w:id="128" w:name="_Toc513029228"/>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.响应文件的撤回和修改</w:t>
      </w:r>
      <w:bookmarkEnd w:id="126"/>
      <w:r/>
      <w:bookmarkEnd w:id="127"/>
      <w:r/>
      <w:bookmarkEnd w:id="128"/>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color w:val="auto"/>
          <w:sz w:val="32"/>
          <w:szCs w:val="32"/>
          <w:highlight w:val="none"/>
        </w:rPr>
        <w:outlineLvl w:val="2"/>
      </w:pPr>
      <w:r/>
      <w:bookmarkStart w:id="129" w:name="_Toc120614218"/>
      <w:r/>
      <w:bookmarkStart w:id="130" w:name="_Toc20823301"/>
      <w:r/>
      <w:bookmarkStart w:id="131" w:name="_Toc16938545"/>
      <w:r/>
      <w:bookmarkStart w:id="132" w:name="_Toc513029229"/>
      <w:r>
        <w:rPr>
          <w:rFonts w:hint="eastAsia" w:ascii="宋体" w:hAnsi="宋体"/>
          <w:b/>
          <w:bCs/>
          <w:color w:val="auto"/>
          <w:sz w:val="32"/>
          <w:szCs w:val="32"/>
          <w:highlight w:val="none"/>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color w:val="auto"/>
          <w:sz w:val="28"/>
          <w:szCs w:val="28"/>
          <w:highlight w:val="none"/>
        </w:rPr>
        <w:outlineLvl w:val="3"/>
      </w:pPr>
      <w:r/>
      <w:bookmarkStart w:id="133" w:name="_Toc16938546"/>
      <w:r/>
      <w:bookmarkStart w:id="134" w:name="_Toc513029230"/>
      <w:r/>
      <w:bookmarkStart w:id="135" w:name="_Toc20823302"/>
      <w:r>
        <w:rPr>
          <w:rFonts w:hint="eastAsia" w:ascii="宋体" w:hAnsi="宋体" w:cs="Arial"/>
          <w:color w:val="auto"/>
          <w:sz w:val="28"/>
          <w:szCs w:val="28"/>
          <w:highlight w:val="none"/>
        </w:rPr>
        <w:t xml:space="preserve">22</w:t>
      </w:r>
      <w:bookmarkEnd w:id="133"/>
      <w:r/>
      <w:bookmarkEnd w:id="134"/>
      <w:r/>
      <w:bookmarkEnd w:id="135"/>
      <w:r>
        <w:rPr>
          <w:rFonts w:hint="eastAsia" w:ascii="宋体" w:hAnsi="宋体" w:cs="Arial"/>
          <w:color w:val="auto"/>
          <w:sz w:val="28"/>
          <w:szCs w:val="28"/>
          <w:highlight w:val="none"/>
        </w:rPr>
        <w:t xml:space="preserve">.响应文件解密</w:t>
      </w:r>
      <w:r/>
    </w:p>
    <w:p>
      <w:pPr>
        <w:ind w:firstLine="360"/>
        <w:spacing w:line="520" w:lineRule="exact"/>
        <w:rPr>
          <w:rFonts w:hint="eastAsia" w:ascii="宋体" w:hAnsi="宋体"/>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color w:val="auto"/>
          <w:sz w:val="28"/>
          <w:szCs w:val="28"/>
          <w:highlight w:val="none"/>
        </w:rPr>
        <w:outlineLvl w:val="3"/>
      </w:pPr>
      <w:r/>
      <w:bookmarkStart w:id="136" w:name="_Toc513029231"/>
      <w:r/>
      <w:bookmarkStart w:id="137" w:name="_Toc20823303"/>
      <w:r/>
      <w:bookmarkStart w:id="138" w:name="_Toc1693854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.磋商小组</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.评审过程的保密与公正</w:t>
      </w:r>
      <w:bookmarkEnd w:id="136"/>
      <w:r/>
      <w:bookmarkEnd w:id="137"/>
      <w:r/>
      <w:bookmarkEnd w:id="138"/>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color w:val="auto"/>
          <w:sz w:val="28"/>
          <w:szCs w:val="28"/>
          <w:highlight w:val="none"/>
        </w:rPr>
        <w:outlineLvl w:val="3"/>
      </w:pPr>
      <w:r/>
      <w:bookmarkStart w:id="139" w:name="_Toc16938548"/>
      <w:r/>
      <w:bookmarkStart w:id="140" w:name="_Toc20823304"/>
      <w:r/>
      <w:bookmarkStart w:id="141" w:name="_Toc513029232"/>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.评审过程中的的澄清</w:t>
      </w:r>
      <w:bookmarkEnd w:id="139"/>
      <w:r/>
      <w:bookmarkEnd w:id="140"/>
      <w:r/>
      <w:bookmarkEnd w:id="14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color w:val="auto"/>
          <w:sz w:val="28"/>
          <w:szCs w:val="28"/>
          <w:highlight w:val="none"/>
        </w:rPr>
        <w:outlineLvl w:val="3"/>
      </w:pPr>
      <w:r/>
      <w:bookmarkStart w:id="142" w:name="_Toc20823305"/>
      <w:r/>
      <w:bookmarkStart w:id="143" w:name="_Toc16938549"/>
      <w:r/>
      <w:bookmarkStart w:id="144" w:name="_Toc513029233"/>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.对响应文件的审</w:t>
      </w:r>
      <w:bookmarkEnd w:id="142"/>
      <w:r/>
      <w:bookmarkEnd w:id="143"/>
      <w:r/>
      <w:bookmarkEnd w:id="144"/>
      <w:r>
        <w:rPr>
          <w:rFonts w:hint="eastAsia" w:ascii="宋体" w:hAnsi="宋体" w:cs="Arial"/>
          <w:color w:val="auto"/>
          <w:sz w:val="28"/>
          <w:szCs w:val="28"/>
          <w:highlight w:val="none"/>
        </w:rPr>
        <w:t xml:space="preserve">查</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hint="eastAsia" w:ascii="宋体" w:hAnsi="宋体"/>
          <w:color w:val="auto"/>
          <w:sz w:val="24"/>
          <w:szCs w:val="21"/>
          <w:highlight w:val="none"/>
        </w:rPr>
      </w:pPr>
      <w:r/>
      <w:bookmarkStart w:id="145" w:name="_Toc20823306"/>
      <w:r/>
      <w:bookmarkStart w:id="146" w:name="_Toc513029234"/>
      <w:r/>
      <w:bookmarkStart w:id="147" w:name="_Toc16938550"/>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7</w:t>
      </w:r>
      <w:bookmarkEnd w:id="145"/>
      <w:r/>
      <w:bookmarkEnd w:id="146"/>
      <w:r/>
      <w:bookmarkEnd w:id="147"/>
      <w:r>
        <w:rPr>
          <w:rFonts w:hint="eastAsia" w:ascii="宋体" w:hAnsi="宋体" w:cs="Arial"/>
          <w:color w:val="auto"/>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keepLines/>
        <w:keepNext/>
        <w:spacing w:line="520" w:lineRule="exact"/>
        <w:rPr>
          <w:rFonts w:hint="eastAsia" w:ascii="宋体" w:hAnsi="宋体"/>
          <w:b/>
          <w:bCs/>
          <w:color w:val="auto"/>
          <w:sz w:val="32"/>
          <w:szCs w:val="32"/>
          <w:highlight w:val="none"/>
        </w:rPr>
        <w:outlineLvl w:val="2"/>
      </w:pPr>
      <w:r/>
      <w:bookmarkStart w:id="148" w:name="_Toc120614219"/>
      <w:r/>
      <w:bookmarkStart w:id="149" w:name="_Toc16938551"/>
      <w:r/>
      <w:bookmarkStart w:id="150" w:name="_Toc20823307"/>
      <w:r/>
      <w:bookmarkStart w:id="151" w:name="_Toc513029235"/>
      <w:r>
        <w:rPr>
          <w:rFonts w:hint="eastAsia" w:ascii="宋体" w:hAnsi="宋体"/>
          <w:b/>
          <w:bCs/>
          <w:color w:val="auto"/>
          <w:sz w:val="32"/>
          <w:szCs w:val="32"/>
          <w:highlight w:val="none"/>
        </w:rPr>
        <w:t xml:space="preserve">六、</w:t>
      </w:r>
      <w:bookmarkEnd w:id="148"/>
      <w:r/>
      <w:bookmarkEnd w:id="149"/>
      <w:r/>
      <w:bookmarkEnd w:id="150"/>
      <w:r/>
      <w:bookmarkEnd w:id="151"/>
      <w:r>
        <w:rPr>
          <w:rFonts w:hint="eastAsia" w:ascii="宋体" w:hAnsi="宋体"/>
          <w:b/>
          <w:bCs/>
          <w:color w:val="auto"/>
          <w:sz w:val="32"/>
          <w:szCs w:val="32"/>
          <w:highlight w:val="none"/>
        </w:rPr>
        <w:t xml:space="preserve">成交</w:t>
      </w:r>
      <w:r/>
    </w:p>
    <w:p>
      <w:pPr>
        <w:ind w:firstLine="600"/>
        <w:keepLines/>
        <w:keepNext/>
        <w:spacing w:line="520" w:lineRule="exact"/>
        <w:rPr>
          <w:rFonts w:hint="eastAsia" w:ascii="宋体" w:hAnsi="宋体"/>
          <w:bCs/>
          <w:color w:val="auto"/>
          <w:sz w:val="30"/>
          <w:szCs w:val="30"/>
          <w:highlight w:val="none"/>
        </w:rPr>
        <w:outlineLvl w:val="3"/>
      </w:pPr>
      <w:r/>
      <w:bookmarkStart w:id="152" w:name="_Toc513029238"/>
      <w:r/>
      <w:bookmarkStart w:id="153" w:name="_Toc16938554"/>
      <w:r/>
      <w:bookmarkStart w:id="154" w:name="_Toc20823310"/>
      <w:r>
        <w:rPr>
          <w:rFonts w:hint="eastAsia" w:ascii="宋体" w:hAnsi="宋体"/>
          <w:bCs/>
          <w:color w:val="auto"/>
          <w:sz w:val="30"/>
          <w:szCs w:val="30"/>
          <w:highlight w:val="none"/>
        </w:rPr>
        <w:t xml:space="preserve">2</w:t>
      </w:r>
      <w:r>
        <w:rPr>
          <w:rFonts w:ascii="宋体" w:hAnsi="宋体"/>
          <w:bCs/>
          <w:color w:val="auto"/>
          <w:sz w:val="30"/>
          <w:szCs w:val="30"/>
          <w:highlight w:val="none"/>
        </w:rPr>
        <w:t xml:space="preserve">8</w:t>
      </w:r>
      <w:bookmarkEnd w:id="152"/>
      <w:r>
        <w:rPr>
          <w:rFonts w:hint="eastAsia" w:ascii="宋体" w:hAnsi="宋体"/>
          <w:bCs/>
          <w:color w:val="auto"/>
          <w:sz w:val="30"/>
          <w:szCs w:val="30"/>
          <w:highlight w:val="none"/>
        </w:rPr>
        <w:t xml:space="preserve">.确定</w:t>
      </w:r>
      <w:bookmarkEnd w:id="153"/>
      <w:r/>
      <w:bookmarkEnd w:id="154"/>
      <w:r>
        <w:rPr>
          <w:rFonts w:hint="eastAsia" w:ascii="宋体" w:hAnsi="宋体"/>
          <w:bCs/>
          <w:color w:val="auto"/>
          <w:sz w:val="30"/>
          <w:szCs w:val="30"/>
          <w:highlight w:val="none"/>
        </w:rPr>
        <w:t xml:space="preserve">成交单位</w:t>
      </w:r>
      <w:r/>
    </w:p>
    <w:p>
      <w:pPr>
        <w:ind w:firstLine="478"/>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hint="eastAsia" w:ascii="宋体" w:hAnsi="宋体"/>
          <w:bCs/>
          <w:color w:val="auto"/>
          <w:sz w:val="30"/>
          <w:szCs w:val="30"/>
          <w:highlight w:val="none"/>
        </w:rPr>
        <w:outlineLvl w:val="3"/>
      </w:pPr>
      <w:r/>
      <w:bookmarkStart w:id="155" w:name="_Toc200451960"/>
      <w:r>
        <w:rPr>
          <w:rFonts w:ascii="宋体" w:hAnsi="宋体"/>
          <w:bCs/>
          <w:color w:val="auto"/>
          <w:sz w:val="30"/>
          <w:szCs w:val="30"/>
          <w:highlight w:val="none"/>
        </w:rPr>
        <w:t xml:space="preserve">29</w:t>
      </w:r>
      <w:r>
        <w:rPr>
          <w:rFonts w:hint="eastAsia" w:ascii="宋体" w:hAnsi="宋体"/>
          <w:bCs/>
          <w:color w:val="auto"/>
          <w:sz w:val="30"/>
          <w:szCs w:val="30"/>
          <w:highlight w:val="none"/>
        </w:rPr>
        <w:t xml:space="preserve">.质疑处理</w:t>
      </w:r>
      <w:bookmarkEnd w:id="155"/>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.5.2超出政府采购法定期限的质疑。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.5.4未参加磋商活动的供应商或在磋商活动中自身权益未受到损害的供应商所提出的质疑。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0</w:t>
      </w:r>
      <w:r>
        <w:rPr>
          <w:rFonts w:hint="eastAsia" w:ascii="宋体" w:hAnsi="宋体"/>
          <w:bCs/>
          <w:color w:val="auto"/>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color w:val="auto"/>
          <w:sz w:val="32"/>
          <w:szCs w:val="32"/>
          <w:highlight w:val="none"/>
        </w:rPr>
        <w:outlineLvl w:val="2"/>
      </w:pPr>
      <w:r/>
      <w:bookmarkStart w:id="156" w:name="_Toc16938552"/>
      <w:r/>
      <w:bookmarkStart w:id="157" w:name="_Toc120614220"/>
      <w:r/>
      <w:bookmarkStart w:id="158" w:name="_Toc513029236"/>
      <w:r/>
      <w:bookmarkStart w:id="159" w:name="_Toc20823308"/>
      <w:r>
        <w:rPr>
          <w:rFonts w:hint="eastAsia" w:ascii="宋体" w:hAnsi="宋体"/>
          <w:b/>
          <w:bCs/>
          <w:color w:val="auto"/>
          <w:sz w:val="32"/>
          <w:szCs w:val="32"/>
          <w:highlight w:val="none"/>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color w:val="auto"/>
          <w:sz w:val="30"/>
          <w:szCs w:val="30"/>
          <w:highlight w:val="none"/>
        </w:rPr>
        <w:outlineLvl w:val="3"/>
      </w:pPr>
      <w:r/>
      <w:bookmarkStart w:id="160" w:name="_Toc16938553"/>
      <w:r/>
      <w:bookmarkStart w:id="161" w:name="_Toc513029237"/>
      <w:r/>
      <w:bookmarkStart w:id="162" w:name="_Toc20823309"/>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1</w:t>
      </w:r>
      <w:r>
        <w:rPr>
          <w:rFonts w:hint="eastAsia" w:ascii="宋体" w:hAnsi="宋体"/>
          <w:bCs/>
          <w:color w:val="auto"/>
          <w:sz w:val="30"/>
          <w:szCs w:val="30"/>
          <w:highlight w:val="none"/>
        </w:rPr>
        <w:t xml:space="preserve">.签订合同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2</w:t>
      </w:r>
      <w:r>
        <w:rPr>
          <w:rFonts w:hint="eastAsia" w:ascii="宋体" w:hAnsi="宋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color w:val="auto"/>
          <w:sz w:val="30"/>
          <w:szCs w:val="30"/>
          <w:highlight w:val="none"/>
        </w:rPr>
        <w:outlineLvl w:val="3"/>
      </w:pPr>
      <w:r/>
      <w:bookmarkStart w:id="163" w:name="_Toc513029242"/>
      <w:r/>
      <w:bookmarkStart w:id="164" w:name="_Toc16938558"/>
      <w:r/>
      <w:bookmarkStart w:id="165" w:name="_Toc120614221"/>
      <w:r/>
      <w:bookmarkStart w:id="166" w:name="_Toc20823314"/>
      <w:r/>
      <w:bookmarkStart w:id="167" w:name="_Toc479757207"/>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3</w:t>
      </w:r>
      <w:r>
        <w:rPr>
          <w:rFonts w:hint="eastAsia" w:ascii="宋体" w:hAnsi="宋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20823346"/>
      <w:r/>
      <w:bookmarkStart w:id="170" w:name="_Toc16938590"/>
      <w:r/>
      <w:bookmarkStart w:id="171" w:name="_Toc120614244"/>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560" w:lineRule="exact"/>
        <w:rPr>
          <w:rFonts w:hint="eastAsia" w:ascii="宋体" w:hAnsi="宋体" w:cs="Courier New"/>
          <w:bCs/>
          <w:color w:val="auto"/>
          <w:sz w:val="44"/>
          <w:szCs w:val="21"/>
          <w:highlight w:val="none"/>
        </w:rPr>
      </w:pPr>
      <w:r>
        <w:rPr>
          <w:rFonts w:hint="eastAsia" w:ascii="宋体" w:hAnsi="宋体" w:cs="Courier New"/>
          <w:bCs/>
          <w:color w:val="auto"/>
          <w:sz w:val="44"/>
          <w:szCs w:val="21"/>
          <w:highlight w:val="none"/>
        </w:rPr>
        <w:br w:type="page" w:clear="all"/>
      </w:r>
      <w:r>
        <w:rPr>
          <w:rFonts w:hint="eastAsia" w:ascii="宋体" w:hAnsi="宋体" w:cs="Courier New"/>
          <w:bCs/>
          <w:color w:val="auto"/>
          <w:sz w:val="44"/>
          <w:szCs w:val="21"/>
          <w:highlight w:val="none"/>
        </w:rPr>
        <w:t xml:space="preserve">第</w:t>
      </w:r>
      <w:bookmarkEnd w:id="168"/>
      <w:r>
        <w:rPr>
          <w:rFonts w:hint="eastAsia" w:ascii="宋体" w:hAnsi="宋体" w:cs="Courier New"/>
          <w:bCs/>
          <w:color w:val="auto"/>
          <w:sz w:val="44"/>
          <w:szCs w:val="21"/>
          <w:highlight w:val="none"/>
        </w:rPr>
        <w:t xml:space="preserve">三章 采购需求</w:t>
      </w:r>
      <w:bookmarkEnd w:id="169"/>
      <w:r/>
      <w:bookmarkEnd w:id="170"/>
      <w:r/>
      <w:bookmarkEnd w:id="171"/>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项目属性：货物类项目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仿宋" w:hAnsi="仿宋" w:eastAsia="仿宋" w:cs="仿宋_GB2312"/>
          <w:b/>
          <w:color w:val="auto"/>
          <w:sz w:val="28"/>
          <w:szCs w:val="28"/>
          <w:highlight w:val="none"/>
          <w:lang w:val="en-US" w:eastAsia="zh-CN"/>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numPr>
          <w:ilvl w:val="0"/>
          <w:numId w:val="2"/>
        </w:numPr>
        <w:ind w:firstLine="480"/>
        <w:spacing w:line="560" w:lineRule="exact"/>
        <w:rPr>
          <w:rFonts w:hint="eastAsia"/>
          <w:color w:val="auto"/>
          <w:highlight w:val="none"/>
        </w:rPr>
      </w:pPr>
      <w:r>
        <w:rPr>
          <w:rFonts w:hint="eastAsia" w:ascii="Times New Roman" w:hAnsi="Times New Roman"/>
          <w:color w:val="auto"/>
          <w:sz w:val="24"/>
          <w:szCs w:val="24"/>
          <w:highlight w:val="none"/>
        </w:rPr>
        <w:t xml:space="preserve">采购标的需实现的功能或者目标，以及为落实政府采购政策需满足的要求：</w:t>
      </w:r>
      <w:r/>
    </w:p>
    <w:p>
      <w:pPr>
        <w:numPr>
          <w:ilvl w:val="0"/>
          <w:numId w:val="0"/>
        </w:numPr>
        <w:ind w:firstLine="480"/>
        <w:spacing w:line="560" w:lineRule="exact"/>
        <w:rPr>
          <w:rFonts w:hint="eastAsia"/>
          <w:color w:val="auto"/>
          <w:highlight w:val="none"/>
        </w:rPr>
      </w:pPr>
      <w:r>
        <w:rPr>
          <w:rFonts w:hint="eastAsia"/>
          <w:color w:val="auto"/>
          <w:sz w:val="24"/>
          <w:szCs w:val="24"/>
          <w:highlight w:val="none"/>
          <w:lang w:val="en-US" w:eastAsia="zh-CN"/>
        </w:rPr>
        <w:t xml:space="preserve">为进一步健全我市全民健身公共服务体系，补齐城乡基层健身设施短板，满足群众日常健身需求，提升市民身体健康水平，需采购全民健身场地设施。</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二、采购标的需执行的国家相关标准、行业标准、地方标准或者其他标准、规范：</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参考国家标准、行业标准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环保标准</w:t>
      </w:r>
      <w:r>
        <w:rPr>
          <w:rFonts w:hint="eastAsia" w:ascii="宋体" w:hAnsi="宋体" w:eastAsia="宋体" w:cs="宋体"/>
          <w:color w:val="auto"/>
          <w:sz w:val="24"/>
          <w:szCs w:val="24"/>
          <w:highlight w:val="none"/>
        </w:rPr>
        <w:t xml:space="preserve">，随着标准的修订，根据修订后的最新标准作为依据。除上述规范标准以外，还须遵循国家、行业及地方现行的相关规范和标准要求。</w:t>
      </w:r>
      <w:r/>
    </w:p>
    <w:p>
      <w:pPr>
        <w:numPr>
          <w:ilvl w:val="0"/>
          <w:numId w:val="3"/>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采购标的需满足的质量、安全、技术规格、物理特性等要求：</w:t>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1.采购标的清单</w:t>
      </w:r>
      <w:r>
        <w:rPr>
          <w:rFonts w:hint="eastAsia" w:ascii="宋体" w:hAnsi="宋体" w:cs="宋体"/>
          <w:b w:val="0"/>
          <w:bCs w:val="0"/>
          <w:color w:val="auto"/>
          <w:sz w:val="24"/>
          <w:szCs w:val="24"/>
          <w:highlight w:val="none"/>
          <w:lang w:val="en-US" w:eastAsia="zh-CN"/>
        </w:rPr>
        <w:t xml:space="preserve">（包一）</w:t>
      </w:r>
      <w:r/>
    </w:p>
    <w:tbl>
      <w:tblPr>
        <w:tblStyle w:val="653"/>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053"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50"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580"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437"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双人漫步机</w:t>
            </w:r>
            <w:r/>
          </w:p>
        </w:tc>
        <w:tc>
          <w:tcPr>
            <w:tcW w:w="1350"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437"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三人扭腰器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云梯</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腰背按摩器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双人蹬力器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6</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肋木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7</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告示牌</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8</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上肢牵引器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9</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腿部按摩器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太极揉推器</w:t>
            </w:r>
            <w:r/>
          </w:p>
        </w:tc>
        <w:tc>
          <w:tcPr>
            <w:tcW w:w="2373" w:type="dxa"/>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bl>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auto"/>
          <w:sz w:val="24"/>
          <w:szCs w:val="24"/>
          <w:highlight w:val="none"/>
          <w:lang w:val="en-US" w:eastAsia="zh-CN"/>
        </w:rPr>
      </w:r>
      <w:r/>
    </w:p>
    <w:p>
      <w:pPr>
        <w:numPr>
          <w:ilvl w:val="0"/>
          <w:numId w:val="0"/>
        </w:numPr>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包一</w:t>
      </w:r>
      <w:r>
        <w:rPr>
          <w:rFonts w:hint="eastAsia" w:ascii="宋体" w:hAnsi="宋体" w:cs="宋体"/>
          <w:color w:val="auto"/>
          <w:sz w:val="24"/>
          <w:szCs w:val="24"/>
          <w:highlight w:val="none"/>
          <w:lang w:val="en-US" w:eastAsia="zh-CN"/>
        </w:rPr>
        <w:t xml:space="preserve">参数要求：</w:t>
      </w:r>
      <w:r/>
    </w:p>
    <w:tbl>
      <w:tblPr>
        <w:tblStyle w:val="676"/>
        <w:tblW w:w="15383" w:type="dxa"/>
        <w:tblInd w:w="-7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833"/>
        <w:gridCol w:w="12277"/>
        <w:gridCol w:w="750"/>
        <w:gridCol w:w="773"/>
      </w:tblGrid>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序号</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名称</w:t>
            </w:r>
            <w:r/>
          </w:p>
        </w:tc>
        <w:tc>
          <w:tcPr>
            <w:tcW w:w="12277"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技术参数</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单位</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数量</w:t>
            </w:r>
            <w:r/>
          </w:p>
        </w:tc>
      </w:tr>
      <w:tr>
        <w:trPr>
          <w:trHeight w:val="90"/>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 xml:space="preserve">双人漫步机</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核心产品</w:t>
            </w:r>
            <w:r>
              <w:rPr>
                <w:rFonts w:hint="eastAsia" w:ascii="宋体" w:hAnsi="宋体" w:cs="宋体"/>
                <w:b w:val="0"/>
                <w:bCs w:val="0"/>
                <w:color w:val="auto"/>
                <w:sz w:val="24"/>
                <w:szCs w:val="24"/>
                <w:highlight w:val="none"/>
                <w:lang w:eastAsia="zh-CN"/>
              </w:rPr>
              <w:t xml:space="preserve">）</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主要承载立柱采用≥Φ114mm×3.0mm标准管材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满足GB19272—2024标准中相关静载荷、稳定性要求；转动部位采用国家标准轴承，并采用有效的防水、防尘措施；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主要承载横梁尺寸：≥80mm×40mm×3mm；</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器材部件间不存在刚性碰撞；踏板的主运动方向和易滑脱方向防滑脱的凸台的高度为30mm，长度大于踏板周长的2/3，摆动幅度有加以约束，且单侧摆动幅度不大于70º；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主要功能：增强下肢的活动能力，提高身体协调性；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▲符合GB19272-2024《室外健身器材的安全通用要求》，并提供有效期内带有CMA或CNAS标识的检测报告（检测内容需涵盖上述第1、2项技术参数）并加盖投标人公章。</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▲通过经国家认监委批准的体育器材质量认证机构的产品质量认证，提供有效期内的认证证书及确认函并加盖投标人公章。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2</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三人扭腰器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主要材料：钢管主要承载立柱尺寸≥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114mm×3.0mm；主要承载横梁尺寸≥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32mm×3.0mm；扭腰盘采用钢板冲压成型，符合人体运动学规律；转动部位采用国家标准轴承；脚踏部位采用防滑结构设计，摩擦系数大于0.5；</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转动部件内设限位装置，防止转动角度过大对使用者或第三者造成伤害，使用6205深沟球轴承，设置防水结构</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主要功能：主要锻炼腰、髋部、增强腰部的灵活性和柔韧性。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3</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云梯</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主要承载立柱采用≥Φ114mm×3.0mm；；横梁采用≥Φ32mm×3.0mm的标准管材，满足GB19272—2024标准中相关静载荷、稳定性要求；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立柱上部无钩挂结构；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w:t>
            </w:r>
            <w:r>
              <w:rPr>
                <w:rFonts w:hint="eastAsia" w:ascii="宋体" w:hAnsi="宋体" w:eastAsia="宋体" w:cs="宋体"/>
                <w:color w:val="auto"/>
                <w:sz w:val="24"/>
                <w:szCs w:val="24"/>
                <w:highlight w:val="none"/>
                <w:lang w:eastAsia="zh-CN"/>
              </w:rPr>
              <w:t xml:space="preserve">锻炼</w:t>
            </w:r>
            <w:r>
              <w:rPr>
                <w:rFonts w:hint="eastAsia" w:ascii="宋体" w:hAnsi="宋体" w:eastAsia="宋体" w:cs="宋体"/>
                <w:color w:val="auto"/>
                <w:sz w:val="24"/>
                <w:szCs w:val="24"/>
                <w:highlight w:val="none"/>
              </w:rPr>
              <w:t xml:space="preserve">上肢及胸部的力量，提高肩部和后背的灵活性；</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4</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腰背按摩器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1.主要承载立柱采用≥Φ114mm×3.0mm；横梁采用≥Φ114mm×3.0mm</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60mm×40mm×3.0mm的标准管材，满足GB19272—2024标准中相关静载荷、稳定性要求；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主要功能：两人可同时使用，主要锻炼腰、背部肌肉，缓解腰、背部疲劳；</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5</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双人蹬力器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采用内限位结构。脚踏部位有防滑措施；摩擦系数应不小于0.5；不允许存在剪切点、挤压点、引入点，不允许存在刚性碰撞；</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易接触的其他零部件的棱边予以圆弧过渡；</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主要功能：增强下肢及腰部肌肉力量,强化腿、腰部肌肉；</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6</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肋木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；横梁采用</w:t>
            </w:r>
            <w:r>
              <w:rPr>
                <w:rFonts w:hint="eastAsia" w:ascii="宋体" w:hAnsi="宋体" w:eastAsia="宋体" w:cs="宋体"/>
                <w:color w:val="auto"/>
                <w:sz w:val="24"/>
                <w:szCs w:val="24"/>
                <w:highlight w:val="none"/>
                <w:lang w:val="en-US" w:eastAsia="zh-CN"/>
              </w:rPr>
              <w:t xml:space="preserve">≥Φ32mm×3.0mm</w:t>
            </w:r>
            <w:r>
              <w:rPr>
                <w:rFonts w:hint="eastAsia" w:ascii="宋体" w:hAnsi="宋体" w:eastAsia="宋体" w:cs="宋体"/>
                <w:color w:val="auto"/>
                <w:sz w:val="24"/>
                <w:szCs w:val="24"/>
                <w:highlight w:val="none"/>
              </w:rPr>
              <w:t xml:space="preserve">标准管材，立柱上部无钩挂结构； 无头部卡夹危险；满足GB19272-2024标准中相关静载荷、稳定性要求。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最低横杆下缘距地面</w:t>
            </w:r>
            <w:r>
              <w:rPr>
                <w:rFonts w:hint="default" w:ascii="宋体" w:hAnsi="宋体" w:eastAsia="宋体" w:cs="宋体"/>
                <w:color w:val="auto"/>
                <w:sz w:val="24"/>
                <w:szCs w:val="24"/>
                <w:highlight w:val="none"/>
                <w:lang w:val="en-US" w:eastAsia="zh-CN"/>
              </w:rPr>
              <w:t xml:space="preserve">≥420mm</w:t>
            </w:r>
            <w:r>
              <w:rPr>
                <w:rFonts w:hint="eastAsia" w:ascii="宋体" w:hAnsi="宋体" w:eastAsia="宋体" w:cs="宋体"/>
                <w:color w:val="auto"/>
                <w:sz w:val="24"/>
                <w:szCs w:val="24"/>
                <w:highlight w:val="none"/>
              </w:rPr>
              <w:t xml:space="preserve">，无身体卡夹危险；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器材安全警示采用图示方式提示使用者可能存在风险；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7</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告示牌</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采用横式不锈钢牌面，牌面内容采用双面蚀字工艺制作；牌面采用内嵌式安装，利用防盗螺丝+防盗帽盖固定，美观又防盗；牌面框三面满缝焊接，美观又防雨水；人体易接触区域没有钩挂、缠绕结构；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w:t>
            </w:r>
            <w:r>
              <w:rPr>
                <w:rFonts w:hint="eastAsia" w:ascii="宋体" w:hAnsi="宋体" w:eastAsia="宋体" w:cs="宋体"/>
                <w:color w:val="auto"/>
                <w:sz w:val="24"/>
                <w:szCs w:val="24"/>
                <w:highlight w:val="none"/>
                <w:lang w:val="en-US" w:eastAsia="zh-CN"/>
              </w:rPr>
              <w:t xml:space="preserve">的不锈钢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8</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上肢牵引器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≥Φ114mm×3mm</w:t>
            </w:r>
            <w:r>
              <w:rPr>
                <w:rFonts w:hint="eastAsia" w:ascii="宋体" w:hAnsi="宋体" w:eastAsia="宋体" w:cs="宋体"/>
                <w:color w:val="auto"/>
                <w:sz w:val="24"/>
                <w:szCs w:val="24"/>
                <w:highlight w:val="none"/>
              </w:rPr>
              <w:t xml:space="preserve">；横梁采用</w:t>
            </w:r>
            <w:r>
              <w:rPr>
                <w:rFonts w:hint="eastAsia" w:ascii="宋体" w:hAnsi="宋体" w:eastAsia="宋体" w:cs="宋体"/>
                <w:color w:val="auto"/>
                <w:sz w:val="24"/>
                <w:szCs w:val="24"/>
                <w:highlight w:val="none"/>
                <w:lang w:val="en-US" w:eastAsia="zh-CN"/>
              </w:rPr>
              <w:t xml:space="preserve">≥Φ89mm×3mm</w:t>
            </w:r>
            <w:r>
              <w:rPr>
                <w:rFonts w:hint="eastAsia" w:ascii="宋体" w:hAnsi="宋体" w:eastAsia="宋体" w:cs="宋体"/>
                <w:color w:val="auto"/>
                <w:sz w:val="24"/>
                <w:szCs w:val="24"/>
                <w:highlight w:val="none"/>
              </w:rPr>
              <w:t xml:space="preserve">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把手端部直径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mm，无穿刺危险；轴承座设有限位装置且无刚性碰撞；立柱采用钢制封头，可防止雨水流入；</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主要功能：增强肩关节柔韧力量；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9</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腿部按摩器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3.0mm；横梁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60mm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安装采用直埋方式。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主要功能：锻炼腿部肌肉群，消除下肢肌肉疲劳，促进血液循环，缓解肌肉酸胀。</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10</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太极揉推器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主要承载主立柱采用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3.0mm；横梁采用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48mm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主要功能：增强肩肘髋膝等部位的活动能力，</w:t>
            </w:r>
            <w:r>
              <w:rPr>
                <w:rFonts w:hint="eastAsia" w:ascii="宋体" w:hAnsi="宋体" w:cs="宋体"/>
                <w:color w:val="auto"/>
                <w:sz w:val="24"/>
                <w:szCs w:val="24"/>
                <w:highlight w:val="none"/>
                <w:lang w:eastAsia="zh-CN"/>
              </w:rPr>
              <w:t xml:space="preserve">适用</w:t>
            </w:r>
            <w:r>
              <w:rPr>
                <w:rFonts w:hint="eastAsia" w:ascii="宋体" w:hAnsi="宋体" w:eastAsia="宋体" w:cs="宋体"/>
                <w:color w:val="auto"/>
                <w:sz w:val="24"/>
                <w:szCs w:val="24"/>
                <w:highlight w:val="none"/>
              </w:rPr>
              <w:t xml:space="preserve">于老年人；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产品具有可识别的不锈钢《江苏体育全民健身设施管理平台》二维码及小程序码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rHeight w:val="7091"/>
        </w:trPr>
        <w:tc>
          <w:tcPr>
            <w:gridSpan w:val="5"/>
            <w:tcW w:w="15383"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通用要求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表面易接触材料有害物质限量应符合GB19272-20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器材各部位螺钉、螺母等紧固件应紧固可靠且防锈、防松和防盗；螺纹</w:t>
            </w:r>
            <w:r>
              <w:rPr>
                <w:rFonts w:hint="eastAsia" w:ascii="宋体" w:hAnsi="宋体" w:cs="宋体"/>
                <w:color w:val="auto"/>
                <w:sz w:val="24"/>
                <w:szCs w:val="24"/>
                <w:highlight w:val="none"/>
                <w:lang w:eastAsia="zh-CN"/>
              </w:rPr>
              <w:t xml:space="preserve">凸出</w:t>
            </w:r>
            <w:r>
              <w:rPr>
                <w:rFonts w:hint="eastAsia" w:ascii="宋体" w:hAnsi="宋体" w:eastAsia="宋体" w:cs="宋体"/>
                <w:color w:val="auto"/>
                <w:sz w:val="24"/>
                <w:szCs w:val="24"/>
                <w:highlight w:val="none"/>
              </w:rPr>
              <w:t xml:space="preserve">部分不应超过其螺距3倍的长度; 易接触区域的螺栓、螺钉应永久的覆盖住突出的螺栓螺纹或采用覆盖件在其安装面以上直角部分的高度不应超过3mm或采用突出部分外角应不小于105°或不应有易钩挂形状。</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器材各支撑人体的表面所有棱边和尖角，应使其半径不小于3.0mm；使用者或第三者易接触的零部件的其他所有棱边应予以圆滑过渡或加以防护。</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易接触的管材末端应采用零部件或管塞封住，且把手端部直径应不小于50mm，除使用工具外，应不可拆卸。</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扶手直径应不小于16mm且不大于45mm</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器材机械部分的安全使用寿命及疲劳性能应符合GB19272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的规定。带有轴承的器材，轴承应采取防水、防尘措施</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器材机械部分的稳定应符合GB19272-20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器材安全使用寿命不低于8年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可尝试攀爬、踩踏高度大于600mm时，碰撞区域应安装有着陆缓冲层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及寿命周期内对易损件及时更换的承诺等内容</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器材安全警示应采用图示方式提示使用者可能存在风险</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器材应有专用二维码标识，用于提报安装信息。</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标供应商禁止对本项目进行分包、转包。</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器材安装应符合</w:t>
            </w:r>
            <w:r>
              <w:rPr>
                <w:rFonts w:hint="eastAsia" w:ascii="宋体" w:hAnsi="宋体" w:eastAsia="宋体" w:cs="宋体"/>
                <w:color w:val="auto"/>
                <w:sz w:val="24"/>
                <w:szCs w:val="24"/>
                <w:highlight w:val="none"/>
              </w:rPr>
              <w:t xml:space="preserve">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rPr>
                <w:rFonts w:hint="eastAsia" w:ascii="宋体" w:hAnsi="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其它应符合GB19272-2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具有可识别的《江苏体育全民健身设施管理平台》</w:t>
            </w:r>
            <w:r>
              <w:rPr>
                <w:rFonts w:hint="eastAsia" w:ascii="宋体" w:hAnsi="宋体" w:eastAsia="宋体" w:cs="宋体"/>
                <w:color w:val="auto"/>
                <w:sz w:val="24"/>
                <w:szCs w:val="24"/>
                <w:highlight w:val="none"/>
                <w:lang w:val="en-US" w:eastAsia="zh-CN"/>
              </w:rPr>
              <w:t xml:space="preserve">不锈钢材质</w:t>
            </w:r>
            <w:r>
              <w:rPr>
                <w:rFonts w:hint="eastAsia" w:ascii="宋体" w:hAnsi="宋体" w:eastAsia="宋体" w:cs="宋体"/>
                <w:color w:val="auto"/>
                <w:sz w:val="24"/>
                <w:szCs w:val="24"/>
                <w:highlight w:val="none"/>
              </w:rPr>
              <w:t xml:space="preserve">二维码及小程序码</w:t>
            </w:r>
            <w:r>
              <w:rPr>
                <w:rFonts w:hint="eastAsia" w:ascii="宋体" w:hAnsi="宋体" w:eastAsia="宋体" w:cs="宋体"/>
                <w:color w:val="auto"/>
                <w:sz w:val="24"/>
                <w:szCs w:val="24"/>
                <w:highlight w:val="none"/>
                <w:lang w:eastAsia="zh-CN"/>
              </w:rPr>
              <w:t xml:space="preserve">。</w:t>
            </w:r>
            <w:r/>
          </w:p>
        </w:tc>
      </w:tr>
    </w:tbl>
    <w:p>
      <w:pPr>
        <w:spacing w:line="560" w:lineRule="exact"/>
        <w:rPr>
          <w:rFonts w:hint="eastAsia" w:ascii="Times New Roman" w:hAnsi="Times New Roman"/>
          <w:color w:val="auto"/>
          <w:sz w:val="24"/>
          <w:szCs w:val="24"/>
          <w:highlight w:val="none"/>
        </w:rPr>
        <w:sectPr>
          <w:footnotePr/>
          <w:endnotePr/>
          <w:type w:val="nextPage"/>
          <w:pgSz w:w="16838" w:h="11906" w:orient="landscape"/>
          <w:pgMar w:top="1365" w:right="1418" w:bottom="1588" w:left="1418" w:header="851" w:footer="907" w:gutter="0"/>
          <w:pgNumType w:start="0"/>
          <w:cols w:num="1" w:sep="0" w:space="1701" w:equalWidth="1"/>
          <w:docGrid w:linePitch="360"/>
          <w:titlePg/>
        </w:sectPr>
      </w:pPr>
      <w:r>
        <w:rPr>
          <w:rFonts w:hint="eastAsia" w:ascii="Times New Roman" w:hAnsi="Times New Roman"/>
          <w:color w:val="auto"/>
          <w:sz w:val="24"/>
          <w:szCs w:val="24"/>
          <w:highlight w:val="none"/>
        </w:rPr>
      </w:r>
      <w:r/>
    </w:p>
    <w:p>
      <w:pPr>
        <w:pStyle w:val="656"/>
        <w:ind w:firstLine="482"/>
        <w:keepLines w:val="0"/>
        <w:keepNext w:val="0"/>
        <w:pageBreakBefore w:val="0"/>
        <w:spacing w:line="560" w:lineRule="exact"/>
        <w:rPr>
          <w:rFonts w:hint="eastAsia" w:ascii="宋体" w:hAnsi="宋体" w:eastAsia="宋体" w:cs="宋体"/>
          <w:b/>
          <w:bCs w:val="0"/>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踏勘现场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采购人不组织供应商踏勘现场，供应商可自行对施工现场和周围环境进行勘察，以获取编制响应文件和签署合同所需的所有资料。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供应商踏勘现场发生的费用自理。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供应商自行负责在踏勘现场中所发生的人员伤亡和财产损失。 </w:t>
      </w:r>
      <w:r/>
    </w:p>
    <w:p>
      <w:pPr>
        <w:ind w:firstLine="480"/>
        <w:keepLines w:val="0"/>
        <w:keepNext w:val="0"/>
        <w:pageBreakBefore w:val="0"/>
        <w:spacing w:line="560" w:lineRule="exact"/>
        <w:rPr>
          <w:rFonts w:hint="default"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.4勘探现场联系</w:t>
      </w:r>
      <w:r>
        <w:rPr>
          <w:rFonts w:hint="eastAsia" w:ascii="宋体" w:hAnsi="宋体" w:cs="宋体"/>
          <w:bCs/>
          <w:color w:val="auto"/>
          <w:sz w:val="24"/>
          <w:szCs w:val="24"/>
          <w:highlight w:val="none"/>
          <w:lang w:val="en-US" w:eastAsia="zh-CN"/>
        </w:rPr>
        <w:t xml:space="preserve">电话：0513-88919916</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四、采购标的的数量、采购项目交付或者实施的时间和地点： </w:t>
      </w:r>
      <w:r/>
    </w:p>
    <w:p>
      <w:pPr>
        <w:ind w:firstLine="480"/>
        <w:spacing w:line="560" w:lineRule="exact"/>
        <w:rPr>
          <w:rFonts w:hint="eastAsia" w:ascii="宋体" w:hAnsi="宋体"/>
          <w:color w:val="auto"/>
          <w:sz w:val="24"/>
          <w:szCs w:val="24"/>
          <w:highlight w:val="none"/>
          <w:lang w:val="en-US" w:eastAsia="zh-CN"/>
        </w:rPr>
      </w:pPr>
      <w:r>
        <w:rPr>
          <w:rFonts w:hint="eastAsia" w:ascii="Times New Roman" w:hAnsi="Times New Roman"/>
          <w:color w:val="auto"/>
          <w:sz w:val="24"/>
          <w:szCs w:val="24"/>
          <w:highlight w:val="none"/>
        </w:rPr>
        <w:t xml:space="preserve">项目交付或者实施的时间：</w:t>
      </w:r>
      <w:r>
        <w:rPr>
          <w:rFonts w:hint="eastAsia" w:ascii="宋体" w:hAnsi="宋体"/>
          <w:color w:val="auto"/>
          <w:sz w:val="24"/>
          <w:szCs w:val="24"/>
          <w:highlight w:val="none"/>
          <w:lang w:val="en-US" w:eastAsia="zh-CN"/>
        </w:rPr>
        <w:t xml:space="preserve">包一</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因天气情况或不可抗拒等因素，可适当延长安装期间</w:t>
      </w:r>
      <w:r>
        <w:rPr>
          <w:rFonts w:hint="eastAsia" w:ascii="宋体" w:hAnsi="宋体"/>
          <w:color w:val="auto"/>
          <w:sz w:val="24"/>
          <w:szCs w:val="24"/>
          <w:highlight w:val="none"/>
          <w:lang w:eastAsia="zh-CN"/>
        </w:rPr>
        <w:t xml:space="preserve">。（供应商逾期交付货物的，应按逾期交货总额每日0.1%向采购人支付违约金，由采购人从待付货款中扣除。逾期超过约定日期</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个工作日不能交货的，采购人可解除本合同。供应商因逾期交货或因其他违约行为导致甲方解除合同的，供应商应向采购人支付合同总值5%的违约金，如造成采购人损失超过违约金的，超出部分由供应商继续承担赔偿责任。供应商所提交的货物品种、型号、规格、技术参数、质量不符合国家标准及采购文件规定标准的，采购人有权拒收该货物，供应商愿意更换货物但逾期交货的，按供应商逾期交货处理。供应商拒绝更换货物的，采购人可单方面解除合同。）</w:t>
      </w:r>
      <w:r>
        <w:rPr>
          <w:rFonts w:hint="eastAsia" w:ascii="宋体" w:hAnsi="宋体"/>
          <w:color w:val="auto"/>
          <w:sz w:val="24"/>
          <w:szCs w:val="24"/>
          <w:highlight w:val="none"/>
          <w:lang w:val="en-US" w:eastAsia="zh-CN"/>
        </w:rPr>
        <w:t xml:space="preserve">            </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项目交付地点：采购人指定地点，并负责安装、调试。货物装卸、运输涉及的保险，其费用包含在合同总价中。合同项目</w:t>
      </w:r>
      <w:r>
        <w:rPr>
          <w:rFonts w:hint="eastAsia"/>
          <w:color w:val="auto"/>
          <w:sz w:val="24"/>
          <w:szCs w:val="24"/>
          <w:highlight w:val="none"/>
          <w:lang w:eastAsia="zh-CN"/>
        </w:rPr>
        <w:t xml:space="preserve">涉及</w:t>
      </w:r>
      <w:r>
        <w:rPr>
          <w:rFonts w:hint="eastAsia" w:ascii="Times New Roman" w:hAnsi="Times New Roman"/>
          <w:color w:val="auto"/>
          <w:sz w:val="24"/>
          <w:szCs w:val="24"/>
          <w:highlight w:val="none"/>
        </w:rPr>
        <w:t xml:space="preserve">的需求产品交货时，外包装应完整无破损。</w:t>
      </w:r>
      <w:r>
        <w:rPr>
          <w:rFonts w:hint="eastAsia"/>
          <w:color w:val="auto"/>
          <w:sz w:val="24"/>
          <w:szCs w:val="24"/>
          <w:highlight w:val="none"/>
          <w:lang w:val="en-US" w:eastAsia="zh-CN"/>
        </w:rPr>
        <w:t xml:space="preserve">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五、采购标的需满足的服务标准、期限、效率等要求：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质保</w:t>
      </w:r>
      <w:r>
        <w:rPr>
          <w:rFonts w:hint="eastAsia" w:ascii="Times New Roman" w:hAnsi="Times New Roman"/>
          <w:color w:val="auto"/>
          <w:sz w:val="24"/>
          <w:szCs w:val="24"/>
          <w:highlight w:val="none"/>
        </w:rPr>
        <w:t xml:space="preserve">期限：本次采购项目建设整体和涉及的所有产品设备，其质保期限均至少为8年。免费质保期为8年，</w:t>
      </w:r>
      <w:r>
        <w:rPr>
          <w:rFonts w:hint="eastAsia"/>
          <w:color w:val="auto"/>
          <w:sz w:val="24"/>
          <w:szCs w:val="24"/>
          <w:highlight w:val="none"/>
          <w:lang w:val="en-US" w:eastAsia="zh-CN"/>
        </w:rPr>
        <w:t xml:space="preserve">其中</w:t>
      </w:r>
      <w:r>
        <w:rPr>
          <w:rFonts w:hint="eastAsia" w:ascii="Times New Roman" w:hAnsi="Times New Roman"/>
          <w:color w:val="auto"/>
          <w:sz w:val="24"/>
          <w:szCs w:val="24"/>
          <w:highlight w:val="none"/>
        </w:rPr>
        <w:t xml:space="preserve">光源</w:t>
      </w:r>
      <w:r>
        <w:rPr>
          <w:rFonts w:hint="eastAsia"/>
          <w:color w:val="auto"/>
          <w:sz w:val="24"/>
          <w:szCs w:val="24"/>
          <w:highlight w:val="none"/>
          <w:lang w:val="en-US" w:eastAsia="zh-CN"/>
        </w:rPr>
        <w:t xml:space="preserve">及灯具</w:t>
      </w:r>
      <w:r>
        <w:rPr>
          <w:rFonts w:hint="eastAsia" w:ascii="Times New Roman" w:hAnsi="Times New Roman"/>
          <w:color w:val="auto"/>
          <w:sz w:val="24"/>
          <w:szCs w:val="24"/>
          <w:highlight w:val="none"/>
        </w:rPr>
        <w:t xml:space="preserve">免费质保6年</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光源</w:t>
      </w:r>
      <w:r>
        <w:rPr>
          <w:rFonts w:hint="eastAsia"/>
          <w:color w:val="auto"/>
          <w:sz w:val="24"/>
          <w:szCs w:val="24"/>
          <w:highlight w:val="none"/>
          <w:lang w:val="en-US" w:eastAsia="zh-CN"/>
        </w:rPr>
        <w:t xml:space="preserve">及灯具</w:t>
      </w:r>
      <w:r>
        <w:rPr>
          <w:rFonts w:hint="eastAsia" w:ascii="Times New Roman" w:hAnsi="Times New Roman"/>
          <w:color w:val="auto"/>
          <w:sz w:val="24"/>
          <w:szCs w:val="24"/>
          <w:highlight w:val="none"/>
        </w:rPr>
        <w:t xml:space="preserve">免费质保</w:t>
      </w:r>
      <w:r>
        <w:rPr>
          <w:rFonts w:hint="eastAsia"/>
          <w:color w:val="auto"/>
          <w:sz w:val="24"/>
          <w:szCs w:val="24"/>
          <w:highlight w:val="none"/>
          <w:lang w:eastAsia="zh-CN"/>
        </w:rPr>
        <w:t xml:space="preserve">不适用包一）</w:t>
      </w:r>
      <w:r>
        <w:rPr>
          <w:rFonts w:hint="eastAsia" w:ascii="Times New Roman" w:hAnsi="Times New Roman"/>
          <w:color w:val="auto"/>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质量要求：</w:t>
      </w:r>
      <w:r>
        <w:rPr>
          <w:rFonts w:hint="eastAsia"/>
          <w:color w:val="auto"/>
          <w:sz w:val="24"/>
          <w:szCs w:val="24"/>
          <w:highlight w:val="none"/>
          <w:lang w:val="en-US" w:eastAsia="zh-CN"/>
        </w:rPr>
        <w:t xml:space="preserve">符合相关标准。在质保期内，成交人所供产品出现质量问题时，在接到采购人通知后须及时响应，免费修复或更换；如成交人在接到通知后24小时内没有答复或处理问题，则视为成交人承认质量问题并承担由此而发生的一切费用。因质保期间的一切质量问题，造成的货物更换或退货相关费用及产品本身质量原因造成的直接经济损失应全部由成交人负责；</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在质保期满后，产品出现问题时，成交人仍需做好售后服务，并在采购单位要求的时限内赶到现场，及时处理解决；</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合同履行期间涉及安全由成交供应商全部负责，涉及安全所产生的相关费用一律由成交供应商承担；</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响应供应商需提前自行踏勘现场，充分考虑场地及场地周边情况，施工时涉及到的部分绿化移栽，成交供应商需提前与采购方确认。施工过程中须做好成品保护和安全防护，如有破坏按原样修复到位，相关费用供应商在投标标价中综合考虑，结算时不调整。</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现场条件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现场拆迁及平整情况：以施工场地的现状为准。采购人提供的现状场地，成交供应商必须无条件接受。各供应商根据踏勘现场的情况自行制定相应措施，施工期间不得损坏周边绿化及现有相关设施。若有损坏，成交人必须无条件恢复原样，所发生的费用由各供应商自行考虑，并列入投标报价，项目结算时不作调整。若成交人拒绝恢复，采购人有权找相应施工单位恢复，产生的费用由采购人直接从合同价款中扣除。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施工用水、电：施工现场临时用水、用电，由成交供应商自行解决，相关费用列入报价，结算时不予调整。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场内外道路：以施工场地的现状为准。施工便道由供应商自行考虑，并列入投标报价，工程结算时不作调整。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其他：供应商应认真对现场环境进行踏勘，对施工现场情况和影响施工的因素以及困难条件进行周密的勘察和研究，</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自己的判断结论和估价。成交后和签订合同时及施工过程中，供应商均不得以不了解现场情况为由，提出任何形式增加</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造价的要求，施工时因场地问题（包括施工场地及临时施工场地）引起的成本费用增加，均由供应商自行承担，结算时不予调整。成交供应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供应商自行考虑，并列入投标报价，工程结算时不</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调整，并无条件接受建设单位、监理单位的协调、管理，做好与其他专业分包单位的配套、成品保护、防盗等工作。</w:t>
      </w:r>
      <w:r/>
    </w:p>
    <w:p>
      <w:pPr>
        <w:ind w:firstLine="480"/>
        <w:keepLines w:val="0"/>
        <w:keepNext w:val="0"/>
        <w:pageBreakBefore w:val="0"/>
        <w:spacing w:line="56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b w:val="0"/>
          <w:bCs/>
          <w:color w:val="auto"/>
          <w:sz w:val="24"/>
          <w:szCs w:val="24"/>
          <w:highlight w:val="none"/>
        </w:rPr>
        <w:t xml:space="preserve">供应商须对</w:t>
      </w:r>
      <w:r>
        <w:rPr>
          <w:rFonts w:hint="eastAsia" w:ascii="宋体" w:hAnsi="宋体" w:eastAsia="宋体" w:cs="宋体"/>
          <w:b w:val="0"/>
          <w:bCs/>
          <w:color w:val="auto"/>
          <w:sz w:val="24"/>
          <w:szCs w:val="24"/>
          <w:highlight w:val="none"/>
          <w:lang w:val="en-US" w:eastAsia="zh-CN"/>
        </w:rPr>
        <w:t xml:space="preserve">所有器材</w:t>
      </w:r>
      <w:r>
        <w:rPr>
          <w:rFonts w:hint="eastAsia" w:ascii="宋体" w:hAnsi="宋体" w:eastAsia="宋体" w:cs="宋体"/>
          <w:b w:val="0"/>
          <w:bCs/>
          <w:color w:val="auto"/>
          <w:sz w:val="24"/>
          <w:szCs w:val="24"/>
          <w:highlight w:val="none"/>
        </w:rPr>
        <w:t xml:space="preserve">进行编码，统一</w:t>
      </w:r>
      <w:r>
        <w:rPr>
          <w:rFonts w:hint="eastAsia" w:ascii="宋体" w:hAnsi="宋体" w:eastAsia="宋体" w:cs="宋体"/>
          <w:b w:val="0"/>
          <w:bCs/>
          <w:color w:val="auto"/>
          <w:sz w:val="24"/>
          <w:szCs w:val="24"/>
          <w:highlight w:val="none"/>
          <w:lang w:val="en-US" w:eastAsia="zh-CN"/>
        </w:rPr>
        <w:t xml:space="preserve">在器材上印制不锈钢铭牌标识</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将站点和器材详细信息按要求</w:t>
      </w:r>
      <w:r>
        <w:rPr>
          <w:rFonts w:hint="eastAsia" w:ascii="宋体" w:hAnsi="宋体" w:eastAsia="宋体" w:cs="宋体"/>
          <w:color w:val="auto"/>
          <w:spacing w:val="-2"/>
          <w:sz w:val="24"/>
          <w:szCs w:val="24"/>
          <w:highlight w:val="none"/>
        </w:rPr>
        <w:t xml:space="preserve">录入</w:t>
      </w:r>
      <w:r>
        <w:rPr>
          <w:rFonts w:hint="eastAsia" w:ascii="宋体" w:hAnsi="宋体" w:cs="宋体"/>
          <w:color w:val="auto"/>
          <w:spacing w:val="-2"/>
          <w:sz w:val="24"/>
          <w:szCs w:val="24"/>
          <w:highlight w:val="none"/>
          <w:lang w:val="en-US" w:eastAsia="zh-CN"/>
        </w:rPr>
        <w:t xml:space="preserve">江苏</w:t>
      </w:r>
      <w:r>
        <w:rPr>
          <w:rFonts w:hint="eastAsia" w:ascii="宋体" w:hAnsi="宋体" w:eastAsia="宋体" w:cs="宋体"/>
          <w:color w:val="auto"/>
          <w:spacing w:val="-2"/>
          <w:sz w:val="24"/>
          <w:szCs w:val="24"/>
          <w:highlight w:val="none"/>
        </w:rPr>
        <w:t xml:space="preserve">省全民健身设施管理维护信息平台，并激活编码。</w:t>
      </w:r>
      <w:r>
        <w:rPr>
          <w:rFonts w:hint="eastAsia" w:ascii="宋体" w:hAnsi="宋体" w:cs="宋体"/>
          <w:color w:val="auto"/>
          <w:spacing w:val="-2"/>
          <w:sz w:val="24"/>
          <w:szCs w:val="24"/>
          <w:highlight w:val="none"/>
          <w:lang w:val="en-US" w:eastAsia="zh-CN"/>
        </w:rPr>
        <w:t xml:space="preserve">所有器材显著位置需</w:t>
      </w:r>
      <w:r>
        <w:rPr>
          <w:rFonts w:hint="eastAsia" w:ascii="宋体" w:hAnsi="宋体" w:eastAsia="宋体" w:cs="宋体"/>
          <w:color w:val="auto"/>
          <w:spacing w:val="-2"/>
          <w:sz w:val="24"/>
          <w:szCs w:val="24"/>
          <w:highlight w:val="none"/>
        </w:rPr>
        <w:t xml:space="preserve">标明“中国体育彩票”标志</w:t>
      </w:r>
      <w:r>
        <w:rPr>
          <w:rFonts w:hint="eastAsia" w:ascii="宋体" w:hAnsi="宋体" w:cs="宋体"/>
          <w:color w:val="auto"/>
          <w:spacing w:val="-2"/>
          <w:sz w:val="24"/>
          <w:szCs w:val="24"/>
          <w:highlight w:val="none"/>
          <w:lang w:val="en-US" w:eastAsia="zh-CN"/>
        </w:rPr>
        <w:t xml:space="preserve">标志，安装要求须符合《江苏省体育彩票公益金资助项目宣传管理办法》</w:t>
      </w:r>
      <w:r>
        <w:rPr>
          <w:rFonts w:hint="eastAsia" w:ascii="宋体" w:hAnsi="宋体" w:cs="宋体"/>
          <w:color w:val="auto"/>
          <w:spacing w:val="-2"/>
          <w:sz w:val="24"/>
          <w:szCs w:val="24"/>
          <w:highlight w:val="none"/>
          <w:lang w:eastAsia="zh-CN"/>
        </w:rPr>
        <w:t xml:space="preserve">。</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六、采购标的的验收标准：</w:t>
      </w:r>
      <w:r/>
    </w:p>
    <w:p>
      <w:pPr>
        <w:ind w:firstLine="56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bookmarkStart w:id="184" w:name="_GoBack"/>
      <w:r/>
      <w:bookmarkEnd w:id="184"/>
      <w:r/>
      <w:r/>
    </w:p>
    <w:p>
      <w:pPr>
        <w:ind w:firstLine="560"/>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560"/>
        <w:spacing w:line="500" w:lineRule="exact"/>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rPr>
        <w:t xml:space="preserve">人应就项目的整体标准，提供明确的验收方案，该方案须符合国家相关行业标准和验收标准。</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lang w:val="en-US" w:eastAsia="zh-CN"/>
        </w:rPr>
        <w:t xml:space="preserve">人在接到中标人以书面形式提出验收申请后，在7个工作日内及时组织相关专业技术人员，必要时邀请质检等部门共同参与验收，并出具验收报告，作为支付货款的依据。如验收不合格，采购人有权终止合同，验收期间发生的一切费用由中标供应商承担。</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项目建设整体在通过专项验收时，供应商应对其中的产品设备由于设计、工艺或材料的缺陷而发生的任何不足或故障负责，并承担由此引起的一切后果。</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对于涉及因检测不合格的产品设备（批次），无条件退场，且采购人有权据此认定为是供应商自身的原因而导致该种结果，采购人有权单方面解除本项目的采购合同。</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采购人有权拒收未通过验收而涉及到的产品设备。</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项目建设整体验收合格的同时，供应商需提供项目内涉及的产品设备的质保书、保修证明等书面资料给采购人。</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本项目结算数量以现场实际验收合格的货物数量为准。中标人供货数量超出采购需求的部分，不予计量、不予增加合同价款，产生的所有费用由中标人自行承担；若实际供货合格数量少于采购数量，按中标综合单价据实扣减合同价款。</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满足验收标准及采购人要求；由采购方组织验收，必要时邀请第三方检验检测认证机构专业技术力量参与，验收合格后方可投入使用，相关费用由采购方负责。如验收不合格，采购方有权中止合同，所产生的一切费用由成交供应商承担。</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七、采购标的的其他技术、服务等要求：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7.1保密要求和安全协议。响应供应商应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7.2.2快递包装环保要求：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eastAsia="宋体"/>
          <w:strike/>
          <w:color w:val="auto"/>
          <w:sz w:val="24"/>
          <w:szCs w:val="24"/>
          <w:highlight w:val="none"/>
          <w:lang w:eastAsia="zh-CN"/>
        </w:rPr>
      </w:pPr>
      <w:r>
        <w:rPr>
          <w:rFonts w:hint="eastAsia" w:ascii="Times New Roman" w:hAnsi="Times New Roman"/>
          <w:color w:val="auto"/>
          <w:sz w:val="24"/>
          <w:szCs w:val="24"/>
          <w:highlight w:val="none"/>
        </w:rPr>
        <w:t xml:space="preserve">7.3绿色数据中心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4"/>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（1）非单一产品采购项目，采购标的中的核心产品：双人漫步机</w:t>
      </w:r>
      <w:r>
        <w:rPr>
          <w:rFonts w:hint="eastAsia"/>
          <w:color w:val="auto"/>
          <w:sz w:val="24"/>
          <w:szCs w:val="24"/>
          <w:highlight w:val="none"/>
          <w:lang w:eastAsia="zh-CN"/>
        </w:rPr>
        <w:t xml:space="preserve">、笼式篮球场</w:t>
      </w:r>
      <w:r/>
    </w:p>
    <w:p>
      <w:pPr>
        <w:numPr>
          <w:ilvl w:val="0"/>
          <w:numId w:val="0"/>
        </w:numPr>
        <w:ind w:firstLine="96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（2）本项目的主要标的：双人漫步机、笼式篮球场</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九、</w:t>
      </w:r>
      <w:r>
        <w:rPr>
          <w:rFonts w:hint="eastAsia"/>
          <w:color w:val="auto"/>
          <w:sz w:val="24"/>
          <w:szCs w:val="24"/>
          <w:highlight w:val="none"/>
          <w:lang w:val="en-US" w:eastAsia="zh-CN"/>
        </w:rPr>
        <w:t xml:space="preserve">采购需求中必须满足的实质性需求</w:t>
      </w:r>
      <w:r/>
    </w:p>
    <w:p>
      <w:pPr>
        <w:ind w:firstLine="482"/>
        <w:spacing w:line="560" w:lineRule="exact"/>
        <w:rPr>
          <w:rFonts w:hint="default"/>
          <w:color w:val="auto"/>
          <w:highlight w:val="none"/>
          <w:lang w:val="en-US" w:eastAsia="zh-CN"/>
        </w:rPr>
      </w:pPr>
      <w:r>
        <w:rPr>
          <w:rFonts w:ascii="宋体" w:hAnsi="宋体" w:eastAsia="宋体" w:cs="宋体"/>
          <w:b/>
          <w:color w:val="000000"/>
          <w:sz w:val="24"/>
          <w:highlight w:val="none"/>
        </w:rPr>
        <w:t xml:space="preserve">项目需求内标注▲条目均属于实质性要求，未按要求响应或存在负偏离的，为无效响应文件。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w:t>
      </w:r>
      <w:r>
        <w:rPr>
          <w:rFonts w:hint="eastAsia" w:ascii="宋体" w:hAnsi="宋体"/>
          <w:color w:val="auto"/>
          <w:sz w:val="24"/>
          <w:szCs w:val="24"/>
          <w:highlight w:val="none"/>
        </w:rPr>
        <w:t xml:space="preserve">付款方式</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合同签订生效后，采购人自收到发票后的</w:t>
      </w:r>
      <w:r>
        <w:rPr>
          <w:rFonts w:hint="eastAsia" w:ascii="宋体" w:hAnsi="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日个工作日内支付合同总价款的40%作为项目建设实施的预付款；所有产品送达指定地点、安装完毕并通过验收后付至合同价款的100%。</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.1本项目成交后的履约保证金为项目成交价的</w:t>
      </w:r>
      <w:r>
        <w:rPr>
          <w:rFonts w:hint="eastAsia" w:ascii="宋体" w:hAnsi="宋体"/>
          <w:color w:val="auto"/>
          <w:sz w:val="24"/>
          <w:szCs w:val="24"/>
          <w:highlight w:val="none"/>
          <w:u w:val="single"/>
        </w:rPr>
        <w:t xml:space="preserve"> 5</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、合同条款（详见附件）</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十三、其他</w:t>
      </w:r>
      <w:r/>
    </w:p>
    <w:p>
      <w:pPr>
        <w:ind w:firstLine="48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13.1</w:t>
      </w: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en-US" w:eastAsia="zh-CN"/>
        </w:rPr>
        <w:t xml:space="preserve">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产品的包装，国家或行业主管部门有规定的，按规定执行。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.投标人应保证提供的产品不得侵犯第三方专利权、商标权和设计权、版权等。否则，投标人应负全部责任，并承担由此引起的一切后果。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e</w:t>
      </w:r>
      <w:r>
        <w:rPr>
          <w:rFonts w:hint="eastAsia" w:ascii="宋体" w:hAnsi="宋体"/>
          <w:color w:val="auto"/>
          <w:sz w:val="24"/>
          <w:szCs w:val="24"/>
          <w:highlight w:val="none"/>
        </w:rPr>
        <w:t xml:space="preserve">.投标人应保证其货物在正确安装、正常使用下，在其使用寿命期内应具有满意的性能。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f</w:t>
      </w:r>
      <w:r>
        <w:rPr>
          <w:rFonts w:hint="eastAsia" w:ascii="宋体" w:hAnsi="宋体"/>
          <w:color w:val="auto"/>
          <w:sz w:val="24"/>
          <w:szCs w:val="24"/>
          <w:highlight w:val="none"/>
        </w:rPr>
        <w:t xml:space="preserve">.投标人应采取必要的安全措施保证货物的运输及安装的安全，并承担货物的运输及安装过程中产生的风险。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g</w:t>
      </w:r>
      <w:r>
        <w:rPr>
          <w:rFonts w:hint="eastAsia" w:ascii="宋体" w:hAnsi="宋体"/>
          <w:color w:val="auto"/>
          <w:sz w:val="24"/>
          <w:szCs w:val="24"/>
          <w:highlight w:val="none"/>
        </w:rPr>
        <w:t xml:space="preserve">.投标人必须保证所提供的产品符合国家相应质量要求。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h</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除特别约定外，合同条款内项目（标的物）的质保期均自项目（标的物）通过最终验收之日起计算，质保期按投标承诺。</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13.2项目建设实施步骤</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a.项目建设产品设备到货及报验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项目建设需求的产品设备到达采购人指定现场前，应提前3天电</w:t>
      </w:r>
      <w:r>
        <w:rPr>
          <w:rFonts w:hint="eastAsia" w:ascii="宋体" w:hAnsi="宋体"/>
          <w:color w:val="auto"/>
          <w:sz w:val="24"/>
          <w:szCs w:val="24"/>
          <w:highlight w:val="none"/>
          <w:lang w:val="en-US" w:eastAsia="zh-CN"/>
        </w:rPr>
        <w:t xml:space="preserve">话</w:t>
      </w:r>
      <w:r>
        <w:rPr>
          <w:rFonts w:hint="eastAsia" w:ascii="宋体" w:hAnsi="宋体"/>
          <w:color w:val="auto"/>
          <w:sz w:val="24"/>
          <w:szCs w:val="24"/>
          <w:highlight w:val="none"/>
        </w:rPr>
        <w:t xml:space="preserve">通知采购人做好准备，由采购人会同有关单位和人员根据供应商提供的项目产品设备清单，现场对项目需求产品进行点验收货。</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b.提供项目产品设备的安装、调试</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供应商应根据采购单位的要求，在指定地点，根据项目建设要求进行产品设备的安装和调试。为此，</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供应商须提供详细明确的安装标准，包含供货承诺、供货时间及具体安排，并根据用户需求提供详细明确的安装计划，其中含安装人员安排等。</w:t>
      </w:r>
      <w:r>
        <w:rPr>
          <w:rFonts w:hint="eastAsia" w:ascii="宋体" w:hAnsi="宋体"/>
          <w:color w:val="auto"/>
          <w:sz w:val="24"/>
          <w:szCs w:val="24"/>
          <w:highlight w:val="none"/>
          <w:lang w:val="en-US" w:eastAsia="zh-CN"/>
        </w:rPr>
        <w:t xml:space="preserve">   </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13.3售后服务要求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供应商应就本项目提供详细的售后服务方案。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w:t>
      </w:r>
      <w:r>
        <w:rPr>
          <w:rFonts w:hint="eastAsia" w:ascii="宋体" w:hAnsi="宋体"/>
          <w:color w:val="auto"/>
          <w:sz w:val="24"/>
          <w:szCs w:val="24"/>
          <w:highlight w:val="none"/>
        </w:rPr>
        <w:t xml:space="preserve">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保修期内，中标人负责对其提供的货物整机进行维修和系统维护，不再收取任何费用，但不可抗力（如火灾、雷击等）造成的故障除外。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中标人在接到招标人提出的技术服务要求或维修通知后4小时内没有响应、拒绝或24小时没有派员到达现场提供技术服务、修理或退换货物，招标人有权委托第三人对合同货物进行维修或提供技术服务，由此产生的一切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在合同货物保修期内，如果由于中标人更换、修理和续补货物，而造成本合同货物不得不停止运行，货物保修期应依照停止运行的实际时间加以延长，如因此给招标人造成损失，中标人应负责赔偿。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p>
    <w:p>
      <w:pPr>
        <w:ind w:firstLine="480"/>
        <w:spacing w:line="560" w:lineRule="exact"/>
        <w:rPr>
          <w:rFonts w:hint="default"/>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十四</w:t>
      </w:r>
      <w:r>
        <w:rPr>
          <w:rFonts w:hint="eastAsia" w:ascii="宋体" w:hAnsi="宋体"/>
          <w:b/>
          <w:color w:val="auto"/>
          <w:sz w:val="24"/>
          <w:szCs w:val="24"/>
          <w:highlight w:val="none"/>
        </w:rPr>
        <w:t xml:space="preserve">、政府采购中实施本国产品标准及相关政策</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pStyle w:val="654"/>
        <w:rPr>
          <w:rFonts w:hint="default"/>
          <w:color w:val="auto"/>
          <w:sz w:val="24"/>
          <w:szCs w:val="24"/>
          <w:highlight w:val="none"/>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default"/>
          <w:color w:val="auto"/>
          <w:sz w:val="24"/>
          <w:szCs w:val="24"/>
          <w:highlight w:val="none"/>
          <w:lang w:val="en-US" w:eastAsia="zh-CN"/>
        </w:rPr>
      </w:r>
      <w:r/>
    </w:p>
    <w:p>
      <w:pPr>
        <w:jc w:val="center"/>
        <w:keepNext/>
        <w:spacing w:line="560" w:lineRule="exact"/>
        <w:rPr>
          <w:rFonts w:hint="eastAsia" w:ascii="宋体" w:hAnsi="宋体"/>
          <w:b/>
          <w:bCs/>
          <w:color w:val="auto"/>
          <w:sz w:val="44"/>
          <w:szCs w:val="28"/>
          <w:highlight w:val="none"/>
        </w:rPr>
        <w:outlineLvl w:val="0"/>
      </w:pPr>
      <w:r/>
      <w:bookmarkStart w:id="172" w:name="_Toc120614281"/>
      <w:r>
        <w:rPr>
          <w:rFonts w:hint="eastAsia" w:ascii="宋体" w:hAnsi="宋体"/>
          <w:bCs/>
          <w:color w:val="auto"/>
          <w:sz w:val="44"/>
          <w:szCs w:val="28"/>
          <w:highlight w:val="none"/>
        </w:rPr>
        <w:t xml:space="preserve">第四章  </w:t>
      </w:r>
      <w:r>
        <w:rPr>
          <w:rFonts w:hint="eastAsia" w:ascii="宋体" w:hAnsi="宋体"/>
          <w:b/>
          <w:bCs/>
          <w:color w:val="auto"/>
          <w:sz w:val="44"/>
          <w:szCs w:val="28"/>
          <w:highlight w:val="none"/>
        </w:rPr>
        <w:t xml:space="preserve">评审方法与评审标准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（一）采购人（代表）对供应商资格进行审查。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供应商资格不合格的，其响应文件判定为无效响应文件。</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（二）磋商小组对符合资格供应商的响应文件进行符合性审查。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未通过符合性审查的响应文件，将被判为不满足磋商文件实质性要求。 </w:t>
      </w:r>
      <w:r/>
    </w:p>
    <w:p>
      <w:pPr>
        <w:ind w:firstLine="482"/>
        <w:jc w:val="left"/>
        <w:spacing w:line="50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商务技术分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70</w:t>
      </w:r>
      <w:r>
        <w:rPr>
          <w:rFonts w:hint="eastAsia" w:ascii="宋体" w:hAnsi="宋体" w:cs="宋体"/>
          <w:color w:val="auto"/>
          <w:sz w:val="24"/>
          <w:szCs w:val="24"/>
          <w:highlight w:val="none"/>
          <w:lang w:val="zh-CN"/>
        </w:rPr>
        <w:t xml:space="preserve">分</w:t>
      </w:r>
      <w:r/>
    </w:p>
    <w:p>
      <w:pPr>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p>
      <w:pPr>
        <w:pStyle w:val="654"/>
        <w:ind w:firstLine="480"/>
        <w:rPr>
          <w:rFonts w:hint="default" w:eastAsia="宋体"/>
          <w:b/>
          <w:bCs/>
          <w:color w:val="auto"/>
          <w:highlight w:val="none"/>
          <w:lang w:val="en-US" w:eastAsia="zh-CN"/>
        </w:rPr>
      </w:pPr>
      <w:r>
        <w:rPr>
          <w:rFonts w:hint="eastAsia" w:ascii="宋体" w:hAnsi="宋体"/>
          <w:color w:val="auto"/>
          <w:sz w:val="24"/>
          <w:szCs w:val="24"/>
          <w:highlight w:val="none"/>
          <w:lang w:val="en-US" w:eastAsia="zh-CN"/>
        </w:rPr>
        <w:t xml:space="preserve">包一评分标准：</w:t>
      </w:r>
      <w:r/>
    </w:p>
    <w:tbl>
      <w:tblPr>
        <w:tblStyle w:val="653"/>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473"/>
        <w:gridCol w:w="728"/>
        <w:gridCol w:w="6680"/>
      </w:tblGrid>
      <w:tr>
        <w:trPr>
          <w:jc w:val="center"/>
          <w:trHeight w:val="8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类似项目业绩</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自2023年</w:t>
            </w:r>
            <w:r>
              <w:rPr>
                <w:rFonts w:hint="eastAsia" w:ascii="宋体" w:hAnsi="宋体" w:cs="宋体"/>
                <w:i w:val="0"/>
                <w:iCs w:val="0"/>
                <w:color w:val="auto"/>
                <w:sz w:val="24"/>
                <w:szCs w:val="24"/>
                <w:highlight w:val="none"/>
                <w:u w:val="none"/>
                <w:lang w:val="en-US" w:eastAsia="zh-CN" w:bidi="ar"/>
              </w:rPr>
              <w:t xml:space="preserve">以来</w:t>
            </w:r>
            <w:r>
              <w:rPr>
                <w:rFonts w:hint="eastAsia" w:ascii="宋体" w:hAnsi="宋体" w:eastAsia="宋体" w:cs="宋体"/>
                <w:i w:val="0"/>
                <w:iCs w:val="0"/>
                <w:color w:val="auto"/>
                <w:sz w:val="24"/>
                <w:szCs w:val="24"/>
                <w:highlight w:val="none"/>
                <w:u w:val="none"/>
                <w:lang w:val="en-US" w:eastAsia="zh-CN" w:bidi="ar"/>
              </w:rPr>
              <w:t xml:space="preserve">，供应商承担过类似健身器材销售业绩的每个得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分，不重复计分。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注：业绩证明材料至少包括完整的合同文本、对应项目验收报告，业绩时间以合同订立时间为准。未提供或提供不全不得分。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认证体系及核心产品保障</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供应商或产品制造商具备有效的质量管理体系认证证书ISO9001、环境管理体系认证ISO14001，有一个得2分，最高得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分，不提供不得分。提供有效的证书复印件加盖公章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投标供应商具备核心产品的有效产品责任险、产品质量险、公众责任险，有一个得2分，最高得6分，不提供不得分。提供有效期内的保单证书复印件加盖公章。</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提供</w:t>
            </w:r>
            <w:r>
              <w:rPr>
                <w:rStyle w:val="677"/>
                <w:rFonts w:ascii="宋体" w:hAnsi="宋体" w:eastAsia="宋体" w:cs="宋体"/>
                <w:b w:val="0"/>
                <w:bCs/>
                <w:color w:val="auto"/>
                <w:sz w:val="24"/>
                <w:szCs w:val="24"/>
                <w:highlight w:val="none"/>
              </w:rPr>
              <w:t xml:space="preserve">具备CMA/CNAS资质第三方机构</w:t>
            </w:r>
            <w:r>
              <w:rPr>
                <w:rFonts w:ascii="宋体" w:hAnsi="宋体" w:eastAsia="宋体" w:cs="宋体"/>
                <w:color w:val="auto"/>
                <w:sz w:val="24"/>
                <w:szCs w:val="24"/>
                <w:highlight w:val="none"/>
              </w:rPr>
              <w:t xml:space="preserve">出具的本型号产品专项检测报告，盐雾测试时长≥</w:t>
            </w:r>
            <w:r>
              <w:rPr>
                <w:rFonts w:hint="eastAsia" w:ascii="宋体" w:hAnsi="宋体" w:cs="宋体"/>
                <w:color w:val="auto"/>
                <w:sz w:val="24"/>
                <w:szCs w:val="24"/>
                <w:highlight w:val="none"/>
                <w:lang w:val="en-US" w:eastAsia="zh-CN"/>
              </w:rPr>
              <w:t xml:space="preserve">500</w:t>
            </w:r>
            <w:r>
              <w:rPr>
                <w:rFonts w:ascii="宋体" w:hAnsi="宋体" w:eastAsia="宋体" w:cs="宋体"/>
                <w:color w:val="auto"/>
                <w:sz w:val="24"/>
                <w:szCs w:val="24"/>
                <w:highlight w:val="none"/>
              </w:rPr>
              <w:t xml:space="preserve">h；腐蚀评级GB/T 6461-2002达到10级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得2分</w:t>
            </w:r>
            <w:r>
              <w:rPr>
                <w:rFonts w:ascii="宋体" w:hAnsi="宋体" w:eastAsia="宋体" w:cs="宋体"/>
                <w:color w:val="auto"/>
                <w:sz w:val="24"/>
                <w:szCs w:val="24"/>
                <w:highlight w:val="none"/>
              </w:rPr>
              <w:t xml:space="preserve">；涂层外观老化评级GB/T 1766-2008达到 0 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得2分，</w:t>
            </w:r>
            <w:r>
              <w:rPr>
                <w:rFonts w:ascii="宋体" w:hAnsi="宋体" w:eastAsia="宋体" w:cs="宋体"/>
                <w:color w:val="auto"/>
                <w:sz w:val="24"/>
                <w:szCs w:val="24"/>
                <w:highlight w:val="none"/>
              </w:rPr>
              <w:t xml:space="preserve">达到 </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 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得1分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4.供应商</w:t>
            </w:r>
            <w:r>
              <w:rPr>
                <w:rFonts w:ascii="宋体" w:hAnsi="宋体" w:eastAsia="宋体" w:cs="宋体"/>
                <w:color w:val="auto"/>
                <w:sz w:val="24"/>
                <w:szCs w:val="24"/>
                <w:highlight w:val="none"/>
              </w:rPr>
              <w:t xml:space="preserve">提供具备 CMA/CNAS 资质第三方磁粉无损检测报告，钢管磁粉检测按GB/T 42673-2023达到M1级、表面无缺陷得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达到M</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得1分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供货安装方案</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的供货方案，包含但不限于以下内容：①供货渠道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②货物检验检测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③货物包装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④运输方案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⑤质量保证</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⑥安装调试方案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⑦团队人员配备分工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⑧培训方案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⑨验收方案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⑩应急处理预案。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分，每有一项内容不完整或有缺陷的扣1分，扣完为止，未提供不得分。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的售后服务方案，方案包含但不限于以下内容：①售后服务响应时效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③售后团队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④定期服务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⑤备件供应</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⑥软件升级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⑦突发故障应急能力</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⑧故障解决方案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⑨售后巡检服务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⑩售后培训体系及培训方案。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pStyle w:val="654"/>
              <w:rPr>
                <w:rFonts w:hint="default" w:ascii="宋体" w:hAnsi="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承诺拟投入不少4人的售后服务团队的基础上，承诺每增加一人得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分，提供承诺函，承诺函须包括人员配置详细清单（包括姓名、手机号码、岗位职责等，以上人员需提供近半年内任意</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个月的社保缴纳证明材料），缺一不得分。</w:t>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spacing w:line="360" w:lineRule="auto"/>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注：①如磋商文件内容顺序混乱，导致评委无法查看，后果自负。 </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(四）价格分：30分</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磋商报价得分=（磋商基准价/最后磋商报价）×价格权值×100。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出现下列情形之一的，磋商小组应当启动异常低价响应审查程序：</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（五）政府采购政策功能落实</w:t>
      </w:r>
      <w:r/>
    </w:p>
    <w:p>
      <w:pPr>
        <w:ind w:firstLine="480"/>
        <w:spacing w:line="560" w:lineRule="exact"/>
        <w:rPr>
          <w:rFonts w:hint="eastAsia" w:ascii="宋体" w:hAnsi="宋体"/>
          <w:color w:val="auto"/>
          <w:sz w:val="24"/>
          <w:szCs w:val="24"/>
          <w:highlight w:val="none"/>
        </w:rPr>
      </w:pPr>
      <w:r/>
      <w:bookmarkStart w:id="173" w:name="_Hlk221545426"/>
      <w:r>
        <w:rPr>
          <w:rFonts w:hint="eastAsia" w:ascii="宋体" w:hAnsi="宋体"/>
          <w:color w:val="auto"/>
          <w:sz w:val="24"/>
          <w:szCs w:val="24"/>
          <w:highlight w:val="none"/>
        </w:rPr>
        <w:t xml:space="preserve">1、小微型企业价格扣除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（1）本项目对小型和微型企业产品给予20%的扣除价格，用扣除后的价格参与评审。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（2）供应商需按照《政府采购促进中小企业发展管理办法》（财库﹝2020﹞46 号）的规定提供相应的《中小企业声明函》。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（4）专门面向中小微企业采购的项目或者采购包，不再执行价格评审优惠的扶持政策。</w:t>
      </w:r>
      <w:r/>
    </w:p>
    <w:p>
      <w:pPr>
        <w:ind w:firstLine="480"/>
        <w:spacing w:line="560" w:lineRule="exact"/>
        <w:rPr>
          <w:rFonts w:hint="eastAsia" w:ascii="宋体" w:hAnsi="宋体"/>
          <w:color w:val="auto"/>
          <w:sz w:val="24"/>
          <w:szCs w:val="24"/>
          <w:highlight w:val="none"/>
        </w:rPr>
      </w:pPr>
      <w:r/>
      <w:bookmarkStart w:id="174" w:name="OLE_LINK69"/>
      <w:r/>
      <w:bookmarkStart w:id="175" w:name="OLE_LINK68"/>
      <w:r>
        <w:rPr>
          <w:rFonts w:hint="eastAsia" w:ascii="宋体" w:hAnsi="宋体"/>
          <w:color w:val="auto"/>
          <w:sz w:val="24"/>
          <w:szCs w:val="24"/>
          <w:highlight w:val="none"/>
        </w:rPr>
        <w:t xml:space="preserve">2、残疾人福利单位价格扣除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6、联合体各方均为小型、微型企业（残疾人福利单位、监狱企业）的，联合体享受上述同类价格扣除，用扣除后的价格参与评审。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（六）成交供应商的确定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磋商小组汇总各评委评分后，按照得分从高到低的顺序推荐三名成交候选人，并编写评审报告。</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采购人授权磋商小组在成交候选供应商中直接确定成交供应商。</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（七）采购人代表宣布评审结果。</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（八）公告成交结果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自确定成交供应商之日起2个工作日内，在江苏政府采购网公告成交结果，公告期限为1个工作日。</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（九）发放成交通知书</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公告成交结果的同时，采购人或采购代理机构向成交供应商发放成交通知书。</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成交通知书发出后，采购人不得违法改变成交结果，成交供应商无正当理由不得</w:t>
      </w:r>
      <w:r>
        <w:rPr>
          <w:rFonts w:hint="eastAsia" w:ascii="宋体" w:hAnsi="宋体" w:cs="宋体"/>
          <w:color w:val="auto"/>
          <w:sz w:val="24"/>
          <w:szCs w:val="24"/>
          <w:highlight w:val="none"/>
        </w:rPr>
        <w:t xml:space="preserve">放弃成交。</w:t>
      </w:r>
      <w:bookmarkEnd w:id="173"/>
      <w:r/>
      <w:bookmarkEnd w:id="174"/>
      <w:r/>
      <w:bookmarkEnd w:id="175"/>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t xml:space="preserve">第五章  </w:t>
      </w:r>
      <w:bookmarkEnd w:id="172"/>
      <w:r>
        <w:rPr>
          <w:rFonts w:hint="eastAsia" w:ascii="宋体" w:hAnsi="宋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176" w:name="_Hlt26671244"/>
      <w:r/>
      <w:bookmarkEnd w:id="176"/>
      <w:r/>
      <w:bookmarkStart w:id="177" w:name="_Hlt26955039"/>
      <w:r/>
      <w:bookmarkEnd w:id="177"/>
      <w:r/>
      <w:bookmarkStart w:id="178" w:name="_Toc49090576"/>
      <w:r/>
      <w:bookmarkStart w:id="179" w:name="_Toc120614282"/>
      <w:r/>
      <w:bookmarkStart w:id="180"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654"/>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654"/>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pStyle w:val="643"/>
        <w:rPr>
          <w:color w:val="auto"/>
          <w:highlight w:val="none"/>
        </w:rPr>
      </w:pPr>
      <w:r>
        <w:rPr>
          <w:color w:val="auto"/>
          <w:highlight w:val="none"/>
        </w:rPr>
      </w:r>
      <w:r/>
    </w:p>
    <w:p>
      <w:pPr>
        <w:jc w:val="center"/>
        <w:spacing w:line="5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四、其他资料（如有）</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33"/>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33"/>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33"/>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7.法人授权书（格式见附件）；</w:t>
      </w:r>
      <w:r/>
    </w:p>
    <w:p>
      <w:pPr>
        <w:ind w:firstLine="480"/>
        <w:spacing w:line="560" w:lineRule="exact"/>
        <w:rPr>
          <w:rFonts w:hint="eastAsia" w:ascii="宋体" w:hAnsi="宋体"/>
          <w:color w:val="auto"/>
          <w:sz w:val="24"/>
          <w:szCs w:val="24"/>
          <w:highlight w:val="none"/>
        </w:rPr>
      </w:pPr>
      <w:r>
        <w:rPr>
          <w:rFonts w:hint="eastAsia" w:ascii="宋体" w:hAnsi="宋体" w:cs="宋体"/>
          <w:color w:val="auto"/>
          <w:sz w:val="24"/>
          <w:highlight w:val="none"/>
        </w:rPr>
        <w:t xml:space="preserve">8.承诺函（格式见附件）；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9.磋商响应函（格式见附件）；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10.采购公告中“二、申请人的资格要求（二）”提供相应的佐证材料；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11.其它需要提交的资格审查证明材料。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highlight w:val="none"/>
        </w:rPr>
        <w:t xml:space="preserve"> </w:t>
      </w:r>
      <w:r>
        <w:rPr>
          <w:rFonts w:hint="eastAsia" w:ascii="宋体" w:hAnsi="宋体"/>
          <w:color w:val="auto"/>
          <w:sz w:val="24"/>
          <w:szCs w:val="24"/>
          <w:highlight w:val="none"/>
        </w:rPr>
        <w:t xml:space="preserve">报价总表（格式见附件）；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 中小企业声明函（格式见附件）；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w:t>
      </w:r>
      <w:r/>
    </w:p>
    <w:p>
      <w:pPr>
        <w:ind w:firstLine="480"/>
        <w:spacing w:line="560" w:lineRule="exact"/>
        <w:rPr>
          <w:rFonts w:hint="eastAsia" w:ascii="宋体" w:hAnsi="宋体"/>
          <w:color w:val="auto"/>
          <w:sz w:val="32"/>
          <w:szCs w:val="32"/>
          <w:highlight w:val="none"/>
          <w:u w:val="single"/>
        </w:rPr>
      </w:pPr>
      <w:r>
        <w:rPr>
          <w:rFonts w:hint="eastAsia" w:ascii="宋体" w:hAnsi="宋体"/>
          <w:color w:val="auto"/>
          <w:sz w:val="24"/>
          <w:szCs w:val="24"/>
          <w:highlight w:val="none"/>
        </w:rPr>
        <w:t xml:space="preserve">5.监狱和戒毒企业证明材料（如有）（格式见附件）</w:t>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附件1</w:t>
      </w:r>
      <w:r/>
    </w:p>
    <w:p>
      <w:pPr>
        <w:jc w:val="cente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我方参加你方的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（项目名称）的投标，现我方向你方慎重承诺：</w:t>
      </w:r>
      <w:r/>
    </w:p>
    <w:p>
      <w:pPr>
        <w:ind w:left="44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512"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hAns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hAns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881"/>
        <w:jc w:val="cente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2"/>
        <w:spacing w:line="500" w:lineRule="exact"/>
        <w:rPr>
          <w:rFonts w:ascii="宋体" w:hAns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400" w:lineRule="exact"/>
        <w:rPr>
          <w:rFonts w:ascii="宋体" w:hAnsi="宋体"/>
          <w:color w:val="auto"/>
          <w:sz w:val="32"/>
          <w:szCs w:val="32"/>
          <w:highlight w:val="none"/>
          <w:lang w:val="zh-CN"/>
        </w:rPr>
      </w:pPr>
      <w:r>
        <w:rPr>
          <w:rFonts w:ascii="宋体" w:hAnsi="宋体"/>
          <w:color w:val="auto"/>
          <w:sz w:val="24"/>
          <w:szCs w:val="21"/>
          <w:highlight w:val="none"/>
        </w:rPr>
        <w:br w:type="page" w:clear="all"/>
      </w:r>
      <w:r>
        <w:rPr>
          <w:rFonts w:hint="eastAsia" w:ascii="宋体" w:hAnsi="宋体"/>
          <w:color w:val="auto"/>
          <w:sz w:val="32"/>
          <w:szCs w:val="32"/>
          <w:highlight w:val="none"/>
          <w:lang w:val="zh-CN"/>
        </w:rPr>
        <w:t xml:space="preserve">附件3</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bookmarkEnd w:id="178"/>
      <w:r/>
      <w:bookmarkEnd w:id="179"/>
      <w:r/>
      <w:bookmarkEnd w:id="180"/>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bookmarkStart w:id="181" w:name="_Toc120614284"/>
      <w:r/>
      <w:r/>
    </w:p>
    <w:p>
      <w:pPr>
        <w:contextualSpacing/>
        <w:spacing w:line="400" w:lineRule="exact"/>
        <w:rPr>
          <w:rFonts w:ascii="宋体" w:hAnsi="宋体"/>
          <w:color w:val="auto"/>
          <w:sz w:val="32"/>
          <w:szCs w:val="32"/>
          <w:highlight w:val="none"/>
          <w:lang w:val="zh-CN"/>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附件4</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被授权人联系电话：（手机）</w:t>
      </w:r>
      <w:r>
        <w:rPr>
          <w:rFonts w:hint="eastAsia" w:ascii="宋体" w:hAnsi="宋体"/>
          <w:color w:val="auto"/>
          <w:sz w:val="24"/>
          <w:szCs w:val="24"/>
          <w:highlight w:val="none"/>
          <w:u w:val="single"/>
        </w:rPr>
        <w:t xml:space="preserve">                          </w:t>
      </w:r>
      <w:r/>
    </w:p>
    <w:p>
      <w:pPr>
        <w:ind w:firstLine="120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ind w:firstLine="480"/>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单位地址：</w:t>
      </w:r>
      <w:r>
        <w:rPr>
          <w:rFonts w:hint="eastAsia" w:ascii="宋体" w:hAnsi="宋体"/>
          <w:color w:val="auto"/>
          <w:sz w:val="24"/>
          <w:szCs w:val="24"/>
          <w:highlight w:val="none"/>
          <w:u w:val="single"/>
        </w:rPr>
        <w:t xml:space="preserve">                                         </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p>
    <w:p>
      <w:pPr>
        <w:ind w:firstLine="42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rPr>
          <w:rFonts w:hint="eastAsia" w:ascii="宋体" w:hAnsi="宋体"/>
          <w:color w:val="auto"/>
          <w:szCs w:val="21"/>
          <w:highlight w:val="none"/>
        </w:rPr>
      </w:pPr>
      <w:r>
        <w:rPr>
          <w:rFonts w:hint="eastAsia" w:ascii="宋体" w:hAnsi="宋体"/>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00" w:lineRule="exact"/>
        <w:rPr>
          <w:rFonts w:ascii="宋体" w:hAnsi="宋体"/>
          <w:color w:val="auto"/>
          <w:sz w:val="32"/>
          <w:highlight w:val="none"/>
        </w:rPr>
      </w:pPr>
      <w:r>
        <w:rPr>
          <w:rFonts w:ascii="宋体" w:hAnsi="宋体"/>
          <w:bCs/>
          <w:color w:val="auto"/>
          <w:sz w:val="24"/>
          <w:szCs w:val="21"/>
          <w:highlight w:val="none"/>
        </w:rPr>
        <w:br w:type="page" w:clear="all"/>
      </w:r>
      <w:r>
        <w:rPr>
          <w:rFonts w:hint="eastAsia" w:ascii="宋体" w:hAnsi="宋体"/>
          <w:color w:val="auto"/>
          <w:sz w:val="32"/>
          <w:highlight w:val="none"/>
        </w:rPr>
        <w:t xml:space="preserve">附件5</w:t>
      </w:r>
      <w:r/>
    </w:p>
    <w:p>
      <w:pPr>
        <w:jc w:val="cente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承诺函</w:t>
      </w:r>
      <w:r/>
    </w:p>
    <w:p>
      <w:pPr>
        <w:ind w:firstLine="480"/>
        <w:spacing w:line="30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我单位承诺响应竞争性磋商文件二、申请人的资格要求：‘</w:t>
      </w:r>
      <w:r>
        <w:rPr>
          <w:rFonts w:hint="eastAsia" w:ascii="宋体" w:hAnsi="宋体"/>
          <w:color w:val="auto"/>
          <w:sz w:val="24"/>
          <w:szCs w:val="24"/>
          <w:highlight w:val="none"/>
        </w:rPr>
        <w:t xml:space="preserve">3.</w:t>
      </w:r>
      <w:r>
        <w:rPr>
          <w:rFonts w:hint="eastAsia" w:ascii="宋体" w:hAnsi="宋体"/>
          <w:color w:val="auto"/>
          <w:highlight w:val="none"/>
        </w:rPr>
        <w:t xml:space="preserve"> </w:t>
      </w:r>
      <w:r>
        <w:rPr>
          <w:rFonts w:hint="eastAsia"/>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响应供应商全称(盖公章)：</w:t>
      </w:r>
      <w:r/>
    </w:p>
    <w:p>
      <w:pPr>
        <w:spacing w:line="360" w:lineRule="auto"/>
        <w:rPr>
          <w:color w:val="auto"/>
          <w:sz w:val="24"/>
          <w:szCs w:val="24"/>
          <w:highlight w:val="none"/>
        </w:rPr>
      </w:pPr>
      <w:r>
        <w:rPr>
          <w:rFonts w:hint="eastAsia"/>
          <w:color w:val="auto"/>
          <w:sz w:val="24"/>
          <w:szCs w:val="24"/>
          <w:highlight w:val="none"/>
        </w:rPr>
        <w:t xml:space="preserve">法人代表或授权委托人（签字或盖章）：</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w:t>
      </w:r>
      <w:r/>
    </w:p>
    <w:p>
      <w:pPr>
        <w:rPr>
          <w:color w:val="auto"/>
          <w:sz w:val="24"/>
          <w:szCs w:val="24"/>
          <w:highlight w:val="none"/>
        </w:rPr>
      </w:pPr>
      <w:r>
        <w:rPr>
          <w:color w:val="auto"/>
          <w:sz w:val="24"/>
          <w:szCs w:val="24"/>
          <w:highlight w:val="none"/>
        </w:rPr>
      </w:r>
      <w:r/>
    </w:p>
    <w:p>
      <w:pPr>
        <w:jc w:val="right"/>
        <w:rPr>
          <w:rFonts w:ascii="宋体" w:hAnsi="宋体"/>
          <w:b/>
          <w:bCs/>
          <w:color w:val="auto"/>
          <w:sz w:val="24"/>
          <w:szCs w:val="24"/>
          <w:highlight w:val="none"/>
        </w:rPr>
      </w:pPr>
      <w:r>
        <w:rPr>
          <w:rFonts w:hint="eastAsia"/>
          <w:color w:val="auto"/>
          <w:sz w:val="24"/>
          <w:szCs w:val="24"/>
          <w:highlight w:val="none"/>
        </w:rPr>
        <w:t xml:space="preserve">2026年  月   日</w:t>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附件6</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ind w:left="420" w:firstLine="48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53"/>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附件8</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53"/>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附件9</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报价</w:t>
            </w:r>
            <w:r/>
          </w:p>
        </w:tc>
      </w:tr>
      <w:tr>
        <w:trPr>
          <w:trHeight w:val="1091"/>
        </w:trPr>
        <w:tc>
          <w:tcPr>
            <w:tcW w:w="4148"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c>
          <w:tcPr>
            <w:tcW w:w="4607" w:type="dxa"/>
            <w:vAlign w:val="top"/>
            <w:textDirection w:val="lrTb"/>
            <w:noWrap w:val="false"/>
          </w:tcPr>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olor w:val="auto"/>
                <w:highlight w:val="none"/>
                <w:u w:val="single"/>
              </w:rPr>
            </w:pPr>
            <w:r>
              <w:rPr>
                <w:rFonts w:ascii="宋体" w:hAnsi="宋体" w:cs="宋体"/>
                <w:color w:val="auto"/>
                <w:sz w:val="28"/>
                <w:szCs w:val="28"/>
                <w:highlight w:val="none"/>
              </w:rPr>
              <w:t xml:space="preserve">小写：元（人民币）</w:t>
            </w:r>
            <w:r/>
          </w:p>
        </w:tc>
      </w:tr>
      <w:tr>
        <w:trPr/>
        <w:tc>
          <w:tcPr>
            <w:tcW w:w="4148" w:type="dxa"/>
            <w:vAlign w:val="top"/>
            <w:textDirection w:val="lrTb"/>
            <w:noWrap w:val="false"/>
          </w:tcPr>
          <w:p>
            <w:pPr>
              <w:spacing w:line="560" w:lineRule="exact"/>
              <w:rPr>
                <w:rFonts w:ascii="宋体" w:hAnsi="宋体"/>
                <w:color w:val="auto"/>
                <w:highlight w:val="none"/>
              </w:rPr>
            </w:pPr>
            <w:r>
              <w:rPr>
                <w:rFonts w:ascii="宋体" w:hAnsi="宋体" w:cs="宋体"/>
                <w:color w:val="auto"/>
                <w:sz w:val="28"/>
                <w:szCs w:val="28"/>
                <w:highlight w:val="none"/>
              </w:rPr>
              <w:t xml:space="preserve">主要货物、服务制造商及产地</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r>
        <w:trPr>
          <w:trHeight w:val="481"/>
        </w:trPr>
        <w:tc>
          <w:tcPr>
            <w:tcW w:w="4148" w:type="dxa"/>
            <w:vAlign w:val="top"/>
            <w:textDirection w:val="lrTb"/>
            <w:noWrap w:val="false"/>
          </w:tcPr>
          <w:p>
            <w:pPr>
              <w:spacing w:line="560" w:lineRule="exact"/>
              <w:rPr>
                <w:rFonts w:ascii="宋体" w:hAnsi="宋体"/>
                <w:color w:val="auto"/>
                <w:highlight w:val="none"/>
              </w:rPr>
            </w:pPr>
            <w:r>
              <w:rPr>
                <w:rFonts w:hint="eastAsia" w:ascii="宋体" w:hAnsi="宋体" w:cs="宋体"/>
                <w:color w:val="auto"/>
                <w:sz w:val="28"/>
                <w:szCs w:val="28"/>
                <w:highlight w:val="none"/>
              </w:rPr>
              <w:t xml:space="preserve">核心产品品牌（如有）</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投任何一个包的标的，都需单独填写</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w:t>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附件10</w:t>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ascii="宋体" w:hAnsi="宋体"/>
          <w:color w:val="auto"/>
          <w:sz w:val="32"/>
          <w:szCs w:val="32"/>
          <w:highlight w:val="none"/>
        </w:rPr>
      </w:pPr>
      <w:r>
        <w:rPr>
          <w:rFonts w:hint="eastAsia" w:ascii="宋体" w:hAnsi="宋体"/>
          <w:b/>
          <w:bCs/>
          <w:color w:val="auto"/>
          <w:sz w:val="32"/>
          <w:szCs w:val="32"/>
          <w:highlight w:val="none"/>
        </w:rPr>
        <w:t xml:space="preserve">分项报价明细表（货物类）</w:t>
      </w: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供应商（盖章）：</w:t>
      </w:r>
      <w:r/>
    </w:p>
    <w:tbl>
      <w:tblPr>
        <w:tblStyle w:val="6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8"/>
            <w:tcW w:w="886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jc w:val="both"/>
        <w:spacing w:line="300" w:lineRule="auto"/>
        <w:rPr>
          <w:rFonts w:ascii="宋体" w:hAnsi="宋体"/>
          <w:color w:val="auto"/>
          <w:sz w:val="32"/>
          <w:szCs w:val="32"/>
          <w:highlight w:val="none"/>
        </w:rPr>
        <w:outlineLvl w:val="0"/>
      </w:pPr>
      <w:r>
        <w:rPr>
          <w:rFonts w:ascii="宋体" w:hAnsi="宋体" w:cs="Arial"/>
          <w:b/>
          <w:color w:val="auto"/>
          <w:sz w:val="24"/>
          <w:szCs w:val="44"/>
          <w:highlight w:val="none"/>
        </w:rPr>
        <w:br w:type="page" w:clear="all"/>
      </w:r>
      <w:r>
        <w:rPr>
          <w:rFonts w:hint="eastAsia" w:ascii="宋体" w:hAnsi="宋体"/>
          <w:color w:val="auto"/>
          <w:sz w:val="32"/>
          <w:szCs w:val="32"/>
          <w:highlight w:val="none"/>
          <w:lang w:val="zh-CN"/>
        </w:rPr>
        <w:t xml:space="preserve">附件11</w:t>
      </w:r>
      <w:r>
        <w:rPr>
          <w:rFonts w:hint="eastAsia" w:ascii="宋体" w:hAnsi="宋体"/>
          <w:color w:val="auto"/>
          <w:sz w:val="32"/>
          <w:szCs w:val="32"/>
          <w:highlight w:val="none"/>
          <w:lang w:val="en-US" w:eastAsia="zh-CN"/>
        </w:rPr>
        <w:t xml:space="preserve">            </w:t>
      </w:r>
      <w:r>
        <w:rPr>
          <w:rFonts w:ascii="宋体" w:hAnsi="宋体"/>
          <w:b/>
          <w:bCs/>
          <w:color w:val="auto"/>
          <w:sz w:val="28"/>
          <w:szCs w:val="28"/>
          <w:highlight w:val="none"/>
          <w:lang w:bidi="zh-CN"/>
        </w:rPr>
        <w:t xml:space="preserve">中小企业声明函（货物）</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lang w:bidi="zh-CN"/>
        </w:rPr>
        <w:t xml:space="preserve">（单位名称）</w:t>
      </w:r>
      <w:r>
        <w:rPr>
          <w:rFonts w:hint="eastAsia" w:ascii="宋体" w:hAnsi="宋体" w:cs="宋体"/>
          <w:color w:val="auto"/>
          <w:sz w:val="24"/>
          <w:szCs w:val="24"/>
          <w:highlight w:val="none"/>
          <w:lang w:bidi="zh-CN"/>
        </w:rPr>
        <w:t xml:space="preserve">的</w:t>
      </w:r>
      <w:r>
        <w:rPr>
          <w:rFonts w:hint="eastAsia" w:ascii="宋体" w:hAnsi="宋体" w:cs="宋体"/>
          <w:color w:val="auto"/>
          <w:sz w:val="24"/>
          <w:szCs w:val="24"/>
          <w:highlight w:val="none"/>
          <w:u w:val="single"/>
          <w:lang w:bidi="zh-CN"/>
        </w:rPr>
        <w:t xml:space="preserve">（项目名称）</w:t>
      </w:r>
      <w:r>
        <w:rPr>
          <w:rFonts w:hint="eastAsia" w:ascii="宋体" w:hAnsi="宋体" w:cs="宋体"/>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1.</w:t>
      </w:r>
      <w:r>
        <w:rPr>
          <w:rFonts w:hint="eastAsia" w:ascii="宋体" w:hAnsi="宋体" w:cs="宋体"/>
          <w:color w:val="auto"/>
          <w:sz w:val="24"/>
          <w:szCs w:val="24"/>
          <w:highlight w:val="none"/>
          <w:u w:val="single"/>
          <w:lang w:bidi="zh-CN"/>
        </w:rPr>
        <w:t xml:space="preserve"> （标的名称）</w:t>
      </w:r>
      <w:r>
        <w:rPr>
          <w:rFonts w:hint="eastAsia" w:ascii="宋体" w:hAnsi="宋体" w:cs="宋体"/>
          <w:color w:val="auto"/>
          <w:sz w:val="24"/>
          <w:szCs w:val="24"/>
          <w:highlight w:val="none"/>
          <w:lang w:bidi="zh-CN"/>
        </w:rPr>
        <w:t xml:space="preserve"> ，属于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bookmarkStart w:id="182" w:name="OLE_LINK77"/>
      <w:r/>
      <w:bookmarkStart w:id="183" w:name="OLE_LINK76"/>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bookmarkEnd w:id="182"/>
      <w:r/>
      <w:bookmarkEnd w:id="183"/>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2.</w:t>
      </w:r>
      <w:r>
        <w:rPr>
          <w:rFonts w:hint="eastAsia" w:ascii="宋体" w:hAnsi="宋体" w:cs="宋体"/>
          <w:i/>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 xml:space="preserve">（标的名称） </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8"/>
          <w:szCs w:val="28"/>
          <w:highlight w:val="none"/>
          <w:lang w:bidi="zh-CN"/>
        </w:rPr>
        <w:outlineLvl w:val="0"/>
      </w:pPr>
      <w:r>
        <w:rPr>
          <w:rFonts w:hint="eastAsia" w:ascii="宋体" w:hAnsi="宋体" w:cs="宋体"/>
          <w:color w:val="auto"/>
          <w:sz w:val="24"/>
          <w:szCs w:val="24"/>
          <w:highlight w:val="none"/>
          <w:lang w:bidi="zh-CN"/>
        </w:rPr>
        <w:t xml:space="preserve">本企业对上述声明内容的真实性负责。如有虚假，将依法承担相应责任。</w:t>
      </w:r>
      <w:r/>
    </w:p>
    <w:p>
      <w:pPr>
        <w:ind w:firstLine="4200"/>
        <w:spacing w:line="300" w:lineRule="auto"/>
        <w:rPr>
          <w:rFonts w:hint="eastAsia" w:ascii="宋体" w:hAnsi="宋体"/>
          <w:color w:val="auto"/>
          <w:sz w:val="24"/>
          <w:szCs w:val="24"/>
          <w:highlight w:val="none"/>
          <w:lang w:bidi="zh-CN"/>
        </w:rPr>
        <w:outlineLvl w:val="0"/>
      </w:pPr>
      <w:r>
        <w:rPr>
          <w:rFonts w:ascii="宋体" w:hAnsi="宋体"/>
          <w:color w:val="auto"/>
          <w:sz w:val="24"/>
          <w:szCs w:val="24"/>
          <w:highlight w:val="none"/>
          <w:lang w:bidi="zh-CN"/>
        </w:rPr>
        <w:t xml:space="preserve">企业名称（盖章）：</w:t>
      </w:r>
      <w:r/>
    </w:p>
    <w:p>
      <w:pPr>
        <w:ind w:firstLine="4200"/>
        <w:spacing w:line="300" w:lineRule="auto"/>
        <w:rPr>
          <w:rFonts w:ascii="宋体" w:hAnsi="宋体"/>
          <w:color w:val="auto"/>
          <w:sz w:val="28"/>
          <w:szCs w:val="28"/>
          <w:highlight w:val="none"/>
          <w:lang w:bidi="zh-CN"/>
        </w:rPr>
        <w:outlineLvl w:val="0"/>
      </w:pPr>
      <w:r>
        <w:rPr>
          <w:rFonts w:ascii="宋体" w:hAnsi="宋体"/>
          <w:color w:val="auto"/>
          <w:sz w:val="24"/>
          <w:szCs w:val="24"/>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《中小企业划型标准规定》（工信部联企业〔2011〕300号）</w:t>
      </w:r>
      <w:r/>
    </w:p>
    <w:tbl>
      <w:tblPr>
        <w:tblStyle w:val="6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行业名称</w:t>
            </w:r>
            <w:r/>
          </w:p>
        </w:tc>
        <w:tc>
          <w:tcPr>
            <w:tcW w:w="154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指标名称</w:t>
            </w:r>
            <w:r/>
          </w:p>
        </w:tc>
        <w:tc>
          <w:tcPr>
            <w:tcW w:w="75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计量</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W w:w="203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中型</w:t>
            </w:r>
            <w:r/>
          </w:p>
        </w:tc>
        <w:tc>
          <w:tcPr>
            <w:tcW w:w="177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小型</w:t>
            </w:r>
            <w:r/>
          </w:p>
        </w:tc>
        <w:tc>
          <w:tcPr>
            <w:tcW w:w="115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从业人员（X）</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人</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300≤X&lt;1000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20≤X&lt;300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营业收入（Y）</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万元</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2000≤Y&lt;40000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300≤Y&lt;2000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Y&lt;300</w:t>
            </w:r>
            <w:r/>
          </w:p>
        </w:tc>
      </w:tr>
    </w:tbl>
    <w:p>
      <w:pPr>
        <w:spacing w:line="460" w:lineRule="exact"/>
        <w:rPr>
          <w:rFonts w:hint="eastAsia" w:ascii="宋体" w:hAnsi="宋体"/>
          <w:color w:val="auto"/>
          <w:sz w:val="24"/>
          <w:szCs w:val="21"/>
          <w:highlight w:val="none"/>
        </w:rPr>
      </w:pPr>
      <w:r>
        <w:rPr>
          <w:rFonts w:hint="eastAsia" w:ascii="宋体" w:hAnsi="宋体" w:cs="宋体"/>
          <w:color w:val="auto"/>
          <w:szCs w:val="21"/>
          <w:highlight w:val="none"/>
        </w:rPr>
        <w:t xml:space="preserve">说明：大型、中型和小型企业须同时满足所列指标的下限，否则下划一档；微型企业只须满足所列指标中的一项即可。</w:t>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附件12</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宋体" w:hAnsi="宋体"/>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jc w:val="both"/>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ascii="宋体" w:hAnsi="宋体"/>
          <w:color w:val="auto"/>
          <w:sz w:val="32"/>
          <w:szCs w:val="32"/>
          <w:highlight w:val="none"/>
        </w:rPr>
        <w:outlineLvl w:val="0"/>
      </w:pPr>
      <w:r>
        <w:rPr>
          <w:rFonts w:hint="eastAsia" w:ascii="宋体" w:hAnsi="宋体"/>
          <w:color w:val="auto"/>
          <w:sz w:val="32"/>
          <w:szCs w:val="32"/>
          <w:highlight w:val="none"/>
          <w:lang w:val="zh-CN"/>
        </w:rPr>
        <w:t xml:space="preserve">附件13</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6"/>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1"/>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2、成交供应商为监狱企业的，此声明函将随成交结果同时公告，</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接受社会监督。供应商按照本办法规定提供声明函内容不实的，属于</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提供虚假材料谋取中标、成交，依照《中华人民共和国政府采购法》</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等国家有关规定追究相应责任。</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ind w:firstLine="360"/>
        <w:spacing w:line="560" w:lineRule="exact"/>
        <w:rPr>
          <w:rFonts w:hint="eastAsia" w:ascii="宋体" w:hAnsi="宋体"/>
          <w:color w:val="auto"/>
          <w:sz w:val="36"/>
          <w:szCs w:val="36"/>
          <w:highlight w:val="none"/>
        </w:rPr>
      </w:pPr>
      <w:r>
        <w:rPr>
          <w:rFonts w:hint="eastAsia" w:ascii="宋体" w:hAnsi="宋体"/>
          <w:color w:val="auto"/>
          <w:sz w:val="36"/>
          <w:szCs w:val="36"/>
          <w:highlight w:val="none"/>
        </w:rPr>
      </w:r>
      <w:r/>
    </w:p>
    <w:p>
      <w:pPr>
        <w:spacing w:line="300" w:lineRule="auto"/>
        <w:rPr>
          <w:rFonts w:hint="eastAsia" w:ascii="宋体" w:hAnsi="宋体"/>
          <w:color w:val="auto"/>
          <w:sz w:val="32"/>
          <w:szCs w:val="32"/>
          <w:highlight w:val="none"/>
        </w:rPr>
        <w:outlineLvl w:val="0"/>
      </w:pPr>
      <w:r>
        <w:rPr>
          <w:rFonts w:ascii="宋体" w:hAnsi="宋体"/>
          <w:b/>
          <w:color w:val="auto"/>
          <w:sz w:val="32"/>
          <w:szCs w:val="32"/>
          <w:highlight w:val="none"/>
        </w:rPr>
        <w:br w:type="page" w:clear="all"/>
      </w:r>
      <w:r>
        <w:rPr>
          <w:rFonts w:hint="eastAsia" w:ascii="宋体" w:hAnsi="宋体"/>
          <w:color w:val="auto"/>
          <w:sz w:val="32"/>
          <w:szCs w:val="32"/>
          <w:highlight w:val="none"/>
          <w:lang w:val="zh-CN"/>
        </w:rPr>
        <w:t xml:space="preserve">附件14</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181"/>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b/>
          <w:color w:val="auto"/>
          <w:sz w:val="32"/>
          <w:szCs w:val="32"/>
          <w:highlight w:val="none"/>
        </w:rPr>
        <w:outlineLvl w:val="0"/>
      </w:pPr>
      <w:r>
        <w:rPr>
          <w:rFonts w:hint="eastAsia" w:ascii="宋体" w:hAnsi="宋体"/>
          <w:color w:val="auto"/>
          <w:sz w:val="32"/>
          <w:szCs w:val="32"/>
          <w:highlight w:val="none"/>
          <w:lang w:val="zh-CN"/>
        </w:rPr>
        <w:t xml:space="preserve">附件15</w:t>
      </w:r>
      <w:r/>
    </w:p>
    <w:p>
      <w:pPr>
        <w:jc w:val="center"/>
        <w:spacing w:line="580" w:lineRule="exact"/>
        <w:rPr>
          <w:rFonts w:ascii="宋体" w:hAnsi="宋体"/>
          <w:color w:val="auto"/>
          <w:sz w:val="44"/>
          <w:highlight w:val="none"/>
        </w:rPr>
      </w:pPr>
      <w:r>
        <w:rPr>
          <w:rFonts w:hint="eastAsia" w:ascii="宋体" w:hAnsi="宋体"/>
          <w:bCs/>
          <w:color w:val="auto"/>
          <w:sz w:val="44"/>
          <w:szCs w:val="44"/>
          <w:highlight w:val="none"/>
        </w:rPr>
        <w:t xml:space="preserve">办理政采贷和</w:t>
      </w:r>
      <w:r>
        <w:rPr>
          <w:rFonts w:ascii="宋体" w:hAnsi="宋体"/>
          <w:bCs/>
          <w:color w:val="auto"/>
          <w:sz w:val="44"/>
          <w:szCs w:val="44"/>
          <w:highlight w:val="none"/>
        </w:rPr>
        <w:t xml:space="preserve">履</w:t>
      </w:r>
      <w:r>
        <w:rPr>
          <w:rFonts w:hint="eastAsia" w:ascii="宋体" w:hAnsi="宋体"/>
          <w:bCs/>
          <w:color w:val="auto"/>
          <w:sz w:val="44"/>
          <w:szCs w:val="44"/>
          <w:highlight w:val="none"/>
        </w:rPr>
        <w:t xml:space="preserve">约保函（</w:t>
      </w:r>
      <w:r>
        <w:rPr>
          <w:rFonts w:ascii="宋体" w:hAnsi="宋体"/>
          <w:bCs/>
          <w:color w:val="auto"/>
          <w:sz w:val="44"/>
          <w:szCs w:val="44"/>
          <w:highlight w:val="none"/>
        </w:rPr>
        <w:t xml:space="preserve">保险</w:t>
      </w:r>
      <w:r>
        <w:rPr>
          <w:rFonts w:hint="eastAsia" w:ascii="宋体" w:hAnsi="宋体"/>
          <w:bCs/>
          <w:color w:val="auto"/>
          <w:sz w:val="44"/>
          <w:szCs w:val="44"/>
          <w:highlight w:val="none"/>
        </w:rPr>
        <w:t xml:space="preserve">）告知函</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hint="eastAsia" w:ascii="宋体" w:hAnsi="宋体"/>
          <w:color w:val="auto"/>
          <w:sz w:val="32"/>
          <w:highlight w:val="none"/>
        </w:rPr>
        <w:t xml:space="preserve">各政府采购供应商：</w:t>
      </w:r>
      <w:r/>
    </w:p>
    <w:p>
      <w:pPr>
        <w:ind w:firstLine="640"/>
        <w:rPr>
          <w:rFonts w:ascii="宋体" w:hAnsi="宋体"/>
          <w:color w:val="auto"/>
          <w:sz w:val="32"/>
          <w:highlight w:val="none"/>
        </w:rPr>
      </w:pPr>
      <w:r>
        <w:rPr>
          <w:rFonts w:hint="eastAsia" w:ascii="宋体" w:hAnsi="宋体"/>
          <w:color w:val="auto"/>
          <w:sz w:val="32"/>
          <w:highlight w:val="none"/>
        </w:rPr>
        <w:t xml:space="preserve">欢迎贵公司参与南通市政府采购活动！</w:t>
      </w:r>
      <w:r/>
    </w:p>
    <w:p>
      <w:pPr>
        <w:ind w:firstLine="640"/>
        <w:rPr>
          <w:rFonts w:ascii="宋体" w:hAnsi="宋体"/>
          <w:color w:val="auto"/>
          <w:sz w:val="32"/>
          <w:highlight w:val="none"/>
        </w:rPr>
      </w:pPr>
      <w:r>
        <w:rPr>
          <w:rFonts w:hint="eastAsia" w:ascii="宋体" w:hAnsi="宋体"/>
          <w:color w:val="auto"/>
          <w:sz w:val="32"/>
          <w:highlight w:val="none"/>
        </w:rPr>
        <w:t xml:space="preserve">政府采购线上合同信用融资和</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）是支持企业发展，针对参与政府采购活动的企业融资难、现金流不足等问题推出的一项服务举措。</w:t>
      </w:r>
      <w:r/>
    </w:p>
    <w:p>
      <w:pPr>
        <w:ind w:firstLine="640"/>
        <w:spacing w:line="580" w:lineRule="exact"/>
        <w:rPr>
          <w:rFonts w:hint="eastAsia"/>
          <w:color w:val="auto"/>
          <w:highlight w:val="none"/>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hAnsi="宋体"/>
          <w:color w:val="auto"/>
          <w:sz w:val="32"/>
          <w:highlight w:val="none"/>
        </w:rPr>
        <w:t xml:space="preserve">贵公司若成为本次政府采购项目的中标（成交）供应商，</w:t>
      </w:r>
      <w:r>
        <w:rPr>
          <w:rFonts w:hint="eastAsia" w:ascii="宋体" w:hAnsi="宋体"/>
          <w:color w:val="auto"/>
          <w:sz w:val="32"/>
          <w:szCs w:val="32"/>
          <w:highlight w:val="none"/>
        </w:rPr>
        <w:t xml:space="preserve">可自愿选择</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w:t>
      </w:r>
      <w:r>
        <w:rPr>
          <w:rFonts w:hint="eastAsia" w:ascii="宋体" w:hAnsi="宋体"/>
          <w:color w:val="auto"/>
          <w:sz w:val="32"/>
          <w:szCs w:val="32"/>
          <w:highlight w:val="none"/>
        </w:rPr>
        <w:t xml:space="preserve">形式替代履约保证金，也</w:t>
      </w:r>
      <w:r>
        <w:rPr>
          <w:rFonts w:hint="eastAsia" w:ascii="宋体" w:hAnsi="宋体"/>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金山简黑体">
    <w:panose1 w:val="020B0503020202020204"/>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Saturday Sans Regular">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
  </w:p>
  <w:p>
    <w:pPr>
      <w:pStyle w:val="664"/>
    </w:pPr>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
  </w:p>
  <w:p>
    <w:pPr>
      <w:pStyle w:val="666"/>
    </w:pPr>
    <w:r/>
    <w:r/>
  </w:p>
  <w:p>
    <w:pPr>
      <w:pStyle w:val="6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43">
    <w:name w:val="Heading 1"/>
    <w:basedOn w:val="642"/>
    <w:next w:val="642"/>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682"/>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683"/>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684"/>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685"/>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686"/>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88"/>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89"/>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0"/>
    <w:semiHidden/>
    <w:qFormat/>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Body Text"/>
    <w:basedOn w:val="642"/>
    <w:uiPriority w:val="99"/>
    <w:unhideWhenUsed/>
    <w:qFormat/>
    <w:pPr>
      <w:spacing w:after="120" w:afterAutospacing="0"/>
    </w:pPr>
  </w:style>
  <w:style w:type="paragraph" w:styleId="655">
    <w:name w:val="toc 7"/>
    <w:basedOn w:val="642"/>
    <w:next w:val="642"/>
    <w:uiPriority w:val="39"/>
    <w:unhideWhenUsed/>
    <w:qFormat/>
    <w:pPr>
      <w:ind w:left="1701" w:right="0" w:firstLine="0"/>
      <w:spacing w:after="57"/>
    </w:pPr>
  </w:style>
  <w:style w:type="paragraph" w:styleId="656">
    <w:name w:val="Normal Indent"/>
    <w:basedOn w:val="642"/>
    <w:next w:val="642"/>
    <w:uiPriority w:val="0"/>
    <w:qFormat/>
    <w:pPr>
      <w:ind w:firstLine="420"/>
    </w:pPr>
  </w:style>
  <w:style w:type="paragraph" w:styleId="657">
    <w:name w:val="Caption"/>
    <w:basedOn w:val="642"/>
    <w:next w:val="6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8">
    <w:name w:val="Body Text Indent"/>
    <w:basedOn w:val="642"/>
    <w:next w:val="659"/>
    <w:uiPriority w:val="99"/>
    <w:unhideWhenUsed/>
    <w:qFormat/>
    <w:pPr>
      <w:jc w:val="left"/>
      <w:spacing w:before="100" w:beforeAutospacing="1" w:after="100" w:afterAutospacing="1"/>
      <w:shd w:val="clear" w:color="auto" w:fill="ffffff"/>
      <w:widowControl/>
    </w:pPr>
    <w:rPr>
      <w:rFonts w:ascii="Times New Roman" w:hAnsi="Times New Roman" w:cs="宋体"/>
      <w:sz w:val="18"/>
      <w:szCs w:val="18"/>
    </w:rPr>
  </w:style>
  <w:style w:type="paragraph" w:styleId="659">
    <w:name w:val="Body Text First Indent 2"/>
    <w:basedOn w:val="658"/>
    <w:uiPriority w:val="99"/>
    <w:qFormat/>
    <w:pPr>
      <w:ind w:left="0" w:firstLine="420"/>
      <w:spacing w:after="0" w:line="360" w:lineRule="auto"/>
    </w:pPr>
    <w:rPr>
      <w:rFonts w:ascii="宋体" w:hAnsi="宋体"/>
    </w:rPr>
  </w:style>
  <w:style w:type="paragraph" w:styleId="660">
    <w:name w:val="toc 5"/>
    <w:basedOn w:val="642"/>
    <w:next w:val="642"/>
    <w:uiPriority w:val="39"/>
    <w:unhideWhenUsed/>
    <w:qFormat/>
    <w:pPr>
      <w:ind w:left="1134" w:right="0" w:firstLine="0"/>
      <w:spacing w:after="57"/>
    </w:pPr>
  </w:style>
  <w:style w:type="paragraph" w:styleId="661">
    <w:name w:val="toc 3"/>
    <w:basedOn w:val="642"/>
    <w:next w:val="642"/>
    <w:uiPriority w:val="39"/>
    <w:unhideWhenUsed/>
    <w:qFormat/>
    <w:pPr>
      <w:ind w:left="567" w:right="0" w:firstLine="0"/>
      <w:spacing w:after="57"/>
    </w:pPr>
  </w:style>
  <w:style w:type="paragraph" w:styleId="662">
    <w:name w:val="toc 8"/>
    <w:basedOn w:val="642"/>
    <w:next w:val="642"/>
    <w:uiPriority w:val="39"/>
    <w:unhideWhenUsed/>
    <w:qFormat/>
    <w:pPr>
      <w:ind w:left="1984" w:right="0" w:firstLine="0"/>
      <w:spacing w:after="57"/>
    </w:pPr>
  </w:style>
  <w:style w:type="paragraph" w:styleId="663">
    <w:name w:val="endnote text"/>
    <w:basedOn w:val="642"/>
    <w:link w:val="827"/>
    <w:uiPriority w:val="99"/>
    <w:semiHidden/>
    <w:unhideWhenUsed/>
    <w:qFormat/>
    <w:pPr>
      <w:spacing w:after="0" w:line="240" w:lineRule="auto"/>
    </w:pPr>
    <w:rPr>
      <w:sz w:val="20"/>
    </w:rPr>
  </w:style>
  <w:style w:type="paragraph" w:styleId="664">
    <w:name w:val="Footer"/>
    <w:basedOn w:val="642"/>
    <w:uiPriority w:val="0"/>
    <w:qFormat/>
    <w:pPr>
      <w:jc w:val="left"/>
      <w:tabs>
        <w:tab w:val="center" w:pos="4153" w:leader="none"/>
        <w:tab w:val="right" w:pos="8306" w:leader="none"/>
      </w:tabs>
    </w:pPr>
    <w:rPr>
      <w:sz w:val="18"/>
    </w:rPr>
  </w:style>
  <w:style w:type="paragraph" w:styleId="665">
    <w:name w:val="envelope return"/>
    <w:basedOn w:val="642"/>
    <w:uiPriority w:val="99"/>
    <w:unhideWhenUsed/>
    <w:qFormat/>
    <w:rPr>
      <w:rFonts w:ascii="Arial" w:hAnsi="Arial"/>
    </w:rPr>
  </w:style>
  <w:style w:type="paragraph" w:styleId="666">
    <w:name w:val="Header"/>
    <w:basedOn w:val="64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67">
    <w:name w:val="toc 1"/>
    <w:basedOn w:val="642"/>
    <w:next w:val="642"/>
    <w:uiPriority w:val="39"/>
    <w:unhideWhenUsed/>
    <w:qFormat/>
    <w:pPr>
      <w:ind w:left="0" w:right="0" w:firstLine="0"/>
      <w:spacing w:after="57"/>
    </w:pPr>
  </w:style>
  <w:style w:type="paragraph" w:styleId="668">
    <w:name w:val="toc 4"/>
    <w:basedOn w:val="642"/>
    <w:next w:val="642"/>
    <w:uiPriority w:val="39"/>
    <w:unhideWhenUsed/>
    <w:qFormat/>
    <w:pPr>
      <w:ind w:left="850" w:right="0" w:firstLine="0"/>
      <w:spacing w:after="57"/>
    </w:pPr>
  </w:style>
  <w:style w:type="paragraph" w:styleId="669">
    <w:name w:val="Subtitle"/>
    <w:basedOn w:val="642"/>
    <w:next w:val="642"/>
    <w:link w:val="693"/>
    <w:uiPriority w:val="11"/>
    <w:qFormat/>
    <w:pPr>
      <w:spacing w:before="200" w:after="200"/>
    </w:pPr>
    <w:rPr>
      <w:sz w:val="24"/>
      <w:szCs w:val="24"/>
    </w:rPr>
  </w:style>
  <w:style w:type="paragraph" w:styleId="670">
    <w:name w:val="footnote text"/>
    <w:basedOn w:val="642"/>
    <w:link w:val="826"/>
    <w:uiPriority w:val="99"/>
    <w:semiHidden/>
    <w:unhideWhenUsed/>
    <w:qFormat/>
    <w:pPr>
      <w:spacing w:after="40" w:line="240" w:lineRule="auto"/>
    </w:pPr>
    <w:rPr>
      <w:sz w:val="18"/>
    </w:rPr>
  </w:style>
  <w:style w:type="paragraph" w:styleId="671">
    <w:name w:val="toc 6"/>
    <w:basedOn w:val="642"/>
    <w:next w:val="642"/>
    <w:uiPriority w:val="39"/>
    <w:unhideWhenUsed/>
    <w:qFormat/>
    <w:pPr>
      <w:ind w:left="1417" w:right="0" w:firstLine="0"/>
      <w:spacing w:after="57"/>
    </w:pPr>
  </w:style>
  <w:style w:type="paragraph" w:styleId="672">
    <w:name w:val="table of figures"/>
    <w:basedOn w:val="642"/>
    <w:next w:val="642"/>
    <w:uiPriority w:val="99"/>
    <w:unhideWhenUsed/>
    <w:qFormat/>
    <w:pPr>
      <w:spacing w:after="0" w:afterAutospacing="0"/>
    </w:pPr>
  </w:style>
  <w:style w:type="paragraph" w:styleId="673">
    <w:name w:val="toc 2"/>
    <w:basedOn w:val="642"/>
    <w:next w:val="642"/>
    <w:uiPriority w:val="39"/>
    <w:unhideWhenUsed/>
    <w:qFormat/>
    <w:pPr>
      <w:ind w:left="283" w:right="0" w:firstLine="0"/>
      <w:spacing w:after="57"/>
    </w:pPr>
  </w:style>
  <w:style w:type="paragraph" w:styleId="674">
    <w:name w:val="toc 9"/>
    <w:basedOn w:val="642"/>
    <w:next w:val="642"/>
    <w:uiPriority w:val="39"/>
    <w:unhideWhenUsed/>
    <w:qFormat/>
    <w:pPr>
      <w:ind w:left="2268" w:right="0" w:firstLine="0"/>
      <w:spacing w:after="57"/>
    </w:pPr>
  </w:style>
  <w:style w:type="paragraph" w:styleId="675">
    <w:name w:val="Title"/>
    <w:basedOn w:val="642"/>
    <w:next w:val="642"/>
    <w:link w:val="692"/>
    <w:uiPriority w:val="10"/>
    <w:qFormat/>
    <w:pPr>
      <w:contextualSpacing/>
      <w:spacing w:before="300" w:after="200"/>
    </w:pPr>
    <w:rPr>
      <w:sz w:val="48"/>
      <w:szCs w:val="48"/>
    </w:rPr>
  </w:style>
  <w:style w:type="table" w:styleId="676">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7">
    <w:name w:val="Strong"/>
    <w:basedOn w:val="652"/>
    <w:uiPriority w:val="0"/>
    <w:qFormat/>
    <w:rPr>
      <w:b/>
    </w:rPr>
  </w:style>
  <w:style w:type="character" w:styleId="678">
    <w:name w:val="endnote reference"/>
    <w:basedOn w:val="652"/>
    <w:uiPriority w:val="99"/>
    <w:semiHidden/>
    <w:unhideWhenUsed/>
    <w:qFormat/>
    <w:rPr>
      <w:vertAlign w:val="superscript"/>
    </w:rPr>
  </w:style>
  <w:style w:type="character" w:styleId="679">
    <w:name w:val="Hyperlink"/>
    <w:uiPriority w:val="99"/>
    <w:unhideWhenUsed/>
    <w:qFormat/>
    <w:rPr>
      <w:color w:val="0026e5" w:themeColor="hyperlink"/>
      <w:u w:val="single"/>
      <w14:textFill>
        <w14:solidFill>
          <w14:schemeClr w14:val="hlink"/>
        </w14:solidFill>
      </w14:textFill>
    </w:rPr>
  </w:style>
  <w:style w:type="character" w:styleId="680">
    <w:name w:val="footnote reference"/>
    <w:basedOn w:val="652"/>
    <w:uiPriority w:val="99"/>
    <w:unhideWhenUsed/>
    <w:qFormat/>
    <w:rPr>
      <w:vertAlign w:val="superscript"/>
    </w:rPr>
  </w:style>
  <w:style w:type="character" w:styleId="681" w:customStyle="1">
    <w:name w:val="Heading 1 Char"/>
    <w:basedOn w:val="652"/>
    <w:uiPriority w:val="9"/>
    <w:qFormat/>
    <w:rPr>
      <w:rFonts w:ascii="Arial" w:hAnsi="Arial" w:eastAsia="Arial" w:cs="Arial"/>
      <w:sz w:val="40"/>
      <w:szCs w:val="40"/>
    </w:rPr>
  </w:style>
  <w:style w:type="character" w:styleId="682" w:customStyle="1">
    <w:name w:val="Heading 2 Char"/>
    <w:basedOn w:val="652"/>
    <w:link w:val="644"/>
    <w:uiPriority w:val="9"/>
    <w:qFormat/>
    <w:rPr>
      <w:rFonts w:ascii="Arial" w:hAnsi="Arial" w:eastAsia="Arial" w:cs="Arial"/>
      <w:sz w:val="34"/>
    </w:rPr>
  </w:style>
  <w:style w:type="character" w:styleId="683" w:customStyle="1">
    <w:name w:val="Heading 3 Char"/>
    <w:basedOn w:val="652"/>
    <w:link w:val="645"/>
    <w:uiPriority w:val="9"/>
    <w:qFormat/>
    <w:rPr>
      <w:rFonts w:ascii="Arial" w:hAnsi="Arial" w:eastAsia="Arial" w:cs="Arial"/>
      <w:sz w:val="30"/>
      <w:szCs w:val="30"/>
    </w:rPr>
  </w:style>
  <w:style w:type="character" w:styleId="684" w:customStyle="1">
    <w:name w:val="Heading 4 Char"/>
    <w:basedOn w:val="652"/>
    <w:link w:val="646"/>
    <w:uiPriority w:val="9"/>
    <w:qFormat/>
    <w:rPr>
      <w:rFonts w:ascii="Arial" w:hAnsi="Arial" w:eastAsia="Arial" w:cs="Arial"/>
      <w:b/>
      <w:bCs/>
      <w:sz w:val="26"/>
      <w:szCs w:val="26"/>
    </w:rPr>
  </w:style>
  <w:style w:type="character" w:styleId="685" w:customStyle="1">
    <w:name w:val="Heading 5 Char"/>
    <w:basedOn w:val="652"/>
    <w:link w:val="647"/>
    <w:uiPriority w:val="9"/>
    <w:qFormat/>
    <w:rPr>
      <w:rFonts w:ascii="Arial" w:hAnsi="Arial" w:eastAsia="Arial" w:cs="Arial"/>
      <w:b/>
      <w:bCs/>
      <w:sz w:val="24"/>
      <w:szCs w:val="24"/>
    </w:rPr>
  </w:style>
  <w:style w:type="character" w:styleId="686" w:customStyle="1">
    <w:name w:val="Heading 6 Char"/>
    <w:basedOn w:val="652"/>
    <w:link w:val="648"/>
    <w:uiPriority w:val="9"/>
    <w:qFormat/>
    <w:rPr>
      <w:rFonts w:ascii="Arial" w:hAnsi="Arial" w:eastAsia="Arial" w:cs="Arial"/>
      <w:b/>
      <w:bCs/>
      <w:sz w:val="22"/>
      <w:szCs w:val="22"/>
    </w:rPr>
  </w:style>
  <w:style w:type="character" w:styleId="687" w:customStyle="1">
    <w:name w:val="Heading 7 Char"/>
    <w:basedOn w:val="652"/>
    <w:link w:val="649"/>
    <w:uiPriority w:val="9"/>
    <w:qFormat/>
    <w:rPr>
      <w:rFonts w:ascii="Arial" w:hAnsi="Arial" w:eastAsia="Arial" w:cs="Arial"/>
      <w:b/>
      <w:bCs/>
      <w:i/>
      <w:iCs/>
      <w:sz w:val="22"/>
      <w:szCs w:val="22"/>
    </w:rPr>
  </w:style>
  <w:style w:type="character" w:styleId="688" w:customStyle="1">
    <w:name w:val="Heading 8 Char"/>
    <w:basedOn w:val="652"/>
    <w:link w:val="650"/>
    <w:uiPriority w:val="9"/>
    <w:qFormat/>
    <w:rPr>
      <w:rFonts w:ascii="Arial" w:hAnsi="Arial" w:eastAsia="Arial" w:cs="Arial"/>
      <w:i/>
      <w:iCs/>
      <w:sz w:val="22"/>
      <w:szCs w:val="22"/>
    </w:rPr>
  </w:style>
  <w:style w:type="character" w:styleId="689" w:customStyle="1">
    <w:name w:val="Heading 9 Char"/>
    <w:basedOn w:val="652"/>
    <w:link w:val="651"/>
    <w:uiPriority w:val="9"/>
    <w:qFormat/>
    <w:rPr>
      <w:rFonts w:ascii="Arial" w:hAnsi="Arial" w:eastAsia="Arial" w:cs="Arial"/>
      <w:i/>
      <w:iCs/>
      <w:sz w:val="21"/>
      <w:szCs w:val="21"/>
    </w:rPr>
  </w:style>
  <w:style w:type="paragraph" w:styleId="690">
    <w:name w:val="List Paragraph"/>
    <w:basedOn w:val="642"/>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basedOn w:val="652"/>
    <w:link w:val="675"/>
    <w:uiPriority w:val="10"/>
    <w:qFormat/>
    <w:rPr>
      <w:sz w:val="48"/>
      <w:szCs w:val="48"/>
    </w:rPr>
  </w:style>
  <w:style w:type="character" w:styleId="693" w:customStyle="1">
    <w:name w:val="Subtitle Char"/>
    <w:basedOn w:val="652"/>
    <w:link w:val="669"/>
    <w:uiPriority w:val="11"/>
    <w:qFormat/>
    <w:rPr>
      <w:sz w:val="24"/>
      <w:szCs w:val="24"/>
    </w:rPr>
  </w:style>
  <w:style w:type="paragraph" w:styleId="694">
    <w:name w:val="Quote"/>
    <w:basedOn w:val="642"/>
    <w:next w:val="642"/>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2"/>
    <w:next w:val="642"/>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basedOn w:val="652"/>
    <w:uiPriority w:val="99"/>
    <w:qFormat/>
  </w:style>
  <w:style w:type="character" w:styleId="699" w:customStyle="1">
    <w:name w:val="Footer Char"/>
    <w:basedOn w:val="652"/>
    <w:uiPriority w:val="99"/>
    <w:qFormat/>
  </w:style>
  <w:style w:type="character" w:styleId="700" w:customStyle="1">
    <w:name w:val="Caption Char"/>
    <w:uiPriority w:val="99"/>
    <w:qFormat/>
  </w:style>
  <w:style w:type="table" w:styleId="701" w:customStyle="1">
    <w:name w:val="Table Grid Light"/>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basedOn w:val="6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basedOn w:val="6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basedOn w:val="6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basedOn w:val="6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basedOn w:val="6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0" w:customStyle="1">
    <w:name w:val="Grid Table 2 - Accent 6"/>
    <w:basedOn w:val="6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1"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basedOn w:val="6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basedOn w:val="6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basedOn w:val="6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basedOn w:val="6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0" w:customStyle="1">
    <w:name w:val="Grid Table 4 - Accent 2"/>
    <w:basedOn w:val="6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1" w:customStyle="1">
    <w:name w:val="Grid Table 4 - Accent 3"/>
    <w:basedOn w:val="6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2" w:customStyle="1">
    <w:name w:val="Grid Table 4 - Accent 4"/>
    <w:basedOn w:val="6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3" w:customStyle="1">
    <w:name w:val="Grid Table 4 - Accent 5"/>
    <w:basedOn w:val="6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4" w:customStyle="1">
    <w:name w:val="Grid Table 4 - Accent 6"/>
    <w:basedOn w:val="6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5" w:customStyle="1">
    <w:name w:val="Grid Table 5 Dark"/>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AEACE" w:themeColor="light1" w:sz="4" w:space="0"/>
        </w:tcBorders>
      </w:tcPr>
    </w:tblStylePr>
  </w:style>
  <w:style w:type="table" w:styleId="736" w:customStyle="1">
    <w:name w:val="Grid Table 5 Dark- Accent 1"/>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CAEACE" w:themeColor="light1" w:sz="4" w:space="0"/>
        </w:tcBorders>
      </w:tcPr>
    </w:tblStylePr>
  </w:style>
  <w:style w:type="table" w:styleId="737" w:customStyle="1">
    <w:name w:val="Grid Table 5 Dark - Accent 2"/>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CAEACE" w:themeColor="light1" w:sz="4" w:space="0"/>
        </w:tcBorders>
      </w:tcPr>
    </w:tblStylePr>
  </w:style>
  <w:style w:type="table" w:styleId="738" w:customStyle="1">
    <w:name w:val="Grid Table 5 Dark - Accent 3"/>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CAEACE" w:themeColor="light1" w:sz="4" w:space="0"/>
        </w:tcBorders>
      </w:tcPr>
    </w:tblStylePr>
  </w:style>
  <w:style w:type="table" w:styleId="739" w:customStyle="1">
    <w:name w:val="Grid Table 5 Dark- Accent 4"/>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CAEACE" w:themeColor="light1" w:sz="4" w:space="0"/>
        </w:tcBorders>
      </w:tcPr>
    </w:tblStylePr>
  </w:style>
  <w:style w:type="table" w:styleId="740" w:customStyle="1">
    <w:name w:val="Grid Table 5 Dark - Accent 5"/>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CAEACE" w:themeColor="light1" w:sz="4" w:space="0"/>
        </w:tcBorders>
      </w:tcPr>
    </w:tblStylePr>
  </w:style>
  <w:style w:type="table" w:styleId="741" w:customStyle="1">
    <w:name w:val="Grid Table 5 Dark - Accent 6"/>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CAEACE" w:themeColor="light1" w:sz="4" w:space="0"/>
        </w:tcBorders>
      </w:tcPr>
    </w:tblStylePr>
  </w:style>
  <w:style w:type="table" w:styleId="742"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basedOn w:val="6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4" w:customStyle="1">
    <w:name w:val="Grid Table 6 Colorful - Accent 2"/>
    <w:basedOn w:val="6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5" w:customStyle="1">
    <w:name w:val="Grid Table 6 Colorful - Accent 3"/>
    <w:basedOn w:val="6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6" w:customStyle="1">
    <w:name w:val="Grid Table 6 Colorful - Accent 4"/>
    <w:basedOn w:val="6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7" w:customStyle="1">
    <w:name w:val="Grid Table 6 Colorful - Accent 5"/>
    <w:basedOn w:val="6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8" w:customStyle="1">
    <w:name w:val="Grid Table 6 Colorful - Accent 6"/>
    <w:basedOn w:val="6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9"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basedOn w:val="6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basedOn w:val="6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basedOn w:val="6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basedOn w:val="6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basedOn w:val="6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caeace" w:themeColor="light1" w:fill="caeace"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caeace" w:themeColor="light1" w:fill="caeace"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basedOn w:val="6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caeace" w:themeColor="light1" w:fill="caeace"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caeace" w:themeColor="light1" w:fill="caeace"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basedOn w:val="6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8" w:customStyle="1">
    <w:name w:val="List Table 1 Light - Accent 2"/>
    <w:basedOn w:val="6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9" w:customStyle="1">
    <w:name w:val="List Table 1 Light - Accent 3"/>
    <w:basedOn w:val="6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0" w:customStyle="1">
    <w:name w:val="List Table 1 Light - Accent 4"/>
    <w:basedOn w:val="6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basedOn w:val="6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List Table 1 Light - Accent 6"/>
    <w:basedOn w:val="6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basedOn w:val="6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5" w:customStyle="1">
    <w:name w:val="List Table 2 - Accent 2"/>
    <w:basedOn w:val="6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6" w:customStyle="1">
    <w:name w:val="List Table 2 - Accent 3"/>
    <w:basedOn w:val="6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7" w:customStyle="1">
    <w:name w:val="List Table 2 - Accent 4"/>
    <w:basedOn w:val="6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8" w:customStyle="1">
    <w:name w:val="List Table 2 - Accent 5"/>
    <w:basedOn w:val="6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9" w:customStyle="1">
    <w:name w:val="List Table 2 - Accent 6"/>
    <w:basedOn w:val="6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0"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basedOn w:val="6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2" w:customStyle="1">
    <w:name w:val="List Table 3 - Accent 2"/>
    <w:basedOn w:val="6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3" w:customStyle="1">
    <w:name w:val="List Table 3 - Accent 3"/>
    <w:basedOn w:val="6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4" w:customStyle="1">
    <w:name w:val="List Table 3 - Accent 4"/>
    <w:basedOn w:val="6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5" w:customStyle="1">
    <w:name w:val="List Table 3 - Accent 5"/>
    <w:basedOn w:val="6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6" w:customStyle="1">
    <w:name w:val="List Table 3 - Accent 6"/>
    <w:basedOn w:val="6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7"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basedOn w:val="6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9" w:customStyle="1">
    <w:name w:val="List Table 4 - Accent 2"/>
    <w:basedOn w:val="6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0" w:customStyle="1">
    <w:name w:val="List Table 4 - Accent 3"/>
    <w:basedOn w:val="6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1" w:customStyle="1">
    <w:name w:val="List Table 4 - Accent 4"/>
    <w:basedOn w:val="6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2" w:customStyle="1">
    <w:name w:val="List Table 4 - Accent 5"/>
    <w:basedOn w:val="6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3" w:customStyle="1">
    <w:name w:val="List Table 4 - Accent 6"/>
    <w:basedOn w:val="6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4"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1Vert">
      <w:tcPr>
        <w:shd w:val="clear" w:color="7e7e7e" w:themeColor="text1" w:themeTint="80" w:fill="7e7e7e" w:themeFill="text1" w:themeFillTint="80"/>
        <w:tcBorders>
          <w:left w:val="single" w:color="CAEACE" w:themeColor="light1" w:sz="4" w:space="0"/>
          <w:right w:val="single" w:color="CAEACE" w:themeColor="light1" w:sz="4" w:space="0"/>
        </w:tcBorders>
      </w:tcPr>
    </w:tblStylePr>
    <w:tblStylePr w:type="band2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E7E7E" w:themeColor="text1" w:themeTint="80"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AEACE" w:themeColor="light1" w:sz="12" w:space="0"/>
        </w:tcBorders>
      </w:tcPr>
    </w:tblStylePr>
    <w:tblStylePr w:type="lastCol">
      <w:tcPr>
        <w:tcBorders>
          <w:left w:val="single" w:color="CAEACE" w:themeColor="light1" w:sz="4" w:space="0"/>
          <w:right w:val="single" w:color="7E7E7E" w:themeColor="text1" w:themeTint="80"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5" w:customStyle="1">
    <w:name w:val="List Table 5 Dark - Accent 1"/>
    <w:basedOn w:val="6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CAEACE" w:themeColor="light1" w:sz="4" w:space="0"/>
          <w:bottom w:val="single" w:color="CAEACE" w:themeColor="light1" w:sz="4" w:space="0"/>
        </w:tcBorders>
      </w:tcPr>
    </w:tblStylePr>
    <w:tblStylePr w:type="band1Vert">
      <w:tcPr>
        <w:shd w:val="clear" w:color="4874cb" w:themeColor="accent1" w:fill="4874cb" w:themeFill="accent1"/>
        <w:tcBorders>
          <w:left w:val="single" w:color="CAEACE" w:themeColor="light1" w:sz="4" w:space="0"/>
          <w:right w:val="single" w:color="CAEACE" w:themeColor="light1" w:sz="4" w:space="0"/>
        </w:tcBorders>
      </w:tcPr>
    </w:tblStylePr>
    <w:tblStylePr w:type="band2Horz">
      <w:tcPr>
        <w:shd w:val="clear" w:color="4874cb" w:themeColor="accent1" w:fill="4874cb" w:themeFill="accent1"/>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4874CB" w:themeColor="accent1"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CAEACE" w:themeColor="light1" w:sz="12" w:space="0"/>
        </w:tcBorders>
      </w:tcPr>
    </w:tblStylePr>
    <w:tblStylePr w:type="lastCol">
      <w:tcPr>
        <w:tcBorders>
          <w:left w:val="single" w:color="CAEACE" w:themeColor="light1" w:sz="4" w:space="0"/>
          <w:right w:val="single" w:color="4874CB" w:themeColor="accent1"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6" w:customStyle="1">
    <w:name w:val="List Table 5 Dark - Accent 2"/>
    <w:basedOn w:val="6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CAEACE" w:themeColor="light1" w:sz="4" w:space="0"/>
          <w:bottom w:val="single" w:color="CAEACE" w:themeColor="light1" w:sz="4" w:space="0"/>
        </w:tcBorders>
      </w:tcPr>
    </w:tblStylePr>
    <w:tblStylePr w:type="band1Vert">
      <w:tcPr>
        <w:shd w:val="clear" w:color="f4b483" w:themeColor="accent2" w:themeTint="97" w:fill="f4b483" w:themeFill="accent2" w:themeFillTint="97"/>
        <w:tcBorders>
          <w:left w:val="single" w:color="CAEACE" w:themeColor="light1" w:sz="4" w:space="0"/>
          <w:right w:val="single" w:color="CAEACE" w:themeColor="light1" w:sz="4" w:space="0"/>
        </w:tcBorders>
      </w:tcPr>
    </w:tblStylePr>
    <w:tblStylePr w:type="band2Horz">
      <w:tcPr>
        <w:shd w:val="clear" w:color="f4b483" w:themeColor="accent2" w:themeTint="97" w:fill="f4b483" w:themeFill="accent2" w:themeFillTint="97"/>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4B483" w:themeColor="accent2" w:themeTint="97"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CAEACE" w:themeColor="light1" w:sz="12" w:space="0"/>
        </w:tcBorders>
      </w:tcPr>
    </w:tblStylePr>
    <w:tblStylePr w:type="lastCol">
      <w:tcPr>
        <w:tcBorders>
          <w:left w:val="single" w:color="CAEACE" w:themeColor="light1" w:sz="4" w:space="0"/>
          <w:right w:val="single" w:color="F4B483" w:themeColor="accent2" w:themeTint="97"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7" w:customStyle="1">
    <w:name w:val="List Table 5 Dark - Accent 3"/>
    <w:basedOn w:val="6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CAEACE" w:themeColor="light1" w:sz="4" w:space="0"/>
          <w:bottom w:val="single" w:color="CAEACE" w:themeColor="light1" w:sz="4" w:space="0"/>
        </w:tcBorders>
      </w:tcPr>
    </w:tblStylePr>
    <w:tblStylePr w:type="band1Vert">
      <w:tcPr>
        <w:shd w:val="clear" w:color="fdd961" w:themeColor="accent3" w:themeTint="98" w:fill="fdd961" w:themeFill="accent3" w:themeFillTint="98"/>
        <w:tcBorders>
          <w:left w:val="single" w:color="CAEACE" w:themeColor="light1" w:sz="4" w:space="0"/>
          <w:right w:val="single" w:color="CAEACE" w:themeColor="light1" w:sz="4" w:space="0"/>
        </w:tcBorders>
      </w:tcPr>
    </w:tblStylePr>
    <w:tblStylePr w:type="band2Horz">
      <w:tcPr>
        <w:shd w:val="clear" w:color="fdd961" w:themeColor="accent3" w:themeTint="98" w:fill="fdd961" w:themeFill="accent3"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DD961" w:themeColor="accent3"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CAEACE" w:themeColor="light1" w:sz="12" w:space="0"/>
        </w:tcBorders>
      </w:tcPr>
    </w:tblStylePr>
    <w:tblStylePr w:type="lastCol">
      <w:tcPr>
        <w:tcBorders>
          <w:left w:val="single" w:color="CAEACE" w:themeColor="light1" w:sz="4" w:space="0"/>
          <w:right w:val="single" w:color="FDD961" w:themeColor="accent3"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8" w:customStyle="1">
    <w:name w:val="List Table 5 Dark - Accent 4"/>
    <w:basedOn w:val="6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CAEACE" w:themeColor="light1" w:sz="4" w:space="0"/>
          <w:bottom w:val="single" w:color="CAEACE" w:themeColor="light1" w:sz="4" w:space="0"/>
        </w:tcBorders>
      </w:tcPr>
    </w:tblStylePr>
    <w:tblStylePr w:type="band1Vert">
      <w:tcPr>
        <w:shd w:val="clear" w:color="abd78c" w:themeColor="accent4" w:themeTint="9A" w:fill="abd78c" w:themeFill="accent4" w:themeFillTint="9A"/>
        <w:tcBorders>
          <w:left w:val="single" w:color="CAEACE" w:themeColor="light1" w:sz="4" w:space="0"/>
          <w:right w:val="single" w:color="CAEACE" w:themeColor="light1" w:sz="4" w:space="0"/>
        </w:tcBorders>
      </w:tcPr>
    </w:tblStylePr>
    <w:tblStylePr w:type="band2Horz">
      <w:tcPr>
        <w:shd w:val="clear" w:color="abd78c" w:themeColor="accent4" w:themeTint="9A" w:fill="abd78c" w:themeFill="accent4"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ABD78C" w:themeColor="accent4"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CAEACE" w:themeColor="light1" w:sz="12" w:space="0"/>
        </w:tcBorders>
      </w:tcPr>
    </w:tblStylePr>
    <w:tblStylePr w:type="lastCol">
      <w:tcPr>
        <w:tcBorders>
          <w:left w:val="single" w:color="CAEACE" w:themeColor="light1" w:sz="4" w:space="0"/>
          <w:right w:val="single" w:color="ABD78C" w:themeColor="accent4"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9" w:customStyle="1">
    <w:name w:val="List Table 5 Dark - Accent 5"/>
    <w:basedOn w:val="6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CAEACE" w:themeColor="light1" w:sz="4" w:space="0"/>
          <w:bottom w:val="single" w:color="CAEACE" w:themeColor="light1" w:sz="4" w:space="0"/>
        </w:tcBorders>
      </w:tcPr>
    </w:tblStylePr>
    <w:tblStylePr w:type="band1Vert">
      <w:tcPr>
        <w:shd w:val="clear" w:color="7cded6" w:themeColor="accent5" w:themeTint="9A" w:fill="7cded6" w:themeFill="accent5" w:themeFillTint="9A"/>
        <w:tcBorders>
          <w:left w:val="single" w:color="CAEACE" w:themeColor="light1" w:sz="4" w:space="0"/>
          <w:right w:val="single" w:color="CAEACE" w:themeColor="light1" w:sz="4" w:space="0"/>
        </w:tcBorders>
      </w:tcPr>
    </w:tblStylePr>
    <w:tblStylePr w:type="band2Horz">
      <w:tcPr>
        <w:shd w:val="clear" w:color="7cded6" w:themeColor="accent5" w:themeTint="9A" w:fill="7cded6" w:themeFill="accent5"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CDED6" w:themeColor="accent5"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CAEACE" w:themeColor="light1" w:sz="12" w:space="0"/>
        </w:tcBorders>
      </w:tcPr>
    </w:tblStylePr>
    <w:tblStylePr w:type="lastCol">
      <w:tcPr>
        <w:tcBorders>
          <w:left w:val="single" w:color="CAEACE" w:themeColor="light1" w:sz="4" w:space="0"/>
          <w:right w:val="single" w:color="7CDED6" w:themeColor="accent5"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90" w:customStyle="1">
    <w:name w:val="List Table 5 Dark - Accent 6"/>
    <w:basedOn w:val="6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CAEACE" w:themeColor="light1" w:sz="4" w:space="0"/>
          <w:bottom w:val="single" w:color="CAEACE" w:themeColor="light1" w:sz="4" w:space="0"/>
        </w:tcBorders>
      </w:tcPr>
    </w:tblStylePr>
    <w:tblStylePr w:type="band1Vert">
      <w:tcPr>
        <w:shd w:val="clear" w:color="ef949f" w:themeColor="accent6" w:themeTint="98" w:fill="ef949f" w:themeFill="accent6" w:themeFillTint="98"/>
        <w:tcBorders>
          <w:left w:val="single" w:color="CAEACE" w:themeColor="light1" w:sz="4" w:space="0"/>
          <w:right w:val="single" w:color="CAEACE" w:themeColor="light1" w:sz="4" w:space="0"/>
        </w:tcBorders>
      </w:tcPr>
    </w:tblStylePr>
    <w:tblStylePr w:type="band2Horz">
      <w:tcPr>
        <w:shd w:val="clear" w:color="ef949f" w:themeColor="accent6" w:themeTint="98" w:fill="ef949f" w:themeFill="accent6"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EF949F" w:themeColor="accent6"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CAEACE" w:themeColor="light1" w:sz="12" w:space="0"/>
        </w:tcBorders>
      </w:tcPr>
    </w:tblStylePr>
    <w:tblStylePr w:type="lastCol">
      <w:tcPr>
        <w:tcBorders>
          <w:left w:val="single" w:color="CAEACE" w:themeColor="light1" w:sz="4" w:space="0"/>
          <w:right w:val="single" w:color="EF949F" w:themeColor="accent6"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91"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basedOn w:val="6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3" w:customStyle="1">
    <w:name w:val="List Table 6 Colorful - Accent 2"/>
    <w:basedOn w:val="6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4" w:customStyle="1">
    <w:name w:val="List Table 6 Colorful - Accent 3"/>
    <w:basedOn w:val="6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5" w:customStyle="1">
    <w:name w:val="List Table 6 Colorful - Accent 4"/>
    <w:basedOn w:val="6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6" w:customStyle="1">
    <w:name w:val="List Table 6 Colorful - Accent 5"/>
    <w:basedOn w:val="6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7" w:customStyle="1">
    <w:name w:val="List Table 6 Colorful - Accent 6"/>
    <w:basedOn w:val="6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8"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basedOn w:val="6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caeace" w:themeColor="light1" w:fill="caeace"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caeace" w:themeColor="light1" w:fill="caeace"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basedOn w:val="6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basedOn w:val="6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basedOn w:val="6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basedOn w:val="6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basedOn w:val="6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5" w:customStyle="1">
    <w:name w:val="Lined - Accent"/>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7" w:customStyle="1">
    <w:name w:val="Lined - Accent 2"/>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8" w:customStyle="1">
    <w:name w:val="Lined - Accent 3"/>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9" w:customStyle="1">
    <w:name w:val="Lined - Accent 4"/>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0" w:customStyle="1">
    <w:name w:val="Lined - Accent 5"/>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1" w:customStyle="1">
    <w:name w:val="Lined - Accent 6"/>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2" w:customStyle="1">
    <w:name w:val="Bordered &amp; Lined - Accent"/>
    <w:basedOn w:val="6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basedOn w:val="6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4" w:customStyle="1">
    <w:name w:val="Bordered &amp; Lined - Accent 2"/>
    <w:basedOn w:val="6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5" w:customStyle="1">
    <w:name w:val="Bordered &amp; Lined - Accent 3"/>
    <w:basedOn w:val="6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6" w:customStyle="1">
    <w:name w:val="Bordered &amp; Lined - Accent 4"/>
    <w:basedOn w:val="6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7" w:customStyle="1">
    <w:name w:val="Bordered &amp; Lined - Accent 5"/>
    <w:basedOn w:val="6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8" w:customStyle="1">
    <w:name w:val="Bordered &amp; Lined - Accent 6"/>
    <w:basedOn w:val="6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9" w:customStyle="1">
    <w:name w:val="Bordered"/>
    <w:basedOn w:val="6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basedOn w:val="6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1" w:customStyle="1">
    <w:name w:val="Bordered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2" w:customStyle="1">
    <w:name w:val="Bordered - Accent 3"/>
    <w:basedOn w:val="6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3" w:customStyle="1">
    <w:name w:val="Bordered - Accent 4"/>
    <w:basedOn w:val="6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4" w:customStyle="1">
    <w:name w:val="Bordered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5" w:customStyle="1">
    <w:name w:val="Bordered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6" w:customStyle="1">
    <w:name w:val="Footnote Text Char"/>
    <w:link w:val="670"/>
    <w:uiPriority w:val="99"/>
    <w:qFormat/>
    <w:rPr>
      <w:sz w:val="18"/>
    </w:rPr>
  </w:style>
  <w:style w:type="character" w:styleId="827" w:customStyle="1">
    <w:name w:val="Endnote Text Char"/>
    <w:link w:val="663"/>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reader-word-layer"/>
    <w:basedOn w:val="642"/>
    <w:uiPriority w:val="0"/>
    <w:qFormat/>
    <w:pPr>
      <w:jc w:val="left"/>
      <w:spacing w:before="100" w:beforeAutospacing="1" w:after="100" w:afterAutospacing="1"/>
      <w:widowControl/>
    </w:pPr>
    <w:rPr>
      <w:rFonts w:ascii="宋体" w:hAnsi="宋体" w:cs="宋体"/>
      <w:sz w:val="24"/>
      <w:szCs w:val="24"/>
    </w:rPr>
  </w:style>
  <w:style w:type="paragraph" w:styleId="830" w:customStyle="1">
    <w:name w:val="正文文本缩进 21"/>
    <w:basedOn w:val="642"/>
    <w:uiPriority w:val="0"/>
    <w:qFormat/>
    <w:pPr>
      <w:ind w:left="630" w:firstLine="645"/>
    </w:pPr>
    <w:rPr>
      <w:rFonts w:ascii="Arial" w:hAnsi="Arial" w:eastAsia="仿宋_GB2312"/>
      <w:sz w:val="32"/>
      <w:szCs w:val="32"/>
    </w:rPr>
  </w:style>
  <w:style w:type="paragraph" w:styleId="831" w:customStyle="1">
    <w:name w:val="BodyText1I21"/>
    <w:basedOn w:val="832"/>
    <w:uiPriority w:val="0"/>
    <w:qFormat/>
    <w:pPr>
      <w:ind w:firstLine="200"/>
    </w:pPr>
  </w:style>
  <w:style w:type="paragraph" w:styleId="832" w:customStyle="1">
    <w:name w:val="BodyTextIndent1"/>
    <w:basedOn w:val="642"/>
    <w:uiPriority w:val="0"/>
    <w:qFormat/>
    <w:pPr>
      <w:ind w:left="420"/>
      <w:spacing w:after="120"/>
    </w:pPr>
  </w:style>
  <w:style w:type="paragraph" w:styleId="833" w:customStyle="1">
    <w:name w:val="正文首行缩进 21"/>
    <w:basedOn w:val="834"/>
    <w:uiPriority w:val="99"/>
    <w:unhideWhenUsed/>
    <w:qFormat/>
    <w:pPr>
      <w:ind w:firstLine="200"/>
    </w:pPr>
  </w:style>
  <w:style w:type="paragraph" w:styleId="834" w:customStyle="1">
    <w:name w:val="正文文本缩进1"/>
    <w:basedOn w:val="642"/>
    <w:next w:val="835"/>
    <w:uiPriority w:val="0"/>
    <w:unhideWhenUsed/>
    <w:qFormat/>
    <w:pPr>
      <w:ind w:left="420"/>
      <w:spacing w:after="120"/>
    </w:pPr>
  </w:style>
  <w:style w:type="paragraph" w:styleId="835" w:customStyle="1">
    <w:name w:val="寄信人地址1"/>
    <w:basedOn w:val="642"/>
    <w:uiPriority w:val="0"/>
    <w:unhideWhenUsed/>
    <w:qFormat/>
    <w:rPr>
      <w:rFonts w:ascii="Arial" w:hAnsi="Arial"/>
    </w:rPr>
  </w:style>
  <w:style w:type="paragraph" w:styleId="836" w:customStyle="1">
    <w:name w:val="BodyText"/>
    <w:uiPriority w:val="0"/>
    <w:qFormat/>
    <w:pPr>
      <w:spacing w:after="120"/>
      <w:widowControl w:val="off"/>
    </w:pPr>
    <w:rPr>
      <w:rFonts w:hint="default" w:ascii="Calibri" w:hAnsi="宋体" w:eastAsia="宋体" w:cs="宋体"/>
      <w:szCs w:val="22"/>
      <w:lang w:val="en-US" w:eastAsia="zh-CN" w:bidi="ar-SA"/>
    </w:rPr>
  </w:style>
  <w:style w:type="character" w:styleId="837" w:customStyle="1">
    <w:name w:val="font41"/>
    <w:basedOn w:val="652"/>
    <w:uiPriority w:val="0"/>
    <w:qFormat/>
    <w:rPr>
      <w:rFonts w:hint="default" w:ascii="Saturday Sans Regular" w:hAnsi="Saturday Sans Regular" w:eastAsia="Saturday Sans Regular" w:cs="Saturday Sans Regular"/>
      <w:color w:val="000000"/>
      <w:sz w:val="18"/>
      <w:szCs w:val="18"/>
      <w:u w:val="none"/>
    </w:rPr>
  </w:style>
  <w:style w:type="character" w:styleId="838" w:customStyle="1">
    <w:name w:val="font31"/>
    <w:basedOn w:val="652"/>
    <w:uiPriority w:val="0"/>
    <w:qFormat/>
    <w:rPr>
      <w:rFonts w:hint="default" w:ascii="Cambria" w:hAnsi="Cambria" w:eastAsia="Cambria" w:cs="Cambria"/>
      <w:color w:val="000000"/>
      <w:sz w:val="18"/>
      <w:szCs w:val="18"/>
      <w:u w:val="none"/>
    </w:rPr>
  </w:style>
  <w:style w:type="character" w:styleId="839" w:customStyle="1">
    <w:name w:val="font21"/>
    <w:basedOn w:val="652"/>
    <w:uiPriority w:val="0"/>
    <w:qFormat/>
    <w:rPr>
      <w:rFonts w:hint="default" w:ascii="Cambria" w:hAnsi="Cambria" w:eastAsia="Cambria" w:cs="Cambria"/>
      <w:b/>
      <w:bCs/>
      <w:color w:val="000000"/>
      <w:sz w:val="20"/>
      <w:szCs w:val="20"/>
      <w:u w:val="none"/>
    </w:rPr>
  </w:style>
  <w:style w:type="character" w:styleId="840" w:customStyle="1">
    <w:name w:val="font51"/>
    <w:basedOn w:val="652"/>
    <w:uiPriority w:val="0"/>
    <w:qFormat/>
    <w:rPr>
      <w:rFonts w:hint="default" w:ascii="Saturday Sans Regular" w:hAnsi="Saturday Sans Regular" w:eastAsia="Saturday Sans Regular" w:cs="Saturday Sans Regular"/>
      <w:color w:val="000000"/>
      <w:sz w:val="18"/>
      <w:szCs w:val="18"/>
      <w:u w:val="none"/>
    </w:rPr>
  </w:style>
  <w:style w:type="character" w:styleId="841" w:customStyle="1">
    <w:name w:val="font01"/>
    <w:basedOn w:val="842"/>
    <w:uiPriority w:val="0"/>
    <w:qFormat/>
    <w:rPr>
      <w:sz w:val="21"/>
      <w:szCs w:val="24"/>
      <w:lang w:val="en-US" w:eastAsia="zh-CN" w:bidi="ar-SA"/>
    </w:rPr>
  </w:style>
  <w:style w:type="character" w:styleId="842" w:customStyle="1">
    <w:name w:val="默认段落字体1"/>
    <w:uiPriority w:val="1"/>
    <w:unhideWhenUsed/>
    <w:qFormat/>
  </w:style>
  <w:style w:type="paragraph" w:styleId="843" w:customStyle="1">
    <w:name w:val="2"/>
    <w:next w:val="642"/>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844" w:customStyle="1">
    <w:name w:val="Table Normal"/>
    <w:uiPriority w:val="0"/>
    <w:semiHidden/>
    <w:unhideWhenUsed/>
    <w:qFormat/>
    <w:tblPr>
      <w:tblCellMar>
        <w:left w:w="0" w:type="dxa"/>
        <w:top w:w="0" w:type="dxa"/>
        <w:right w:w="0" w:type="dxa"/>
        <w:bottom w:w="0" w:type="dxa"/>
      </w:tblCellMar>
    </w:tblPr>
  </w:style>
  <w:style w:type="paragraph" w:styleId="845" w:customStyle="1">
    <w:name w:val="正文文本1"/>
    <w:basedOn w:val="642"/>
    <w:next w:val="642"/>
    <w:uiPriority w:val="0"/>
    <w:qFormat/>
    <w:rPr>
      <w:rFonts w:ascii="金山简黑体" w:hAnsi="Courier New" w:eastAsia="金山简黑体"/>
      <w:b/>
      <w:spacing w:val="-8"/>
      <w:sz w:val="44"/>
      <w:szCs w:val="20"/>
    </w:rPr>
  </w:style>
  <w:style w:type="numbering" w:styleId="9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万丽丽</cp:lastModifiedBy>
  <cp:revision>7</cp:revision>
  <dcterms:created xsi:type="dcterms:W3CDTF">2026-05-19T06:46:00Z</dcterms:created>
  <dcterms:modified xsi:type="dcterms:W3CDTF">2026-09-09T08:47:47Z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A4541F610DA54D70A1AF912787DD48F3_13</vt:lpwstr>
  </property>
  <property fmtid="{D5CDD505-2E9C-101B-9397-08002B2CF9AE}" pid="4" name="KSOTemplateDocerSaveRecord">
    <vt:lpwstr>eyJoZGlkIjoiOTk4ZDg2NmU3YTRhODY5ZGMxNjM2NTkzYjIwZTkyZWUiLCJ1c2VySWQiOiI1NzU0MTI5ODYifQ==</vt:lpwstr>
  </property>
</Properties>
</file>