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heme="minorEastAsia" w:hAnsiTheme="minorEastAsia" w:eastAsiaTheme="minorEastAsia" w:cstheme="minorEastAsia"/>
          <w:b/>
          <w:color w:val="auto"/>
          <w:sz w:val="72"/>
          <w:szCs w:val="72"/>
          <w:highlight w:val="none"/>
          <w:lang w:val="en-US" w:eastAsia="zh-CN"/>
        </w:rPr>
      </w:pPr>
      <w:r>
        <w:rPr>
          <w:rFonts w:hint="default" w:asciiTheme="minorEastAsia" w:hAnsiTheme="minorEastAsia" w:eastAsiaTheme="minorEastAsia" w:cstheme="minorEastAsia"/>
          <w:b/>
          <w:color w:val="auto"/>
          <w:sz w:val="72"/>
          <w:szCs w:val="72"/>
          <w:highlight w:val="none"/>
          <w:lang w:val="en-US" w:eastAsia="zh-CN"/>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046"/>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046"/>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7"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6"/>
                        <a:stretch/>
                      </pic:blipFill>
                      <pic:spPr bwMode="auto">
                        <a:xfrm>
                          <a:off x="0" y="0"/>
                          <a:ext cx="2629535" cy="23247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0pt;height:183.0pt;mso-wrap-distance-left:0.0pt;mso-wrap-distance-top:0.0pt;mso-wrap-distance-right:0.0pt;mso-wrap-distance-bottom:0.0pt;" stroked="f">
                <v:path textboxrect="0,0,0,0"/>
                <v:imagedata r:id="rId16"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：JSZC-320000-JZCZ-G2026-0012</w:t>
      </w:r>
      <w:r/>
    </w:p>
    <w:p>
      <w:pPr>
        <w:ind w:left="3526" w:hanging="1606"/>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苏州大学附属第一医院水电零星维修服务</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Theme="minorEastAsia" w:hAnsiTheme="minorEastAsia" w:eastAsiaTheme="minorEastAsia" w:cstheme="minorEastAsia"/>
          <w:b/>
          <w:bCs/>
          <w:color w:val="auto"/>
          <w:sz w:val="32"/>
          <w:szCs w:val="32"/>
          <w:highlight w:val="none"/>
          <w:lang w:val="en-US" w:eastAsia="zh-CN"/>
        </w:rPr>
        <w:t xml:space="preserve">服务</w:t>
      </w:r>
      <w:r>
        <w:rPr>
          <w:rFonts w:hint="eastAsia" w:ascii="宋体" w:hAnsi="宋体"/>
          <w:b/>
          <w:bCs/>
          <w:color w:val="auto"/>
          <w:sz w:val="32"/>
          <w:szCs w:val="32"/>
          <w:highlight w:val="none"/>
        </w:rPr>
        <w:t xml:space="preserve">类</w:t>
      </w:r>
      <w:r/>
    </w:p>
    <w:p>
      <w:pPr>
        <w:pStyle w:val="103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九</w:t>
      </w:r>
      <w:r>
        <w:rPr>
          <w:rFonts w:hint="eastAsia" w:asciiTheme="minorEastAsia" w:hAnsiTheme="minorEastAsia" w:eastAsiaTheme="minorEastAsia" w:cstheme="minorEastAsia"/>
          <w:b/>
          <w:color w:val="auto"/>
          <w:sz w:val="32"/>
          <w:szCs w:val="32"/>
          <w:highlight w:val="none"/>
        </w:rPr>
        <w:t xml:space="preserve">月</w:t>
      </w:r>
      <w:r/>
    </w:p>
    <w:p>
      <w:pPr>
        <w:pStyle w:val="1049"/>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033"/>
        <w:tabs>
          <w:tab w:val="right" w:pos="9746" w:leader="dot"/>
        </w:tabs>
        <w:rPr>
          <w:rFonts w:hint="eastAsia" w:ascii="宋体" w:hAnsi="宋体" w:eastAsia="宋体" w:cs="宋体"/>
          <w:sz w:val="28"/>
          <w:szCs w:val="28"/>
        </w:rPr>
      </w:pPr>
      <w:r>
        <w:rPr>
          <w:rStyle w:val="1050"/>
          <w:rFonts w:hint="eastAsia" w:ascii="宋体" w:hAnsi="宋体" w:eastAsia="宋体" w:cs="宋体"/>
          <w:color w:val="auto"/>
          <w:sz w:val="28"/>
          <w:szCs w:val="28"/>
          <w:highlight w:val="none"/>
        </w:rPr>
        <w:fldChar w:fldCharType="begin"/>
      </w:r>
      <w:r>
        <w:rPr>
          <w:rStyle w:val="1050"/>
          <w:rFonts w:hint="eastAsia" w:ascii="宋体" w:hAnsi="宋体" w:eastAsia="宋体" w:cs="宋体"/>
          <w:color w:val="auto"/>
          <w:sz w:val="28"/>
          <w:szCs w:val="28"/>
          <w:highlight w:val="none"/>
        </w:rPr>
        <w:instrText xml:space="preserve">TOC \o "1-1" \h \u </w:instrText>
      </w:r>
      <w:r>
        <w:rPr>
          <w:rStyle w:val="1050"/>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_Toc23615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前附表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_Toc23615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_Toc20706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_Toc20706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_Toc15472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_Toc15472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_Toc17361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_Toc7229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采购内容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_Toc7229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_Toc8511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_Toc8511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_Toc6550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评标办法及标准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_Toc6550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61</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default" w:eastAsia="宋体" w:asciiTheme="minorEastAsia" w:hAnsiTheme="minorEastAsia" w:cstheme="minorEastAsia"/>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624" w:footer="680" w:gutter="0"/>
          <w:cols w:num="1" w:sep="0" w:space="720" w:equalWidth="1"/>
          <w:docGrid w:linePitch="360"/>
          <w:titlePg/>
        </w:sect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3615"/>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18"/>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JSZC-320000-JZCZ-G2026-0012</w:t>
            </w:r>
            <w:r/>
          </w:p>
        </w:tc>
      </w:tr>
      <w:tr>
        <w:trPr>
          <w:jc w:val="center"/>
          <w:trHeight w:val="90"/>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苏州大学附属第一医院水电零星维修服务</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现场</w:t>
            </w:r>
            <w:r>
              <w:rPr>
                <w:rFonts w:hint="eastAsia" w:asciiTheme="minorEastAsia" w:hAnsiTheme="minorEastAsia" w:eastAsiaTheme="minorEastAsia" w:cstheme="minorEastAsia"/>
                <w:color w:val="auto"/>
                <w:szCs w:val="24"/>
                <w:highlight w:val="none"/>
                <w:lang w:eastAsia="zh-CN"/>
              </w:rPr>
              <w:t xml:space="preserve">考察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w:t>
            </w:r>
            <w:r>
              <w:rPr>
                <w:rFonts w:hint="eastAsia" w:asciiTheme="minorEastAsia" w:hAnsiTheme="minorEastAsia" w:eastAsiaTheme="minorEastAsia" w:cstheme="minorEastAsia"/>
                <w:color w:val="auto"/>
                <w:szCs w:val="24"/>
                <w:highlight w:val="none"/>
                <w:lang w:eastAsia="zh-CN"/>
              </w:rPr>
              <w:t xml:space="preserve">考察</w:t>
            </w:r>
            <w:r>
              <w:rPr>
                <w:rFonts w:hint="eastAsia" w:asciiTheme="minorEastAsia" w:hAnsiTheme="minorEastAsia" w:eastAsiaTheme="minorEastAsia" w:cstheme="minorEastAsia"/>
                <w:color w:val="auto"/>
                <w:szCs w:val="24"/>
                <w:highlight w:val="none"/>
              </w:rPr>
              <w:t xml:space="preserve">，以获取编制投标文件和签署合同所需的信息，所发生的费用由投标人自己承担。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rPr>
              <w:t xml:space="preserve">本项目不收取保证金</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各投标人须在投标文件中提供《投标保证承诺书》，如未提供视为无效投标</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格式详见第三章</w:t>
            </w:r>
            <w:r>
              <w:rPr>
                <w:rFonts w:hint="eastAsia" w:asciiTheme="minorEastAsia" w:hAnsiTheme="minorEastAsia" w:eastAsiaTheme="minorEastAsia" w:cstheme="minorEastAsia"/>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投标文件网上</w:t>
            </w:r>
            <w:r>
              <w:rPr>
                <w:color w:val="000000" w:themeColor="text1"/>
              </w:rPr>
            </w:r>
          </w:p>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提交截止时间</w:t>
            </w:r>
            <w:r>
              <w:rPr>
                <w:color w:val="000000" w:themeColor="text1"/>
              </w:rPr>
            </w:r>
          </w:p>
        </w:tc>
        <w:tc>
          <w:tcPr>
            <w:tcBorders>
              <w:top w:val="single" w:color="auto" w:sz="6" w:space="0"/>
              <w:left w:val="single" w:color="auto" w:sz="6" w:space="0"/>
              <w:bottom w:val="single" w:color="auto" w:sz="6" w:space="0"/>
              <w:right w:val="single" w:color="auto" w:sz="6" w:space="0"/>
            </w:tcBorders>
            <w:tcW w:w="7263" w:type="dxa"/>
            <w:vAlign w:val="top"/>
            <w:textDirection w:val="lrTb"/>
            <w:noWrap w:val="false"/>
          </w:tcPr>
          <w:p>
            <w:pPr>
              <w:spacing w:line="276"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202</w:t>
            </w:r>
            <w:r>
              <w:rPr>
                <w:rFonts w:hint="eastAsia" w:asciiTheme="minorEastAsia" w:hAnsiTheme="minorEastAsia" w:eastAsia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年</w:t>
            </w:r>
            <w:r>
              <w:rPr>
                <w:rFonts w:hint="eastAsia" w:asciiTheme="minorEastAsia" w:hAnsiTheme="minorEastAsia" w:eastAsiaTheme="minorEastAsia" w:cstheme="minorEastAsia"/>
                <w:color w:val="000000" w:themeColor="text1"/>
                <w:szCs w:val="21"/>
                <w:highlight w:val="none"/>
              </w:rPr>
              <w:t xml:space="preserve">10月</w:t>
            </w:r>
            <w:r>
              <w:rPr>
                <w:rFonts w:hint="eastAsia" w:asciiTheme="minorEastAsia" w:hAnsiTheme="minorEastAsia" w:eastAsiaTheme="minorEastAsia" w:cstheme="minorEastAsia"/>
                <w:color w:val="000000" w:themeColor="text1"/>
                <w:szCs w:val="21"/>
                <w:highlight w:val="none"/>
              </w:rPr>
              <w:t xml:space="preserve">21日</w:t>
            </w:r>
            <w:r>
              <w:rPr>
                <w:rFonts w:hint="eastAsia" w:asciiTheme="minorEastAsia" w:hAnsiTheme="minorEastAsia" w:eastAsiaTheme="minorEastAsia" w:cstheme="minorEastAsia"/>
                <w:color w:val="000000" w:themeColor="text1"/>
                <w:szCs w:val="21"/>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w:t>
            </w:r>
            <w:r>
              <w:rPr>
                <w:rFonts w:hint="eastAsia" w:asciiTheme="minorEastAsia" w:hAnsiTheme="minorEastAsia" w:eastAsiaTheme="minorEastAsia" w:cstheme="minorEastAsia"/>
                <w:color w:val="000000" w:themeColor="text1"/>
                <w:szCs w:val="21"/>
                <w:highlight w:val="none"/>
              </w:rPr>
              <w:t xml:space="preserve">（北京时间）</w:t>
            </w:r>
            <w:r>
              <w:rPr>
                <w:color w:val="000000" w:themeColor="text1"/>
              </w:rPr>
            </w:r>
          </w:p>
          <w:p>
            <w:pPr>
              <w:spacing w:line="276"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1"/>
                <w:highlight w:val="none"/>
              </w:rPr>
              <w:t xml:space="preserve">投标文件必须在截止时间前完成提交（上传），逾期提交（上传）的投标文件恕不接受。</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val="en-US" w:eastAsia="zh-CN"/>
              </w:rPr>
              <w:t xml:space="preserve">开标</w:t>
            </w:r>
            <w:r>
              <w:rPr>
                <w:rFonts w:hint="eastAsia" w:asciiTheme="minorEastAsia" w:hAnsiTheme="minorEastAsia" w:eastAsiaTheme="minorEastAsia" w:cstheme="minorEastAsia"/>
                <w:color w:val="000000" w:themeColor="text1"/>
                <w:szCs w:val="24"/>
                <w:highlight w:val="none"/>
              </w:rPr>
              <w:t xml:space="preserve">时间</w:t>
            </w:r>
            <w:r>
              <w:rPr>
                <w:color w:val="000000" w:themeColor="text1"/>
              </w:rP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4"/>
                <w:highlight w:val="none"/>
              </w:rPr>
              <w:t xml:space="preserve">202</w:t>
            </w:r>
            <w:r>
              <w:rPr>
                <w:rFonts w:hint="eastAsia" w:asciiTheme="minorEastAsia" w:hAnsiTheme="minorEastAsia" w:eastAsiaTheme="minorEastAsia" w:cstheme="minorEastAsia"/>
                <w:color w:val="000000" w:themeColor="text1"/>
                <w:szCs w:val="24"/>
                <w:highlight w:val="none"/>
                <w:lang w:val="en-US" w:eastAsia="zh-CN"/>
              </w:rPr>
              <w:t xml:space="preserve">6</w:t>
            </w:r>
            <w:r>
              <w:rPr>
                <w:rFonts w:hint="eastAsia" w:asciiTheme="minorEastAsia" w:hAnsiTheme="minorEastAsia" w:eastAsiaTheme="minorEastAsia" w:cstheme="minorEastAsia"/>
                <w:color w:val="000000" w:themeColor="text1"/>
                <w:szCs w:val="24"/>
                <w:highlight w:val="none"/>
              </w:rPr>
              <w:t xml:space="preserve">年</w:t>
            </w:r>
            <w:r>
              <w:rPr>
                <w:rFonts w:hint="eastAsia" w:asciiTheme="minorEastAsia" w:hAnsiTheme="minorEastAsia" w:eastAsiaTheme="minorEastAsia" w:cstheme="minorEastAsia"/>
                <w:color w:val="000000" w:themeColor="text1"/>
                <w:szCs w:val="24"/>
                <w:highlight w:val="none"/>
              </w:rPr>
              <w:t xml:space="preserve">10月</w:t>
            </w:r>
            <w:r>
              <w:rPr>
                <w:rFonts w:hint="eastAsia" w:asciiTheme="minorEastAsia" w:hAnsiTheme="minorEastAsia" w:eastAsiaTheme="minorEastAsia" w:cstheme="minorEastAsia"/>
                <w:color w:val="000000" w:themeColor="text1"/>
                <w:szCs w:val="24"/>
                <w:highlight w:val="none"/>
              </w:rPr>
              <w:t xml:space="preserve">21日</w:t>
            </w:r>
            <w:r>
              <w:rPr>
                <w:rFonts w:hint="eastAsia" w:asciiTheme="minorEastAsia" w:hAnsiTheme="minorEastAsia" w:eastAsiaTheme="minorEastAsia" w:cstheme="minorEastAsia"/>
                <w:color w:val="000000" w:themeColor="text1"/>
                <w:szCs w:val="24"/>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:30（北京时间）</w:t>
            </w:r>
            <w:r>
              <w:rPr>
                <w:color w:val="000000" w:themeColor="text1"/>
              </w:rP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人民币壹拾万元整（￥100000.00）</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24"/>
              <w:ind w:firstLine="0"/>
              <w:spacing w:line="360" w:lineRule="auto"/>
              <w:rPr>
                <w:rFonts w:hint="default"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1、根据本项目代理协议，本项目代理服务费由中标人支付。</w:t>
            </w:r>
            <w:r/>
          </w:p>
          <w:p>
            <w:pPr>
              <w:pStyle w:val="1024"/>
              <w:ind w:firstLine="0"/>
              <w:spacing w:line="360" w:lineRule="auto"/>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在领取中标通知书时由中标人向采购代理机构一次性付清，此费用投标人应在投标中予以综合考虑。</w:t>
            </w:r>
            <w:r/>
          </w:p>
          <w:p>
            <w:pPr>
              <w:pStyle w:val="1024"/>
              <w:ind w:firstLine="0"/>
              <w:spacing w:line="360" w:lineRule="auto"/>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代理服务费收费标准（按以下标准7折收取，不足3000元按3000元收取）：</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收费比例如下：</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100万元（含）以下部分收费比例为1.5%；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100万元-500万元（含）部分收费比例为1.1%；</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500万元-1000万元（含）部分收费比例为0.8%；</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1000万元-5000万元（含）部分收费比例为0.5%；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5000万元-10000万元（含）部分收费比例为0.25%。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注：代理服务收费以</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预算金额</w:t>
            </w:r>
            <w:r>
              <w:rPr>
                <w:rFonts w:hint="eastAsia" w:hAnsi="宋体" w:cs="宋体"/>
                <w:color w:val="auto"/>
                <w:sz w:val="24"/>
                <w:highlight w:val="none"/>
                <w:lang w:val="en-US" w:eastAsia="zh-CN"/>
              </w:rPr>
              <w:t xml:space="preserve">（按两年共1000万算）</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为标准，按收费比例差额定率累进法</w:t>
            </w:r>
            <w:r>
              <w:rPr>
                <w:rFonts w:hint="eastAsia" w:hAnsi="宋体" w:cs="宋体"/>
                <w:color w:val="auto"/>
                <w:sz w:val="24"/>
                <w:highlight w:val="none"/>
                <w:lang w:val="en-US" w:eastAsia="zh-CN"/>
              </w:rPr>
              <w:t xml:space="preserve">7折计取</w:t>
            </w:r>
            <w:r>
              <w:rPr>
                <w:rFonts w:hint="eastAsia" w:ascii="宋体" w:hAnsi="宋体" w:eastAsia="宋体" w:cs="宋体"/>
                <w:color w:val="auto"/>
                <w:sz w:val="24"/>
                <w:highlight w:val="none"/>
                <w:lang w:eastAsia="zh-CN"/>
              </w:rPr>
              <w:t xml:space="preserve">计算。若采购预算为150万元，则代理服务费＝[100×1.5%＋（150－100）×1.1%]*0.7。</w:t>
            </w:r>
            <w:r/>
          </w:p>
          <w:p>
            <w:pPr>
              <w:pStyle w:val="1024"/>
              <w:ind w:firstLine="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eastAsia="zh-CN"/>
              </w:rPr>
              <w:t xml:space="preserve">本项目代</w:t>
            </w:r>
            <w:r>
              <w:rPr>
                <w:rFonts w:hint="eastAsia" w:ascii="宋体" w:hAnsi="宋体" w:eastAsia="宋体" w:cs="宋体"/>
                <w:color w:val="auto"/>
                <w:sz w:val="24"/>
                <w:highlight w:val="none"/>
                <w:shd w:val="clear" w:color="auto"/>
                <w:lang w:eastAsia="zh-CN"/>
              </w:rPr>
              <w:t xml:space="preserve">理服务费按上述标准计算再扣除预估专家评审费(预估专家评审费根据项目采购方式和项目情况一次性确定)后，由中</w:t>
            </w:r>
            <w:r>
              <w:rPr>
                <w:rFonts w:hint="eastAsia" w:ascii="宋体" w:hAnsi="宋体" w:eastAsia="宋体" w:cs="宋体"/>
                <w:color w:val="auto"/>
                <w:sz w:val="24"/>
                <w:highlight w:val="none"/>
                <w:lang w:eastAsia="zh-CN"/>
              </w:rPr>
              <w:t xml:space="preserve">标人支付。</w:t>
            </w:r>
            <w:r>
              <w:rPr>
                <w:rFonts w:hint="eastAsia" w:hAnsi="宋体" w:cs="宋体"/>
                <w:color w:val="auto"/>
                <w:sz w:val="24"/>
                <w:highlight w:val="none"/>
                <w:lang w:val="en-US" w:eastAsia="zh-CN"/>
              </w:rPr>
              <w:t xml:space="preserve">本项目预估</w:t>
            </w:r>
            <w:r>
              <w:rPr>
                <w:rFonts w:hint="eastAsia" w:ascii="宋体" w:hAnsi="宋体" w:eastAsia="宋体" w:cs="宋体"/>
                <w:color w:val="auto"/>
                <w:sz w:val="24"/>
                <w:szCs w:val="24"/>
                <w:highlight w:val="none"/>
              </w:rPr>
              <w:t xml:space="preserve">代理服务费金额为</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人民币</w:t>
            </w:r>
            <w:r>
              <w:rPr>
                <w:rFonts w:hint="eastAsia" w:hAnsi="宋体" w:cs="宋体"/>
                <w:color w:val="auto"/>
                <w:sz w:val="24"/>
                <w:highlight w:val="none"/>
                <w:u w:val="single"/>
                <w:lang w:val="en-US" w:eastAsia="zh-CN"/>
              </w:rPr>
              <w:t xml:space="preserve">陆万柒仟叁佰元整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67300.00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支付方式：银行转账。</w:t>
            </w:r>
            <w:r/>
          </w:p>
          <w:p>
            <w:pPr>
              <w:pStyle w:val="1024"/>
              <w:ind w:firstLine="0"/>
              <w:spacing w:line="360" w:lineRule="auto"/>
              <w:rPr>
                <w:rFonts w:hint="default" w:hAnsi="宋体" w:cs="宋体"/>
                <w:color w:val="auto"/>
                <w:sz w:val="24"/>
                <w:highlight w:val="none"/>
                <w:lang w:val="en-US" w:eastAsia="zh-CN"/>
              </w:rPr>
            </w:pPr>
            <w:r>
              <w:rPr>
                <w:rFonts w:hint="eastAsia" w:hAnsi="宋体" w:cs="宋体"/>
                <w:color w:val="auto"/>
                <w:sz w:val="24"/>
                <w:highlight w:val="none"/>
                <w:lang w:val="en-US" w:eastAsia="zh-CN"/>
              </w:rPr>
              <w:t xml:space="preserve">5、代理服务费确立标准的依据：苏州市政府采购网公示的收费标准及本项目代理协议。</w:t>
            </w:r>
            <w:r/>
          </w:p>
          <w:p>
            <w:pPr>
              <w:pStyle w:val="1024"/>
              <w:ind w:firstLine="0"/>
              <w:spacing w:line="360" w:lineRule="auto"/>
              <w:rPr>
                <w:rFonts w:hint="eastAsia" w:ascii="宋体" w:hAnsi="宋体" w:eastAsia="宋体" w:cs="宋体"/>
                <w:color w:val="auto"/>
                <w:sz w:val="24"/>
                <w:highlight w:val="none"/>
                <w:lang w:eastAsia="zh-CN"/>
              </w:rPr>
            </w:pP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代理服务费收款账户：</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账户名：江苏纵驰工程管理有限公司</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开户行：江苏银行苏州分行营业部</w:t>
            </w:r>
            <w:r/>
          </w:p>
          <w:p>
            <w:pPr>
              <w:pStyle w:val="1024"/>
              <w:ind w:firstLine="0"/>
              <w:spacing w:line="360" w:lineRule="auto"/>
              <w:rPr>
                <w:rFonts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eastAsia="zh-CN"/>
              </w:rPr>
              <w:t xml:space="preserve">账号：30160188000070359</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Cs w:val="24"/>
                <w:highlight w:val="none"/>
              </w:rPr>
            </w:pPr>
            <w:r>
              <w:rPr>
                <w:rFonts w:hint="eastAsia" w:ascii="宋体" w:hAnsi="宋体" w:cs="Times New Roman"/>
                <w:color w:val="auto"/>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Times New Roman"/>
                <w:color w:val="auto"/>
                <w:szCs w:val="24"/>
                <w:highlight w:val="none"/>
                <w:lang w:val="en-US" w:eastAsia="zh-CN"/>
              </w:rPr>
              <w:t xml:space="preserve">中标人在公示期后、领取通知书前必须提供二份纸质版投标文件以供采购人存档。纸质投标文件应从系统中导出后电子文件打印，必须保证与投标时的电子标书完全一致。</w:t>
            </w:r>
            <w:r>
              <w:rPr>
                <w:rFonts w:ascii="宋体" w:hAnsi="宋体" w:eastAsia="宋体" w:cs="宋体"/>
                <w:sz w:val="24"/>
                <w:szCs w:val="24"/>
              </w:rPr>
              <w:t xml:space="preserve">如纸质文件与电子投标文件存在不一致，产生的一切不利后果由投标人自行承担。</w:t>
            </w:r>
            <w:r/>
          </w:p>
        </w:tc>
      </w:tr>
    </w:tbl>
    <w:p>
      <w:pPr>
        <w:ind w:firstLine="0"/>
        <w:jc w:val="both"/>
        <w:spacing w:line="360" w:lineRule="auto"/>
        <w:rPr>
          <w:rStyle w:val="1050"/>
          <w:rFonts w:asciiTheme="minorEastAsia" w:hAnsiTheme="minorEastAsia" w:eastAsiaTheme="minorEastAsia" w:cstheme="minorEastAsia"/>
          <w:color w:val="auto"/>
          <w:sz w:val="48"/>
          <w:szCs w:val="48"/>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1"/>
          <w:cols w:num="1" w:sep="0" w:space="720" w:equalWidth="1"/>
          <w:docGrid w:linePitch="360"/>
        </w:sectPr>
      </w:pPr>
      <w:r>
        <w:rPr>
          <w:rFonts w:hint="eastAsia" w:asciiTheme="minorEastAsia" w:hAnsiTheme="minorEastAsia" w:eastAsiaTheme="minorEastAsia" w:cstheme="minorEastAsia"/>
          <w:color w:val="auto"/>
          <w:szCs w:val="24"/>
          <w:highlight w:val="none"/>
        </w:rPr>
        <w:br w:type="page" w:clear="all"/>
      </w:r>
      <w:bookmarkStart w:id="1" w:name="_Toc388026583"/>
      <w:r/>
      <w:bookmarkStart w:id="2" w:name="_Toc9148"/>
      <w:r/>
      <w:r/>
    </w:p>
    <w:p>
      <w:pPr>
        <w:ind w:firstLine="883"/>
        <w:jc w:val="center"/>
        <w:spacing w:line="360" w:lineRule="auto"/>
        <w:rPr>
          <w:rStyle w:val="1050"/>
          <w:rFonts w:asciiTheme="minorEastAsia" w:hAnsiTheme="minorEastAsia" w:eastAsiaTheme="minorEastAsia" w:cstheme="minorEastAsia"/>
          <w:color w:val="auto"/>
          <w:sz w:val="44"/>
          <w:szCs w:val="44"/>
          <w:highlight w:val="none"/>
        </w:rPr>
        <w:outlineLvl w:val="0"/>
      </w:pPr>
      <w:r/>
      <w:bookmarkStart w:id="3" w:name="_Toc20706"/>
      <w:r>
        <w:rPr>
          <w:rStyle w:val="1050"/>
          <w:rFonts w:hint="eastAsia" w:asciiTheme="minorEastAsia" w:hAnsiTheme="minorEastAsia" w:eastAsiaTheme="minorEastAsia" w:cstheme="minorEastAsia"/>
          <w:color w:val="auto"/>
          <w:sz w:val="44"/>
          <w:szCs w:val="44"/>
          <w:highlight w:val="none"/>
        </w:rPr>
        <w:t xml:space="preserve">第一章 </w:t>
      </w:r>
      <w:bookmarkEnd w:id="1"/>
      <w:r>
        <w:rPr>
          <w:rStyle w:val="1050"/>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04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项目概况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lang w:eastAsia="zh-CN"/>
              </w:rPr>
              <w:t xml:space="preserve">苏州大学附属第一医院水电零星维修服务</w:t>
            </w:r>
            <w:r>
              <w:rPr>
                <w:rFonts w:hint="eastAsia" w:asciiTheme="minorEastAsia" w:hAnsiTheme="minorEastAsia" w:eastAsiaTheme="minorEastAsia" w:cstheme="minorEastAsia"/>
                <w:color w:val="000000" w:themeColor="text1"/>
                <w:sz w:val="24"/>
                <w:szCs w:val="24"/>
                <w:highlight w:val="none"/>
              </w:rPr>
              <w:t xml:space="preserve">招标项目的潜在投标人应在</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苏采云系统</w:t>
            </w:r>
            <w:r>
              <w:rPr>
                <w:rFonts w:hint="eastAsia" w:asciiTheme="minorEastAsia" w:hAnsiTheme="minorEastAsia" w:eastAsiaTheme="minorEastAsia" w:cstheme="minorEastAsia"/>
                <w:color w:val="000000" w:themeColor="text1"/>
                <w:sz w:val="24"/>
                <w:szCs w:val="24"/>
                <w:highlight w:val="none"/>
              </w:rPr>
              <w:t xml:space="preserve">获取招标文件，并于</w:t>
            </w:r>
            <w:r>
              <w:rPr>
                <w:rFonts w:hint="eastAsia" w:ascii="宋体" w:hAnsi="宋体" w:eastAsia="宋体" w:cs="宋体"/>
                <w:color w:val="000000" w:themeColor="text1"/>
                <w:sz w:val="24"/>
                <w:highlight w:val="none"/>
                <w:u w:val="single"/>
                <w:lang w:val="en-US" w:eastAsia="zh-CN" w:bidi="ar-SA"/>
              </w:rPr>
              <w:t xml:space="preserve">202</w:t>
            </w:r>
            <w:r>
              <w:rPr>
                <w:rFonts w:hint="eastAsia" w:ascii="宋体" w:hAnsi="宋体" w:cs="宋体"/>
                <w:color w:val="000000" w:themeColor="text1"/>
                <w:sz w:val="24"/>
                <w:highlight w:val="none"/>
                <w:u w:val="single"/>
                <w:lang w:val="en-US" w:eastAsia="zh-CN" w:bidi="ar-SA"/>
              </w:rPr>
              <w:t xml:space="preserve">6</w:t>
            </w:r>
            <w:r>
              <w:rPr>
                <w:rFonts w:hint="eastAsia" w:ascii="宋体" w:hAnsi="宋体" w:eastAsia="宋体" w:cs="宋体"/>
                <w:color w:val="000000" w:themeColor="text1"/>
                <w:sz w:val="24"/>
                <w:highlight w:val="none"/>
                <w:u w:val="single"/>
                <w:lang w:val="en-US" w:eastAsia="zh-CN" w:bidi="ar-SA"/>
              </w:rPr>
              <w:t xml:space="preserve">年</w:t>
            </w:r>
            <w:r>
              <w:rPr>
                <w:rFonts w:hint="eastAsia" w:ascii="宋体" w:hAnsi="宋体" w:eastAsia="宋体" w:cs="宋体"/>
                <w:color w:val="000000" w:themeColor="text1"/>
                <w:sz w:val="24"/>
                <w:highlight w:val="none"/>
                <w:u w:val="single"/>
                <w:lang w:val="en-US" w:eastAsia="zh-CN" w:bidi="ar-SA"/>
              </w:rPr>
              <w:t xml:space="preserve">10月</w:t>
            </w:r>
            <w:r>
              <w:rPr>
                <w:rFonts w:hint="eastAsia" w:ascii="宋体" w:hAnsi="宋体" w:eastAsia="宋体" w:cs="宋体"/>
                <w:color w:val="000000" w:themeColor="text1"/>
                <w:sz w:val="24"/>
                <w:highlight w:val="none"/>
                <w:u w:val="single"/>
                <w:lang w:val="en-US" w:eastAsia="zh-CN" w:bidi="ar-SA"/>
              </w:rPr>
              <w:t xml:space="preserve">21日</w:t>
            </w:r>
            <w:r>
              <w:rPr>
                <w:rFonts w:hint="eastAsia" w:ascii="宋体" w:hAnsi="宋体" w:cs="宋体"/>
                <w:color w:val="000000" w:themeColor="text1"/>
                <w:sz w:val="24"/>
                <w:highlight w:val="none"/>
                <w:u w:val="single"/>
                <w:lang w:val="en-US" w:eastAsia="zh-CN" w:bidi="ar-SA"/>
              </w:rPr>
              <w:t xml:space="preserve">13</w:t>
            </w:r>
            <w:r>
              <w:rPr>
                <w:rFonts w:hint="eastAsia" w:ascii="宋体" w:hAnsi="宋体" w:eastAsia="宋体" w:cs="宋体"/>
                <w:color w:val="000000" w:themeColor="text1"/>
                <w:sz w:val="24"/>
                <w:highlight w:val="none"/>
                <w:u w:val="single"/>
                <w:lang w:val="en-US" w:eastAsia="zh-CN" w:bidi="ar-SA"/>
              </w:rPr>
              <w:t xml:space="preserve">点</w:t>
            </w:r>
            <w:r>
              <w:rPr>
                <w:rFonts w:hint="eastAsia" w:ascii="宋体" w:hAnsi="宋体" w:cs="宋体"/>
                <w:color w:val="000000" w:themeColor="text1"/>
                <w:sz w:val="24"/>
                <w:highlight w:val="none"/>
                <w:u w:val="single"/>
                <w:lang w:val="en-US" w:eastAsia="zh-CN" w:bidi="ar-SA"/>
              </w:rPr>
              <w:t xml:space="preserve">30</w:t>
            </w:r>
            <w:r>
              <w:rPr>
                <w:rFonts w:hint="eastAsia" w:ascii="宋体" w:hAnsi="宋体" w:eastAsia="宋体" w:cs="宋体"/>
                <w:color w:val="000000" w:themeColor="text1"/>
                <w:sz w:val="24"/>
                <w:highlight w:val="none"/>
                <w:u w:val="single"/>
                <w:lang w:val="en-US" w:eastAsia="zh-CN" w:bidi="ar-SA"/>
              </w:rPr>
              <w:t xml:space="preserve">分（北京时间）</w:t>
            </w:r>
            <w:r>
              <w:rPr>
                <w:rFonts w:hint="eastAsia" w:asciiTheme="minorEastAsia" w:hAnsiTheme="minorEastAsia" w:eastAsiaTheme="minorEastAsia" w:cstheme="minorEastAsia"/>
                <w:color w:val="000000" w:themeColor="text1"/>
                <w:szCs w:val="24"/>
                <w:highlight w:val="none"/>
              </w:rPr>
              <w:t xml:space="preserve">前</w:t>
            </w:r>
            <w:r>
              <w:rPr>
                <w:rFonts w:hint="eastAsia" w:asciiTheme="minorEastAsia" w:hAnsiTheme="minorEastAsia" w:eastAsiaTheme="minorEastAsia" w:cstheme="minorEastAsia"/>
                <w:color w:val="000000" w:themeColor="text1"/>
                <w:sz w:val="24"/>
                <w:szCs w:val="24"/>
                <w:highlight w:val="none"/>
                <w:lang w:eastAsia="zh-CN"/>
              </w:rPr>
              <w:t xml:space="preserve">上传</w:t>
            </w:r>
            <w:r>
              <w:rPr>
                <w:rFonts w:hint="eastAsia" w:asciiTheme="minorEastAsia" w:hAnsiTheme="minorEastAsia" w:eastAsiaTheme="minorEastAsia" w:cstheme="minorEastAsia"/>
                <w:color w:val="000000" w:themeColor="text1"/>
                <w:sz w:val="24"/>
                <w:szCs w:val="24"/>
                <w:highlight w:val="none"/>
              </w:rPr>
              <w:t xml:space="preserve">投标文件。</w:t>
            </w:r>
            <w:r>
              <w:rPr>
                <w:color w:val="000000" w:themeColor="text1"/>
              </w:rP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一、项目基本情况</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项目名称：</w:t>
      </w:r>
      <w:r>
        <w:rPr>
          <w:rFonts w:hint="eastAsia" w:asciiTheme="minorEastAsia" w:hAnsiTheme="minorEastAsia" w:eastAsiaTheme="minorEastAsia" w:cstheme="minorEastAsia"/>
          <w:color w:val="000000" w:themeColor="text1"/>
          <w:sz w:val="24"/>
          <w:szCs w:val="24"/>
          <w:highlight w:val="none"/>
          <w:lang w:val="en-US" w:eastAsia="zh-CN"/>
        </w:rPr>
        <w:t xml:space="preserve">苏州大学附属第一医院水电零星维修服务</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000000" w:themeColor="text1"/>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highlight w:val="none"/>
        </w:rPr>
        <w:t xml:space="preserve">招标编号</w:t>
      </w:r>
      <w:r>
        <w:rPr>
          <w:rFonts w:hint="eastAsia" w:asciiTheme="minorEastAsia" w:hAnsiTheme="minorEastAsia" w:eastAsiaTheme="minorEastAsia" w:cstheme="minorEastAsia"/>
          <w:color w:val="000000" w:themeColor="text1"/>
          <w:sz w:val="24"/>
          <w:szCs w:val="24"/>
          <w:highlight w:val="none"/>
          <w:lang w:eastAsia="zh-CN"/>
        </w:rPr>
        <w:t xml:space="preserve">：JSZC-320000-J</w:t>
      </w:r>
      <w:r>
        <w:rPr>
          <w:rFonts w:hint="eastAsia" w:asciiTheme="minorEastAsia" w:hAnsiTheme="minorEastAsia" w:eastAsiaTheme="minorEastAsia" w:cstheme="minorEastAsia"/>
          <w:color w:val="auto"/>
          <w:sz w:val="24"/>
          <w:szCs w:val="24"/>
          <w:highlight w:val="none"/>
          <w:lang w:eastAsia="zh-CN"/>
        </w:rPr>
        <w:t xml:space="preserve">ZCZ-G2026-0012</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spacing w:line="360" w:lineRule="auto"/>
        <w:rPr>
          <w:rFonts w:hint="eastAsia" w:ascii="宋体" w:hAnsi="宋体" w:cs="宋体"/>
          <w:bCs/>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eastAsiaTheme="minorEastAsia" w:cstheme="minorEastAsia"/>
          <w:color w:val="auto"/>
          <w:szCs w:val="24"/>
          <w:highlight w:val="none"/>
        </w:rPr>
        <w:t xml:space="preserve">：</w:t>
      </w:r>
      <w:r>
        <w:rPr>
          <w:rFonts w:hint="eastAsia" w:ascii="宋体" w:hAnsi="宋体" w:cs="宋体"/>
          <w:bCs/>
          <w:color w:val="auto"/>
          <w:sz w:val="24"/>
          <w:szCs w:val="24"/>
          <w:highlight w:val="none"/>
          <w:lang w:val="en-US" w:eastAsia="zh-CN"/>
        </w:rPr>
        <w:t xml:space="preserve">人民币伍佰万元整（￥5000000.00）</w:t>
      </w:r>
      <w:r/>
    </w:p>
    <w:p>
      <w:pPr>
        <w:ind w:firstLine="720"/>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最高限价：500.00万元/年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采购需求：全院范围水电、给排水、暖通、蒸汽管道等维护、检修及更换安装。包含但不限于以下具体项目：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（1）全院各楼层照明灯、开关、插座、电气线路的维护、检修及更换安装。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（2）全院范围内供水管路及末端阀门维护、维修及更换安装。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（3）全院所有室内排水管道、阀门、卫生洁具的维护、维修及更换安装。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（4）全院范围内蒸汽管道、附属设施及控制阀门的维护、维修及更换安装。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（5）全院范围内病床、陪护椅及钢制构件的维护、维修及更换安装。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（6）全院机电设备检修及更换安装。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（7）医院要求的其他维护、维修及更换安装项目。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注：具体工作范围安排根据采购人实际情况确定。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6.合同履行期限：自2026年11月1日至2027年10月31日。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本项目预算金额（500万）为合同期一年，合同一年期满或年度预算用完，中标人的服务质量满足采购人需求，则采购人与中标人可以续签下一年度合同(最多续签一次)，但中标单价不予调整。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注：①一年度合同期满或年度预算用完但采购人未获得预算批复或需求取消，则经采购人提前书面通知供应商后，合同到期终止，不再续签。②每年度的实际执行金额至500.00万元为止。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二、申请人的资格要求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color w:val="auto"/>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宋体" w:hAnsi="宋体" w:cs="宋体"/>
          <w:color w:val="auto"/>
          <w:sz w:val="24"/>
          <w:highlight w:val="none"/>
          <w:lang w:eastAsia="zh-CN"/>
        </w:rPr>
        <w:t xml:space="preserve">无</w:t>
      </w:r>
      <w:r>
        <w:rPr>
          <w:rFonts w:hint="eastAsia" w:ascii="宋体" w:hAnsi="宋体" w:cs="宋体"/>
          <w:color w:val="auto"/>
          <w:sz w:val="24"/>
          <w:highlight w:val="none"/>
        </w:rPr>
        <w:t xml:space="preserve">。</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w:t>
      </w:r>
      <w:r>
        <w:rPr>
          <w:rFonts w:hint="eastAsia" w:ascii="宋体" w:hAnsi="宋体" w:cs="宋体"/>
          <w:b w:val="0"/>
          <w:bCs w:val="0"/>
          <w:color w:val="auto"/>
          <w:szCs w:val="24"/>
          <w:highlight w:val="none"/>
          <w:lang w:eastAsia="zh-CN"/>
        </w:rPr>
        <w:t xml:space="preserve">无</w:t>
      </w:r>
      <w:r>
        <w:rPr>
          <w:rFonts w:hint="eastAsia" w:asciiTheme="minorEastAsia" w:hAnsiTheme="minorEastAsia" w:eastAsiaTheme="minorEastAsia" w:cstheme="minorEastAsia"/>
          <w:b w:val="0"/>
          <w:bCs w:val="0"/>
          <w:color w:val="auto"/>
          <w:szCs w:val="24"/>
          <w:highlight w:val="none"/>
          <w:lang w:val="en-US" w:eastAsia="zh-CN"/>
        </w:rPr>
        <w:t xml:space="preserve">。</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bookmarkStart w:id="4" w:name="_Toc35393789"/>
      <w:r/>
      <w:bookmarkStart w:id="5" w:name="_Toc28359001"/>
      <w:r>
        <w:rPr>
          <w:rFonts w:hint="eastAsia" w:asciiTheme="minorEastAsia" w:hAnsiTheme="minorEastAsia" w:eastAsiaTheme="minorEastAsia" w:cstheme="minorEastAsia"/>
          <w:color w:val="auto"/>
          <w:sz w:val="24"/>
          <w:szCs w:val="24"/>
          <w:highlight w:val="none"/>
        </w:rPr>
        <w:t xml:space="preserve">三、报名及</w:t>
      </w:r>
      <w:r>
        <w:rPr>
          <w:rFonts w:hint="eastAsia" w:asciiTheme="minorEastAsia" w:hAnsiTheme="minorEastAsia" w:eastAsiaTheme="minorEastAsia" w:cstheme="minorEastAsia"/>
          <w:color w:val="auto"/>
          <w:sz w:val="24"/>
          <w:szCs w:val="24"/>
          <w:highlight w:val="none"/>
          <w:lang w:eastAsia="zh-CN"/>
        </w:rPr>
        <w:t xml:space="preserve">招</w:t>
      </w:r>
      <w:r>
        <w:rPr>
          <w:rFonts w:hint="eastAsia" w:asciiTheme="minorEastAsia" w:hAnsiTheme="minorEastAsia" w:eastAsiaTheme="minorEastAsia" w:cstheme="minorEastAsia"/>
          <w:color w:val="000000" w:themeColor="text1"/>
          <w:sz w:val="24"/>
          <w:szCs w:val="24"/>
          <w:highlight w:val="none"/>
          <w:lang w:eastAsia="zh-CN"/>
        </w:rPr>
        <w:t xml:space="preserve">标文件</w:t>
      </w:r>
      <w:r>
        <w:rPr>
          <w:rFonts w:hint="eastAsia" w:asciiTheme="minorEastAsia" w:hAnsiTheme="minorEastAsia" w:eastAsiaTheme="minorEastAsia" w:cstheme="minorEastAsia"/>
          <w:color w:val="000000" w:themeColor="text1"/>
          <w:sz w:val="24"/>
          <w:szCs w:val="24"/>
          <w:highlight w:val="none"/>
        </w:rPr>
        <w:t xml:space="preserve">的获取</w:t>
      </w:r>
      <w:bookmarkEnd w:id="4"/>
      <w:r>
        <w:rPr>
          <w:color w:val="000000" w:themeColor="text1"/>
        </w:rPr>
      </w:r>
      <w:bookmarkEnd w:id="5"/>
      <w:r>
        <w:rPr>
          <w:color w:val="000000" w:themeColor="text1"/>
        </w:rPr>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报名截止时间：</w:t>
      </w:r>
      <w:r>
        <w:rPr>
          <w:rFonts w:hint="eastAsia" w:asciiTheme="minorEastAsia" w:hAnsiTheme="minorEastAsia" w:eastAsiaTheme="minorEastAsia" w:cstheme="minorEastAsia"/>
          <w:b w:val="0"/>
          <w:bCs w:val="0"/>
          <w:color w:val="000000" w:themeColor="text1"/>
          <w:sz w:val="24"/>
          <w:szCs w:val="24"/>
          <w:highlight w:val="none"/>
        </w:rPr>
        <w:t xml:space="preserve">202</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6</w:t>
      </w:r>
      <w:r>
        <w:rPr>
          <w:rFonts w:hint="eastAsia" w:asciiTheme="minorEastAsia" w:hAnsiTheme="minorEastAsia" w:eastAsiaTheme="minorEastAsia" w:cstheme="minorEastAsia"/>
          <w:b w:val="0"/>
          <w:bCs w:val="0"/>
          <w:color w:val="000000" w:themeColor="text1"/>
          <w:sz w:val="24"/>
          <w:szCs w:val="24"/>
          <w:highlight w:val="none"/>
        </w:rPr>
        <w:t xml:space="preserve">年</w:t>
      </w:r>
      <w:r>
        <w:rPr>
          <w:rFonts w:hint="eastAsia" w:asciiTheme="minorEastAsia" w:hAnsiTheme="minorEastAsia" w:eastAsiaTheme="minorEastAsia" w:cstheme="minorEastAsia"/>
          <w:b w:val="0"/>
          <w:bCs w:val="0"/>
          <w:color w:val="000000" w:themeColor="text1"/>
          <w:sz w:val="24"/>
          <w:szCs w:val="24"/>
          <w:highlight w:val="none"/>
        </w:rPr>
        <w:t xml:space="preserve">10月</w:t>
      </w:r>
      <w:r>
        <w:rPr>
          <w:rFonts w:hint="eastAsia" w:asciiTheme="minorEastAsia" w:hAnsiTheme="minorEastAsia" w:eastAsiaTheme="minorEastAsia" w:cstheme="minorEastAsia"/>
          <w:b w:val="0"/>
          <w:bCs w:val="0"/>
          <w:color w:val="000000" w:themeColor="text1"/>
          <w:sz w:val="24"/>
          <w:szCs w:val="24"/>
          <w:highlight w:val="none"/>
        </w:rPr>
        <w:t xml:space="preserve">9日</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报名方式（网上报名）</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3.</w:t>
      </w:r>
      <w:r>
        <w:rPr>
          <w:rFonts w:hint="eastAsia" w:asciiTheme="minorEastAsia" w:hAnsiTheme="minorEastAsia" w:eastAsiaTheme="minorEastAsia" w:cstheme="minorEastAsia"/>
          <w:color w:val="000000" w:themeColor="text1"/>
          <w:sz w:val="24"/>
          <w:szCs w:val="24"/>
          <w:highlight w:val="none"/>
          <w:lang w:val="en-US"/>
        </w:rPr>
        <w:t xml:space="preserve">CA</w:t>
      </w:r>
      <w:r>
        <w:rPr>
          <w:rFonts w:hint="eastAsia" w:asciiTheme="minorEastAsia" w:hAnsiTheme="minorEastAsia" w:eastAsiaTheme="minorEastAsia" w:cstheme="minorEastAsia"/>
          <w:color w:val="000000" w:themeColor="text1"/>
          <w:sz w:val="24"/>
          <w:szCs w:val="24"/>
          <w:highlight w:val="none"/>
          <w:lang w:eastAsia="zh-CN"/>
        </w:rPr>
        <w:t xml:space="preserve">证书办理</w:t>
      </w:r>
      <w:r>
        <w:rPr>
          <w:color w:val="000000" w:themeColor="text1"/>
        </w:rP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根据省财政厅《关</w:t>
      </w:r>
      <w:r>
        <w:rPr>
          <w:rFonts w:hint="eastAsia" w:asciiTheme="minorEastAsia" w:hAnsiTheme="minorEastAsia" w:eastAsiaTheme="minorEastAsia" w:cstheme="minorEastAsia"/>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系统目前仅支持</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证书，江苏省内各地区办理的</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证书全省通用。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领取CA和办理电子签章</w:t>
      </w:r>
      <w:r>
        <w:rPr>
          <w:rFonts w:hint="eastAsia" w:asciiTheme="minorEastAsia" w:hAnsiTheme="minorEastAsia" w:eastAsiaTheme="minorEastAsia" w:cstheme="minorEastAsia"/>
          <w:color w:val="auto"/>
          <w:sz w:val="24"/>
          <w:szCs w:val="24"/>
          <w:highlight w:val="none"/>
          <w:lang w:eastAsia="zh-CN"/>
        </w:rPr>
        <w:t xml:space="preserve">（苏州现场办理地址：苏州高新区邓尉路105号狮山科技馆1楼服务大厅，咨询电话：0512-65737699。</w:t>
      </w:r>
      <w:r>
        <w:rPr>
          <w:rFonts w:hint="eastAsia" w:asciiTheme="minorEastAsia" w:hAnsiTheme="minorEastAsia" w:eastAsiaTheme="minorEastAsia" w:cstheme="minorEastAsia"/>
          <w:color w:val="auto"/>
          <w:sz w:val="24"/>
          <w:szCs w:val="24"/>
          <w:highlight w:val="none"/>
          <w:lang w:val="en-US" w:eastAsia="zh-CN"/>
        </w:rPr>
        <w:t xml:space="preserve">南京现场办理地址：</w:t>
      </w:r>
      <w:r>
        <w:rPr>
          <w:rFonts w:hint="eastAsia" w:asciiTheme="minorEastAsia" w:hAnsiTheme="minorEastAsia" w:eastAsiaTheme="minorEastAsia" w:cstheme="minorEastAsia"/>
          <w:color w:val="auto"/>
          <w:sz w:val="24"/>
          <w:szCs w:val="24"/>
          <w:highlight w:val="none"/>
        </w:rPr>
        <w:t xml:space="preserve">南京汉中门大街145号江苏省政务服务中心二期三楼大厅CA办理窗口办理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咨询电话：025-83668701。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及办理</w:t>
      </w:r>
      <w:r>
        <w:rPr>
          <w:rFonts w:hint="eastAsia" w:asciiTheme="minorEastAsia" w:hAnsiTheme="minorEastAsia" w:eastAsiaTheme="minorEastAsia" w:cstheme="minorEastAsia"/>
          <w:color w:val="auto"/>
          <w:sz w:val="24"/>
          <w:szCs w:val="24"/>
          <w:highlight w:val="none"/>
        </w:rPr>
        <w:t xml:space="preserve">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售价：免费</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1.提交投标文件截</w:t>
      </w:r>
      <w:r>
        <w:rPr>
          <w:rFonts w:hint="eastAsia" w:asciiTheme="minorEastAsia" w:hAnsiTheme="minorEastAsia" w:eastAsiaTheme="minorEastAsia" w:cstheme="minorEastAsia"/>
          <w:color w:val="000000" w:themeColor="text1"/>
          <w:sz w:val="24"/>
          <w:szCs w:val="24"/>
          <w:highlight w:val="none"/>
          <w:lang w:val="en-US" w:eastAsia="zh-CN"/>
        </w:rPr>
        <w:t xml:space="preserve">止时间：</w:t>
      </w:r>
      <w:r>
        <w:rPr>
          <w:rFonts w:hint="eastAsia" w:asciiTheme="minorEastAsia" w:hAnsiTheme="minorEastAsia" w:eastAsiaTheme="minorEastAsia" w:cstheme="minorEastAsia"/>
          <w:color w:val="000000" w:themeColor="text1"/>
          <w:szCs w:val="24"/>
          <w:highlight w:val="none"/>
          <w:u w:val="single"/>
          <w:lang w:eastAsia="zh-CN"/>
        </w:rPr>
        <w:t xml:space="preserve">20</w:t>
      </w:r>
      <w:r>
        <w:rPr>
          <w:rFonts w:hint="eastAsia" w:asciiTheme="minorEastAsia" w:hAnsiTheme="minorEastAsia" w:eastAsiaTheme="minorEastAsia" w:cstheme="minorEastAsia"/>
          <w:color w:val="000000" w:themeColor="text1"/>
          <w:szCs w:val="24"/>
          <w:highlight w:val="none"/>
          <w:u w:val="single"/>
          <w:lang w:val="en-US" w:eastAsia="zh-CN"/>
        </w:rPr>
        <w:t xml:space="preserve">26</w:t>
      </w:r>
      <w:r>
        <w:rPr>
          <w:rFonts w:hint="eastAsia" w:asciiTheme="minorEastAsia" w:hAnsiTheme="minorEastAsia" w:eastAsiaTheme="minorEastAsia" w:cstheme="minorEastAsia"/>
          <w:color w:val="000000" w:themeColor="text1"/>
          <w:szCs w:val="24"/>
          <w:highlight w:val="none"/>
          <w:u w:val="single"/>
          <w:lang w:eastAsia="zh-CN"/>
        </w:rPr>
        <w:t xml:space="preserve">年</w:t>
      </w:r>
      <w:r>
        <w:rPr>
          <w:rFonts w:hint="eastAsia" w:asciiTheme="minorEastAsia" w:hAnsiTheme="minorEastAsia" w:eastAsiaTheme="minorEastAsia" w:cstheme="minorEastAsia"/>
          <w:color w:val="000000" w:themeColor="text1"/>
          <w:szCs w:val="24"/>
          <w:highlight w:val="none"/>
          <w:u w:val="single"/>
          <w:lang w:eastAsia="zh-CN"/>
        </w:rPr>
        <w:t xml:space="preserve">10月</w:t>
      </w:r>
      <w:r>
        <w:rPr>
          <w:rFonts w:hint="eastAsia" w:asciiTheme="minorEastAsia" w:hAnsiTheme="minorEastAsia" w:eastAsiaTheme="minorEastAsia" w:cstheme="minorEastAsia"/>
          <w:color w:val="000000" w:themeColor="text1"/>
          <w:szCs w:val="24"/>
          <w:highlight w:val="none"/>
          <w:u w:val="single"/>
          <w:lang w:eastAsia="zh-CN"/>
        </w:rPr>
        <w:t xml:space="preserve">21日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2.开标</w:t>
      </w:r>
      <w:r>
        <w:rPr>
          <w:rFonts w:hint="eastAsia" w:asciiTheme="minorEastAsia" w:hAnsiTheme="minorEastAsia" w:eastAsiaTheme="minorEastAsia" w:cstheme="minorEastAsia"/>
          <w:color w:val="000000" w:themeColor="text1"/>
          <w:sz w:val="24"/>
          <w:szCs w:val="24"/>
          <w:highlight w:val="none"/>
        </w:rPr>
        <w:t xml:space="preserve">时间：</w:t>
      </w:r>
      <w:r>
        <w:rPr>
          <w:rFonts w:hint="eastAsia" w:asciiTheme="minorEastAsia" w:hAnsiTheme="minorEastAsia" w:eastAsiaTheme="minorEastAsia" w:cstheme="minorEastAsia"/>
          <w:color w:val="000000" w:themeColor="text1"/>
          <w:szCs w:val="24"/>
          <w:highlight w:val="none"/>
          <w:u w:val="single"/>
          <w:lang w:eastAsia="zh-CN"/>
        </w:rPr>
        <w:t xml:space="preserve">202</w:t>
      </w:r>
      <w:r>
        <w:rPr>
          <w:rFonts w:hint="eastAsia" w:asciiTheme="minorEastAsia" w:hAnsiTheme="minorEastAsia" w:eastAsiaTheme="minorEastAsia" w:cstheme="minorEastAsia"/>
          <w:color w:val="000000" w:themeColor="text1"/>
          <w:szCs w:val="24"/>
          <w:highlight w:val="none"/>
          <w:u w:val="single"/>
          <w:lang w:val="en-US" w:eastAsia="zh-CN"/>
        </w:rPr>
        <w:t xml:space="preserve">6</w:t>
      </w:r>
      <w:r>
        <w:rPr>
          <w:rFonts w:hint="eastAsia" w:asciiTheme="minorEastAsia" w:hAnsiTheme="minorEastAsia" w:eastAsiaTheme="minorEastAsia" w:cstheme="minorEastAsia"/>
          <w:color w:val="000000" w:themeColor="text1"/>
          <w:szCs w:val="24"/>
          <w:highlight w:val="none"/>
          <w:u w:val="single"/>
          <w:lang w:eastAsia="zh-CN"/>
        </w:rPr>
        <w:t xml:space="preserve">年</w:t>
      </w:r>
      <w:r>
        <w:rPr>
          <w:rFonts w:hint="eastAsia" w:asciiTheme="minorEastAsia" w:hAnsiTheme="minorEastAsia" w:eastAsiaTheme="minorEastAsia" w:cstheme="minorEastAsia"/>
          <w:color w:val="000000" w:themeColor="text1"/>
          <w:szCs w:val="24"/>
          <w:highlight w:val="none"/>
          <w:u w:val="single"/>
          <w:lang w:eastAsia="zh-CN"/>
        </w:rPr>
        <w:t xml:space="preserve">10月</w:t>
      </w:r>
      <w:r>
        <w:rPr>
          <w:rFonts w:hint="eastAsia" w:asciiTheme="minorEastAsia" w:hAnsiTheme="minorEastAsia" w:eastAsiaTheme="minorEastAsia" w:cstheme="minorEastAsia"/>
          <w:color w:val="000000" w:themeColor="text1"/>
          <w:szCs w:val="24"/>
          <w:highlight w:val="none"/>
          <w:u w:val="single"/>
          <w:lang w:eastAsia="zh-CN"/>
        </w:rPr>
        <w:t xml:space="preserve">21日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bidi="ar-SA"/>
        </w:rPr>
        <w:t xml:space="preserve">3.开标地点：苏采云政府采购一体化平台开标大厅（网上不见面开标），“苏采云”系统（网址：http://jszfcg.jsczt.cn/）</w:t>
      </w:r>
      <w:r>
        <w:rPr>
          <w:color w:val="000000" w:themeColor="text1"/>
        </w:rP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000000" w:themeColor="text1"/>
          <w:sz w:val="24"/>
          <w:szCs w:val="24"/>
          <w:highlight w:val="none"/>
          <w:lang w:val="en-US" w:eastAsia="zh-CN" w:bidi="ar-SA"/>
        </w:rPr>
        <w:t xml:space="preserve">4.本项目采用电子招投标形式，请供应</w:t>
      </w:r>
      <w:r>
        <w:rPr>
          <w:rFonts w:hint="eastAsia" w:asciiTheme="minorEastAsia" w:hAnsiTheme="minorEastAsia" w:eastAsiaTheme="minorEastAsia" w:cstheme="minorEastAsia"/>
          <w:color w:val="auto"/>
          <w:sz w:val="24"/>
          <w:szCs w:val="24"/>
          <w:highlight w:val="none"/>
          <w:lang w:val="en-US" w:eastAsia="zh-CN" w:bidi="ar-SA"/>
        </w:rPr>
        <w:t xml:space="preserve">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37"/>
        <w:ind w:left="0" w:right="0" w:firstLine="480"/>
        <w:keepLines w:val="0"/>
        <w:keepNext w:val="0"/>
        <w:pageBreakBefore w:val="0"/>
        <w:spacing w:beforeAutospacing="0" w:after="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hAnsi="宋体" w:cs="宋体"/>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其他补充事宜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本公告在</w:t>
      </w:r>
      <w:r>
        <w:rPr>
          <w:rFonts w:hint="eastAsia" w:asciiTheme="minorEastAsia" w:hAnsiTheme="minorEastAsia" w:eastAsiaTheme="minorEastAsia" w:cstheme="minorEastAsia"/>
          <w:color w:val="auto"/>
          <w:sz w:val="24"/>
          <w:szCs w:val="24"/>
          <w:highlight w:val="none"/>
          <w:lang w:val="en-US" w:eastAsia="zh-CN"/>
        </w:rPr>
        <w:t xml:space="preserve">苏州市政府采购网、</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发布，敬请留意。</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3.本项目支持政府采购合同信用融资,</w:t>
      </w:r>
      <w:r>
        <w:rPr>
          <w:rFonts w:hint="eastAsia" w:ascii="宋体" w:hAnsi="宋体"/>
          <w:bCs/>
          <w:sz w:val="24"/>
          <w:highlight w:val="none"/>
        </w:rPr>
        <w:t xml:space="preserve">详情请见江苏政府采购网“政采贷”专栏。</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051"/>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联系人：曹芳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联系电话：0512-67972633</w:t>
      </w:r>
      <w:r/>
    </w:p>
    <w:p>
      <w:pPr>
        <w:pStyle w:val="1051"/>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05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王丹萍、张薇、王佳伟、徐张豪</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w:t>
      </w:r>
      <w:r>
        <w:rPr>
          <w:rFonts w:hint="eastAsia" w:asciiTheme="minorEastAsia" w:hAnsiTheme="minorEastAsia" w:eastAsiaTheme="minorEastAsia" w:cstheme="minorEastAsia"/>
          <w:color w:val="auto"/>
          <w:sz w:val="24"/>
          <w:szCs w:val="24"/>
          <w:highlight w:val="none"/>
          <w:lang w:val="en-US" w:eastAsia="zh-CN"/>
        </w:rPr>
        <w:t xml:space="preserve">js</w:t>
      </w:r>
      <w:r>
        <w:rPr>
          <w:rFonts w:hint="eastAsia" w:asciiTheme="minorEastAsia" w:hAnsiTheme="minorEastAsia" w:eastAsiaTheme="minorEastAsia" w:cstheme="minorEastAsia"/>
          <w:color w:val="auto"/>
          <w:sz w:val="24"/>
          <w:szCs w:val="24"/>
          <w:highlight w:val="none"/>
        </w:rPr>
        <w:t xml:space="preserve">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王丹萍</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电话：0512-68708379</w:t>
      </w:r>
      <w:r/>
    </w:p>
    <w:p>
      <w:pPr>
        <w:ind w:firstLine="480"/>
        <w:jc w:val="center"/>
        <w:spacing w:line="360"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6" w:name="_Toc8317"/>
      <w:r/>
      <w:bookmarkStart w:id="7" w:name="_Toc15472"/>
      <w:r/>
      <w:bookmarkStart w:id="8" w:name="_Toc30293"/>
      <w:r>
        <w:rPr>
          <w:rStyle w:val="1050"/>
          <w:rFonts w:hint="eastAsia" w:asciiTheme="minorEastAsia" w:hAnsiTheme="minorEastAsia" w:eastAsiaTheme="minorEastAsia" w:cstheme="minorEastAsia"/>
          <w:color w:val="auto"/>
          <w:sz w:val="44"/>
          <w:szCs w:val="44"/>
          <w:highlight w:val="none"/>
        </w:rPr>
        <w:t xml:space="preserve">第二章 投标人须知</w:t>
      </w:r>
      <w:bookmarkEnd w:id="6"/>
      <w:r/>
      <w:bookmarkEnd w:id="7"/>
      <w:r/>
      <w:bookmarkEnd w:id="8"/>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19"/>
        <w:ind w:firstLine="480"/>
        <w:jc w:val="both"/>
        <w:keepLines w:val="0"/>
        <w:keepNext w:val="0"/>
        <w:pageBreakBefore w:val="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rPr>
          <w:rFonts w:hint="eastAsia" w:ascii="方正魏碑_GBK" w:hAnsi="方正魏碑_GBK" w:eastAsia="方正魏碑_GBK" w:cs="方正魏碑_GBK"/>
          <w:color w:val="auto"/>
          <w:sz w:val="24"/>
          <w:szCs w:val="21"/>
          <w:highlight w:val="none"/>
        </w:rPr>
        <w:t xml:space="preserve">在本项目政府采购活动过程中，如果所执行的标准有更新的，按照最新标准执行。</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w:t>
      </w:r>
      <w:r>
        <w:rPr>
          <w:rFonts w:hint="eastAsia" w:asciiTheme="minorEastAsia" w:hAnsiTheme="minorEastAsia" w:eastAsiaTheme="minorEastAsia" w:cstheme="minorEastAsia"/>
          <w:color w:val="auto"/>
          <w:szCs w:val="24"/>
          <w:highlight w:val="none"/>
          <w:lang w:val="en-US" w:eastAsia="zh-CN"/>
        </w:rPr>
        <w:t xml:space="preserve">方</w:t>
      </w:r>
      <w:r>
        <w:rPr>
          <w:rFonts w:hint="eastAsia" w:asciiTheme="minorEastAsia" w:hAnsiTheme="minorEastAsia" w:eastAsiaTheme="minorEastAsia" w:cstheme="minorEastAsia"/>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合格投标人的</w:t>
      </w:r>
      <w:r>
        <w:rPr>
          <w:rFonts w:hint="eastAsia" w:asciiTheme="minorEastAsia" w:hAnsiTheme="minorEastAsia" w:eastAsiaTheme="minorEastAsia" w:cstheme="minorEastAsia"/>
          <w:b w:val="0"/>
          <w:bCs w:val="0"/>
          <w:color w:val="auto"/>
          <w:szCs w:val="24"/>
          <w:highlight w:val="none"/>
          <w:lang w:val="en-US" w:eastAsia="zh-CN"/>
        </w:rPr>
        <w:t xml:space="preserve">特定要求</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4.1</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4</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合格投标人的特定条件：</w:t>
      </w:r>
      <w:r>
        <w:rPr>
          <w:rFonts w:hint="eastAsia" w:asciiTheme="minorEastAsia" w:hAnsiTheme="minorEastAsia" w:eastAsiaTheme="minorEastAsia" w:cstheme="minorEastAsia"/>
          <w:b w:val="0"/>
          <w:bCs w:val="0"/>
          <w:color w:val="auto"/>
          <w:szCs w:val="24"/>
          <w:highlight w:val="none"/>
          <w:lang w:val="en-US" w:eastAsia="zh-CN"/>
        </w:rPr>
        <w:t xml:space="preserve">无</w:t>
      </w:r>
      <w:r>
        <w:rPr>
          <w:rFonts w:hint="eastAsia" w:asciiTheme="minorEastAsia" w:hAnsiTheme="minorEastAsia" w:eastAsiaTheme="minorEastAsia" w:cstheme="minorEastAsia"/>
          <w:b w:val="0"/>
          <w:bCs w:val="0"/>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在投标截止时间15日前，采购人或者采购代理机构无论出于自己的考虑，还是出于对投标人提问的澄清，均可对招标文件用更正公告的方式进行澄清或者修改，并通过江苏省政府采购网对外进行发布。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11.2</w:t>
      </w:r>
      <w:r>
        <w:rPr>
          <w:rFonts w:hint="eastAsia" w:asciiTheme="minorEastAsia" w:hAnsiTheme="minorEastAsia" w:eastAsiaTheme="minorEastAsia" w:cstheme="minorEastAsia"/>
          <w:color w:val="auto"/>
          <w:szCs w:val="24"/>
          <w:highlight w:val="none"/>
        </w:rPr>
        <w:t xml:space="preserve">对于补充通知（包括更正公告），报名成功的投标人通过</w:t>
      </w:r>
      <w:r>
        <w:rPr>
          <w:rFonts w:hint="eastAsia" w:asciiTheme="minorEastAsia" w:hAnsiTheme="minorEastAsia" w:eastAsiaTheme="minorEastAsia" w:cstheme="minorEastAsia"/>
          <w:color w:val="auto"/>
          <w:szCs w:val="24"/>
          <w:highlight w:val="none"/>
          <w:lang w:val="en-US" w:eastAsia="zh-CN"/>
        </w:rPr>
        <w:t xml:space="preserve">采购公告发布网站</w:t>
      </w:r>
      <w:r>
        <w:rPr>
          <w:rFonts w:hint="eastAsia" w:asciiTheme="minorEastAsia" w:hAnsiTheme="minorEastAsia" w:eastAsiaTheme="minorEastAsia" w:cstheme="minorEastAsia"/>
          <w:color w:val="auto"/>
          <w:szCs w:val="24"/>
          <w:highlight w:val="none"/>
        </w:rPr>
        <w:t xml:space="preserve">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color w:val="auto"/>
          <w:szCs w:val="24"/>
          <w:highlight w:val="none"/>
          <w:lang w:val="en-US" w:eastAsia="zh-CN"/>
        </w:rPr>
      </w:pPr>
      <w:r>
        <w:rPr>
          <w:rFonts w:hint="eastAsia" w:asciiTheme="minorEastAsia" w:hAnsiTheme="minorEastAsia" w:eastAsiaTheme="minorEastAsia" w:cstheme="minorEastAsia"/>
          <w:bCs/>
          <w:color w:val="auto"/>
          <w:szCs w:val="24"/>
          <w:highlight w:val="none"/>
        </w:rPr>
        <w:t xml:space="preserve">11.3</w:t>
      </w:r>
      <w:r>
        <w:rPr>
          <w:rFonts w:hint="eastAsia" w:asciiTheme="minorEastAsia" w:hAnsiTheme="minorEastAsia" w:eastAsiaTheme="minorEastAsia" w:cstheme="minorEastAsia"/>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11.4招标文件的澄清、修改、补充等内容均以</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bCs/>
          <w:color w:val="auto"/>
          <w:szCs w:val="24"/>
          <w:highlight w:val="none"/>
        </w:rPr>
        <w:t xml:space="preserve">上发布的为准。</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lang w:val="en-US" w:eastAsia="zh-CN"/>
        </w:rPr>
        <w:t xml:space="preserve">12</w:t>
      </w:r>
      <w:r>
        <w:rPr>
          <w:rFonts w:hint="eastAsia" w:asciiTheme="minorEastAsia" w:hAnsiTheme="minorEastAsia" w:eastAsiaTheme="minorEastAsia" w:cstheme="minorEastAsia"/>
          <w:bCs/>
          <w:color w:val="auto"/>
          <w:szCs w:val="24"/>
          <w:highlight w:val="none"/>
        </w:rPr>
        <w:t xml:space="preserve">.投标</w:t>
      </w:r>
      <w:r>
        <w:rPr>
          <w:rFonts w:hint="eastAsia" w:asciiTheme="minorEastAsia" w:hAnsiTheme="minorEastAsia" w:eastAsiaTheme="minorEastAsia" w:cstheme="minorEastAsia"/>
          <w:color w:val="auto"/>
          <w:szCs w:val="24"/>
          <w:highlight w:val="none"/>
        </w:rPr>
        <w:t xml:space="preserve">文件的澄清和修改</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12.1</w:t>
      </w:r>
      <w:r>
        <w:rPr>
          <w:rFonts w:hint="eastAsia" w:asciiTheme="minorEastAsia" w:hAnsiTheme="minorEastAsia" w:eastAsiaTheme="minorEastAsia" w:cstheme="minorEastAsia"/>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12.2</w:t>
      </w:r>
      <w:r>
        <w:rPr>
          <w:rFonts w:hint="eastAsia" w:asciiTheme="minorEastAsia" w:hAnsiTheme="minorEastAsia" w:eastAsiaTheme="minorEastAsia" w:cstheme="minorEastAsia"/>
          <w:color w:val="auto"/>
          <w:highlight w:val="none"/>
        </w:rPr>
        <w:t xml:space="preserve">本项目投标人的澄清、说明或者补正采用线上澄清</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此处规定时间的计算以系统中的倒计时间为准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，供应商应随时保持系统在线，如因供应商自身原因未在规定时间内提交澄清确认资料的，导致的不利后果由供应商自行承担。</w:t>
      </w:r>
      <w:r>
        <w:rPr>
          <w:rFonts w:hint="eastAsia" w:ascii="宋体" w:hAnsi="宋体"/>
          <w:sz w:val="24"/>
          <w:szCs w:val="24"/>
          <w:highlight w:val="none"/>
        </w:rPr>
        <w:t xml:space="preserve">具体操作方式见《操作手册》</w:t>
      </w:r>
      <w:r>
        <w:rPr>
          <w:rFonts w:hint="eastAsia" w:ascii="宋体" w:hAnsi="宋体"/>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13.</w:t>
      </w:r>
      <w:r>
        <w:rPr>
          <w:rFonts w:hint="eastAsia" w:asciiTheme="minorEastAsia" w:hAnsiTheme="minorEastAsia" w:eastAsiaTheme="minorEastAsia" w:cstheme="minorEastAsia"/>
          <w:color w:val="auto"/>
          <w:highlight w:val="none"/>
        </w:rPr>
        <w:t xml:space="preserve">现场</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：根据自身投标需要，投标人可对有关现场和周围环境自行进行</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，以获取编制投标文件和签署合同所需的信息，</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所发生的费用由投标人自己承担</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、投标文件计量单位和使用文字</w:t>
      </w:r>
      <w:r/>
    </w:p>
    <w:p>
      <w:pPr>
        <w:pStyle w:val="1019"/>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、投标文件的组成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16.3《本国产品成本占比》</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16.4</w:t>
      </w:r>
      <w:r>
        <w:rPr>
          <w:rFonts w:hint="eastAsia" w:ascii="宋体" w:hAnsi="宋体" w:eastAsia="宋体" w:cs="宋体"/>
          <w:b/>
          <w:bCs/>
          <w:color w:val="auto"/>
          <w:szCs w:val="24"/>
          <w:highlight w:val="none"/>
          <w:lang w:val="en-US" w:eastAsia="zh-CN"/>
        </w:rPr>
        <w:t xml:space="preserve">资格审查文件：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16.4.1合格投标人资格证明材料</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（1）有独立承担民事责任的能力证明：法人或者其他组织的营业执照等证明文件，自然人的身份证明；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包括但不限于最近一期经审计的财务报告或</w:t>
      </w:r>
      <w:r>
        <w:rPr>
          <w:rFonts w:hint="eastAsia" w:ascii="宋体" w:hAnsi="宋体" w:cs="宋体"/>
          <w:color w:val="auto"/>
          <w:szCs w:val="24"/>
          <w:highlight w:val="none"/>
        </w:rPr>
        <w:t xml:space="preserve">投标人财务状况报告</w:t>
      </w:r>
      <w:r>
        <w:rPr>
          <w:rFonts w:hint="eastAsia" w:ascii="宋体" w:hAnsi="宋体" w:eastAsia="宋体" w:cs="Times New Roman"/>
          <w:color w:val="auto"/>
          <w:sz w:val="24"/>
          <w:highlight w:val="none"/>
          <w:lang w:val="en-US" w:eastAsia="zh-CN"/>
        </w:rPr>
        <w:t xml:space="preserve">，其他组织、自然人及成立未满一年的法人应提供银行出具的资信证明</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（5）参加本次政府采购活动前三年内在经营活动中没有重大违法记录的书面声明函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投标人与其他单位存在控股、管理关系情况表（格式见第三章）</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ind w:firstLine="480"/>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16.4.2</w:t>
      </w:r>
      <w:r>
        <w:rPr>
          <w:rFonts w:hint="eastAsia" w:asciiTheme="minorEastAsia" w:hAnsiTheme="minorEastAsia" w:eastAsiaTheme="minorEastAsia" w:cstheme="minorEastAsia"/>
          <w:b w:val="0"/>
          <w:bCs w:val="0"/>
          <w:color w:val="auto"/>
          <w:sz w:val="24"/>
          <w:szCs w:val="24"/>
          <w:highlight w:val="none"/>
        </w:rPr>
        <w:t xml:space="preserve">关于资格文</w:t>
      </w:r>
      <w:r>
        <w:rPr>
          <w:rFonts w:hint="eastAsia" w:asciiTheme="minorEastAsia" w:hAnsiTheme="minorEastAsia" w:eastAsiaTheme="minorEastAsia" w:cstheme="minorEastAsia"/>
          <w:color w:val="auto"/>
          <w:sz w:val="24"/>
          <w:szCs w:val="24"/>
          <w:highlight w:val="none"/>
        </w:rPr>
        <w:t xml:space="preserve">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pStyle w:val="1024"/>
        <w:ind w:lef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16.5符合性审查文件：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.1投标函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16.5.2偏离表（格式见第三章）；</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16.5.3《投标人类似项目业绩一览表》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16.5.4</w:t>
      </w:r>
      <w:r>
        <w:rPr>
          <w:rFonts w:hint="eastAsia" w:ascii="宋体" w:hAnsi="宋体"/>
          <w:color w:val="auto"/>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16.5.5</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投标保证承诺书</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eastAsia" w:ascii="宋体" w:hAnsi="宋体" w:eastAsia="宋体" w:cs="Times New Roman"/>
          <w:color w:val="auto"/>
          <w:szCs w:val="24"/>
          <w:highlight w:val="none"/>
          <w:lang w:val="en-US" w:eastAsia="zh-CN"/>
        </w:rPr>
        <w:outlineLvl w:val="9"/>
      </w:pPr>
      <w:r>
        <w:rPr>
          <w:rFonts w:hint="eastAsia" w:ascii="宋体" w:hAnsi="宋体" w:cs="Times New Roman"/>
          <w:color w:val="auto"/>
          <w:szCs w:val="24"/>
          <w:highlight w:val="none"/>
          <w:lang w:val="en-US" w:eastAsia="zh-CN"/>
        </w:rPr>
        <w:t xml:space="preserve">16.5.6《工具及易耗品清单表》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cs="Times New Roman"/>
          <w:color w:val="auto"/>
          <w:szCs w:val="24"/>
          <w:highlight w:val="none"/>
          <w:lang w:val="en-US" w:eastAsia="zh-CN"/>
        </w:rPr>
        <w:outlineLvl w:val="9"/>
      </w:pPr>
      <w:r>
        <w:rPr>
          <w:rFonts w:hint="eastAsia" w:ascii="宋体" w:hAnsi="宋体" w:cs="Times New Roman"/>
          <w:color w:val="auto"/>
          <w:szCs w:val="24"/>
          <w:highlight w:val="none"/>
          <w:lang w:val="en-US" w:eastAsia="zh-CN"/>
        </w:rPr>
        <w:t xml:space="preserve">16.5.7《售后服务承诺书》</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cs="Times New Roman"/>
          <w:color w:val="auto"/>
          <w:szCs w:val="24"/>
          <w:highlight w:val="none"/>
          <w:lang w:val="en-US" w:eastAsia="zh-CN"/>
        </w:rPr>
        <w:t xml:space="preserve">16.5.8</w:t>
      </w:r>
      <w:r>
        <w:rPr>
          <w:rFonts w:hint="eastAsia" w:asciiTheme="minorEastAsia" w:hAnsiTheme="minorEastAsia" w:eastAsiaTheme="minorEastAsia" w:cstheme="minorEastAsia"/>
          <w:color w:val="auto"/>
          <w:sz w:val="24"/>
          <w:szCs w:val="24"/>
          <w:highlight w:val="none"/>
          <w:lang w:val="en-US" w:eastAsia="zh-CN"/>
        </w:rPr>
        <w:t xml:space="preserve">关于后期维修更换的产品涉及强制节能认证的承诺函</w:t>
      </w:r>
      <w:r>
        <w:rPr>
          <w:rFonts w:hint="eastAsia" w:ascii="宋体" w:hAnsi="宋体" w:cs="Times New Roman"/>
          <w:color w:val="auto"/>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w:t>
      </w:r>
      <w:r>
        <w:rPr>
          <w:rFonts w:hint="eastAsia" w:ascii="宋体" w:hAnsi="宋体" w:cs="Times New Roman"/>
          <w:color w:val="auto"/>
          <w:szCs w:val="24"/>
          <w:highlight w:val="none"/>
          <w:lang w:val="en-US" w:eastAsia="zh-CN"/>
        </w:rPr>
        <w:t xml:space="preserve">9</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16.6.1</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16.6.3</w:t>
      </w:r>
      <w:r>
        <w:rPr>
          <w:rFonts w:hint="eastAsia" w:ascii="宋体" w:hAnsi="宋体" w:cs="宋体"/>
          <w:color w:val="auto"/>
          <w:sz w:val="24"/>
          <w:szCs w:val="24"/>
          <w:highlight w:val="none"/>
          <w:lang w:val="en-US" w:eastAsia="zh-CN"/>
        </w:rPr>
        <w:t xml:space="preserve">《关于符合本国产品标准的声明函》（如属）</w:t>
      </w:r>
      <w:r>
        <w:rPr>
          <w:rFonts w:hint="eastAsia" w:ascii="宋体" w:hAnsi="宋体" w:cs="宋体"/>
          <w:color w:val="auto"/>
          <w:szCs w:val="24"/>
          <w:highlight w:val="none"/>
        </w:rPr>
        <w:t xml:space="preserve">(格式见第三章)</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16.6.4《中小企业声明函》或《残疾人福利性单位声明函》或由省级以上监狱管理局、戒毒管理局（含新疆生产建设兵团）出具的属于监狱企业的证明文件（如属）；</w:t>
      </w:r>
      <w:r>
        <w:rPr>
          <w:rFonts w:hint="eastAsia" w:ascii="宋体" w:hAnsi="宋体" w:eastAsia="宋体" w:cs="宋体"/>
          <w:color w:val="auto"/>
          <w:szCs w:val="24"/>
          <w:highlight w:val="none"/>
        </w:rPr>
        <w:t xml:space="preserve">（格式见第三章）</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lightGray"/>
        </w:rPr>
      </w:pPr>
      <w:r>
        <w:rPr>
          <w:rFonts w:hint="eastAsia" w:ascii="宋体" w:hAnsi="宋体" w:eastAsia="宋体" w:cs="宋体"/>
          <w:b/>
          <w:bCs/>
          <w:color w:val="auto"/>
          <w:szCs w:val="24"/>
          <w:highlight w:val="lightGray"/>
        </w:rPr>
        <w:t xml:space="preserve">（3）“</w:t>
      </w:r>
      <w:r>
        <w:rPr>
          <w:rFonts w:hint="eastAsia" w:ascii="宋体" w:hAnsi="宋体" w:eastAsia="宋体" w:cs="宋体"/>
          <w:b/>
          <w:bCs/>
          <w:color w:val="auto"/>
          <w:szCs w:val="24"/>
          <w:highlight w:val="lightGray"/>
          <w:lang w:val="en-US" w:eastAsia="zh-CN"/>
        </w:rPr>
        <w:t xml:space="preserve">16.4</w:t>
      </w:r>
      <w:r>
        <w:rPr>
          <w:rFonts w:hint="eastAsia" w:ascii="宋体" w:hAnsi="宋体" w:eastAsia="宋体" w:cs="宋体"/>
          <w:b/>
          <w:bCs/>
          <w:color w:val="auto"/>
          <w:szCs w:val="24"/>
          <w:highlight w:val="lightGray"/>
        </w:rPr>
        <w:t xml:space="preserve">-1</w:t>
      </w:r>
      <w:r>
        <w:rPr>
          <w:rFonts w:hint="eastAsia" w:ascii="宋体" w:hAnsi="宋体" w:eastAsia="宋体" w:cs="宋体"/>
          <w:b/>
          <w:bCs/>
          <w:color w:val="auto"/>
          <w:szCs w:val="24"/>
          <w:highlight w:val="lightGray"/>
          <w:lang w:val="en-US" w:eastAsia="zh-CN"/>
        </w:rPr>
        <w:t xml:space="preserve">6.6</w:t>
      </w:r>
      <w:r>
        <w:rPr>
          <w:rFonts w:hint="eastAsia" w:ascii="宋体" w:hAnsi="宋体" w:eastAsia="宋体" w:cs="宋体"/>
          <w:b/>
          <w:bCs/>
          <w:color w:val="auto"/>
          <w:szCs w:val="24"/>
          <w:highlight w:val="lightGray"/>
        </w:rPr>
        <w:t xml:space="preserve">”中不得出现投标总报价</w:t>
      </w:r>
      <w:r>
        <w:rPr>
          <w:rFonts w:hint="eastAsia" w:ascii="宋体" w:hAnsi="宋体" w:cs="宋体"/>
          <w:b/>
          <w:bCs/>
          <w:color w:val="auto"/>
          <w:szCs w:val="24"/>
          <w:highlight w:val="lightGray"/>
          <w:lang w:eastAsia="zh-CN"/>
        </w:rPr>
        <w:t xml:space="preserve">，</w:t>
      </w:r>
      <w:r>
        <w:rPr>
          <w:rFonts w:hint="eastAsia" w:ascii="宋体" w:hAnsi="宋体" w:cs="宋体"/>
          <w:b/>
          <w:bCs/>
          <w:color w:val="auto"/>
          <w:szCs w:val="24"/>
          <w:highlight w:val="lightGray"/>
          <w:lang w:val="en-US" w:eastAsia="zh-CN"/>
        </w:rPr>
        <w:t xml:space="preserve">否则视为无效投标</w:t>
      </w:r>
      <w:r>
        <w:rPr>
          <w:rFonts w:hint="eastAsia" w:ascii="宋体" w:hAnsi="宋体" w:eastAsia="宋体" w:cs="宋体"/>
          <w:b/>
          <w:bCs/>
          <w:color w:val="auto"/>
          <w:szCs w:val="24"/>
          <w:highlight w:val="lightGray"/>
        </w:rPr>
        <w:t xml:space="preserve">。投标人所提交的资料的完整与否，将直接影响投标人的评分。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rPr>
          <w:rFonts w:hint="eastAsia" w:ascii="宋体" w:hAnsi="宋体" w:cs="宋体"/>
          <w:color w:val="auto"/>
          <w:szCs w:val="24"/>
          <w:highlight w:val="none"/>
          <w:lang w:eastAsia="zh-CN"/>
        </w:rPr>
        <w:t xml:space="preserve">（</w:t>
      </w:r>
      <w:r>
        <w:rPr>
          <w:rFonts w:hint="eastAsia" w:ascii="宋体" w:hAnsi="宋体" w:cs="宋体"/>
          <w:color w:val="auto"/>
          <w:sz w:val="24"/>
          <w:szCs w:val="24"/>
          <w:highlight w:val="none"/>
          <w:lang w:val="en-US" w:eastAsia="zh-CN"/>
        </w:rPr>
        <w:t xml:space="preserve">本项目采用优惠率报价</w:t>
      </w:r>
      <w:r>
        <w:rPr>
          <w:rFonts w:hint="eastAsia" w:ascii="宋体" w:hAnsi="宋体" w:cs="宋体"/>
          <w:color w:val="auto"/>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.1除非合同中另有规定，投标人对《标的物清单》中的全部货物和服务的报价应包括检测检修、材料配件、运杂、保险、税金、调试、人工、加班费、技术服务、日常养护、辅助材料、专用工具、附件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代理服务费</w:t>
      </w:r>
      <w:r>
        <w:rPr>
          <w:rFonts w:hint="eastAsia" w:ascii="宋体" w:hAnsi="宋体" w:eastAsia="宋体" w:cs="宋体"/>
          <w:color w:val="auto"/>
          <w:sz w:val="24"/>
          <w:szCs w:val="24"/>
          <w:highlight w:val="none"/>
        </w:rPr>
        <w:t xml:space="preserve">等一切费用。</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.2投标人应按《投标报价表》中的全部货物和服务计算单价和总价。《投标报价表》中的每一单项均应计算并填写单价和总价，并由法定代表人或授权委托人签署。</w:t>
      </w:r>
      <w:r>
        <w:rPr>
          <w:rFonts w:hint="eastAsia" w:ascii="宋体" w:hAnsi="宋体" w:cs="宋体"/>
          <w:color w:val="auto"/>
          <w:sz w:val="24"/>
          <w:szCs w:val="24"/>
          <w:highlight w:val="none"/>
          <w:lang w:val="en-US" w:eastAsia="zh-CN"/>
        </w:rPr>
        <w:t xml:space="preserve">本项目按优惠率报价，不适用上述描述。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.3在投标截止时间止成功解密的投标文件少于三份，采购代理机构有权宣布</w:t>
      </w:r>
      <w:r>
        <w:rPr>
          <w:rFonts w:hint="eastAsia" w:ascii="宋体" w:hAnsi="宋体" w:cs="宋体"/>
          <w:color w:val="auto"/>
          <w:szCs w:val="24"/>
          <w:highlight w:val="none"/>
          <w:lang w:val="en-US" w:eastAsia="zh-CN"/>
        </w:rPr>
        <w:t xml:space="preserve">该项目</w:t>
      </w:r>
      <w:r>
        <w:rPr>
          <w:rFonts w:hint="eastAsia" w:ascii="宋体" w:hAnsi="宋体" w:eastAsia="宋体" w:cs="宋体"/>
          <w:color w:val="auto"/>
          <w:szCs w:val="24"/>
          <w:highlight w:val="none"/>
        </w:rPr>
        <w:t xml:space="preserve">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rPr>
        <w:t xml:space="preserve">.</w:t>
      </w:r>
      <w:r>
        <w:rPr>
          <w:rFonts w:hint="eastAsia" w:ascii="宋体" w:hAnsi="宋体" w:cs="宋体"/>
          <w:b w:val="0"/>
          <w:bCs w:val="0"/>
          <w:color w:val="auto"/>
          <w:szCs w:val="24"/>
          <w:highlight w:val="none"/>
          <w:lang w:val="en-US" w:eastAsia="zh-CN"/>
        </w:rPr>
        <w:t xml:space="preserve">6采购</w:t>
      </w:r>
      <w:r>
        <w:rPr>
          <w:rFonts w:hint="eastAsia" w:ascii="宋体" w:hAnsi="宋体" w:eastAsia="宋体" w:cs="宋体"/>
          <w:b w:val="0"/>
          <w:bCs w:val="0"/>
          <w:color w:val="auto"/>
          <w:szCs w:val="24"/>
          <w:highlight w:val="none"/>
        </w:rPr>
        <w:t xml:space="preserve">异常低价审查</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lang w:val="en-US" w:eastAsia="zh-CN"/>
        </w:rPr>
        <w:t xml:space="preserve">.6.1</w:t>
      </w:r>
      <w:r>
        <w:rPr>
          <w:rFonts w:hint="eastAsia" w:ascii="宋体" w:hAnsi="宋体" w:eastAsia="宋体" w:cs="宋体"/>
          <w:b w:val="0"/>
          <w:bCs w:val="0"/>
          <w:color w:val="auto"/>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1</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3</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投标（响应）报价低于采购项目最高限价45%的，即投标（响应）报价&lt;采购项目最高限价×45%；</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评审委员会基于专业判断，认为供应商报价过低，有可能影响产品质量或者不能诚信履约的其他情形。</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28.6.2</w:t>
      </w:r>
      <w:r>
        <w:rPr>
          <w:rFonts w:hint="eastAsia" w:ascii="宋体" w:hAnsi="宋体" w:eastAsia="宋体" w:cs="宋体"/>
          <w:b w:val="0"/>
          <w:bCs w:val="0"/>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color w:val="auto"/>
          <w:szCs w:val="24"/>
          <w:highlight w:val="none"/>
        </w:rPr>
        <w:t xml:space="preserve">给予相关供应商的合理时间</w:t>
      </w:r>
      <w:r>
        <w:rPr>
          <w:rFonts w:hint="eastAsia" w:ascii="宋体" w:hAnsi="宋体" w:cs="宋体"/>
          <w:b/>
          <w:bCs/>
          <w:color w:val="auto"/>
          <w:szCs w:val="24"/>
          <w:highlight w:val="none"/>
          <w:lang w:val="en-US" w:eastAsia="zh-CN"/>
        </w:rPr>
        <w:t xml:space="preserve">为</w:t>
      </w:r>
      <w:r>
        <w:rPr>
          <w:rFonts w:hint="eastAsia" w:ascii="宋体" w:hAnsi="宋体" w:eastAsia="宋体" w:cs="宋体"/>
          <w:b/>
          <w:bCs/>
          <w:color w:val="auto"/>
          <w:szCs w:val="24"/>
          <w:highlight w:val="none"/>
        </w:rPr>
        <w:t xml:space="preserve">30分钟</w:t>
      </w:r>
      <w:r>
        <w:rPr>
          <w:rFonts w:hint="eastAsia" w:ascii="宋体" w:hAnsi="宋体" w:eastAsia="宋体" w:cs="宋体"/>
          <w:b w:val="0"/>
          <w:bCs w:val="0"/>
          <w:color w:val="auto"/>
          <w:szCs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28.6.3</w:t>
      </w:r>
      <w:r>
        <w:rPr>
          <w:rFonts w:hint="eastAsia" w:ascii="宋体" w:hAnsi="宋体" w:eastAsia="宋体" w:cs="宋体"/>
          <w:b w:val="0"/>
          <w:bCs w:val="0"/>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此处规定时间的计算以系统中的倒计时间为准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w:t>
      </w:r>
      <w:r>
        <w:rPr>
          <w:rFonts w:hint="eastAsia" w:ascii="宋体" w:hAnsi="宋体" w:cs="宋体"/>
          <w:color w:val="auto"/>
          <w:szCs w:val="24"/>
          <w:highlight w:val="none"/>
          <w:lang w:val="en-US" w:eastAsia="zh-CN"/>
        </w:rPr>
        <w:t xml:space="preserve">该</w:t>
      </w:r>
      <w:r>
        <w:rPr>
          <w:rFonts w:hint="eastAsia" w:ascii="宋体" w:hAnsi="宋体" w:eastAsia="宋体" w:cs="宋体"/>
          <w:color w:val="auto"/>
          <w:szCs w:val="24"/>
          <w:highlight w:val="none"/>
        </w:rPr>
        <w:t xml:space="preserve">预算金额或者最高限价</w:t>
      </w:r>
      <w:r>
        <w:rPr>
          <w:rFonts w:hint="eastAsia" w:ascii="宋体" w:hAnsi="宋体" w:cs="宋体"/>
          <w:color w:val="auto"/>
          <w:szCs w:val="24"/>
          <w:highlight w:val="none"/>
          <w:lang w:val="en-US" w:eastAsia="zh-CN"/>
        </w:rPr>
        <w:t xml:space="preserve">单价</w:t>
      </w:r>
      <w:r>
        <w:rPr>
          <w:rFonts w:hint="eastAsia" w:ascii="宋体" w:hAnsi="宋体" w:eastAsia="宋体" w:cs="宋体"/>
          <w:color w:val="auto"/>
          <w:szCs w:val="24"/>
          <w:highlight w:val="none"/>
        </w:rPr>
        <w:t xml:space="preserve">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w:t>
      </w:r>
      <w:r>
        <w:rPr>
          <w:rFonts w:hint="eastAsia" w:ascii="宋体" w:hAnsi="宋体" w:cs="宋体"/>
          <w:color w:val="auto"/>
          <w:szCs w:val="24"/>
          <w:highlight w:val="none"/>
          <w:lang w:val="en-US" w:eastAsia="zh-CN"/>
        </w:rPr>
        <w:t xml:space="preserve">该</w:t>
      </w:r>
      <w:r>
        <w:rPr>
          <w:rFonts w:hint="eastAsia" w:ascii="宋体" w:hAnsi="宋体" w:eastAsia="宋体" w:cs="宋体"/>
          <w:color w:val="auto"/>
          <w:szCs w:val="24"/>
          <w:highlight w:val="none"/>
        </w:rPr>
        <w:t xml:space="preserve">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.3.1</w:t>
      </w:r>
      <w:r>
        <w:rPr>
          <w:rFonts w:hint="eastAsia" w:asciiTheme="minorEastAsia" w:hAnsiTheme="minorEastAsia" w:eastAsiaTheme="minorEastAsia" w:cstheme="minorEastAsia"/>
          <w:color w:val="auto"/>
          <w:sz w:val="24"/>
          <w:szCs w:val="24"/>
          <w:highlight w:val="none"/>
        </w:rPr>
        <w:t xml:space="preserve">投标人的资信情况和履约能力；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.3.2投标者提供的其他优惠条件</w:t>
      </w:r>
      <w:r>
        <w:rPr>
          <w:rFonts w:hint="eastAsia" w:asciiTheme="minorEastAsia" w:hAnsiTheme="minorEastAsia" w:eastAsiaTheme="minorEastAsia" w:cstheme="minorEastAsia"/>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val="0"/>
          <w:bCs w:val="0"/>
          <w:color w:val="auto"/>
          <w:sz w:val="24"/>
          <w:szCs w:val="24"/>
          <w:highlight w:val="none"/>
          <w:lang w:val="en-US" w:eastAsia="zh-CN"/>
        </w:rPr>
        <w:t xml:space="preserve">31.4</w:t>
      </w:r>
      <w:r>
        <w:rPr>
          <w:rFonts w:hint="eastAsia" w:ascii="宋体" w:hAnsi="宋体" w:eastAsia="宋体" w:cs="宋体"/>
          <w:color w:val="auto"/>
          <w:szCs w:val="24"/>
          <w:highlight w:val="none"/>
        </w:rPr>
        <w:t xml:space="preserve">最低的投标报价或最高的折扣比例是中标的重要条件，但不是唯一条件。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19"/>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35.1中标人</w:t>
      </w:r>
      <w:r>
        <w:rPr>
          <w:rFonts w:hint="eastAsia" w:asciiTheme="minorEastAsia" w:hAnsiTheme="minorEastAsia" w:eastAsiaTheme="minorEastAsia" w:cstheme="minorEastAsia"/>
          <w:b w:val="0"/>
          <w:bCs w:val="0"/>
          <w:color w:val="auto"/>
          <w:sz w:val="24"/>
          <w:szCs w:val="24"/>
          <w:highlight w:val="none"/>
          <w:lang w:eastAsia="zh-CN"/>
        </w:rPr>
        <w:t xml:space="preserve">应在合同签订</w:t>
      </w:r>
      <w:r>
        <w:rPr>
          <w:rFonts w:hint="eastAsia" w:asciiTheme="minorEastAsia" w:hAnsiTheme="minorEastAsia" w:eastAsiaTheme="minorEastAsia" w:cstheme="minorEastAsia"/>
          <w:b w:val="0"/>
          <w:bCs w:val="0"/>
          <w:color w:val="auto"/>
          <w:sz w:val="24"/>
          <w:szCs w:val="24"/>
          <w:highlight w:val="none"/>
          <w:lang w:val="en-US" w:eastAsia="zh-CN"/>
        </w:rPr>
        <w:t xml:space="preserve">后三十日内</w:t>
      </w:r>
      <w:r>
        <w:rPr>
          <w:rFonts w:hint="eastAsia" w:asciiTheme="minorEastAsia" w:hAnsiTheme="minorEastAsia" w:eastAsiaTheme="minorEastAsia" w:cstheme="minorEastAsia"/>
          <w:b w:val="0"/>
          <w:bCs w:val="0"/>
          <w:color w:val="auto"/>
          <w:sz w:val="24"/>
          <w:szCs w:val="24"/>
          <w:highlight w:val="none"/>
          <w:lang w:eastAsia="zh-CN"/>
        </w:rPr>
        <w:t xml:space="preserve">，向</w:t>
      </w:r>
      <w:r>
        <w:rPr>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Fonts w:hint="eastAsia" w:asciiTheme="minorEastAsia" w:hAnsiTheme="minorEastAsia" w:eastAsiaTheme="minorEastAsia" w:cstheme="minorEastAsia"/>
          <w:b w:val="0"/>
          <w:bCs w:val="0"/>
          <w:color w:val="auto"/>
          <w:sz w:val="24"/>
          <w:szCs w:val="24"/>
          <w:highlight w:val="none"/>
          <w:lang w:eastAsia="zh-CN"/>
        </w:rPr>
        <w:t xml:space="preserve">缴纳</w:t>
      </w:r>
      <w:r>
        <w:rPr>
          <w:rFonts w:hint="eastAsia" w:asciiTheme="minorEastAsia" w:hAnsiTheme="minorEastAsia" w:eastAsiaTheme="minorEastAsia" w:cstheme="minorEastAsia"/>
          <w:b w:val="0"/>
          <w:bCs w:val="0"/>
          <w:color w:val="auto"/>
          <w:sz w:val="24"/>
          <w:szCs w:val="24"/>
          <w:highlight w:val="none"/>
          <w:lang w:val="en-US" w:eastAsia="zh-CN"/>
        </w:rPr>
        <w:t xml:space="preserve">人民币壹拾万元整（￥100000.00）</w:t>
      </w:r>
      <w:r>
        <w:rPr>
          <w:rFonts w:hint="eastAsia" w:asciiTheme="minorEastAsia" w:hAnsiTheme="minorEastAsia" w:eastAsiaTheme="minorEastAsia" w:cstheme="minorEastAsia"/>
          <w:b w:val="0"/>
          <w:bCs w:val="0"/>
          <w:color w:val="auto"/>
          <w:sz w:val="24"/>
          <w:szCs w:val="24"/>
          <w:highlight w:val="none"/>
          <w:lang w:eastAsia="zh-CN"/>
        </w:rPr>
        <w:t xml:space="preserve">作为履约保证金。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35.2</w:t>
      </w:r>
      <w:r>
        <w:rPr>
          <w:rFonts w:hint="eastAsia" w:asciiTheme="minorEastAsia" w:hAnsiTheme="minorEastAsia" w:eastAsiaTheme="minorEastAsia" w:cstheme="minorEastAsia"/>
          <w:b w:val="0"/>
          <w:bCs w:val="0"/>
          <w:color w:val="auto"/>
          <w:sz w:val="24"/>
          <w:szCs w:val="24"/>
          <w:highlight w:val="none"/>
          <w:lang w:eastAsia="zh-CN"/>
        </w:rPr>
        <w:t xml:space="preserve">如果乙方未能履行合同规定的任何义务，甲方有权从履约保证金中取得补偿，履约保证金不足的，乙方需补足。</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35.3本项目</w:t>
      </w:r>
      <w:r>
        <w:rPr>
          <w:rFonts w:hint="eastAsia" w:asciiTheme="minorEastAsia" w:hAnsiTheme="minorEastAsia" w:eastAsiaTheme="minorEastAsia" w:cstheme="minorEastAsia"/>
          <w:b w:val="0"/>
          <w:bCs w:val="0"/>
          <w:color w:val="auto"/>
          <w:sz w:val="24"/>
          <w:szCs w:val="24"/>
          <w:highlight w:val="none"/>
          <w:lang w:eastAsia="zh-CN"/>
        </w:rPr>
        <w:t xml:space="preserve">履约保证金（无息）将在</w:t>
      </w:r>
      <w:r>
        <w:rPr>
          <w:rFonts w:hint="eastAsia" w:ascii="宋体" w:hAnsi="宋体" w:eastAsia="宋体" w:cs="宋体"/>
          <w:color w:val="auto"/>
          <w:sz w:val="24"/>
          <w:szCs w:val="24"/>
          <w:highlight w:val="none"/>
        </w:rPr>
        <w:t xml:space="preserve">合同履行结束后</w:t>
      </w:r>
      <w:r>
        <w:rPr>
          <w:rFonts w:hint="eastAsia" w:asciiTheme="minorEastAsia" w:hAnsiTheme="minorEastAsia" w:eastAsiaTheme="minorEastAsia" w:cstheme="minorEastAsia"/>
          <w:b w:val="0"/>
          <w:bCs w:val="0"/>
          <w:color w:val="auto"/>
          <w:sz w:val="24"/>
          <w:szCs w:val="24"/>
          <w:highlight w:val="none"/>
          <w:lang w:eastAsia="zh-CN"/>
        </w:rPr>
        <w:t xml:space="preserve">由履约保证</w:t>
      </w:r>
      <w:r>
        <w:rPr>
          <w:rFonts w:hint="eastAsia" w:asciiTheme="minorEastAsia" w:hAnsiTheme="minorEastAsia" w:eastAsiaTheme="minorEastAsia" w:cstheme="minorEastAsia"/>
          <w:b w:val="0"/>
          <w:bCs w:val="0"/>
          <w:color w:val="auto"/>
          <w:sz w:val="24"/>
          <w:szCs w:val="24"/>
          <w:highlight w:val="none"/>
          <w:lang w:val="en-US" w:eastAsia="zh-CN"/>
        </w:rPr>
        <w:t xml:space="preserve">金</w:t>
      </w:r>
      <w:r>
        <w:rPr>
          <w:rFonts w:hint="eastAsia" w:asciiTheme="minorEastAsia" w:hAnsiTheme="minorEastAsia" w:eastAsiaTheme="minorEastAsia" w:cstheme="minorEastAsia"/>
          <w:b w:val="0"/>
          <w:bCs w:val="0"/>
          <w:color w:val="auto"/>
          <w:sz w:val="24"/>
          <w:szCs w:val="24"/>
          <w:highlight w:val="none"/>
          <w:lang w:eastAsia="zh-CN"/>
        </w:rPr>
        <w:t xml:space="preserve">收取单位（甲方）退回。</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w:t>
      </w:r>
      <w:r>
        <w:rPr>
          <w:rFonts w:hint="eastAsia" w:asciiTheme="minorEastAsia" w:hAnsiTheme="minorEastAsia" w:eastAsiaTheme="minorEastAsia" w:cstheme="minorEastAsia"/>
          <w:b w:val="0"/>
          <w:bCs w:val="0"/>
          <w:color w:val="auto"/>
          <w:sz w:val="24"/>
          <w:szCs w:val="24"/>
          <w:highlight w:val="none"/>
        </w:rPr>
        <w:t xml:space="preserve">.4</w:t>
      </w:r>
      <w:r>
        <w:rPr>
          <w:rFonts w:hint="eastAsia" w:asciiTheme="minorEastAsia" w:hAnsiTheme="minorEastAsia" w:eastAsiaTheme="minorEastAsia" w:cstheme="minorEastAsia"/>
          <w:b w:val="0"/>
          <w:bCs w:val="0"/>
          <w:color w:val="auto"/>
          <w:sz w:val="24"/>
          <w:szCs w:val="24"/>
          <w:highlight w:val="none"/>
          <w:lang w:eastAsia="zh-CN"/>
        </w:rPr>
        <w:t xml:space="preserve">中标人</w:t>
      </w:r>
      <w:r>
        <w:rPr>
          <w:rFonts w:hint="eastAsia" w:asciiTheme="minorEastAsia" w:hAnsiTheme="minorEastAsia" w:eastAsiaTheme="minorEastAsia" w:cstheme="minorEastAsia"/>
          <w:b w:val="0"/>
          <w:bCs w:val="0"/>
          <w:color w:val="auto"/>
          <w:sz w:val="24"/>
          <w:szCs w:val="24"/>
          <w:highlight w:val="none"/>
        </w:rPr>
        <w:t xml:space="preserve">应当以</w:t>
      </w:r>
      <w:r>
        <w:rPr>
          <w:rFonts w:hint="eastAsia" w:asciiTheme="minorEastAsia" w:hAnsiTheme="minorEastAsia" w:eastAsiaTheme="minorEastAsia" w:cstheme="minorEastAsia"/>
          <w:b w:val="0"/>
          <w:bCs w:val="0"/>
          <w:color w:val="auto"/>
          <w:sz w:val="24"/>
          <w:szCs w:val="24"/>
          <w:highlight w:val="none"/>
          <w:lang w:val="en-US" w:eastAsia="zh-CN"/>
        </w:rPr>
        <w:t xml:space="preserve">银行转账、</w:t>
      </w:r>
      <w:r>
        <w:rPr>
          <w:rFonts w:hint="eastAsia" w:asciiTheme="minorEastAsia" w:hAnsiTheme="minorEastAsia" w:eastAsiaTheme="minorEastAsia" w:cstheme="minorEastAsia"/>
          <w:b w:val="0"/>
          <w:bCs w:val="0"/>
          <w:color w:val="auto"/>
          <w:sz w:val="24"/>
          <w:szCs w:val="24"/>
          <w:highlight w:val="none"/>
        </w:rPr>
        <w:t xml:space="preserve">支票、汇票、本票或者金融机构、担保机构出具的保函等形式提交履约保证金。</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.合同的签订</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1019"/>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cs="宋体"/>
          <w:lang w:val="en-US" w:eastAsia="zh-CN"/>
        </w:rPr>
        <w:t xml:space="preserve">37.1</w:t>
      </w:r>
      <w:r>
        <w:rPr>
          <w:rFonts w:hint="eastAsia" w:ascii="宋体" w:hAnsi="宋体" w:cs="宋体"/>
        </w:rPr>
        <w:t xml:space="preserve">本项目在编制预算时已综合考虑代理服务费，根据代理协议约定，本项目代理服务费由中标</w:t>
      </w:r>
      <w:r>
        <w:rPr>
          <w:rFonts w:hint="eastAsia" w:ascii="宋体" w:hAnsi="宋体" w:cs="宋体"/>
          <w:lang w:val="en-US" w:eastAsia="zh-CN"/>
        </w:rPr>
        <w:t xml:space="preserve">人</w:t>
      </w:r>
      <w:r>
        <w:rPr>
          <w:rFonts w:hint="eastAsia" w:ascii="宋体" w:hAnsi="宋体" w:cs="宋体"/>
        </w:rPr>
        <w:t xml:space="preserve">支付，请各</w:t>
      </w:r>
      <w:r>
        <w:rPr>
          <w:rFonts w:hint="eastAsia" w:ascii="宋体" w:hAnsi="宋体" w:cs="宋体"/>
          <w:lang w:val="en-US" w:eastAsia="zh-CN"/>
        </w:rPr>
        <w:t xml:space="preserve">投标人</w:t>
      </w:r>
      <w:r>
        <w:rPr>
          <w:rFonts w:hint="eastAsia" w:ascii="宋体" w:hAnsi="宋体" w:cs="宋体"/>
        </w:rPr>
        <w:t xml:space="preserve">在投标报价</w:t>
      </w:r>
      <w:r>
        <w:rPr>
          <w:rFonts w:hint="eastAsia" w:ascii="宋体" w:hAnsi="宋体" w:cs="宋体"/>
          <w:lang w:val="en-US" w:eastAsia="zh-CN"/>
        </w:rPr>
        <w:t xml:space="preserve">时</w:t>
      </w:r>
      <w:r>
        <w:rPr>
          <w:rFonts w:hint="eastAsia" w:ascii="宋体" w:hAnsi="宋体" w:cs="宋体"/>
        </w:rPr>
        <w:t xml:space="preserve">综合考虑。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24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38.</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24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11"/>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9" w:name="_Toc10066"/>
      <w:r/>
      <w:bookmarkStart w:id="10" w:name="_Toc22388"/>
      <w:r/>
      <w:bookmarkStart w:id="11" w:name="_Toc17361"/>
      <w:r>
        <w:rPr>
          <w:rStyle w:val="1050"/>
          <w:rFonts w:hint="eastAsia" w:asciiTheme="minorEastAsia" w:hAnsiTheme="minorEastAsia" w:eastAsiaTheme="minorEastAsia" w:cstheme="minorEastAsia"/>
          <w:b/>
          <w:color w:val="auto"/>
          <w:sz w:val="44"/>
          <w:szCs w:val="44"/>
          <w:highlight w:val="none"/>
        </w:rPr>
        <w:t xml:space="preserve">第三章 投标文件格式</w:t>
      </w:r>
      <w:bookmarkEnd w:id="9"/>
      <w:r/>
      <w:bookmarkEnd w:id="10"/>
      <w:r/>
      <w:bookmarkEnd w:id="11"/>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w:t>
      </w:r>
      <w:r>
        <w:rPr>
          <w:rFonts w:hint="eastAsia" w:asciiTheme="minorEastAsia" w:hAnsiTheme="minorEastAsia" w:eastAsiaTheme="minorEastAsia" w:cstheme="minorEastAsia"/>
          <w:color w:val="auto"/>
          <w:szCs w:val="24"/>
          <w:highlight w:val="none"/>
          <w:lang w:val="en-US" w:eastAsia="zh-CN"/>
        </w:rPr>
        <w:t xml:space="preserve">文件</w:t>
      </w:r>
      <w:r>
        <w:rPr>
          <w:rFonts w:hint="eastAsia" w:asciiTheme="minorEastAsia" w:hAnsiTheme="minorEastAsia" w:eastAsiaTheme="minorEastAsia" w:cstheme="minorEastAsia"/>
          <w:color w:val="auto"/>
          <w:szCs w:val="24"/>
          <w:highlight w:val="none"/>
        </w:rPr>
        <w:t xml:space="preserve">格式，投标</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19"/>
        <w:ind w:firstLine="480"/>
        <w:spacing w:line="360" w:lineRule="auto"/>
        <w:rPr>
          <w:rFonts w:asciiTheme="minorEastAsia" w:hAnsiTheme="minorEastAsia" w:eastAsiaTheme="minorEastAsia" w:cstheme="minorEastAsia"/>
          <w:color w:val="auto"/>
          <w:szCs w:val="24"/>
          <w:highlight w:val="none"/>
        </w:rPr>
      </w:pPr>
      <w:r/>
      <w:bookmarkStart w:id="12"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19"/>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19"/>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w:t>
      </w:r>
      <w:r>
        <w:rPr>
          <w:rFonts w:hint="eastAsia" w:asciiTheme="minorEastAsia" w:hAnsiTheme="minorEastAsia" w:eastAsiaTheme="minorEastAsia" w:cstheme="minorEastAsia"/>
          <w:color w:val="auto"/>
          <w:szCs w:val="24"/>
          <w:highlight w:val="none"/>
        </w:rPr>
        <w:t xml:space="preserve">的招标活动。代理人在开标、评标、合同谈判过程中所签署的一切文件和处理与这有关的一切事务，我均予以承认。</w:t>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19"/>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19"/>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5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052"/>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投标函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宋体"/>
          <w:color w:val="auto"/>
          <w:sz w:val="24"/>
          <w:szCs w:val="24"/>
          <w:highlight w:val="none"/>
        </w:rPr>
        <w:t xml:space="preserve">包括检测检修、材料配件、运杂、保险、税金、调试、人工、加班费、技术服务、日常养护、辅助材料、专用工具、附件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rPr>
        <w:t xml:space="preserve">等一切费用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13" w:name="TBR"/>
      <w:r/>
      <w:bookmarkEnd w:id="1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14" w:name="XMBH"/>
      <w:r/>
      <w:bookmarkEnd w:id="1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15" w:name="FBH"/>
      <w:r/>
      <w:bookmarkEnd w:id="15"/>
      <w:r/>
      <w:r/>
    </w:p>
    <w:tbl>
      <w:tblPr>
        <w:tblStyle w:val="1018"/>
        <w:tblW w:w="4642" w:type="pct"/>
        <w:jc w:val="center"/>
        <w:tblLayout w:type="autofit"/>
        <w:tblCellMar>
          <w:left w:w="108" w:type="dxa"/>
          <w:top w:w="0" w:type="dxa"/>
          <w:right w:w="108" w:type="dxa"/>
          <w:bottom w:w="0" w:type="dxa"/>
        </w:tblCellMar>
        <w:tblLook w:val="04A0" w:firstRow="1" w:lastRow="0" w:firstColumn="1" w:lastColumn="0" w:noHBand="0" w:noVBand="1"/>
      </w:tblPr>
      <w:tblGrid>
        <w:gridCol w:w="879"/>
        <w:gridCol w:w="2244"/>
        <w:gridCol w:w="710"/>
        <w:gridCol w:w="2196"/>
        <w:gridCol w:w="3220"/>
      </w:tblGrid>
      <w:tr>
        <w:trPr>
          <w:jc w:val="center"/>
          <w:trHeight w:val="750"/>
        </w:trPr>
        <w:tc>
          <w:tcPr>
            <w:gridSpan w:val="2"/>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项目名称</w:t>
            </w:r>
            <w:r/>
          </w:p>
        </w:tc>
        <w:tc>
          <w:tcPr>
            <w:gridSpan w:val="3"/>
            <w:tcBorders>
              <w:top w:val="single" w:color="auto" w:sz="4" w:space="0"/>
              <w:left w:val="none" w:color="000000" w:sz="4" w:space="0"/>
              <w:bottom w:val="single" w:color="auto" w:sz="4" w:space="0"/>
              <w:right w:val="single" w:color="auto" w:sz="4" w:space="0"/>
            </w:tcBorders>
            <w:tcW w:w="3311" w:type="pct"/>
            <w:vAlign w:val="center"/>
            <w:textDirection w:val="lrTb"/>
            <w:noWrap w:val="false"/>
          </w:tcPr>
          <w:p>
            <w:pPr>
              <w:spacing w:line="360" w:lineRule="auto"/>
              <w:widowControl/>
              <w:rPr>
                <w:rFonts w:ascii="宋体" w:hAnsi="宋体" w:cs="宋体"/>
                <w:color w:val="auto"/>
                <w:szCs w:val="24"/>
                <w:highlight w:val="none"/>
              </w:rPr>
            </w:pPr>
            <w:r>
              <w:rPr>
                <w:rFonts w:ascii="宋体" w:hAnsi="宋体" w:cs="宋体"/>
                <w:color w:val="auto"/>
                <w:szCs w:val="24"/>
                <w:highlight w:val="none"/>
              </w:rPr>
            </w:r>
            <w:r/>
          </w:p>
        </w:tc>
      </w:tr>
      <w:tr>
        <w:trPr>
          <w:jc w:val="center"/>
          <w:trHeight w:val="771"/>
        </w:trPr>
        <w:tc>
          <w:tcPr>
            <w:gridSpan w:val="2"/>
            <w:tcBorders>
              <w:top w:val="single" w:color="auto" w:sz="4" w:space="0"/>
              <w:left w:val="single" w:color="auto" w:sz="4" w:space="0"/>
              <w:bottom w:val="single" w:color="auto" w:sz="4" w:space="0"/>
              <w:right w:val="single" w:color="auto" w:sz="4" w:space="0"/>
            </w:tcBorders>
            <w:tcW w:w="1688" w:type="pct"/>
            <w:vAlign w:val="center"/>
            <w:textDirection w:val="lrTb"/>
            <w:noWrap w:val="false"/>
          </w:tcPr>
          <w:p>
            <w:pPr>
              <w:jc w:val="center"/>
              <w:spacing w:line="360" w:lineRule="auto"/>
              <w:widowControl/>
              <w:rPr>
                <w:rFonts w:ascii="宋体" w:hAnsi="宋体" w:cs="宋体"/>
                <w:color w:val="auto"/>
                <w:szCs w:val="24"/>
                <w:highlight w:val="none"/>
              </w:rPr>
            </w:pPr>
            <w:r>
              <w:rPr>
                <w:rFonts w:hint="eastAsia" w:ascii="宋体" w:hAnsi="宋体" w:cs="宋体"/>
                <w:color w:val="auto"/>
                <w:szCs w:val="24"/>
                <w:highlight w:val="none"/>
              </w:rPr>
              <w:t xml:space="preserve">招标编号</w:t>
            </w:r>
            <w:r/>
          </w:p>
        </w:tc>
        <w:tc>
          <w:tcPr>
            <w:gridSpan w:val="3"/>
            <w:tcBorders>
              <w:top w:val="single" w:color="auto" w:sz="4" w:space="0"/>
              <w:left w:val="none" w:color="000000" w:sz="4" w:space="0"/>
              <w:bottom w:val="single" w:color="auto" w:sz="4" w:space="0"/>
              <w:right w:val="single" w:color="auto" w:sz="4" w:space="0"/>
            </w:tcBorders>
            <w:tcW w:w="3311" w:type="pct"/>
            <w:vAlign w:val="center"/>
            <w:textDirection w:val="lrTb"/>
            <w:noWrap w:val="false"/>
          </w:tcPr>
          <w:p>
            <w:pPr>
              <w:spacing w:line="360" w:lineRule="auto"/>
              <w:widowControl/>
              <w:rPr>
                <w:rFonts w:ascii="宋体" w:hAnsi="宋体"/>
                <w:color w:val="auto"/>
                <w:szCs w:val="24"/>
                <w:highlight w:val="none"/>
              </w:rPr>
            </w:pPr>
            <w:r>
              <w:rPr>
                <w:rFonts w:ascii="宋体" w:hAnsi="宋体"/>
                <w:color w:val="auto"/>
                <w:szCs w:val="24"/>
                <w:highlight w:val="none"/>
              </w:rPr>
            </w:r>
            <w:r/>
          </w:p>
        </w:tc>
      </w:tr>
      <w:tr>
        <w:trPr>
          <w:jc w:val="center"/>
          <w:trHeight w:val="960"/>
        </w:trPr>
        <w:tc>
          <w:tcPr>
            <w:tcBorders>
              <w:top w:val="none" w:color="000000"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序号</w:t>
            </w:r>
            <w:r/>
          </w:p>
        </w:tc>
        <w:tc>
          <w:tcPr>
            <w:gridSpan w:val="2"/>
            <w:tcBorders>
              <w:top w:val="none" w:color="000000" w:sz="4" w:space="0"/>
              <w:left w:val="none" w:color="000000" w:sz="4" w:space="0"/>
              <w:bottom w:val="single" w:color="auto" w:sz="4" w:space="0"/>
              <w:right w:val="single" w:color="auto" w:sz="4" w:space="0"/>
            </w:tcBorders>
            <w:tcW w:w="1597" w:type="pct"/>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采购内容</w:t>
            </w:r>
            <w:r/>
          </w:p>
        </w:tc>
        <w:tc>
          <w:tcPr>
            <w:tcBorders>
              <w:top w:val="none" w:color="000000" w:sz="4" w:space="0"/>
              <w:left w:val="none" w:color="000000" w:sz="4" w:space="0"/>
              <w:bottom w:val="single" w:color="auto" w:sz="4" w:space="0"/>
              <w:right w:val="single" w:color="auto" w:sz="4" w:space="0"/>
            </w:tcBorders>
            <w:tcW w:w="1187" w:type="pct"/>
            <w:vAlign w:val="center"/>
            <w:textDirection w:val="lrTb"/>
            <w:noWrap w:val="false"/>
          </w:tcPr>
          <w:p>
            <w:pPr>
              <w:jc w:val="center"/>
              <w:spacing w:line="360" w:lineRule="auto"/>
              <w:rPr>
                <w:rFonts w:hint="eastAsia" w:ascii="宋体" w:hAnsi="宋体" w:cs="宋体"/>
                <w:bCs/>
                <w:color w:val="auto"/>
                <w:szCs w:val="24"/>
                <w:highlight w:val="none"/>
              </w:rPr>
            </w:pPr>
            <w:r>
              <w:rPr>
                <w:rFonts w:hint="eastAsia" w:ascii="宋体" w:hAnsi="宋体" w:cs="宋体"/>
                <w:bCs/>
                <w:color w:val="auto"/>
                <w:szCs w:val="24"/>
                <w:highlight w:val="none"/>
                <w:lang w:val="en-US" w:eastAsia="zh-CN"/>
              </w:rPr>
              <w:t xml:space="preserve">数量</w:t>
            </w:r>
            <w:r/>
          </w:p>
        </w:tc>
        <w:tc>
          <w:tcPr>
            <w:tcBorders>
              <w:top w:val="none" w:color="000000" w:sz="4" w:space="0"/>
              <w:left w:val="none" w:color="000000" w:sz="4" w:space="0"/>
              <w:bottom w:val="single" w:color="auto" w:sz="4" w:space="0"/>
              <w:right w:val="single" w:color="auto" w:sz="4" w:space="0"/>
            </w:tcBorders>
            <w:tcW w:w="1738" w:type="pct"/>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优惠率</w:t>
            </w:r>
            <w:r>
              <w:rPr>
                <w:rFonts w:hint="default" w:ascii="宋体" w:hAnsi="宋体" w:eastAsia="宋体" w:cs="宋体"/>
                <w:color w:val="auto"/>
                <w:sz w:val="24"/>
                <w:szCs w:val="24"/>
                <w:highlight w:val="none"/>
              </w:rPr>
              <w:t xml:space="preserve">（%）</w:t>
            </w:r>
            <w:r/>
          </w:p>
        </w:tc>
      </w:tr>
      <w:tr>
        <w:trPr>
          <w:jc w:val="center"/>
          <w:trHeight w:val="1045"/>
        </w:trPr>
        <w:tc>
          <w:tcPr>
            <w:tcBorders>
              <w:top w:val="none" w:color="000000"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auto"/>
              <w:widowControl/>
              <w:rPr>
                <w:rFonts w:ascii="宋体" w:hAnsi="宋体" w:cs="宋体"/>
                <w:bCs/>
                <w:color w:val="auto"/>
                <w:szCs w:val="24"/>
                <w:highlight w:val="none"/>
              </w:rPr>
            </w:pPr>
            <w:r>
              <w:rPr>
                <w:rFonts w:hint="eastAsia" w:ascii="宋体" w:hAnsi="宋体" w:cs="宋体"/>
                <w:bCs/>
                <w:color w:val="auto"/>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597" w:type="pct"/>
            <w:vAlign w:val="center"/>
            <w:textDirection w:val="lrTb"/>
            <w:noWrap w:val="false"/>
          </w:tcPr>
          <w:p>
            <w:pPr>
              <w:jc w:val="center"/>
              <w:spacing w:line="360" w:lineRule="auto"/>
              <w:widowControl/>
              <w:rPr>
                <w:rFonts w:ascii="宋体" w:hAnsi="宋体" w:cs="宋体"/>
                <w:bCs/>
                <w:color w:val="auto"/>
                <w:szCs w:val="24"/>
                <w:highlight w:val="none"/>
              </w:rPr>
            </w:pPr>
            <w:r>
              <w:rPr>
                <w:rFonts w:ascii="宋体" w:hAnsi="宋体" w:cs="宋体"/>
                <w:bCs/>
                <w:color w:val="auto"/>
                <w:szCs w:val="24"/>
                <w:highlight w:val="none"/>
              </w:rPr>
            </w:r>
            <w:r/>
          </w:p>
        </w:tc>
        <w:tc>
          <w:tcPr>
            <w:tcBorders>
              <w:top w:val="none" w:color="000000" w:sz="4" w:space="0"/>
              <w:left w:val="none" w:color="000000" w:sz="4" w:space="0"/>
              <w:bottom w:val="single" w:color="auto" w:sz="4" w:space="0"/>
              <w:right w:val="single" w:color="auto" w:sz="4" w:space="0"/>
            </w:tcBorders>
            <w:tcW w:w="1187" w:type="pct"/>
            <w:vAlign w:val="center"/>
            <w:textDirection w:val="lrTb"/>
            <w:noWrap w:val="false"/>
          </w:tcPr>
          <w:p>
            <w:pPr>
              <w:jc w:val="center"/>
              <w:spacing w:line="360" w:lineRule="auto"/>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738" w:type="pct"/>
            <w:vAlign w:val="center"/>
            <w:textDirection w:val="lrTb"/>
            <w:noWrap w:val="false"/>
          </w:tcPr>
          <w:p>
            <w:pPr>
              <w:jc w:val="center"/>
              <w:spacing w:line="360" w:lineRule="auto"/>
              <w:widowControl/>
              <w:rPr>
                <w:rFonts w:ascii="宋体" w:hAnsi="宋体" w:cs="宋体"/>
                <w:bCs/>
                <w:color w:val="auto"/>
                <w:szCs w:val="24"/>
                <w:highlight w:val="none"/>
              </w:rPr>
            </w:pPr>
            <w:r>
              <w:rPr>
                <w:rFonts w:ascii="宋体" w:hAnsi="宋体" w:cs="宋体"/>
                <w:bCs/>
                <w:color w:val="auto"/>
                <w:szCs w:val="24"/>
                <w:highlight w:val="none"/>
              </w:rPr>
            </w:r>
            <w:r/>
          </w:p>
        </w:tc>
      </w:tr>
    </w:tbl>
    <w:p>
      <w:pPr>
        <w:pStyle w:val="1019"/>
        <w:ind w:right="420"/>
        <w:spacing w:line="360" w:lineRule="auto"/>
        <w:rPr>
          <w:rFonts w:hint="eastAsia" w:ascii="宋体" w:hAnsi="宋体" w:eastAsia="宋体" w:cs="宋体"/>
          <w:b w:val="0"/>
          <w:bCs w:val="0"/>
          <w:color w:val="auto"/>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b w:val="0"/>
          <w:bCs w:val="0"/>
          <w:color w:val="auto"/>
          <w:szCs w:val="24"/>
          <w:highlight w:val="none"/>
          <w:lang w:val="en-US" w:eastAsia="zh-CN"/>
        </w:rPr>
        <w:t xml:space="preserve">本项目为</w:t>
      </w:r>
      <w:r>
        <w:rPr>
          <w:rFonts w:hint="eastAsia" w:ascii="宋体" w:hAnsi="宋体" w:cs="宋体"/>
          <w:b w:val="0"/>
          <w:bCs w:val="0"/>
          <w:color w:val="auto"/>
          <w:szCs w:val="24"/>
          <w:highlight w:val="none"/>
          <w:lang w:val="en-US" w:eastAsia="zh-CN"/>
        </w:rPr>
        <w:t xml:space="preserve">优惠率</w:t>
      </w:r>
      <w:r>
        <w:rPr>
          <w:rFonts w:hint="eastAsia" w:ascii="宋体" w:hAnsi="宋体" w:eastAsia="宋体" w:cs="宋体"/>
          <w:b w:val="0"/>
          <w:bCs w:val="0"/>
          <w:color w:val="auto"/>
          <w:szCs w:val="24"/>
          <w:highlight w:val="none"/>
          <w:lang w:val="en-US" w:eastAsia="zh-CN"/>
        </w:rPr>
        <w:t xml:space="preserve">报价，</w:t>
      </w:r>
      <w:r>
        <w:rPr>
          <w:rFonts w:hint="eastAsia" w:ascii="宋体" w:hAnsi="宋体" w:eastAsia="宋体" w:cs="宋体"/>
          <w:color w:val="auto"/>
          <w:sz w:val="24"/>
          <w:szCs w:val="24"/>
          <w:highlight w:val="none"/>
          <w:u w:val="none"/>
          <w:lang w:val="zh-CN"/>
        </w:rPr>
        <w:t xml:space="preserve">所有</w:t>
      </w:r>
      <w:r>
        <w:rPr>
          <w:rFonts w:hint="eastAsia" w:ascii="宋体" w:hAnsi="宋体" w:eastAsia="宋体" w:cs="宋体"/>
          <w:color w:val="auto"/>
          <w:sz w:val="24"/>
          <w:szCs w:val="24"/>
          <w:highlight w:val="none"/>
          <w:u w:val="none"/>
          <w:lang w:val="en-US" w:eastAsia="zh-CN"/>
        </w:rPr>
        <w:t xml:space="preserve">单价</w:t>
      </w:r>
      <w:r>
        <w:rPr>
          <w:rFonts w:hint="eastAsia" w:ascii="宋体" w:hAnsi="宋体" w:eastAsia="宋体" w:cs="宋体"/>
          <w:color w:val="auto"/>
          <w:sz w:val="24"/>
          <w:szCs w:val="24"/>
          <w:highlight w:val="none"/>
          <w:u w:val="none"/>
          <w:lang w:val="zh-CN"/>
        </w:rPr>
        <w:t xml:space="preserve">采用同一</w:t>
      </w:r>
      <w:r>
        <w:rPr>
          <w:rFonts w:hint="eastAsia" w:ascii="宋体" w:hAnsi="宋体" w:cs="宋体"/>
          <w:color w:val="auto"/>
          <w:sz w:val="24"/>
          <w:szCs w:val="24"/>
          <w:highlight w:val="none"/>
          <w:u w:val="none"/>
          <w:lang w:val="en-US" w:eastAsia="zh-CN"/>
        </w:rPr>
        <w:t xml:space="preserve">优惠率</w:t>
      </w:r>
      <w:r>
        <w:rPr>
          <w:rFonts w:hint="eastAsia" w:ascii="宋体" w:hAnsi="宋体" w:eastAsia="宋体" w:cs="宋体"/>
          <w:color w:val="auto"/>
          <w:sz w:val="24"/>
          <w:szCs w:val="24"/>
          <w:highlight w:val="none"/>
          <w:u w:val="none"/>
          <w:lang w:val="zh-CN"/>
        </w:rPr>
        <w:t xml:space="preserve">，</w:t>
      </w:r>
      <w:r>
        <w:rPr>
          <w:rFonts w:hint="eastAsia" w:ascii="宋体" w:hAnsi="宋体" w:eastAsia="宋体" w:cs="宋体"/>
          <w:b w:val="0"/>
          <w:bCs w:val="0"/>
          <w:color w:val="auto"/>
          <w:szCs w:val="24"/>
          <w:highlight w:val="none"/>
          <w:lang w:eastAsia="zh-CN"/>
        </w:rPr>
        <w:t xml:space="preserve">各投标人在不超过单项预算的基础上报一个统一</w:t>
      </w:r>
      <w:r>
        <w:rPr>
          <w:rFonts w:hint="eastAsia" w:ascii="宋体" w:hAnsi="宋体" w:eastAsia="宋体" w:cs="宋体"/>
          <w:b w:val="0"/>
          <w:bCs w:val="0"/>
          <w:color w:val="auto"/>
          <w:szCs w:val="24"/>
          <w:highlight w:val="none"/>
          <w:lang w:val="en-US" w:eastAsia="zh-CN"/>
        </w:rPr>
        <w:t xml:space="preserve">优惠</w:t>
      </w:r>
      <w:r>
        <w:rPr>
          <w:rFonts w:hint="eastAsia" w:ascii="宋体" w:hAnsi="宋体" w:eastAsia="宋体" w:cs="宋体"/>
          <w:b w:val="0"/>
          <w:bCs w:val="0"/>
          <w:color w:val="auto"/>
          <w:szCs w:val="24"/>
          <w:highlight w:val="none"/>
          <w:lang w:eastAsia="zh-CN"/>
        </w:rPr>
        <w:t xml:space="preserve">率，单价不变、按实结算。</w:t>
      </w:r>
      <w:r>
        <w:rPr>
          <w:rFonts w:hint="eastAsia" w:ascii="宋体" w:hAnsi="宋体" w:eastAsia="宋体" w:cs="宋体"/>
          <w:color w:val="auto"/>
          <w:sz w:val="24"/>
          <w:szCs w:val="24"/>
          <w:highlight w:val="none"/>
          <w:u w:val="none"/>
          <w:lang w:val="en-US" w:eastAsia="zh-CN"/>
        </w:rPr>
        <w:t xml:space="preserve">最终</w:t>
      </w:r>
      <w:r>
        <w:rPr>
          <w:rFonts w:hint="eastAsia" w:ascii="宋体" w:hAnsi="宋体" w:eastAsia="宋体" w:cs="宋体"/>
          <w:b w:val="0"/>
          <w:bCs w:val="0"/>
          <w:color w:val="auto"/>
          <w:szCs w:val="24"/>
          <w:highlight w:val="none"/>
        </w:rPr>
        <w:t xml:space="preserve">结算</w:t>
      </w:r>
      <w:r>
        <w:rPr>
          <w:rFonts w:hint="eastAsia" w:ascii="宋体" w:hAnsi="宋体" w:eastAsia="宋体" w:cs="宋体"/>
          <w:b w:val="0"/>
          <w:bCs w:val="0"/>
          <w:color w:val="auto"/>
          <w:szCs w:val="24"/>
          <w:highlight w:val="none"/>
          <w:lang w:val="en-US" w:eastAsia="zh-CN"/>
        </w:rPr>
        <w:t xml:space="preserve">单</w:t>
      </w:r>
      <w:r>
        <w:rPr>
          <w:rFonts w:hint="eastAsia" w:ascii="宋体" w:hAnsi="宋体" w:eastAsia="宋体" w:cs="宋体"/>
          <w:b w:val="0"/>
          <w:bCs w:val="0"/>
          <w:color w:val="auto"/>
          <w:szCs w:val="24"/>
          <w:highlight w:val="none"/>
        </w:rPr>
        <w:t xml:space="preserve">价为单价限价*（1-</w:t>
      </w:r>
      <w:r>
        <w:rPr>
          <w:rFonts w:hint="eastAsia" w:ascii="宋体" w:hAnsi="宋体" w:cs="宋体"/>
          <w:b w:val="0"/>
          <w:bCs w:val="0"/>
          <w:color w:val="auto"/>
          <w:szCs w:val="24"/>
          <w:highlight w:val="none"/>
          <w:lang w:val="en-US" w:eastAsia="zh-CN"/>
        </w:rPr>
        <w:t xml:space="preserve">投标</w:t>
      </w:r>
      <w:r>
        <w:rPr>
          <w:rFonts w:hint="eastAsia" w:ascii="宋体" w:hAnsi="宋体" w:cs="宋体"/>
          <w:b w:val="0"/>
          <w:bCs w:val="0"/>
          <w:color w:val="auto"/>
          <w:szCs w:val="24"/>
          <w:highlight w:val="none"/>
          <w:lang w:eastAsia="zh-CN"/>
        </w:rPr>
        <w:t xml:space="preserve">优惠率</w:t>
      </w:r>
      <w:r>
        <w:rPr>
          <w:rFonts w:hint="eastAsia" w:ascii="宋体" w:hAnsi="宋体" w:eastAsia="宋体" w:cs="宋体"/>
          <w:b w:val="0"/>
          <w:bCs w:val="0"/>
          <w:color w:val="auto"/>
          <w:szCs w:val="24"/>
          <w:highlight w:val="none"/>
        </w:rPr>
        <w:t xml:space="preserve">）</w:t>
      </w:r>
      <w:r>
        <w:rPr>
          <w:rFonts w:hint="eastAsia" w:ascii="宋体" w:hAnsi="宋体" w:eastAsia="宋体" w:cs="宋体"/>
          <w:b w:val="0"/>
          <w:bCs w:val="0"/>
          <w:color w:val="auto"/>
          <w:szCs w:val="24"/>
          <w:highlight w:val="none"/>
          <w:lang w:eastAsia="zh-CN"/>
        </w:rPr>
        <w:t xml:space="preserve">。</w:t>
      </w:r>
      <w:r/>
    </w:p>
    <w:p>
      <w:pPr>
        <w:pStyle w:val="1056"/>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hAnsi="宋体" w:eastAsia="宋体" w:cs="Times New Roman"/>
          <w:color w:val="auto"/>
          <w:sz w:val="24"/>
          <w:szCs w:val="24"/>
          <w:highlight w:val="none"/>
          <w:lang w:val="en-US" w:eastAsia="zh-CN"/>
        </w:rPr>
        <w:t xml:space="preserve">2、投标优惠率必须为固定数值，不接受区间报价，否则为无效标。</w:t>
      </w:r>
      <w:r/>
    </w:p>
    <w:p>
      <w:pPr>
        <w:contextualSpacing/>
        <w:ind w:firstLine="480"/>
        <w:spacing w:line="6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3、0%</w:t>
      </w:r>
      <w:r>
        <w:rPr>
          <w:rFonts w:hint="eastAsia" w:ascii="宋体" w:hAnsi="宋体" w:cs="宋体"/>
          <w:b w:val="0"/>
          <w:bCs w:val="0"/>
          <w:color w:val="auto"/>
          <w:sz w:val="24"/>
          <w:szCs w:val="24"/>
          <w:highlight w:val="none"/>
          <w:lang w:val="en-US" w:eastAsia="zh-CN"/>
        </w:rPr>
        <w:t xml:space="preserve">≤投标优惠率</w:t>
      </w:r>
      <w:r>
        <w:rPr>
          <w:rFonts w:hint="eastAsia" w:asciiTheme="minorEastAsia" w:hAnsiTheme="minorEastAsia" w:eastAsiaTheme="minorEastAsia" w:cstheme="minorEastAsia"/>
          <w:b w:val="0"/>
          <w:bCs w:val="0"/>
          <w:color w:val="auto"/>
          <w:sz w:val="24"/>
          <w:szCs w:val="24"/>
          <w:highlight w:val="none"/>
          <w:lang w:val="en-US" w:eastAsia="zh-CN"/>
        </w:rPr>
        <w:t xml:space="preserve">＜100%的</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为有效</w:t>
      </w:r>
      <w:r>
        <w:rPr>
          <w:rFonts w:hint="eastAsia" w:asciiTheme="minorEastAsia" w:hAnsiTheme="minorEastAsia" w:eastAsiaTheme="minorEastAsia" w:cstheme="minorEastAsia"/>
          <w:color w:val="auto"/>
          <w:sz w:val="24"/>
          <w:szCs w:val="24"/>
          <w:highlight w:val="none"/>
          <w:lang w:val="en-US" w:eastAsia="zh-CN"/>
        </w:rPr>
        <w:t xml:space="preserve">优惠率</w:t>
      </w:r>
      <w:r>
        <w:rPr>
          <w:rFonts w:hint="eastAsia" w:asciiTheme="minorEastAsia" w:hAnsiTheme="minorEastAsia" w:eastAsiaTheme="minorEastAsia" w:cstheme="minorEastAsia"/>
          <w:color w:val="auto"/>
          <w:sz w:val="24"/>
          <w:szCs w:val="24"/>
          <w:highlight w:val="none"/>
        </w:rPr>
        <w:t xml:space="preserve">。</w:t>
      </w:r>
      <w:r>
        <w:rPr>
          <w:rFonts w:ascii="Arial" w:hAnsi="Arial" w:eastAsia="宋体" w:cs="Arial"/>
          <w:color w:val="000000"/>
          <w:sz w:val="24"/>
          <w:szCs w:val="24"/>
        </w:rPr>
        <w:t xml:space="preserve">不</w:t>
      </w:r>
      <w:r>
        <w:rPr>
          <w:rFonts w:hint="default" w:ascii="Arial" w:hAnsi="Arial" w:eastAsia="宋体" w:cs="Arial"/>
          <w:color w:val="000000"/>
          <w:sz w:val="24"/>
          <w:szCs w:val="24"/>
        </w:rPr>
        <w:t xml:space="preserve">在此范围内</w:t>
      </w:r>
      <w:r>
        <w:rPr>
          <w:rFonts w:hint="eastAsia" w:asciiTheme="minorEastAsia" w:hAnsiTheme="minorEastAsia" w:eastAsiaTheme="minorEastAsia" w:cstheme="minorEastAsia"/>
          <w:color w:val="auto"/>
          <w:sz w:val="24"/>
          <w:szCs w:val="24"/>
          <w:highlight w:val="none"/>
          <w:lang w:val="en-US" w:eastAsia="zh-CN"/>
        </w:rPr>
        <w:t xml:space="preserve">的优惠率</w:t>
      </w:r>
      <w:r>
        <w:rPr>
          <w:rFonts w:hint="eastAsia" w:asciiTheme="minorEastAsia" w:hAnsiTheme="minorEastAsia" w:eastAsiaTheme="minorEastAsia" w:cstheme="minorEastAsia"/>
          <w:color w:val="auto"/>
          <w:sz w:val="24"/>
          <w:szCs w:val="24"/>
          <w:highlight w:val="none"/>
        </w:rPr>
        <w:t xml:space="preserve">为无效</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w:t>
      </w:r>
      <w:r/>
    </w:p>
    <w:p>
      <w:pPr>
        <w:contextualSpacing/>
        <w:ind w:firstLine="480"/>
        <w:spacing w:line="6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16" w:name="NF"/>
      <w:r/>
      <w:bookmarkEnd w:id="16"/>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17" w:name="YF"/>
      <w:r/>
      <w:bookmarkEnd w:id="17"/>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18" w:name="RI"/>
      <w:r/>
      <w:bookmarkEnd w:id="18"/>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default" w:asciiTheme="minorEastAsia" w:hAnsiTheme="minorEastAsia" w:eastAsiaTheme="minorEastAsia" w:cstheme="minorEastAsia"/>
          <w:color w:val="auto"/>
          <w:szCs w:val="22"/>
          <w:highlight w:val="none"/>
          <w:lang w:val="en-US" w:eastAsia="zh-CN"/>
        </w:rPr>
      </w:pPr>
      <w:r>
        <w:rPr>
          <w:rFonts w:hint="eastAsia" w:asciiTheme="minorEastAsia" w:hAnsiTheme="minorEastAsia" w:eastAsiaTheme="minorEastAsia" w:cstheme="minorEastAsia"/>
          <w:color w:val="auto"/>
          <w:szCs w:val="22"/>
          <w:highlight w:val="none"/>
          <w:lang w:val="en-US" w:eastAsia="zh-CN"/>
        </w:rPr>
        <w:t xml:space="preserve">4、本国产品成本占比</w:t>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本项目为水电零星维修服务，在履约过程中会涉及到故障产品的更换。报价采用全包形式，</w:t>
      </w:r>
      <w:r>
        <w:rPr>
          <w:rFonts w:hint="eastAsia" w:ascii="宋体" w:hAnsi="宋体" w:eastAsia="宋体" w:cs="宋体"/>
          <w:color w:val="auto"/>
          <w:szCs w:val="24"/>
          <w:highlight w:val="none"/>
          <w:lang w:val="en-US" w:eastAsia="zh-CN"/>
        </w:rPr>
        <w:t xml:space="preserve">包括但不限于主材、辅材、检测检修、运杂、安装调试、人工、加班费等。</w:t>
      </w:r>
      <w:r>
        <w:rPr>
          <w:rFonts w:hint="eastAsia" w:ascii="宋体" w:hAnsi="宋体" w:cs="新宋体"/>
          <w:b/>
          <w:bCs/>
          <w:color w:val="auto"/>
          <w:sz w:val="24"/>
          <w:szCs w:val="24"/>
          <w:highlight w:val="none"/>
        </w:rPr>
        <w:t xml:space="preserve">本采购包中提供的符合本国产品标准的产品</w:t>
      </w:r>
      <w:r>
        <w:rPr>
          <w:rFonts w:hint="eastAsia" w:ascii="宋体" w:hAnsi="宋体" w:cs="新宋体"/>
          <w:b/>
          <w:bCs/>
          <w:color w:val="auto"/>
          <w:sz w:val="24"/>
          <w:szCs w:val="24"/>
          <w:highlight w:val="none"/>
          <w:lang w:eastAsia="zh-CN"/>
        </w:rPr>
        <w:t xml:space="preserve">（</w:t>
      </w:r>
      <w:r>
        <w:rPr>
          <w:rFonts w:hint="eastAsia" w:ascii="宋体" w:hAnsi="宋体" w:cs="新宋体"/>
          <w:b/>
          <w:bCs/>
          <w:color w:val="auto"/>
          <w:sz w:val="24"/>
          <w:szCs w:val="24"/>
          <w:highlight w:val="none"/>
          <w:lang w:val="en-US" w:eastAsia="zh-CN"/>
        </w:rPr>
        <w:t xml:space="preserve">本项目涉及到更换的</w:t>
      </w:r>
      <w:r>
        <w:rPr>
          <w:rFonts w:hint="eastAsia" w:ascii="宋体" w:hAnsi="宋体" w:cs="新宋体"/>
          <w:b/>
          <w:bCs/>
          <w:color w:val="auto"/>
          <w:sz w:val="24"/>
          <w:szCs w:val="24"/>
          <w:highlight w:val="none"/>
          <w:lang w:eastAsia="zh-CN"/>
        </w:rPr>
        <w:t xml:space="preserve">）</w:t>
      </w:r>
      <w:r>
        <w:rPr>
          <w:rFonts w:hint="eastAsia" w:ascii="宋体" w:hAnsi="宋体" w:cs="新宋体"/>
          <w:b/>
          <w:bCs/>
          <w:color w:val="auto"/>
          <w:sz w:val="24"/>
          <w:szCs w:val="24"/>
          <w:highlight w:val="none"/>
        </w:rPr>
        <w:t xml:space="preserve">成本之和占该采购包提供的全部产品成本之和的比例为</w:t>
      </w:r>
      <w:r>
        <w:rPr>
          <w:rFonts w:hint="eastAsia" w:ascii="宋体" w:hAnsi="宋体" w:cs="新宋体"/>
          <w:b/>
          <w:bCs/>
          <w:color w:val="auto"/>
          <w:sz w:val="24"/>
          <w:szCs w:val="24"/>
          <w:highlight w:val="none"/>
          <w:u w:val="single"/>
        </w:rPr>
        <w:t xml:space="preserve">  </w:t>
      </w:r>
      <w:r>
        <w:rPr>
          <w:rFonts w:hint="eastAsia" w:ascii="宋体" w:hAnsi="宋体" w:cs="新宋体"/>
          <w:b/>
          <w:bCs/>
          <w:color w:val="auto"/>
          <w:sz w:val="24"/>
          <w:szCs w:val="24"/>
          <w:highlight w:val="none"/>
          <w:u w:val="single"/>
          <w:lang w:val="en-US" w:eastAsia="zh-CN"/>
        </w:rPr>
        <w:t xml:space="preserve">  </w:t>
      </w:r>
      <w:r>
        <w:rPr>
          <w:rFonts w:hint="eastAsia" w:ascii="宋体" w:hAnsi="宋体" w:cs="新宋体"/>
          <w:b/>
          <w:bCs/>
          <w:color w:val="auto"/>
          <w:sz w:val="24"/>
          <w:szCs w:val="24"/>
          <w:highlight w:val="none"/>
          <w:u w:val="single"/>
        </w:rPr>
        <w:t xml:space="preserve">   %</w:t>
      </w:r>
      <w:r>
        <w:rPr>
          <w:rFonts w:hint="eastAsia" w:ascii="宋体" w:hAnsi="宋体" w:cs="新宋体"/>
          <w:b/>
          <w:bCs/>
          <w:color w:val="auto"/>
          <w:sz w:val="24"/>
          <w:szCs w:val="24"/>
          <w:highlight w:val="none"/>
        </w:rPr>
        <w:t xml:space="preserve">。</w:t>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1019"/>
        <w:ind w:lef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注：1.</w:t>
      </w:r>
      <w:r>
        <w:rPr>
          <w:rFonts w:hint="eastAsia" w:ascii="宋体" w:hAnsi="宋体" w:eastAsia="宋体" w:cs="Times New Roman"/>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2.当</w:t>
      </w:r>
      <w:r>
        <w:rPr>
          <w:rFonts w:hint="eastAsia" w:ascii="宋体" w:hAnsi="宋体" w:eastAsia="宋体" w:cs="Times New Roman"/>
          <w:b w:val="0"/>
          <w:bCs w:val="0"/>
          <w:color w:val="auto"/>
          <w:sz w:val="24"/>
          <w:szCs w:val="24"/>
          <w:highlight w:val="none"/>
        </w:rPr>
        <w:t xml:space="preserve">采购</w:t>
      </w:r>
      <w:r>
        <w:rPr>
          <w:rFonts w:hint="eastAsia" w:ascii="宋体" w:hAnsi="宋体" w:eastAsia="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中含有多种产品时，供应商未填写本采购</w:t>
      </w:r>
      <w:r>
        <w:rPr>
          <w:rFonts w:hint="eastAsia" w:ascii="宋体" w:hAnsi="宋体" w:eastAsia="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中提供的实体设备符合本国产品标准的产品成本之和占该采购</w:t>
      </w:r>
      <w:r>
        <w:rPr>
          <w:rFonts w:hint="eastAsia" w:ascii="宋体" w:hAnsi="宋体" w:eastAsia="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提供的全部产品成本之和的比例数值的，或比例数值未达到80%的，将不享受本国产品价格评审优惠。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19"/>
        <w:ind w:left="0" w:firstLine="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5、关于后期维修更换的产品涉及强制节能认证的承诺函</w:t>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1019"/>
        <w:ind w:left="0" w:firstLine="0"/>
        <w:jc w:val="cente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承诺函</w:t>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致：</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我方已充分知悉本项目零星维修服务的采购要求，鉴于本项目履约过程中故障配件无法提前全部预判的实际情况，我方郑重承诺：</w:t>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在本项目后续履约服务期间更换的货物，若属于《节能产品政府采购品目清单》列明范围内的产品，我方将严格遵守政府采购相关规定，全部选用、使用具备对应有效节能认证证书、资质合规且在有效期内的节能产品，严格落实本项目节能采购要求。</w:t>
      </w:r>
      <w:r/>
    </w:p>
    <w:p>
      <w:pPr>
        <w:pStyle w:val="1019"/>
        <w:ind w:left="0" w:firstLine="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yellow"/>
          <w:lang w:val="en-US" w:eastAsia="zh-CN"/>
        </w:rPr>
      </w:pPr>
      <w:r>
        <w:rPr>
          <w:rFonts w:hint="default" w:asciiTheme="minorEastAsia" w:hAnsiTheme="minorEastAsia" w:eastAsiaTheme="minorEastAsia" w:cstheme="minorEastAsia"/>
          <w:color w:val="auto"/>
          <w:sz w:val="24"/>
          <w:szCs w:val="24"/>
          <w:highlight w:val="yellow"/>
          <w:lang w:val="en-US" w:eastAsia="zh-CN"/>
        </w:rPr>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028"/>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p>
    <w:tbl>
      <w:tblPr>
        <w:tblStyle w:val="1018"/>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19"/>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19"/>
        <w:ind w:left="0"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7、工具及易耗品清单表</w:t>
      </w:r>
      <w:r/>
    </w:p>
    <w:p>
      <w:pPr>
        <w:pStyle w:val="1019"/>
        <w:ind w:left="0" w:firstLine="0"/>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工具及易耗品清单表</w:t>
      </w:r>
      <w:r/>
    </w:p>
    <w:tbl>
      <w:tblPr>
        <w:tblStyle w:val="1018"/>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62"/>
        <w:gridCol w:w="1236"/>
        <w:gridCol w:w="1620"/>
        <w:gridCol w:w="1260"/>
        <w:gridCol w:w="1260"/>
        <w:gridCol w:w="1260"/>
      </w:tblGrid>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tab/>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2"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36"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62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bl>
    <w:p>
      <w:pPr>
        <w:pStyle w:val="1019"/>
        <w:ind w:firstLine="480"/>
        <w:keepLines w:val="0"/>
        <w:keepNext w:val="0"/>
        <w:pageBreakBefore w:val="0"/>
        <w:spacing w:line="360" w:lineRule="auto"/>
        <w:widowControl w:val="off"/>
        <w:rPr>
          <w:rFonts w:hint="eastAsia" w:ascii="宋体" w:hAnsi="宋体"/>
          <w:szCs w:val="24"/>
          <w:highlight w:val="none"/>
        </w:rPr>
      </w:pPr>
      <w:r>
        <w:rPr>
          <w:rFonts w:hint="eastAsia" w:ascii="宋体" w:hAnsi="宋体"/>
          <w:szCs w:val="24"/>
          <w:highlight w:val="none"/>
        </w:rPr>
        <w:t xml:space="preserve">注：请各投标人按上述格式自制《清单表》投标</w:t>
      </w:r>
      <w:r/>
    </w:p>
    <w:p>
      <w:pPr>
        <w:ind w:firstLine="480"/>
        <w:spacing w:line="360" w:lineRule="auto"/>
        <w:rPr>
          <w:rFonts w:hint="eastAsia"/>
          <w:color w:val="auto"/>
          <w:highlight w:val="none"/>
        </w:rPr>
      </w:pPr>
      <w:r>
        <w:rPr>
          <w:rFonts w:hint="eastAsia"/>
          <w:color w:val="auto"/>
          <w:highlight w:val="none"/>
        </w:rPr>
      </w:r>
      <w:r/>
    </w:p>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19"/>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、偏离表</w:t>
      </w:r>
      <w:r/>
    </w:p>
    <w:p>
      <w:pPr>
        <w:pStyle w:val="1019"/>
        <w:ind w:firstLine="480"/>
        <w:jc w:val="cente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（服务内容、服务要求）偏离表</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证明材料页码</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rFonts w:hint="eastAsia"/>
          <w:color w:val="auto"/>
          <w:szCs w:val="22"/>
          <w:highlight w:val="none"/>
        </w:rPr>
      </w:pPr>
      <w:r>
        <w:rPr>
          <w:rFonts w:hint="eastAsia"/>
          <w:color w:val="auto"/>
          <w:szCs w:val="22"/>
          <w:highlight w:val="none"/>
        </w:rPr>
        <w:t xml:space="preserve">商务条款偏离表</w:t>
      </w:r>
      <w:r/>
    </w:p>
    <w:p>
      <w:pPr>
        <w:ind w:firstLine="1200"/>
        <w:jc w:val="both"/>
        <w:spacing w:line="380" w:lineRule="exact"/>
        <w:rPr>
          <w:rFonts w:hint="eastAsia" w:ascii="宋体" w:hAnsi="宋体"/>
          <w:color w:val="auto"/>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lang w:val="en-US" w:eastAsia="zh-CN"/>
        </w:rPr>
        <w:t xml:space="preserve">  </w:t>
      </w:r>
      <w:r>
        <w:rPr>
          <w:rFonts w:hint="eastAsia" w:ascii="宋体" w:hAnsi="宋体"/>
          <w:color w:val="auto"/>
          <w:szCs w:val="24"/>
          <w:highlight w:val="none"/>
          <w:lang w:val="zh-CN"/>
        </w:rPr>
        <w:t xml:space="preserve">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注：1.投标人的投标文件与招标文件的要求有偏离的须逐项对应列出，并在“偏离说明”项下填写以下内容：优于的，填写“正偏离”；低于的，填写“负偏离”。</w:t>
      </w:r>
      <w:r/>
    </w:p>
    <w:p>
      <w:pPr>
        <w:pStyle w:val="1019"/>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pStyle w:val="1019"/>
        <w:ind w:left="0"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t xml:space="preserve">3.若事项较多，投标人可根据响应内容的实际情况另纸说明。</w:t>
      </w:r>
      <w:r>
        <w:rPr>
          <w:rFonts w:hint="eastAsia" w:asciiTheme="minorEastAsia" w:hAnsiTheme="minorEastAsia" w:eastAsiaTheme="minorEastAsia" w:cstheme="minorEastAsia"/>
          <w:color w:val="auto"/>
          <w:szCs w:val="24"/>
          <w:highlight w:val="none"/>
        </w:rPr>
        <w:br w:type="page" w:clear="all"/>
      </w:r>
      <w:r/>
    </w:p>
    <w:p>
      <w:pPr>
        <w:pStyle w:val="1019"/>
        <w:ind w:left="0" w:firstLine="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lang w:val="zh-CN"/>
        </w:rPr>
        <w:t xml:space="preserve">投标人类似项目业绩一览表</w:t>
      </w:r>
      <w:r/>
    </w:p>
    <w:p>
      <w:pPr>
        <w:pStyle w:val="1019"/>
        <w:ind w:left="0" w:firstLine="0"/>
        <w:jc w:val="center"/>
        <w:rPr>
          <w:rFonts w:hint="eastAsia"/>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投</w:t>
      </w:r>
      <w:r>
        <w:rPr>
          <w:rFonts w:hint="eastAsia" w:asciiTheme="minorEastAsia" w:hAnsiTheme="minorEastAsia" w:eastAsiaTheme="minorEastAsia" w:cstheme="minorEastAsia"/>
          <w:bCs/>
          <w:color w:val="auto"/>
          <w:sz w:val="24"/>
          <w:szCs w:val="24"/>
          <w:highlight w:val="none"/>
          <w:lang w:val="zh-CN"/>
        </w:rPr>
        <w:t xml:space="preserve">标人类似项目业绩一览表</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3"/>
        <w:gridCol w:w="2452"/>
        <w:gridCol w:w="2753"/>
        <w:gridCol w:w="1427"/>
        <w:gridCol w:w="1768"/>
      </w:tblGrid>
      <w:tr>
        <w:trPr>
          <w:cantSplit/>
          <w:jc w:val="center"/>
          <w:trHeight w:val="774" w:hRule="exact"/>
        </w:trPr>
        <w:tc>
          <w:tcPr>
            <w:tcW w:w="87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4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采购单位及联系人、联系方式</w:t>
            </w:r>
            <w:r/>
          </w:p>
        </w:tc>
        <w:tc>
          <w:tcPr>
            <w:tcW w:w="275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tc>
        <w:tc>
          <w:tcPr>
            <w:tcW w:w="142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tc>
        <w:tc>
          <w:tcPr>
            <w:tcW w:w="1768" w:type="dxa"/>
            <w:vAlign w:val="center"/>
            <w:textDirection w:val="lrTb"/>
            <w:noWrap w:val="false"/>
          </w:tcPr>
          <w:p>
            <w:pPr>
              <w:jc w:val="center"/>
              <w:spacing w:before="15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19"/>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rPr>
        <w:br w:type="page" w:clear="all"/>
      </w:r>
      <w:r/>
    </w:p>
    <w:p>
      <w:pPr>
        <w:pStyle w:val="1019"/>
        <w:ind w:left="0" w:firstLine="0"/>
        <w:rPr>
          <w:rFonts w:hint="eastAsia" w:ascii="宋体" w:hAnsi="宋体"/>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10、</w:t>
      </w:r>
      <w:r>
        <w:rPr>
          <w:rFonts w:hint="eastAsia" w:ascii="宋体" w:hAnsi="宋体"/>
          <w:bCs/>
          <w:color w:val="auto"/>
          <w:szCs w:val="24"/>
          <w:highlight w:val="none"/>
        </w:rPr>
        <w:t xml:space="preserve">售后服务承诺书</w:t>
      </w:r>
      <w:r/>
    </w:p>
    <w:p>
      <w:pPr>
        <w:ind w:firstLine="480"/>
        <w:jc w:val="center"/>
        <w:spacing w:before="25" w:after="25" w:line="360" w:lineRule="auto"/>
        <w:rPr>
          <w:rFonts w:hint="eastAsia" w:ascii="宋体" w:hAnsi="宋体"/>
          <w:bCs/>
          <w:color w:val="auto"/>
          <w:szCs w:val="24"/>
          <w:highlight w:val="none"/>
        </w:rPr>
      </w:pPr>
      <w:r>
        <w:rPr>
          <w:rFonts w:hint="eastAsia" w:ascii="宋体" w:hAnsi="宋体"/>
          <w:bCs/>
          <w:color w:val="auto"/>
          <w:szCs w:val="24"/>
          <w:highlight w:val="none"/>
        </w:rPr>
        <w:t xml:space="preserve">售后服务承诺书</w:t>
      </w:r>
      <w:r/>
    </w:p>
    <w:tbl>
      <w:tblPr>
        <w:tblStyle w:val="1018"/>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3426"/>
        <w:gridCol w:w="2016"/>
        <w:gridCol w:w="3455"/>
      </w:tblGrid>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序号</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售后服务内容</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期限（时间）</w:t>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备注</w:t>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1</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免费质保期</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2</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到达现场</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3"/>
        </w:trPr>
        <w:tc>
          <w:tcPr>
            <w:tcW w:w="9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3</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t xml:space="preserve">解决问题</w:t>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r>
        <w:trPr>
          <w:jc w:val="center"/>
          <w:trHeight w:val="854"/>
        </w:trPr>
        <w:tc>
          <w:tcPr>
            <w:tcW w:w="926" w:type="dxa"/>
            <w:vAlign w:val="center"/>
            <w:textDirection w:val="lrTb"/>
            <w:noWrap w:val="false"/>
          </w:tcPr>
          <w:p>
            <w:pPr>
              <w:jc w:val="center"/>
              <w:spacing w:before="25" w:after="25" w:line="360" w:lineRule="auto"/>
              <w:rPr>
                <w:rFonts w:ascii="宋体" w:hAnsi="宋体"/>
                <w:color w:val="auto"/>
                <w:szCs w:val="24"/>
                <w:highlight w:val="none"/>
              </w:rPr>
            </w:pPr>
            <w:r>
              <w:rPr>
                <w:rFonts w:hint="eastAsia" w:ascii="宋体" w:hAnsi="宋体"/>
                <w:color w:val="auto"/>
                <w:szCs w:val="24"/>
                <w:highlight w:val="none"/>
              </w:rPr>
              <w:t xml:space="preserve">...</w:t>
            </w:r>
            <w:r/>
          </w:p>
        </w:tc>
        <w:tc>
          <w:tcPr>
            <w:tcW w:w="342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2016"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c>
          <w:tcPr>
            <w:tcW w:w="3455" w:type="dxa"/>
            <w:vAlign w:val="center"/>
            <w:textDirection w:val="lrTb"/>
            <w:noWrap w:val="false"/>
          </w:tcPr>
          <w:p>
            <w:pPr>
              <w:jc w:val="center"/>
              <w:spacing w:before="25" w:after="25" w:line="360" w:lineRule="auto"/>
              <w:rPr>
                <w:rFonts w:hint="eastAsia" w:ascii="宋体" w:hAnsi="宋体"/>
                <w:color w:val="auto"/>
                <w:szCs w:val="24"/>
                <w:highlight w:val="none"/>
              </w:rPr>
            </w:pPr>
            <w:r>
              <w:rPr>
                <w:rFonts w:hint="eastAsia" w:ascii="宋体" w:hAnsi="宋体"/>
                <w:color w:val="auto"/>
                <w:szCs w:val="24"/>
                <w:highlight w:val="none"/>
              </w:rPr>
            </w:r>
            <w:r/>
          </w:p>
        </w:tc>
      </w:tr>
    </w:tbl>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注：1、针对服务内容有必须说明的事项，请在“备注”栏目内注明；</w:t>
      </w:r>
      <w:r/>
    </w:p>
    <w:p>
      <w:pPr>
        <w:ind w:firstLine="480"/>
        <w:spacing w:line="360" w:lineRule="auto"/>
        <w:rPr>
          <w:rFonts w:hint="eastAsia" w:ascii="宋体" w:hAnsi="宋体"/>
          <w:bCs/>
          <w:color w:val="auto"/>
          <w:szCs w:val="24"/>
          <w:highlight w:val="none"/>
        </w:rPr>
      </w:pPr>
      <w:r>
        <w:rPr>
          <w:rFonts w:hint="eastAsia" w:ascii="宋体" w:hAnsi="宋体"/>
          <w:bCs/>
          <w:color w:val="auto"/>
          <w:szCs w:val="24"/>
          <w:highlight w:val="none"/>
        </w:rPr>
        <w:t xml:space="preserve">2、如有其它售后服务内容，自行填写。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19"/>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19"/>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19"/>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p>
    <w:p>
      <w:pPr>
        <w:pStyle w:val="1019"/>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单位名称</w:t>
      </w:r>
      <w:r>
        <w:rPr>
          <w:rFonts w:hint="eastAsia" w:asciiTheme="minorEastAsia" w:hAnsiTheme="minorEastAsia" w:eastAsiaTheme="minorEastAsia" w:cstheme="minorEastAsia"/>
          <w:color w:val="auto"/>
          <w:szCs w:val="24"/>
          <w:highlight w:val="none"/>
          <w:lang w:eastAsia="zh-CN"/>
        </w:rPr>
        <w:t xml:space="preserve">：</w:t>
      </w:r>
      <w:r/>
    </w:p>
    <w:tbl>
      <w:tblPr>
        <w:tblStyle w:val="1018"/>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19"/>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19"/>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19"/>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19"/>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u w:val="none"/>
          <w:lang w:val="en-US" w:eastAsia="zh-CN"/>
        </w:rPr>
        <w:t xml:space="preserve">12</w:t>
      </w:r>
      <w:r>
        <w:rPr>
          <w:rFonts w:hint="eastAsia" w:asciiTheme="minorEastAsia" w:hAnsiTheme="minorEastAsia" w:eastAsiaTheme="minorEastAsia" w:cstheme="minorEastAsia"/>
          <w:color w:val="auto"/>
          <w:szCs w:val="24"/>
          <w:highlight w:val="none"/>
          <w:u w:val="none"/>
        </w:rPr>
        <w:t xml:space="preserve">、</w:t>
      </w:r>
      <w:r>
        <w:rPr>
          <w:rFonts w:hint="eastAsia" w:asciiTheme="minorEastAsia" w:hAnsiTheme="minorEastAsia" w:eastAsiaTheme="minorEastAsia" w:cstheme="minorEastAsia"/>
          <w:bCs/>
          <w:color w:val="auto"/>
          <w:szCs w:val="24"/>
          <w:highlight w:val="none"/>
          <w:u w:val="none"/>
        </w:rPr>
        <w:t xml:space="preserve">投</w:t>
      </w:r>
      <w:r>
        <w:rPr>
          <w:rFonts w:hint="eastAsia" w:asciiTheme="minorEastAsia" w:hAnsiTheme="minorEastAsia" w:eastAsiaTheme="minorEastAsia" w:cstheme="minorEastAsia"/>
          <w:bCs/>
          <w:color w:val="auto"/>
          <w:szCs w:val="24"/>
          <w:highlight w:val="none"/>
        </w:rPr>
        <w:t xml:space="preserve">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18"/>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13</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val="off"/>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中小企业声明函</w:t>
      </w:r>
      <w:r>
        <w:rPr>
          <w:rFonts w:hint="eastAsia" w:ascii="宋体" w:hAnsi="宋体" w:cs="宋体"/>
          <w:sz w:val="24"/>
          <w:szCs w:val="24"/>
          <w:highlight w:val="none"/>
          <w:lang w:eastAsia="zh-CN"/>
        </w:rPr>
        <w:t xml:space="preserve">（服务）</w:t>
      </w:r>
      <w:r/>
    </w:p>
    <w:p>
      <w:pPr>
        <w:pStyle w:val="1049"/>
        <w:keepLines w:val="0"/>
        <w:keepNext w:val="0"/>
        <w:pageBreakBefore w:val="0"/>
        <w:spacing w:line="360" w:lineRule="auto"/>
        <w:widowControl w:val="off"/>
        <w:rPr>
          <w:rFonts w:hint="eastAsia"/>
          <w:highlight w:val="none"/>
          <w:lang w:eastAsia="zh-CN"/>
        </w:rPr>
        <w:outlineLvl w:val="9"/>
      </w:pPr>
      <w:r>
        <w:rPr>
          <w:rFonts w:hint="eastAsia"/>
          <w:highlight w:val="none"/>
          <w:lang w:eastAsia="zh-CN"/>
        </w:rPr>
      </w:r>
      <w:r/>
    </w:p>
    <w:p>
      <w:pPr>
        <w:pStyle w:val="1049"/>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eastAsia="zh-CN"/>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（财库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46号）</w:t>
      </w:r>
      <w:r>
        <w:rPr>
          <w:rFonts w:hint="eastAsia" w:ascii="宋体" w:hAnsi="宋体" w:eastAsia="宋体" w:cs="宋体"/>
          <w:sz w:val="24"/>
          <w:szCs w:val="24"/>
          <w:highlight w:val="none"/>
          <w:lang w:val="en-US" w:eastAsia="zh-CN"/>
        </w:rPr>
        <w:t xml:space="preserve">的规定，本公司（联合体）参加</w:t>
      </w:r>
      <w:r>
        <w:rPr>
          <w:rFonts w:hint="eastAsia" w:ascii="宋体" w:hAnsi="宋体" w:eastAsia="宋体" w:cs="宋体"/>
          <w:sz w:val="24"/>
          <w:szCs w:val="24"/>
          <w:highlight w:val="none"/>
          <w:u w:val="single"/>
          <w:lang w:val="en-US" w:eastAsia="zh-CN"/>
        </w:rPr>
        <w:t xml:space="preserve">   （单位名称）   </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u w:val="single"/>
          <w:lang w:val="en-US" w:eastAsia="zh-CN"/>
        </w:rPr>
        <w:t xml:space="preserve">   （项目名称）   </w:t>
      </w:r>
      <w:r>
        <w:rPr>
          <w:rFonts w:hint="eastAsia" w:ascii="宋体" w:hAnsi="宋体" w:eastAsia="宋体" w:cs="宋体"/>
          <w:sz w:val="24"/>
          <w:szCs w:val="24"/>
          <w:highlight w:val="none"/>
          <w:lang w:val="en-US" w:eastAsia="zh-CN"/>
        </w:rPr>
        <w:t xml:space="preserve">采购活动，工程的施工单位全</w:t>
      </w:r>
      <w:r>
        <w:rPr>
          <w:rFonts w:hint="eastAsia" w:ascii="宋体" w:hAnsi="宋体" w:eastAsia="宋体" w:cs="宋体"/>
          <w:color w:val="auto"/>
          <w:sz w:val="24"/>
          <w:szCs w:val="24"/>
          <w:highlight w:val="none"/>
          <w:lang w:val="en-US" w:eastAsia="zh-CN"/>
        </w:rPr>
        <w:t xml:space="preserve">部为符合政策要求的中小企业（或者：服务全部由符合政策要求的中小企业承接）。相关企业（含联合体中的中小企业，签订分包意向协议的中小企业）的具体情况如下：</w:t>
      </w:r>
      <w:r/>
    </w:p>
    <w:p>
      <w:pPr>
        <w:pStyle w:val="1049"/>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u w:val="none"/>
          <w:lang w:val="en-US" w:eastAsia="zh-CN"/>
        </w:rPr>
        <w:t xml:space="preserve">；承建（承接）企业为</w:t>
      </w:r>
      <w:r>
        <w:rPr>
          <w:rFonts w:hint="eastAsia" w:ascii="宋体" w:hAnsi="宋体" w:eastAsia="宋体" w:cs="宋体"/>
          <w:color w:val="auto"/>
          <w:sz w:val="24"/>
          <w:szCs w:val="24"/>
          <w:highlight w:val="none"/>
          <w:u w:val="single"/>
          <w:lang w:val="en-US" w:eastAsia="zh-CN"/>
        </w:rPr>
        <w:t xml:space="preserve">   （企业名称）   </w:t>
      </w:r>
      <w:r>
        <w:rPr>
          <w:rFonts w:hint="eastAsia" w:ascii="宋体" w:hAnsi="宋体" w:eastAsia="宋体" w:cs="宋体"/>
          <w:color w:val="auto"/>
          <w:sz w:val="24"/>
          <w:szCs w:val="24"/>
          <w:highlight w:val="none"/>
          <w:u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w:t>
      </w:r>
      <w:r>
        <w:rPr>
          <w:rFonts w:hint="eastAsia" w:ascii="宋体" w:hAnsi="宋体" w:eastAsia="宋体" w:cs="宋体"/>
          <w:color w:val="auto"/>
          <w:sz w:val="24"/>
          <w:szCs w:val="24"/>
          <w:highlight w:val="none"/>
          <w:lang w:eastAsia="zh-CN"/>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pStyle w:val="1049"/>
        <w:ind w:firstLine="480"/>
        <w:keepLines w:val="0"/>
        <w:keepNext w:val="0"/>
        <w:pageBreakBefore w:val="0"/>
        <w:spacing w:line="360" w:lineRule="auto"/>
        <w:widowControl w:val="off"/>
        <w:rPr>
          <w:rFonts w:hint="eastAsia" w:ascii="宋体" w:hAnsi="宋体" w:cs="宋体"/>
          <w:sz w:val="24"/>
          <w:szCs w:val="24"/>
          <w:highlight w:val="none"/>
        </w:rPr>
        <w:outlineLvl w:val="9"/>
      </w:pPr>
      <w:r>
        <w:rPr>
          <w:rFonts w:hint="eastAsia" w:ascii="宋体" w:hAnsi="宋体" w:cs="宋体"/>
          <w:sz w:val="24"/>
          <w:szCs w:val="24"/>
          <w:highlight w:val="none"/>
        </w:rPr>
        <w:t xml:space="preserve">......</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以上企业，不属于大企业的分支机构，不存在控股股东为大企业的情形，也不存在与大企业的负责人为同一人的情形。</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本企业对上述声明内容的真实性负责。如有虚假，将依法承担相应责任。</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企业名称（盖章）：</w:t>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日期：</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注：</w:t>
      </w:r>
      <w:r/>
    </w:p>
    <w:p>
      <w:pPr>
        <w:pStyle w:val="1049"/>
        <w:keepLines w:val="0"/>
        <w:keepNext w:val="0"/>
        <w:pageBreakBefore w:val="0"/>
        <w:spacing w:line="360" w:lineRule="auto"/>
        <w:widowControl w:val="off"/>
        <w:rPr>
          <w:rFonts w:hint="eastAsia" w:eastAsia="宋体"/>
          <w:sz w:val="24"/>
          <w:szCs w:val="24"/>
          <w:highlight w:val="none"/>
          <w:lang w:val="en-US" w:eastAsia="zh-CN"/>
        </w:rPr>
        <w:outlineLvl w:val="9"/>
      </w:pPr>
      <w:r>
        <w:rPr>
          <w:rFonts w:hint="eastAsia" w:ascii="宋体" w:hAnsi="宋体" w:cs="宋体"/>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b/>
          <w:color w:val="auto"/>
          <w:highlight w:val="none"/>
          <w:lang w:val="zh-CN"/>
        </w:rPr>
      </w:pPr>
      <w:r>
        <w:rPr>
          <w:rFonts w:hint="eastAsia" w:ascii="宋体" w:hAnsi="宋体" w:eastAsia="宋体" w:cs="宋体"/>
          <w:color w:val="auto"/>
          <w:szCs w:val="24"/>
          <w:highlight w:val="none"/>
          <w:lang w:val="zh-CN"/>
        </w:rPr>
        <w:t xml:space="preserve">日期：    年   月   日</w:t>
      </w:r>
      <w:r/>
    </w:p>
    <w:p>
      <w:pPr>
        <w:pStyle w:val="1039"/>
        <w:ind w:left="0" w:firstLine="482"/>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lang w:val="zh-CN"/>
        </w:rPr>
        <w:t xml:space="preserve">备注：1.</w:t>
      </w:r>
      <w:r>
        <w:rPr>
          <w:rFonts w:hint="eastAsia" w:ascii="宋体" w:hAnsi="宋体" w:eastAsia="宋体" w:cs="宋体"/>
          <w:b/>
          <w:color w:val="auto"/>
          <w:sz w:val="24"/>
          <w:highlight w:val="none"/>
          <w:shd w:val="clear" w:color="auto" w:fill="ffffff"/>
        </w:rPr>
        <w:t xml:space="preserve">享受政府采购支持政策的残疾人福利性单位应当同时满足以下条件：</w:t>
      </w:r>
      <w:r/>
    </w:p>
    <w:p>
      <w:pPr>
        <w:pStyle w:val="1039"/>
        <w:ind w:left="0"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1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安置的残疾人占本单位在职职工人数的比例不低于25%（含25%），并且安置的残疾人人数不少于10人（含10人）；</w:t>
      </w:r>
      <w:r/>
    </w:p>
    <w:p>
      <w:pPr>
        <w:pStyle w:val="1039"/>
        <w:ind w:left="0" w:firstLine="480"/>
        <w:spacing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2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②</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依法与安置的每位残疾人签订了一年以上（含一年）的劳动合同或服务协议；</w:t>
      </w:r>
      <w:r/>
    </w:p>
    <w:p>
      <w:pPr>
        <w:pStyle w:val="1039"/>
        <w:ind w:left="0" w:firstLine="480"/>
        <w:spacing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3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③</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为安置的每位残疾人按月足额缴纳了基本养老保险、基本医疗保险、失业保险、工伤保险和生育保险等社会保险费；</w:t>
      </w:r>
      <w:r/>
    </w:p>
    <w:p>
      <w:pPr>
        <w:pStyle w:val="1039"/>
        <w:ind w:left="0" w:firstLine="480"/>
        <w:spacing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4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④</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039"/>
        <w:ind w:left="0" w:firstLine="480"/>
        <w:spacing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5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⑤</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9"/>
        <w:ind w:left="0" w:firstLine="480"/>
        <w:spacing w:line="24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9"/>
        <w:ind w:left="0" w:firstLine="482"/>
        <w:spacing w:line="24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lang w:val="zh-CN"/>
        </w:rPr>
        <w:t xml:space="preserve">为残疾人福利性单位的，《残疾人福利性单位声明函》将随中标结果同时公告。</w:t>
      </w:r>
      <w:r/>
    </w:p>
    <w:p>
      <w:pPr>
        <w:pStyle w:val="1039"/>
        <w:ind w:left="0" w:firstLine="482"/>
        <w:spacing w:line="24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3.供应商提供的《残疾人福利性单位声明函》与事实不符的，依照《政府采购法》第七十七条第一款的规定追究法律责任。</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87"/>
        <w:ind w:left="0" w:firstLine="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关于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报价合理性的澄清说明</w:t>
      </w:r>
      <w:r/>
    </w:p>
    <w:p>
      <w:pPr>
        <w:pStyle w:val="1022"/>
        <w:ind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22"/>
        <w:ind w:firstLine="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关于投标报价合理性的澄清说明</w:t>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Cs w:val="24"/>
          <w:highlight w:val="none"/>
          <w:u w:val="single"/>
        </w:rPr>
        <w:t xml:space="preserve">（采购代理机构名称）</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报价合理性作出说明如下：</w:t>
      </w:r>
      <w:r/>
    </w:p>
    <w:tbl>
      <w:tblPr>
        <w:tblStyle w:val="10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4"/>
                <w:szCs w:val="24"/>
                <w:highlight w:val="none"/>
                <w:shd w:val="pct10" w:color="auto" w:fill="ffffff"/>
              </w:rPr>
              <w:suppressLineNumbers w:val="0"/>
            </w:pP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应当根据实际情况自拟答复并根据</w:t>
            </w:r>
            <w:r>
              <w:rPr>
                <w:rFonts w:hint="eastAsia" w:ascii="宋体" w:hAnsi="宋体" w:eastAsia="宋体" w:cs="宋体"/>
                <w:b/>
                <w:color w:val="auto"/>
                <w:sz w:val="24"/>
                <w:szCs w:val="24"/>
                <w:highlight w:val="none"/>
                <w:lang w:val="en-US" w:eastAsia="zh-CN"/>
              </w:rPr>
              <w:t xml:space="preserve">评</w:t>
            </w:r>
            <w:r>
              <w:rPr>
                <w:rFonts w:hint="eastAsia" w:ascii="宋体" w:hAnsi="宋体" w:cs="宋体"/>
                <w:b/>
                <w:color w:val="auto"/>
                <w:sz w:val="24"/>
                <w:szCs w:val="24"/>
                <w:highlight w:val="none"/>
                <w:lang w:val="en-US" w:eastAsia="zh-CN"/>
              </w:rPr>
              <w:t xml:space="preserve">审</w:t>
            </w:r>
            <w:r>
              <w:rPr>
                <w:rFonts w:hint="eastAsia" w:ascii="宋体" w:hAnsi="宋体" w:eastAsia="宋体" w:cs="宋体"/>
                <w:b/>
                <w:color w:val="auto"/>
                <w:sz w:val="24"/>
                <w:szCs w:val="24"/>
                <w:highlight w:val="none"/>
                <w:lang w:val="en-US" w:eastAsia="zh-CN"/>
              </w:rPr>
              <w:t xml:space="preserve">委员会</w:t>
            </w:r>
            <w:r>
              <w:rPr>
                <w:rFonts w:hint="eastAsia" w:ascii="宋体" w:hAnsi="宋体" w:eastAsia="宋体" w:cs="宋体"/>
                <w:b/>
                <w:color w:val="auto"/>
                <w:sz w:val="24"/>
                <w:szCs w:val="24"/>
                <w:highlight w:val="none"/>
              </w:rPr>
              <w:t xml:space="preserve">关于澄清的要求提供相关证明材料作为附件。</w:t>
            </w:r>
            <w:r/>
          </w:p>
        </w:tc>
      </w:tr>
    </w:tbl>
    <w:p>
      <w:pPr>
        <w:pStyle w:val="1019"/>
        <w:ind w:left="0" w:firstLine="482"/>
        <w:keepLines w:val="0"/>
        <w:keepNext w:val="0"/>
        <w:pageBreakBefore w:val="0"/>
        <w:spacing w:before="191"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文件第二章“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须知”要求，</w:t>
      </w:r>
      <w:r>
        <w:rPr>
          <w:rFonts w:hint="eastAsia" w:ascii="宋体" w:hAnsi="宋体" w:cs="宋体"/>
          <w:b/>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rPr>
        <w:t xml:space="preserve">认为投标人的报价符合异常低价投标（响应）审查的情形时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应当要求相关投标人在评审现场合理的时间内对投标（响应）价格作出解释，提供项目具体成本测算等与报价合理性相关的书面说明及相关证明材料，对投标（响应）价格作出解释</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应当将其作为无效投标（响应）处理。</w:t>
      </w:r>
      <w:r/>
    </w:p>
    <w:p>
      <w:pPr>
        <w:pStyle w:val="1019"/>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19"/>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jc w:val="both"/>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lang w:val="en-US" w:eastAsia="zh-CN"/>
        </w:rPr>
        <w:t xml:space="preserve">16、</w:t>
      </w: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37"/>
        <w:ind w:firstLine="420"/>
        <w:jc w:val="center"/>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r>
      <w:r/>
    </w:p>
    <w:p>
      <w:pPr>
        <w:pStyle w:val="1037"/>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4738370</wp:posOffset>
                </wp:positionH>
                <wp:positionV relativeFrom="paragraph">
                  <wp:posOffset>86995</wp:posOffset>
                </wp:positionV>
                <wp:extent cx="577215" cy="92075"/>
                <wp:effectExtent l="635" t="4445" r="12700" b="17780"/>
                <wp:wrapNone/>
                <wp:docPr id="8" name="直接箭头连接符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3.1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3090545</wp:posOffset>
                </wp:positionH>
                <wp:positionV relativeFrom="paragraph">
                  <wp:posOffset>264795</wp:posOffset>
                </wp:positionV>
                <wp:extent cx="611505" cy="123825"/>
                <wp:effectExtent l="635" t="4445" r="16510" b="5080"/>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611504"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43.3pt;mso-position-horizontal:absolute;mso-position-vertical-relative:text;margin-top:20.8pt;mso-position-vertical:absolute;width:48.1pt;height:9.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205105</wp:posOffset>
                </wp:positionH>
                <wp:positionV relativeFrom="paragraph">
                  <wp:posOffset>463550</wp:posOffset>
                </wp:positionV>
                <wp:extent cx="565785" cy="130810"/>
                <wp:effectExtent l="1270" t="4445" r="4445" b="17145"/>
                <wp:wrapNone/>
                <wp:docPr id="10"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6.1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1356360</wp:posOffset>
                </wp:positionH>
                <wp:positionV relativeFrom="paragraph">
                  <wp:posOffset>463550</wp:posOffset>
                </wp:positionV>
                <wp:extent cx="582930" cy="86995"/>
                <wp:effectExtent l="635" t="4445" r="6985" b="2286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582930"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06.8pt;mso-position-horizontal:absolute;mso-position-vertical-relative:text;margin-top:36.5pt;mso-position-vertical:absolute;width:45.9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4098290</wp:posOffset>
                </wp:positionH>
                <wp:positionV relativeFrom="paragraph">
                  <wp:posOffset>288290</wp:posOffset>
                </wp:positionV>
                <wp:extent cx="816610" cy="103505"/>
                <wp:effectExtent l="635" t="4445" r="1905" b="6350"/>
                <wp:wrapNone/>
                <wp:docPr id="12"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322.7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2092960</wp:posOffset>
                </wp:positionH>
                <wp:positionV relativeFrom="paragraph">
                  <wp:posOffset>270510</wp:posOffset>
                </wp:positionV>
                <wp:extent cx="364490" cy="97790"/>
                <wp:effectExtent l="1270" t="4445" r="15240" b="12065"/>
                <wp:wrapNone/>
                <wp:docPr id="13" name="直接箭头连接符 3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64.8pt;mso-position-horizontal:absolute;mso-position-vertical-relative:text;margin-top:21.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Style w:val="104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Style w:val="104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04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Style w:val="104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5892800</wp:posOffset>
                </wp:positionH>
                <wp:positionV relativeFrom="paragraph">
                  <wp:posOffset>269240</wp:posOffset>
                </wp:positionV>
                <wp:extent cx="285750" cy="94615"/>
                <wp:effectExtent l="1270" t="4445" r="17780" b="1524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85750"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464.0pt;mso-position-horizontal:absolute;mso-position-vertical-relative:text;margin-top:21.2pt;mso-position-vertical:absolute;width:22.5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881380</wp:posOffset>
                </wp:positionH>
                <wp:positionV relativeFrom="paragraph">
                  <wp:posOffset>467995</wp:posOffset>
                </wp:positionV>
                <wp:extent cx="724535" cy="131445"/>
                <wp:effectExtent l="635" t="4445" r="17780" b="1651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724535" cy="1314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69.4pt;mso-position-horizontal:absolute;mso-position-vertical-relative:text;margin-top:36.9pt;mso-position-vertical:absolute;width:57.0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2931160</wp:posOffset>
                </wp:positionH>
                <wp:positionV relativeFrom="paragraph">
                  <wp:posOffset>229870</wp:posOffset>
                </wp:positionV>
                <wp:extent cx="587375" cy="142875"/>
                <wp:effectExtent l="1270" t="4445" r="1905" b="5080"/>
                <wp:wrapNone/>
                <wp:docPr id="16" name="直接箭头连接符 35"/>
                <wp:cNvGraphicFramePr/>
                <a:graphic xmlns:a="http://schemas.openxmlformats.org/drawingml/2006/main">
                  <a:graphicData uri="http://schemas.microsoft.com/office/word/2010/wordprocessingShape">
                    <wps:wsp>
                      <wps:cNvPr id="0" name=""/>
                      <wps:cNvSpPr/>
                      <wps:spPr bwMode="auto">
                        <a:xfrm flipV="1">
                          <a:off x="0" y="0"/>
                          <a:ext cx="58737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230.8pt;mso-position-horizontal:absolute;mso-position-vertical-relative:text;margin-top:18.1pt;mso-position-vertical:absolute;width:46.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1776730</wp:posOffset>
                </wp:positionH>
                <wp:positionV relativeFrom="paragraph">
                  <wp:posOffset>240030</wp:posOffset>
                </wp:positionV>
                <wp:extent cx="843915" cy="125730"/>
                <wp:effectExtent l="635" t="4445" r="12700" b="22225"/>
                <wp:wrapNone/>
                <wp:docPr id="17" name="直接箭头连接符 3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9.9pt;mso-position-horizontal:absolute;mso-position-vertical-relative:text;margin-top:1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3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3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37"/>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37"/>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3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方正魏碑_GBK" w:hAnsi="方正魏碑_GBK" w:eastAsia="方正魏碑_GBK" w:cs="方正魏碑_GBK"/>
          <w:b/>
          <w:bCs/>
          <w:color w:val="auto"/>
          <w:sz w:val="22"/>
          <w:highlight w:val="none"/>
          <w:shd w:val="clear" w:color="auto" w:fill="ffffff"/>
        </w:rPr>
        <w:t xml:space="preserve">6.</w:t>
      </w:r>
      <w:r>
        <w:rPr>
          <w:rFonts w:hint="eastAsia" w:ascii="方正魏碑_GBK" w:hAnsi="方正魏碑_GBK" w:eastAsia="方正魏碑_GBK" w:cs="方正魏碑_GBK"/>
          <w:b/>
          <w:bCs/>
          <w:color w:val="auto"/>
          <w:sz w:val="22"/>
          <w:highlight w:val="lightGray"/>
          <w:shd w:val="clear" w:color="auto" w:fill="ffffff"/>
        </w:rPr>
        <w:t xml:space="preserve">用斜线划除的地方无需填写。</w:t>
      </w:r>
      <w:r/>
    </w:p>
    <w:p>
      <w:pP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br w:type="page" w:clear="all"/>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17、</w:t>
      </w:r>
      <w:r>
        <w:rPr>
          <w:rFonts w:hint="eastAsia" w:asciiTheme="minorEastAsia" w:hAnsiTheme="minorEastAsia" w:eastAsiaTheme="minorEastAsia" w:cstheme="minorEastAsia"/>
          <w:color w:val="auto"/>
          <w:szCs w:val="24"/>
          <w:highlight w:val="none"/>
        </w:rPr>
        <w:t xml:space="preserve">投标保证承诺书</w:t>
      </w:r>
      <w:r/>
    </w:p>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投标保证承诺书</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致：</w:t>
      </w:r>
      <w:r>
        <w:rPr>
          <w:rFonts w:hint="eastAsia" w:asciiTheme="minorEastAsia" w:hAnsiTheme="minorEastAsia" w:eastAsiaTheme="minorEastAsia" w:cstheme="minorEastAsia"/>
          <w:color w:val="auto"/>
          <w:szCs w:val="24"/>
          <w:highlight w:val="none"/>
          <w:u w:val="single"/>
        </w:rPr>
        <w:t xml:space="preserve">（采购代理机构名称）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w:t>
      </w:r>
      <w:r>
        <w:rPr>
          <w:rFonts w:hint="eastAsia" w:asciiTheme="minorEastAsia" w:hAnsiTheme="minorEastAsia" w:eastAsiaTheme="minorEastAsia" w:cstheme="minorEastAsia"/>
          <w:color w:val="auto"/>
          <w:szCs w:val="24"/>
          <w:highlight w:val="none"/>
          <w:u w:val="single"/>
        </w:rPr>
        <w:t xml:space="preserve">（单位/本人，以下统称我单位）</w:t>
      </w:r>
      <w:r>
        <w:rPr>
          <w:rFonts w:hint="eastAsia" w:asciiTheme="minorEastAsia" w:hAnsiTheme="minorEastAsia" w:eastAsiaTheme="minorEastAsia" w:cstheme="minorEastAsia"/>
          <w:color w:val="auto"/>
          <w:szCs w:val="24"/>
          <w:highlight w:val="none"/>
        </w:rPr>
        <w:t xml:space="preserve">自愿参加</w:t>
      </w:r>
      <w:r>
        <w:rPr>
          <w:rFonts w:hint="eastAsia" w:asciiTheme="minorEastAsia" w:hAnsiTheme="minorEastAsia" w:eastAsiaTheme="minorEastAsia" w:cstheme="minorEastAsia"/>
          <w:color w:val="auto"/>
          <w:szCs w:val="24"/>
          <w:highlight w:val="none"/>
          <w:u w:val="single"/>
        </w:rPr>
        <w:t xml:space="preserve">（项目名称和采购编号）</w:t>
      </w:r>
      <w:r>
        <w:rPr>
          <w:rFonts w:hint="eastAsia" w:asciiTheme="minorEastAsia" w:hAnsiTheme="minorEastAsia" w:eastAsiaTheme="minorEastAsia" w:cstheme="minorEastAsia"/>
          <w:color w:val="auto"/>
          <w:szCs w:val="24"/>
          <w:highlight w:val="none"/>
        </w:rPr>
        <w:t xml:space="preserve">的响应,并做出如下承诺：</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1、自响应截止时间至本项目发布</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公告为止，撤销响应；</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后不依法与采购人签订合同；</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后不按本招标文件规定向贵方缴纳代理</w:t>
      </w:r>
      <w:r>
        <w:rPr>
          <w:rFonts w:hint="eastAsia" w:asciiTheme="minorEastAsia" w:hAnsiTheme="minorEastAsia" w:eastAsiaTheme="minorEastAsia" w:cstheme="minorEastAsia"/>
          <w:color w:val="auto"/>
          <w:szCs w:val="24"/>
          <w:highlight w:val="none"/>
          <w:lang w:val="en-US" w:eastAsia="zh-CN"/>
        </w:rPr>
        <w:t xml:space="preserve">服务费</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投标人</w:t>
      </w:r>
      <w:r>
        <w:rPr>
          <w:rFonts w:hint="eastAsia" w:asciiTheme="minorEastAsia" w:hAnsiTheme="minorEastAsia" w:eastAsiaTheme="minorEastAsia" w:cstheme="minorEastAsia"/>
          <w:color w:val="auto"/>
          <w:szCs w:val="24"/>
          <w:highlight w:val="none"/>
        </w:rPr>
        <w:t xml:space="preserve">：（盖公章）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电话：</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传真：</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电子邮件：</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邮编：</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法定代表人或授权代理人（签字或盖章）：</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日期：</w:t>
      </w:r>
      <w:r/>
    </w:p>
    <w:p>
      <w:pPr>
        <w:pStyle w:val="1028"/>
        <w:ind w:firstLine="420"/>
        <w:jc w:val="center"/>
        <w:spacing w:line="579"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19" w:name="_Toc24908"/>
      <w:r/>
      <w:bookmarkStart w:id="20" w:name="_Toc7229"/>
      <w:r/>
      <w:bookmarkStart w:id="21" w:name="_Toc21567"/>
      <w:r>
        <w:rPr>
          <w:rStyle w:val="1050"/>
          <w:rFonts w:hint="eastAsia" w:asciiTheme="minorEastAsia" w:hAnsiTheme="minorEastAsia" w:eastAsiaTheme="minorEastAsia" w:cstheme="minorEastAsia"/>
          <w:color w:val="auto"/>
          <w:sz w:val="44"/>
          <w:szCs w:val="44"/>
          <w:highlight w:val="none"/>
        </w:rPr>
        <w:t xml:space="preserve">第四章 采购内容</w:t>
      </w:r>
      <w:bookmarkEnd w:id="12"/>
      <w:r/>
      <w:bookmarkEnd w:id="19"/>
      <w:r/>
      <w:bookmarkEnd w:id="20"/>
      <w:r/>
      <w:bookmarkStart w:id="22" w:name="_Toc217446094"/>
      <w:r/>
      <w:bookmarkEnd w:id="21"/>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苏州大学附属第一医院水电零星维修服务</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：JSZC-320000-JZCZ-G2026-0012</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苏州大学附属第一医院水电零星维修服务</w:t>
      </w:r>
      <w:r/>
    </w:p>
    <w:p>
      <w:pPr>
        <w:ind w:firstLine="480"/>
        <w:spacing w:line="360" w:lineRule="auto"/>
        <w:rPr>
          <w:rFonts w:hint="eastAsia" w:ascii="宋体" w:hAnsi="宋体" w:cs="宋体"/>
          <w:bCs/>
          <w:color w:val="auto"/>
          <w:sz w:val="24"/>
          <w:szCs w:val="24"/>
          <w:highlight w:val="none"/>
          <w:lang w:val="en-US" w:eastAsia="zh-CN"/>
        </w:rPr>
        <w:outlineLvl w:val="9"/>
      </w:pPr>
      <w:r>
        <w:rPr>
          <w:rFonts w:hint="eastAsia" w:asciiTheme="minorEastAsia" w:hAnsiTheme="minorEastAsia" w:eastAsiaTheme="minorEastAsia" w:cstheme="minorEastAsia"/>
          <w:color w:val="auto"/>
          <w:szCs w:val="24"/>
          <w:highlight w:val="none"/>
        </w:rPr>
        <w:t xml:space="preserve">三、</w:t>
      </w:r>
      <w:r>
        <w:rPr>
          <w:rFonts w:hint="eastAsia" w:ascii="宋体" w:hAnsi="宋体" w:eastAsia="宋体" w:cs="宋体"/>
          <w:bCs/>
          <w:color w:val="auto"/>
          <w:sz w:val="24"/>
          <w:szCs w:val="24"/>
          <w:highlight w:val="none"/>
          <w:lang w:val="en-US" w:eastAsia="zh-CN"/>
        </w:rPr>
        <w:t xml:space="preserve">预算金额：</w:t>
      </w:r>
      <w:bookmarkEnd w:id="22"/>
      <w:r/>
      <w:bookmarkStart w:id="23" w:name="_Toc388026587"/>
      <w:r/>
      <w:bookmarkStart w:id="24" w:name="_Toc409438747"/>
      <w:r>
        <w:rPr>
          <w:rFonts w:hint="eastAsia" w:ascii="宋体" w:hAnsi="宋体" w:cs="宋体"/>
          <w:bCs/>
          <w:color w:val="auto"/>
          <w:sz w:val="24"/>
          <w:szCs w:val="24"/>
          <w:highlight w:val="none"/>
          <w:lang w:val="en-US" w:eastAsia="zh-CN"/>
        </w:rPr>
        <w:t xml:space="preserve">人民币伍佰万元整（￥5000000.00）</w:t>
      </w:r>
      <w:r/>
    </w:p>
    <w:p>
      <w:pPr>
        <w:ind w:firstLine="960"/>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最高限价：500.00万元/年</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四、招标项目范围及要求：</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（一）工作范围：全院范围水电、给排水、暖通、蒸汽管道等维护、检修及更换安装。包含但不限于以下具体项目：</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（1）全院各楼层照明灯、开关、插座、电气线路的维护、检修及更换安装。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（2）全院范围内供水管路及末端阀门维护、维修及更换安装。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（3）全院所有室内排水管道、阀门、卫生洁具的维护、维修及更换安装。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（4）全院范围内蒸汽管道、附属设施及控制阀门的维护、维修及更换安装。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（5）全院范围内病床、陪护椅及钢制构件的维护、维修及更换安装。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（6）全院机电设备检修及更换安装。</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（7）医院要求的其他维护、维修及更换安装项目。</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注：具体工作范围安排根据采购人实际情况确定。</w:t>
      </w:r>
      <w:r/>
    </w:p>
    <w:p>
      <w:pPr>
        <w:numPr>
          <w:ilvl w:val="0"/>
          <w:numId w:val="0"/>
        </w:num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（二）维修清单数量：详见文末附件。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（三）工作要求：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1、中标人必须派人常驻医院并24小时值班，其中</w:t>
      </w:r>
      <w:r>
        <w:rPr>
          <w:rFonts w:hint="eastAsia" w:ascii="宋体" w:hAnsi="宋体" w:cs="宋体"/>
          <w:bCs/>
          <w:color w:val="auto"/>
          <w:sz w:val="24"/>
          <w:szCs w:val="24"/>
          <w:highlight w:val="none"/>
          <w:lang w:val="en-US" w:eastAsia="zh-CN"/>
        </w:rPr>
        <w:t xml:space="preserve">白天</w:t>
      </w:r>
      <w:r>
        <w:rPr>
          <w:rFonts w:hint="eastAsia" w:ascii="宋体" w:hAnsi="宋体" w:eastAsia="宋体" w:cs="宋体"/>
          <w:bCs/>
          <w:color w:val="auto"/>
          <w:sz w:val="24"/>
          <w:szCs w:val="24"/>
          <w:highlight w:val="none"/>
          <w:lang w:val="en-US" w:eastAsia="zh-CN"/>
        </w:rPr>
        <w:t xml:space="preserve">不少于</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人，夜间不少于</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人。</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w:t>
      </w:r>
      <w:r>
        <w:rPr>
          <w:rFonts w:hint="eastAsia" w:ascii="宋体" w:hAnsi="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lang w:val="en-US" w:eastAsia="zh-CN"/>
        </w:rPr>
        <w:t xml:space="preserve">必须承担应急抢险任务，安排好备班人员，随时听候</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的调遣，积极参与应急抢险任务。</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3、水电维修人员均须按规定持证上岗，严格按照“劳动法”和相关法律法规的要求合法用工，自行处理劳务纠纷。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4、负责楼层配电间巡查、楼顶标示灯光系统巡查。</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（四）售后服务要求：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1、质保期：所有更换的货物、材料质保期≥1年，若国家、厂商、行业有更优标准，按国家、厂商、行业的最优标准执行（人为因素除外）。质保期从取得验收合格之日起计算。</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2、提供苏州地区的维修队伍以及项目现场配备的项目现场负责人员。</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3、投标人必须明确作出服务承诺，详细阐述维修、内容及服务方式和范围。</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4、对于出现故障，接</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人通知后，必须在10分钟内到达现场进行处理，常规故障处理30分钟内完成；如遇特殊情况，经双方协商同意，服务商可在</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人同意的时间内到达现场维修；中标人须备常规部件。一般部件更换，4小时内维修完成；非常用部件更换，须在6小时内维修完成；特殊情况双方协商解决。</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val="en-US" w:eastAsia="zh-CN"/>
        </w:rPr>
        <w:t xml:space="preserve">服务期限：</w:t>
      </w:r>
      <w:r>
        <w:rPr>
          <w:rFonts w:hint="eastAsia" w:asciiTheme="minorEastAsia" w:hAnsiTheme="minorEastAsia" w:eastAsiaTheme="minorEastAsia" w:cstheme="minorEastAsia"/>
          <w:color w:val="auto"/>
          <w:sz w:val="24"/>
          <w:szCs w:val="24"/>
          <w:highlight w:val="none"/>
        </w:rPr>
        <w:t xml:space="preserve">自202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日至202</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本项目预算金额（500万元）为合同期一年，合同一年期满或年度预算用完，中标人的服务质量满足采购人需求，则采购人与中标人可以续签下一年度合同(最多续签一次)，但中标单价不予调整。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注：①一年度合同期满或年度预算用完但采购人未获得预算批复或需求取消，则经采购人提前书面通知供应商后，合同到期终止，不再续签。②每年度的实际执行金额至500万元为止。</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、综合说明及其他要求：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1、投标人必须承诺招标文件中提出的全部服务要求；如果以其中某些条款不响应时，应在文件中逐条列出，未列出的视同响应。</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2、各投标人在投标文件中须明确完成本项目所使用的工具及易耗品，明确其品牌规格、生产厂家等。</w:t>
      </w:r>
      <w:r/>
    </w:p>
    <w:p>
      <w:pPr>
        <w:pStyle w:val="1089"/>
        <w:ind w:firstLine="403"/>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3、验收标准：按采购要求进行验收。</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4、报价要求：</w:t>
      </w:r>
      <w:r/>
    </w:p>
    <w:p>
      <w:pPr>
        <w:pStyle w:val="1089"/>
        <w:ind w:firstLine="403"/>
        <w:spacing w:line="360" w:lineRule="auto"/>
        <w:rPr>
          <w:rFonts w:hint="default" w:ascii="宋体" w:hAnsi="宋体"/>
          <w:b/>
          <w:bCs/>
          <w:color w:val="auto"/>
          <w:szCs w:val="24"/>
          <w:highlight w:val="none"/>
          <w:lang w:val="en-US" w:eastAsia="zh-CN"/>
        </w:rPr>
      </w:pPr>
      <w:r>
        <w:rPr>
          <w:rFonts w:hint="eastAsia" w:asciiTheme="minorEastAsia" w:hAnsiTheme="minorEastAsia" w:eastAsiaTheme="minorEastAsia" w:cstheme="minorEastAsia"/>
          <w:sz w:val="24"/>
          <w:szCs w:val="24"/>
          <w:highlight w:val="none"/>
        </w:rPr>
        <w:t xml:space="preserve">4.1采用全包形式，投标人应对以上项目的全部内容进行报价，只报其中部分内容者，其投标文件将被拒绝。</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4.2夜间、节假日等加班费用由投标人承担，包含在本次报价内。</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4.3报价应包括检测检修、材料配件、运杂、保险、税金、调试、人工、加班费、技术服务、日常养护、辅助材料、专用工具、附件、</w:t>
      </w:r>
      <w:r>
        <w:rPr>
          <w:rFonts w:hint="eastAsia" w:ascii="宋体" w:hAnsi="宋体" w:eastAsia="宋体" w:cs="宋体"/>
          <w:color w:val="auto"/>
          <w:sz w:val="24"/>
          <w:szCs w:val="24"/>
          <w:highlight w:val="none"/>
          <w:lang w:val="en-US" w:eastAsia="zh-CN" w:bidi="ar-SA"/>
        </w:rPr>
        <w:t xml:space="preserve">代理服务费</w:t>
      </w:r>
      <w:r>
        <w:rPr>
          <w:rFonts w:hint="eastAsia" w:asciiTheme="minorEastAsia" w:hAnsiTheme="minorEastAsia" w:eastAsiaTheme="minorEastAsia" w:cstheme="minorEastAsia"/>
          <w:sz w:val="24"/>
          <w:szCs w:val="24"/>
          <w:highlight w:val="none"/>
          <w:lang w:val="en-US" w:eastAsia="zh-CN"/>
        </w:rPr>
        <w:t xml:space="preserve">等一切费用。本次招标文件中维修清单中的货物是采购人服务期中可能需要维修到的货物，请各投标人在不超过单项预算的基础上报一个统一优惠率，单价不变、按实结算。</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4.4、确因</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人工作需要，中标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应无条件配合</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人完成一些紧急工作。相关费用均已包含在本次报价中，</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人不再另外支付。</w:t>
      </w:r>
      <w:r/>
    </w:p>
    <w:p>
      <w:pPr>
        <w:pStyle w:val="1089"/>
        <w:ind w:firstLine="403"/>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4.5维修清单中的维修服务内容包含人工及更换过程中涉及到的货物、材料等。如产生更换货物、材料，更换货物、材料的费用由投标人承担包含在本次报价内，且更换的货物、材料需采用与医院现使用的货物、材料同等或更高档次产品（清单中的品牌为医院现用品牌，仅供参考）。</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5、费用结算：</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5.1</w:t>
      </w:r>
      <w:r>
        <w:rPr>
          <w:rFonts w:hint="eastAsia" w:asciiTheme="minorEastAsia" w:hAnsiTheme="minorEastAsia" w:eastAsiaTheme="minorEastAsia" w:cstheme="minorEastAsia"/>
          <w:sz w:val="24"/>
          <w:szCs w:val="24"/>
          <w:highlight w:val="none"/>
          <w:lang w:eastAsia="zh-CN"/>
        </w:rPr>
        <w:t xml:space="preserve">中标人</w:t>
      </w:r>
      <w:r>
        <w:rPr>
          <w:rFonts w:hint="eastAsia" w:asciiTheme="minorEastAsia" w:hAnsiTheme="minorEastAsia" w:eastAsiaTheme="minorEastAsia" w:cstheme="minorEastAsia"/>
          <w:sz w:val="24"/>
          <w:szCs w:val="24"/>
          <w:highlight w:val="none"/>
        </w:rPr>
        <w:t xml:space="preserve">每月将维修清单交</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审核，</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对其中的维修清单进行抽查，若发现维修清单不合格，</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有权对</w:t>
      </w:r>
      <w:r>
        <w:rPr>
          <w:rFonts w:hint="eastAsia" w:asciiTheme="minorEastAsia" w:hAnsiTheme="minorEastAsia" w:eastAsiaTheme="minorEastAsia" w:cstheme="minorEastAsia"/>
          <w:sz w:val="24"/>
          <w:szCs w:val="24"/>
          <w:highlight w:val="none"/>
          <w:lang w:eastAsia="zh-CN"/>
        </w:rPr>
        <w:t xml:space="preserve">中标人</w:t>
      </w:r>
      <w:r>
        <w:rPr>
          <w:rFonts w:hint="eastAsia" w:asciiTheme="minorEastAsia" w:hAnsiTheme="minorEastAsia" w:eastAsiaTheme="minorEastAsia" w:cstheme="minorEastAsia"/>
          <w:sz w:val="24"/>
          <w:szCs w:val="24"/>
          <w:highlight w:val="none"/>
        </w:rPr>
        <w:t xml:space="preserve">进行处罚。</w:t>
      </w:r>
      <w:r>
        <w:rPr>
          <w:rFonts w:hint="eastAsia" w:asciiTheme="minorEastAsia" w:hAnsiTheme="minorEastAsia" w:eastAsiaTheme="minorEastAsia" w:cstheme="minorEastAsia"/>
          <w:color w:val="auto"/>
          <w:sz w:val="24"/>
          <w:szCs w:val="24"/>
          <w:highlight w:val="none"/>
        </w:rPr>
        <w:t xml:space="preserve">3张</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含</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以下维修清单不合格，扣除当月费用维修的3%，3张</w:t>
      </w:r>
      <w:r>
        <w:rPr>
          <w:rFonts w:hint="eastAsia" w:asciiTheme="minorEastAsia" w:hAnsiTheme="minorEastAsia" w:eastAsiaTheme="minorEastAsia" w:cstheme="minorEastAsia"/>
          <w:color w:val="auto"/>
          <w:sz w:val="24"/>
          <w:szCs w:val="24"/>
          <w:highlight w:val="none"/>
          <w:lang w:val="en-US" w:eastAsia="zh-CN"/>
        </w:rPr>
        <w:t xml:space="preserve">以上</w:t>
      </w:r>
      <w:r>
        <w:rPr>
          <w:rFonts w:hint="eastAsia" w:asciiTheme="minorEastAsia" w:hAnsiTheme="minorEastAsia" w:eastAsiaTheme="minorEastAsia" w:cstheme="minorEastAsia"/>
          <w:color w:val="auto"/>
          <w:sz w:val="24"/>
          <w:szCs w:val="24"/>
          <w:highlight w:val="none"/>
        </w:rPr>
        <w:t xml:space="preserve">10张以内维修清单不合格</w:t>
      </w:r>
      <w:r>
        <w:rPr>
          <w:rFonts w:hint="eastAsia" w:asciiTheme="minorEastAsia" w:hAnsiTheme="minorEastAsia" w:eastAsiaTheme="minorEastAsia" w:cstheme="minorEastAsia"/>
          <w:sz w:val="24"/>
          <w:szCs w:val="24"/>
          <w:highlight w:val="none"/>
        </w:rPr>
        <w:t xml:space="preserve">，扣除当月维修费用的6%，10张及10张以上维修清单不合格，扣除当月维修费用的12%同时下单整改单，若下月维修清单不合格数量依然在10张及以上，</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有权单方终止合同。</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5.2</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将根据实际维修情况在每个月的25日双方结算上月的费用(维修清单内的项目按本次中标单价结算，维修清单以外的维修材料与人工，根据审计事务所的审计价格进行结算)。中标人出具合格的发票。</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5.3</w:t>
      </w:r>
      <w:r>
        <w:rPr>
          <w:rFonts w:hint="eastAsia" w:asciiTheme="minorEastAsia" w:hAnsiTheme="minorEastAsia" w:eastAsiaTheme="minorEastAsia" w:cstheme="minorEastAsia"/>
          <w:sz w:val="24"/>
          <w:szCs w:val="24"/>
          <w:highlight w:val="none"/>
        </w:rPr>
        <w:t xml:space="preserve">如中标人对服务缺陷不予更正，</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有权另请其他单位更正，所发生的费用在履约保证金中扣除。</w:t>
      </w:r>
      <w:r/>
    </w:p>
    <w:p>
      <w:pPr>
        <w:pStyle w:val="1089"/>
        <w:ind w:firstLine="403"/>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6、如遇采购人有重大基建等特殊情况（工作量减少或增加幅度较大时），采购人将提前三个月告知中标人，合同内容经双方协商调整。</w:t>
      </w:r>
      <w:r/>
    </w:p>
    <w:p>
      <w:pPr>
        <w:pStyle w:val="1089"/>
        <w:ind w:firstLine="403"/>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7、需医院配合的工作：投标人应在投标文件中说明，如能中标，在服务过程中需要医院配合的工作和需要提供的条件。</w:t>
      </w:r>
      <w:r/>
    </w:p>
    <w:p>
      <w:pPr>
        <w:pStyle w:val="1089"/>
        <w:ind w:firstLine="403"/>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知识产权：投标人应保证采购人免除且投标人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9、本项目为</w:t>
      </w:r>
      <w:r>
        <w:rPr>
          <w:color w:val="auto"/>
          <w:highlight w:val="none"/>
        </w:rPr>
        <w:t xml:space="preserve">零星维修</w:t>
      </w:r>
      <w:r>
        <w:rPr>
          <w:rFonts w:hint="eastAsia" w:asciiTheme="minorEastAsia" w:hAnsiTheme="minorEastAsia" w:eastAsiaTheme="minorEastAsia" w:cstheme="minorEastAsia"/>
          <w:color w:val="auto"/>
          <w:sz w:val="24"/>
          <w:szCs w:val="24"/>
          <w:highlight w:val="none"/>
          <w:lang w:val="en-US" w:eastAsia="zh-CN"/>
        </w:rPr>
        <w:t xml:space="preserve">服务项目，</w:t>
      </w:r>
      <w:r>
        <w:rPr>
          <w:color w:val="auto"/>
          <w:highlight w:val="none"/>
        </w:rPr>
        <w:t xml:space="preserve">故障配件无法</w:t>
      </w:r>
      <w:r>
        <w:rPr>
          <w:rFonts w:hint="eastAsia"/>
          <w:color w:val="auto"/>
          <w:highlight w:val="none"/>
          <w:lang w:val="en-US" w:eastAsia="zh-CN"/>
        </w:rPr>
        <w:t xml:space="preserve">事先</w:t>
      </w:r>
      <w:r>
        <w:rPr>
          <w:color w:val="auto"/>
          <w:highlight w:val="none"/>
        </w:rPr>
        <w:t xml:space="preserve">全部预判</w:t>
      </w:r>
      <w:r>
        <w:rPr>
          <w:rFonts w:hint="eastAsia"/>
          <w:color w:val="auto"/>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在履约过程中更换的货物如列入《节能产品政府采购品目清单》，中标人应</w:t>
      </w:r>
      <w:r>
        <w:rPr>
          <w:color w:val="auto"/>
          <w:highlight w:val="none"/>
        </w:rPr>
        <w:t xml:space="preserve">使用取得对应有效节能认证证书的产品</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spacing w:line="360" w:lineRule="auto"/>
        <w:rPr>
          <w:rFonts w:hint="eastAsia" w:ascii="宋体" w:hAnsi="宋体" w:cs="宋体"/>
          <w:bCs/>
          <w:color w:val="auto"/>
          <w:szCs w:val="24"/>
          <w:highlight w:val="none"/>
        </w:rPr>
      </w:pPr>
      <w:r>
        <w:rPr>
          <w:rFonts w:hint="eastAsia" w:asciiTheme="minorEastAsia" w:hAnsiTheme="minorEastAsia" w:eastAsiaTheme="minorEastAsia" w:cstheme="minorEastAsia"/>
          <w:sz w:val="24"/>
          <w:szCs w:val="24"/>
          <w:highlight w:val="none"/>
          <w:lang w:val="en-US" w:eastAsia="zh-CN"/>
        </w:rPr>
        <w:t xml:space="preserve">10、</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eastAsia="宋体" w:asciiTheme="minorEastAsia" w:hAnsi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
          <w:bCs/>
          <w:color w:val="auto"/>
          <w:szCs w:val="24"/>
          <w:highlight w:val="none"/>
          <w:lang w:val="en-US" w:eastAsia="zh-CN"/>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shd w:val="clear" w:color="auto" w:fill="auto"/>
        <w:widowControl w:val="off"/>
        <w:rPr>
          <w:rFonts w:hint="eastAsia" w:ascii="宋体" w:hAnsi="宋体" w:eastAsia="宋体" w:cs="宋体"/>
          <w:b/>
          <w:bCs/>
          <w:color w:val="auto"/>
          <w:sz w:val="24"/>
          <w:szCs w:val="24"/>
          <w:highlight w:val="none"/>
          <w:u w:val="single"/>
          <w:lang w:val="en-US"/>
        </w:rPr>
      </w:pPr>
      <w:r>
        <w:rPr>
          <w:rFonts w:hint="eastAsia" w:ascii="宋体" w:hAnsi="宋体" w:eastAsia="宋体" w:cs="宋体"/>
          <w:color w:val="auto"/>
          <w:sz w:val="24"/>
          <w:szCs w:val="24"/>
          <w:highlight w:val="none"/>
          <w:lang w:val="en-US"/>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u w:val="single"/>
          <w:lang w:val="en-US"/>
        </w:rPr>
        <w:t xml:space="preserve">服务类项目中供应商若使用退休人员，将不享受相关扶持政策。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政府采购中实施本国产品标准及相关政策</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《国务院办公厅关于在政府采购中实施本国产品标准及相关政策的通知》（国办发〔2025〕34号）</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5.1</w:t>
      </w:r>
      <w:r>
        <w:rPr>
          <w:rFonts w:hint="eastAsia" w:asciiTheme="minorEastAsia" w:hAnsiTheme="minorEastAsia" w:eastAsiaTheme="minorEastAsia" w:cstheme="minorEastAsia"/>
          <w:color w:val="auto"/>
          <w:szCs w:val="24"/>
          <w:highlight w:val="none"/>
        </w:rPr>
        <w:t xml:space="preserve">本项目对采购本国产品给予政策支持，具体内容见招标文件“第</w:t>
      </w: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章 评标方法</w:t>
      </w:r>
      <w:r>
        <w:rPr>
          <w:rFonts w:hint="eastAsia" w:asciiTheme="minorEastAsia" w:hAnsiTheme="minorEastAsia" w:eastAsiaTheme="minorEastAsia" w:cstheme="minorEastAsia"/>
          <w:color w:val="auto"/>
          <w:szCs w:val="24"/>
          <w:highlight w:val="none"/>
          <w:lang w:val="en-US" w:eastAsia="zh-CN"/>
        </w:rPr>
        <w:t xml:space="preserve">及</w:t>
      </w:r>
      <w:r>
        <w:rPr>
          <w:rFonts w:hint="eastAsia" w:asciiTheme="minorEastAsia" w:hAnsiTheme="minorEastAsia" w:eastAsiaTheme="minorEastAsia" w:cstheme="minorEastAsia"/>
          <w:color w:val="auto"/>
          <w:szCs w:val="24"/>
          <w:highlight w:val="none"/>
        </w:rPr>
        <w:t xml:space="preserve">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5.2</w:t>
      </w:r>
      <w:r>
        <w:rPr>
          <w:rFonts w:hint="eastAsia" w:asciiTheme="minorEastAsia" w:hAnsiTheme="minorEastAsia" w:eastAsiaTheme="minorEastAsia" w:cstheme="minorEastAsia"/>
          <w:b/>
          <w:bCs/>
          <w:color w:val="auto"/>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5.3</w:t>
      </w:r>
      <w:r>
        <w:rPr>
          <w:rFonts w:hint="eastAsia" w:asciiTheme="minorEastAsia" w:hAnsiTheme="minorEastAsia" w:eastAsiaTheme="minorEastAsia" w:cstheme="minorEastAsia"/>
          <w:color w:val="auto"/>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绿色采购</w:t>
      </w:r>
      <w:r/>
    </w:p>
    <w:p>
      <w:pPr>
        <w:ind w:left="0" w:firstLine="42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rPr>
        <w:t xml:space="preserve">6.1</w:t>
      </w:r>
      <w:r>
        <w:rPr>
          <w:rFonts w:hint="eastAsia" w:ascii="宋体" w:hAnsi="宋体" w:eastAsia="宋体" w:cs="宋体"/>
          <w:b w:val="0"/>
          <w:bCs/>
          <w:color w:val="auto"/>
          <w:sz w:val="24"/>
          <w:szCs w:val="24"/>
          <w:highlight w:val="none"/>
          <w:lang w:val="en-US" w:eastAsia="zh-CN"/>
        </w:rPr>
        <w:t xml:space="preserve">本次拟采购的产品中</w:t>
      </w:r>
      <w:r>
        <w:rPr>
          <w:rFonts w:hint="eastAsia" w:ascii="宋体" w:hAnsi="宋体" w:cs="宋体"/>
          <w:b w:val="0"/>
          <w:bCs/>
          <w:color w:val="auto"/>
          <w:sz w:val="24"/>
          <w:szCs w:val="24"/>
          <w:highlight w:val="none"/>
          <w:lang w:val="en-US" w:eastAsia="zh-CN"/>
        </w:rPr>
        <w:t xml:space="preserve">大/小</w:t>
      </w:r>
      <w:r>
        <w:rPr>
          <w:rFonts w:hint="eastAsia" w:ascii="宋体" w:hAnsi="宋体" w:eastAsia="宋体" w:cs="宋体"/>
          <w:b w:val="0"/>
          <w:bCs/>
          <w:color w:val="auto"/>
          <w:sz w:val="24"/>
          <w:szCs w:val="24"/>
          <w:highlight w:val="none"/>
          <w:lang w:val="en-US" w:eastAsia="zh-CN"/>
        </w:rPr>
        <w:t xml:space="preserve">便器</w:t>
      </w:r>
      <w:r>
        <w:rPr>
          <w:rFonts w:hint="eastAsia" w:ascii="宋体" w:hAnsi="宋体" w:cs="宋体"/>
          <w:b w:val="0"/>
          <w:bCs/>
          <w:color w:val="auto"/>
          <w:sz w:val="24"/>
          <w:szCs w:val="24"/>
          <w:highlight w:val="none"/>
          <w:lang w:val="en-US" w:eastAsia="zh-CN"/>
        </w:rPr>
        <w:t xml:space="preserve">、水嘴等属于政府强制采购节能产品，</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bookmarkEnd w:id="23"/>
      <w:r/>
      <w:bookmarkEnd w:id="24"/>
      <w:r/>
      <w:r/>
    </w:p>
    <w:p>
      <w:pPr>
        <w:jc w:val="center"/>
        <w:spacing w:line="360" w:lineRule="auto"/>
        <w:rPr>
          <w:rFonts w:hint="eastAsia" w:ascii="宋体" w:hAnsi="宋体" w:eastAsia="宋体" w:cs="宋体"/>
          <w:color w:val="auto"/>
          <w:sz w:val="24"/>
          <w:szCs w:val="24"/>
          <w:highlight w:val="none"/>
          <w:lang w:val="zh-CN" w:eastAsia="zh-CN"/>
        </w:rPr>
        <w:outlineLvl w:val="0"/>
      </w:pPr>
      <w:r/>
      <w:bookmarkStart w:id="25" w:name="_Toc21166"/>
      <w:r/>
      <w:bookmarkStart w:id="26" w:name="_Toc388026588"/>
      <w:r/>
      <w:bookmarkStart w:id="27" w:name="_Toc13329"/>
      <w:r/>
      <w:bookmarkStart w:id="28" w:name="_Toc409438748"/>
      <w:r>
        <w:rPr>
          <w:rStyle w:val="1054"/>
          <w:rFonts w:hint="eastAsia" w:asciiTheme="minorEastAsia" w:hAnsiTheme="minorEastAsia" w:eastAsiaTheme="minorEastAsia" w:cstheme="minorEastAsia"/>
          <w:color w:val="auto"/>
          <w:sz w:val="24"/>
          <w:szCs w:val="24"/>
          <w:highlight w:val="none"/>
        </w:rPr>
        <w:br w:type="page" w:clear="all"/>
      </w:r>
      <w:bookmarkStart w:id="29" w:name="_Toc8511"/>
      <w:r/>
      <w:bookmarkStart w:id="30" w:name="_Toc20348"/>
      <w:r/>
      <w:bookmarkStart w:id="31" w:name="_Toc21559"/>
      <w:r>
        <w:rPr>
          <w:rStyle w:val="1054"/>
          <w:rFonts w:hint="eastAsia" w:asciiTheme="minorEastAsia" w:hAnsiTheme="minorEastAsia" w:eastAsiaTheme="minorEastAsia" w:cstheme="minorEastAsia"/>
          <w:color w:val="auto"/>
          <w:highlight w:val="none"/>
        </w:rPr>
        <w:t xml:space="preserve">第五章 </w:t>
      </w:r>
      <w:bookmarkStart w:id="32" w:name="合同一般条款"/>
      <w:r>
        <w:rPr>
          <w:rStyle w:val="1054"/>
          <w:rFonts w:hint="eastAsia" w:asciiTheme="minorEastAsia" w:hAnsiTheme="minorEastAsia" w:eastAsiaTheme="minorEastAsia" w:cstheme="minorEastAsia"/>
          <w:color w:val="auto"/>
          <w:highlight w:val="none"/>
        </w:rPr>
        <w:t xml:space="preserve">合同主要条款</w:t>
      </w:r>
      <w:bookmarkEnd w:id="29"/>
      <w:r/>
      <w:bookmarkEnd w:id="30"/>
      <w:r/>
      <w:bookmarkEnd w:id="31"/>
      <w:r/>
      <w:bookmarkEnd w:id="32"/>
      <w:r/>
      <w:r/>
    </w:p>
    <w:p>
      <w:pPr>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甲方：</w:t>
      </w:r>
      <w:r>
        <w:rPr>
          <w:rFonts w:hint="eastAsia" w:ascii="宋体" w:hAnsi="宋体" w:eastAsia="宋体" w:cs="宋体"/>
          <w:b w:val="0"/>
          <w:bCs w:val="0"/>
          <w:color w:val="auto"/>
          <w:sz w:val="24"/>
          <w:szCs w:val="24"/>
          <w:highlight w:val="none"/>
          <w:lang w:eastAsia="zh-CN" w:bidi="ar-SA"/>
        </w:rPr>
        <w:t xml:space="preserve">苏州大学附属第一医院</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rPr>
          <w:rFonts w:hint="eastAsia" w:ascii="宋体" w:hAnsi="宋体" w:eastAsia="宋体" w:cs="宋体"/>
          <w:b w:val="0"/>
          <w:bCs w:val="0"/>
          <w:color w:val="auto"/>
          <w:sz w:val="24"/>
          <w:szCs w:val="24"/>
          <w:highlight w:val="none"/>
          <w:lang w:eastAsia="zh-CN" w:bidi="ar-SA"/>
        </w:rPr>
        <w:t xml:space="preserve">苏州市姑苏区平海路899号</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rPr>
          <w:rFonts w:hint="eastAsia" w:ascii="宋体" w:hAnsi="宋体" w:eastAsia="宋体" w:cs="宋体"/>
          <w:b w:val="0"/>
          <w:bCs w:val="0"/>
          <w:color w:val="auto"/>
          <w:sz w:val="24"/>
          <w:szCs w:val="24"/>
          <w:highlight w:val="none"/>
          <w:lang w:eastAsia="zh-CN" w:bidi="ar-SA"/>
        </w:rPr>
        <w:t xml:space="preserve">215031</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乙方：</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pStyle w:val="10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根据《中华人民共和国民法典》及有关法律法规的规定，和</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none"/>
        </w:rPr>
        <w:t xml:space="preserve">号</w:t>
      </w:r>
      <w:r>
        <w:rPr>
          <w:rFonts w:hint="eastAsia" w:asciiTheme="minorEastAsia" w:hAnsiTheme="minorEastAsia" w:eastAsiaTheme="minorEastAsia" w:cstheme="minorEastAsia"/>
          <w:sz w:val="24"/>
          <w:szCs w:val="24"/>
          <w:highlight w:val="none"/>
        </w:rPr>
        <w:t xml:space="preserve">的招标文件及乙方的投标文件和中标通知书、乙方在招投标过程中所作的其它承诺、声明、书面澄清等，甲乙双方就甲方聘用乙方从事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工作，签订本合同书。</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服务内容</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乙方负责完成甲方的</w:t>
      </w:r>
      <w:r>
        <w:rPr>
          <w:rFonts w:hint="eastAsia" w:asciiTheme="minorEastAsia" w:hAnsiTheme="minorEastAsia" w:eastAsiaTheme="minorEastAsia" w:cstheme="minorEastAsia"/>
          <w:color w:val="auto"/>
          <w:sz w:val="24"/>
          <w:szCs w:val="24"/>
          <w:highlight w:val="none"/>
          <w:u w:val="single"/>
          <w:lang w:eastAsia="zh-CN"/>
        </w:rPr>
        <w:t xml:space="preserve">水电零星维修</w:t>
      </w:r>
      <w:r>
        <w:rPr>
          <w:rFonts w:hint="eastAsia" w:asciiTheme="minorEastAsia" w:hAnsiTheme="minorEastAsia" w:eastAsiaTheme="minorEastAsia" w:cstheme="minorEastAsia"/>
          <w:color w:val="auto"/>
          <w:sz w:val="24"/>
          <w:szCs w:val="24"/>
          <w:highlight w:val="none"/>
          <w:u w:val="single"/>
          <w:lang w:val="en-US" w:eastAsia="zh-CN"/>
        </w:rPr>
        <w:t xml:space="preserve">服务</w:t>
      </w:r>
      <w:r>
        <w:rPr>
          <w:rFonts w:hint="eastAsia" w:asciiTheme="minorEastAsia" w:hAnsiTheme="minorEastAsia" w:eastAsiaTheme="minorEastAsia" w:cstheme="minorEastAsia"/>
          <w:sz w:val="24"/>
          <w:szCs w:val="24"/>
          <w:highlight w:val="none"/>
        </w:rPr>
        <w:t xml:space="preserve">，具体服务范围和建筑分布按招标文件要求执行。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highlight w:val="none"/>
        </w:rPr>
        <w:t xml:space="preserve">2、甲、乙双方经协商一致同意：乙方应按照认真、尽职、勤勉地按照招标书采购项目的要求和标准进行规范服务，并且乙方应根据约定自备设备和工具耗材和根据约定提供水电零星</w:t>
      </w:r>
      <w:r>
        <w:rPr>
          <w:rFonts w:hint="eastAsia" w:asciiTheme="minorEastAsia" w:hAnsiTheme="minorEastAsia" w:eastAsiaTheme="minorEastAsia" w:cstheme="minorEastAsia"/>
          <w:color w:val="auto"/>
          <w:sz w:val="24"/>
          <w:szCs w:val="24"/>
          <w:highlight w:val="none"/>
        </w:rPr>
        <w:t xml:space="preserve">维修服务工作。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服务期限：自202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日至202</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日。</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合同一年期满或年度预算用完，若乙方的服务质量满足甲方需求，则甲方与乙方可以续签下一年度合同(最多续签一次)，但中标单价不予调整。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注：①一年度合同期满或年度预算用完但甲方未获得预算批复或需求取消，则经甲方提前书面通知乙方后，合同到期终止，不再续签。②每年度的实际执行金额至500.00万元为止。</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4、服务地点：甲方指定地点。</w:t>
      </w:r>
      <w:r/>
    </w:p>
    <w:p>
      <w:pPr>
        <w:ind w:firstLine="480"/>
        <w:keepLines w:val="0"/>
        <w:keepNext w:val="0"/>
        <w:pageBreakBefore w:val="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合同价格及费用结算</w:t>
      </w:r>
      <w:r/>
    </w:p>
    <w:p>
      <w:pPr>
        <w:numPr>
          <w:ilvl w:val="0"/>
          <w:numId w:val="0"/>
        </w:numPr>
        <w:ind w:firstLine="480"/>
        <w:spacing w:line="360" w:lineRule="auto"/>
        <w:rPr>
          <w:rFonts w:hint="default" w:ascii="宋体" w:hAnsi="宋体"/>
          <w:color w:val="auto"/>
          <w:szCs w:val="24"/>
          <w:highlight w:val="none"/>
          <w:lang w:val="en-US" w:eastAsia="zh-CN"/>
        </w:rPr>
        <w:outlineLvl w:val="9"/>
      </w:pPr>
      <w:r>
        <w:rPr>
          <w:rFonts w:hint="eastAsia" w:ascii="宋体" w:hAnsi="宋体"/>
          <w:color w:val="auto"/>
          <w:szCs w:val="24"/>
          <w:highlight w:val="none"/>
          <w:lang w:val="en-US" w:eastAsia="zh-CN"/>
        </w:rPr>
        <w:t xml:space="preserve">1、</w:t>
      </w:r>
      <w:r>
        <w:rPr>
          <w:rFonts w:hint="eastAsia" w:ascii="宋体" w:hAnsi="宋体" w:cs="宋体"/>
          <w:b w:val="0"/>
          <w:bCs w:val="0"/>
          <w:color w:val="auto"/>
          <w:sz w:val="24"/>
          <w:szCs w:val="24"/>
          <w:highlight w:val="none"/>
          <w:lang w:val="en-US" w:eastAsia="zh-CN" w:bidi="ar-SA"/>
        </w:rPr>
        <w:t xml:space="preserve">中标</w:t>
      </w:r>
      <w:r>
        <w:rPr>
          <w:rFonts w:hint="eastAsia" w:ascii="宋体" w:hAnsi="宋体" w:cs="宋体"/>
          <w:color w:val="auto"/>
          <w:sz w:val="24"/>
          <w:szCs w:val="24"/>
          <w:highlight w:val="none"/>
          <w:lang w:val="en-US" w:eastAsia="zh-CN"/>
        </w:rPr>
        <w:t xml:space="preserve">优惠率为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，结算</w:t>
      </w:r>
      <w:r>
        <w:rPr>
          <w:rFonts w:hint="eastAsia" w:ascii="宋体" w:hAnsi="宋体" w:cs="宋体"/>
          <w:color w:val="auto"/>
          <w:sz w:val="24"/>
          <w:szCs w:val="24"/>
          <w:highlight w:val="none"/>
          <w:u w:val="none"/>
          <w:lang w:val="en-US" w:eastAsia="zh-CN"/>
        </w:rPr>
        <w:t xml:space="preserve">单</w:t>
      </w:r>
      <w:r>
        <w:rPr>
          <w:rFonts w:hint="eastAsia" w:ascii="宋体" w:hAnsi="宋体" w:eastAsia="宋体" w:cs="宋体"/>
          <w:color w:val="auto"/>
          <w:sz w:val="24"/>
          <w:szCs w:val="24"/>
          <w:highlight w:val="none"/>
          <w:u w:val="none"/>
        </w:rPr>
        <w:t xml:space="preserve">价为单价限价*（1-</w:t>
      </w:r>
      <w:r>
        <w:rPr>
          <w:rFonts w:hint="eastAsia" w:ascii="宋体" w:hAnsi="宋体" w:eastAsia="宋体" w:cs="宋体"/>
          <w:color w:val="auto"/>
          <w:sz w:val="24"/>
          <w:szCs w:val="24"/>
          <w:highlight w:val="none"/>
          <w:u w:val="none"/>
          <w:lang w:val="en-US" w:eastAsia="zh-CN"/>
        </w:rPr>
        <w:t xml:space="preserve">中标</w:t>
      </w:r>
      <w:r>
        <w:rPr>
          <w:rFonts w:hint="eastAsia" w:ascii="宋体" w:hAnsi="宋体" w:cs="宋体"/>
          <w:color w:val="auto"/>
          <w:sz w:val="24"/>
          <w:szCs w:val="24"/>
          <w:highlight w:val="none"/>
          <w:u w:val="none"/>
          <w:lang w:eastAsia="zh-CN"/>
        </w:rPr>
        <w:t xml:space="preserve">优惠率</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zh-CN"/>
        </w:rPr>
        <w:t xml:space="preserve">，</w:t>
      </w:r>
      <w:r>
        <w:rPr>
          <w:rFonts w:hint="eastAsia" w:ascii="宋体" w:hAnsi="宋体" w:cs="宋体"/>
          <w:color w:val="auto"/>
          <w:sz w:val="24"/>
          <w:szCs w:val="24"/>
          <w:highlight w:val="none"/>
          <w:lang w:val="en-US" w:eastAsia="zh-CN"/>
        </w:rPr>
        <w:t xml:space="preserve">结算价格应</w:t>
      </w:r>
      <w:r>
        <w:rPr>
          <w:rFonts w:hint="eastAsia" w:ascii="宋体" w:hAnsi="宋体" w:eastAsia="宋体" w:cs="宋体"/>
          <w:color w:val="auto"/>
          <w:szCs w:val="24"/>
          <w:highlight w:val="none"/>
          <w:lang w:val="en-US" w:eastAsia="zh-CN"/>
        </w:rPr>
        <w:t xml:space="preserve">包括但不限于检测检修、材料配件、运杂、保险、税金、调试、人工、加班费、技术服务、日常养护、辅助材料、专用工具、附件等一切费用。除上述费用外，甲方无需向乙方支付其他任何费用。</w:t>
      </w:r>
      <w:r/>
    </w:p>
    <w:p>
      <w:pPr>
        <w:numPr>
          <w:ilvl w:val="0"/>
          <w:numId w:val="0"/>
        </w:numPr>
        <w:ind w:firstLine="480"/>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、合同单价：</w:t>
      </w:r>
      <w:r/>
    </w:p>
    <w:tbl>
      <w:tblPr>
        <w:tblStyle w:val="1018"/>
        <w:tblW w:w="9497" w:type="dxa"/>
        <w:jc w:val="center"/>
        <w:tblLayout w:type="fixed"/>
        <w:tblCellMar>
          <w:left w:w="108" w:type="dxa"/>
          <w:top w:w="0" w:type="dxa"/>
          <w:right w:w="108" w:type="dxa"/>
          <w:bottom w:w="0" w:type="dxa"/>
        </w:tblCellMar>
        <w:tblLook w:val="04A0" w:firstRow="1" w:lastRow="0" w:firstColumn="1" w:lastColumn="0" w:noHBand="0" w:noVBand="1"/>
      </w:tblPr>
      <w:tblGrid>
        <w:gridCol w:w="715"/>
        <w:gridCol w:w="1405"/>
        <w:gridCol w:w="1969"/>
        <w:gridCol w:w="982"/>
        <w:gridCol w:w="744"/>
        <w:gridCol w:w="1267"/>
        <w:gridCol w:w="1419"/>
        <w:gridCol w:w="996"/>
      </w:tblGrid>
      <w:tr>
        <w:trPr>
          <w:jc w:val="center"/>
          <w:trHeight w:val="420"/>
        </w:trPr>
        <w:tc>
          <w:tcPr>
            <w:tcBorders>
              <w:top w:val="single" w:color="auto" w:sz="8" w:space="0"/>
              <w:left w:val="single" w:color="auto" w:sz="8" w:space="0"/>
              <w:bottom w:val="single" w:color="auto" w:sz="8" w:space="0"/>
              <w:right w:val="single" w:color="auto" w:sz="4" w:space="0"/>
            </w:tcBorders>
            <w:tcW w:w="715"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t xml:space="preserve">序号</w:t>
            </w:r>
            <w:r/>
          </w:p>
        </w:tc>
        <w:tc>
          <w:tcPr>
            <w:tcBorders>
              <w:top w:val="single" w:color="auto" w:sz="8" w:space="0"/>
              <w:left w:val="single" w:color="auto" w:sz="4" w:space="0"/>
              <w:bottom w:val="single" w:color="auto" w:sz="8" w:space="0"/>
              <w:right w:val="single" w:color="auto" w:sz="4" w:space="0"/>
            </w:tcBorders>
            <w:tcW w:w="1405"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lang w:val="en-US" w:eastAsia="zh-CN"/>
              </w:rPr>
              <w:t xml:space="preserve">清单</w:t>
            </w:r>
            <w:r>
              <w:rPr>
                <w:rFonts w:hint="eastAsia" w:cs="宋体" w:asciiTheme="minorEastAsia" w:hAnsiTheme="minorEastAsia" w:eastAsiaTheme="minorEastAsia"/>
                <w:b w:val="0"/>
                <w:bCs w:val="0"/>
                <w:color w:val="000000"/>
                <w:sz w:val="24"/>
                <w:szCs w:val="24"/>
              </w:rPr>
              <w:t xml:space="preserve">名称</w:t>
            </w:r>
            <w:r/>
          </w:p>
        </w:tc>
        <w:tc>
          <w:tcPr>
            <w:tcBorders>
              <w:top w:val="single" w:color="auto" w:sz="8" w:space="0"/>
              <w:left w:val="single" w:color="auto" w:sz="4" w:space="0"/>
              <w:bottom w:val="single" w:color="auto" w:sz="8" w:space="0"/>
              <w:right w:val="single" w:color="auto" w:sz="4" w:space="0"/>
            </w:tcBorders>
            <w:tcW w:w="1969"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lang w:val="en-US" w:eastAsia="zh-CN"/>
              </w:rPr>
              <w:t xml:space="preserve">清单</w:t>
            </w:r>
            <w:r>
              <w:rPr>
                <w:rFonts w:hint="eastAsia" w:cs="宋体" w:asciiTheme="minorEastAsia" w:hAnsiTheme="minorEastAsia" w:eastAsiaTheme="minorEastAsia"/>
                <w:b w:val="0"/>
                <w:bCs w:val="0"/>
                <w:color w:val="000000"/>
                <w:sz w:val="24"/>
                <w:szCs w:val="24"/>
              </w:rPr>
              <w:t xml:space="preserve">特征描述</w:t>
            </w:r>
            <w:r/>
          </w:p>
        </w:tc>
        <w:tc>
          <w:tcPr>
            <w:tcBorders>
              <w:top w:val="single" w:color="auto" w:sz="8" w:space="0"/>
              <w:left w:val="single" w:color="auto" w:sz="4" w:space="0"/>
              <w:bottom w:val="single" w:color="auto" w:sz="8" w:space="0"/>
              <w:right w:val="single" w:color="auto" w:sz="4" w:space="0"/>
            </w:tcBorders>
            <w:tcW w:w="982"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t xml:space="preserve">单位</w:t>
            </w:r>
            <w:r/>
          </w:p>
        </w:tc>
        <w:tc>
          <w:tcPr>
            <w:tcBorders>
              <w:top w:val="single" w:color="auto" w:sz="8" w:space="0"/>
              <w:left w:val="single" w:color="auto" w:sz="4" w:space="0"/>
              <w:bottom w:val="single" w:color="auto" w:sz="8" w:space="0"/>
              <w:right w:val="single" w:color="auto" w:sz="4" w:space="0"/>
            </w:tcBorders>
            <w:tcW w:w="744"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eastAsia="zh-CN"/>
              </w:rPr>
            </w:pPr>
            <w:r>
              <w:rPr>
                <w:rFonts w:hint="eastAsia" w:cs="宋体" w:asciiTheme="minorEastAsia" w:hAnsiTheme="minorEastAsia" w:eastAsiaTheme="minorEastAsia"/>
                <w:b w:val="0"/>
                <w:bCs w:val="0"/>
                <w:color w:val="000000"/>
                <w:sz w:val="24"/>
                <w:szCs w:val="24"/>
                <w:lang w:val="en-US" w:eastAsia="zh-CN"/>
              </w:rPr>
              <w:t xml:space="preserve">工程量</w:t>
            </w:r>
            <w:r/>
          </w:p>
        </w:tc>
        <w:tc>
          <w:tcPr>
            <w:tcBorders>
              <w:top w:val="single" w:color="auto" w:sz="8" w:space="0"/>
              <w:left w:val="single" w:color="auto" w:sz="4" w:space="0"/>
              <w:bottom w:val="single" w:color="auto" w:sz="8" w:space="0"/>
              <w:right w:val="single" w:color="auto" w:sz="4" w:space="0"/>
            </w:tcBorders>
            <w:tcW w:w="1267" w:type="dxa"/>
            <w:vAlign w:val="center"/>
            <w:textDirection w:val="lrTb"/>
            <w:noWrap/>
          </w:tcPr>
          <w:p>
            <w:pPr>
              <w:jc w:val="center"/>
              <w:spacing w:line="360" w:lineRule="auto"/>
              <w:rPr>
                <w:rFonts w:hint="default"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t xml:space="preserve">优惠率（%）</w:t>
            </w:r>
            <w:r/>
          </w:p>
        </w:tc>
        <w:tc>
          <w:tcPr>
            <w:tcBorders>
              <w:top w:val="single" w:color="auto" w:sz="8" w:space="0"/>
              <w:left w:val="single" w:color="auto" w:sz="4" w:space="0"/>
              <w:bottom w:val="single" w:color="auto" w:sz="8" w:space="0"/>
              <w:right w:val="single" w:color="auto" w:sz="4" w:space="0"/>
            </w:tcBorders>
            <w:tcW w:w="1419"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lang w:val="en-US" w:eastAsia="zh-CN"/>
              </w:rPr>
              <w:t xml:space="preserve">优惠</w:t>
            </w:r>
            <w:r>
              <w:rPr>
                <w:rFonts w:hint="eastAsia" w:cs="宋体" w:asciiTheme="minorEastAsia" w:hAnsiTheme="minorEastAsia" w:eastAsiaTheme="minorEastAsia"/>
                <w:b w:val="0"/>
                <w:bCs w:val="0"/>
                <w:color w:val="000000"/>
                <w:sz w:val="24"/>
                <w:szCs w:val="24"/>
              </w:rPr>
              <w:t xml:space="preserve">后价格（元）</w:t>
            </w:r>
            <w:r/>
          </w:p>
        </w:tc>
        <w:tc>
          <w:tcPr>
            <w:tcBorders>
              <w:top w:val="single" w:color="auto" w:sz="8" w:space="0"/>
              <w:left w:val="single" w:color="auto" w:sz="4" w:space="0"/>
              <w:bottom w:val="single" w:color="auto" w:sz="8" w:space="0"/>
              <w:right w:val="single" w:color="auto" w:sz="4" w:space="0"/>
            </w:tcBorders>
            <w:tcW w:w="996" w:type="dxa"/>
            <w:vAlign w:val="center"/>
            <w:textDirection w:val="lrTb"/>
            <w:noWrap/>
          </w:tcPr>
          <w:p>
            <w:pPr>
              <w:jc w:val="center"/>
              <w:spacing w:line="360" w:lineRule="auto"/>
              <w:rPr>
                <w:rFonts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t xml:space="preserve">备注</w:t>
            </w:r>
            <w:r/>
          </w:p>
        </w:tc>
      </w:tr>
      <w:tr>
        <w:trPr>
          <w:jc w:val="center"/>
          <w:trHeight w:val="420"/>
        </w:trPr>
        <w:tc>
          <w:tcPr>
            <w:tcBorders>
              <w:top w:val="single" w:color="auto" w:sz="8" w:space="0"/>
              <w:left w:val="single" w:color="auto" w:sz="8" w:space="0"/>
              <w:bottom w:val="single" w:color="auto" w:sz="8" w:space="0"/>
              <w:right w:val="single" w:color="auto" w:sz="4" w:space="0"/>
            </w:tcBorders>
            <w:tcW w:w="71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t xml:space="preserve">1</w:t>
            </w:r>
            <w:r/>
          </w:p>
        </w:tc>
        <w:tc>
          <w:tcPr>
            <w:tcBorders>
              <w:top w:val="single" w:color="auto" w:sz="8" w:space="0"/>
              <w:left w:val="single" w:color="auto" w:sz="4" w:space="0"/>
              <w:bottom w:val="single" w:color="auto" w:sz="8" w:space="0"/>
              <w:right w:val="single" w:color="auto" w:sz="4" w:space="0"/>
            </w:tcBorders>
            <w:tcW w:w="140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96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982"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744"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267"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141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996"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r>
      <w:tr>
        <w:trPr>
          <w:jc w:val="center"/>
          <w:trHeight w:val="420"/>
        </w:trPr>
        <w:tc>
          <w:tcPr>
            <w:tcBorders>
              <w:top w:val="single" w:color="auto" w:sz="8" w:space="0"/>
              <w:left w:val="single" w:color="auto" w:sz="8" w:space="0"/>
              <w:bottom w:val="single" w:color="auto" w:sz="8" w:space="0"/>
              <w:right w:val="single" w:color="auto" w:sz="4" w:space="0"/>
            </w:tcBorders>
            <w:tcW w:w="71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t xml:space="preserve">2</w:t>
            </w:r>
            <w:r/>
          </w:p>
        </w:tc>
        <w:tc>
          <w:tcPr>
            <w:tcBorders>
              <w:top w:val="single" w:color="auto" w:sz="8" w:space="0"/>
              <w:left w:val="single" w:color="auto" w:sz="4" w:space="0"/>
              <w:bottom w:val="single" w:color="auto" w:sz="8" w:space="0"/>
              <w:right w:val="single" w:color="auto" w:sz="4" w:space="0"/>
            </w:tcBorders>
            <w:tcW w:w="140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96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982"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744"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267"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141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996"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r>
      <w:tr>
        <w:trPr>
          <w:jc w:val="center"/>
          <w:trHeight w:val="420"/>
        </w:trPr>
        <w:tc>
          <w:tcPr>
            <w:tcBorders>
              <w:top w:val="single" w:color="auto" w:sz="8" w:space="0"/>
              <w:left w:val="single" w:color="auto" w:sz="8" w:space="0"/>
              <w:bottom w:val="single" w:color="auto" w:sz="8" w:space="0"/>
              <w:right w:val="single" w:color="auto" w:sz="4" w:space="0"/>
            </w:tcBorders>
            <w:tcW w:w="71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t xml:space="preserve">3</w:t>
            </w:r>
            <w:r/>
          </w:p>
        </w:tc>
        <w:tc>
          <w:tcPr>
            <w:tcBorders>
              <w:top w:val="single" w:color="auto" w:sz="8" w:space="0"/>
              <w:left w:val="single" w:color="auto" w:sz="4" w:space="0"/>
              <w:bottom w:val="single" w:color="auto" w:sz="8" w:space="0"/>
              <w:right w:val="single" w:color="auto" w:sz="4" w:space="0"/>
            </w:tcBorders>
            <w:tcW w:w="1405"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96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982"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744"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267"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141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996"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r>
      <w:tr>
        <w:trPr>
          <w:jc w:val="center"/>
          <w:trHeight w:val="420"/>
        </w:trPr>
        <w:tc>
          <w:tcPr>
            <w:tcBorders>
              <w:top w:val="single" w:color="auto" w:sz="8" w:space="0"/>
              <w:left w:val="single" w:color="auto" w:sz="8" w:space="0"/>
              <w:bottom w:val="single" w:color="auto" w:sz="8" w:space="0"/>
              <w:right w:val="single" w:color="auto" w:sz="4" w:space="0"/>
            </w:tcBorders>
            <w:tcW w:w="715" w:type="dxa"/>
            <w:vAlign w:val="center"/>
            <w:textDirection w:val="lrTb"/>
            <w:noWrap/>
          </w:tcPr>
          <w:p>
            <w:pPr>
              <w:ind w:left="0" w:right="0" w:firstLine="0"/>
              <w:jc w:val="center"/>
              <w:spacing w:before="0" w:after="0" w:line="360" w:lineRule="auto"/>
              <w:rPr>
                <w:rFonts w:hint="eastAsia" w:cs="宋体" w:asciiTheme="minorEastAsia" w:hAnsiTheme="minorEastAsia" w:eastAsiaTheme="minorEastAsia"/>
                <w:b w:val="0"/>
                <w:bCs w:val="0"/>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auto" w:sz="8" w:space="0"/>
              <w:left w:val="single" w:color="auto" w:sz="4" w:space="0"/>
              <w:bottom w:val="single" w:color="auto" w:sz="8" w:space="0"/>
              <w:right w:val="single" w:color="auto" w:sz="4" w:space="0"/>
            </w:tcBorders>
            <w:tcW w:w="1405" w:type="dxa"/>
            <w:vAlign w:val="center"/>
            <w:textDirection w:val="lrTb"/>
            <w:noWrap/>
          </w:tcPr>
          <w:p>
            <w:pPr>
              <w:ind w:left="0" w:right="0" w:firstLine="0"/>
              <w:jc w:val="center"/>
              <w:spacing w:before="0" w:after="0" w:line="360" w:lineRule="auto"/>
              <w:rPr>
                <w:rFonts w:hint="eastAsia" w:eastAsia="宋体" w:cs="宋体" w:asciiTheme="minorEastAsia" w:hAnsiTheme="minorEastAsia"/>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auto" w:sz="8" w:space="0"/>
              <w:left w:val="single" w:color="auto" w:sz="4" w:space="0"/>
              <w:bottom w:val="single" w:color="auto" w:sz="8" w:space="0"/>
              <w:right w:val="single" w:color="auto" w:sz="4" w:space="0"/>
            </w:tcBorders>
            <w:tcW w:w="196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982"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744"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c>
          <w:tcPr>
            <w:tcBorders>
              <w:top w:val="single" w:color="auto" w:sz="8" w:space="0"/>
              <w:left w:val="single" w:color="auto" w:sz="4" w:space="0"/>
              <w:bottom w:val="single" w:color="auto" w:sz="8" w:space="0"/>
              <w:right w:val="single" w:color="auto" w:sz="4" w:space="0"/>
            </w:tcBorders>
            <w:tcW w:w="1267"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1419"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lang w:val="en-US" w:eastAsia="zh-CN"/>
              </w:rPr>
            </w:pPr>
            <w:r>
              <w:rPr>
                <w:rFonts w:hint="eastAsia" w:cs="宋体" w:asciiTheme="minorEastAsia" w:hAnsiTheme="minorEastAsia" w:eastAsiaTheme="minorEastAsia"/>
                <w:b w:val="0"/>
                <w:bCs w:val="0"/>
                <w:color w:val="000000"/>
                <w:sz w:val="24"/>
                <w:szCs w:val="24"/>
                <w:lang w:val="en-US" w:eastAsia="zh-CN"/>
              </w:rPr>
            </w:r>
            <w:r/>
          </w:p>
        </w:tc>
        <w:tc>
          <w:tcPr>
            <w:tcBorders>
              <w:top w:val="single" w:color="auto" w:sz="8" w:space="0"/>
              <w:left w:val="single" w:color="auto" w:sz="4" w:space="0"/>
              <w:bottom w:val="single" w:color="auto" w:sz="8" w:space="0"/>
              <w:right w:val="single" w:color="auto" w:sz="4" w:space="0"/>
            </w:tcBorders>
            <w:tcW w:w="996" w:type="dxa"/>
            <w:vAlign w:val="center"/>
            <w:textDirection w:val="lrTb"/>
            <w:noWrap/>
          </w:tcPr>
          <w:p>
            <w:pPr>
              <w:jc w:val="center"/>
              <w:spacing w:line="360" w:lineRule="auto"/>
              <w:rPr>
                <w:rFonts w:hint="eastAsia" w:cs="宋体" w:asciiTheme="minorEastAsia" w:hAnsiTheme="minorEastAsia" w:eastAsiaTheme="minorEastAsia"/>
                <w:b w:val="0"/>
                <w:bCs w:val="0"/>
                <w:color w:val="000000"/>
                <w:sz w:val="24"/>
                <w:szCs w:val="24"/>
              </w:rPr>
            </w:pPr>
            <w:r>
              <w:rPr>
                <w:rFonts w:hint="eastAsia" w:cs="宋体" w:asciiTheme="minorEastAsia" w:hAnsiTheme="minorEastAsia" w:eastAsiaTheme="minorEastAsia"/>
                <w:b w:val="0"/>
                <w:bCs w:val="0"/>
                <w:color w:val="000000"/>
                <w:sz w:val="24"/>
                <w:szCs w:val="24"/>
              </w:rPr>
            </w:r>
            <w:r/>
          </w:p>
        </w:tc>
      </w:tr>
    </w:tbl>
    <w:p>
      <w:p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备注：①本价包含主材、辅材、机械、措施费、脚手架、规费、社会保险、税金、利润。</w:t>
      </w:r>
      <w:r/>
    </w:p>
    <w:p>
      <w:pPr>
        <w:ind w:firstLine="96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②综合考滤夜间值班费，夜间值班维修、不单独计费。</w:t>
      </w:r>
      <w:r/>
    </w:p>
    <w:p>
      <w:pPr>
        <w:ind w:firstLine="96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③要求施工包含墙面开槽及恢复等相关配套施工。</w:t>
      </w:r>
      <w:r/>
    </w:p>
    <w:p>
      <w:pPr>
        <w:ind w:firstLine="96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④所有施工要求包含现场垃圾清运、卫生打扫等现场恢复工作，不单独计费。</w:t>
      </w:r>
      <w:r/>
    </w:p>
    <w:p>
      <w:pPr>
        <w:ind w:firstLine="96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⑤所有提供的材料要求符合国家标准、消防规范等相关要求。</w:t>
      </w:r>
      <w:r/>
    </w:p>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3、乙方</w:t>
      </w:r>
      <w:r>
        <w:rPr>
          <w:rFonts w:hint="eastAsia" w:ascii="宋体" w:hAnsi="宋体"/>
          <w:color w:val="auto"/>
          <w:szCs w:val="24"/>
          <w:highlight w:val="none"/>
        </w:rPr>
        <w:t xml:space="preserve">每月将维修清单交</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审核，</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对其中的维修清单进行抽查，若发现维修清单不合格，</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有权对</w:t>
      </w:r>
      <w:r>
        <w:rPr>
          <w:rFonts w:hint="eastAsia" w:ascii="宋体" w:hAnsi="宋体"/>
          <w:color w:val="auto"/>
          <w:szCs w:val="24"/>
          <w:highlight w:val="none"/>
          <w:lang w:val="en-US" w:eastAsia="zh-CN"/>
        </w:rPr>
        <w:t xml:space="preserve">乙方</w:t>
      </w:r>
      <w:r>
        <w:rPr>
          <w:rFonts w:hint="eastAsia" w:ascii="宋体" w:hAnsi="宋体"/>
          <w:color w:val="auto"/>
          <w:szCs w:val="24"/>
          <w:highlight w:val="none"/>
        </w:rPr>
        <w:t xml:space="preserve">进行处罚。3张</w:t>
      </w:r>
      <w:r>
        <w:rPr>
          <w:rFonts w:hint="eastAsia" w:ascii="宋体" w:hAnsi="宋体"/>
          <w:color w:val="auto"/>
          <w:szCs w:val="24"/>
          <w:highlight w:val="none"/>
          <w:lang w:val="en-US" w:eastAsia="zh-CN"/>
        </w:rPr>
        <w:t xml:space="preserve">(含)</w:t>
      </w:r>
      <w:r>
        <w:rPr>
          <w:rFonts w:hint="eastAsia" w:ascii="宋体" w:hAnsi="宋体"/>
          <w:color w:val="auto"/>
          <w:szCs w:val="24"/>
          <w:highlight w:val="none"/>
        </w:rPr>
        <w:t xml:space="preserve">以下维修清单不合格，扣除当月费用维修的3%，3张</w:t>
      </w:r>
      <w:r>
        <w:rPr>
          <w:rFonts w:hint="eastAsia" w:ascii="宋体" w:hAnsi="宋体"/>
          <w:color w:val="auto"/>
          <w:szCs w:val="24"/>
          <w:highlight w:val="none"/>
          <w:lang w:val="en-US" w:eastAsia="zh-CN"/>
        </w:rPr>
        <w:t xml:space="preserve">以上</w:t>
      </w:r>
      <w:r>
        <w:rPr>
          <w:rFonts w:hint="eastAsia" w:ascii="宋体" w:hAnsi="宋体"/>
          <w:color w:val="auto"/>
          <w:szCs w:val="24"/>
          <w:highlight w:val="none"/>
        </w:rPr>
        <w:t xml:space="preserve">10张以内维修清单不合格，扣除当月维修费用的6%，10张及10张以上维修清单不合格，扣除当月维修费用的12%同时下单整改单，若下月维修清单不合格数量依然在10张及以上，</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有权单方终止合同。</w:t>
      </w:r>
      <w:r/>
    </w:p>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4、甲方</w:t>
      </w:r>
      <w:r>
        <w:rPr>
          <w:rFonts w:hint="eastAsia" w:ascii="宋体" w:hAnsi="宋体"/>
          <w:color w:val="auto"/>
          <w:szCs w:val="24"/>
          <w:highlight w:val="none"/>
        </w:rPr>
        <w:t xml:space="preserve">将根据实际维修情况在每个月的25日双方结算上月的费用(维修清单内的项目按本次中标单价结算，维修清单以外的维修材料与人工，根据审计事务所的审计价格进行结算)。</w:t>
      </w:r>
      <w:r>
        <w:rPr>
          <w:rFonts w:hint="eastAsia" w:ascii="宋体" w:hAnsi="宋体"/>
          <w:color w:val="auto"/>
          <w:szCs w:val="24"/>
          <w:highlight w:val="none"/>
          <w:lang w:val="en-US" w:eastAsia="zh-CN"/>
        </w:rPr>
        <w:t xml:space="preserve">乙方</w:t>
      </w:r>
      <w:r>
        <w:rPr>
          <w:rFonts w:hint="eastAsia" w:ascii="宋体" w:hAnsi="宋体"/>
          <w:color w:val="auto"/>
          <w:szCs w:val="24"/>
          <w:highlight w:val="none"/>
        </w:rPr>
        <w:t xml:space="preserve">出具合格的发票。</w:t>
      </w:r>
      <w:r/>
    </w:p>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5、</w:t>
      </w:r>
      <w:r>
        <w:rPr>
          <w:rFonts w:hint="eastAsia" w:ascii="宋体" w:hAnsi="宋体"/>
          <w:color w:val="auto"/>
          <w:szCs w:val="24"/>
          <w:highlight w:val="none"/>
        </w:rPr>
        <w:t xml:space="preserve">如</w:t>
      </w:r>
      <w:r>
        <w:rPr>
          <w:rFonts w:hint="eastAsia" w:ascii="宋体" w:hAnsi="宋体"/>
          <w:color w:val="auto"/>
          <w:szCs w:val="24"/>
          <w:highlight w:val="none"/>
          <w:lang w:val="en-US" w:eastAsia="zh-CN"/>
        </w:rPr>
        <w:t xml:space="preserve">乙方</w:t>
      </w:r>
      <w:r>
        <w:rPr>
          <w:rFonts w:hint="eastAsia" w:ascii="宋体" w:hAnsi="宋体"/>
          <w:color w:val="auto"/>
          <w:szCs w:val="24"/>
          <w:highlight w:val="none"/>
        </w:rPr>
        <w:t xml:space="preserve">对服务缺陷不予更正，</w:t>
      </w:r>
      <w:r>
        <w:rPr>
          <w:rFonts w:hint="eastAsia" w:ascii="宋体" w:hAnsi="宋体"/>
          <w:color w:val="auto"/>
          <w:szCs w:val="24"/>
          <w:highlight w:val="none"/>
          <w:lang w:val="en-US" w:eastAsia="zh-CN"/>
        </w:rPr>
        <w:t xml:space="preserve">甲方</w:t>
      </w:r>
      <w:r>
        <w:rPr>
          <w:rFonts w:hint="eastAsia" w:ascii="宋体" w:hAnsi="宋体"/>
          <w:color w:val="auto"/>
          <w:szCs w:val="24"/>
          <w:highlight w:val="none"/>
        </w:rPr>
        <w:t xml:space="preserve">有权另请其他单位更正，所发生的费用在履约保证金中扣除。</w:t>
      </w:r>
      <w:r/>
    </w:p>
    <w:p>
      <w:pPr>
        <w:numPr>
          <w:ilvl w:val="0"/>
          <w:numId w:val="0"/>
        </w:numPr>
        <w:ind w:firstLine="480"/>
        <w:spacing w:line="360" w:lineRule="auto"/>
        <w:rPr>
          <w:rFonts w:hint="eastAsia" w:asciiTheme="minorEastAsia" w:hAnsiTheme="minorEastAsia" w:eastAsiaTheme="minorEastAsia" w:cstheme="minorEastAsia"/>
          <w:sz w:val="24"/>
          <w:szCs w:val="24"/>
          <w:highlight w:val="none"/>
          <w:lang w:val="en-US" w:eastAsia="zh-CN"/>
        </w:rPr>
        <w:outlineLvl w:val="9"/>
      </w:pPr>
      <w:r>
        <w:rPr>
          <w:rFonts w:hint="eastAsia" w:ascii="宋体" w:hAnsi="宋体"/>
          <w:color w:val="auto"/>
          <w:szCs w:val="24"/>
          <w:highlight w:val="none"/>
          <w:lang w:val="en-US" w:eastAsia="zh-CN"/>
        </w:rPr>
        <w:t xml:space="preserve">6、如遇甲方有重大基建等特殊情况（工作量减少或增加幅度较大时），甲方将提前三个月告知乙方，合同内容经双方协商调整。</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b w:val="0"/>
          <w:bCs w:val="0"/>
          <w:color w:val="auto"/>
          <w:sz w:val="24"/>
          <w:szCs w:val="24"/>
          <w:highlight w:val="none"/>
          <w:lang w:val="zh-CN" w:eastAsia="zh-CN" w:bidi="ar-SA"/>
        </w:rPr>
        <w:t xml:space="preserve">售后服务（乙方承诺严格按招投标文件等“售后</w:t>
      </w:r>
      <w:r>
        <w:rPr>
          <w:rFonts w:hint="eastAsia" w:ascii="宋体" w:hAnsi="宋体" w:eastAsia="宋体" w:cs="宋体"/>
          <w:b w:val="0"/>
          <w:bCs w:val="0"/>
          <w:color w:val="auto"/>
          <w:sz w:val="24"/>
          <w:szCs w:val="24"/>
          <w:highlight w:val="none"/>
          <w:lang w:val="zh-CN" w:eastAsia="zh-CN" w:bidi="ar-SA"/>
        </w:rPr>
        <w:t xml:space="preserve">服务要求”提供全部服务；售后服务费用已包括在总费用内，甲方无须另行支付其他任何费用）：</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、甲、乙双方的责任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（一）甲方责任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1、为乙方管理部门提供办公用房及通讯设施（1部市内固定电话）；并指定专人作为甲方联系人予以协调工作。加强与乙方的沟通，交流情况，互通信息。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2、甲方应教育所属人员尊重乙方工作人员的劳动成果，积极配合乙方工作人员履行好合同所规定的职责和义务。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3、有权对乙方的服务进行考核，乙方在服务连续2个月内被投诉超过10次时，甲方有权单方面终止合同，督促乙方做好移交工作。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（二）乙方责任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1、乙方在从事服务工作中应当遵守国家法律法规和甲方医院的规章制度，维护甲方正常的工作医疗秩序；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2、乙方应文明工作、安全生产，采取必要的安全防范措施。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3、乙方应及时调整不适应工作需求的服务人员。如甲方认为乙方员工不能胜任本职工作的，并经乙方确认属实的，在接到甲方书面通知2日内必须进行调整。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4、乙方应对员工进行岗位职责和安全教育，加强岗位责任考核。因管理不当、违规操作发生设备损坏、被盗等安全事故对甲方造成损失的，乙方需承担连带赔偿责任。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5、乙方及其服务人员应对在甲方从事服务期间获得的甲方的商业秘密予以保密。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6、乙方接受甲方的委托事项，进行服务管理，接受甲方和其上级主管部门的监督和检查和指导。</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8、本合同的服务项目不得外包。</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、违约责任</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违约责任</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合同一方不履行合同义务或者履行合同义务不符合约定的，应当承担继续履行、采取补救措施或者赔偿损失等违约责任。</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甲方违约责任</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在合同生效后，甲方要求解除合同的，应向乙方偿付5000元的违约金，违约金不足以补偿损失的，乙方有权要求甲方补足。</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甲方逾期付款的应按照逾期付款金额的每天万分之四支付逾期付款违约金。</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乙方违约责任</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乙方不能履行合同从而影响甲方正常工作的，甲方有权解除合同，乙方向甲方偿付合同总价款1%的违约金，违约金不足以补偿损失的甲方有权要求乙方补足。</w:t>
      </w:r>
      <w:r/>
    </w:p>
    <w:p>
      <w:pPr>
        <w:ind w:firstLine="480"/>
        <w:jc w:val="both"/>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非因不可抗力，乙方在服务期内出现缺席或不提供服务的情况，乙方应向甲方支付合同总价款的万分之四/每天的违约金。</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、履约保证金</w:t>
      </w:r>
      <w:r/>
    </w:p>
    <w:p>
      <w:pPr>
        <w:pStyle w:val="1052"/>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1、乙方应在本合同签订</w:t>
      </w:r>
      <w:r>
        <w:rPr>
          <w:rFonts w:hint="eastAsia" w:asciiTheme="minorEastAsia" w:hAnsiTheme="minorEastAsia" w:eastAsiaTheme="minorEastAsia" w:cstheme="minorEastAsia"/>
          <w:color w:val="auto"/>
          <w:sz w:val="24"/>
          <w:szCs w:val="24"/>
          <w:highlight w:val="none"/>
          <w:lang w:val="en-US" w:eastAsia="zh-CN"/>
        </w:rPr>
        <w:t xml:space="preserve">后三十日内</w:t>
      </w:r>
      <w:r>
        <w:rPr>
          <w:rFonts w:hint="eastAsia" w:asciiTheme="minorEastAsia" w:hAnsiTheme="minorEastAsia" w:eastAsiaTheme="minorEastAsia" w:cstheme="minorEastAsia"/>
          <w:color w:val="auto"/>
          <w:sz w:val="24"/>
          <w:szCs w:val="24"/>
          <w:highlight w:val="none"/>
        </w:rPr>
        <w:t xml:space="preserve">，向甲方提供</w:t>
      </w:r>
      <w:r>
        <w:rPr>
          <w:rFonts w:hint="eastAsia" w:asciiTheme="minorEastAsia" w:hAnsiTheme="minorEastAsia" w:eastAsiaTheme="minorEastAsia" w:cstheme="minorEastAsia"/>
          <w:color w:val="auto"/>
          <w:sz w:val="24"/>
          <w:szCs w:val="24"/>
          <w:highlight w:val="none"/>
          <w:lang w:val="en-US" w:eastAsia="zh-CN"/>
        </w:rPr>
        <w:t xml:space="preserve">100000</w:t>
      </w:r>
      <w:r>
        <w:rPr>
          <w:rFonts w:hint="eastAsia" w:asciiTheme="minorEastAsia" w:hAnsiTheme="minorEastAsia" w:eastAsiaTheme="minorEastAsia" w:cstheme="minorEastAsia"/>
          <w:color w:val="auto"/>
          <w:sz w:val="24"/>
          <w:szCs w:val="24"/>
          <w:highlight w:val="none"/>
        </w:rPr>
        <w:t xml:space="preserve">元的履约保证金。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rPr>
        <w:t xml:space="preserve">2、如果乙方未能履行合同规定的任何义务，甲方有权从履约保证金中取得补偿</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履约保证金不足的，乙方需补足。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3、合同履行完毕，且在乙方无违约情形时，履约</w:t>
      </w:r>
      <w:r>
        <w:rPr>
          <w:rFonts w:hint="eastAsia" w:asciiTheme="minorEastAsia" w:hAnsiTheme="minorEastAsia" w:eastAsiaTheme="minorEastAsia" w:cstheme="minorEastAsia"/>
          <w:sz w:val="24"/>
          <w:szCs w:val="24"/>
          <w:highlight w:val="none"/>
        </w:rPr>
        <w:t xml:space="preserve">保证金将在合同履行完毕后在</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个工作日内全额（无息）退回。</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、不可抗力</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本合同所指不可抗力包括但不限于战争、罢工、火灾、水灾、地震等非合同双方所能控制、预见或避免的事件。</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2、合同一方因不可抗力不能履行合同的，应当及时通知对方，以减轻可能给对方造成的损失，并应当不可抗力发生后15天内受影响一方将当地有关部门出具的事故证明书以书面形式通知另一方。</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、合同的解除和转让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1、合同的解除</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（1）甲方和乙方协商一致，可以解除合同。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（2）有下列情形之一，合同一方可以解除合同：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因不可抗力致使不能实现合同目的，未受不可抗力影响的一方有权解除合同；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因合同一方严重违约导致合同不能履行或导致合同目的不能实现的，另一方有权解除合同；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合同一方延迟履行合同义务，经另一方书面催告后在30天内仍未履行的，合同另一方有权解除合同；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合同一方严重违约，经另一方两次书面催告后仍不改正的，另一方有权解除合同。</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（3）有权解除合同的一方，应当在违约事实或不可抗力发生之后十（10）天内书面通知对方以主张解除合同，合同在书面通知到达对方时解除。</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2、合同的转让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合同的部分和全部都不得转让。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、合同的生效及其他</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1、本合同在双方签字盖章后生效。</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、下列文件为本合同不可分割部分：</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（1）中标通知书；</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（2）乙方的投标文件；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（3）乙方在招投标过程中所作的其它承诺、声明、书面澄清等；</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（4）招标文件及其附件；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（5）合同附件。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以上与本合同具有同等法律效力</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、争议解决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本合同双方就本合同产生的争议应首先友好协商解决，若协商不成任一方可以就争议向合同履行地人民法院起诉。本合同履行地苏州市姑苏区。</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rPr>
        <w:t xml:space="preserve">、附则</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1、合同份数</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本合同一式五份，甲方三份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乙方一份，招标代理机构一份。</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2、未尽事宜</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本合同未尽事宜应按《中华人民共和国民法典》以及其同相关法律、法规之规定解释。</w:t>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【以下无正文】</w:t>
      </w:r>
      <w:r/>
    </w:p>
    <w:p>
      <w:pPr>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br w:type="page" w:clear="all"/>
      </w:r>
      <w:r>
        <w:rPr>
          <w:rFonts w:hint="eastAsia" w:ascii="宋体" w:hAnsi="宋体" w:eastAsia="宋体" w:cs="宋体"/>
          <w:color w:val="000000"/>
          <w:sz w:val="24"/>
          <w:szCs w:val="24"/>
          <w:highlight w:val="none"/>
          <w:lang w:bidi="en-US"/>
        </w:rPr>
        <w:t xml:space="preserve">【合同签署页】</w:t>
      </w:r>
      <w:r/>
    </w:p>
    <w:tbl>
      <w:tblPr>
        <w:tblStyle w:val="1018"/>
        <w:tblW w:w="9716" w:type="dxa"/>
        <w:jc w:val="center"/>
        <w:tblLayout w:type="fixed"/>
        <w:tblCellMar>
          <w:left w:w="108" w:type="dxa"/>
          <w:top w:w="0" w:type="dxa"/>
          <w:right w:w="108" w:type="dxa"/>
          <w:bottom w:w="0" w:type="dxa"/>
        </w:tblCellMar>
        <w:tblLook w:val="04A0" w:firstRow="1" w:lastRow="0" w:firstColumn="1" w:lastColumn="0" w:noHBand="0" w:noVBand="1"/>
      </w:tblPr>
      <w:tblGrid>
        <w:gridCol w:w="1646"/>
        <w:gridCol w:w="1486"/>
        <w:gridCol w:w="1839"/>
        <w:gridCol w:w="236"/>
        <w:gridCol w:w="1553"/>
        <w:gridCol w:w="2956"/>
      </w:tblGrid>
      <w:tr>
        <w:trPr>
          <w:jc w:val="center"/>
          <w:trHeight w:val="523" w:hRule="exact"/>
        </w:trPr>
        <w:tc>
          <w:tcPr>
            <w:gridSpan w:val="3"/>
            <w:tcW w:w="49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523"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10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9"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w:t>
            </w:r>
            <w:r/>
          </w:p>
        </w:tc>
        <w:tc>
          <w:tcPr>
            <w:gridSpan w:val="2"/>
            <w:tcW w:w="3325" w:type="dxa"/>
            <w:vAlign w:val="center"/>
            <w:textDirection w:val="lrTb"/>
            <w:noWrap w:val="false"/>
          </w:tcPr>
          <w:p>
            <w:pPr>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17" w:hRule="exact"/>
        </w:trPr>
        <w:tc>
          <w:tcPr>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bookmarkStart w:id="34" w:name="_GoBack"/>
            <w:r/>
            <w:bookmarkEnd w:id="34"/>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10"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92"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285"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8" w:hRule="exact"/>
        </w:trPr>
        <w:tc>
          <w:tcPr>
            <w:tcBorders>
              <w:bottom w:val="none" w:color="000000" w:sz="4" w:space="0"/>
            </w:tcBorders>
            <w:tcW w:w="1646" w:type="dxa"/>
            <w:vAlign w:val="center"/>
            <w:textDirection w:val="lrTb"/>
            <w:noWrap w:val="false"/>
          </w:tcPr>
          <w:p>
            <w:pPr>
              <w:ind w:left="0" w:firstLine="0"/>
              <w:jc w:val="cente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80"/>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ind w:firstLine="883"/>
        <w:jc w:val="center"/>
        <w:spacing w:line="360" w:lineRule="auto"/>
        <w:rPr>
          <w:rFonts w:asciiTheme="minorEastAsia" w:hAnsiTheme="minorEastAsia" w:eastAsiaTheme="minorEastAsia" w:cstheme="minorEastAsia"/>
          <w:color w:val="auto"/>
          <w:szCs w:val="44"/>
          <w:highlight w:val="none"/>
        </w:rPr>
        <w:outlineLvl w:val="0"/>
      </w:pPr>
      <w:r/>
      <w:bookmarkStart w:id="33" w:name="_Toc6550"/>
      <w:r>
        <w:rPr>
          <w:rStyle w:val="1050"/>
          <w:rFonts w:hint="eastAsia" w:asciiTheme="minorEastAsia" w:hAnsiTheme="minorEastAsia" w:eastAsiaTheme="minorEastAsia" w:cstheme="minorEastAsia"/>
          <w:color w:val="auto"/>
          <w:sz w:val="44"/>
          <w:szCs w:val="44"/>
          <w:highlight w:val="none"/>
        </w:rPr>
        <w:t xml:space="preserve">第六章 评标办法及标准</w:t>
      </w:r>
      <w:bookmarkEnd w:id="25"/>
      <w:r/>
      <w:bookmarkEnd w:id="26"/>
      <w:r/>
      <w:bookmarkEnd w:id="27"/>
      <w:r/>
      <w:bookmarkEnd w:id="28"/>
      <w:r/>
      <w:bookmarkEnd w:id="33"/>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eastAsia="zh-CN"/>
        </w:rPr>
        <w:t xml:space="preserve">优惠率最高）</w:t>
      </w:r>
      <w:r>
        <w:rPr>
          <w:rFonts w:hint="eastAsia" w:ascii="宋体" w:hAnsi="宋体" w:eastAsia="宋体" w:cs="宋体"/>
          <w:color w:val="auto"/>
          <w:sz w:val="24"/>
          <w:szCs w:val="24"/>
          <w:highlight w:val="none"/>
        </w:rPr>
        <w:t xml:space="preserve">优先作为中标候选人，如果投标报价也相同的，则由采购代理机构组织以抽签方式确定中标候选人。</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采购人授权评标委员会直接确定</w:t>
      </w:r>
      <w:r>
        <w:rPr>
          <w:rFonts w:hint="eastAsia" w:ascii="宋体" w:hAnsi="宋体" w:eastAsia="宋体" w:cs="宋体"/>
          <w:color w:val="auto"/>
          <w:sz w:val="24"/>
          <w:szCs w:val="24"/>
          <w:highlight w:val="none"/>
          <w:lang w:eastAsia="zh-CN"/>
        </w:rPr>
        <w:t xml:space="preserve">中标人。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根据《政府采购促进中小企业发</w:t>
      </w:r>
      <w:r>
        <w:rPr>
          <w:rFonts w:hint="eastAsia" w:ascii="宋体" w:hAnsi="宋体" w:eastAsia="宋体" w:cs="宋体"/>
          <w:color w:val="auto"/>
          <w:sz w:val="24"/>
          <w:szCs w:val="24"/>
          <w:highlight w:val="none"/>
        </w:rPr>
        <w:t xml:space="preserve">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w:t>
      </w:r>
      <w:r>
        <w:rPr>
          <w:rFonts w:hint="eastAsia" w:ascii="宋体" w:hAnsi="宋体" w:eastAsia="宋体" w:cs="宋体"/>
          <w:color w:val="auto"/>
          <w:szCs w:val="24"/>
          <w:highlight w:val="none"/>
        </w:rPr>
        <w:t xml:space="preserve">中标金额则以实际投标报价为准</w:t>
      </w:r>
      <w:r>
        <w:rPr>
          <w:rFonts w:hint="eastAsia" w:ascii="宋体" w:hAnsi="宋体" w:eastAsia="宋体" w:cs="宋体"/>
          <w:color w:val="auto"/>
          <w:sz w:val="24"/>
          <w:szCs w:val="24"/>
          <w:highlight w:val="none"/>
        </w:rPr>
        <w:t xml:space="preserve">。残疾人福利性单位及监狱企业属于小型、微型企业的，不重复享受政策。</w:t>
      </w:r>
      <w:r/>
    </w:p>
    <w:p>
      <w:pPr>
        <w:ind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小微企业提供《中小企业声明函》；监狱企业提供由省级以上监狱管理局、戒毒管理局（含新疆生产建</w:t>
      </w:r>
      <w:r>
        <w:rPr>
          <w:rFonts w:hint="eastAsia" w:ascii="宋体" w:hAnsi="宋体" w:cs="宋体"/>
          <w:color w:val="auto"/>
          <w:sz w:val="24"/>
          <w:szCs w:val="24"/>
          <w:highlight w:val="none"/>
        </w:rPr>
        <w:t xml:space="preserve">设兵团）出具的属于监狱企业的证明文件；残疾人福利性单位提供《残疾人福利性单位声明函》。</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注：</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②若</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提供的声明函或认定证明为虚假材料，按“政府采购法”相关规定处理并报请政府监管部门给予行政处罚。</w:t>
      </w:r>
      <w:r/>
    </w:p>
    <w:p>
      <w:pPr>
        <w:pStyle w:val="1049"/>
        <w:ind w:firstLine="480"/>
        <w:keepLines w:val="0"/>
        <w:keepNext w:val="0"/>
        <w:pageBreakBefore w:val="0"/>
        <w:spacing w:line="360" w:lineRule="auto"/>
        <w:widowControl w:val="off"/>
        <w:tabs>
          <w:tab w:val="left" w:pos="6162" w:leader="none"/>
        </w:tabs>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三、采购本国产品的支持政策</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国务院办公厅关于在政府采购中实施本国产品标准及相关政策的通知》（国办发〔2025〕34号）的相关规定，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none"/>
        </w:rPr>
        <w:t xml:space="preserve">80%</w:t>
      </w:r>
      <w:r>
        <w:rPr>
          <w:rFonts w:hint="eastAsia" w:asciiTheme="minorEastAsia" w:hAnsiTheme="minorEastAsia" w:eastAsiaTheme="minorEastAsia" w:cstheme="minorEastAsia"/>
          <w:color w:val="auto"/>
          <w:sz w:val="24"/>
          <w:szCs w:val="24"/>
          <w:highlight w:val="none"/>
        </w:rPr>
        <w:t xml:space="preserve">以上时（</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需在“第</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章 投标文件格式”的“附件</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本国产品成本占比”中填写比例数值），依法对该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non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eastAsiaTheme="minorEastAsia" w:cstheme="minorEastAsia"/>
          <w:b/>
          <w:bCs/>
          <w:color w:val="auto"/>
          <w:sz w:val="24"/>
          <w:szCs w:val="24"/>
          <w:highlight w:val="none"/>
        </w:rPr>
        <w:t xml:space="preserve">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9"/>
        <w:ind w:firstLine="480"/>
        <w:keepLines w:val="0"/>
        <w:keepNext w:val="0"/>
        <w:pageBreakBefore w:val="0"/>
        <w:spacing w:line="360" w:lineRule="auto"/>
        <w:widowControl w:val="off"/>
        <w:tabs>
          <w:tab w:val="left" w:pos="6162" w:leader="none"/>
        </w:tabs>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spacing w:line="360" w:lineRule="auto"/>
        <w:rPr>
          <w:rFonts w:hint="eastAsia" w:ascii="宋体" w:hAnsi="宋体" w:cs="宋体"/>
          <w:b/>
          <w:color w:val="auto"/>
          <w:szCs w:val="24"/>
          <w:highlight w:val="none"/>
        </w:rPr>
      </w:pPr>
      <w:r>
        <w:rPr>
          <w:rFonts w:hint="eastAsia" w:ascii="宋体" w:hAnsi="宋体" w:cs="宋体"/>
          <w:b/>
          <w:bCs/>
          <w:color w:val="auto"/>
          <w:szCs w:val="24"/>
          <w:highlight w:val="none"/>
        </w:rPr>
        <w:t xml:space="preserve">（一）价格（</w:t>
      </w:r>
      <w:r>
        <w:rPr>
          <w:rFonts w:hint="eastAsia" w:ascii="宋体" w:hAnsi="宋体" w:cs="宋体"/>
          <w:b/>
          <w:bCs/>
          <w:color w:val="auto"/>
          <w:szCs w:val="24"/>
          <w:highlight w:val="none"/>
          <w:lang w:val="en-US" w:eastAsia="zh-CN"/>
        </w:rPr>
        <w:t xml:space="preserve">40</w:t>
      </w:r>
      <w:r>
        <w:rPr>
          <w:rFonts w:hint="eastAsia" w:ascii="宋体" w:hAnsi="宋体" w:cs="宋体"/>
          <w:b/>
          <w:bCs/>
          <w:color w:val="auto"/>
          <w:szCs w:val="24"/>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第一步：</w:t>
      </w:r>
      <w:r>
        <w:rPr>
          <w:rFonts w:hint="eastAsia" w:asciiTheme="minorEastAsia" w:hAnsiTheme="minorEastAsia" w:eastAsiaTheme="minorEastAsia" w:cstheme="minorEastAsia"/>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lang w:val="en-US" w:eastAsia="zh-CN"/>
        </w:rPr>
        <w:t xml:space="preserve">≤优惠率</w:t>
      </w:r>
      <w:r>
        <w:rPr>
          <w:rFonts w:hint="eastAsia" w:asciiTheme="minorEastAsia" w:hAnsiTheme="minorEastAsia" w:eastAsiaTheme="minorEastAsia" w:cstheme="minorEastAsia"/>
          <w:b w:val="0"/>
          <w:bCs w:val="0"/>
          <w:color w:val="auto"/>
          <w:sz w:val="24"/>
          <w:szCs w:val="24"/>
          <w:highlight w:val="none"/>
          <w:lang w:val="en-US" w:eastAsia="zh-CN"/>
        </w:rPr>
        <w:t xml:space="preserve">＜100%的</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为有效</w:t>
      </w:r>
      <w:r>
        <w:rPr>
          <w:rFonts w:hint="eastAsia" w:asciiTheme="minorEastAsia" w:hAnsiTheme="minorEastAsia" w:eastAsiaTheme="minorEastAsia" w:cstheme="minorEastAsia"/>
          <w:color w:val="auto"/>
          <w:sz w:val="24"/>
          <w:szCs w:val="24"/>
          <w:highlight w:val="none"/>
          <w:lang w:val="en-US" w:eastAsia="zh-CN"/>
        </w:rPr>
        <w:t xml:space="preserve">优惠率</w:t>
      </w:r>
      <w:r>
        <w:rPr>
          <w:rFonts w:hint="eastAsia" w:asciiTheme="minorEastAsia" w:hAnsiTheme="minorEastAsia" w:eastAsiaTheme="minorEastAsia" w:cstheme="minorEastAsia"/>
          <w:color w:val="auto"/>
          <w:sz w:val="24"/>
          <w:szCs w:val="24"/>
          <w:highlight w:val="none"/>
        </w:rPr>
        <w:t xml:space="preserve">。</w:t>
      </w:r>
      <w:r>
        <w:rPr>
          <w:rFonts w:ascii="Arial" w:hAnsi="Arial" w:eastAsia="宋体" w:cs="Arial"/>
          <w:color w:val="000000"/>
          <w:sz w:val="24"/>
          <w:szCs w:val="24"/>
        </w:rPr>
        <w:t xml:space="preserve">不</w:t>
      </w:r>
      <w:r>
        <w:rPr>
          <w:rFonts w:hint="default" w:ascii="Arial" w:hAnsi="Arial" w:eastAsia="宋体" w:cs="Arial"/>
          <w:color w:val="000000"/>
          <w:sz w:val="24"/>
          <w:szCs w:val="24"/>
        </w:rPr>
        <w:t xml:space="preserve">在此范围内</w:t>
      </w:r>
      <w:r>
        <w:rPr>
          <w:rFonts w:hint="eastAsia" w:asciiTheme="minorEastAsia" w:hAnsiTheme="minorEastAsia" w:eastAsiaTheme="minorEastAsia" w:cstheme="minorEastAsia"/>
          <w:color w:val="auto"/>
          <w:sz w:val="24"/>
          <w:szCs w:val="24"/>
          <w:highlight w:val="none"/>
          <w:lang w:val="en-US" w:eastAsia="zh-CN"/>
        </w:rPr>
        <w:t xml:space="preserve">的优惠率</w:t>
      </w:r>
      <w:r>
        <w:rPr>
          <w:rFonts w:hint="eastAsia" w:asciiTheme="minorEastAsia" w:hAnsiTheme="minorEastAsia" w:eastAsiaTheme="minorEastAsia" w:cstheme="minorEastAsia"/>
          <w:color w:val="auto"/>
          <w:sz w:val="24"/>
          <w:szCs w:val="24"/>
          <w:highlight w:val="none"/>
        </w:rPr>
        <w:t xml:space="preserve">为无效</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报价。无效</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报价的</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文件不进行评审，也不得标。</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 xml:space="preserve">第二步：</w:t>
      </w:r>
      <w:r>
        <w:rPr>
          <w:rFonts w:hint="eastAsia" w:asciiTheme="minorEastAsia" w:hAnsiTheme="minorEastAsia" w:eastAsiaTheme="minorEastAsia" w:cstheme="minorEastAsia"/>
          <w:color w:val="auto"/>
          <w:sz w:val="24"/>
          <w:szCs w:val="24"/>
          <w:highlight w:val="none"/>
        </w:rPr>
        <w:t xml:space="preserve">价格分采用</w:t>
      </w:r>
      <w:r>
        <w:rPr>
          <w:rFonts w:hint="eastAsia" w:asciiTheme="minorEastAsia" w:hAnsiTheme="minorEastAsia" w:eastAsiaTheme="minorEastAsia" w:cstheme="minorEastAsia"/>
          <w:color w:val="auto"/>
          <w:sz w:val="24"/>
          <w:szCs w:val="24"/>
          <w:highlight w:val="none"/>
          <w:lang w:val="en-US" w:eastAsia="zh-CN"/>
        </w:rPr>
        <w:t xml:space="preserve">高优惠率</w:t>
      </w:r>
      <w:r>
        <w:rPr>
          <w:rFonts w:hint="eastAsia" w:asciiTheme="minorEastAsia" w:hAnsiTheme="minorEastAsia" w:eastAsiaTheme="minorEastAsia" w:cstheme="minorEastAsia"/>
          <w:color w:val="auto"/>
          <w:sz w:val="24"/>
          <w:szCs w:val="24"/>
          <w:highlight w:val="none"/>
        </w:rPr>
        <w:t xml:space="preserve">优先法计算，即满足</w:t>
      </w:r>
      <w:r>
        <w:rPr>
          <w:rFonts w:hint="eastAsia" w:asciiTheme="minorEastAsia" w:hAnsiTheme="minorEastAsia" w:eastAsiaTheme="minorEastAsia" w:cstheme="minorEastAsia"/>
          <w:color w:val="auto"/>
          <w:sz w:val="24"/>
          <w:szCs w:val="24"/>
          <w:highlight w:val="none"/>
          <w:lang w:val="en-US" w:eastAsia="zh-CN"/>
        </w:rPr>
        <w:t xml:space="preserve">招标</w:t>
      </w:r>
      <w:r>
        <w:rPr>
          <w:rFonts w:hint="eastAsia" w:asciiTheme="minorEastAsia" w:hAnsiTheme="minorEastAsia" w:eastAsiaTheme="minorEastAsia" w:cstheme="minorEastAsia"/>
          <w:color w:val="auto"/>
          <w:sz w:val="24"/>
          <w:szCs w:val="24"/>
          <w:highlight w:val="none"/>
        </w:rPr>
        <w:t xml:space="preserve">文件要求且</w:t>
      </w:r>
      <w:r>
        <w:rPr>
          <w:rFonts w:hint="eastAsia" w:asciiTheme="minorEastAsia" w:hAnsiTheme="minorEastAsia" w:eastAsiaTheme="minorEastAsia" w:cstheme="minorEastAsia"/>
          <w:color w:val="auto"/>
          <w:sz w:val="24"/>
          <w:szCs w:val="24"/>
          <w:highlight w:val="none"/>
          <w:lang w:val="en-US" w:eastAsia="zh-CN"/>
        </w:rPr>
        <w:t xml:space="preserve">投标优惠率</w:t>
      </w:r>
      <w:r>
        <w:rPr>
          <w:rFonts w:hint="eastAsia" w:asciiTheme="minorEastAsia" w:hAnsiTheme="minorEastAsia" w:eastAsiaTheme="minorEastAsia" w:cstheme="minorEastAsia"/>
          <w:color w:val="auto"/>
          <w:sz w:val="24"/>
          <w:szCs w:val="24"/>
          <w:highlight w:val="none"/>
        </w:rPr>
        <w:t xml:space="preserve">最</w:t>
      </w:r>
      <w:r>
        <w:rPr>
          <w:rFonts w:hint="eastAsia" w:asciiTheme="minorEastAsia" w:hAnsiTheme="minorEastAsia" w:eastAsiaTheme="minorEastAsia" w:cstheme="minorEastAsia"/>
          <w:color w:val="auto"/>
          <w:sz w:val="24"/>
          <w:szCs w:val="24"/>
          <w:highlight w:val="none"/>
          <w:lang w:val="en-US" w:eastAsia="zh-CN"/>
        </w:rPr>
        <w:t xml:space="preserve">高</w:t>
      </w:r>
      <w:r>
        <w:rPr>
          <w:rFonts w:hint="eastAsia" w:asciiTheme="minorEastAsia" w:hAnsiTheme="minorEastAsia" w:eastAsiaTheme="minorEastAsia" w:cstheme="minorEastAsia"/>
          <w:color w:val="auto"/>
          <w:sz w:val="24"/>
          <w:szCs w:val="24"/>
          <w:highlight w:val="none"/>
        </w:rPr>
        <w:t xml:space="preserve">的为评标基准价，其价格分为满分</w:t>
      </w:r>
      <w:r>
        <w:rPr>
          <w:rFonts w:hint="eastAsia" w:asciiTheme="minorEastAsia" w:hAnsiTheme="minorEastAsia" w:eastAsiaTheme="minorEastAsia" w:cstheme="minorEastAsia"/>
          <w:color w:val="auto"/>
          <w:sz w:val="24"/>
          <w:szCs w:val="24"/>
          <w:highlight w:val="none"/>
          <w:lang w:val="en-US" w:eastAsia="zh-CN"/>
        </w:rPr>
        <w:t xml:space="preserve">40</w:t>
      </w:r>
      <w:r>
        <w:rPr>
          <w:rFonts w:hint="eastAsia" w:asciiTheme="minorEastAsia" w:hAnsiTheme="minorEastAsia" w:eastAsiaTheme="minorEastAsia" w:cstheme="minorEastAsia"/>
          <w:color w:val="auto"/>
          <w:sz w:val="24"/>
          <w:szCs w:val="24"/>
          <w:highlight w:val="none"/>
        </w:rPr>
        <w:t xml:space="preserve">分。其他</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的价格分统一按照下列公式计算：</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报价得分=（1-评标基准价）/（1-</w:t>
      </w: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lang w:eastAsia="zh-CN"/>
        </w:rPr>
        <w:t xml:space="preserve">优惠率</w:t>
      </w:r>
      <w:r>
        <w:rPr>
          <w:rFonts w:hint="eastAsia" w:asciiTheme="minorEastAsia" w:hAnsiTheme="minorEastAsia" w:eastAsiaTheme="minorEastAsia" w:cstheme="minorEastAsia"/>
          <w:color w:val="auto"/>
          <w:sz w:val="24"/>
          <w:szCs w:val="24"/>
          <w:highlight w:val="none"/>
        </w:rPr>
        <w:t xml:space="preserve">）*价格权值</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40%）</w:t>
      </w:r>
      <w:r>
        <w:rPr>
          <w:rFonts w:hint="eastAsia" w:asciiTheme="minorEastAsia" w:hAnsiTheme="minorEastAsia" w:eastAsiaTheme="minorEastAsia" w:cstheme="minorEastAsia"/>
          <w:color w:val="auto"/>
          <w:sz w:val="24"/>
          <w:szCs w:val="24"/>
          <w:highlight w:val="none"/>
        </w:rPr>
        <w:t xml:space="preserve">*100（小数点后保留两位）</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（二）服务技术、工艺比较（</w:t>
      </w:r>
      <w:r>
        <w:rPr>
          <w:rFonts w:hint="eastAsia" w:asciiTheme="minorEastAsia" w:hAnsiTheme="minorEastAsia" w:eastAsiaTheme="minorEastAsia" w:cstheme="minorEastAsia"/>
          <w:b/>
          <w:bCs/>
          <w:color w:val="auto"/>
          <w:szCs w:val="24"/>
          <w:highlight w:val="none"/>
          <w:lang w:val="en-US" w:eastAsia="zh-CN"/>
        </w:rPr>
        <w:t xml:space="preserve">43</w:t>
      </w:r>
      <w:r>
        <w:rPr>
          <w:rFonts w:hint="eastAsia" w:asciiTheme="minorEastAsia" w:hAnsiTheme="minorEastAsia" w:eastAsiaTheme="minorEastAsia" w:cstheme="minorEastAsia"/>
          <w:b/>
          <w:bCs/>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、卫生间漏水维修方案及维修工艺比较（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、水管爆裂维修方案及维修工艺比较（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下水管道堵塞维修方案及维修工艺比较（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、座便器堵塞维修方案及维修工艺比较（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、维修病床维修方案及维修工艺比较（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6、照明相关维修方案及维修工艺比较（5分）：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7、电气线路故障相关维修方案及维修工艺比较（5分）：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numPr>
          <w:ilvl w:val="0"/>
          <w:numId w:val="0"/>
        </w:numPr>
        <w:ind w:firstLine="480"/>
        <w:jc w:val="left"/>
        <w:spacing w:line="360" w:lineRule="auto"/>
        <w:rPr>
          <w:rFonts w:hint="eastAsia"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8、水泵、水阀等相关维修方案及维修工艺比较（5分）：</w:t>
      </w:r>
      <w:r/>
    </w:p>
    <w:p>
      <w:pPr>
        <w:ind w:firstLine="480"/>
        <w:jc w:val="left"/>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5</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eastAsia="zh-CN"/>
        </w:rPr>
        <w:t xml:space="preserve">9</w:t>
      </w:r>
      <w:r>
        <w:rPr>
          <w:rFonts w:hint="eastAsia" w:asciiTheme="minorEastAsia" w:hAnsiTheme="minorEastAsia" w:eastAsiaTheme="minorEastAsia" w:cstheme="minorEastAsia"/>
          <w:b w:val="0"/>
          <w:bCs w:val="0"/>
          <w:color w:val="auto"/>
          <w:szCs w:val="24"/>
          <w:highlight w:val="none"/>
        </w:rPr>
        <w:t xml:space="preserve">、其他维修方案及维修工艺比较（</w:t>
      </w:r>
      <w:r>
        <w:rPr>
          <w:rFonts w:hint="eastAsia" w:asciiTheme="minorEastAsia" w:hAnsiTheme="minorEastAsia" w:eastAsiaTheme="minorEastAsia" w:cstheme="minorEastAsia"/>
          <w:b w:val="0"/>
          <w:bCs w:val="0"/>
          <w:color w:val="auto"/>
          <w:szCs w:val="24"/>
          <w:highlight w:val="none"/>
          <w:lang w:val="en-US" w:eastAsia="zh-CN"/>
        </w:rPr>
        <w:t xml:space="preserve">6</w:t>
      </w:r>
      <w:r>
        <w:rPr>
          <w:rFonts w:hint="eastAsia" w:asciiTheme="minorEastAsia" w:hAnsiTheme="minorEastAsia" w:eastAsiaTheme="minorEastAsia" w:cstheme="minorEastAsia"/>
          <w:b w:val="0"/>
          <w:bCs w:val="0"/>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总体模式清晰，配套措施完善，工艺方案详细完整，可行性高，完全符合采购人需求的得</w:t>
      </w:r>
      <w:r>
        <w:rPr>
          <w:rFonts w:hint="eastAsia" w:asciiTheme="minorEastAsia" w:hAnsiTheme="minorEastAsia" w:eastAsiaTheme="minorEastAsia" w:cstheme="minorEastAsia"/>
          <w:b w:val="0"/>
          <w:bCs w:val="0"/>
          <w:color w:val="auto"/>
          <w:szCs w:val="24"/>
          <w:highlight w:val="none"/>
          <w:lang w:val="en-US" w:eastAsia="zh-CN"/>
        </w:rPr>
        <w:t xml:space="preserve">6</w:t>
      </w:r>
      <w:r>
        <w:rPr>
          <w:rFonts w:hint="eastAsia" w:asciiTheme="minorEastAsia" w:hAnsiTheme="minorEastAsia" w:eastAsiaTheme="minorEastAsia" w:cstheme="minorEastAsia"/>
          <w:b w:val="0"/>
          <w:bCs w:val="0"/>
          <w:color w:val="auto"/>
          <w:szCs w:val="24"/>
          <w:highlight w:val="none"/>
        </w:rPr>
        <w:t xml:space="preserve">分；总体模式比较清晰，配套措施较完善，工艺方案较为详细完整，可行性较高的得</w:t>
      </w: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b w:val="0"/>
          <w:bCs w:val="0"/>
          <w:color w:val="auto"/>
          <w:szCs w:val="24"/>
          <w:highlight w:val="none"/>
        </w:rPr>
        <w:t xml:space="preserve">分；总体模式及配套措施方案不合理不完善，工艺方案不够完整，可行性较低的得</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分。方案基本无相关措施，无可行性或未提供相关方案的得0分。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w:t>
      </w:r>
      <w:r>
        <w:rPr>
          <w:rFonts w:hint="eastAsia" w:asciiTheme="minorEastAsia" w:hAnsiTheme="minorEastAsia" w:eastAsiaTheme="minorEastAsia" w:cstheme="minorEastAsia"/>
          <w:b/>
          <w:bCs/>
          <w:color w:val="auto"/>
          <w:szCs w:val="24"/>
          <w:highlight w:val="none"/>
          <w:lang w:val="en-US" w:eastAsia="zh-CN"/>
        </w:rPr>
        <w:t xml:space="preserve">三</w:t>
      </w:r>
      <w:r>
        <w:rPr>
          <w:rFonts w:hint="eastAsia" w:asciiTheme="minorEastAsia" w:hAnsiTheme="minorEastAsia" w:eastAsiaTheme="minorEastAsia" w:cstheme="minorEastAsia"/>
          <w:b/>
          <w:bCs/>
          <w:color w:val="auto"/>
          <w:szCs w:val="24"/>
          <w:highlight w:val="none"/>
        </w:rPr>
        <w:t xml:space="preserve">）项目应急方案比较（5分）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针对本项目突发情况的应急方案。总体模式清晰，配套措施完善，应急方案详细完整，可行性高，完全符合采购人需求的得5分；总体模式比较清晰，配套措施较完善，应急方案较为详细完整，可行性较高的得3分；总体模式及配套措施方案不合理不完善，应急方案不够完整，可行性较低的得1分。方案基本无相关措施，无可行性或未提供相关方案的得0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t xml:space="preserve">（</w:t>
      </w:r>
      <w:r>
        <w:rPr>
          <w:rFonts w:hint="eastAsia" w:asciiTheme="minorEastAsia" w:hAnsiTheme="minorEastAsia" w:eastAsiaTheme="minorEastAsia" w:cstheme="minorEastAsia"/>
          <w:b/>
          <w:bCs/>
          <w:color w:val="auto"/>
          <w:szCs w:val="24"/>
          <w:highlight w:val="none"/>
          <w:lang w:val="en-US" w:eastAsia="zh-CN"/>
        </w:rPr>
        <w:t xml:space="preserve">四</w:t>
      </w:r>
      <w:r>
        <w:rPr>
          <w:rFonts w:hint="eastAsia" w:asciiTheme="minorEastAsia" w:hAnsiTheme="minorEastAsia" w:eastAsiaTheme="minorEastAsia" w:cstheme="minorEastAsia"/>
          <w:b/>
          <w:bCs/>
          <w:color w:val="auto"/>
          <w:szCs w:val="24"/>
          <w:highlight w:val="none"/>
        </w:rPr>
        <w:t xml:space="preserve">）针对本项目的人员配置情况比较（</w:t>
      </w:r>
      <w:r>
        <w:rPr>
          <w:rFonts w:hint="eastAsia" w:asciiTheme="minorEastAsia" w:hAnsiTheme="minorEastAsia" w:eastAsiaTheme="minorEastAsia" w:cstheme="minorEastAsia"/>
          <w:b/>
          <w:bCs/>
          <w:color w:val="auto"/>
          <w:szCs w:val="24"/>
          <w:highlight w:val="none"/>
          <w:lang w:val="en-US" w:eastAsia="zh-CN"/>
        </w:rPr>
        <w:t xml:space="preserve">3</w:t>
      </w:r>
      <w:r>
        <w:rPr>
          <w:rFonts w:hint="eastAsia" w:asciiTheme="minorEastAsia" w:hAnsiTheme="minorEastAsia" w:eastAsiaTheme="minorEastAsia" w:cstheme="minorEastAsia"/>
          <w:b/>
          <w:bCs/>
          <w:color w:val="auto"/>
          <w:szCs w:val="24"/>
          <w:highlight w:val="none"/>
        </w:rPr>
        <w:t xml:space="preserve">分）</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lang w:eastAsia="zh-CN"/>
        </w:rPr>
      </w:pPr>
      <w:r>
        <w:rPr>
          <w:rFonts w:hint="eastAsia" w:asciiTheme="minorEastAsia" w:hAnsiTheme="minorEastAsia" w:eastAsiaTheme="minorEastAsia" w:cstheme="minorEastAsia"/>
          <w:b w:val="0"/>
          <w:bCs w:val="0"/>
          <w:color w:val="auto"/>
          <w:szCs w:val="24"/>
          <w:highlight w:val="none"/>
        </w:rPr>
        <w:t xml:space="preserve">1、</w:t>
      </w:r>
      <w:r>
        <w:rPr>
          <w:rFonts w:hint="eastAsia" w:asciiTheme="minorEastAsia" w:hAnsiTheme="minorEastAsia" w:eastAsiaTheme="minorEastAsia" w:cstheme="minorEastAsia"/>
          <w:color w:val="auto"/>
          <w:sz w:val="24"/>
          <w:szCs w:val="24"/>
          <w:highlight w:val="none"/>
        </w:rPr>
        <w:t xml:space="preserve">项目</w:t>
      </w:r>
      <w:r>
        <w:rPr>
          <w:rFonts w:hint="eastAsia" w:asciiTheme="minorEastAsia" w:hAnsiTheme="minorEastAsia" w:eastAsiaTheme="minorEastAsia" w:cstheme="minorEastAsia"/>
          <w:color w:val="auto"/>
          <w:sz w:val="24"/>
          <w:szCs w:val="24"/>
          <w:highlight w:val="none"/>
          <w:lang w:val="en-US" w:eastAsia="zh-CN"/>
        </w:rPr>
        <w:t xml:space="preserve">技术</w:t>
      </w:r>
      <w:r>
        <w:rPr>
          <w:rFonts w:hint="eastAsia" w:asciiTheme="minorEastAsia" w:hAnsiTheme="minorEastAsia" w:eastAsiaTheme="minorEastAsia" w:cstheme="minorEastAsia"/>
          <w:color w:val="auto"/>
          <w:sz w:val="24"/>
          <w:szCs w:val="24"/>
          <w:highlight w:val="none"/>
        </w:rPr>
        <w:t xml:space="preserve">负责人情况比较（</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分）：具备</w:t>
      </w:r>
      <w:r>
        <w:rPr>
          <w:rFonts w:hint="eastAsia" w:asciiTheme="minorEastAsia" w:hAnsiTheme="minorEastAsia" w:eastAsiaTheme="minorEastAsia" w:cstheme="minorEastAsia"/>
          <w:color w:val="auto"/>
          <w:sz w:val="24"/>
          <w:szCs w:val="24"/>
          <w:highlight w:val="none"/>
          <w:lang w:val="en-US" w:eastAsia="zh-CN"/>
        </w:rPr>
        <w:t xml:space="preserve">中级职称</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分，具备</w:t>
      </w:r>
      <w:r>
        <w:rPr>
          <w:rFonts w:hint="eastAsia" w:asciiTheme="minorEastAsia" w:hAnsiTheme="minorEastAsia" w:eastAsiaTheme="minorEastAsia" w:cstheme="minorEastAsia"/>
          <w:color w:val="auto"/>
          <w:sz w:val="24"/>
          <w:szCs w:val="24"/>
          <w:highlight w:val="none"/>
          <w:lang w:val="en-US" w:eastAsia="zh-CN"/>
        </w:rPr>
        <w:t xml:space="preserve">高级职称（含副高级）</w:t>
      </w:r>
      <w:r>
        <w:rPr>
          <w:rFonts w:hint="eastAsia" w:asciiTheme="minorEastAsia" w:hAnsiTheme="minorEastAsia" w:eastAsiaTheme="minorEastAsia" w:cstheme="minorEastAsia"/>
          <w:color w:val="auto"/>
          <w:sz w:val="24"/>
          <w:szCs w:val="24"/>
          <w:highlight w:val="none"/>
        </w:rPr>
        <w:t xml:space="preserve">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分。（须提供</w:t>
      </w:r>
      <w:r>
        <w:rPr>
          <w:rFonts w:hint="eastAsia" w:asciiTheme="minorEastAsia" w:hAnsiTheme="minorEastAsia" w:eastAsiaTheme="minorEastAsia" w:cstheme="minorEastAsia"/>
          <w:color w:val="auto"/>
          <w:sz w:val="24"/>
          <w:szCs w:val="24"/>
          <w:highlight w:val="none"/>
          <w:lang w:val="en-US" w:eastAsia="zh-CN"/>
        </w:rPr>
        <w:t xml:space="preserve">职称</w:t>
      </w:r>
      <w:r>
        <w:rPr>
          <w:rFonts w:hint="eastAsia" w:asciiTheme="minorEastAsia" w:hAnsiTheme="minorEastAsia" w:eastAsiaTheme="minorEastAsia" w:cstheme="minorEastAsia"/>
          <w:color w:val="auto"/>
          <w:sz w:val="24"/>
          <w:szCs w:val="24"/>
          <w:highlight w:val="none"/>
        </w:rPr>
        <w:t xml:space="preserve">证书复印件及投标人为其缴纳的近一个月社保证明材料</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未提供或提供不全不得分</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numPr>
          <w:ilvl w:val="0"/>
          <w:numId w:val="0"/>
        </w:num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eastAsia="zh-CN"/>
        </w:rPr>
        <w:t xml:space="preserve">（</w:t>
      </w:r>
      <w:r>
        <w:rPr>
          <w:rFonts w:hint="eastAsia" w:asciiTheme="minorEastAsia" w:hAnsiTheme="minorEastAsia" w:eastAsiaTheme="minorEastAsia" w:cstheme="minorEastAsia"/>
          <w:b/>
          <w:bCs/>
          <w:color w:val="auto"/>
          <w:szCs w:val="24"/>
          <w:highlight w:val="none"/>
          <w:lang w:val="en-US" w:eastAsia="zh-CN"/>
        </w:rPr>
        <w:t xml:space="preserve">五</w:t>
      </w:r>
      <w:r>
        <w:rPr>
          <w:rFonts w:hint="eastAsia" w:asciiTheme="minorEastAsia" w:hAnsiTheme="minorEastAsia" w:eastAsiaTheme="minorEastAsia" w:cstheme="minorEastAsia"/>
          <w:b/>
          <w:bCs/>
          <w:color w:val="auto"/>
          <w:szCs w:val="24"/>
          <w:highlight w:val="none"/>
          <w:lang w:eastAsia="zh-CN"/>
        </w:rPr>
        <w:t xml:space="preserve">）</w:t>
      </w:r>
      <w:r>
        <w:rPr>
          <w:rFonts w:hint="eastAsia" w:asciiTheme="minorEastAsia" w:hAnsiTheme="minorEastAsia" w:eastAsiaTheme="minorEastAsia" w:cstheme="minorEastAsia"/>
          <w:b/>
          <w:bCs/>
          <w:color w:val="auto"/>
          <w:szCs w:val="24"/>
          <w:highlight w:val="none"/>
          <w:lang w:val="en-US" w:eastAsia="zh-CN"/>
        </w:rPr>
        <w:t xml:space="preserve">综合评价</w:t>
      </w:r>
      <w:r>
        <w:rPr>
          <w:rFonts w:hint="eastAsia" w:asciiTheme="minorEastAsia" w:hAnsiTheme="minorEastAsia" w:eastAsiaTheme="minorEastAsia" w:cstheme="minorEastAsia"/>
          <w:b/>
          <w:bCs/>
          <w:color w:val="auto"/>
          <w:szCs w:val="24"/>
          <w:highlight w:val="none"/>
        </w:rPr>
        <w:t xml:space="preserve">（</w:t>
      </w:r>
      <w:r>
        <w:rPr>
          <w:rFonts w:hint="eastAsia" w:asciiTheme="minorEastAsia" w:hAnsiTheme="minorEastAsia" w:eastAsiaTheme="minorEastAsia" w:cstheme="minorEastAsia"/>
          <w:b/>
          <w:bCs/>
          <w:color w:val="auto"/>
          <w:szCs w:val="24"/>
          <w:highlight w:val="none"/>
          <w:lang w:val="en-US" w:eastAsia="zh-CN"/>
        </w:rPr>
        <w:t xml:space="preserve">9</w:t>
      </w:r>
      <w:r>
        <w:rPr>
          <w:rFonts w:hint="eastAsia" w:asciiTheme="minorEastAsia" w:hAnsiTheme="minorEastAsia" w:eastAsiaTheme="minorEastAsia" w:cstheme="minorEastAsia"/>
          <w:b/>
          <w:bCs/>
          <w:color w:val="auto"/>
          <w:szCs w:val="24"/>
          <w:highlight w:val="none"/>
        </w:rPr>
        <w:t xml:space="preserve">分）</w:t>
      </w:r>
      <w:r/>
    </w:p>
    <w:p>
      <w:pPr>
        <w:numPr>
          <w:ilvl w:val="0"/>
          <w:numId w:val="0"/>
        </w:numPr>
        <w:ind w:firstLine="480"/>
        <w:jc w:val="left"/>
        <w:spacing w:line="360" w:lineRule="auto"/>
        <w:rPr>
          <w:rFonts w:hint="eastAsia"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lang w:eastAsia="zh-CN"/>
        </w:rPr>
        <w:t xml:space="preserve">、</w:t>
      </w:r>
      <w:r>
        <w:rPr>
          <w:rFonts w:hint="eastAsia" w:asciiTheme="minorEastAsia" w:hAnsiTheme="minorEastAsia" w:eastAsiaTheme="minorEastAsia" w:cstheme="minorEastAsia"/>
          <w:b w:val="0"/>
          <w:bCs w:val="0"/>
          <w:color w:val="auto"/>
          <w:szCs w:val="24"/>
          <w:highlight w:val="none"/>
          <w:lang w:val="en-US" w:eastAsia="zh-CN"/>
        </w:rPr>
        <w:t xml:space="preserve">类似业绩情况比较：</w:t>
      </w:r>
      <w:r>
        <w:rPr>
          <w:rFonts w:hint="eastAsia" w:asciiTheme="minorEastAsia" w:hAnsiTheme="minorEastAsia" w:eastAsiaTheme="minorEastAsia" w:cstheme="minorEastAsia"/>
          <w:b w:val="0"/>
          <w:bCs w:val="0"/>
          <w:color w:val="auto"/>
          <w:szCs w:val="24"/>
          <w:highlight w:val="none"/>
        </w:rPr>
        <w:t xml:space="preserve">投标人202</w:t>
      </w:r>
      <w:r>
        <w:rPr>
          <w:rFonts w:hint="eastAsia" w:asciiTheme="minorEastAsia" w:hAnsiTheme="minorEastAsia" w:eastAsiaTheme="minorEastAsia" w:cstheme="minorEastAsia"/>
          <w:b w:val="0"/>
          <w:bCs w:val="0"/>
          <w:color w:val="auto"/>
          <w:szCs w:val="24"/>
          <w:highlight w:val="none"/>
          <w:lang w:val="en-US" w:eastAsia="zh-CN"/>
        </w:rPr>
        <w:t xml:space="preserve">3</w:t>
      </w:r>
      <w:r>
        <w:rPr>
          <w:rFonts w:hint="eastAsia" w:asciiTheme="minorEastAsia" w:hAnsiTheme="minorEastAsia" w:eastAsiaTheme="minorEastAsia" w:cstheme="minorEastAsia"/>
          <w:b w:val="0"/>
          <w:bCs w:val="0"/>
          <w:color w:val="auto"/>
          <w:szCs w:val="24"/>
          <w:highlight w:val="none"/>
        </w:rPr>
        <w:t xml:space="preserve">年1月1日</w:t>
      </w:r>
      <w:r>
        <w:rPr>
          <w:rFonts w:hint="eastAsia" w:asciiTheme="minorEastAsia" w:hAnsiTheme="minorEastAsia" w:eastAsiaTheme="minorEastAsia" w:cstheme="minorEastAsia"/>
          <w:sz w:val="24"/>
          <w:szCs w:val="24"/>
          <w:highlight w:val="none"/>
        </w:rPr>
        <w:t xml:space="preserve">（以合同签订日期为准）</w:t>
      </w:r>
      <w:r>
        <w:rPr>
          <w:rFonts w:hint="eastAsia" w:asciiTheme="minorEastAsia" w:hAnsiTheme="minorEastAsia" w:eastAsiaTheme="minorEastAsia" w:cstheme="minorEastAsia"/>
          <w:b w:val="0"/>
          <w:bCs w:val="0"/>
          <w:color w:val="auto"/>
          <w:szCs w:val="24"/>
          <w:highlight w:val="none"/>
        </w:rPr>
        <w:t xml:space="preserve">以来已完成的类似项目业绩情况比较，每提供一个得</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分</w:t>
      </w:r>
      <w:r>
        <w:rPr>
          <w:rFonts w:hint="eastAsia" w:asciiTheme="minorEastAsia" w:hAnsiTheme="minorEastAsia" w:eastAsiaTheme="minorEastAsia" w:cstheme="minorEastAsia"/>
          <w:b w:val="0"/>
          <w:bCs w:val="0"/>
          <w:color w:val="auto"/>
          <w:szCs w:val="24"/>
          <w:highlight w:val="none"/>
          <w:lang w:eastAsia="zh-CN"/>
        </w:rPr>
        <w:t xml:space="preserve">，</w:t>
      </w:r>
      <w:r>
        <w:rPr>
          <w:rFonts w:hint="eastAsia" w:asciiTheme="minorEastAsia" w:hAnsiTheme="minorEastAsia" w:eastAsiaTheme="minorEastAsia" w:cstheme="minorEastAsia"/>
          <w:b w:val="0"/>
          <w:bCs w:val="0"/>
          <w:color w:val="auto"/>
          <w:szCs w:val="24"/>
          <w:highlight w:val="none"/>
          <w:lang w:val="en-US" w:eastAsia="zh-CN"/>
        </w:rPr>
        <w:t xml:space="preserve">最高得3分</w:t>
      </w:r>
      <w:r>
        <w:rPr>
          <w:rFonts w:hint="eastAsia" w:asciiTheme="minorEastAsia" w:hAnsiTheme="minorEastAsia" w:eastAsiaTheme="minorEastAsia" w:cstheme="minorEastAsia"/>
          <w:b w:val="0"/>
          <w:bCs w:val="0"/>
          <w:color w:val="auto"/>
          <w:szCs w:val="24"/>
          <w:highlight w:val="none"/>
        </w:rPr>
        <w:t xml:space="preserve">；（须提供合同复印件，合同须能反映主要标的物，签订</w:t>
      </w:r>
      <w:r>
        <w:rPr>
          <w:rFonts w:hint="eastAsia" w:asciiTheme="minorEastAsia" w:hAnsiTheme="minorEastAsia" w:eastAsiaTheme="minorEastAsia" w:cstheme="minorEastAsia"/>
          <w:b w:val="0"/>
          <w:bCs w:val="0"/>
          <w:color w:val="auto"/>
          <w:szCs w:val="24"/>
          <w:highlight w:val="none"/>
          <w:lang w:val="en-US" w:eastAsia="zh-CN"/>
        </w:rPr>
        <w:t xml:space="preserve">日期、双方</w:t>
      </w:r>
      <w:r>
        <w:rPr>
          <w:rFonts w:hint="eastAsia" w:asciiTheme="minorEastAsia" w:hAnsiTheme="minorEastAsia" w:eastAsiaTheme="minorEastAsia" w:cstheme="minorEastAsia"/>
          <w:b w:val="0"/>
          <w:bCs w:val="0"/>
          <w:color w:val="auto"/>
          <w:szCs w:val="24"/>
          <w:highlight w:val="none"/>
        </w:rPr>
        <w:t xml:space="preserve">签章清晰可见</w:t>
      </w:r>
      <w:r>
        <w:rPr>
          <w:rFonts w:hint="eastAsia" w:asciiTheme="minorEastAsia" w:hAnsiTheme="minorEastAsia" w:eastAsiaTheme="minorEastAsia" w:cstheme="minorEastAsia"/>
          <w:b w:val="0"/>
          <w:bCs w:val="0"/>
          <w:color w:val="auto"/>
          <w:szCs w:val="24"/>
          <w:highlight w:val="none"/>
          <w:lang w:eastAsia="zh-CN"/>
        </w:rPr>
        <w:t xml:space="preserve">，</w:t>
      </w:r>
      <w:r>
        <w:rPr>
          <w:rFonts w:hint="eastAsia" w:asciiTheme="minorEastAsia" w:hAnsiTheme="minorEastAsia" w:eastAsiaTheme="minorEastAsia" w:cstheme="minorEastAsia"/>
          <w:b w:val="0"/>
          <w:bCs w:val="0"/>
          <w:color w:val="auto"/>
          <w:szCs w:val="24"/>
          <w:highlight w:val="none"/>
        </w:rPr>
        <w:t xml:space="preserve">否则不得分。）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zh-CN"/>
        </w:rPr>
        <w:t xml:space="preserve">投标</w:t>
      </w:r>
      <w:r>
        <w:rPr>
          <w:rFonts w:hint="eastAsia" w:asciiTheme="minorEastAsia" w:hAnsiTheme="minorEastAsia" w:eastAsiaTheme="minorEastAsia" w:cstheme="minorEastAsia"/>
          <w:color w:val="auto"/>
          <w:sz w:val="24"/>
          <w:szCs w:val="24"/>
          <w:highlight w:val="none"/>
        </w:rPr>
        <w:t xml:space="preserve">人</w:t>
      </w:r>
      <w:r>
        <w:rPr>
          <w:rFonts w:hint="eastAsia" w:asciiTheme="minorEastAsia" w:hAnsiTheme="minorEastAsia" w:eastAsiaTheme="minorEastAsia" w:cstheme="minorEastAsia"/>
          <w:color w:val="auto"/>
          <w:sz w:val="24"/>
          <w:szCs w:val="24"/>
          <w:highlight w:val="none"/>
          <w:lang w:val="zh-CN"/>
        </w:rPr>
        <w:t xml:space="preserve">具有质量管理体系认证、环境管理体系认证、职业健康</w:t>
      </w:r>
      <w:r>
        <w:rPr>
          <w:rFonts w:hint="eastAsia" w:asciiTheme="minorEastAsia" w:hAnsiTheme="minorEastAsia" w:eastAsiaTheme="minorEastAsia" w:cstheme="minorEastAsia"/>
          <w:color w:val="auto"/>
          <w:sz w:val="24"/>
          <w:szCs w:val="24"/>
          <w:highlight w:val="none"/>
          <w:lang w:val="en-US" w:eastAsia="zh-CN"/>
        </w:rPr>
        <w:t xml:space="preserve">安全</w:t>
      </w:r>
      <w:r>
        <w:rPr>
          <w:rFonts w:hint="eastAsia" w:asciiTheme="minorEastAsia" w:hAnsiTheme="minorEastAsia" w:eastAsiaTheme="minorEastAsia" w:cstheme="minorEastAsia"/>
          <w:color w:val="auto"/>
          <w:sz w:val="24"/>
          <w:szCs w:val="24"/>
          <w:highlight w:val="none"/>
          <w:lang w:val="zh-CN"/>
        </w:rPr>
        <w:t xml:space="preserve">管理体系认证，每</w:t>
      </w:r>
      <w:r>
        <w:rPr>
          <w:rFonts w:hint="eastAsia" w:asciiTheme="minorEastAsia" w:hAnsiTheme="minorEastAsia" w:eastAsiaTheme="minorEastAsia" w:cstheme="minorEastAsia"/>
          <w:color w:val="auto"/>
          <w:sz w:val="24"/>
          <w:szCs w:val="24"/>
          <w:highlight w:val="none"/>
        </w:rPr>
        <w:t xml:space="preserve">具有1个</w:t>
      </w:r>
      <w:r>
        <w:rPr>
          <w:rFonts w:hint="eastAsia" w:asciiTheme="minorEastAsia" w:hAnsiTheme="minorEastAsia" w:eastAsiaTheme="minorEastAsia" w:cstheme="minorEastAsia"/>
          <w:color w:val="auto"/>
          <w:sz w:val="24"/>
          <w:szCs w:val="24"/>
          <w:highlight w:val="none"/>
          <w:lang w:val="zh-CN"/>
        </w:rPr>
        <w:t xml:space="preserve">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zh-CN"/>
        </w:rPr>
        <w:t xml:space="preserve">分</w:t>
      </w:r>
      <w:r>
        <w:rPr>
          <w:rFonts w:hint="eastAsia" w:asciiTheme="minorEastAsia" w:hAnsiTheme="minorEastAsia" w:eastAsiaTheme="minorEastAsia" w:cstheme="minorEastAsia"/>
          <w:color w:val="auto"/>
          <w:sz w:val="24"/>
          <w:szCs w:val="24"/>
          <w:highlight w:val="none"/>
        </w:rPr>
        <w:t xml:space="preserve">，最高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证书须在有效期内，认证机构需国家认监委备案的合法机构，提供证书复印件和全国认证认可信息公共服务平台官网查询页面截图，否则不得分。</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jc w:val="left"/>
        <w:spacing w:line="360" w:lineRule="auto"/>
        <w:rPr>
          <w:rFonts w:hint="eastAsia"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3、投标人近5年来获得政府部门颁发的荣誉奖项，每提供一份得1分，最高3分。（须提供奖项证明材料复印件，否则不得分。）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0" w:firstLine="0"/>
        <w:jc w:val="left"/>
        <w:spacing w:line="240" w:lineRule="auto"/>
        <w:rPr>
          <w:rFonts w:hint="eastAsia" w:ascii="宋体" w:hAnsi="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br w:type="page" w:clear="all"/>
      </w:r>
      <w:r/>
    </w:p>
    <w:p>
      <w:pPr>
        <w:ind w:right="119" w:firstLine="240"/>
        <w:jc w:val="left"/>
        <w:spacing w:line="360" w:lineRule="auto"/>
        <w:rPr>
          <w:rFonts w:hint="eastAsia" w:asciiTheme="minorEastAsia" w:hAnsiTheme="minorEastAsia" w:eastAsiaTheme="minorEastAsia" w:cstheme="minorEastAsia"/>
          <w:color w:val="auto"/>
          <w:szCs w:val="24"/>
          <w:highlight w:val="none"/>
        </w:rPr>
        <w:outlineLvl w:val="1"/>
      </w:pPr>
      <w:r>
        <w:rPr>
          <w:rFonts w:hint="eastAsia" w:ascii="宋体" w:hAnsi="宋体" w:cs="宋体"/>
          <w:bCs/>
          <w:color w:val="auto"/>
          <w:sz w:val="24"/>
          <w:szCs w:val="24"/>
          <w:highlight w:val="none"/>
          <w:lang w:val="en-US" w:eastAsia="zh-CN"/>
        </w:rPr>
        <w:t xml:space="preserve">附件：维修清单数量（包括但不限于以下项目）</w:t>
      </w:r>
      <w:r/>
    </w:p>
    <w:tbl>
      <w:tblPr>
        <w:tblStyle w:val="1018"/>
        <w:tblW w:w="91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432"/>
        <w:gridCol w:w="4211"/>
        <w:gridCol w:w="820"/>
        <w:gridCol w:w="846"/>
        <w:gridCol w:w="1116"/>
      </w:tblGrid>
      <w:tr>
        <w:trPr>
          <w:jc w:val="center"/>
          <w:trHeight w:val="916"/>
        </w:trPr>
        <w:tc>
          <w:tcPr>
            <w:shd w:val="clear" w:color="auto" w:fill="auto"/>
            <w:tcBorders>
              <w:top w:val="single" w:color="000000" w:sz="8"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清单名称</w:t>
            </w:r>
            <w:r/>
          </w:p>
        </w:tc>
        <w:tc>
          <w:tcPr>
            <w:shd w:val="clear" w:color="auto" w:fill="auto"/>
            <w:tcBorders>
              <w:top w:val="single" w:color="000000" w:sz="8" w:space="0"/>
              <w:left w:val="single" w:color="000000" w:sz="4" w:space="0"/>
              <w:bottom w:val="single" w:color="000000" w:sz="4" w:space="0"/>
              <w:right w:val="single" w:color="000000" w:sz="4" w:space="0"/>
            </w:tcBorders>
            <w:tcW w:w="4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清单特征</w:t>
            </w:r>
            <w:r/>
          </w:p>
        </w:tc>
        <w:tc>
          <w:tcPr>
            <w:shd w:val="clear" w:color="auto" w:fill="auto"/>
            <w:tcBorders>
              <w:top w:val="single" w:color="000000" w:sz="8"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shd w:val="clear" w:color="auto" w:fill="auto"/>
            <w:tcBorders>
              <w:top w:val="single" w:color="000000" w:sz="8"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最高限价（元）</w:t>
            </w:r>
            <w:r/>
          </w:p>
        </w:tc>
      </w:tr>
      <w:tr>
        <w:trPr>
          <w:jc w:val="center"/>
          <w:trHeight w:val="451"/>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灯具部分</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1、名称:LED球泡  功率范围（3W-9W）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37.22</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1、名称:LED球泡  功率范围（10W-30W）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47.81</w:t>
            </w:r>
            <w:r/>
          </w:p>
        </w:tc>
      </w:tr>
      <w:tr>
        <w:trPr>
          <w:jc w:val="center"/>
          <w:trHeight w:val="16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1、名称:LED日光灯管 功率范围T8-（8W-15W）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81.24</w:t>
            </w:r>
            <w:r/>
          </w:p>
        </w:tc>
      </w:tr>
      <w:tr>
        <w:trPr>
          <w:jc w:val="center"/>
          <w:trHeight w:val="1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1、名称:LED日光灯管 功率范围T5-（8W-16W）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83.17</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1、名称:LED筒灯 功率范围（5W-20W），尺寸范围（2.5-4寸）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97.04</w:t>
            </w:r>
            <w:r/>
          </w:p>
        </w:tc>
      </w:tr>
      <w:tr>
        <w:trPr>
          <w:jc w:val="center"/>
          <w:trHeight w:val="389"/>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1、名称:LED筒灯 功率范围（10W-40W），尺寸范围（2.5-4寸）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134.37</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功率范围（5W-60W），尺寸范围300mm*300mm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184.19</w:t>
            </w:r>
            <w:r/>
          </w:p>
        </w:tc>
      </w:tr>
      <w:tr>
        <w:trPr>
          <w:jc w:val="center"/>
          <w:trHeight w:val="19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功率范围（10W-60W），尺寸范围600mm*300mm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194.28</w:t>
            </w:r>
            <w:r/>
          </w:p>
        </w:tc>
      </w:tr>
      <w:tr>
        <w:trPr>
          <w:jc w:val="center"/>
          <w:trHeight w:val="19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功率范围（20W-80W），尺寸范围600mm*600mm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208.41</w:t>
            </w:r>
            <w:r/>
          </w:p>
        </w:tc>
      </w:tr>
      <w:tr>
        <w:trPr>
          <w:jc w:val="center"/>
          <w:trHeight w:val="19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功率范围（20W-80W），尺寸范围900mm*300mm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224.55</w:t>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功率范围(30W-80W)，尺寸范围1200mm*（200-400mm）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242.21</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1、名称:LED集成平板灯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功率范围(30W-100W)，尺寸范围1200mm*600mm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315.39</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功率范围（5W-60W），尺寸范围300mm*300mm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335.58</w:t>
            </w:r>
            <w:r/>
          </w:p>
        </w:tc>
      </w:tr>
      <w:tr>
        <w:trPr>
          <w:jc w:val="center"/>
          <w:trHeight w:val="19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功率范围（10W-60W），尺寸范围600mm*300mm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333.56</w:t>
            </w:r>
            <w:r/>
          </w:p>
        </w:tc>
      </w:tr>
      <w:tr>
        <w:trPr>
          <w:jc w:val="center"/>
          <w:trHeight w:val="19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功率范围（20W-80W），尺寸范围600mm*600mm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353.75</w:t>
            </w:r>
            <w:r/>
          </w:p>
        </w:tc>
      </w:tr>
      <w:tr>
        <w:trPr>
          <w:jc w:val="center"/>
          <w:trHeight w:val="19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功率范围（20W-80W），尺寸范围900mm*300mm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337.61</w:t>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功率范围(30W-80W)，尺寸范围1200mm*（200-400mm）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367.86</w:t>
            </w:r>
            <w:r/>
          </w:p>
        </w:tc>
      </w:tr>
      <w:tr>
        <w:trPr>
          <w:jc w:val="center"/>
          <w:trHeight w:val="20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1、名称:LED洁净平板灯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功率范围(30W-100W)，尺寸范围1200mm*600mm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3、品牌:闪光点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377.97</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1、名称:LED床头灯(4W-12W)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142.77</w:t>
            </w:r>
            <w:r/>
          </w:p>
        </w:tc>
      </w:tr>
      <w:tr>
        <w:trPr>
          <w:jc w:val="center"/>
          <w:trHeight w:val="17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1、名称:LED吸顶灯 功率(12W-30W ) 尺寸范围300mm-600mm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182.37</w:t>
            </w:r>
            <w:r/>
          </w:p>
        </w:tc>
      </w:tr>
      <w:tr>
        <w:trPr>
          <w:jc w:val="center"/>
          <w:trHeight w:val="17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1、名称:LED一体灯，功率范围(8W-40W)，尺寸范围(0.6米-1.2米)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161.81</w:t>
            </w:r>
            <w:r/>
          </w:p>
        </w:tc>
      </w:tr>
      <w:tr>
        <w:trPr>
          <w:jc w:val="center"/>
          <w:trHeight w:val="16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1、名称:日光灯灯架（单支、双支），功率范围（10W-40W），尺寸范围0.6米-1.2米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1、名称:陶瓷灯头   电压220V，15A螺口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23.09</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1、名称:亚克力灯光板  厚度2-4mm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2、步骤:拆除、更换、安装、调试。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国标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190.91</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1、名称:LED投光灯  电压220V，功率20W-50W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亚明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152.68</w:t>
            </w:r>
            <w:r/>
          </w:p>
        </w:tc>
      </w:tr>
      <w:tr>
        <w:trPr>
          <w:jc w:val="center"/>
          <w:trHeight w:val="17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工厂灯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1、名称:LED投光灯  电压220V，功率（60W-150W）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349.49</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景观灯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1、名称:洗墙灯 （PAK460329.12W）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 （外墙蜘蛛人高空作业综合考滤）排除线路故障、拆除、疑难检修、安装、调试。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亚明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241.38</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1、名称:磁吸轨道 Ø25 （电压220V，含驱动48V-200W）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3、品牌:光美时代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181.2</w:t>
            </w:r>
            <w:r/>
          </w:p>
        </w:tc>
      </w:tr>
      <w:tr>
        <w:trPr>
          <w:jc w:val="center"/>
          <w:trHeight w:val="17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1、名称:轨道射灯   电压220V，功率（5W-40W）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光美时代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158.74</w:t>
            </w:r>
            <w:r/>
          </w:p>
        </w:tc>
      </w:tr>
      <w:tr>
        <w:trPr>
          <w:jc w:val="center"/>
          <w:trHeight w:val="19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1、名称:北欧复古绿色玻璃吊灯 （31CM） （含15W发光蜂窝防眩灯泡）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赛乐透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390.69</w:t>
            </w:r>
            <w:r/>
          </w:p>
        </w:tc>
      </w:tr>
      <w:tr>
        <w:trPr>
          <w:jc w:val="center"/>
          <w:trHeight w:val="17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医疗专用灯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1、名称:灭蚊灯   电压220V，功率（8W-20W）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名爵尔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221.93</w:t>
            </w:r>
            <w:r/>
          </w:p>
        </w:tc>
      </w:tr>
      <w:tr>
        <w:trPr>
          <w:jc w:val="center"/>
          <w:trHeight w:val="17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1、名称:防水防潮灯   电压220V，功率10W-30W，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93.83</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1、名称:LED灯带 电压24V-220V，带驱动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40.86</w:t>
            </w:r>
            <w:r/>
          </w:p>
        </w:tc>
      </w:tr>
      <w:tr>
        <w:trPr>
          <w:jc w:val="center"/>
          <w:trHeight w:val="16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嵌入式地灯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1、名称:地脚灯感应灯  功率范围（3W-20W）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3、品牌:国际电工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w:t>
            </w:r>
            <w:r/>
          </w:p>
        </w:tc>
      </w:tr>
      <w:tr>
        <w:trPr>
          <w:jc w:val="center"/>
          <w:trHeight w:val="17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光源模组</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1、名称:光源模组 电压220V 功率（10W-100W）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2、步骤:排除线路故障、拆除更换、疑难检修、安装、调试。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139.9</w:t>
            </w:r>
            <w:r/>
          </w:p>
        </w:tc>
      </w:tr>
      <w:tr>
        <w:trPr>
          <w:jc w:val="center"/>
          <w:trHeight w:val="18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LED光源驱动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1、名称:LED光源驱动 电压220V 功率（10W-100W）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2、步骤:排除线路故障、拆除更换、疑难检修、安装、调试。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64.95</w:t>
            </w:r>
            <w:r/>
          </w:p>
        </w:tc>
      </w:tr>
      <w:tr>
        <w:trPr>
          <w:jc w:val="center"/>
          <w:trHeight w:val="17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1、名称:LED（单管）防爆灯（0.6-1.2米）功率（15W-40W）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2、步骤:排除线路故障、拆除更换、疑难检修、安装、调试。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362.39</w:t>
            </w:r>
            <w:r/>
          </w:p>
        </w:tc>
      </w:tr>
      <w:tr>
        <w:trPr>
          <w:jc w:val="center"/>
          <w:trHeight w:val="40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1、名称:LED（双管）防爆灯（0.6-1.2米） 功率（18W-120W）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2、步骤:排除线路故障、拆除更换、疑难检修、安装、调试。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524.14</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1、名称:LED光源灯珠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2、步骤:拆除更换、广告字体面板恢复、打胶、调试。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3、品牌:三雄极光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p>
        </w:tc>
      </w:tr>
      <w:tr>
        <w:trPr>
          <w:jc w:val="center"/>
          <w:trHeight w:val="460"/>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线槽、配管</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PVC线槽板 宽度3CM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20.84</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PVC线槽板 宽度5CM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26.47</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PVC线槽板 宽度10CM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33.34</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铝合金半圆弧形地线槽 宽度范围（3-5CM）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28.92</w:t>
            </w:r>
            <w:r/>
          </w:p>
        </w:tc>
      </w:tr>
      <w:tr>
        <w:trPr>
          <w:jc w:val="center"/>
          <w:trHeight w:val="11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铝合金半圆弧形地线槽 宽度范围（6-10CM）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46.95</w:t>
            </w:r>
            <w:r/>
          </w:p>
        </w:tc>
      </w:tr>
      <w:tr>
        <w:trPr>
          <w:jc w:val="center"/>
          <w:trHeight w:val="38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铝合金半圆弧形地线槽 宽度范围（11-15CM）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 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68.23</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1、名称:KBJ电线管（含配件）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2、规格:Φ20mm-25mm内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3、品牌:泰州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25.06</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1、名称:KBJ电线管（含配件）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2、规格:Φ32mm-50mm内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3、品牌:泰州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30.65</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2、规格:Φ16mm内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3、品牌:公元（含配件）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2、规格:Φ20mm内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3、品牌:公元（含配件）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24.63</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1、名称:PVC电线管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2、规格:Φ25mm内（含配件）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29.17</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1、名称:金属包塑软管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2、规格:Φ20-32mm内（含配件）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3、品牌:永君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38.26</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1、名称:金属包塑软管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2、规格:Φ32-50mm内（含配件）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3、品牌:永君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63.13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1、名称:钢制槽式镀锌桥架宽（100*100mm）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2、品牌:泰州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1、名称:钢制镀锌槽式桥架宽（200*100mm）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2、品牌:泰州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184.45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1、名称:钢制镀锌槽式桥架宽（300*100mm）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2、品牌:泰州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3、更换（含配件）</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197.57</w:t>
            </w:r>
            <w:r/>
          </w:p>
        </w:tc>
      </w:tr>
      <w:tr>
        <w:trPr>
          <w:jc w:val="center"/>
          <w:trHeight w:val="451"/>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电线、电缆</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1、名称:BV1.5mm2电线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1、名称:BV2.5mm2电线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9.73</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1、名称:BV4mm2电线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1、名称:BV6mm2电线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1、名称:BVVB-2*1.5mm2护套线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9.94</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1、名称:BVVB-2*2.5mm2护套线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1、名称:BVVB-3*2.5mm2护套线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 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19.27</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1、名称:WDZB-YJV3*2.5mm2铜芯电缆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37.71</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1、名称:WDZB-YJV5*2.5mm2铜芯电缆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46.46</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1、名称:WDZB-YJV3*4mm2铜芯电缆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44.31</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1、名称:WDZB-YJV3*6mm2铜芯电缆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51.85</w:t>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1、名称:WDZB-YJV5*4mm2铜芯电缆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57.46</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1、名称:WDZB-YJV5*6mm2铜芯电缆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95.88</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1、名称:WDZB-YJV3*10mm2铜芯电缆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66.47</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1、名称:WDZB-YJV4*10+1*6mm2铜芯电缆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115.25</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1、名称:WDZB-YJV4*16+1*10mm2铜芯电缆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155.95</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1、名称:WDZB-YJV4*25+1*10mm2铜芯电缆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205.97</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1、名称:WDZB-YJV4*35+1*16mm2铜芯电缆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256.58</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1、名称:WDZB-YJV4*50+1*25mm2铜芯电缆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326.78</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1、名称:WDZB-YJV4*70+1*35mm2铜芯电缆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439.6</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1、名称:WDZB-YJV4*95+1*50mm2铜芯电缆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581.75</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1、名称:WDZB-YJV4*120+1*70mm2铜芯电缆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720.49</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1、名称:WDZB-YJV4*150+1*70mm2铜芯电缆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868.47</w:t>
            </w:r>
            <w:r/>
          </w:p>
        </w:tc>
      </w:tr>
      <w:tr>
        <w:trPr>
          <w:jc w:val="center"/>
          <w:trHeight w:val="16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1、名称:WDZB-YJV4*185+1*95mm2铜芯电缆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1067.29</w:t>
            </w:r>
            <w:r/>
          </w:p>
        </w:tc>
      </w:tr>
      <w:tr>
        <w:trPr>
          <w:jc w:val="center"/>
          <w:trHeight w:val="4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1、名称:WDZB-YJV4*240+1*120mm2铜芯电缆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1353.65</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1、名称:WDZB-YJV10mm2单铜芯电缆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19.93</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1、名称:WDZB-YJV16mm2单铜芯电缆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31.41</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1、名称:WDZB-YJV25mm2单铜芯电缆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42.24</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1、名称:WDZB-YJV35mm2单铜芯电缆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56.69</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1、名称:WDZB-YJV50mm2单铜芯电缆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71.89</w:t>
            </w:r>
            <w:r/>
          </w:p>
        </w:tc>
      </w:tr>
      <w:tr>
        <w:trPr>
          <w:jc w:val="center"/>
          <w:trHeight w:val="465"/>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开关及小电器</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1、名称、型号:PZ30-（4-6）回路配成套电箱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2、步骤:刨沟、拆除、安装、端子接线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3、品牌:正泰（含施耐德元器件、综合考滤）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1567.69</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1、名称、型号:PZ30-（8-10）回路成套配电箱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2、步骤:刨沟、拆除、安装、端子接线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3、品牌:正泰（含施耐德元器件、综合考滤）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2356.12</w:t>
            </w:r>
            <w:r/>
          </w:p>
        </w:tc>
      </w:tr>
      <w:tr>
        <w:trPr>
          <w:jc w:val="center"/>
          <w:trHeight w:val="17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1、名称、型号:PZ30-（12-15）回路成套配电箱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2、步骤:刨沟、拆除、安装、端子接线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3、品牌:正泰（含施耐德元器件、综合考滤）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2975.59</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1、名称、定制配电箱（长40-100cm*宽30-80cm）（空箱）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3、品牌:国标加厚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904.15</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1、名称、熊猫水泵配套控制柜（一控二）（含元器件）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3、品牌:上海熊猫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4752.27</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1、名称、定制污水泵控制成套配电箱（含元器件）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2、步骤:拆除、安装、端子接线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3、品牌型号:定制（300*200*400）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1997.52</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1、名称:明装开关盒（含暗装接线盒）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2、型号:86型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20.57</w:t>
            </w:r>
            <w:r/>
          </w:p>
        </w:tc>
      </w:tr>
      <w:tr>
        <w:trPr>
          <w:jc w:val="center"/>
          <w:trHeight w:val="18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1、名称:86型插座面板（2-2孔、2-3孔、3孔、带开关）（范围10A-16A）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42.07</w:t>
            </w:r>
            <w:r/>
          </w:p>
        </w:tc>
      </w:tr>
      <w:tr>
        <w:trPr>
          <w:jc w:val="center"/>
          <w:trHeight w:val="18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1、名称:86型插座面板（10孔）（范围10A-16A）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47.16</w:t>
            </w:r>
            <w:r/>
          </w:p>
        </w:tc>
      </w:tr>
      <w:tr>
        <w:trPr>
          <w:jc w:val="center"/>
          <w:trHeight w:val="18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1、名称:380V三相插座面板（范围16A-32A）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47.16</w:t>
            </w:r>
            <w:r/>
          </w:p>
        </w:tc>
      </w:tr>
      <w:tr>
        <w:trPr>
          <w:jc w:val="center"/>
          <w:trHeight w:val="18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1、名称:铜地插座（电压220V电流范围16A-20A）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156.19</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1、名称:二（三）脚插头（电压220V电流范围10A-20A）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36.49</w:t>
            </w:r>
            <w:r/>
          </w:p>
        </w:tc>
      </w:tr>
      <w:tr>
        <w:trPr>
          <w:jc w:val="center"/>
          <w:trHeight w:val="17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1、名称:三相插头（电压380V电流范围16A-32A）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54.35</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1、名称:开关面板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2、型号：86型 范围（1-2开、含双控）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4、品牌:鸿雁</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42.07</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型号：86型 范围（3-4开、含双控）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4、品牌:鸿雁</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45.14</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1、名称:白盖面板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型号：86型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4、品牌:鸿雁</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22.93</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1、名称:定时（调速）开关面板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型号：86型 范围（1-60分钟）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4、品牌:鸿雁</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58.48</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多功能插座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1、名称:多功能插座模块（10-16A）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2、步骤:拆除、安装、调试。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3、品牌:鸿雁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49.97</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1、名称:时控开关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3、品牌:正泰KG316T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175.03</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1、名称、交流接触器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2、步骤:排除线路故障，拆除，检修，调试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3、品牌规格:正泰 （220V-380V 电流10-50A）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295.1</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1、名称、交流接触器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2、步骤:排除线路故障，拆除，检修，调试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3、品牌规格:正泰（220V-380V 电流50A-100A）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548.47</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2、步骤:排除线路故障，拆除，检修，调试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3、品牌:施耐德（220V-380V 电流10-50A）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464.97</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1、名称、接触器220V-380V 电流63-100A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2、步骤:排除线路故障，拆除，检修，调试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3、品牌:施</w:t>
            </w:r>
            <w:r>
              <w:rPr>
                <w:rFonts w:hint="eastAsia" w:ascii="宋体" w:hAnsi="宋体" w:cs="宋体"/>
                <w:i w:val="0"/>
                <w:iCs w:val="0"/>
                <w:color w:val="000000"/>
                <w:sz w:val="21"/>
                <w:szCs w:val="21"/>
                <w:u w:val="none"/>
                <w:lang w:val="en-US" w:eastAsia="zh-CN" w:bidi="ar"/>
              </w:rPr>
              <w:t xml:space="preserve">耐</w:t>
            </w:r>
            <w:r>
              <w:rPr>
                <w:rFonts w:hint="eastAsia" w:ascii="宋体" w:hAnsi="宋体" w:eastAsia="宋体" w:cs="宋体"/>
                <w:i w:val="0"/>
                <w:iCs w:val="0"/>
                <w:color w:val="000000"/>
                <w:sz w:val="21"/>
                <w:szCs w:val="21"/>
                <w:u w:val="none"/>
                <w:lang w:val="en-US" w:eastAsia="zh-CN" w:bidi="ar"/>
              </w:rPr>
              <w:t xml:space="preserve">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698.65</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配电智能设备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1、名称、各类继电器（时间，中间，）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2、步骤:排除线路故障，拆除，检修，调试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3、品牌:国标12V-220V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151.12</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1、名称:热继电器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3、品牌:施耐德10A-50A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299.18</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1、名称:急停按钮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75.22</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1、名称:启停按钮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3、品牌:正泰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低压熔断器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1、名称:熔断器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2、品牌型号:国标（16-50A）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50.17</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铜鼻子</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1、名称:紫铜铜鼻子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2、品牌型号:国标DT-（16-50mm2）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3、步骤:断电、检查、更换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24.68</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铜鼻子</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1、名称:紫铜铜鼻子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2、品牌型号:国标DT-（70-240mm2）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3、步骤:断电、检查、更换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35.13</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2、品牌型号:国标（16-50mm2）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3、步骤:断电、检查、更换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190.83</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1、名称:电缆终端头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2、品牌型号:国标（70-240mm2）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3、步骤:断电、检查、更换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263.89</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户外开关电源</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1、名称:户外开关电源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2、品牌型号:漫威 HLG-40012V33A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220.63</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1、名称:保温管 电压220V-380V  功率1KW-3KW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2、步骤:排除线路故障、拆除、疑难检修、安装、调试。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3、品牌:腾飞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366.73</w:t>
            </w:r>
            <w:r/>
          </w:p>
        </w:tc>
      </w:tr>
      <w:tr>
        <w:trPr>
          <w:jc w:val="center"/>
          <w:trHeight w:val="16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加热管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1、名称:加热管  电压220V-380V   功率3-6KW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2、步骤:拆开发生器、疑难检修、安装、调试。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3、品牌:嘉乐斯乐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541.2</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1P（DPN）空气开关（含DPN）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2、电流范围（电流16A-20A）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193.71</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1P（DPN 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2、电流范围（电流25A-32A）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213.71</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2P空气开关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2、电流范围（电流16A-20A）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232.33</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2P空气开关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2、电流范围（电流25A-32A）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254.24</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2P空气开关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2、电流范围（电流40A-63A）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294.2</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2、电流范围（综合16A-25A）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314.31</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2、电流范围（综合32A-40A）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324.49</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2、电流范围（电流50A-63A）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344.48</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2、电流范围（电流80A-100A）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478.36</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4P空气开关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2、电流范围（电流40A-63A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537.22</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4P空气开关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2、电流范围（电流80A-100A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604.62</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2P漏电保护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2、电流范围（电流16A-32A）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304.74</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2P漏电保护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2、电流范围（电流40A-63A）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353.16</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3P漏电保护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2、电流范围（电流16A-32A）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421.5</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3P漏电保护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2、电流范围（电流40A-63A）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448.09</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1、名称:iC65 3P漏电保护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2、电流范围（电流80A-100A）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施耐德、西门子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571.51</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3P塑壳空气开关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2、电流范围（电流32A-63A）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1429.58</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3P塑壳空气开关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2、电流范围（电流80A-125A）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1836.05</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低压电气开关</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1、名称:3P塑壳空气开关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2、电流范围（电流150A-250A）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施耐德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3685.93</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2、范围（2KW-5.5KW）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丹佛斯051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6426.24</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2、范围（6KW-12KW）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丹佛斯051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8662.83</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2、范围（13KW-18KW）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3、步骤:检查、端子接线 、更换、调试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4、品牌: 丹佛斯051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9678.6</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1、名称:风幕机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2、品牌:绿岛风（ 0.9米长）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1756.84</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1、名称:风幕机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2、品牌:绿岛风（1.2米长）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1982.1</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1、名称:风幕机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2、品牌:绿岛风（1.5米长）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2320</w:t>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暖风机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名称：暖风机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品牌型号：美的NFT-HYR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1：检查暖风机供电回路及风管；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2：更换暖风机；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3：暖风机试运行；</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382.95</w:t>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品牌型号：绿岛风BPT-10-22CH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1：检查换气扇供电回路及风管；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3：换气扇调试运行；</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264.27</w:t>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品牌型号：绿岛风BPT-15-33H45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1：检查换气扇供电回路及风管；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3：换气扇调试运行；</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439.14</w:t>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品牌型号：松下FV-24CUG2C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1：检查换气扇供电回路及风管；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2：更换换气扇；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3：换气扇调试运行；</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526.08</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1、名称：窗式换气扇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2、品牌型号：绿岛风APB30-6-B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3、检查换气扇供电回路及风管；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4、更换换气扇；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299.24</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1、名称:吊扇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2、品牌型号:美的1400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307.45</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1、名称:壁扇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2、品牌型号:美的16寸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384.65</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1、名称:工业壁扇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2、品牌:钻石650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482.5</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1、名称:轴流风机电机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2、品牌:德东220V-SF3-4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591.77</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1、名称:管道式轴流风机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2、品牌:德东220V-DF5G-4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1517.48</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1、名称：低噪音矩形管道风机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2、品牌:埃维特（1500风量，功率0.37kw）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5044.98</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1、名称：送风机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2、品牌:松下（FV-25NF3CE）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7555.09</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1、名称：防爆风机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2、品牌:松雷纪（BFAG-400）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721.22</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1、名称:限电自动控制器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2、品牌型号:瑞深XYLD-63S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79.95</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1、名称:电动窗帘控制器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2、品牌型号:杜亚、2629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1845.11</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1、名称:电动窗帘遥控器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2、品牌型号:杜亚2629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369.02</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配电箱锁</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1、名称:配电箱锁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2、品牌型号:恋品惠MS308-3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38.27</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物位检测仪表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1、名称:污水泵浮球开关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2、品牌型号:伊莱科（3-10米）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3、步骤:检查故障、下井更换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341.65</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照明开关、按钮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1、名称：防爆控制开关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2、品牌:向固（SW-16）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168.85</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1、名称：防爆插座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2、品牌:向固（AC16-32A）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3、步骤:更检查故障、更换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404.31</w:t>
            </w:r>
            <w:r/>
          </w:p>
        </w:tc>
      </w:tr>
      <w:tr>
        <w:trPr>
          <w:jc w:val="center"/>
          <w:trHeight w:val="465"/>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给排水管道</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1、名称:U-PVC20-25排水（含伸缩节、三通，90-45度弯，直接、P、S弯头）管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1、名称:U-PVC32排水管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1、名称:U-PVC40排水管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1、名称:U-PVC50排水管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1、名称:U-PVC75排水管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1、名称:U-PVC110排水管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78.39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1、名称：PVC160排水管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120.65</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U-PVC排水管配件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1、名称：U-PVC20-40给水管配件，（含三通、直接、90-45度弯）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U-PVC排水管配件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1、名称：U-PVC50排水管配件，（含伸缩节、三通，90-45度弯，直接、P、S弯头）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12.95</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U-PVC排水管配件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1、名称：U-PVC75排水管配件，（含伸缩节、三通，90-45度弯，直接、P、S弯头）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15.99</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U-PVC排水管配件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1、名称：PVC110（含伸缩节、三通，90-45度弯，直接、P、S弯头）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23.18</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U-PVC排水管配件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1、名称：PVC160（含伸缩节、三通，90-45度弯，直接、P、S弯头）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32.65</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1、名称:PPR25热熔管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42.01</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1、名称:PPR32热熔管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1、名称:PPR40热熔管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60.01</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1、名称:PPR50热熔管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75.3</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1、名称:PPR63热熔管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97.69</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1、名称:PPR75热熔管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114.19</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1、名称:PPR90热熔管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136.09</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1、名称:PPR110热熔管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180.9</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1、名称:PPR25配件（含三通，90-45度弯，内外丝，直接）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24.31</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1、名称：PPR32配件（含三通，90-45度弯，内外丝，直接）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r>
      <w:tr>
        <w:trPr>
          <w:jc w:val="center"/>
          <w:trHeight w:val="151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1、名称：PPR40配件（含三通，90-45度弯，内外丝，直接）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1、名称：PPR50配件（含三通，90-45度弯，内外丝，直接）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35.48</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1、名称：PPR63配件（含三通，90-45度弯，内外丝，直接）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1、名称：PPR75配件（含三通，90-45度弯，内外丝，直接）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77.36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1、名称：PPR90配件（含三通，90-45度弯，内外丝，直接）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PPR管配件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1、名称：PPR110配件（含三通，90-45度弯，内外丝，直接）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97.84</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:DN16镀锌管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58.69</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:DN20镀锌管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60.63</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:DN25镀锌管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76.03</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:DN32镀锌管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83.94</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:DN40镀锌管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:DN50镀锌管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102.11</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:DN65镀锌管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118.39</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:DN80镀锌管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:DN100镀锌管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151.67</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 :DN150镀锌管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195.04</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1、名称：DN16镀锌配件（活接、三通，弯头，直接）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1、名称：DN20镀锌配件（活接、三通，弯头，直接）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1、名称：DN25镀锌配件（活接、三通，弯头，直接）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1、名称：DN32镀锌配件（活接、三通，弯头，直接）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1、名称：DN40镀锌配件（活接、三通，弯头，直接）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1、名称：DN50镀锌配件（活接、三通，弯头，直接）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1、名称：DN65镀锌配件（活接、三通，弯头，直接）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1、名称：DN80镀锌配件（活接、三通，弯头，直接）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35.89</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1、名称：DN100镀锌配件（三通，弯头，直接）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2、品牌：金洲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3、规格:DN20-32*3mm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59.83</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3、规格:DN40*3mm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71.58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3、规格:DN50*3mm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86.57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3、规格:DN65*3mm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3、规格:DN80*4mm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119.32</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3、规格:DN100*4mm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145.45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3、规格:DN125*5mm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168.74</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3、规格:DN20-50*3mm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91.52</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3、规格:DN51-80*3.5mm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101.64</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3、规格:DN81-100*4mm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114.4</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1、名称:无缝钢管配件（含三通，弯头）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3、规格:DN125*5mm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153.82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3、规格:DN20-32*3mm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140.25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3、规格:DN45*3mm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171.11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3、规格:DN57*3mm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3、规格:DN76*3mm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290.69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3、规格:DN89*4mm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378.89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3、规格:DN108*4mm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3、规格:DN133*4mm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504.36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焊接不锈钢管管件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3、规格:DN20-50*3mm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186.97</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焊接不锈钢管管件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3、规格:DN65-89*3mm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242.15</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焊接不锈钢管管件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3、规格:DN108*4mm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325.51</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焊接不锈钢管管件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1、名称:焊接不锈钢管配件（含三通，弯头）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3、规格:DN133*5mm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381.83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1、名称：DN100-DN125卡箍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1、名称：DN150-DN200卡箍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88.98</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1、名称：DN100-DN125卡箍（三通、大小头）弯头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127.28</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1、名称：DN150-DN200卡箍（三通、大小头）弯头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158.81</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1、名称：DN100-DN125卡箍法兰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144.17</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卡箍配件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1、名称：DN150-DN200卡箍（三通、大小头）弯头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158.81</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1、名称：金属垫片DN20-DN50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12.73</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1、名称：金属垫片DN65-DN100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16.11</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1、名称：金属垫片DN125-DN200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20.05</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四氟垫片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1、名称：四氟垫片DN20-DN50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11.28</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四氟垫片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1、名称：四氟垫片DN65-DN100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16.79</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四氟垫片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1、名称：四氟垫片DN125-DN200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34.69</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1、名称：橡塑（铝板）管道保温（综合考滤阀门、三通、弯头）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2、品牌规格：华美；厚2CM （DN20-DN50）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98.61</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1、名称：橡塑铝板管道保温（综合考滤阀门、三通、弯头）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2、品牌规格：华美；厚3CM （DN65-DN100）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110.6</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其他管道绝热</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1、名称：橡塑铝板管道保温（综合考滤阀门、三通、弯头）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2、品牌规格：华美；厚3CM （DN125-DN200）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140.48</w:t>
            </w:r>
            <w:r/>
          </w:p>
        </w:tc>
      </w:tr>
      <w:tr>
        <w:trPr>
          <w:jc w:val="center"/>
          <w:trHeight w:val="465"/>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洁具五金龙头</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1、名称:立柱盆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841.87</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1、名称:坐便器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1417.54</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1、名称:坐便器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2、品牌:法恩莎（FB16188）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1623.21</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1、名称:坐便器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2、品牌:和成（C1984K）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1837.98</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1、名称:蹲便器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2、品牌型号:九牧（综合型号）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937.9</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1、名称:蹲便器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2、品牌型号:法恩莎（5607C）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993.03</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1、名称:蹲便器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2、品牌型号:和成C106D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1142.12</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3、品牌型号:九牧（16寸-22寸）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957.12</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3、品牌型号:法恩莎（FP4606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1165.18</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3、品牌型号:和成（16寸-22寸）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1305.6</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1、名称:拖把池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2、品牌型号:九牧（综合大、中、小号）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608.64</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1、名称:感应（冷热水）龙头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2、品牌型号:九牧（51E1180）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894.16</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1、名称:感应（冷热水）龙头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2、品牌型号:欣佳盟62A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1562.04</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1、名称:感应（冷热水）龙头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2、品牌型号:洁利来GL1051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2465.44</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1、名称:开水炉龙头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2、品牌:腾飞（综合型号）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153.93</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1、名称:龙头水嘴（冷水加长）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66.68</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1、名称:单冷高抛龙头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2、品牌:科贝（综合型号）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414.35</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1、名称:高抛龙头（冷热水）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2、品牌:科贝、法恩莎（综合型号）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763.84</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1、名称:台盆双联龙头（冷热水）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2、品牌:科贝、法恩莎（综合型号）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838.51</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1、名称:台盆双联龙头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1206.97</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2、品牌:科贝、法恩莎（综合型号）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801.13</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1、名称:小便器（感应）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2、品牌型号:九牧（D款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1630.25</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1、名称:小便器（感应）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2、品牌型号:法恩莎（FN6655C）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1795.63</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小便按压冲洗阀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1、名称:小便按压冲洗阀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333.69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1、名称:小便感应冲洗阀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2、品牌:法恩莎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930.47</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1、名称:小便感应冲洗阀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890.33</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1、名称:小便冲洗阀维修（含配件如、感应面板、电磁阀、电池盒;包干）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450.53</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大便冲洗阀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1、名称:大便冲洗阀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388.58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大便冲洗阀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1、名称:大便冲洗阀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2、品牌:法恩莎（F87881）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957.37</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大便冲洗阀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1、名称:脚踏大便冲洗阀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2、品牌:和成（CF636NT）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1351.59</w:t>
            </w:r>
            <w:r/>
          </w:p>
        </w:tc>
      </w:tr>
      <w:tr>
        <w:trPr>
          <w:jc w:val="center"/>
          <w:trHeight w:val="13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大便冲洗阀维修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1、名称:脚踏大便冲洗阀维修（含配件如：虹吸管、阀芯、脚踏板；包干）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2、品牌:和成（CF636NT）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288.34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1、名称:高抛龙头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2、品牌:九牧（综合型号）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462.94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混水阀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1、名称:混水阀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2、品牌:国标（DN16-20）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225.26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淋浴转换器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1、名称:淋浴转换器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280.46</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坐便器维修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1、名称:坐便器维修（含配件如水箱洁具、进水阀、按钮、打胶包干）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2、品牌:和成、法恩莎、九牧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349.75</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便盖</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1、名称:便盖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112.63</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便盖</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1、名称:HCG便盖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506.84</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便盖</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1、名称:便盖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2、品牌:法恩莎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405.48</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台盆落水头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1、名称:台盆落水头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131.78</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台盆不锈钢下水管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1、名称:台盆不锈钢下水管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 长度50CM-100CM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94.61</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波纹下水管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1、名称:台盆波纹带钢丝伸缩下水管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 长度50CM-100CM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69.84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淋浴喷头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1、名称:淋浴喷头（含手持花洒）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70.39</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大喷头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1、名称:淋浴大喷头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1、名称:淋浴软管（80CM-150CM)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63.08</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淋浴底座</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1、名称:淋浴底座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金属编织软管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1、名称:金属编织软管(长度30-60Cm)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金属编织软管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1、名称:金属编织软管(长度80-120Cm)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57.44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金属编织软管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1、名称:金属编织软管(长度150-200Cm)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1、名称:压力表（含检测费）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2、品牌:富阳0-16KG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212.91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1、名称:电接点压力表（含检测费）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2、品牌:富阳0-16KG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312.84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表弯</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1、名称:不锈钢表弯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2、品牌型号:国标（DN16）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r>
      <w:tr>
        <w:trPr>
          <w:jc w:val="center"/>
          <w:trHeight w:val="11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旋赛阀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1、名称:全铜三通旋赛阀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2、品牌型号:国标（大中小DN16）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112.63</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1、名称:角阀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43.93</w:t>
            </w:r>
            <w:r/>
          </w:p>
        </w:tc>
      </w:tr>
      <w:tr>
        <w:trPr>
          <w:jc w:val="center"/>
          <w:trHeight w:val="405"/>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三通分水角阀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1、名称:三通分水角阀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2、品牌:九牧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61.94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1、名称:不锈钢地漏（含地漏盖）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64.47</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铜（内）外丝（加长）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1、名称:铜（内）外丝（加长）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2、品牌型号:国标（DN16-20）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铜扣三通</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1、名称:铜扣三通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2、品牌型号:国标（DN16-20）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铜质方内三通</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1、名称:铜质方内三通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2、品牌型号:国标（DN16-20）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1、名称:双金属温度计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2、品牌型号:上戈WSS-511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370.1</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1、名称:水泵自动控制电子压力开关CM3-3PC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2、品牌:格兰富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3、型号：CM3-3PC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518.67</w:t>
            </w:r>
            <w:r/>
          </w:p>
        </w:tc>
      </w:tr>
      <w:tr>
        <w:trPr>
          <w:jc w:val="center"/>
          <w:trHeight w:val="465"/>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阀门、法兰</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1、名称:DN16铜快开阀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80.38</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1、名称:DN20铜快开阀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100.68</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1、名称:DN25铜快开阀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126.1</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1、名称:DN32铜快开阀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183.69</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1、名称:DN40铜快开阀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276.07</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1、名称:DN50铜快开阀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383.69</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1、名称:铜质Y型过滤器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2、品牌:埃美柯（DN16-DN32）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228.7</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1、名称:铜质Y型过滤器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2、品牌:埃美柯（DN40-DN50）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458.9</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2、品牌:埃美柯（DN65-DN80）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730.09</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1、名称:法兰Y型过滤器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898.05</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1、名称:PPR25双活节球阀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151.73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1、名称:PPR32双活节球阀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162.44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1、名称:PPR40双活节球阀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1、名称:PPR50双活节球阀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253.82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1、名称:PPR63双活节球阀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2、品牌:公元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465.87</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1、名称:DN20-DN40丝扣铜止回阀（铸铁）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373.84</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1、名称:DN50止回阀（铸铁）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754.25</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1、名称:DN65止回阀（铸铁）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864.03</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1、名称:DN80止回阀（铸铁）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952.14</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1、名称:DN100止回阀（铸铁）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1192.23</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1、名称:DN150止回阀（铸铁）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3、步骤:停水关相应阀门，更换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1402.72</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890.86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1096.07</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1300.78</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1681.88</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1861.15</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2051.15</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1、名称:铸铁闸阀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2718.99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1、名称:法兰橡胶软接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2、品牌型号:上海阀门二厂（DN50-DN65）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582.76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1、名称:法兰橡胶软接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2、品牌型号:上海阀门二厂（DN80-DN100）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883.27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1、名称:法兰橡胶软接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2、品牌型号:上海阀门二厂（DN125-DN150）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1530.77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1、名称:法兰橡胶软接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2、品牌型号:上海阀门二厂（DN200-DN300）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3417.51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软接头(软管)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1、名称:法兰橡胶软接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2、品牌型号:上海阀门二厂（DN300-DN400）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4378.68</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1、名称:法兰铜闸阀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1346.02</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1、名称:法兰铜闸阀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1748.6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1、名称:法兰铜闸阀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2117.5</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1、名称:法兰铜闸阀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2365.69</w:t>
            </w:r>
            <w:r/>
          </w:p>
        </w:tc>
      </w:tr>
      <w:tr>
        <w:trPr>
          <w:jc w:val="center"/>
          <w:trHeight w:val="1229"/>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1、名称:薄膜式蒸汽减压阀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19365.8</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1、名称:薄膜式蒸汽减压阀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21967.11</w:t>
            </w:r>
            <w:r/>
          </w:p>
        </w:tc>
      </w:tr>
      <w:tr>
        <w:trPr>
          <w:jc w:val="center"/>
          <w:trHeight w:val="1159"/>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2、品牌:斯派莎克（FTGS14-10）DN20-DN32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4687.74</w:t>
            </w:r>
            <w:r/>
          </w:p>
        </w:tc>
      </w:tr>
      <w:tr>
        <w:trPr>
          <w:jc w:val="center"/>
          <w:trHeight w:val="118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2、品牌:斯派莎克（FTGS14-10）DN40-DN50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8033.01</w:t>
            </w:r>
            <w:r/>
          </w:p>
        </w:tc>
      </w:tr>
      <w:tr>
        <w:trPr>
          <w:jc w:val="center"/>
          <w:trHeight w:val="1185"/>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1、名称:桶式法兰疏水阀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2、品牌:上海英桥（铸钢）（DN20-DN25）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1185.21</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1、名称:桶式法兰疏水阀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2、品牌:上海英桥（铸钢）（DN32-DN40）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1600.65</w:t>
            </w:r>
            <w:r/>
          </w:p>
        </w:tc>
      </w:tr>
      <w:tr>
        <w:trPr>
          <w:jc w:val="center"/>
          <w:trHeight w:val="115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1、名称:桶式法兰疏水阀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2、品牌:上海英桥（铸钢）DN50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1923.4</w:t>
            </w:r>
            <w:r/>
          </w:p>
        </w:tc>
      </w:tr>
      <w:tr>
        <w:trPr>
          <w:jc w:val="center"/>
          <w:trHeight w:val="121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1、名称:桶式法兰疏水阀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2、品牌:上海英桥（铸钢）DN65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3、步骤:停气、拆除、更换、保温、调试。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3042.47</w:t>
            </w:r>
            <w:r/>
          </w:p>
        </w:tc>
      </w:tr>
      <w:tr>
        <w:trPr>
          <w:jc w:val="center"/>
          <w:trHeight w:val="115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1、名称:丝扣安全阀（含校验费）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2、品牌型号:永一DN15-DN32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398.33</w:t>
            </w:r>
            <w:r/>
          </w:p>
        </w:tc>
      </w:tr>
      <w:tr>
        <w:trPr>
          <w:jc w:val="center"/>
          <w:trHeight w:val="11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1、名称:丝扣安全阀（含校验费）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2、品牌型号:永一DN40-DN50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787.82</w:t>
            </w:r>
            <w:r/>
          </w:p>
        </w:tc>
      </w:tr>
      <w:tr>
        <w:trPr>
          <w:jc w:val="center"/>
          <w:trHeight w:val="1229"/>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2、品牌型号:永一DN40-DN50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894.72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994.65</w:t>
            </w:r>
            <w:r/>
          </w:p>
        </w:tc>
      </w:tr>
      <w:tr>
        <w:trPr>
          <w:jc w:val="center"/>
          <w:trHeight w:val="110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1908.75</w:t>
            </w:r>
            <w:r/>
          </w:p>
        </w:tc>
      </w:tr>
      <w:tr>
        <w:trPr>
          <w:jc w:val="center"/>
          <w:trHeight w:val="12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1、名称:法兰安全阀（含校验费）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2415.36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4456.93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5817.62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8033.01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8960.25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10365.4</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2、品牌:斯派莎克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11714.71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503.93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677.81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916.93</w:t>
            </w:r>
            <w:r/>
          </w:p>
        </w:tc>
      </w:tr>
      <w:tr>
        <w:trPr>
          <w:jc w:val="center"/>
          <w:trHeight w:val="1115"/>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1027.91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1164.98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1、名称:蒸汽截止阀DN100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1399.08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1、名称:蒸汽减压阀DN65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2376.95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1、名称:蒸汽减压阀DN80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2、品牌:上海一博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2855.78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1、名称:不锈钢浮球阀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2、品牌:埃美柯DN16-DN32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200.69</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1、名称:不锈钢浮球阀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2、品牌:埃美柯DN40-DN65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453.4</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1、名称:遥控浮球阀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3946.51</w:t>
            </w:r>
            <w:r/>
          </w:p>
        </w:tc>
      </w:tr>
      <w:tr>
        <w:trPr>
          <w:jc w:val="center"/>
          <w:trHeight w:val="151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1、名称:遥控浮球阀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4343.52</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1、名称:遥控浮球阀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5700.38</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1、类型:自动排气阀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2、型号、规格:DN20-DN25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245.1</w:t>
            </w:r>
            <w:r/>
          </w:p>
        </w:tc>
      </w:tr>
      <w:tr>
        <w:trPr>
          <w:jc w:val="center"/>
          <w:trHeight w:val="151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1、类型:自动排气阀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2、型号、规格:DN25-DN50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360.5</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1、类型:电动真空电磁阀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2、型号、规格:（DN50-DN100）DDC-JQ88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3、品牌:阀门二厂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3957.29</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3、型号：DN25-DN50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833.6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3、型号：DN65-DN100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904.07</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3、型号：DN125-DN150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2049.27</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3934.42</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1、名称:法兰式翼式水表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6918.16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管道抢修器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1、名称:管道抢修器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3、型号、规格:DN15-DN50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225.26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管道抢修器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1、名称:管道抢修器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3、型号、规格:DN65-DN100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371.69</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管道抢修器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1、名称:管道抢修器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3、型号、规格:DN125-DN200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675.79</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1、名称:304不锈钢法兰波纹编织伸缩节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2、品牌规格:国标DN25-DN50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3、步骤:检查，关闭相应阀门、拆除、更换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814.21</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1、名称:304不锈钢法兰波纹编织伸缩节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2、品牌规格:国标DN65-DN150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3、步骤:检查，关闭相应阀门、拆除、更换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2102.22</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1、名称:304不锈钢法兰波纹编织伸缩节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2、品牌规格:国标DN200-300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3、步骤:检查，关闭相应阀门、拆除、更换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3002.7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低压不锈钢法兰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1、名称：DN20-50不锈钢法兰16kg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179.97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低压不锈钢法兰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1、名称：DN65-100不锈钢法兰16kg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239.24</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低压不锈钢法兰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1、名称：DN125-200不锈钢法兰16kg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676.26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低压碳钢焊接法兰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1、名称：DN20-50碳钢法兰16kg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65.36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低压碳钢焊接法兰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1、名称：DN65-100碳钢法兰16kg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102.91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低压碳钢焊接法兰</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1、名称：DN125-200碳钢法兰16kg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256.9</w:t>
            </w:r>
            <w:r/>
          </w:p>
        </w:tc>
      </w:tr>
      <w:tr>
        <w:trPr>
          <w:jc w:val="center"/>
          <w:trHeight w:val="18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1、名称:安全阀校验[含丝扣]（含校验修理费）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2、品牌型号:永一DN15-DN32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330.86</w:t>
            </w:r>
            <w:r/>
          </w:p>
        </w:tc>
      </w:tr>
      <w:tr>
        <w:trPr>
          <w:jc w:val="center"/>
          <w:trHeight w:val="17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1、名称:安全阀校验（含校验修理费）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2、品牌型号:永一DN40-DN50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454.46</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1、名称:安全阀校验（含校验修理费）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554.25</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1、名称:安全阀校验（含校验修理费）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582.4</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1、名称:安全阀校验（含校验修理费）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2、品牌型号:永一DN100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692.59</w:t>
            </w:r>
            <w:r/>
          </w:p>
        </w:tc>
      </w:tr>
      <w:tr>
        <w:trPr>
          <w:jc w:val="center"/>
          <w:trHeight w:val="15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压力表校验</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1、名称:压力表校验（含校验修理费）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2、品牌型号:富阳Y160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90.11</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压力表校验</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1、名称:压力表校验（含校验修理费）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2、品牌型号:富阳Y100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95.73</w:t>
            </w:r>
            <w:r/>
          </w:p>
        </w:tc>
      </w:tr>
      <w:tr>
        <w:trPr>
          <w:jc w:val="center"/>
          <w:trHeight w:val="14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压力表校验</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1、名称:电接点压力表校验（含校验修理费）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2、品牌型号:富阳Y160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3、步骤:关闭水阀，拆除阀体、来回运输、安装、调试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191.47</w:t>
            </w:r>
            <w:r/>
          </w:p>
        </w:tc>
      </w:tr>
      <w:tr>
        <w:trPr>
          <w:jc w:val="center"/>
          <w:trHeight w:val="451"/>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水泵、风机、设备</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2、品牌:上海凯源泵业有限公司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3、型号、80WQ40-33-7.5（7.5KW)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4、步骤:人工穿防护服（有限空间），高压水枪清洗清淤水池，拆装调试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15219.7</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2、品牌:上海凯源泵业有限公司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3、型号、65WQ30-25-5.5（5.5KW)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4、步骤:人工穿防护服（有限空间），高压水枪清洗清淤水池，拆装调试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13355.44</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2、品牌:上海凯源泵业有限公司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3、型号、50WQ5-20-2.2（2.5KW)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4、步骤:人工穿防护服（有限空间），高压水枪清洗清淤水池，拆装调试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6331.47</w:t>
            </w:r>
            <w:r/>
          </w:p>
        </w:tc>
      </w:tr>
      <w:tr>
        <w:trPr>
          <w:jc w:val="center"/>
          <w:trHeight w:val="16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2、品牌:上海凯源泵业有限公司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3、型号、50WQ15-15-1.5（1.5KW)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4、步骤:人工穿防护服（有限空间），高压水枪清洗清淤水池，拆装调试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5540.03</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2、品牌:人民企业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3、型号、65WQ20-18-2.2KW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2348.18</w:t>
            </w:r>
            <w:r/>
          </w:p>
        </w:tc>
      </w:tr>
      <w:tr>
        <w:trPr>
          <w:jc w:val="center"/>
          <w:trHeight w:val="16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2、品牌:上海熊猫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3、型号、50XWQ20-15-2.2-2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4、步骤:人工穿防护服（有限空间），高压水枪清洗清淤水池，拆装调试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8815.46</w:t>
            </w:r>
            <w:r/>
          </w:p>
        </w:tc>
      </w:tr>
      <w:tr>
        <w:trPr>
          <w:jc w:val="center"/>
          <w:trHeight w:val="14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1、名称:立式单级离心泵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2、品牌:鑫泰洲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3、型号、2.2KW（IRG：50-160A)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2225.9</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1、名称:离心泵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2、品牌:格兰富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3、型号；（CMS-2A -R -A-E-AVBEF-A-A-N)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10822.9</w:t>
            </w:r>
            <w:r/>
          </w:p>
        </w:tc>
      </w:tr>
      <w:tr>
        <w:trPr>
          <w:jc w:val="center"/>
          <w:trHeight w:val="14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1、名称:立式多级离心泵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2、品牌:格兰富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3、型号；1.5KW（CR10-04.A-EJ-A-E)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15537.49</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1、名称:热水循环泵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2、品牌:格兰富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3、型号、2.2KW（MG71B230/400-2B3-F)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11821.9</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1、名称:热水循环泵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2、品牌:格兰富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3、型号、DN40（cm10-2)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12685.43</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1、名称:热水循环泵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2、品牌:荏原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3、型号、DN80（CDXHSW/A 70/05)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13620.86</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1、名称:潜水泵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2、品牌:人民企业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3、型号、750W-1.5KW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1513.62</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1、名称:底水位自吸泵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2、品牌:美达斯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3、型号、600W-1.5KW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1892.22</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防水专用电机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1、名称:防水专用电机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2、品牌:浩方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3、型号、15KW冷却塔4极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8832.4</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变频电机</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1、名称:变频电机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2、品牌:新大力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3、型号：YVF2-160L-2P-18.5KW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6108.88</w:t>
            </w:r>
            <w:r/>
          </w:p>
        </w:tc>
      </w:tr>
      <w:tr>
        <w:trPr>
          <w:jc w:val="center"/>
          <w:trHeight w:val="1222"/>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调节阀</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1、名称:二通阀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2、品牌:西门子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3、型号：VVP45.25-10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1947.35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执行机构</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1、名称:执行器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2、品牌:西门子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3、型号：SSC819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2608.24</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执行机构</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1、名称:电动比例积分调节阀执行器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2、品牌:西门子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3、型号：SBV61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6888.27</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流量仪表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1、名称:管道流量计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2、品牌:帝江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325.8</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1、名称:全铜电磁阀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2、品牌:埃美柯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3、型号：电压220V（DN16-DN20）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332.81</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1、名称:商用水处理净水设备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2、品牌:泉美嘉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3、型号：（RO-0.5T）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21384.7</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1、名称:商用水处理净水设备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2、品牌:泉美嘉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3、型号：（RO-0.25T）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17187.71</w:t>
            </w:r>
            <w:r/>
          </w:p>
        </w:tc>
      </w:tr>
      <w:tr>
        <w:trPr>
          <w:jc w:val="center"/>
          <w:trHeight w:val="13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净水处理设备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1、名称:商用水处理净水设备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2、品牌:泉美嘉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3、型号：（RO-800G）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16288.35</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维修电动机坏</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1、名称:维修电动机（更换绕线圈、轴承）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2、品牌:西门子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2334.73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主动轮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1、名称:冷却塔主动轮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3、型号、5级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662.43</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水泵机械密封</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1、名称:水泵机械密封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2、品牌:荏源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3、型号：（132KW）CCC58B-OEM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6420.03</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水泵轴承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1、名称:水泵轴承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2、品牌:荏源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3、型号：（132KW）CCC58B-OEM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1213.53</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水泵O型圈</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1、名称:水泵侧盖O型圈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2、品牌:荏源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3、型号：（132KW）CCC58B-OEM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85.5</w:t>
            </w:r>
            <w:r/>
          </w:p>
        </w:tc>
      </w:tr>
      <w:tr>
        <w:trPr>
          <w:jc w:val="center"/>
          <w:trHeight w:val="2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1、名称:110KW水泵维修（含配件机械密封，水泵及电机配套轴承）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3、型号：Wilo0Atmos TERA-SCH(110KW）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12411.12</w:t>
            </w:r>
            <w:r/>
          </w:p>
        </w:tc>
      </w:tr>
      <w:tr>
        <w:trPr>
          <w:jc w:val="center"/>
          <w:trHeight w:val="18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1、名称:90KW水泵维修（含配件机械密封，水泵及电机配套轴承）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3、型号：Wilo0Atmos TERA-SCH(90KW）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9745.04</w:t>
            </w:r>
            <w:r/>
          </w:p>
        </w:tc>
      </w:tr>
      <w:tr>
        <w:trPr>
          <w:jc w:val="center"/>
          <w:trHeight w:val="18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1、名称:45KW水泵维修（含配件机械密封，水泵及电机配套轴承）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3、型号：NLG200/315-45/4(45KW）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7915.33</w:t>
            </w:r>
            <w:r/>
          </w:p>
        </w:tc>
      </w:tr>
      <w:tr>
        <w:trPr>
          <w:jc w:val="center"/>
          <w:trHeight w:val="18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1、名称:37KW水泵维修（含配件机械密封，水泵及电机配套轴承）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GIGA-N150/315-37/4(37KW）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5791.86</w:t>
            </w:r>
            <w:r/>
          </w:p>
        </w:tc>
      </w:tr>
      <w:tr>
        <w:trPr>
          <w:jc w:val="center"/>
          <w:trHeight w:val="18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GIGA-N150/315-30/4(30KW）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5332.18</w:t>
            </w:r>
            <w:r/>
          </w:p>
        </w:tc>
      </w:tr>
      <w:tr>
        <w:trPr>
          <w:jc w:val="center"/>
          <w:trHeight w:val="17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1、名称:22KW水泵维修（含配件机械密封，水泵及电机配套轴承）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GIGA-N125/315/22/4（22KW)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4808.16</w:t>
            </w:r>
            <w:r/>
          </w:p>
        </w:tc>
      </w:tr>
      <w:tr>
        <w:trPr>
          <w:jc w:val="center"/>
          <w:trHeight w:val="17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水泵维修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1、名称:15KW水泵维修（含配件机械密封，水泵及电机配套轴承）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GIGA-N100/250-15/4(15KW）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4、步骤:停水、搭设起重设备，泵体拆解，更换、装配、动平衡、调试、恢复使用。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4228.97</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3、型号：Wilo0Atmos TERA-SCH(110KW）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8825.69</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3、型号：Wilo0Atmos TERA-SCH(90KW）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8053.44</w:t>
            </w:r>
            <w:r/>
          </w:p>
        </w:tc>
      </w:tr>
      <w:tr>
        <w:trPr>
          <w:jc w:val="center"/>
          <w:trHeight w:val="151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3、型号：NLG200/315-45/4(45KW）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6619.26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GIGA-N150/315-37/4(37KW）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6619.26</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GIGA-N150/315-30/4(30KW）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6067.66</w:t>
            </w:r>
            <w:r/>
          </w:p>
        </w:tc>
      </w:tr>
      <w:tr>
        <w:trPr>
          <w:jc w:val="center"/>
          <w:trHeight w:val="1513"/>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GIGA-N125/315/22/4（22KW)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4872.51</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联轴器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1、名称:联轴器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2、品牌:威乐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3、型号：Atmos GIGA-N100/250-15/4(15KW）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4468.01</w:t>
            </w:r>
            <w:r/>
          </w:p>
        </w:tc>
      </w:tr>
      <w:tr>
        <w:trPr>
          <w:jc w:val="center"/>
          <w:trHeight w:val="15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花纹钢板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1、名称:花纹钢板（制作各类盖板）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2、品牌:宝钢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3、型号：厚5mm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4、步骤:制作、安装、刷漆、辅材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202.74</w:t>
            </w:r>
            <w:r/>
          </w:p>
        </w:tc>
      </w:tr>
      <w:tr>
        <w:trPr>
          <w:jc w:val="center"/>
          <w:trHeight w:val="12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围栏</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1、名称:制作围栏镀锌钢管DN25（方管）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3、型号：4*4，DN25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4、步骤:制作、安装、刷漆、辅材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405.48</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槽钢制作</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1、名称:镀锌槽钢制作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87.27</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角钢制作</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1、名称:镀锌角钢制作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3、型号：L4*4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4、步骤:制作、安装、刷漆、辅材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40.61</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角钢制作</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1、名称:镀锌角钢制作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3、型号：L5*5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4、步骤:制作、安装、刷漆、辅材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w:t>
            </w:r>
            <w:r/>
          </w:p>
        </w:tc>
      </w:tr>
      <w:tr>
        <w:trPr>
          <w:jc w:val="center"/>
          <w:trHeight w:val="1498"/>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治疗车剪刀链条</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1、名称:治疗车剪刀链条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4、步骤:更换，安装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24.78</w:t>
            </w:r>
            <w:r/>
          </w:p>
        </w:tc>
      </w:tr>
      <w:tr>
        <w:trPr>
          <w:jc w:val="center"/>
          <w:trHeight w:val="480"/>
        </w:trPr>
        <w:tc>
          <w:tcPr>
            <w:gridSpan w:val="6"/>
            <w:shd w:val="clear" w:color="auto" w:fill="bfbfbf"/>
            <w:tcBorders>
              <w:top w:val="single" w:color="000000" w:sz="4" w:space="0"/>
              <w:left w:val="single" w:color="000000" w:sz="4"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其它</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遮阳网</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1、名称：加厚加密黑色双层太阳遮阳网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2、品牌：国标，人工安装在层顶玻璃上，固定。</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8.45</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包塑钢丝</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1、名称：包塑钢丝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2、规格：国标5M/M人工安装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5.63</w:t>
            </w:r>
            <w:r/>
          </w:p>
        </w:tc>
      </w:tr>
      <w:tr>
        <w:trPr>
          <w:jc w:val="center"/>
          <w:trHeight w:val="6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膨胀钩</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名称：膨胀钩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型号：10mm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r>
      <w:tr>
        <w:trPr>
          <w:jc w:val="center"/>
          <w:trHeight w:val="625"/>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机械开孔</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1、名称：机械开孔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2、型号：DN50-90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89.94</w:t>
            </w:r>
            <w:r/>
          </w:p>
        </w:tc>
      </w:tr>
      <w:tr>
        <w:trPr>
          <w:jc w:val="center"/>
          <w:trHeight w:val="625"/>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机械开孔</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1、名称：机械开孔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2、型号：DN100-200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119.92</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1、名称：人工开墙槽（混凝土）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2、宽深5-10Cm*5CM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不锈钢阳光棚</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1、名称：不锈钢阳光棚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2、定制304不锈钢阳光雨棚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不锈钢骨架，上附阳光板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1238.95</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不锈钢栏杆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1、名称：不锈钢栏杆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2、品牌型号：定制304不锈钢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3、规格：栏杆高度80Cm-120Cm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管径Ø65-25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991.16</w:t>
            </w:r>
            <w:r/>
          </w:p>
        </w:tc>
      </w:tr>
      <w:tr>
        <w:trPr>
          <w:jc w:val="center"/>
          <w:trHeight w:val="1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柜式（异形）水槽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1、名称：柜式（异形）水槽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2、品牌：定制；材质：304不锈钢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3、包安装附件；按投影面积计算</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9010.57</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洗厕配件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1、名称：单杆毛（浴）巾架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2、品牌：卡贝、单杆</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278.82</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洗厕配件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1、名称：双杆毛（浴）巾架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2、品牌：卡贝、单杆</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357.66</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钛空铝挂衣钩</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1、名称：钛空铝挂衣钩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2、品牌：卡贝  1-5钩</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63.46</w:t>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太空铝单层三角篮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1、名称：太空铝单层三角篮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2、品牌型号：卡贝、通用型号</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179.87</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钛空铝置物架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1、名称：钛空铝置物架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2、品牌型号：卡贝、200*100*50mm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279.8</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洗厕配件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1、名称：304不锈钢带平板卷纸架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2、品牌型号：同勒、G12-008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130.7</w:t>
            </w:r>
            <w:r/>
          </w:p>
        </w:tc>
      </w:tr>
      <w:tr>
        <w:trPr>
          <w:jc w:val="center"/>
          <w:trHeight w:val="10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不锈钢浴帘杆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1、名称：不锈钢浴帘杆（含L型）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2、品牌型号：奥氏、Φ25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285.05</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浴帘</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1、名称：浴帘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2、品牌型号：奥氏、1800*2000mm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262.53</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残疾人型扶手</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1、名称：残疾人型扶手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2、品牌型号：帝美特、ZG-7570U</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202.74</w:t>
            </w:r>
            <w:r/>
          </w:p>
        </w:tc>
      </w:tr>
      <w:tr>
        <w:trPr>
          <w:jc w:val="center"/>
          <w:trHeight w:val="9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不锈钢扶手</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1、名称：不锈钢扶手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2、品牌型号：帝美特、Ø32圆长度：40-60CM</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123.9</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通用挂锁</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1、名称：通用挂锁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2、品牌型号：玥玛、SG38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45.05</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电动窗行程限制器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1、名称：电动窗行程限制器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2、品牌型号：唯泰斯、LY-1690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270.32</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螺丝螺帽</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1、名称：螺丝螺帽（含平垫，弹簧垫）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2、品牌型号：国标直径（14-20mm）*长（60-90mm）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9.57</w:t>
            </w:r>
            <w:r/>
          </w:p>
        </w:tc>
      </w:tr>
      <w:tr>
        <w:trPr>
          <w:jc w:val="center"/>
          <w:trHeight w:val="11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维修万（定）向轮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1、名称：万（定）向轮（带刹车）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2、品牌:国标3寸-5寸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3、内容:拆除、焊接、更换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188.09</w:t>
            </w:r>
            <w:r/>
          </w:p>
        </w:tc>
      </w:tr>
      <w:tr>
        <w:trPr>
          <w:jc w:val="center"/>
          <w:trHeight w:val="11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维修万（定）向轮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1、名称:万（定）向轮（带刹车）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2、品牌:国标6寸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3、内容:拆除、焊接、更换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220.76</w:t>
            </w:r>
            <w:r/>
          </w:p>
        </w:tc>
      </w:tr>
      <w:tr>
        <w:trPr>
          <w:jc w:val="center"/>
          <w:trHeight w:val="11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维修万（定）向轮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1、名称:万（定）向轮（带刹车）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2、品牌:国标8寸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3、内容:拆除、焊接、更换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245.53</w:t>
            </w:r>
            <w:r/>
          </w:p>
        </w:tc>
      </w:tr>
      <w:tr>
        <w:trPr>
          <w:jc w:val="center"/>
          <w:trHeight w:val="916"/>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盐水架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1、名称:盐水架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3、内容:更换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141.92</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角钢支架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1、名称:焊接镀锌角钢支架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3、型号：L4*4或L5*5  重量（10Kg内）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4、步骤:制作、安装、油漆</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270.32</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内胎</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1、名称:轮椅（平推车）内胎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2、品牌:朝阳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3、型号：18寸-24寸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76.59</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轮椅（平推车）外胎</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1、名称:轮椅（平推车）外胎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2、品牌:朝阳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3、型号：18寸-24寸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96.87</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钢圈钢圈实心胎</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1、名称:轮椅（平推车）钢圈实心胎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2、品牌:鱼跃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3、型号：18寸-24寸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247.79</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手推车钢圈</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1、名称:手推车钢圈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2、品牌:国标（含轴一套）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3、型号：18寸-24寸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304.11</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免维护轴承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1、名称:免维护轴承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2、品牌:哈尔滨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3、型号：202-206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4、步骤:拆除、安装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77.72</w:t>
            </w:r>
            <w:r/>
          </w:p>
        </w:tc>
      </w:tr>
      <w:tr>
        <w:trPr>
          <w:jc w:val="center"/>
          <w:trHeight w:val="15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1、名称:304不锈钢托盘（根据不同位置定制）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2、品牌型号:定制厚度1.5mm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3、按投影面积计算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4、步骤:折边、制作、焊接、安装</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3649.28</w:t>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成套淋浴房</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1、名称:成套淋浴房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2、品牌型号:定制1000*1000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3041.07</w:t>
            </w:r>
            <w:r/>
          </w:p>
        </w:tc>
      </w:tr>
      <w:tr>
        <w:trPr>
          <w:jc w:val="center"/>
          <w:trHeight w:val="13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定SUS304不锈钢水箱</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1、名称:定SUS304不锈钢水箱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3、步骤:10#槽钢基础，底板厚1.5mm、侧板1.2mm、顶板1.2mm（特殊盖）</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5496.06</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热水器、开水炉</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1、名称:容积式热交换器加热盘管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2、品牌型号:定制（DFHRV-1000-1.5S）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3、步骤:拆除，更换、安装（包含φ25国标优质紫铜管6米，φ18国标优质紫铜管362米，安装人工费及辅材费）</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47105.91</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1、名称:镀锌风管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2、品牌型号:定制（综合弯头、三通、法兰) 0.75mm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3、步骤:拆除，制作、安装、调试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186.65</w:t>
            </w:r>
            <w:r/>
          </w:p>
        </w:tc>
      </w:tr>
      <w:tr>
        <w:trPr>
          <w:jc w:val="center"/>
          <w:trHeight w:val="11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1、名称:铝合金风口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2、品牌型号:定制综合（长500-3000*宽600-3000）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3、步骤:拆除，制作、安装、调试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1050.09</w:t>
            </w:r>
            <w:r/>
          </w:p>
        </w:tc>
      </w:tr>
      <w:tr>
        <w:trPr>
          <w:jc w:val="center"/>
          <w:trHeight w:val="15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1、拆除、搬运、安装、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2、（不限于水槽、卷帘门、栏杆、扶手、配电箱、淋浴、断电、路灯、监护仪、热水器、风机、小厨宝、龙头、风扇，等各类设备）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199.85</w:t>
            </w:r>
            <w:r/>
          </w:p>
        </w:tc>
      </w:tr>
      <w:tr>
        <w:trPr>
          <w:jc w:val="center"/>
          <w:trHeight w:val="16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安装设备</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名称：安装（维修）设备（主材甲供）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1、安装、搬运、调试含辅材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2、（不限于水槽、卷帘门、配电箱、淋浴、断电、路灯、监护仪、热水器、风机、栏杆、扶手、小厨宝、龙头、风扇，等各类设备）</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190.35</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1、名称：拆除立柱（台下）盆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2、拆除立柱盆、搬运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90.5</w:t>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名称：安装立柱（台下）盆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1、拆除立柱盆、搬运，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2、安装主柱盆，调试，含辅材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241.44</w:t>
            </w:r>
            <w:r/>
          </w:p>
        </w:tc>
      </w:tr>
      <w:tr>
        <w:trPr>
          <w:jc w:val="center"/>
          <w:trHeight w:val="931"/>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名称：拆除洁具（坐便器、蹲便器、小便斗）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1、拆除洁具、搬运，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105.58</w:t>
            </w:r>
            <w:r/>
          </w:p>
        </w:tc>
      </w:tr>
      <w:tr>
        <w:trPr>
          <w:jc w:val="center"/>
          <w:trHeight w:val="10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名称：安装洁具（坐便器、蹲便器、小便斗）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1、安装洁具，调试，含辅材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325.08</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供电线路跳闸</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名称：供电线路跳闸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1、检查电气线路跳闸原因；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2、查明原因后，合闸送电；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3、恢复供电。</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94.61</w:t>
            </w:r>
            <w:r/>
          </w:p>
        </w:tc>
      </w:tr>
      <w:tr>
        <w:trPr>
          <w:jc w:val="center"/>
          <w:trHeight w:val="13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供电线路故障</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名称：供电线路故障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1、检查电气线路故障排查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2、查明原因维修，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3、整理线路，恢复供电。</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202.74</w:t>
            </w:r>
            <w:r/>
          </w:p>
        </w:tc>
      </w:tr>
      <w:tr>
        <w:trPr>
          <w:jc w:val="center"/>
          <w:trHeight w:val="15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清洗（止回阀）过滤器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名称：清洗（止回阀）过滤器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1：关闭相应阀门，拆除螺栓清洗并刷油；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2：过滤器滤网清洗，检修过滤网；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4：过滤网安装，螺栓安装，外部刷漆保护。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型号：DN50-DN200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495.58</w:t>
            </w:r>
            <w:r/>
          </w:p>
        </w:tc>
      </w:tr>
      <w:tr>
        <w:trPr>
          <w:jc w:val="center"/>
          <w:trHeight w:val="14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清洗（止回阀）过滤器</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名称：清洗（止回阀）过滤器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1：关闭相应阀门，拆除螺栓清洗并刷油；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2：过滤器滤网清洗，检修过滤网；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4：过滤网安装，螺栓安装，外部刷漆保护。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型号：DN250-DN400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664.53</w:t>
            </w:r>
            <w:r/>
          </w:p>
        </w:tc>
      </w:tr>
      <w:tr>
        <w:trPr>
          <w:jc w:val="center"/>
          <w:trHeight w:val="2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供水管道漏水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名称：供水管道漏水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1：关闭相应阀门；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2：检查整个管道系统，排除具体漏水原因；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3：墙、地、顶面可能需要破碎，找出水管爆裂部位；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4：修复水管爆裂部位，焊接；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5：检查维修情况，恢复管道供水。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型号：DN20-DN100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385.21</w:t>
            </w:r>
            <w:r/>
          </w:p>
        </w:tc>
      </w:tr>
      <w:tr>
        <w:trPr>
          <w:jc w:val="center"/>
          <w:trHeight w:val="10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开水炉维修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名称：开水炉维修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1.检查开水炉故障，维修电路，漏水点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2.清理水箱内的结垢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385.21</w:t>
            </w:r>
            <w:r/>
          </w:p>
        </w:tc>
      </w:tr>
      <w:tr>
        <w:trPr>
          <w:jc w:val="center"/>
          <w:trHeight w:val="1614"/>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维修（感应）龙头</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名称：维修（感应）龙头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1：检查感应龙头线路；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2：拆除相应损坏部位；（含50元以下配件）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3：疏通感应龙头，检查维修相应线路；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4：安装恢复使用龙头。</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195.98</w:t>
            </w:r>
            <w:r/>
          </w:p>
        </w:tc>
      </w:tr>
      <w:tr>
        <w:trPr>
          <w:jc w:val="center"/>
          <w:trHeight w:val="1629"/>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下水管道堵塞</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名称：下水管道堵塞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1：检查下水道堵塞管路；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2：拆除相应下水道使用洁具；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3：拆除堵塞的管道，机械疏通；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4：安装相应下水道使用洁具；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5：恢复维修过程中相关的遗留部位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382.95</w:t>
            </w:r>
            <w:r/>
          </w:p>
        </w:tc>
      </w:tr>
      <w:tr>
        <w:trPr>
          <w:jc w:val="center"/>
          <w:trHeight w:val="1774"/>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下水管道堵塞（极难）</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名称：下水管道堵塞（极难）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1：检查下水道堵塞管路；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2：邀请专业机械疏通公司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3：拆除堵塞的管道，更换管道；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4：安装相应下水道使用洁具；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5：恢复维修过程中相关的遗留部位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1329.06</w:t>
            </w:r>
            <w:r/>
          </w:p>
        </w:tc>
      </w:tr>
      <w:tr>
        <w:trPr>
          <w:jc w:val="center"/>
          <w:trHeight w:val="20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座便器堵塞</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名称：座便器堵塞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1：拆除坐便器，清除坐便器内堵塞异物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2：疏通堵塞下水道；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3：检查疏通情况，并检查整个管路，是否有其它部位堵塞；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4：安装坐便器，检查坐便器冲水使用情况；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5：恢复维修过程中相关的遗留部位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382.95</w:t>
            </w:r>
            <w:r/>
          </w:p>
        </w:tc>
      </w:tr>
      <w:tr>
        <w:trPr>
          <w:jc w:val="center"/>
          <w:trHeight w:val="22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小便斗堵塞</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名称：小便斗堵塞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1：拆除小便斗检查相应管道是否有堵塞情况；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2：疏通堵塞下水道；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3：检查疏通情况，并检查整个管路，是否有其它部位堵塞；</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4：安装小便斗，检查小便斗冲水使用情况；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5：恢复维修过程中相关的遗留部位</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382.95</w:t>
            </w:r>
            <w:r/>
          </w:p>
        </w:tc>
      </w:tr>
      <w:tr>
        <w:trPr>
          <w:jc w:val="center"/>
          <w:trHeight w:val="138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名称：焊接维修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1、电（氩焊）修防盗门、围栏、扶手、推车、垃圾车，候诊椅、不锈钢制品等（含耗材、辅材）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2、焊接其它产品</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202.74</w:t>
            </w:r>
            <w:r/>
          </w:p>
        </w:tc>
      </w:tr>
      <w:tr>
        <w:trPr>
          <w:jc w:val="center"/>
          <w:trHeight w:val="14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检修排污泵</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名称：检修排污泵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1、拆污水泵及排水管路；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2、人工清理泵体、集水井於泥、装袋运输；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3、检修配电箱电路；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4、调试；</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732.11</w:t>
            </w:r>
            <w:r/>
          </w:p>
        </w:tc>
      </w:tr>
      <w:tr>
        <w:trPr>
          <w:jc w:val="center"/>
          <w:trHeight w:val="180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电动窗帘维修</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1：检查电动窗帘供电回路；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2：检查电动窗帘控制系统；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3：检查电动窗帘内部构件；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4：维修电动窗帘；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5：电动窗帘调试运行；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6：恢复使用</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385.21</w:t>
            </w:r>
            <w:r/>
          </w:p>
        </w:tc>
      </w:tr>
      <w:tr>
        <w:trPr>
          <w:jc w:val="center"/>
          <w:trHeight w:val="122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维修技工</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名称：维修技工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1、甲方指定完成一定的工作任务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2、按8小时一个工班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3、包含工具、必要的设备、辅材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405.48</w:t>
            </w:r>
            <w:r/>
          </w:p>
        </w:tc>
      </w:tr>
      <w:tr>
        <w:trPr>
          <w:jc w:val="center"/>
          <w:trHeight w:val="480"/>
        </w:trPr>
        <w:tc>
          <w:tcPr>
            <w:gridSpan w:val="6"/>
            <w:shd w:val="clear" w:color="auto" w:fill="bfbfbf"/>
            <w:tcBorders>
              <w:top w:val="single" w:color="000000" w:sz="4" w:space="0"/>
              <w:left w:val="single" w:color="000000" w:sz="8" w:space="0"/>
              <w:bottom w:val="single" w:color="000000" w:sz="4" w:space="0"/>
              <w:right w:val="single" w:color="000000" w:sz="4" w:space="0"/>
            </w:tcBorders>
            <w:tcW w:w="91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病床及椅子</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病床轮子</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1.病床中控轮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1.品牌型号：国标（5寸-6寸）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2.拆除原轮子，更换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236.53</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病床轮子</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1.病床轮子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品牌型号：国标（3寸-6寸）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2.拆除原轮子，更换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191.47</w:t>
            </w:r>
            <w:r/>
          </w:p>
        </w:tc>
      </w:tr>
      <w:tr>
        <w:trPr>
          <w:jc w:val="center"/>
          <w:trHeight w:val="11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1、名称：升降器液压折叠总成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2、品牌型号：国标，通用型号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3、拆除升降器，更换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486.58</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1、名称：病床床板（含底座支架）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2、品牌型号：国标，通用型号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3、拆除原床板，更换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385.21</w:t>
            </w:r>
            <w:r/>
          </w:p>
        </w:tc>
      </w:tr>
      <w:tr>
        <w:trPr>
          <w:jc w:val="center"/>
          <w:trHeight w:val="104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1、名称：病床摇杆丝杠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2、品牌型号：国标，通用型号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3、拆除原丝杠，更换（配套轴承）</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366.05</w:t>
            </w:r>
            <w:r/>
          </w:p>
        </w:tc>
      </w:tr>
      <w:tr>
        <w:trPr>
          <w:jc w:val="center"/>
          <w:trHeight w:val="1207"/>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1、名称：医用ABS护栏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2、品牌型号：国标，通用型号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3、拆除原护栏，更换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527.11</w:t>
            </w:r>
            <w:r/>
          </w:p>
        </w:tc>
      </w:tr>
      <w:tr>
        <w:trPr>
          <w:jc w:val="center"/>
          <w:trHeight w:val="10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病床配件</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1、名称：病床铝合金护栏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2、品牌型号：国标，4-8档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3、拆除原护栏，更换</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236.53</w:t>
            </w:r>
            <w:r/>
          </w:p>
        </w:tc>
      </w:tr>
      <w:tr>
        <w:trPr>
          <w:jc w:val="center"/>
          <w:trHeight w:val="1260"/>
        </w:trPr>
        <w:tc>
          <w:tcPr>
            <w:shd w:val="clear" w:color="auto" w:fill="auto"/>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维修病床</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名称：维修病床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1：检查病床损坏情况；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2:含80元以下维修材料（如焊接、摇把、放下按钮等）</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259.05</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维修陪客椅</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名称：维修陪客椅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1:检查陪客椅损坏情况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2:含40元以下的维修材料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（焊接，钢绳，轮子）</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114.89</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病床餐桌</w:t>
            </w:r>
            <w:r/>
          </w:p>
        </w:tc>
        <w:tc>
          <w:tcPr>
            <w:shd w:val="clear" w:color="auto" w:fill="auto"/>
            <w:tcBorders>
              <w:top w:val="single" w:color="000000" w:sz="4" w:space="0"/>
              <w:left w:val="single" w:color="000000" w:sz="4" w:space="0"/>
              <w:bottom w:val="single" w:color="000000" w:sz="4" w:space="0"/>
              <w:right w:val="single" w:color="000000" w:sz="4" w:space="0"/>
            </w:tcBorders>
            <w:tcW w:w="42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名称：维修（安装）病床餐桌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1:检查陪客椅损坏情况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2:含30元以下的维修材料</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100.25</w:t>
            </w:r>
            <w:r/>
          </w:p>
        </w:tc>
      </w:tr>
    </w:tbl>
    <w:p>
      <w:pPr>
        <w:ind w:right="119"/>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3"/>
      <w:footerReference w:type="first" r:id="rId14"/>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方正魏碑_GBK">
    <w:panose1 w:val="020B0503020202020204"/>
  </w:font>
  <w:font w:name="黑体">
    <w:panose1 w:val="02010609060101010101"/>
  </w:font>
  <w:font w:name="仿宋_GB2312">
    <w:panose1 w:val="02010609060101010101"/>
  </w:font>
  <w:font w:name="Courier New">
    <w:panose1 w:val="02070309020205020404"/>
  </w:font>
  <w:font w:name="Helvetica Neue">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default" w:eastAsia="宋体"/>
        <w:sz w:val="21"/>
        <w:szCs w:val="21"/>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JSZC-320000-JZCZ-G2026-0012</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17"/>
    <w:link w:val="1011"/>
    <w:uiPriority w:val="9"/>
    <w:rPr>
      <w:rFonts w:ascii="Arial" w:hAnsi="Arial" w:eastAsia="Arial" w:cs="Arial"/>
      <w:sz w:val="40"/>
      <w:szCs w:val="40"/>
    </w:rPr>
  </w:style>
  <w:style w:type="character" w:styleId="847">
    <w:name w:val="Heading 2 Char"/>
    <w:basedOn w:val="1017"/>
    <w:link w:val="1012"/>
    <w:uiPriority w:val="9"/>
    <w:rPr>
      <w:rFonts w:ascii="Arial" w:hAnsi="Arial" w:eastAsia="Arial" w:cs="Arial"/>
      <w:sz w:val="34"/>
    </w:rPr>
  </w:style>
  <w:style w:type="character" w:styleId="848">
    <w:name w:val="Heading 3 Char"/>
    <w:basedOn w:val="1017"/>
    <w:link w:val="1013"/>
    <w:uiPriority w:val="9"/>
    <w:rPr>
      <w:rFonts w:ascii="Arial" w:hAnsi="Arial" w:eastAsia="Arial" w:cs="Arial"/>
      <w:sz w:val="30"/>
      <w:szCs w:val="30"/>
    </w:rPr>
  </w:style>
  <w:style w:type="character" w:styleId="849">
    <w:name w:val="Heading 4 Char"/>
    <w:basedOn w:val="1017"/>
    <w:link w:val="1014"/>
    <w:uiPriority w:val="9"/>
    <w:rPr>
      <w:rFonts w:ascii="Arial" w:hAnsi="Arial" w:eastAsia="Arial" w:cs="Arial"/>
      <w:b/>
      <w:bCs/>
      <w:sz w:val="26"/>
      <w:szCs w:val="26"/>
    </w:rPr>
  </w:style>
  <w:style w:type="character" w:styleId="850">
    <w:name w:val="Heading 5 Char"/>
    <w:basedOn w:val="1017"/>
    <w:link w:val="1015"/>
    <w:uiPriority w:val="9"/>
    <w:rPr>
      <w:rFonts w:ascii="Arial" w:hAnsi="Arial" w:eastAsia="Arial" w:cs="Arial"/>
      <w:b/>
      <w:bCs/>
      <w:sz w:val="24"/>
      <w:szCs w:val="24"/>
    </w:rPr>
  </w:style>
  <w:style w:type="character" w:styleId="851">
    <w:name w:val="Heading 6 Char"/>
    <w:basedOn w:val="1017"/>
    <w:link w:val="1016"/>
    <w:uiPriority w:val="9"/>
    <w:rPr>
      <w:rFonts w:ascii="Arial" w:hAnsi="Arial" w:eastAsia="Arial" w:cs="Arial"/>
      <w:b/>
      <w:bCs/>
      <w:sz w:val="22"/>
      <w:szCs w:val="22"/>
    </w:rPr>
  </w:style>
  <w:style w:type="paragraph" w:styleId="852">
    <w:name w:val="Heading 7"/>
    <w:basedOn w:val="1010"/>
    <w:next w:val="1010"/>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17"/>
    <w:link w:val="852"/>
    <w:uiPriority w:val="9"/>
    <w:rPr>
      <w:rFonts w:ascii="Arial" w:hAnsi="Arial" w:eastAsia="Arial" w:cs="Arial"/>
      <w:b/>
      <w:bCs/>
      <w:i/>
      <w:iCs/>
      <w:sz w:val="22"/>
      <w:szCs w:val="22"/>
    </w:rPr>
  </w:style>
  <w:style w:type="paragraph" w:styleId="854">
    <w:name w:val="Heading 8"/>
    <w:basedOn w:val="1010"/>
    <w:next w:val="1010"/>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17"/>
    <w:link w:val="854"/>
    <w:uiPriority w:val="9"/>
    <w:rPr>
      <w:rFonts w:ascii="Arial" w:hAnsi="Arial" w:eastAsia="Arial" w:cs="Arial"/>
      <w:i/>
      <w:iCs/>
      <w:sz w:val="22"/>
      <w:szCs w:val="22"/>
    </w:rPr>
  </w:style>
  <w:style w:type="paragraph" w:styleId="856">
    <w:name w:val="Heading 9"/>
    <w:basedOn w:val="1010"/>
    <w:next w:val="1010"/>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17"/>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17"/>
    <w:link w:val="1038"/>
    <w:uiPriority w:val="10"/>
    <w:rPr>
      <w:sz w:val="48"/>
      <w:szCs w:val="48"/>
    </w:rPr>
  </w:style>
  <w:style w:type="character" w:styleId="860">
    <w:name w:val="Subtitle Char"/>
    <w:basedOn w:val="1017"/>
    <w:link w:val="1034"/>
    <w:uiPriority w:val="11"/>
    <w:rPr>
      <w:sz w:val="24"/>
      <w:szCs w:val="24"/>
    </w:rPr>
  </w:style>
  <w:style w:type="paragraph" w:styleId="861">
    <w:name w:val="Quote"/>
    <w:basedOn w:val="1010"/>
    <w:next w:val="1010"/>
    <w:link w:val="862"/>
    <w:uiPriority w:val="29"/>
    <w:qFormat/>
    <w:pPr>
      <w:ind w:left="720" w:right="720"/>
    </w:pPr>
    <w:rPr>
      <w:i/>
    </w:rPr>
  </w:style>
  <w:style w:type="character" w:styleId="862">
    <w:name w:val="Quote Char"/>
    <w:link w:val="861"/>
    <w:uiPriority w:val="29"/>
    <w:rPr>
      <w:i/>
    </w:rPr>
  </w:style>
  <w:style w:type="paragraph" w:styleId="863">
    <w:name w:val="Intense Quote"/>
    <w:basedOn w:val="1010"/>
    <w:next w:val="1010"/>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7"/>
    <w:link w:val="1032"/>
    <w:uiPriority w:val="99"/>
  </w:style>
  <w:style w:type="character" w:styleId="866">
    <w:name w:val="Footer Char"/>
    <w:basedOn w:val="1017"/>
    <w:link w:val="1031"/>
    <w:uiPriority w:val="99"/>
  </w:style>
  <w:style w:type="paragraph" w:styleId="867">
    <w:name w:val="Caption"/>
    <w:basedOn w:val="1010"/>
    <w:next w:val="1010"/>
    <w:uiPriority w:val="35"/>
    <w:semiHidden/>
    <w:unhideWhenUsed/>
    <w:qFormat/>
    <w:pPr>
      <w:spacing w:line="276" w:lineRule="auto"/>
    </w:pPr>
    <w:rPr>
      <w:b/>
      <w:bCs/>
      <w:color w:val="4f81bd" w:themeColor="accent1"/>
      <w:sz w:val="18"/>
      <w:szCs w:val="18"/>
    </w:rPr>
  </w:style>
  <w:style w:type="character" w:styleId="868">
    <w:name w:val="Caption Char"/>
    <w:basedOn w:val="867"/>
    <w:link w:val="1031"/>
    <w:uiPriority w:val="99"/>
  </w:style>
  <w:style w:type="table" w:styleId="869">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5">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6">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7">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8">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9">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0">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0">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1">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2">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3">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4">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5">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8">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9">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0">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1">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2">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1">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2">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3">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4">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5">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6">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8">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9">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0">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1">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2">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3">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5">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9">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0"/>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7"/>
    <w:uiPriority w:val="99"/>
    <w:unhideWhenUsed/>
    <w:rPr>
      <w:vertAlign w:val="superscript"/>
    </w:rPr>
  </w:style>
  <w:style w:type="paragraph" w:styleId="997">
    <w:name w:val="endnote text"/>
    <w:basedOn w:val="1010"/>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7"/>
    <w:uiPriority w:val="99"/>
    <w:semiHidden/>
    <w:unhideWhenUsed/>
    <w:rPr>
      <w:vertAlign w:val="superscript"/>
    </w:r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uiPriority w:val="0"/>
    <w:qFormat/>
    <w:pPr>
      <w:jc w:val="both"/>
      <w:widowControl w:val="off"/>
    </w:pPr>
    <w:rPr>
      <w:rFonts w:ascii="Times New Roman" w:hAnsi="Times New Roman" w:eastAsia="宋体" w:cs="Times New Roman"/>
      <w:sz w:val="24"/>
      <w:lang w:val="en-US" w:eastAsia="zh-CN" w:bidi="ar-SA"/>
    </w:rPr>
  </w:style>
  <w:style w:type="paragraph" w:styleId="1011">
    <w:name w:val="Heading 1"/>
    <w:basedOn w:val="1010"/>
    <w:next w:val="1010"/>
    <w:link w:val="1054"/>
    <w:uiPriority w:val="0"/>
    <w:qFormat/>
    <w:pPr>
      <w:keepLines/>
      <w:keepNext/>
      <w:spacing w:before="340" w:after="330" w:line="578" w:lineRule="auto"/>
      <w:outlineLvl w:val="0"/>
    </w:pPr>
    <w:rPr>
      <w:rFonts w:eastAsia="楷体_GB2312"/>
      <w:b/>
      <w:sz w:val="44"/>
    </w:rPr>
  </w:style>
  <w:style w:type="paragraph" w:styleId="1012">
    <w:name w:val="Heading 2"/>
    <w:basedOn w:val="1010"/>
    <w:next w:val="1010"/>
    <w:link w:val="1050"/>
    <w:uiPriority w:val="0"/>
    <w:qFormat/>
    <w:pPr>
      <w:keepLines/>
      <w:keepNext/>
      <w:spacing w:before="260" w:after="260" w:line="416" w:lineRule="auto"/>
      <w:outlineLvl w:val="1"/>
    </w:pPr>
    <w:rPr>
      <w:rFonts w:ascii="Cambria" w:hAnsi="Cambria"/>
      <w:b/>
      <w:bCs/>
      <w:sz w:val="32"/>
      <w:szCs w:val="32"/>
    </w:rPr>
  </w:style>
  <w:style w:type="paragraph" w:styleId="1013">
    <w:name w:val="Heading 3"/>
    <w:basedOn w:val="1010"/>
    <w:next w:val="1010"/>
    <w:uiPriority w:val="0"/>
    <w:semiHidden/>
    <w:unhideWhenUsed/>
    <w:qFormat/>
    <w:pPr>
      <w:ind w:firstLine="0"/>
      <w:keepLines/>
      <w:keepNext/>
      <w:spacing w:before="200"/>
      <w:outlineLvl w:val="2"/>
    </w:pPr>
    <w:rPr>
      <w:rFonts w:eastAsia="宋体" w:asciiTheme="majorAscii" w:hAnsiTheme="majorAscii" w:cstheme="majorBidi"/>
      <w:bCs/>
      <w:color w:val="000000" w:themeColor="text1"/>
      <w:sz w:val="28"/>
      <w:szCs w:val="22"/>
      <w:lang w:eastAsia="en-US" w:bidi="en-US"/>
      <w14:textFill>
        <w14:solidFill>
          <w14:schemeClr w14:val="tx1"/>
        </w14:solidFill>
      </w14:textFill>
    </w:rPr>
  </w:style>
  <w:style w:type="paragraph" w:styleId="1014">
    <w:name w:val="Heading 4"/>
    <w:basedOn w:val="1010"/>
    <w:next w:val="1010"/>
    <w:uiPriority w:val="0"/>
    <w:unhideWhenUsed/>
    <w:qFormat/>
    <w:pPr>
      <w:keepLines/>
      <w:keepNext/>
      <w:spacing w:before="280" w:after="290" w:line="376" w:lineRule="auto"/>
      <w:outlineLvl w:val="3"/>
    </w:pPr>
    <w:rPr>
      <w:rFonts w:ascii="Cambria" w:hAnsi="Cambria"/>
      <w:b/>
      <w:bCs/>
      <w:sz w:val="28"/>
      <w:szCs w:val="28"/>
    </w:rPr>
  </w:style>
  <w:style w:type="paragraph" w:styleId="1015">
    <w:name w:val="Heading 5"/>
    <w:basedOn w:val="1010"/>
    <w:next w:val="1010"/>
    <w:uiPriority w:val="0"/>
    <w:qFormat/>
    <w:pPr>
      <w:ind w:left="1008" w:hanging="432"/>
      <w:jc w:val="center"/>
      <w:keepNext/>
      <w:tabs>
        <w:tab w:val="left" w:pos="1008" w:leader="none"/>
      </w:tabs>
      <w:outlineLvl w:val="4"/>
    </w:pPr>
    <w:rPr>
      <w:rFonts w:ascii="Arial" w:hAnsi="Arial"/>
      <w:sz w:val="32"/>
      <w:szCs w:val="20"/>
    </w:rPr>
  </w:style>
  <w:style w:type="paragraph" w:styleId="1016">
    <w:name w:val="Heading 6"/>
    <w:basedOn w:val="1010"/>
    <w:next w:val="1010"/>
    <w:uiPriority w:val="0"/>
    <w:qFormat/>
    <w:pPr>
      <w:ind w:left="1152" w:hanging="1152"/>
      <w:jc w:val="both"/>
      <w:keepLines/>
      <w:keepNext/>
      <w:spacing w:before="240" w:after="64" w:line="320" w:lineRule="auto"/>
      <w:widowControl w:val="off"/>
      <w:outlineLvl w:val="5"/>
    </w:pPr>
    <w:rPr>
      <w:rFonts w:ascii="Cambria" w:hAnsi="Cambria"/>
      <w:b/>
      <w:bCs/>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Normal Indent"/>
    <w:basedOn w:val="1010"/>
    <w:uiPriority w:val="0"/>
    <w:unhideWhenUsed/>
    <w:qFormat/>
    <w:pPr>
      <w:ind w:firstLine="420"/>
      <w:jc w:val="left"/>
    </w:pPr>
  </w:style>
  <w:style w:type="paragraph" w:styleId="1020">
    <w:name w:val="Document Map"/>
    <w:basedOn w:val="1010"/>
    <w:uiPriority w:val="99"/>
    <w:unhideWhenUsed/>
    <w:qFormat/>
    <w:rPr>
      <w:szCs w:val="18"/>
    </w:rPr>
  </w:style>
  <w:style w:type="paragraph" w:styleId="1021">
    <w:name w:val="annotation text"/>
    <w:basedOn w:val="1010"/>
    <w:uiPriority w:val="0"/>
    <w:qFormat/>
    <w:pPr>
      <w:jc w:val="left"/>
    </w:pPr>
  </w:style>
  <w:style w:type="paragraph" w:styleId="1022">
    <w:name w:val="Body Text"/>
    <w:basedOn w:val="1010"/>
    <w:next w:val="1023"/>
    <w:uiPriority w:val="0"/>
    <w:qFormat/>
    <w:pPr>
      <w:jc w:val="center"/>
    </w:pPr>
    <w:rPr>
      <w:rFonts w:ascii="方正大黑简体" w:eastAsia="方正大黑简体"/>
      <w:position w:val="6"/>
      <w:sz w:val="30"/>
    </w:rPr>
  </w:style>
  <w:style w:type="paragraph" w:styleId="1023">
    <w:name w:val="Body Text First Indent"/>
    <w:basedOn w:val="1022"/>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paragraph" w:styleId="1024">
    <w:name w:val="Body Text Indent"/>
    <w:basedOn w:val="1010"/>
    <w:next w:val="1025"/>
    <w:uiPriority w:val="0"/>
    <w:unhideWhenUsed/>
    <w:qFormat/>
    <w:pPr>
      <w:ind w:firstLine="570"/>
    </w:pPr>
    <w:rPr>
      <w:rFonts w:ascii="宋体"/>
      <w:sz w:val="28"/>
    </w:rPr>
  </w:style>
  <w:style w:type="paragraph" w:styleId="1025">
    <w:name w:val="envelope return"/>
    <w:basedOn w:val="1010"/>
    <w:uiPriority w:val="99"/>
    <w:unhideWhenUsed/>
    <w:qFormat/>
    <w:rPr>
      <w:rFonts w:ascii="Arial" w:hAnsi="Arial"/>
    </w:rPr>
  </w:style>
  <w:style w:type="paragraph" w:styleId="1026">
    <w:name w:val="Block Text"/>
    <w:basedOn w:val="1010"/>
    <w:uiPriority w:val="99"/>
    <w:semiHidden/>
    <w:unhideWhenUsed/>
    <w:qFormat/>
    <w:pPr>
      <w:ind w:left="1440" w:right="1440"/>
      <w:spacing w:after="120"/>
    </w:pPr>
  </w:style>
  <w:style w:type="paragraph" w:styleId="1027">
    <w:name w:val="index 4"/>
    <w:basedOn w:val="1010"/>
    <w:next w:val="1010"/>
    <w:uiPriority w:val="99"/>
    <w:unhideWhenUsed/>
    <w:qFormat/>
    <w:pPr>
      <w:ind w:left="600"/>
    </w:pPr>
  </w:style>
  <w:style w:type="paragraph" w:styleId="1028">
    <w:name w:val="Plain Text"/>
    <w:basedOn w:val="1010"/>
    <w:uiPriority w:val="0"/>
    <w:unhideWhenUsed/>
    <w:qFormat/>
    <w:rPr>
      <w:rFonts w:ascii="宋体" w:hAnsi="Courier New"/>
    </w:rPr>
  </w:style>
  <w:style w:type="paragraph" w:styleId="1029">
    <w:name w:val="Date"/>
    <w:basedOn w:val="1010"/>
    <w:next w:val="1010"/>
    <w:uiPriority w:val="0"/>
    <w:qFormat/>
    <w:pPr>
      <w:ind w:left="100"/>
      <w:jc w:val="both"/>
      <w:widowControl w:val="off"/>
    </w:pPr>
    <w:rPr>
      <w:b/>
      <w:bCs/>
      <w:spacing w:val="20"/>
      <w:sz w:val="21"/>
    </w:rPr>
  </w:style>
  <w:style w:type="paragraph" w:styleId="1030">
    <w:name w:val="Balloon Text"/>
    <w:basedOn w:val="1010"/>
    <w:uiPriority w:val="0"/>
    <w:qFormat/>
    <w:rPr>
      <w:sz w:val="18"/>
      <w:szCs w:val="18"/>
    </w:rPr>
  </w:style>
  <w:style w:type="paragraph" w:styleId="1031">
    <w:name w:val="Footer"/>
    <w:basedOn w:val="1010"/>
    <w:uiPriority w:val="99"/>
    <w:unhideWhenUsed/>
    <w:qFormat/>
    <w:pPr>
      <w:jc w:val="left"/>
      <w:tabs>
        <w:tab w:val="center" w:pos="4153" w:leader="none"/>
        <w:tab w:val="right" w:pos="8306" w:leader="none"/>
      </w:tabs>
    </w:pPr>
    <w:rPr>
      <w:sz w:val="18"/>
    </w:rPr>
  </w:style>
  <w:style w:type="paragraph" w:styleId="1032">
    <w:name w:val="Header"/>
    <w:basedOn w:val="1010"/>
    <w:uiPriority w:val="99"/>
    <w:unhideWhenUsed/>
    <w:qFormat/>
    <w:pPr>
      <w:jc w:val="center"/>
      <w:tabs>
        <w:tab w:val="center" w:pos="4153" w:leader="none"/>
        <w:tab w:val="right" w:pos="8306" w:leader="none"/>
      </w:tabs>
      <w:pBdr>
        <w:bottom w:val="single" w:color="auto" w:sz="6" w:space="1"/>
      </w:pBdr>
    </w:pPr>
    <w:rPr>
      <w:sz w:val="18"/>
    </w:rPr>
  </w:style>
  <w:style w:type="paragraph" w:styleId="1033">
    <w:name w:val="toc 1"/>
    <w:basedOn w:val="1010"/>
    <w:next w:val="1010"/>
    <w:uiPriority w:val="39"/>
    <w:unhideWhenUsed/>
    <w:qFormat/>
    <w:pPr>
      <w:jc w:val="left"/>
    </w:pPr>
  </w:style>
  <w:style w:type="paragraph" w:styleId="1034">
    <w:name w:val="Subtitle"/>
    <w:basedOn w:val="1010"/>
    <w:next w:val="1010"/>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35">
    <w:name w:val="Body Text Indent 3"/>
    <w:basedOn w:val="1010"/>
    <w:uiPriority w:val="0"/>
    <w:qFormat/>
    <w:pPr>
      <w:ind w:firstLine="564"/>
      <w:spacing w:line="360" w:lineRule="auto"/>
    </w:pPr>
    <w:rPr>
      <w:rFonts w:ascii="宋体"/>
      <w:sz w:val="18"/>
    </w:rPr>
  </w:style>
  <w:style w:type="paragraph" w:styleId="1036">
    <w:name w:val="HTML Preformatted"/>
    <w:basedOn w:val="1010"/>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1037">
    <w:name w:val="Normal (Web)"/>
    <w:basedOn w:val="1010"/>
    <w:uiPriority w:val="99"/>
    <w:qFormat/>
    <w:pPr>
      <w:jc w:val="left"/>
      <w:spacing w:before="100" w:beforeAutospacing="1" w:after="100" w:afterAutospacing="1"/>
      <w:widowControl/>
    </w:pPr>
    <w:rPr>
      <w:rFonts w:ascii="宋体" w:hAnsi="宋体" w:eastAsia="宋体" w:cs="宋体"/>
      <w:sz w:val="24"/>
      <w:szCs w:val="24"/>
    </w:rPr>
  </w:style>
  <w:style w:type="paragraph" w:styleId="1038">
    <w:name w:val="Title"/>
    <w:basedOn w:val="1010"/>
    <w:next w:val="1010"/>
    <w:uiPriority w:val="0"/>
    <w:qFormat/>
    <w:pPr>
      <w:jc w:val="center"/>
      <w:spacing w:before="240" w:after="60"/>
      <w:outlineLvl w:val="0"/>
    </w:pPr>
    <w:rPr>
      <w:rFonts w:ascii="Cambria" w:hAnsi="Cambria"/>
      <w:b/>
      <w:bCs/>
      <w:sz w:val="32"/>
      <w:szCs w:val="32"/>
    </w:rPr>
  </w:style>
  <w:style w:type="paragraph" w:styleId="1039">
    <w:name w:val="Body Text First Indent 2"/>
    <w:basedOn w:val="1024"/>
    <w:next w:val="1019"/>
    <w:uiPriority w:val="0"/>
    <w:qFormat/>
    <w:pPr>
      <w:ind w:left="420" w:firstLine="420"/>
      <w:spacing w:after="120"/>
    </w:pPr>
    <w:rPr>
      <w:rFonts w:ascii="Times New Roman"/>
      <w:sz w:val="21"/>
      <w:szCs w:val="24"/>
    </w:rPr>
  </w:style>
  <w:style w:type="table" w:styleId="1040">
    <w:name w:val="Table Grid"/>
    <w:basedOn w:val="101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1">
    <w:name w:val="Strong"/>
    <w:basedOn w:val="1017"/>
    <w:uiPriority w:val="0"/>
    <w:qFormat/>
    <w:rPr>
      <w:b/>
    </w:rPr>
  </w:style>
  <w:style w:type="character" w:styleId="1042">
    <w:name w:val="FollowedHyperlink"/>
    <w:basedOn w:val="1017"/>
    <w:uiPriority w:val="0"/>
    <w:qFormat/>
    <w:rPr>
      <w:color w:val="333333"/>
      <w:u w:val="none"/>
    </w:rPr>
  </w:style>
  <w:style w:type="character" w:styleId="1043">
    <w:name w:val="Emphasis"/>
    <w:basedOn w:val="1017"/>
    <w:uiPriority w:val="0"/>
    <w:qFormat/>
    <w:rPr>
      <w:i/>
    </w:rPr>
  </w:style>
  <w:style w:type="character" w:styleId="1044">
    <w:name w:val="Hyperlink"/>
    <w:basedOn w:val="1017"/>
    <w:uiPriority w:val="0"/>
    <w:qFormat/>
    <w:rPr>
      <w:color w:val="333333"/>
      <w:u w:val="none"/>
    </w:rPr>
  </w:style>
  <w:style w:type="character" w:styleId="1045">
    <w:name w:val="annotation reference"/>
    <w:basedOn w:val="1017"/>
    <w:uiPriority w:val="0"/>
    <w:qFormat/>
    <w:rPr>
      <w:sz w:val="21"/>
      <w:szCs w:val="21"/>
    </w:rPr>
  </w:style>
  <w:style w:type="paragraph" w:styleId="1046" w:customStyle="1">
    <w:name w:val="段"/>
    <w:next w:val="1010"/>
    <w:uiPriority w:val="0"/>
    <w:qFormat/>
    <w:pPr>
      <w:ind w:firstLine="200"/>
      <w:jc w:val="both"/>
    </w:pPr>
    <w:rPr>
      <w:rFonts w:ascii="宋体" w:hAnsi="Times New Roman" w:eastAsia="宋体" w:cs="Times New Roman"/>
      <w:sz w:val="21"/>
      <w:lang w:val="en-US" w:eastAsia="zh-CN" w:bidi="ar-SA"/>
    </w:rPr>
  </w:style>
  <w:style w:type="paragraph" w:styleId="1047" w:customStyle="1">
    <w:name w:val="目录 11"/>
    <w:basedOn w:val="1010"/>
    <w:next w:val="1010"/>
    <w:uiPriority w:val="39"/>
    <w:unhideWhenUsed/>
    <w:qFormat/>
    <w:pPr>
      <w:jc w:val="left"/>
    </w:pPr>
    <w:rPr>
      <w:sz w:val="24"/>
    </w:rPr>
  </w:style>
  <w:style w:type="paragraph" w:styleId="1048" w:customStyle="1">
    <w:name w:val="列出段落1"/>
    <w:basedOn w:val="1010"/>
    <w:uiPriority w:val="99"/>
    <w:qFormat/>
    <w:pPr>
      <w:ind w:firstLine="420"/>
    </w:pPr>
    <w:rPr>
      <w:rFonts w:ascii="Calibri" w:hAnsi="Calibri" w:cs="Calibri"/>
      <w:szCs w:val="21"/>
    </w:rPr>
  </w:style>
  <w:style w:type="paragraph" w:styleId="1049" w:customStyle="1">
    <w:name w:val="首行缩进"/>
    <w:basedOn w:val="1010"/>
    <w:uiPriority w:val="0"/>
    <w:qFormat/>
    <w:pPr>
      <w:ind w:firstLine="480"/>
    </w:pPr>
    <w:rPr>
      <w:sz w:val="21"/>
      <w:lang w:val="zh-CN"/>
    </w:rPr>
  </w:style>
  <w:style w:type="character" w:styleId="1050" w:customStyle="1">
    <w:name w:val="标题 2 字符"/>
    <w:basedOn w:val="1017"/>
    <w:link w:val="1012"/>
    <w:uiPriority w:val="0"/>
    <w:qFormat/>
    <w:rPr>
      <w:rFonts w:ascii="Cambria" w:hAnsi="Cambria" w:eastAsia="宋体" w:cs="Times New Roman"/>
      <w:b/>
      <w:bCs/>
      <w:sz w:val="32"/>
      <w:szCs w:val="32"/>
    </w:rPr>
  </w:style>
  <w:style w:type="paragraph" w:styleId="1051" w:customStyle="1">
    <w:name w:val="_Style 30"/>
    <w:basedOn w:val="1010"/>
    <w:next w:val="1028"/>
    <w:uiPriority w:val="0"/>
    <w:qFormat/>
    <w:rPr>
      <w:rFonts w:ascii="宋体" w:hAnsi="Courier New"/>
      <w:sz w:val="21"/>
    </w:rPr>
  </w:style>
  <w:style w:type="paragraph" w:styleId="1052" w:customStyle="1">
    <w:name w:val="纯文本1"/>
    <w:basedOn w:val="1010"/>
    <w:uiPriority w:val="0"/>
    <w:qFormat/>
    <w:rPr>
      <w:rFonts w:ascii="宋体" w:hAnsi="Courier New" w:eastAsia="楷体_GB2312"/>
      <w:sz w:val="26"/>
    </w:rPr>
  </w:style>
  <w:style w:type="paragraph" w:styleId="1053" w:customStyle="1">
    <w:name w:val="纯文本6"/>
    <w:basedOn w:val="1010"/>
    <w:uiPriority w:val="0"/>
    <w:qFormat/>
    <w:rPr>
      <w:rFonts w:ascii="宋体" w:hAnsi="Courier New"/>
    </w:rPr>
  </w:style>
  <w:style w:type="character" w:styleId="1054" w:customStyle="1">
    <w:name w:val="标题 1 字符"/>
    <w:link w:val="1011"/>
    <w:uiPriority w:val="0"/>
    <w:qFormat/>
    <w:rPr>
      <w:rFonts w:eastAsia="楷体_GB2312"/>
      <w:b/>
      <w:sz w:val="44"/>
    </w:rPr>
  </w:style>
  <w:style w:type="character" w:styleId="1055" w:customStyle="1">
    <w:name w:val="NormalCharacter"/>
    <w:uiPriority w:val="0"/>
    <w:semiHidden/>
    <w:qFormat/>
  </w:style>
  <w:style w:type="paragraph" w:styleId="1056" w:customStyle="1">
    <w:name w:val="Plain Text"/>
    <w:basedOn w:val="1010"/>
    <w:uiPriority w:val="0"/>
    <w:qFormat/>
    <w:pPr>
      <w:jc w:val="both"/>
      <w:widowControl w:val="off"/>
    </w:pPr>
    <w:rPr>
      <w:rFonts w:ascii="宋体" w:hAnsi="Courier New" w:eastAsia="楷体_GB2312"/>
      <w:sz w:val="26"/>
      <w:szCs w:val="20"/>
    </w:rPr>
  </w:style>
  <w:style w:type="paragraph" w:styleId="1057" w:customStyle="1">
    <w:name w:val="Andy_正文"/>
    <w:basedOn w:val="1010"/>
    <w:uiPriority w:val="0"/>
    <w:qFormat/>
    <w:pPr>
      <w:ind w:firstLine="480"/>
      <w:jc w:val="both"/>
      <w:spacing w:line="360" w:lineRule="auto"/>
      <w:widowControl w:val="off"/>
    </w:pPr>
    <w:rPr>
      <w:rFonts w:ascii="Calibri" w:hAnsi="Calibri"/>
    </w:rPr>
  </w:style>
  <w:style w:type="paragraph" w:styleId="1058" w:customStyle="1">
    <w:name w:val="纯文本2"/>
    <w:basedOn w:val="1010"/>
    <w:uiPriority w:val="0"/>
    <w:qFormat/>
    <w:rPr>
      <w:rFonts w:ascii="宋体" w:hAnsi="Courier New"/>
    </w:rPr>
  </w:style>
  <w:style w:type="character" w:styleId="1059" w:customStyle="1">
    <w:name w:val="font111"/>
    <w:basedOn w:val="1017"/>
    <w:uiPriority w:val="0"/>
    <w:qFormat/>
    <w:rPr>
      <w:rFonts w:hint="default" w:ascii="Times New Roman" w:hAnsi="Times New Roman" w:cs="Times New Roman"/>
      <w:b/>
      <w:bCs/>
      <w:color w:val="000000"/>
      <w:sz w:val="16"/>
      <w:szCs w:val="16"/>
      <w:u w:val="none"/>
    </w:rPr>
  </w:style>
  <w:style w:type="character" w:styleId="1060" w:customStyle="1">
    <w:name w:val="font122"/>
    <w:basedOn w:val="1017"/>
    <w:uiPriority w:val="0"/>
    <w:qFormat/>
    <w:rPr>
      <w:rFonts w:hint="eastAsia" w:ascii="宋体" w:hAnsi="宋体" w:eastAsia="宋体" w:cs="宋体"/>
      <w:b/>
      <w:bCs/>
      <w:color w:val="000000"/>
      <w:sz w:val="16"/>
      <w:szCs w:val="16"/>
      <w:u w:val="none"/>
    </w:rPr>
  </w:style>
  <w:style w:type="character" w:styleId="1061" w:customStyle="1">
    <w:name w:val="font91"/>
    <w:basedOn w:val="1017"/>
    <w:uiPriority w:val="0"/>
    <w:qFormat/>
    <w:rPr>
      <w:rFonts w:hint="eastAsia" w:ascii="宋体" w:hAnsi="宋体" w:eastAsia="宋体" w:cs="宋体"/>
      <w:color w:val="000000"/>
      <w:sz w:val="16"/>
      <w:szCs w:val="16"/>
      <w:u w:val="none"/>
    </w:rPr>
  </w:style>
  <w:style w:type="character" w:styleId="1062" w:customStyle="1">
    <w:name w:val="font131"/>
    <w:basedOn w:val="1017"/>
    <w:uiPriority w:val="0"/>
    <w:qFormat/>
    <w:rPr>
      <w:rFonts w:hint="eastAsia" w:ascii="宋体" w:hAnsi="宋体" w:eastAsia="宋体" w:cs="宋体"/>
      <w:color w:val="000000"/>
      <w:sz w:val="16"/>
      <w:szCs w:val="16"/>
      <w:u w:val="none"/>
    </w:rPr>
  </w:style>
  <w:style w:type="character" w:styleId="1063" w:customStyle="1">
    <w:name w:val="font141"/>
    <w:basedOn w:val="1017"/>
    <w:uiPriority w:val="0"/>
    <w:qFormat/>
    <w:rPr>
      <w:rFonts w:hint="eastAsia" w:ascii="宋体" w:hAnsi="宋体" w:eastAsia="宋体" w:cs="宋体"/>
      <w:color w:val="333300"/>
      <w:sz w:val="16"/>
      <w:szCs w:val="16"/>
      <w:u w:val="none"/>
    </w:rPr>
  </w:style>
  <w:style w:type="character" w:styleId="1064" w:customStyle="1">
    <w:name w:val="active"/>
    <w:basedOn w:val="1017"/>
    <w:uiPriority w:val="0"/>
    <w:qFormat/>
    <w:rPr>
      <w:color w:val="ffffff"/>
      <w:shd w:val="clear" w:color="auto" w:fill="0f5bb9"/>
    </w:rPr>
  </w:style>
  <w:style w:type="character" w:styleId="1065" w:customStyle="1">
    <w:name w:val="font21"/>
    <w:basedOn w:val="1017"/>
    <w:uiPriority w:val="0"/>
    <w:qFormat/>
    <w:rPr>
      <w:rFonts w:hint="eastAsia" w:ascii="宋体" w:hAnsi="宋体" w:eastAsia="宋体" w:cs="宋体"/>
      <w:color w:val="000000"/>
      <w:sz w:val="24"/>
      <w:szCs w:val="24"/>
      <w:u w:val="none"/>
    </w:rPr>
  </w:style>
  <w:style w:type="character" w:styleId="1066" w:customStyle="1">
    <w:name w:val="font31"/>
    <w:basedOn w:val="1017"/>
    <w:uiPriority w:val="0"/>
    <w:qFormat/>
    <w:rPr>
      <w:rFonts w:hint="eastAsia" w:ascii="宋体" w:hAnsi="宋体" w:eastAsia="宋体" w:cs="宋体"/>
      <w:color w:val="000000"/>
      <w:sz w:val="21"/>
      <w:szCs w:val="21"/>
      <w:u w:val="none"/>
    </w:rPr>
  </w:style>
  <w:style w:type="character" w:styleId="1067" w:customStyle="1">
    <w:name w:val="font41"/>
    <w:basedOn w:val="1017"/>
    <w:uiPriority w:val="0"/>
    <w:qFormat/>
    <w:rPr>
      <w:rFonts w:hint="eastAsia" w:ascii="宋体" w:hAnsi="宋体" w:eastAsia="宋体" w:cs="宋体"/>
      <w:color w:val="000000"/>
      <w:sz w:val="21"/>
      <w:szCs w:val="21"/>
      <w:u w:val="none"/>
    </w:rPr>
  </w:style>
  <w:style w:type="character" w:styleId="1068" w:customStyle="1">
    <w:name w:val="17"/>
    <w:basedOn w:val="1017"/>
    <w:uiPriority w:val="0"/>
    <w:qFormat/>
    <w:rPr>
      <w:rFonts w:hint="default" w:ascii="Times New Roman" w:hAnsi="Times New Roman" w:cs="Times New Roman"/>
      <w:b/>
      <w:bCs/>
      <w:color w:val="000000"/>
      <w:sz w:val="22"/>
      <w:szCs w:val="22"/>
    </w:rPr>
  </w:style>
  <w:style w:type="character" w:styleId="1069" w:customStyle="1">
    <w:name w:val="15"/>
    <w:basedOn w:val="1017"/>
    <w:uiPriority w:val="0"/>
    <w:qFormat/>
    <w:rPr>
      <w:rFonts w:hint="eastAsia" w:ascii="宋体" w:hAnsi="宋体" w:eastAsia="宋体" w:cs="宋体"/>
      <w:b/>
      <w:bCs/>
      <w:color w:val="000000"/>
      <w:sz w:val="22"/>
      <w:szCs w:val="22"/>
    </w:rPr>
  </w:style>
  <w:style w:type="character" w:styleId="1070" w:customStyle="1">
    <w:name w:val="16"/>
    <w:basedOn w:val="1017"/>
    <w:uiPriority w:val="0"/>
    <w:qFormat/>
    <w:rPr>
      <w:rFonts w:hint="eastAsia" w:ascii="宋体" w:hAnsi="宋体" w:eastAsia="宋体" w:cs="宋体"/>
      <w:color w:val="333300"/>
      <w:sz w:val="20"/>
      <w:szCs w:val="20"/>
    </w:rPr>
  </w:style>
  <w:style w:type="character" w:styleId="1071" w:customStyle="1">
    <w:name w:val="18"/>
    <w:basedOn w:val="1017"/>
    <w:uiPriority w:val="0"/>
    <w:qFormat/>
    <w:rPr>
      <w:rFonts w:hint="default" w:ascii="Times New Roman" w:hAnsi="Times New Roman" w:cs="Times New Roman"/>
      <w:b/>
      <w:bCs/>
      <w:color w:val="000000"/>
      <w:sz w:val="20"/>
      <w:szCs w:val="20"/>
    </w:rPr>
  </w:style>
  <w:style w:type="character" w:styleId="1072" w:customStyle="1">
    <w:name w:val="19"/>
    <w:basedOn w:val="1017"/>
    <w:uiPriority w:val="0"/>
    <w:qFormat/>
    <w:rPr>
      <w:rFonts w:hint="eastAsia" w:ascii="宋体" w:hAnsi="宋体" w:eastAsia="宋体" w:cs="宋体"/>
      <w:b/>
      <w:bCs/>
      <w:color w:val="000000"/>
      <w:sz w:val="20"/>
      <w:szCs w:val="20"/>
    </w:rPr>
  </w:style>
  <w:style w:type="character" w:styleId="1073" w:customStyle="1">
    <w:name w:val="font151"/>
    <w:basedOn w:val="1017"/>
    <w:uiPriority w:val="0"/>
    <w:qFormat/>
    <w:rPr>
      <w:rFonts w:hint="default" w:ascii="Times New Roman" w:hAnsi="Times New Roman" w:cs="Times New Roman"/>
      <w:b/>
      <w:bCs/>
      <w:color w:val="000000"/>
      <w:sz w:val="22"/>
      <w:szCs w:val="22"/>
      <w:u w:val="none"/>
    </w:rPr>
  </w:style>
  <w:style w:type="character" w:styleId="1074" w:customStyle="1">
    <w:name w:val="font161"/>
    <w:basedOn w:val="1017"/>
    <w:uiPriority w:val="0"/>
    <w:qFormat/>
    <w:rPr>
      <w:rFonts w:hint="eastAsia" w:ascii="宋体" w:hAnsi="宋体" w:eastAsia="宋体" w:cs="宋体"/>
      <w:b/>
      <w:bCs/>
      <w:color w:val="000000"/>
      <w:sz w:val="22"/>
      <w:szCs w:val="22"/>
      <w:u w:val="none"/>
    </w:rPr>
  </w:style>
  <w:style w:type="character" w:styleId="1075" w:customStyle="1">
    <w:name w:val="font171"/>
    <w:basedOn w:val="1017"/>
    <w:uiPriority w:val="0"/>
    <w:qFormat/>
    <w:rPr>
      <w:rFonts w:hint="eastAsia" w:ascii="宋体" w:hAnsi="宋体" w:eastAsia="宋体" w:cs="宋体"/>
      <w:color w:val="333300"/>
      <w:sz w:val="20"/>
      <w:szCs w:val="20"/>
      <w:u w:val="none"/>
    </w:rPr>
  </w:style>
  <w:style w:type="character" w:styleId="1076" w:customStyle="1">
    <w:name w:val="font181"/>
    <w:basedOn w:val="1017"/>
    <w:uiPriority w:val="0"/>
    <w:qFormat/>
    <w:rPr>
      <w:rFonts w:hint="default" w:ascii="Times New Roman" w:hAnsi="Times New Roman" w:cs="Times New Roman"/>
      <w:b/>
      <w:bCs/>
      <w:color w:val="000000"/>
      <w:sz w:val="20"/>
      <w:szCs w:val="20"/>
      <w:u w:val="none"/>
    </w:rPr>
  </w:style>
  <w:style w:type="character" w:styleId="1077" w:customStyle="1">
    <w:name w:val="font191"/>
    <w:basedOn w:val="1017"/>
    <w:uiPriority w:val="0"/>
    <w:qFormat/>
    <w:rPr>
      <w:rFonts w:hint="eastAsia" w:ascii="宋体" w:hAnsi="宋体" w:eastAsia="宋体" w:cs="宋体"/>
      <w:b/>
      <w:bCs/>
      <w:color w:val="000000"/>
      <w:sz w:val="20"/>
      <w:szCs w:val="20"/>
      <w:u w:val="none"/>
    </w:rPr>
  </w:style>
  <w:style w:type="character" w:styleId="1078" w:customStyle="1">
    <w:name w:val="font11"/>
    <w:basedOn w:val="1017"/>
    <w:uiPriority w:val="0"/>
    <w:qFormat/>
    <w:rPr>
      <w:rFonts w:hint="eastAsia" w:ascii="宋体" w:hAnsi="宋体" w:eastAsia="宋体" w:cs="宋体"/>
      <w:color w:val="000000"/>
      <w:sz w:val="24"/>
      <w:szCs w:val="24"/>
      <w:u w:val="none"/>
    </w:rPr>
  </w:style>
  <w:style w:type="paragraph" w:styleId="1079" w:customStyle="1">
    <w:name w:val="正文1"/>
    <w:next w:val="1010"/>
    <w:uiPriority w:val="0"/>
    <w:qFormat/>
    <w:pPr>
      <w:jc w:val="both"/>
      <w:widowControl w:val="off"/>
    </w:pPr>
    <w:rPr>
      <w:rFonts w:ascii="Times New Roman" w:hAnsi="Times New Roman" w:eastAsia="仿宋_GB2312" w:cs="Times New Roman"/>
      <w:sz w:val="24"/>
      <w:lang w:val="en-US" w:eastAsia="zh-CN" w:bidi="ar-SA"/>
    </w:rPr>
  </w:style>
  <w:style w:type="paragraph" w:styleId="1080" w:customStyle="1">
    <w:name w:val="纯文本4"/>
    <w:basedOn w:val="1010"/>
    <w:uiPriority w:val="0"/>
    <w:qFormat/>
    <w:rPr>
      <w:rFonts w:ascii="宋体" w:hAnsi="Courier New" w:eastAsia="楷体_GB2312"/>
      <w:sz w:val="26"/>
    </w:rPr>
  </w:style>
  <w:style w:type="paragraph" w:styleId="1081">
    <w:name w:val="List Paragraph"/>
    <w:basedOn w:val="1010"/>
    <w:uiPriority w:val="34"/>
    <w:qFormat/>
    <w:pPr>
      <w:contextualSpacing/>
      <w:ind w:left="720"/>
    </w:pPr>
  </w:style>
  <w:style w:type="paragraph" w:styleId="1082" w:customStyle="1">
    <w:name w:val="表正文"/>
    <w:basedOn w:val="1010"/>
    <w:uiPriority w:val="0"/>
    <w:qFormat/>
    <w:pPr>
      <w:jc w:val="left"/>
    </w:pPr>
    <w:rPr>
      <w:rFonts w:ascii="Arial" w:hAnsi="Arial" w:eastAsia="宋体"/>
      <w:sz w:val="18"/>
      <w:szCs w:val="21"/>
    </w:rPr>
  </w:style>
  <w:style w:type="paragraph" w:styleId="1083" w:customStyle="1">
    <w:name w:val="Table Text"/>
    <w:basedOn w:val="1010"/>
    <w:uiPriority w:val="0"/>
    <w:semiHidden/>
    <w:qFormat/>
    <w:rPr>
      <w:rFonts w:ascii="宋体" w:hAnsi="宋体" w:eastAsia="宋体" w:cs="宋体"/>
      <w:sz w:val="18"/>
      <w:szCs w:val="18"/>
      <w:lang w:val="en-US" w:eastAsia="en-US" w:bidi="ar-SA"/>
    </w:rPr>
  </w:style>
  <w:style w:type="paragraph" w:styleId="1084" w:customStyle="1">
    <w:name w:val="2级标题"/>
    <w:basedOn w:val="1048"/>
    <w:uiPriority w:val="0"/>
    <w:qFormat/>
    <w:pPr>
      <w:contextualSpacing/>
      <w:ind w:firstLine="0"/>
      <w:jc w:val="left"/>
      <w:keepLines/>
      <w:spacing w:line="360" w:lineRule="auto"/>
      <w:widowControl/>
      <w:outlineLvl w:val="1"/>
    </w:pPr>
    <w:rPr>
      <w:rFonts w:ascii="黑体" w:hAnsi="黑体" w:eastAsia="黑体" w:cs="宋体"/>
      <w:sz w:val="32"/>
      <w:szCs w:val="36"/>
      <w:lang w:eastAsia="en-US" w:bidi="en-US"/>
    </w:rPr>
  </w:style>
  <w:style w:type="character" w:styleId="1085" w:customStyle="1">
    <w:name w:val="font51"/>
    <w:uiPriority w:val="0"/>
    <w:qFormat/>
    <w:rPr>
      <w:rFonts w:hint="default" w:ascii="Helvetica Neue" w:hAnsi="Helvetica Neue" w:eastAsia="Helvetica Neue" w:cs="Helvetica Neue"/>
      <w:color w:val="de3c36"/>
      <w:sz w:val="16"/>
      <w:szCs w:val="16"/>
      <w:u w:val="none"/>
    </w:rPr>
  </w:style>
  <w:style w:type="paragraph" w:styleId="1086" w:customStyle="1">
    <w:name w:val="Default"/>
    <w:uiPriority w:val="0"/>
    <w:qFormat/>
    <w:pPr>
      <w:widowControl w:val="off"/>
    </w:pPr>
    <w:rPr>
      <w:rFonts w:ascii="Arial" w:hAnsi="Arial" w:eastAsia="宋体" w:cs="Arial"/>
      <w:color w:val="000000"/>
      <w:sz w:val="24"/>
      <w:szCs w:val="24"/>
      <w:lang w:val="en-US" w:eastAsia="zh-CN" w:bidi="ar-SA"/>
    </w:rPr>
  </w:style>
  <w:style w:type="paragraph" w:styleId="1087" w:customStyle="1">
    <w:name w:val="UserStyle_28"/>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088" w:customStyle="1">
    <w:name w:val="正文缩进1"/>
    <w:basedOn w:val="1010"/>
    <w:uiPriority w:val="0"/>
    <w:qFormat/>
    <w:pPr>
      <w:ind w:firstLine="420"/>
    </w:pPr>
  </w:style>
  <w:style w:type="paragraph" w:styleId="1089" w:customStyle="1">
    <w:name w:val="纯文本11"/>
    <w:basedOn w:val="1010"/>
    <w:uiPriority w:val="0"/>
    <w:qFormat/>
    <w:pPr>
      <w:jc w:val="both"/>
      <w:widowControl w:val="off"/>
    </w:pPr>
    <w:rPr>
      <w:rFonts w:ascii="宋体" w:hAnsi="Courier New" w:eastAsia="楷体_GB2312"/>
      <w:sz w:val="26"/>
      <w:szCs w:val="20"/>
    </w:rPr>
  </w:style>
  <w:style w:type="paragraph" w:styleId="1090" w:customStyle="1">
    <w:name w:val="纯文本111"/>
    <w:basedOn w:val="1010"/>
    <w:uiPriority w:val="0"/>
    <w:qFormat/>
    <w:pPr>
      <w:jc w:val="both"/>
      <w:widowControl w:val="off"/>
    </w:pPr>
    <w:rPr>
      <w:rFonts w:ascii="宋体" w:hAnsi="Courier New" w:eastAsia="楷体_GB2312"/>
      <w:sz w:val="26"/>
      <w:szCs w:val="22"/>
    </w:rPr>
  </w:style>
  <w:style w:type="character" w:styleId="1091" w:customStyle="1">
    <w:name w:val="font71"/>
    <w:basedOn w:val="1017"/>
    <w:uiPriority w:val="0"/>
    <w:qFormat/>
    <w:rPr>
      <w:rFonts w:hint="default" w:ascii="Times New Roman" w:hAnsi="Times New Roman" w:cs="Times New Roman"/>
      <w:color w:val="000000"/>
      <w:sz w:val="20"/>
      <w:szCs w:val="20"/>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王丹萍</cp:lastModifiedBy>
  <cp:revision>5</cp:revision>
  <dcterms:created xsi:type="dcterms:W3CDTF">2022-10-17T05:30:00Z</dcterms:created>
  <dcterms:modified xsi:type="dcterms:W3CDTF">2026-09-23T07:21:30Z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EA1C2CE592CC40A8B0D2C0D8BCAECDAC_13</vt:lpwstr>
  </property>
  <property fmtid="{D5CDD505-2E9C-101B-9397-08002B2CF9AE}" pid="4" name="KSOTemplateDocerSaveRecord">
    <vt:lpwstr>eyJoZGlkIjoiM2IyYWFhN2E0OWI4MGY3Njc3N2FlZjkzYjZiNGYzMWQiLCJ1c2VySWQiOiI2MzM1MjUwMjMifQ==</vt:lpwstr>
  </property>
</Properties>
</file>