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right"/>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编号：</w:t>
      </w:r>
      <w:r>
        <w:rPr>
          <w:rFonts w:hint="eastAsia" w:ascii="Times New Roman" w:hAnsi="Times New Roman" w:eastAsia="宋体" w:cs="宋体"/>
          <w:b/>
          <w:bCs/>
          <w:strike w:val="0"/>
          <w:color w:val="auto"/>
          <w:sz w:val="36"/>
          <w:highlight w:val="none"/>
          <w:lang w:eastAsia="zh-CN"/>
        </w:rPr>
        <w:t xml:space="preserve">JSZC-321000-SWGC-G2026-0112号</w:t>
      </w:r>
      <w:r/>
    </w:p>
    <w:p>
      <w:pPr>
        <w:jc w:val="both"/>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lang w:eastAsia="zh-CN"/>
        </w:rPr>
        <w:t xml:space="preserve">扬州市公安局健康管理中心彩色多普勒超声诊断仪采购项目</w:t>
      </w:r>
      <w:r>
        <w:rPr>
          <w:rFonts w:hint="eastAsia" w:ascii="Times New Roman" w:hAnsi="Times New Roman" w:eastAsia="宋体" w:cs="宋体"/>
          <w:b/>
          <w:bCs/>
          <w:color w:val="auto"/>
          <w:sz w:val="36"/>
          <w:highlight w:val="none"/>
        </w:rPr>
        <w:t xml:space="preserve">公开招标文件</w:t>
      </w:r>
      <w:r/>
    </w:p>
    <w:p>
      <w:pPr>
        <w:pStyle w:val="970"/>
        <w:pageBreakBefore w:val="0"/>
        <w:spacing w:after="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4"/>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4" o:title=""/>
              </v:shape>
            </w:pict>
          </mc:Fallback>
        </mc:AlternateConten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江苏苏维工程管理有限公司</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202</w:t>
      </w:r>
      <w:r>
        <w:rPr>
          <w:rFonts w:hint="eastAsia" w:ascii="Times New Roman" w:hAnsi="Times New Roman" w:eastAsia="宋体" w:cs="宋体"/>
          <w:b/>
          <w:bCs/>
          <w:color w:val="auto"/>
          <w:sz w:val="36"/>
          <w:highlight w:val="none"/>
          <w:lang w:val="en-US" w:eastAsia="zh-CN"/>
        </w:rPr>
        <w:t xml:space="preserve">6</w:t>
      </w:r>
      <w:r>
        <w:rPr>
          <w:rFonts w:hint="eastAsia" w:ascii="Times New Roman" w:hAnsi="Times New Roman" w:eastAsia="宋体" w:cs="宋体"/>
          <w:b/>
          <w:bCs/>
          <w:color w:val="auto"/>
          <w:sz w:val="36"/>
          <w:highlight w:val="none"/>
        </w:rPr>
        <w:t xml:space="preserve">年</w:t>
      </w:r>
      <w:r>
        <w:rPr>
          <w:rFonts w:hint="eastAsia" w:ascii="Times New Roman" w:hAnsi="Times New Roman" w:eastAsia="宋体" w:cs="宋体"/>
          <w:b/>
          <w:bCs/>
          <w:color w:val="auto"/>
          <w:sz w:val="36"/>
          <w:highlight w:val="none"/>
          <w:lang w:val="en-US" w:eastAsia="zh-CN"/>
        </w:rPr>
        <w:t xml:space="preserve">0</w:t>
      </w:r>
      <w:r>
        <w:rPr>
          <w:rFonts w:hint="eastAsia" w:ascii="Times New Roman" w:hAnsi="Times New Roman" w:cs="宋体"/>
          <w:b/>
          <w:bCs/>
          <w:color w:val="auto"/>
          <w:sz w:val="36"/>
          <w:highlight w:val="none"/>
          <w:lang w:val="en-US" w:eastAsia="zh-CN"/>
        </w:rPr>
        <w:t xml:space="preserve">9</w:t>
      </w:r>
      <w:r>
        <w:rPr>
          <w:rFonts w:hint="eastAsia" w:ascii="Times New Roman" w:hAnsi="Times New Roman" w:eastAsia="宋体" w:cs="宋体"/>
          <w:b/>
          <w:bCs/>
          <w:color w:val="auto"/>
          <w:sz w:val="36"/>
          <w:highlight w:val="none"/>
        </w:rPr>
        <w:t xml:space="preserve">月</w:t>
      </w:r>
      <w:r>
        <w:rPr>
          <w:rFonts w:hint="eastAsia" w:ascii="Times New Roman" w:hAnsi="Times New Roman" w:cs="宋体"/>
          <w:b/>
          <w:bCs/>
          <w:color w:val="auto"/>
          <w:sz w:val="36"/>
          <w:highlight w:val="none"/>
          <w:lang w:val="en-US" w:eastAsia="zh-CN"/>
        </w:rPr>
        <w:t xml:space="preserve">01</w:t>
      </w:r>
      <w:r>
        <w:rPr>
          <w:rFonts w:hint="eastAsia" w:ascii="Times New Roman" w:hAnsi="Times New Roman" w:eastAsia="宋体" w:cs="宋体"/>
          <w:b/>
          <w:bCs/>
          <w:color w:val="auto"/>
          <w:sz w:val="36"/>
          <w:highlight w:val="none"/>
        </w:rPr>
        <w:t xml:space="preserve">日</w:t>
      </w:r>
      <w:r/>
    </w:p>
    <w:p>
      <w:pPr>
        <w:jc w:val="center"/>
        <w:pageBreakBefore w:val="0"/>
        <w:spacing w:line="360" w:lineRule="auto"/>
        <w:rPr>
          <w:rFonts w:hint="eastAsia" w:ascii="Times New Roman" w:hAnsi="Times New Roman" w:eastAsia="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color w:val="auto"/>
          <w:sz w:val="32"/>
          <w:highlight w:val="none"/>
        </w:rPr>
      </w:r>
      <w:r/>
    </w:p>
    <w:p>
      <w:pPr>
        <w:pStyle w:val="98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pageBreakBefore w:val="0"/>
        <w:spacing w:line="360" w:lineRule="auto"/>
        <w:rPr>
          <w:rFonts w:hint="eastAsia" w:ascii="Times New Roman" w:hAnsi="Times New Roman" w:eastAsia="宋体" w:cs="宋体"/>
          <w:color w:val="auto"/>
          <w:sz w:val="32"/>
          <w:szCs w:val="32"/>
          <w:highlight w:val="none"/>
          <w:lang w:val="en-US" w:eastAsia="zh-CN" w:bidi="ar-SA"/>
        </w:rPr>
      </w:pPr>
      <w:r>
        <w:rPr>
          <w:rFonts w:hint="eastAsia" w:ascii="Times New Roman" w:hAnsi="Times New Roman" w:eastAsia="宋体" w:cs="宋体"/>
          <w:color w:val="auto"/>
          <w:sz w:val="32"/>
          <w:szCs w:val="32"/>
          <w:highlight w:val="none"/>
          <w:lang w:val="en-US" w:eastAsia="zh-CN" w:bidi="ar-SA"/>
        </w:rPr>
      </w:r>
      <w:r/>
    </w:p>
    <w:sdt>
      <w:sdtPr>
        <w15:appearance w15:val="boundingBox"/>
        <w15:color w:val="dbdbdb"/>
        <w:id w:val="14745595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keepLines w:val="0"/>
            <w:keepNext w:val="0"/>
            <w:pageBreakBefore w:val="0"/>
            <w:spacing w:before="0" w:after="0" w:line="480" w:lineRule="auto"/>
            <w:widowControl w:val="off"/>
            <w:rPr>
              <w:color w:val="auto"/>
              <w:sz w:val="28"/>
              <w:szCs w:val="28"/>
              <w:highlight w:val="none"/>
            </w:rPr>
          </w:pPr>
          <w:r>
            <w:rPr>
              <w:rFonts w:ascii="宋体" w:hAnsi="宋体" w:eastAsia="宋体"/>
              <w:color w:val="auto"/>
              <w:sz w:val="28"/>
              <w:szCs w:val="28"/>
              <w:highlight w:val="none"/>
            </w:rPr>
            <w:t xml:space="preserve">目录</w:t>
          </w:r>
          <w:r/>
        </w:p>
        <w:p>
          <w:pPr>
            <w:pStyle w:val="744"/>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TOC \o "1-1" \h \u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_Toc9352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第一章 采购公告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_Toc9352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4"/>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_Toc15067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_Toc15067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4"/>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_Toc12895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第三章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_Toc12895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4"/>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_Toc4495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Arial"/>
              <w:color w:val="auto"/>
              <w:sz w:val="28"/>
              <w:szCs w:val="28"/>
              <w:highlight w:val="none"/>
              <w:lang w:val="en-US" w:eastAsia="zh-CN" w:bidi="ar-SA"/>
            </w:rPr>
            <w:t xml:space="preserve">第四章 </w:t>
          </w:r>
          <w:r>
            <w:rPr>
              <w:rFonts w:hint="eastAsia" w:ascii="Times New Roman" w:hAnsi="Times New Roman" w:eastAsia="宋体"/>
              <w:color w:val="auto"/>
              <w:sz w:val="28"/>
              <w:szCs w:val="28"/>
              <w:highlight w:val="none"/>
            </w:rPr>
            <w:t xml:space="preserve">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_Toc4495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4"/>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_Toc821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第五章 评标方法及评标标准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_Toc821 \h </w:instrText>
          </w:r>
          <w:r>
            <w:rPr>
              <w:color w:val="auto"/>
              <w:sz w:val="28"/>
              <w:szCs w:val="28"/>
              <w:highlight w:val="none"/>
            </w:rPr>
            <w:fldChar w:fldCharType="separate"/>
          </w:r>
          <w:r>
            <w:rPr>
              <w:color w:val="auto"/>
              <w:sz w:val="28"/>
              <w:szCs w:val="28"/>
              <w:highlight w:val="none"/>
            </w:rPr>
            <w:t xml:space="preserve">31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4"/>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_Toc8012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_Toc8012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keepLines w:val="0"/>
            <w:keepNext w:val="0"/>
            <w:pageBreakBefore w:val="0"/>
            <w:spacing w:line="48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fldChar w:fldCharType="end"/>
          </w:r>
          <w:r/>
        </w:p>
      </w:sdtContent>
    </w:sdt>
    <w:p>
      <w:pPr>
        <w:pageBreakBefore w:val="0"/>
        <w:spacing w:line="360" w:lineRule="auto"/>
        <w:rPr>
          <w:rFonts w:hint="eastAsia" w:ascii="Times New Roman" w:hAnsi="Times New Roman" w:eastAsia="宋体" w:cs="Times New Roman"/>
          <w:color w:val="auto"/>
          <w:sz w:val="21"/>
          <w:szCs w:val="22"/>
          <w:highlight w:val="none"/>
          <w:lang w:val="en-US" w:eastAsia="zh-CN"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Times New Roman"/>
          <w:color w:val="auto"/>
          <w:sz w:val="21"/>
          <w:szCs w:val="22"/>
          <w:highlight w:val="none"/>
          <w:lang w:val="en-US" w:eastAsia="zh-CN" w:bidi="ar-SA"/>
        </w:rPr>
      </w:r>
      <w:r/>
    </w:p>
    <w:p>
      <w:pPr>
        <w:pStyle w:val="717"/>
        <w:pageBreakBefore w:val="0"/>
        <w:spacing w:line="360" w:lineRule="auto"/>
        <w:rPr>
          <w:rFonts w:ascii="Times New Roman" w:hAnsi="Times New Roman" w:eastAsia="宋体"/>
          <w:color w:val="auto"/>
          <w:highlight w:val="none"/>
        </w:rPr>
      </w:pPr>
      <w:r/>
      <w:bookmarkStart w:id="0" w:name="_Toc24386"/>
      <w:r/>
      <w:bookmarkStart w:id="1" w:name="_Toc27131"/>
      <w:r/>
      <w:bookmarkStart w:id="2" w:name="_Toc13036"/>
      <w:r/>
      <w:bookmarkStart w:id="3" w:name="_Toc27214"/>
      <w:r/>
      <w:bookmarkStart w:id="4" w:name="_Toc9352"/>
      <w:r>
        <w:rPr>
          <w:rFonts w:hint="eastAsia" w:ascii="Times New Roman" w:hAnsi="Times New Roman" w:eastAsia="宋体"/>
          <w:color w:val="auto"/>
          <w:highlight w:val="none"/>
        </w:rPr>
        <w:t xml:space="preserve">第一章 </w:t>
      </w:r>
      <w:bookmarkStart w:id="5" w:name="_Toc28446"/>
      <w:r/>
      <w:bookmarkStart w:id="6" w:name="_Toc27417"/>
      <w:r>
        <w:rPr>
          <w:rFonts w:hint="eastAsia" w:ascii="Times New Roman" w:hAnsi="Times New Roman" w:eastAsia="宋体"/>
          <w:color w:val="auto"/>
          <w:highlight w:val="none"/>
        </w:rPr>
        <w:t xml:space="preserve">采购公告</w:t>
      </w:r>
      <w:bookmarkEnd w:id="0"/>
      <w:r/>
      <w:bookmarkEnd w:id="1"/>
      <w:r/>
      <w:bookmarkEnd w:id="2"/>
      <w:r/>
      <w:bookmarkEnd w:id="3"/>
      <w:r/>
      <w:bookmarkEnd w:id="4"/>
      <w:r/>
      <w:bookmarkEnd w:id="5"/>
      <w:r/>
      <w:bookmarkEnd w:id="6"/>
      <w:r/>
      <w:r/>
    </w:p>
    <w:p>
      <w:pPr>
        <w:ind w:firstLine="420"/>
        <w:jc w:val="left"/>
        <w:pageBreakBefore w:val="0"/>
        <w:spacing w:line="360" w:lineRule="auto"/>
        <w:tabs>
          <w:tab w:val="left" w:pos="26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扬州市公安局</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s="宋体"/>
          <w:color w:val="auto"/>
          <w:highlight w:val="none"/>
          <w:lang w:eastAsia="zh-CN"/>
        </w:rPr>
        <w:t xml:space="preserve">扬州市公安局健康管理中心彩色多普勒超声诊断仪采购项目</w:t>
      </w:r>
      <w:r>
        <w:rPr>
          <w:rFonts w:hint="eastAsia" w:ascii="Times New Roman" w:hAnsi="Times New Roman" w:eastAsia="宋体" w:cs="宋体"/>
          <w:color w:val="auto"/>
          <w:highlight w:val="none"/>
        </w:rPr>
        <w:t xml:space="preserve">（</w:t>
      </w:r>
      <w:r>
        <w:rPr>
          <w:rFonts w:hint="eastAsia" w:ascii="Times New Roman" w:hAnsi="Times New Roman" w:eastAsia="宋体" w:cs="宋体"/>
          <w:color w:val="auto"/>
          <w:szCs w:val="21"/>
          <w:highlight w:val="none"/>
          <w:lang w:eastAsia="zh-CN"/>
        </w:rPr>
        <w:t xml:space="preserve">JSZC-321000-SWGC-G2026-0112号</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hint="eastAsia" w:ascii="Times New Roman" w:hAnsi="Times New Roman"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hint="eastAsia" w:ascii="Times New Roman" w:hAnsi="Times New Roman"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color w:val="auto"/>
          <w:highlight w:val="none"/>
          <w:u w:val="single"/>
          <w:lang w:eastAsia="zh-CN"/>
        </w:rPr>
        <w:t xml:space="preserve">扬州市公安局健康管理中心彩色多普勒超声诊断仪采购项目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lang w:eastAsia="zh-CN"/>
        </w:rPr>
        <w:t xml:space="preserve">“扬州市政府采购网”、“江苏省政府采购网”和“中国政府采购网”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eastAsia" w:ascii="Times New Roman" w:hAnsi="Times New Roman" w:eastAsia="宋体" w:cs="宋体"/>
          <w:bCs/>
          <w:color w:val="auto"/>
          <w:highlight w:val="none"/>
          <w:u w:val="single"/>
          <w:lang w:val="en-US" w:eastAsia="zh-CN"/>
        </w:rPr>
        <w:t xml:space="preserve">09</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22</w:t>
      </w:r>
      <w:r>
        <w:rPr>
          <w:rFonts w:hint="eastAsia" w:ascii="Times New Roman" w:hAnsi="Times New Roman" w:eastAsia="宋体" w:cs="宋体"/>
          <w:bCs/>
          <w:color w:val="auto"/>
          <w:highlight w:val="none"/>
          <w:u w:val="single"/>
        </w:rPr>
        <w:t xml:space="preserve">日上午9:30</w:t>
      </w:r>
      <w:r>
        <w:rPr>
          <w:rFonts w:hint="eastAsia" w:ascii="Times New Roman" w:hAnsi="Times New Roman" w:eastAsia="宋体" w:cs="宋体"/>
          <w:bCs/>
          <w:color w:val="auto"/>
          <w:highlight w:val="none"/>
          <w:u w:val="single"/>
          <w:lang w:val="en-US" w:eastAsia="zh-CN"/>
        </w:rPr>
        <w:t xml:space="preserve"> </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7" w:name="_Toc38985263"/>
      <w:r/>
      <w:bookmarkStart w:id="8" w:name="_Toc28359002"/>
      <w:r/>
      <w:bookmarkStart w:id="9" w:name="_Toc35393621"/>
      <w:r/>
      <w:bookmarkStart w:id="10" w:name="_Toc28359079"/>
      <w:r/>
      <w:bookmarkStart w:id="11" w:name="_Toc35393790"/>
      <w:r/>
      <w:bookmarkStart w:id="12" w:name="_Hlk24379207"/>
      <w:r>
        <w:rPr>
          <w:rFonts w:hint="eastAsia" w:ascii="Times New Roman" w:hAnsi="Times New Roman" w:eastAsia="宋体" w:cs="宋体"/>
          <w:b/>
          <w:bCs/>
          <w:color w:val="auto"/>
          <w:highlight w:val="none"/>
        </w:rPr>
        <w:t xml:space="preserve">一、项目基本情况</w:t>
      </w:r>
      <w:bookmarkEnd w:id="7"/>
      <w:r/>
      <w:bookmarkEnd w:id="8"/>
      <w:r/>
      <w:bookmarkEnd w:id="9"/>
      <w:r/>
      <w:bookmarkEnd w:id="10"/>
      <w:r/>
      <w:bookmarkEnd w:id="11"/>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eastAsia="宋体" w:cs="宋体"/>
          <w:color w:val="auto"/>
          <w:szCs w:val="21"/>
          <w:highlight w:val="none"/>
          <w:lang w:eastAsia="zh-CN"/>
        </w:rPr>
        <w:t xml:space="preserve">JSZC-321000-SWGC-G2026-0112号</w:t>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12"/>
      <w:r>
        <w:rPr>
          <w:rFonts w:hint="eastAsia" w:ascii="Times New Roman" w:hAnsi="Times New Roman" w:eastAsia="宋体" w:cs="宋体"/>
          <w:color w:val="auto"/>
          <w:highlight w:val="none"/>
          <w:lang w:eastAsia="zh-CN"/>
        </w:rPr>
        <w:t xml:space="preserve">扬州市公安局健康管理中心彩色多普勒超声诊断仪采购项目</w:t>
      </w:r>
      <w:r/>
    </w:p>
    <w:p>
      <w:pPr>
        <w:ind w:firstLine="420"/>
        <w:pageBreakBefore w:val="0"/>
        <w:spacing w:line="360" w:lineRule="auto"/>
        <w:rPr>
          <w:rFonts w:hint="default" w:ascii="Times New Roman" w:hAnsi="Times New Roman" w:eastAsia="宋体"/>
          <w:color w:val="auto"/>
          <w:sz w:val="21"/>
          <w:szCs w:val="21"/>
          <w:highlight w:val="none"/>
          <w:lang w:val="en-US"/>
        </w:rPr>
      </w:pPr>
      <w:r>
        <w:rPr>
          <w:rFonts w:hint="eastAsia" w:ascii="Times New Roman" w:hAnsi="Times New Roman" w:eastAsia="宋体" w:cs="宋体"/>
          <w:color w:val="auto"/>
          <w:sz w:val="21"/>
          <w:szCs w:val="21"/>
          <w:highlight w:val="none"/>
        </w:rPr>
        <w:t xml:space="preserve">3.预算金额：</w:t>
      </w:r>
      <w:r>
        <w:rPr>
          <w:rFonts w:hint="eastAsia" w:ascii="Times New Roman" w:hAnsi="Times New Roman" w:eastAsia="宋体" w:cs="宋体"/>
          <w:color w:val="auto"/>
          <w:sz w:val="21"/>
          <w:szCs w:val="21"/>
          <w:highlight w:val="none"/>
          <w:lang w:val="en-US" w:eastAsia="zh-CN"/>
        </w:rPr>
        <w:t xml:space="preserve">182万元</w:t>
      </w:r>
      <w:r/>
    </w:p>
    <w:p>
      <w:pPr>
        <w:ind w:firstLine="42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2"/>
          <w:highlight w:val="none"/>
          <w:lang w:val="en-US" w:eastAsia="zh-CN" w:bidi="ar-SA"/>
        </w:rPr>
        <w:t xml:space="preserve">最高限价：</w:t>
      </w:r>
      <w:r>
        <w:rPr>
          <w:rFonts w:hint="eastAsia" w:ascii="Times New Roman" w:hAnsi="Times New Roman" w:eastAsia="宋体" w:cs="宋体"/>
          <w:color w:val="auto"/>
          <w:sz w:val="21"/>
          <w:szCs w:val="21"/>
          <w:highlight w:val="none"/>
          <w:lang w:val="en-US" w:eastAsia="zh-CN"/>
        </w:rPr>
        <w:t xml:space="preserve">182万元</w:t>
      </w:r>
      <w:r>
        <w:rPr>
          <w:rFonts w:hint="eastAsia" w:ascii="Times New Roman" w:hAnsi="Times New Roman" w:eastAsia="宋体" w:cs="宋体"/>
          <w:color w:val="auto"/>
          <w:sz w:val="21"/>
          <w:szCs w:val="22"/>
          <w:highlight w:val="none"/>
          <w:lang w:val="en-US" w:eastAsia="zh-CN" w:bidi="ar-SA"/>
        </w:rPr>
        <w:t xml:space="preserve">，报价超过最高限价的为无效投标文件。</w:t>
      </w:r>
      <w:r/>
    </w:p>
    <w:p>
      <w:pPr>
        <w:ind w:firstLine="420"/>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 </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13" w:name="_Toc35393622"/>
      <w:r/>
      <w:bookmarkStart w:id="14" w:name="_Toc28359003"/>
      <w:r/>
      <w:bookmarkStart w:id="15" w:name="_Toc28359080"/>
      <w:r/>
      <w:bookmarkStart w:id="16" w:name="_Toc35393791"/>
      <w:r/>
      <w:bookmarkStart w:id="17" w:name="_Toc38985264"/>
      <w:r>
        <w:rPr>
          <w:rFonts w:hint="eastAsia" w:ascii="Times New Roman" w:hAnsi="Times New Roman" w:eastAsia="宋体" w:cs="宋体"/>
          <w:b/>
          <w:bCs/>
          <w:color w:val="auto"/>
          <w:highlight w:val="none"/>
        </w:rPr>
        <w:t xml:space="preserve">二、申请人的资格要求：</w:t>
      </w:r>
      <w:bookmarkEnd w:id="13"/>
      <w:r/>
      <w:bookmarkEnd w:id="14"/>
      <w:r/>
      <w:bookmarkEnd w:id="15"/>
      <w:r/>
      <w:bookmarkEnd w:id="16"/>
      <w:r/>
      <w:bookmarkEnd w:id="17"/>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（一）通用资格要求</w:t>
      </w:r>
      <w:r>
        <w:rPr>
          <w:rFonts w:hint="eastAsia" w:ascii="Times New Roman" w:hAnsi="Times New Roman" w:eastAsia="宋体" w:cs="宋体"/>
          <w:color w:val="auto"/>
          <w:szCs w:val="21"/>
          <w:highlight w:val="none"/>
          <w:lang w:val="en-US" w:eastAsia="zh-CN"/>
        </w:rPr>
        <w:tab/>
      </w:r>
      <w:r/>
    </w:p>
    <w:p>
      <w:pPr>
        <w:ind w:firstLine="420"/>
        <w:pageBreakBefore w:val="0"/>
        <w:spacing w:line="360" w:lineRule="auto"/>
        <w:rPr>
          <w:rFonts w:hint="eastAsia" w:ascii="Times New Roman" w:hAnsi="Times New Roman" w:eastAsia="宋体" w:cs="宋体"/>
          <w:color w:val="auto"/>
          <w:szCs w:val="21"/>
          <w:highlight w:val="none"/>
        </w:rPr>
      </w:pPr>
      <w:r/>
      <w:bookmarkStart w:id="18" w:name="_Toc28359004"/>
      <w:r/>
      <w:bookmarkStart w:id="19" w:name="_Toc35393623"/>
      <w:r/>
      <w:bookmarkStart w:id="20" w:name="_Toc35393792"/>
      <w:r/>
      <w:bookmarkStart w:id="21" w:name="_Toc28359081"/>
      <w:r/>
      <w:bookmarkStart w:id="22"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w:t>
      </w:r>
      <w:r>
        <w:rPr>
          <w:rFonts w:hint="eastAsia" w:ascii="Times New Roman" w:hAnsi="Times New Roman" w:eastAsia="宋体"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（成立不满一年无需提供）</w:t>
      </w:r>
      <w:r/>
    </w:p>
    <w:p>
      <w:pPr>
        <w:ind w:firstLine="420"/>
        <w:pageBreakBefore w:val="0"/>
        <w:spacing w:line="360" w:lineRule="auto"/>
        <w:rPr>
          <w:rFonts w:hint="eastAsia" w:ascii="Times New Roman" w:hAnsi="Times New Roman" w:eastAsia="宋体" w:cs="宋体"/>
          <w:i/>
          <w:iCs/>
          <w:color w:val="auto"/>
          <w:highlight w:val="none"/>
          <w:u w:val="single"/>
        </w:rPr>
      </w:pPr>
      <w:r>
        <w:rPr>
          <w:rFonts w:hint="eastAsia" w:ascii="Times New Roman" w:hAnsi="Times New Roman" w:eastAsia="宋体" w:cs="宋体"/>
          <w:i/>
          <w:iCs/>
          <w:color w:val="auto"/>
          <w:szCs w:val="21"/>
          <w:highlight w:val="none"/>
          <w:u w:val="single"/>
        </w:rPr>
        <w:t xml:space="preserve">1.3 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w:t>
      </w:r>
      <w:bookmarkStart w:id="135" w:name="_GoBack"/>
      <w:r/>
      <w:bookmarkEnd w:id="135"/>
      <w:r>
        <w:rPr>
          <w:rFonts w:hint="eastAsia" w:ascii="Times New Roman" w:hAnsi="Times New Roman" w:eastAsia="宋体" w:cs="宋体"/>
          <w:b/>
          <w:bCs/>
          <w:i/>
          <w:iCs/>
          <w:color w:val="auto"/>
          <w:szCs w:val="21"/>
          <w:highlight w:val="none"/>
          <w:u w:val="single"/>
        </w:rPr>
        <w:t xml:space="preserve">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供应商信用承诺书；</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1.7 未被“信用中国”网站（www.creditchina.gov.cn）、“中国政府采购网"</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hint="eastAsia" w:ascii="Times New Roman" w:hAnsi="Times New Roman" w:cs="宋体"/>
          <w:i/>
          <w:color w:val="auto"/>
          <w:szCs w:val="21"/>
          <w:highlight w:val="none"/>
          <w:u w:val="singl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cs="宋体"/>
          <w:i/>
          <w:color w:val="auto"/>
          <w:szCs w:val="21"/>
          <w:highlight w:val="none"/>
          <w:u w:val="single"/>
          <w:lang w:val="en-US" w:eastAsia="zh-CN"/>
        </w:rPr>
        <w:t xml:space="preserve">根据《政府采购促进中小企业发展管理办法》的规定，本项目对小型和微型企业提供的货物、服务给予20%的价格扣除优惠。  </w:t>
      </w:r>
      <w:r/>
    </w:p>
    <w:p>
      <w:pPr>
        <w:ind w:firstLine="420"/>
        <w:pageBreakBefore w:val="0"/>
        <w:spacing w:line="360" w:lineRule="auto"/>
        <w:rPr>
          <w:rFonts w:hint="eastAsia" w:ascii="Times New Roman" w:hAnsi="Times New Roman" w:eastAsia="宋体" w:cs="宋体"/>
          <w:i/>
          <w:color w:val="auto"/>
          <w:szCs w:val="21"/>
          <w:highlight w:val="none"/>
          <w:u w:val="single"/>
          <w:lang w:eastAsia="zh-CN"/>
        </w:rPr>
      </w:pPr>
      <w:r>
        <w:rPr>
          <w:rFonts w:hint="eastAsia" w:ascii="Times New Roman" w:hAnsi="Times New Roman" w:cs="宋体"/>
          <w:i/>
          <w:color w:val="auto"/>
          <w:szCs w:val="21"/>
          <w:highlight w:val="none"/>
          <w:u w:val="single"/>
          <w:lang w:val="en-US" w:eastAsia="zh-CN"/>
        </w:rPr>
        <w:t xml:space="preserve">本包采购标的按中小企业划分标准所属行业区分为工业，中小微企业划型标准网址：http://www.ccgp.gov.cn/zcfg/mof/201310/t20131029_3587674.htm；</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sz w:val="21"/>
          <w:szCs w:val="21"/>
          <w:highlight w:val="none"/>
        </w:rPr>
        <w:t xml:space="preserve">联合体投标。</w:t>
      </w:r>
      <w:r/>
    </w:p>
    <w:tbl>
      <w:tblPr>
        <w:tblStyle w:val="727"/>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2968"/>
        <w:gridCol w:w="3252"/>
      </w:tblGrid>
      <w:tr>
        <w:trPr>
          <w:trHeight w:val="593"/>
        </w:trPr>
        <w:tc>
          <w:tcPr>
            <w:tcW w:w="111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采购包号</w:t>
            </w:r>
            <w:r/>
          </w:p>
        </w:tc>
        <w:tc>
          <w:tcPr>
            <w:tcW w:w="296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是否接受联合体</w:t>
            </w:r>
            <w:r>
              <w:rPr>
                <w:rFonts w:ascii="Times New Roman" w:hAnsi="Times New Roman" w:eastAsia="宋体"/>
                <w:color w:val="auto"/>
                <w:sz w:val="21"/>
                <w:szCs w:val="21"/>
                <w:highlight w:val="none"/>
              </w:rPr>
              <w:t xml:space="preserve">投标</w:t>
            </w:r>
            <w:r/>
          </w:p>
        </w:tc>
        <w:tc>
          <w:tcPr>
            <w:tcW w:w="3252"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该采购包中</w:t>
            </w:r>
            <w:r>
              <w:rPr>
                <w:rFonts w:ascii="Times New Roman" w:hAnsi="Times New Roman" w:eastAsia="宋体"/>
                <w:color w:val="auto"/>
                <w:sz w:val="21"/>
                <w:szCs w:val="21"/>
                <w:highlight w:val="none"/>
              </w:rPr>
              <w:t xml:space="preserve">联合体成员数量</w:t>
            </w:r>
            <w:r>
              <w:rPr>
                <w:rFonts w:hint="eastAsia" w:ascii="Times New Roman" w:hAnsi="Times New Roman" w:eastAsia="宋体"/>
                <w:color w:val="auto"/>
                <w:sz w:val="21"/>
                <w:szCs w:val="21"/>
                <w:highlight w:val="none"/>
              </w:rPr>
              <w:t xml:space="preserve">上限</w:t>
            </w:r>
            <w:r/>
          </w:p>
        </w:tc>
      </w:tr>
      <w:tr>
        <w:trPr>
          <w:trHeight w:val="618"/>
        </w:trPr>
        <w:tc>
          <w:tcPr>
            <w:tcW w:w="1115"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296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否</w:t>
            </w:r>
            <w:r/>
          </w:p>
        </w:tc>
        <w:tc>
          <w:tcPr>
            <w:tcW w:w="3252"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p>
        </w:tc>
      </w:tr>
    </w:tbl>
    <w:p>
      <w:pPr>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（二）本项目的特定资格要求</w:t>
      </w:r>
      <w:r/>
    </w:p>
    <w:tbl>
      <w:tblPr>
        <w:tblStyle w:val="72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250"/>
      </w:tblGrid>
      <w:tr>
        <w:trPr>
          <w:trHeight w:val="623"/>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采购包号</w:t>
            </w:r>
            <w:r/>
          </w:p>
        </w:tc>
        <w:tc>
          <w:tcPr>
            <w:tcW w:w="625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特定资格要求</w:t>
            </w:r>
            <w:r/>
          </w:p>
        </w:tc>
      </w:tr>
      <w:tr>
        <w:trPr>
          <w:trHeight w:val="558"/>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6250"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Times New Roman"/>
                <w:i/>
                <w:iCs/>
                <w:color w:val="auto"/>
                <w:sz w:val="21"/>
                <w:szCs w:val="21"/>
                <w:highlight w:val="none"/>
                <w:u w:val="single"/>
                <w:lang w:val="en-US" w:eastAsia="zh-CN"/>
              </w:rPr>
              <w:t xml:space="preserve">投标人具备医疗器械生产企业许可或医疗器械经营企业许可证或相应类别的医疗器械经营备案凭证。</w:t>
            </w:r>
            <w:r>
              <w:rPr>
                <w:rFonts w:hint="eastAsia" w:ascii="Times New Roman" w:hAnsi="Times New Roman" w:eastAsia="宋体" w:cs="Times New Roman"/>
                <w:b/>
                <w:bCs/>
                <w:i/>
                <w:iCs/>
                <w:color w:val="auto"/>
                <w:sz w:val="21"/>
                <w:szCs w:val="21"/>
                <w:highlight w:val="none"/>
                <w:u w:val="single"/>
                <w:lang w:val="en-US" w:eastAsia="zh-CN"/>
              </w:rPr>
              <w:t xml:space="preserve">（提供有效证书原件扫描上传）</w:t>
            </w:r>
            <w:r/>
          </w:p>
        </w:tc>
      </w:tr>
    </w:tbl>
    <w:p>
      <w:pPr>
        <w:ind w:firstLine="63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8"/>
      <w:r/>
      <w:bookmarkEnd w:id="19"/>
      <w:r/>
      <w:bookmarkEnd w:id="20"/>
      <w:r/>
      <w:bookmarkEnd w:id="21"/>
      <w:r/>
      <w:bookmarkEnd w:id="22"/>
      <w:r/>
      <w:r/>
    </w:p>
    <w:p>
      <w:pPr>
        <w:ind w:firstLine="420"/>
        <w:pageBreakBefore w:val="0"/>
        <w:spacing w:line="360" w:lineRule="auto"/>
        <w:rPr>
          <w:rFonts w:hint="eastAsia" w:ascii="Times New Roman" w:hAnsi="Times New Roman" w:eastAsia="宋体" w:cs="宋体"/>
          <w:color w:val="auto"/>
          <w:highlight w:val="none"/>
        </w:rPr>
      </w:pPr>
      <w:r/>
      <w:bookmarkStart w:id="23" w:name="_Toc28359082"/>
      <w:r/>
      <w:bookmarkStart w:id="24" w:name="_Toc28359005"/>
      <w:r/>
      <w:bookmarkStart w:id="25" w:name="_Toc35393793"/>
      <w:r/>
      <w:bookmarkStart w:id="26" w:name="_Toc38985266"/>
      <w:r/>
      <w:bookmarkStart w:id="27" w:name="_Toc35393624"/>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2.获取方式：本项目采用网上注册登记方式。</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3.潜在供应商访问政府采购管理交易系统（苏采云）的网络地址和方法：</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（1）潜在供应商访问政府采购管理交易系统（苏采云）的方法：“苏采云”系统用户注册－</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获取“CA数字证书”--CA绑定与登录--网上报名--下载采购文件（后缀名为“kedt”）--将后缀名为</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kedt”的采购文件导入政府采购客户端工具</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制作投标文件</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导出加密的投标文件（后缀名为zip）--通过“苏采云”系统上传投标文件。</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（3）“CA数字证书”的办理材料以及供应商操作手册详见：</w:t>
      </w:r>
      <w:r/>
    </w:p>
    <w:p>
      <w:pPr>
        <w:pStyle w:val="752"/>
        <w:ind w:left="0" w:right="0" w:firstLine="600"/>
        <w:jc w:val="both"/>
        <w:keepLines w:val="0"/>
        <w:keepNext w:val="0"/>
        <w:pageBreakBefore w:val="0"/>
        <w:spacing w:beforeAutospacing="0" w:afterAutospacing="0" w:line="360" w:lineRule="auto"/>
        <w:widowControl w:val="off"/>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bCs/>
          <w:color w:val="auto"/>
          <w:sz w:val="21"/>
          <w:szCs w:val="21"/>
          <w:highlight w:val="none"/>
          <w:shd w:val="clear" w:color="auto" w:fill="ffffff"/>
        </w:rPr>
        <w:t xml:space="preserve">http://zfcg.yangzhou.gov.cn/xzzx/art/2023/art_4d7de1f7865f4a2894fc22bc452f94d8.html</w:t>
      </w:r>
      <w:r>
        <w:rPr>
          <w:rFonts w:hint="eastAsia" w:ascii="Times New Roman" w:hAnsi="Times New Roman" w:eastAsia="宋体" w:cs="宋体"/>
          <w:b/>
          <w:bCs/>
          <w:color w:val="auto"/>
          <w:sz w:val="21"/>
          <w:szCs w:val="21"/>
          <w:highlight w:val="none"/>
          <w:shd w:val="clear" w:color="auto" w:fill="ffffff"/>
          <w:lang w:eastAsia="zh-CN"/>
        </w:rPr>
        <w:t xml:space="preserve">.</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（4）潜在供应商访问“苏采云”系统的网络地址和方法：“苏采云”系统的网址：http</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//jszfcg.jsczt.cn/。</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（5）采购文件（后缀名为“.kedt”）、供应商操作手册及政府采购客户端工具也可通过“苏采云”系统</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已报名项目</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报名详情页面内相应链接进行下载。</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23"/>
      <w:r/>
      <w:bookmarkEnd w:id="24"/>
      <w:r>
        <w:rPr>
          <w:rFonts w:hint="eastAsia" w:ascii="Times New Roman" w:hAnsi="Times New Roman" w:eastAsia="宋体" w:cs="宋体"/>
          <w:b/>
          <w:bCs/>
          <w:color w:val="auto"/>
          <w:highlight w:val="none"/>
        </w:rPr>
        <w:t xml:space="preserve">截止时间、开标时间和地点</w:t>
      </w:r>
      <w:bookmarkEnd w:id="25"/>
      <w:r/>
      <w:bookmarkEnd w:id="26"/>
      <w:r/>
      <w:bookmarkEnd w:id="27"/>
      <w:r/>
      <w:r/>
    </w:p>
    <w:p>
      <w:pPr>
        <w:ind w:firstLine="420"/>
        <w:pageBreakBefore w:val="0"/>
        <w:spacing w:line="360" w:lineRule="auto"/>
        <w:rPr>
          <w:rFonts w:hint="eastAsia"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rPr>
        <w:t xml:space="preserve">2026年09月22日上午9:30  </w:t>
      </w:r>
      <w:r>
        <w:rPr>
          <w:rFonts w:hint="eastAsia" w:ascii="Times New Roman" w:hAnsi="Times New Roman" w:eastAsia="宋体" w:cs="宋体"/>
          <w:color w:val="auto"/>
          <w:highlight w:val="none"/>
        </w:rPr>
        <w:t xml:space="preserve">（北京时间）</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//jszfcg.jsczt.cn/）</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28" w:name="_Toc35393625"/>
      <w:r/>
      <w:bookmarkStart w:id="29" w:name="_Toc28359007"/>
      <w:r/>
      <w:bookmarkStart w:id="30" w:name="_Toc38985267"/>
      <w:r/>
      <w:bookmarkStart w:id="31" w:name="_Toc28359084"/>
      <w:r/>
      <w:bookmarkStart w:id="32" w:name="_Toc35393794"/>
      <w:r>
        <w:rPr>
          <w:rFonts w:hint="eastAsia" w:ascii="Times New Roman" w:hAnsi="Times New Roman" w:eastAsia="宋体" w:cs="宋体"/>
          <w:b/>
          <w:bCs/>
          <w:color w:val="auto"/>
          <w:highlight w:val="none"/>
        </w:rPr>
        <w:t xml:space="preserve">五、公告期限</w:t>
      </w:r>
      <w:bookmarkEnd w:id="28"/>
      <w:r/>
      <w:bookmarkEnd w:id="29"/>
      <w:r/>
      <w:bookmarkEnd w:id="30"/>
      <w:r/>
      <w:bookmarkEnd w:id="31"/>
      <w:r/>
      <w:bookmarkEnd w:id="32"/>
      <w:r/>
      <w:r/>
    </w:p>
    <w:p>
      <w:pPr>
        <w:ind w:firstLine="420"/>
        <w:pageBreakBefore w:val="0"/>
        <w:spacing w:line="360" w:lineRule="auto"/>
        <w:rPr>
          <w:rFonts w:hint="eastAsia" w:ascii="Times New Roman" w:hAnsi="Times New Roman" w:eastAsia="宋体" w:cs="宋体"/>
          <w:color w:val="auto"/>
          <w:highlight w:val="none"/>
        </w:rPr>
      </w:pPr>
      <w:r/>
      <w:bookmarkStart w:id="33" w:name="_Toc35393626"/>
      <w:r/>
      <w:bookmarkStart w:id="34" w:name="_Toc35393795"/>
      <w:r/>
      <w:bookmarkStart w:id="35"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33"/>
      <w:r/>
      <w:bookmarkEnd w:id="34"/>
      <w:r/>
      <w:bookmarkEnd w:id="35"/>
      <w:r/>
      <w:r/>
    </w:p>
    <w:p>
      <w:pPr>
        <w:ind w:firstLine="422"/>
        <w:pageBreakBefore w:val="0"/>
        <w:spacing w:line="360" w:lineRule="auto"/>
        <w:rPr>
          <w:rFonts w:hint="eastAsia" w:ascii="Times New Roman" w:hAnsi="Times New Roman" w:eastAsia="宋体" w:cs="宋体"/>
          <w:b/>
          <w:bCs/>
          <w:color w:val="auto"/>
          <w:highlight w:val="none"/>
        </w:rPr>
      </w:pPr>
      <w:r/>
      <w:bookmarkStart w:id="36" w:name="_Toc35393796"/>
      <w:r/>
      <w:bookmarkStart w:id="37" w:name="_Toc35393627"/>
      <w:r/>
      <w:bookmarkStart w:id="38" w:name="_Toc28359085"/>
      <w:r/>
      <w:bookmarkStart w:id="39" w:name="_Toc38985269"/>
      <w:r/>
      <w:bookmarkStart w:id="40" w:name="_Toc28359008"/>
      <w:r>
        <w:rPr>
          <w:rFonts w:hint="eastAsia" w:ascii="Times New Roman" w:hAnsi="Times New Roman" w:eastAsia="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s="宋体"/>
          <w:color w:val="auto"/>
          <w:highlight w:val="none"/>
        </w:rPr>
        <w:t xml:space="preserve">本次招标</w:t>
      </w:r>
      <w:r>
        <w:rPr>
          <w:rFonts w:hint="eastAsia" w:ascii="Times New Roman" w:hAnsi="Times New Roman" w:eastAsia="宋体" w:cs="宋体"/>
          <w:color w:val="auto"/>
          <w:highlight w:val="none"/>
          <w:u w:val="single"/>
        </w:rPr>
        <w:t xml:space="preserve">不收取 </w:t>
      </w:r>
      <w:r>
        <w:rPr>
          <w:rFonts w:hint="eastAsia" w:ascii="Times New Roman" w:hAnsi="Times New Roman" w:eastAsia="宋体" w:cs="宋体"/>
          <w:color w:val="auto"/>
          <w:highlight w:val="none"/>
        </w:rPr>
        <w:t xml:space="preserve">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6"/>
      <w:r/>
      <w:bookmarkEnd w:id="37"/>
      <w:r/>
      <w:bookmarkEnd w:id="38"/>
      <w:r/>
      <w:bookmarkEnd w:id="39"/>
      <w:r/>
      <w:bookmarkEnd w:id="40"/>
      <w:r/>
      <w:r/>
    </w:p>
    <w:p>
      <w:pPr>
        <w:ind w:firstLine="420"/>
        <w:jc w:val="left"/>
        <w:pageBreakBefore w:val="0"/>
        <w:spacing w:line="360" w:lineRule="auto"/>
        <w:widowControl/>
        <w:rPr>
          <w:rFonts w:hint="eastAsia" w:ascii="Times New Roman" w:hAnsi="Times New Roman" w:eastAsia="宋体" w:cs="宋体"/>
          <w:color w:val="auto"/>
          <w:szCs w:val="21"/>
          <w:highlight w:val="none"/>
        </w:rPr>
      </w:pPr>
      <w:r/>
      <w:bookmarkStart w:id="41" w:name="_Toc28359010"/>
      <w:r/>
      <w:bookmarkStart w:id="42"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eastAsia="宋体" w:cs="宋体"/>
          <w:color w:val="auto"/>
          <w:szCs w:val="21"/>
          <w:highlight w:val="none"/>
          <w:lang w:eastAsia="zh-CN"/>
        </w:rPr>
        <w:t xml:space="preserve">扬州市公安局</w:t>
      </w:r>
      <w:r/>
    </w:p>
    <w:p>
      <w:pPr>
        <w:ind w:firstLine="420"/>
        <w:jc w:val="left"/>
        <w:pageBreakBefore w:val="0"/>
        <w:spacing w:line="360" w:lineRule="auto"/>
        <w:rPr>
          <w:rFonts w:hint="eastAsia" w:ascii="Times New Roman" w:hAnsi="Times New Roman" w:eastAsia="宋体" w:cs="宋体"/>
          <w:color w:val="auto"/>
          <w:highlight w:val="none"/>
          <w:lang w:eastAsia="zh-CN"/>
        </w:rPr>
      </w:pPr>
      <w:r/>
      <w:bookmarkStart w:id="43" w:name="_Toc28359086"/>
      <w:r/>
      <w:bookmarkStart w:id="44" w:name="_Toc28359009"/>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lang w:eastAsia="zh-CN"/>
        </w:rPr>
        <w:t xml:space="preserve">扬州市邗江区润扬中路98号</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联系人：黄伟 </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联系方式：</w:t>
      </w:r>
      <w:r>
        <w:rPr>
          <w:rFonts w:hint="eastAsia" w:ascii="Times New Roman" w:hAnsi="Times New Roman" w:eastAsia="宋体" w:cs="宋体"/>
          <w:color w:val="auto"/>
          <w:highlight w:val="none"/>
          <w:lang w:val="en-US" w:eastAsia="zh-CN"/>
        </w:rPr>
        <w:t xml:space="preserve">13815846870</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43"/>
      <w:r/>
      <w:bookmarkEnd w:id="44"/>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s="宋体"/>
          <w:color w:val="auto"/>
          <w:szCs w:val="21"/>
          <w:highlight w:val="none"/>
        </w:rPr>
        <w:t xml:space="preserve">江苏苏维工程管理有限公司</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szCs w:val="21"/>
          <w:highlight w:val="none"/>
        </w:rPr>
        <w:t xml:space="preserve">扬州市邗江区</w:t>
      </w:r>
      <w:r>
        <w:rPr>
          <w:rFonts w:hint="eastAsia" w:ascii="Times New Roman" w:hAnsi="Times New Roman" w:eastAsia="宋体" w:cs="宋体"/>
          <w:color w:val="auto"/>
          <w:szCs w:val="21"/>
          <w:highlight w:val="none"/>
          <w:lang w:val="en-US" w:eastAsia="zh-CN"/>
        </w:rPr>
        <w:t xml:space="preserve">翠岗路48</w:t>
      </w:r>
      <w:r>
        <w:rPr>
          <w:rFonts w:hint="eastAsia" w:ascii="Times New Roman" w:hAnsi="Times New Roman" w:eastAsia="宋体" w:cs="宋体"/>
          <w:color w:val="auto"/>
          <w:szCs w:val="21"/>
          <w:highlight w:val="none"/>
        </w:rPr>
        <w:t xml:space="preserve">号</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szCs w:val="21"/>
          <w:highlight w:val="none"/>
          <w:lang w:val="en-US" w:eastAsia="zh-CN"/>
        </w:rPr>
        <w:t xml:space="preserve">赵凌云、李韦林</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bookmarkEnd w:id="41"/>
      <w:r/>
      <w:bookmarkEnd w:id="42"/>
      <w:r>
        <w:rPr>
          <w:rFonts w:hint="eastAsia" w:ascii="Times New Roman" w:hAnsi="Times New Roman" w:eastAsia="宋体" w:cs="宋体"/>
          <w:color w:val="auto"/>
          <w:highlight w:val="none"/>
          <w:lang w:val="en-US" w:eastAsia="zh-CN"/>
        </w:rPr>
        <w:t xml:space="preserve">0514-</w:t>
      </w:r>
      <w:r>
        <w:rPr>
          <w:rFonts w:hint="eastAsia" w:ascii="Times New Roman" w:hAnsi="Times New Roman" w:eastAsia="宋体" w:cs="宋体"/>
          <w:color w:val="auto"/>
          <w:highlight w:val="none"/>
        </w:rPr>
        <w:t xml:space="preserve">82129112</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szCs w:val="21"/>
          <w:highlight w:val="none"/>
          <w:lang w:eastAsia="zh-CN"/>
        </w:rPr>
        <w:t xml:space="preserve">0514-87986785</w:t>
      </w:r>
      <w:r/>
    </w:p>
    <w:p>
      <w:pPr>
        <w:pageBreakBefore w:val="0"/>
        <w:spacing w:line="360" w:lineRule="auto"/>
        <w:rPr>
          <w:rFonts w:hint="eastAsia" w:ascii="Times New Roman" w:hAnsi="Times New Roman" w:eastAsia="宋体"/>
          <w:color w:val="auto"/>
          <w:highlight w:val="none"/>
        </w:rPr>
      </w:pPr>
      <w:r/>
      <w:bookmarkStart w:id="45" w:name="_Toc13371"/>
      <w:r/>
      <w:bookmarkStart w:id="46" w:name="_Toc55204178"/>
      <w:r>
        <w:rPr>
          <w:rFonts w:hint="eastAsia" w:ascii="Times New Roman" w:hAnsi="Times New Roman" w:eastAsia="宋体"/>
          <w:color w:val="auto"/>
          <w:highlight w:val="none"/>
        </w:rPr>
        <w:br w:type="page" w:clear="all"/>
      </w:r>
      <w:r/>
    </w:p>
    <w:p>
      <w:pPr>
        <w:pStyle w:val="717"/>
        <w:pageBreakBefore w:val="0"/>
        <w:spacing w:line="360" w:lineRule="auto"/>
        <w:rPr>
          <w:rFonts w:ascii="Times New Roman" w:hAnsi="Times New Roman" w:eastAsia="宋体"/>
          <w:color w:val="auto"/>
          <w:highlight w:val="none"/>
        </w:rPr>
      </w:pPr>
      <w:r/>
      <w:bookmarkStart w:id="47" w:name="_Toc15067"/>
      <w:r/>
      <w:bookmarkStart w:id="48" w:name="_Toc27937"/>
      <w:r/>
      <w:bookmarkStart w:id="49" w:name="_Toc8455"/>
      <w:r/>
      <w:bookmarkStart w:id="50" w:name="_Toc19440"/>
      <w:r/>
      <w:bookmarkStart w:id="51" w:name="_Toc23235"/>
      <w:r>
        <w:rPr>
          <w:rFonts w:hint="eastAsia" w:ascii="Times New Roman" w:hAnsi="Times New Roman" w:eastAsia="宋体"/>
          <w:color w:val="auto"/>
          <w:highlight w:val="none"/>
        </w:rPr>
        <w:t xml:space="preserve">第二章 投标人须知</w:t>
      </w:r>
      <w:bookmarkEnd w:id="45"/>
      <w:r/>
      <w:bookmarkEnd w:id="46"/>
      <w:r/>
      <w:bookmarkEnd w:id="47"/>
      <w:r/>
      <w:bookmarkEnd w:id="48"/>
      <w:r/>
      <w:bookmarkEnd w:id="49"/>
      <w:r/>
      <w:bookmarkEnd w:id="50"/>
      <w:r/>
      <w:bookmarkEnd w:id="51"/>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1.招标方式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 本次招标采取公开招标方式，本招标文件仅适用于</w:t>
      </w:r>
      <w:r>
        <w:rPr>
          <w:rFonts w:hint="eastAsia" w:ascii="Times New Roman" w:hAnsi="Times New Roman" w:eastAsia="宋体" w:cs="宋体"/>
          <w:bCs/>
          <w:color w:val="auto"/>
          <w:szCs w:val="21"/>
          <w:highlight w:val="none"/>
          <w:lang w:eastAsia="zh-CN"/>
        </w:rPr>
        <w:t xml:space="preserve">JSZC-321000-SWGC-G2026-0112号</w:t>
      </w:r>
      <w:r>
        <w:rPr>
          <w:rFonts w:hint="eastAsia" w:ascii="Times New Roman" w:hAnsi="Times New Roman" w:eastAsia="宋体" w:cs="宋体"/>
          <w:bCs/>
          <w:color w:val="auto"/>
          <w:szCs w:val="21"/>
          <w:highlight w:val="none"/>
        </w:rPr>
        <w:t xml:space="preserve">项目。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2.2合格的投标人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满足招标公告中供应商的资格条件要求的规定。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满足本文件实质性条款的规定。</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3.适用法律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3.1 本次招标及由此产生的合同受中华人民共和国有关的法律法规制约和保护。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4.投标费用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w:t xml:space="preserve">4.2</w:t>
      </w:r>
      <w:r>
        <w:rPr>
          <w:rFonts w:hint="eastAsia" w:ascii="Times New Roman" w:hAnsi="Times New Roman" w:eastAsia="宋体"/>
          <w:b/>
          <w:bCs/>
          <w:color w:val="auto"/>
          <w:szCs w:val="21"/>
          <w:highlight w:val="none"/>
        </w:rPr>
        <w:t xml:space="preserve">本次采购</w:t>
      </w:r>
      <w:r>
        <w:rPr>
          <w:rFonts w:hint="eastAsia" w:ascii="Times New Roman" w:hAnsi="Times New Roman" w:eastAsia="宋体"/>
          <w:b/>
          <w:bCs/>
          <w:color w:val="auto"/>
          <w:szCs w:val="21"/>
          <w:highlight w:val="none"/>
          <w:lang w:val="en-US" w:eastAsia="zh-CN"/>
        </w:rPr>
        <w:t xml:space="preserve">预算中已包含代理服务费，</w:t>
      </w:r>
      <w:r>
        <w:rPr>
          <w:rFonts w:hint="eastAsia" w:ascii="Times New Roman" w:hAnsi="Times New Roman" w:eastAsia="宋体"/>
          <w:b/>
          <w:bCs/>
          <w:color w:val="auto"/>
          <w:szCs w:val="21"/>
          <w:highlight w:val="none"/>
        </w:rPr>
        <w:t xml:space="preserve">由</w:t>
      </w:r>
      <w:r>
        <w:rPr>
          <w:rFonts w:hint="eastAsia" w:ascii="Times New Roman" w:hAnsi="Times New Roman" w:eastAsia="宋体"/>
          <w:b/>
          <w:bCs/>
          <w:color w:val="auto"/>
          <w:szCs w:val="21"/>
          <w:highlight w:val="none"/>
          <w:lang w:val="en-US" w:eastAsia="zh-CN"/>
        </w:rPr>
        <w:t xml:space="preserve">中标人</w:t>
      </w:r>
      <w:r>
        <w:rPr>
          <w:rFonts w:hint="eastAsia" w:ascii="Times New Roman" w:hAnsi="Times New Roman" w:eastAsia="宋体"/>
          <w:b/>
          <w:bCs/>
          <w:color w:val="auto"/>
          <w:szCs w:val="21"/>
          <w:highlight w:val="none"/>
        </w:rPr>
        <w:t xml:space="preserve">在领取</w:t>
      </w:r>
      <w:r>
        <w:rPr>
          <w:rFonts w:hint="eastAsia" w:ascii="Times New Roman" w:hAnsi="Times New Roman" w:eastAsia="宋体"/>
          <w:b/>
          <w:bCs/>
          <w:color w:val="auto"/>
          <w:szCs w:val="21"/>
          <w:highlight w:val="none"/>
          <w:lang w:val="en-US" w:eastAsia="zh-CN"/>
        </w:rPr>
        <w:t xml:space="preserve">中标</w:t>
      </w:r>
      <w:r>
        <w:rPr>
          <w:rFonts w:hint="eastAsia" w:ascii="Times New Roman" w:hAnsi="Times New Roman" w:eastAsia="宋体"/>
          <w:b/>
          <w:bCs/>
          <w:color w:val="auto"/>
          <w:szCs w:val="21"/>
          <w:highlight w:val="none"/>
        </w:rPr>
        <w:t xml:space="preserve">通知书前按照国家计委印发的《招标代理服务收费管理暂行办法》（计价格〔2002〕1980号文）</w:t>
      </w:r>
      <w:r>
        <w:rPr>
          <w:rFonts w:hint="eastAsia" w:ascii="Times New Roman" w:hAnsi="Times New Roman" w:eastAsia="宋体"/>
          <w:b/>
          <w:bCs/>
          <w:color w:val="auto"/>
          <w:szCs w:val="21"/>
          <w:highlight w:val="none"/>
          <w:lang w:val="en-US" w:eastAsia="zh-CN"/>
        </w:rPr>
        <w:t xml:space="preserve">货物</w:t>
      </w:r>
      <w:r>
        <w:rPr>
          <w:rFonts w:hint="eastAsia" w:ascii="Times New Roman" w:hAnsi="Times New Roman" w:eastAsia="宋体"/>
          <w:b/>
          <w:bCs/>
          <w:color w:val="auto"/>
          <w:szCs w:val="21"/>
          <w:highlight w:val="none"/>
        </w:rPr>
        <w:t xml:space="preserve">类标准</w:t>
      </w:r>
      <w:r>
        <w:rPr>
          <w:rFonts w:hint="eastAsia" w:ascii="Times New Roman" w:hAnsi="Times New Roman" w:eastAsia="宋体"/>
          <w:b/>
          <w:bCs/>
          <w:color w:val="auto"/>
          <w:szCs w:val="21"/>
          <w:highlight w:val="none"/>
          <w:u w:val="none"/>
        </w:rPr>
        <w:t xml:space="preserve">一</w:t>
      </w:r>
      <w:r>
        <w:rPr>
          <w:rFonts w:hint="eastAsia" w:ascii="Times New Roman" w:hAnsi="Times New Roman" w:eastAsia="宋体"/>
          <w:b/>
          <w:bCs/>
          <w:color w:val="auto"/>
          <w:szCs w:val="21"/>
          <w:highlight w:val="none"/>
        </w:rPr>
        <w:t xml:space="preserve">次性支付给招标代理机构。</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（1）代理服务费以人民币支付；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（2）代理服务费一次性以电汇或转账等非现金形式支付。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代理服务费开户银行：中国工商银行扬州雍华府支行</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开户名称：江苏苏维工程管理有限公司</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开户账号：1108020819100000612</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eastAsia" w:ascii="Times New Roman" w:hAnsi="Times New Roman" w:eastAsia="宋体"/>
          <w:b/>
          <w:bCs/>
          <w:color w:val="auto"/>
          <w:szCs w:val="21"/>
          <w:highlight w:val="none"/>
          <w:lang w:val="en-US" w:eastAsia="zh-CN"/>
        </w:rPr>
        <w:t xml:space="preserve">3</w:t>
      </w:r>
      <w:r>
        <w:rPr>
          <w:rFonts w:hint="eastAsia" w:ascii="Times New Roman" w:hAnsi="Times New Roman" w:eastAsia="宋体" w:cs="宋体"/>
          <w:b/>
          <w:bCs/>
          <w:color w:val="auto"/>
          <w:sz w:val="21"/>
          <w:szCs w:val="21"/>
          <w:highlight w:val="none"/>
        </w:rPr>
        <w:t xml:space="preserve">专家评审费按照《扬州市财政局关于进一步规范扬州市政府采购专家评审费标准的通知》（扬财购〔2020〕40号）执行，由采购人支付。</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5.招标文件的约束力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6.招标文件构成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6.1 招标文件由以下部分组成：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（1）招标公告</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（2）投标人须知</w:t>
      </w:r>
      <w:r>
        <w:rPr>
          <w:rFonts w:hint="eastAsia" w:ascii="Times New Roman" w:hAnsi="Times New Roman" w:eastAsia="宋体" w:cs="宋体"/>
          <w:bCs/>
          <w:color w:val="auto"/>
          <w:szCs w:val="21"/>
          <w:highlight w:val="none"/>
        </w:rPr>
        <w:tab/>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（3）合同条款及格式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（4）项目需求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（5）评标方法与评标标准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（6）投标文件格式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7.招标文件的澄清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8.招标文件的修改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8.1 在投标截止时间前，代理机构可以对招标文件进行修改。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8.3招标文件的修改将在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公布，补充文件将作为招标文件的组成部分，并对投标人具有约束力。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9.投标文件的语言、度量衡单位、货币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9.3投标人应使用人民币报价。</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10.投标文件构成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10.1投标文件由以下部分组成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（1）资格审查响应对照表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（2）符合性审查响应对照表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（3）非实质性响应对照表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（4）开标一览表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（5）分项报价表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（6）技术参数响应及偏离表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（7）商务条款响应及偏离表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（8）其他 （投标人认为有必要提供的声明和文件，如有自拟并自行添加）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11.证明投标人资格及符合招标文件规定的文件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12.投标配置与分项报价表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12.2 标的物</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12.3有关费用处理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12.4其它费用处理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12.5投标货币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2.项目单价按投标配置及分项报价表中要求填报。</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13.技术参数响应及偏离表、商务条款响应及偏离表及投标货物说明</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13.2 提供参加本项目类似案例简介；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13.3 培训计划；</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13.5 投标人认为需要的其他技术文件或说明。</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14.服务承诺及售后服务机构、人员的情况介绍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14.1投标人的服务承诺应按不低于招标文件中商务要求的标准。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15.投标函和开标一览表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16.投标有效期</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cs="宋体"/>
          <w:b/>
          <w:color w:val="auto"/>
          <w:szCs w:val="21"/>
          <w:highlight w:val="none"/>
        </w:rPr>
      </w:pPr>
      <w:r/>
      <w:bookmarkStart w:id="52" w:name="_Toc20823297"/>
      <w:r/>
      <w:bookmarkStart w:id="53" w:name="_Toc462564084"/>
      <w:r/>
      <w:bookmarkStart w:id="54" w:name="_Toc16938541"/>
      <w:r/>
      <w:bookmarkStart w:id="55" w:name="_Toc513029225"/>
      <w:r>
        <w:rPr>
          <w:rFonts w:hint="eastAsia" w:ascii="Times New Roman" w:hAnsi="Times New Roman" w:eastAsia="宋体" w:cs="宋体"/>
          <w:b/>
          <w:color w:val="auto"/>
          <w:szCs w:val="21"/>
          <w:highlight w:val="none"/>
        </w:rPr>
        <w:t xml:space="preserve">17.投标文件</w:t>
      </w:r>
      <w:bookmarkEnd w:id="52"/>
      <w:r/>
      <w:bookmarkEnd w:id="53"/>
      <w:r/>
      <w:bookmarkEnd w:id="54"/>
      <w:r/>
      <w:bookmarkEnd w:id="55"/>
      <w:r>
        <w:rPr>
          <w:rFonts w:hint="eastAsia" w:ascii="Times New Roman" w:hAnsi="Times New Roman" w:eastAsia="宋体" w:cs="宋体"/>
          <w:b/>
          <w:color w:val="auto"/>
          <w:szCs w:val="21"/>
          <w:highlight w:val="none"/>
        </w:rPr>
        <w:t xml:space="preserve">的递交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17.1 电子投标文件的递交投标人应当按照《操作手册》规定，在投标截止时间前制作并上传电子投标文件。</w:t>
      </w:r>
      <w:bookmarkStart w:id="56" w:name="_Toc20823298"/>
      <w:r/>
      <w:bookmarkStart w:id="57" w:name="_Toc16938542"/>
      <w:r/>
      <w:bookmarkStart w:id="58" w:name="_Toc513029226"/>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17.2政府采购管理交易系统（苏采云）相关要求是本招标文件的组成部分。</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17.3投标人应对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17.4投标人应当对招标文件提出的要求和条件作出实质性响应，并在电子投标系统逐条应答。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
          <w:bCs w:val="0"/>
          <w:color w:val="auto"/>
          <w:szCs w:val="21"/>
          <w:highlight w:val="none"/>
        </w:rPr>
        <w:t xml:space="preserve">17.7各投标人应在规定时间内凭CA证书进行网上解密。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18.投标截止日期</w:t>
      </w:r>
      <w:bookmarkEnd w:id="56"/>
      <w:r/>
      <w:bookmarkEnd w:id="57"/>
      <w:r/>
      <w:bookmarkEnd w:id="58"/>
      <w:r/>
      <w:r/>
    </w:p>
    <w:p>
      <w:pPr>
        <w:ind w:firstLine="420"/>
        <w:pageBreakBefore w:val="0"/>
        <w:spacing w:line="360" w:lineRule="auto"/>
        <w:rPr>
          <w:rFonts w:hint="eastAsia" w:ascii="Times New Roman" w:hAnsi="Times New Roman" w:eastAsia="宋体" w:cs="宋体"/>
          <w:bCs/>
          <w:i/>
          <w:iCs/>
          <w:color w:val="auto"/>
          <w:szCs w:val="21"/>
          <w:highlight w:val="none"/>
          <w:u w:val="single"/>
        </w:rPr>
      </w:pPr>
      <w:r>
        <w:rPr>
          <w:rFonts w:hint="eastAsia" w:ascii="Times New Roman" w:hAnsi="Times New Roman" w:eastAsia="宋体" w:cs="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cs="宋体"/>
          <w:b/>
          <w:color w:val="auto"/>
          <w:szCs w:val="21"/>
          <w:highlight w:val="none"/>
        </w:rPr>
      </w:pPr>
      <w:r/>
      <w:bookmarkStart w:id="59" w:name="_Toc16938543"/>
      <w:r/>
      <w:bookmarkStart w:id="60" w:name="_Toc513029227"/>
      <w:r/>
      <w:bookmarkStart w:id="61" w:name="_Toc20823299"/>
      <w:r>
        <w:rPr>
          <w:rFonts w:hint="eastAsia" w:ascii="Times New Roman" w:hAnsi="Times New Roman" w:eastAsia="宋体" w:cs="宋体"/>
          <w:b/>
          <w:color w:val="auto"/>
          <w:szCs w:val="21"/>
          <w:highlight w:val="none"/>
        </w:rPr>
        <w:t xml:space="preserve">19.投标文件</w:t>
      </w:r>
      <w:bookmarkEnd w:id="59"/>
      <w:r/>
      <w:bookmarkEnd w:id="60"/>
      <w:r/>
      <w:bookmarkEnd w:id="61"/>
      <w:r>
        <w:rPr>
          <w:rFonts w:hint="eastAsia" w:ascii="Times New Roman" w:hAnsi="Times New Roman" w:eastAsia="宋体" w:cs="宋体"/>
          <w:b/>
          <w:color w:val="auto"/>
          <w:szCs w:val="21"/>
          <w:highlight w:val="none"/>
        </w:rPr>
        <w:t xml:space="preserve">的拒收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cs="宋体"/>
          <w:b/>
          <w:color w:val="auto"/>
          <w:szCs w:val="21"/>
          <w:highlight w:val="none"/>
        </w:rPr>
      </w:pPr>
      <w:r/>
      <w:bookmarkStart w:id="62" w:name="_Toc513029228"/>
      <w:r/>
      <w:bookmarkStart w:id="63" w:name="_Toc20823300"/>
      <w:r/>
      <w:bookmarkStart w:id="64" w:name="_Toc16938544"/>
      <w:r>
        <w:rPr>
          <w:rFonts w:hint="eastAsia" w:ascii="Times New Roman" w:hAnsi="Times New Roman" w:eastAsia="宋体" w:cs="宋体"/>
          <w:b/>
          <w:color w:val="auto"/>
          <w:szCs w:val="21"/>
          <w:highlight w:val="none"/>
        </w:rPr>
        <w:t xml:space="preserve">20.投标文件的撤回和修改</w:t>
      </w:r>
      <w:bookmarkEnd w:id="62"/>
      <w:r/>
      <w:bookmarkEnd w:id="63"/>
      <w:r/>
      <w:bookmarkEnd w:id="64"/>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 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20.1.1 电子投标文件的撤回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20.1.2 投标人撤回电子投标文件，则认为其不再参与本项目投标活动。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20.2 投标文件的修改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20.3 在投标截止时间之后，投标人不得对其电子投标文件作任何修改。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21.开标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21.3投标人在开标过程中</w:t>
      </w:r>
      <w:r>
        <w:rPr>
          <w:rFonts w:hint="eastAsia" w:ascii="Times New Roman" w:hAnsi="Times New Roman" w:eastAsia="宋体" w:cs="宋体"/>
          <w:bCs/>
          <w:color w:val="auto"/>
          <w:szCs w:val="21"/>
          <w:highlight w:val="none"/>
          <w:lang w:eastAsia="zh-CN"/>
        </w:rPr>
        <w:t xml:space="preserve">涉及</w:t>
      </w:r>
      <w:r>
        <w:rPr>
          <w:rFonts w:hint="eastAsia" w:ascii="Times New Roman" w:hAnsi="Times New Roman" w:eastAsia="宋体" w:cs="宋体"/>
          <w:bCs/>
          <w:color w:val="auto"/>
          <w:szCs w:val="21"/>
          <w:highlight w:val="none"/>
        </w:rPr>
        <w:t xml:space="preserve">的投标文件解密、开标结果确认等工作，应按照《操作手册》规定执行。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22.评标委员会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开标后，代理机构将立即组织评标委员会（以下简称评委会）进行评标。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评委会由采购人代表和有关技术、经济等方面的专家组成，且人员构成符合政府采购有关规定。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22.3评委会独立工作，负责评审所有投标文件并确定中标候选人。</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23.评标过程的保密与公正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23.3 在评标期间，代理机构将设专门工作人员与投标人联系。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24.3 接到评委会澄清要求的投标人如未按规定作出澄清，其风险由投标人自行承担。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25.对投标文件的初审</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（2）大写金额与小写金额不一致的，以大写金额为准。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同时出现两种以上错误的，按照前款规定的顺序修正。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非单一产品采购项目，招标文件中将载明其中的核心产品</w:t>
      </w:r>
      <w:r>
        <w:rPr>
          <w:rFonts w:hint="eastAsia" w:ascii="Times New Roman" w:hAnsi="Times New Roman" w:eastAsia="宋体" w:cs="宋体"/>
          <w:b/>
          <w:bCs/>
          <w:color w:val="auto"/>
          <w:szCs w:val="21"/>
          <w:highlight w:val="none"/>
          <w:u w:val="single"/>
        </w:rPr>
        <w:t xml:space="preserve">（本项目的核心产品为“</w:t>
      </w:r>
      <w:r>
        <w:rPr>
          <w:rFonts w:hint="eastAsia" w:ascii="Times New Roman" w:hAnsi="Times New Roman" w:cs="宋体"/>
          <w:b/>
          <w:bCs/>
          <w:color w:val="auto"/>
          <w:szCs w:val="21"/>
          <w:highlight w:val="none"/>
          <w:u w:val="single"/>
          <w:lang w:eastAsia="zh-CN"/>
        </w:rPr>
        <w:t xml:space="preserve">彩色多普勒超声波诊断仪</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eastAsia="zh-CN"/>
        </w:rPr>
        <w:t xml:space="preserve">）</w:t>
      </w:r>
      <w:r>
        <w:rPr>
          <w:rFonts w:hint="eastAsia" w:ascii="Times New Roman" w:hAnsi="Times New Roman" w:eastAsia="宋体" w:cs="宋体"/>
          <w:bCs/>
          <w:color w:val="auto"/>
          <w:szCs w:val="21"/>
          <w:highlight w:val="none"/>
        </w:rPr>
        <w:t xml:space="preserve">。多家投标人提供的核心产品品牌相同的，按前两款规定处理。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25.8 投标人在开、评标全过程中应保持通信畅通，并安排专人与代理机构及评委会联系。</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w:t>
      </w:r>
      <w:r>
        <w:rPr>
          <w:rFonts w:hint="eastAsia" w:ascii="Times New Roman" w:hAnsi="Times New Roman" w:eastAsia="宋体"/>
          <w:b/>
          <w:bCs/>
          <w:color w:val="auto"/>
          <w:sz w:val="21"/>
          <w:szCs w:val="21"/>
          <w:highlight w:val="none"/>
          <w:lang w:val="en-US" w:eastAsia="zh-CN"/>
        </w:rPr>
        <w:t xml:space="preserve">9</w:t>
      </w:r>
      <w:r>
        <w:rPr>
          <w:rFonts w:hint="eastAsia" w:ascii="Times New Roman" w:hAnsi="Times New Roman" w:eastAsia="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25.9.1评标过程中出现下列情形之一的，评标委员会应当启动异常低价投标审查程序: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1.投标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2.投标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3.投标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响应)报价低于采购项目最高限价45%的，即投标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响应)报价&lt;采购项目最高限价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45%</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25.9.2评审委员会启动异常低价投标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响应)审查后，属于前述第1项至第4项情形的，应当要求相关供应商在评审现场合理的时间内对投标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 w:val="21"/>
          <w:szCs w:val="21"/>
          <w:highlight w:val="none"/>
        </w:rPr>
        <w:t xml:space="preserve">25.9.3评审委员会依据专业经验，参考同类项目中标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响应)处理。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26.无效投标、废标及投标人不足三家的处理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 投标人未成功解密电子投标文件的。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26.1.3投标人在报价时采用选择性报价的。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26.1.4投标人不具备招标文件中规定的资格要求的。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26.1.6未通过符合性审查的。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26.1.7不符合招标文件中规定的其他实质性要求和条件的（</w:t>
      </w:r>
      <w:r>
        <w:rPr>
          <w:rFonts w:hint="eastAsia" w:ascii="Times New Roman" w:hAnsi="Times New Roman" w:eastAsia="宋体" w:cs="宋体"/>
          <w:bCs/>
          <w:i/>
          <w:iCs/>
          <w:color w:val="auto"/>
          <w:szCs w:val="21"/>
          <w:highlight w:val="none"/>
          <w:u w:val="single"/>
        </w:rPr>
        <w:t xml:space="preserve">本招标文件中斜体且有下划线部分为实质性要求和条件</w:t>
      </w:r>
      <w:r>
        <w:rPr>
          <w:rFonts w:hint="eastAsia" w:ascii="Times New Roman" w:hAnsi="Times New Roman" w:eastAsia="宋体" w:cs="宋体"/>
          <w:bCs/>
          <w:color w:val="auto"/>
          <w:szCs w:val="21"/>
          <w:highlight w:val="none"/>
        </w:rPr>
        <w:t xml:space="preserve">）。</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26.1.8 投标人被 “信用中国”网站（www.creditchina.gov.cn）、“中国政府采购网"</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26.1.9  投标文件含有采购人不能接受的附加条件的。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26.1.10 评标委员会按照本招标文件规定对投标人进行异常低价投标审查后，认为投标人不能证明其报价合理性的。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26.1.12 投标文件未按照招标文件要求加盖电子签章。</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26.1.13 </w:t>
      </w:r>
      <w:r>
        <w:rPr>
          <w:rFonts w:hint="eastAsia" w:ascii="Times New Roman" w:hAnsi="Times New Roman" w:eastAsia="宋体" w:cs="宋体"/>
          <w:b w:val="0"/>
          <w:bCs/>
          <w:color w:val="auto"/>
          <w:szCs w:val="21"/>
          <w:highlight w:val="none"/>
          <w:lang w:val="en-US" w:eastAsia="zh-CN"/>
        </w:rPr>
        <w:t xml:space="preserve">投标人所投标产品不符合招标文件中所列国家强制性标准的。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26.1.14其他</w:t>
      </w:r>
      <w:r>
        <w:rPr>
          <w:rFonts w:hint="eastAsia" w:ascii="Times New Roman" w:hAnsi="Times New Roman" w:eastAsia="宋体" w:cs="宋体"/>
          <w:bCs/>
          <w:color w:val="auto"/>
          <w:szCs w:val="21"/>
          <w:highlight w:val="none"/>
          <w:lang w:eastAsia="zh-CN"/>
        </w:rPr>
        <w:t xml:space="preserve">法律法规</w:t>
      </w:r>
      <w:r>
        <w:rPr>
          <w:rFonts w:hint="eastAsia" w:ascii="Times New Roman" w:hAnsi="Times New Roman" w:eastAsia="宋体" w:cs="宋体"/>
          <w:bCs/>
          <w:color w:val="auto"/>
          <w:szCs w:val="21"/>
          <w:highlight w:val="none"/>
        </w:rPr>
        <w:t xml:space="preserve">及本招标文件规定的无效投标的情形。</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26.2废标条款：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27.确定中标单位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27.1评委会根据本招标文件规定的评标方法与评标标准向采购人推荐出中标候选人。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27.2 采购人应根据评委会推荐的中标候选人确定中标人。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27.3代理机构将在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发布中标公告，公告期限为1个工作日。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27.4.1提供虚假材料谋取中标的；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27.4.5与采购人或者其他投标人恶意串通的；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27.4.6采取不正当手段诋毁、排挤其他供应商的；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27.4.7不符合法律法规的规定的。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27.5.1不同投标人的投标文件由同一单位或者个人编制。</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27.5.2不同投标人委托同一单位或者个人办理投标事宜。</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27.5.5不同投标人的投标文件相互混装。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28、质疑处理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28.5 采购人及</w:t>
      </w:r>
      <w:r>
        <w:rPr>
          <w:rFonts w:hint="eastAsia" w:ascii="Times New Roman" w:hAnsi="Times New Roman" w:eastAsia="宋体" w:cs="宋体"/>
          <w:bCs/>
          <w:color w:val="auto"/>
          <w:szCs w:val="21"/>
          <w:highlight w:val="none"/>
          <w:lang w:eastAsia="zh-CN"/>
        </w:rPr>
        <w:t xml:space="preserve">代理机构</w:t>
      </w:r>
      <w:r>
        <w:rPr>
          <w:rFonts w:hint="eastAsia" w:ascii="Times New Roman" w:hAnsi="Times New Roman" w:eastAsia="宋体" w:cs="宋体"/>
          <w:bCs/>
          <w:color w:val="auto"/>
          <w:szCs w:val="21"/>
          <w:highlight w:val="none"/>
        </w:rPr>
        <w:t xml:space="preserve">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 以下情形的质疑不予受理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28.8.2 超出政府采购法定期限的质疑。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28.8.3 以传真、电子邮件等方式递交的非原件形式的质疑。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29.中标通知书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29.l 中标结果确定后，代理机构将向中标人发出中标通知书。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29.</w:t>
      </w:r>
      <w:r>
        <w:rPr>
          <w:rFonts w:hint="eastAsia" w:ascii="Times New Roman" w:hAnsi="Times New Roman" w:eastAsia="宋体" w:cs="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29.3</w:t>
      </w:r>
      <w:r>
        <w:rPr>
          <w:rFonts w:hint="eastAsia" w:ascii="Times New Roman" w:hAnsi="Times New Roman" w:eastAsia="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30. 签订合同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30.3 合同在“政府采购管理交易系统（苏采云）”中签订，签订合同后，</w:t>
      </w:r>
      <w:r>
        <w:rPr>
          <w:rFonts w:hint="eastAsia" w:ascii="Times New Roman" w:hAnsi="Times New Roman" w:eastAsia="宋体" w:cs="宋体"/>
          <w:bCs/>
          <w:i/>
          <w:iCs/>
          <w:color w:val="auto"/>
          <w:szCs w:val="21"/>
          <w:highlight w:val="none"/>
          <w:u w:val="single"/>
        </w:rPr>
        <w:t xml:space="preserve">中标人不得将货物或服务及其他服务进行转包</w:t>
      </w:r>
      <w:r>
        <w:rPr>
          <w:rFonts w:hint="eastAsia" w:ascii="Times New Roman" w:hAnsi="Times New Roman"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31、货物（包含与货物相关的服务）的追加</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32、政府采购履约资金扶持政策</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中标供应商可凭政府采购合同办理融资贷款，详情请见江苏政府采购网“政采贷”专栏。</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33</w:t>
      </w:r>
      <w:r>
        <w:rPr>
          <w:rFonts w:hint="eastAsia" w:ascii="Times New Roman" w:hAnsi="Times New Roman" w:eastAsia="宋体" w:cs="宋体"/>
          <w:b/>
          <w:color w:val="auto"/>
          <w:szCs w:val="21"/>
          <w:highlight w:val="none"/>
        </w:rPr>
        <w:t xml:space="preserve">、电子投标文件要求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.1政府采购管理交易系统（苏采云）相关要求是本招标文件的组成部分。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.2投标人应对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.3投标人应当对招标文件提出的要求和条件作出实质性响应，并在电子投标系统逐条应答。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.4投标人应对要求提供的资格证明文件（如资质证书、资格证书）、技术资料（如白皮书、彩页、手册、检测报告等）扫描上传至投标系统。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34</w:t>
      </w:r>
      <w:r>
        <w:rPr>
          <w:rFonts w:hint="eastAsia" w:ascii="Times New Roman" w:hAnsi="Times New Roman" w:eastAsia="宋体" w:cs="宋体"/>
          <w:b/>
          <w:bCs/>
          <w:color w:val="auto"/>
          <w:highlight w:val="none"/>
        </w:rPr>
        <w:t xml:space="preserve">、其他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color w:val="auto"/>
          <w:highlight w:val="none"/>
          <w:lang w:val="en-US" w:eastAsia="zh-CN"/>
        </w:rPr>
        <w:t xml:space="preserve">34</w:t>
      </w:r>
      <w:r>
        <w:rPr>
          <w:rFonts w:hint="eastAsia" w:ascii="Times New Roman" w:hAnsi="Times New Roman" w:eastAsia="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br w:type="page" w:clear="all"/>
      </w:r>
      <w:r/>
    </w:p>
    <w:p>
      <w:pPr>
        <w:pStyle w:val="717"/>
        <w:pageBreakBefore w:val="0"/>
        <w:spacing w:line="360" w:lineRule="auto"/>
        <w:rPr>
          <w:rFonts w:ascii="Times New Roman" w:hAnsi="Times New Roman" w:eastAsia="宋体"/>
          <w:color w:val="auto"/>
          <w:highlight w:val="none"/>
        </w:rPr>
      </w:pPr>
      <w:r/>
      <w:bookmarkStart w:id="65" w:name="_Toc12895"/>
      <w:r/>
      <w:bookmarkStart w:id="66" w:name="_Toc55204179"/>
      <w:r/>
      <w:bookmarkStart w:id="67" w:name="_Toc18307"/>
      <w:r/>
      <w:bookmarkStart w:id="68" w:name="_Toc23141"/>
      <w:r/>
      <w:bookmarkStart w:id="69" w:name="_Toc7691"/>
      <w:r/>
      <w:bookmarkStart w:id="70" w:name="_Toc1445"/>
      <w:r/>
      <w:bookmarkStart w:id="71" w:name="_Toc30440"/>
      <w:r/>
      <w:bookmarkStart w:id="72" w:name="_Hlk69392822"/>
      <w:r>
        <w:rPr>
          <w:rFonts w:hint="eastAsia" w:ascii="Times New Roman" w:hAnsi="Times New Roman" w:eastAsia="宋体"/>
          <w:color w:val="auto"/>
          <w:highlight w:val="none"/>
        </w:rPr>
        <w:t xml:space="preserve">第三章 合同条款及格式</w:t>
      </w:r>
      <w:bookmarkEnd w:id="65"/>
      <w:r/>
      <w:bookmarkEnd w:id="66"/>
      <w:r/>
      <w:bookmarkEnd w:id="67"/>
      <w:r/>
      <w:bookmarkEnd w:id="68"/>
      <w:r/>
      <w:bookmarkEnd w:id="69"/>
      <w:r/>
      <w:bookmarkEnd w:id="70"/>
      <w:r/>
      <w:bookmarkEnd w:id="71"/>
      <w:r/>
      <w:r/>
    </w:p>
    <w:p>
      <w:pPr>
        <w:pStyle w:val="97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976"/>
        <w:ind w:firstLine="422"/>
        <w:jc w:val="center"/>
        <w:pageBreakBefore w:val="0"/>
        <w:spacing w:line="360" w:lineRule="auto"/>
        <w:rPr>
          <w:rFonts w:hint="eastAsia"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r>
      <w:bookmarkEnd w:id="72"/>
      <w:r/>
      <w:r/>
    </w:p>
    <w:p>
      <w:pPr>
        <w:pStyle w:val="738"/>
        <w:ind w:firstLine="422"/>
        <w:jc w:val="center"/>
        <w:pageBreakBefore w:val="0"/>
        <w:spacing w:line="360" w:lineRule="auto"/>
        <w:rPr>
          <w:rFonts w:hint="eastAsia" w:ascii="Times New Roman" w:hAnsi="Times New Roman" w:eastAsia="宋体"/>
          <w:b/>
          <w:bCs/>
          <w:color w:val="auto"/>
          <w:sz w:val="21"/>
          <w:highlight w:val="none"/>
        </w:rPr>
      </w:pPr>
      <w:r/>
      <w:bookmarkStart w:id="73" w:name="_Toc17457"/>
      <w:r/>
      <w:bookmarkStart w:id="74" w:name="_Toc15957"/>
      <w:r/>
      <w:bookmarkStart w:id="75" w:name="_Toc14006"/>
      <w:r/>
      <w:bookmarkStart w:id="76" w:name="_Toc3819"/>
      <w:r>
        <w:rPr>
          <w:rFonts w:hint="eastAsia" w:ascii="Times New Roman" w:hAnsi="Times New Roman" w:eastAsia="宋体"/>
          <w:b/>
          <w:bCs/>
          <w:color w:val="auto"/>
          <w:sz w:val="21"/>
          <w:highlight w:val="none"/>
        </w:rPr>
        <w:t xml:space="preserve">扬州市政府采购合同（货物</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（合同编号）</w:t>
      </w:r>
      <w:r/>
    </w:p>
    <w:p>
      <w:pPr>
        <w:pStyle w:val="738"/>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项目名称：</w:t>
      </w:r>
      <w:r>
        <w:rPr>
          <w:rFonts w:hint="eastAsia" w:ascii="Times New Roman" w:hAnsi="Times New Roman" w:eastAsia="宋体"/>
          <w:color w:val="auto"/>
          <w:sz w:val="21"/>
          <w:highlight w:val="none"/>
          <w:lang w:eastAsia="zh-CN"/>
        </w:rPr>
        <w:t xml:space="preserve">扬州市公安局健康管理中心彩色多普勒超声诊断仪采购项目</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项目编号：</w:t>
      </w:r>
      <w:r>
        <w:rPr>
          <w:rFonts w:hint="eastAsia" w:ascii="Times New Roman" w:hAnsi="Times New Roman" w:eastAsia="宋体"/>
          <w:color w:val="auto"/>
          <w:sz w:val="21"/>
          <w:highlight w:val="none"/>
          <w:lang w:eastAsia="zh-CN"/>
        </w:rPr>
        <w:t xml:space="preserve">JSZC-321000-SWGC-G2026-0112号</w:t>
      </w:r>
      <w:r/>
    </w:p>
    <w:p>
      <w:pPr>
        <w:pStyle w:val="738"/>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eastAsia="宋体"/>
          <w:color w:val="auto"/>
          <w:sz w:val="21"/>
          <w:highlight w:val="none"/>
          <w:lang w:eastAsia="zh-CN"/>
        </w:rPr>
        <w:t xml:space="preserve">扬州市公安局</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甲、乙双方根据江苏苏维工程管理有限公司项目公开招标的结果，签署本合同。</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货物及服务名称：</w:t>
      </w:r>
      <w:r/>
    </w:p>
    <w:p>
      <w:pPr>
        <w:pStyle w:val="738"/>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1.2 型号规格：</w:t>
      </w:r>
      <w:r/>
    </w:p>
    <w:p>
      <w:pPr>
        <w:pStyle w:val="738"/>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1.3 数量（单位）</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38"/>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6.1 收取履约保证金的，</w:t>
      </w:r>
      <w:r>
        <w:rPr>
          <w:rFonts w:hint="eastAsia" w:ascii="Times New Roman" w:hAnsi="Times New Roman" w:eastAsia="宋体"/>
          <w:color w:val="auto"/>
          <w:sz w:val="21"/>
          <w:highlight w:val="none"/>
        </w:rPr>
        <w:t xml:space="preserve">允许中标人自主选择支票、汇票、本票、保函等非现金形式缴纳或提交，</w:t>
      </w:r>
      <w:r>
        <w:rPr>
          <w:rFonts w:ascii="Times New Roman" w:hAnsi="Times New Roman" w:eastAsia="宋体"/>
          <w:color w:val="auto"/>
          <w:sz w:val="21"/>
          <w:highlight w:val="none"/>
        </w:rPr>
        <w:t xml:space="preserve">应当在采购合同中约定履约保证金退还的方式、时间、条件和不予退还的情形，明确逾期退还履约保证金的违约责任。</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8"/>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6.4 履约保证金收取：</w:t>
      </w:r>
      <w:r>
        <w:rPr>
          <w:rFonts w:hint="eastAsia" w:ascii="Times New Roman" w:hAnsi="Times New Roman" w:eastAsia="宋体"/>
          <w:color w:val="auto"/>
          <w:sz w:val="21"/>
          <w:highlight w:val="none"/>
          <w:u w:val="single"/>
        </w:rPr>
        <w:t xml:space="preserve">无</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八、质保期</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质保期</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u w:val="single"/>
          <w:lang w:val="en-US" w:eastAsia="zh-CN"/>
        </w:rPr>
        <w:t xml:space="preserve">  </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年。（自交货验收合格之日起计）</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38"/>
        <w:ind w:firstLine="420"/>
        <w:pageBreakBefore w:val="0"/>
        <w:spacing w:line="360" w:lineRule="auto"/>
        <w:rPr>
          <w:rFonts w:hint="eastAsia" w:ascii="Times New Roman" w:hAnsi="Times New Roman" w:eastAsia="宋体"/>
          <w:color w:val="auto"/>
          <w:sz w:val="21"/>
          <w:highlight w:val="none"/>
          <w:u w:val="single"/>
          <w:lang w:eastAsia="zh-CN"/>
        </w:rPr>
      </w:pPr>
      <w:r>
        <w:rPr>
          <w:rFonts w:hint="eastAsia" w:ascii="Times New Roman" w:hAnsi="Times New Roman" w:eastAsia="宋体"/>
          <w:color w:val="auto"/>
          <w:sz w:val="21"/>
          <w:highlight w:val="none"/>
        </w:rPr>
        <w:t xml:space="preserve">9.1 交付期：</w:t>
      </w:r>
      <w:r>
        <w:rPr>
          <w:rFonts w:hint="eastAsia" w:ascii="Times New Roman" w:hAnsi="Times New Roman" w:eastAsia="宋体"/>
          <w:color w:val="auto"/>
          <w:sz w:val="21"/>
          <w:highlight w:val="none"/>
          <w:u w:val="none"/>
        </w:rPr>
        <w:t xml:space="preserve">合同签订后自接采购人通知之日起一个月内（除不可抗力、非乙方原因）全部供货及安装完毕，并完成全部验收、文档整理工作</w:t>
      </w:r>
      <w:r>
        <w:rPr>
          <w:rFonts w:hint="eastAsia" w:ascii="Times New Roman" w:hAnsi="Times New Roman" w:eastAsia="宋体"/>
          <w:color w:val="auto"/>
          <w:sz w:val="21"/>
          <w:highlight w:val="none"/>
          <w:u w:val="none"/>
          <w:lang w:eastAsia="zh-CN"/>
        </w:rPr>
        <w:t xml:space="preserve">。</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合同签订后，乙方向甲方开具发票，甲方自收到发票之日起10个工作日内支付合同总价</w:t>
      </w:r>
      <w:r>
        <w:rPr>
          <w:rFonts w:hint="eastAsia" w:ascii="Times New Roman" w:hAnsi="Times New Roman" w:eastAsia="宋体" w:cs="宋体"/>
          <w:color w:val="auto"/>
          <w:szCs w:val="21"/>
          <w:highlight w:val="none"/>
          <w:lang w:val="en-US" w:eastAsia="zh-CN"/>
        </w:rPr>
        <w:t xml:space="preserve">30</w:t>
      </w:r>
      <w:r>
        <w:rPr>
          <w:rFonts w:hint="eastAsia" w:ascii="Times New Roman" w:hAnsi="Times New Roman" w:eastAsia="宋体" w:cs="宋体"/>
          <w:color w:val="auto"/>
          <w:szCs w:val="21"/>
          <w:highlight w:val="none"/>
        </w:rPr>
        <w:t xml:space="preserve">%的预付款；</w:t>
      </w:r>
      <w:r/>
    </w:p>
    <w:p>
      <w:pPr>
        <w:pStyle w:val="738"/>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项目经验收合格后，乙方向甲方开具发票，甲方自收到发票之日起10个工作日内支付合同总价</w:t>
      </w:r>
      <w:r>
        <w:rPr>
          <w:rFonts w:hint="eastAsia" w:ascii="Times New Roman" w:hAnsi="Times New Roman" w:eastAsia="宋体"/>
          <w:color w:val="auto"/>
          <w:sz w:val="21"/>
          <w:highlight w:val="none"/>
          <w:lang w:val="zh-CN"/>
        </w:rPr>
        <w:t xml:space="preserve">的</w:t>
      </w:r>
      <w:r>
        <w:rPr>
          <w:rFonts w:hint="eastAsia" w:ascii="Times New Roman" w:hAnsi="Times New Roman" w:eastAsia="宋体"/>
          <w:color w:val="auto"/>
          <w:sz w:val="21"/>
          <w:highlight w:val="none"/>
          <w:lang w:val="en-US" w:eastAsia="zh-CN"/>
        </w:rPr>
        <w:t xml:space="preserve">7</w:t>
      </w:r>
      <w:r>
        <w:rPr>
          <w:rFonts w:hint="eastAsia" w:ascii="Times New Roman" w:hAnsi="Times New Roman" w:eastAsia="宋体"/>
          <w:color w:val="auto"/>
          <w:sz w:val="21"/>
          <w:highlight w:val="none"/>
        </w:rPr>
        <w:t xml:space="preserve">0</w:t>
      </w:r>
      <w:r>
        <w:rPr>
          <w:rFonts w:ascii="Times New Roman" w:hAnsi="Times New Roman" w:eastAsia="宋体"/>
          <w:color w:val="auto"/>
          <w:sz w:val="21"/>
          <w:highlight w:val="none"/>
        </w:rPr>
        <w:t xml:space="preserve">%</w:t>
      </w:r>
      <w:r>
        <w:rPr>
          <w:rFonts w:hint="eastAsia" w:ascii="Times New Roman" w:hAnsi="Times New Roman" w:eastAsia="宋体"/>
          <w:color w:val="auto"/>
          <w:sz w:val="21"/>
          <w:highlight w:val="none"/>
        </w:rPr>
        <w:t xml:space="preserve">。</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12.1 乙方应按招标文件规定的货物及服务性能、技术要求、质量标准向甲方提供。</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⑴更换：由乙方承担所发生的全部费用。</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⑵贬值处理：由甲乙双方合议定价。</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⑶退还处理：乙方应退还甲方支付的合同款，同时应承担该货物及服务的直接费用（运输、保险、检验、款项利息及银行手续费等）。</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12.3 如在使用过程中发生质量问题，乙方在接到甲方通知后在</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小时内到达甲方现场。</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12.4 在质保期内，乙方应对货物及服务出现的质量及安全问题负责处理解决并承担一切费用。</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12.5上述的货物及服务免费保修期为</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年，因人为因素出现的故障不在免费保修范围内。超过保修期的机器设备，终生维修，维修时只收部件成本费。</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十三、调试和验收</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13.4 对技术复杂的货物及服务，甲方可请国家认可的专业检测机构参与初步验收及最终验收，并由其出具质量检测报告。</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13.5 验收时乙方必须在现场，验收完毕后作出验收结果报告；验收费用由甲乙双方协商解决。</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十四、货物及服务包装、发运及运输</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14.2 使用说明书、质量检验证明书、随配附件和工具以及清单一并交付甲方。</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14.3 乙方在货物及服务发运手续办理完毕后24小时内或交付到甲方48小时前通知甲方，以准备接受交付。</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14.4 货物在交付甲方前发生的风险均由乙方负责。</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14.5 货物及服务在规定的交付期限内由乙方送达甲方指定的地点视为交付，乙方同时需通知甲方货物及服务已送达。</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甲方应按逾期付款总额每日万分之五向乙方支付违约金。</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738"/>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合同经双方法定代表人签章并加盖单位公章，并经江苏苏维工程管理有限公司见证盖章后生效。</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eastAsia="宋体"/>
          <w:color w:val="auto"/>
          <w:sz w:val="21"/>
          <w:highlight w:val="none"/>
          <w:lang w:val="en-US" w:eastAsia="zh-CN"/>
        </w:rPr>
        <w:t xml:space="preserve">中华人民共和国</w:t>
      </w:r>
      <w:r>
        <w:rPr>
          <w:rFonts w:hint="eastAsia" w:ascii="Times New Roman" w:hAnsi="Times New Roman" w:eastAsia="宋体"/>
          <w:color w:val="auto"/>
          <w:sz w:val="21"/>
          <w:highlight w:val="none"/>
        </w:rPr>
        <w:t xml:space="preserve">民法典》有关条文执行。</w:t>
      </w:r>
      <w:r/>
    </w:p>
    <w:p>
      <w:pPr>
        <w:pStyle w:val="738"/>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19.3 本合同正本一式四份，具有同等法律效力，甲方、乙方。  </w:t>
      </w:r>
      <w:r/>
    </w:p>
    <w:tbl>
      <w:tblPr>
        <w:tblStyle w:val="727"/>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w:t>
            </w:r>
            <w:r>
              <w:rPr>
                <w:rFonts w:hint="eastAsia" w:ascii="Times New Roman" w:hAnsi="Times New Roman" w:eastAsia="宋体"/>
                <w:color w:val="auto"/>
                <w:sz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8"/>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bl>
    <w:p>
      <w:pPr>
        <w:pStyle w:val="717"/>
        <w:numPr>
          <w:ilvl w:val="0"/>
          <w:numId w:val="0"/>
        </w:numPr>
        <w:pageBreakBefore w:val="0"/>
        <w:spacing w:line="360" w:lineRule="auto"/>
        <w:rPr>
          <w:rFonts w:hint="eastAsia" w:ascii="Times New Roman" w:hAnsi="Times New Roman" w:eastAsia="宋体" w:cs="Arial"/>
          <w:b/>
          <w:color w:val="auto"/>
          <w:sz w:val="30"/>
          <w:szCs w:val="40"/>
          <w:highlight w:val="none"/>
          <w:lang w:val="en-US" w:eastAsia="zh-CN" w:bidi="ar-SA"/>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Arial"/>
          <w:b/>
          <w:color w:val="auto"/>
          <w:sz w:val="30"/>
          <w:szCs w:val="40"/>
          <w:highlight w:val="none"/>
          <w:lang w:val="en-US" w:eastAsia="zh-CN" w:bidi="ar-SA"/>
        </w:rPr>
      </w:r>
      <w:r/>
    </w:p>
    <w:p>
      <w:pPr>
        <w:pStyle w:val="717"/>
        <w:numPr>
          <w:ilvl w:val="0"/>
          <w:numId w:val="0"/>
        </w:numPr>
        <w:pageBreakBefore w:val="0"/>
        <w:spacing w:line="360" w:lineRule="auto"/>
        <w:rPr>
          <w:rFonts w:ascii="Times New Roman" w:hAnsi="Times New Roman" w:eastAsia="宋体"/>
          <w:color w:val="auto"/>
          <w:highlight w:val="none"/>
        </w:rPr>
      </w:pPr>
      <w:r/>
      <w:bookmarkStart w:id="77" w:name="_Toc31443"/>
      <w:r/>
      <w:bookmarkStart w:id="78" w:name="_Toc4495"/>
      <w:r>
        <w:rPr>
          <w:rFonts w:hint="eastAsia" w:ascii="Times New Roman" w:hAnsi="Times New Roman" w:eastAsia="宋体" w:cs="Arial"/>
          <w:b/>
          <w:color w:val="auto"/>
          <w:sz w:val="30"/>
          <w:szCs w:val="40"/>
          <w:highlight w:val="none"/>
          <w:lang w:val="en-US" w:eastAsia="zh-CN" w:bidi="ar-SA"/>
        </w:rPr>
        <w:t xml:space="preserve">第四章 </w:t>
      </w:r>
      <w:r>
        <w:rPr>
          <w:rFonts w:hint="eastAsia" w:ascii="Times New Roman" w:hAnsi="Times New Roman" w:eastAsia="宋体"/>
          <w:color w:val="auto"/>
          <w:highlight w:val="none"/>
        </w:rPr>
        <w:t xml:space="preserve">项目需求</w:t>
      </w:r>
      <w:bookmarkEnd w:id="73"/>
      <w:r/>
      <w:bookmarkEnd w:id="74"/>
      <w:r/>
      <w:bookmarkEnd w:id="75"/>
      <w:r/>
      <w:bookmarkEnd w:id="76"/>
      <w:r/>
      <w:bookmarkEnd w:id="77"/>
      <w:r/>
      <w:bookmarkEnd w:id="78"/>
      <w:r/>
      <w:r/>
    </w:p>
    <w:p>
      <w:pPr>
        <w:ind w:firstLine="422"/>
        <w:pageBreakBefore w:val="0"/>
        <w:spacing w:line="360" w:lineRule="auto"/>
        <w:rPr>
          <w:rFonts w:hint="eastAsia" w:ascii="Times New Roman" w:hAnsi="Times New Roman" w:eastAsia="宋体" w:cs="宋体"/>
          <w:b/>
          <w:bCs/>
          <w:color w:val="auto"/>
          <w:highlight w:val="none"/>
        </w:rPr>
      </w:pPr>
      <w:r/>
      <w:bookmarkStart w:id="79" w:name="_Toc319408306"/>
      <w:r/>
      <w:bookmarkStart w:id="80" w:name="_Toc55204181"/>
      <w:r>
        <w:rPr>
          <w:rFonts w:hint="eastAsia" w:ascii="Times New Roman" w:hAnsi="Times New Roman" w:eastAsia="宋体" w:cs="宋体"/>
          <w:b/>
          <w:bCs/>
          <w:color w:val="auto"/>
          <w:highlight w:val="none"/>
        </w:rPr>
        <w:t xml:space="preserve">注：本章内容</w:t>
      </w:r>
      <w:r>
        <w:rPr>
          <w:rFonts w:hint="eastAsia" w:ascii="Times New Roman" w:hAnsi="Times New Roman" w:eastAsia="宋体" w:cs="宋体"/>
          <w:b/>
          <w:bCs/>
          <w:color w:val="auto"/>
          <w:highlight w:val="none"/>
          <w:lang w:eastAsia="zh-CN"/>
        </w:rPr>
        <w:t xml:space="preserve">中</w:t>
      </w:r>
      <w:r>
        <w:rPr>
          <w:rFonts w:hint="eastAsia" w:ascii="Times New Roman" w:hAnsi="Times New Roman" w:eastAsia="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pageBreakBefore w:val="0"/>
        <w:spacing w:line="360" w:lineRule="auto"/>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项目属性:货物类项目</w:t>
      </w:r>
      <w:r/>
    </w:p>
    <w:p>
      <w:pPr>
        <w:pStyle w:val="733"/>
        <w:ind w:left="0" w:firstLine="422"/>
        <w:keepLines w:val="0"/>
        <w:keepNext w:val="0"/>
        <w:pageBreakBefore w:val="0"/>
        <w:spacing w:after="0"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核心产品</w:t>
      </w:r>
      <w:r>
        <w:rPr>
          <w:rFonts w:hint="eastAsia" w:ascii="Times New Roman" w:hAnsi="Times New Roman" w:eastAsia="宋体" w:cs="宋体"/>
          <w:b/>
          <w:bCs/>
          <w:color w:val="auto"/>
          <w:sz w:val="21"/>
          <w:szCs w:val="21"/>
          <w:highlight w:val="none"/>
          <w:lang w:eastAsia="zh-CN"/>
        </w:rPr>
        <w:t xml:space="preserve">：</w:t>
      </w:r>
      <w:r/>
    </w:p>
    <w:tbl>
      <w:tblPr>
        <w:tblStyle w:val="72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4556"/>
      </w:tblGrid>
      <w:tr>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455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val="en-US" w:eastAsia="zh-CN"/>
              </w:rPr>
              <w:suppressLineNumbers w:val="0"/>
            </w:pPr>
            <w:r>
              <w:rPr>
                <w:rFonts w:hint="eastAsia" w:ascii="Times New Roman" w:hAnsi="Times New Roman" w:eastAsia="宋体" w:cs="宋体"/>
                <w:color w:val="auto"/>
                <w:sz w:val="21"/>
                <w:szCs w:val="21"/>
                <w:highlight w:val="none"/>
                <w:lang w:val="en-US" w:eastAsia="zh-CN"/>
              </w:rPr>
              <w:t xml:space="preserve">1</w:t>
            </w:r>
            <w:r/>
          </w:p>
        </w:tc>
        <w:tc>
          <w:tcPr>
            <w:tcW w:w="455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eastAsia="zh-CN"/>
              </w:rPr>
              <w:suppressLineNumbers w:val="0"/>
            </w:pPr>
            <w:r>
              <w:rPr>
                <w:rFonts w:hint="eastAsia" w:ascii="Times New Roman" w:hAnsi="Times New Roman" w:cs="宋体"/>
                <w:color w:val="auto"/>
                <w:sz w:val="21"/>
                <w:szCs w:val="21"/>
                <w:highlight w:val="none"/>
                <w:lang w:eastAsia="zh-CN"/>
              </w:rPr>
              <w:t xml:space="preserve">彩色多普勒超声波诊断仪</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进口产品投标</w:t>
      </w:r>
      <w:r>
        <w:rPr>
          <w:rFonts w:hint="eastAsia" w:ascii="Times New Roman" w:hAnsi="Times New Roman" w:eastAsia="宋体" w:cs="宋体"/>
          <w:b/>
          <w:bCs/>
          <w:color w:val="auto"/>
          <w:sz w:val="21"/>
          <w:szCs w:val="21"/>
          <w:highlight w:val="none"/>
          <w:lang w:eastAsia="zh-CN"/>
        </w:rPr>
        <w:t xml:space="preserve">：</w:t>
      </w:r>
      <w:r/>
    </w:p>
    <w:tbl>
      <w:tblPr>
        <w:tblStyle w:val="72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4559"/>
      </w:tblGrid>
      <w:tr>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455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w:t>
            </w:r>
            <w:r/>
          </w:p>
        </w:tc>
      </w:tr>
      <w:tr>
        <w:trPr>
          <w:trHeight w:val="610"/>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tcW w:w="455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否</w:t>
            </w:r>
            <w:r/>
          </w:p>
        </w:tc>
      </w:tr>
    </w:tbl>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lang w:val="en-US" w:eastAsia="zh-CN"/>
        </w:rPr>
        <w:t xml:space="preserve">一、</w:t>
      </w:r>
      <w:r>
        <w:rPr>
          <w:rFonts w:hint="eastAsia" w:ascii="Times New Roman" w:hAnsi="Times New Roman" w:eastAsia="宋体" w:cs="宋体"/>
          <w:b/>
          <w:bCs/>
          <w:color w:val="auto"/>
          <w:szCs w:val="21"/>
          <w:highlight w:val="none"/>
        </w:rPr>
        <w:t xml:space="preserve">政府采购中实施本国产品标准及相关政策</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1.本项目对采购本国产品给予政策支持，具体内容见招标文件“第五章评标方法与评标标准”。</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olor w:val="auto"/>
          <w:sz w:val="24"/>
          <w:szCs w:val="24"/>
          <w:highlight w:val="none"/>
          <w:lang w:eastAsia="zh-CN"/>
        </w:rPr>
      </w:pPr>
      <w:r>
        <w:rPr>
          <w:rFonts w:hint="eastAsia" w:ascii="Times New Roman" w:hAnsi="Times New Roman" w:eastAsia="宋体" w:cs="宋体"/>
          <w:b/>
          <w:bCs/>
          <w:color w:val="auto"/>
          <w:szCs w:val="21"/>
          <w:highlight w:val="none"/>
          <w:lang w:val="en-US" w:eastAsia="zh-CN"/>
        </w:rPr>
        <w:t xml:space="preserve">二</w:t>
      </w:r>
      <w:r>
        <w:rPr>
          <w:rFonts w:hint="eastAsia" w:ascii="Times New Roman" w:hAnsi="Times New Roman" w:eastAsia="宋体" w:cs="宋体"/>
          <w:b/>
          <w:bCs/>
          <w:color w:val="auto"/>
          <w:szCs w:val="21"/>
          <w:highlight w:val="none"/>
        </w:rPr>
        <w:t xml:space="preserve">、</w:t>
      </w:r>
      <w:r>
        <w:rPr>
          <w:rFonts w:hint="eastAsia" w:ascii="Times New Roman" w:hAnsi="Times New Roman" w:eastAsia="宋体" w:cs="宋体"/>
          <w:b/>
          <w:bCs/>
          <w:color w:val="auto"/>
          <w:highlight w:val="none"/>
          <w:lang w:val="en-US" w:eastAsia="zh-CN"/>
        </w:rPr>
        <w:t xml:space="preserve">项目概况</w:t>
      </w:r>
      <w:r/>
    </w:p>
    <w:p>
      <w:pPr>
        <w:pStyle w:val="755"/>
        <w:pageBreakBefore w:val="0"/>
        <w:spacing w:after="0" w:line="360" w:lineRule="auto"/>
        <w:rPr>
          <w:rFonts w:hint="eastAsia" w:ascii="Times New Roman" w:hAnsi="Times New Roman" w:eastAsia="宋体"/>
          <w:b w:val="0"/>
          <w:bCs/>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扬州市公安局健康管理中心作为公安局内设医疗卫生机构，承担扬州市区民辅警的日常医疗保健工作。为更好地服务公安民辅警，需要采购彩色多普勒超声诊断仪一台</w:t>
      </w:r>
      <w:r>
        <w:rPr>
          <w:rFonts w:hint="eastAsia" w:ascii="Times New Roman" w:hAnsi="Times New Roman" w:eastAsia="宋体"/>
          <w:b w:val="0"/>
          <w:bCs/>
          <w:color w:val="auto"/>
          <w:sz w:val="21"/>
          <w:szCs w:val="21"/>
          <w:highlight w:val="none"/>
          <w:lang w:val="en-US" w:eastAsia="zh-CN"/>
        </w:rPr>
        <w:t xml:space="preserve">。</w:t>
      </w:r>
      <w:bookmarkEnd w:id="79"/>
      <w:r/>
      <w:r/>
    </w:p>
    <w:p>
      <w:pPr>
        <w:pStyle w:val="755"/>
        <w:numPr>
          <w:ilvl w:val="0"/>
          <w:numId w:val="0"/>
        </w:numPr>
        <w:ind w:firstLine="426"/>
        <w:pageBreakBefore w:val="0"/>
        <w:spacing w:after="0" w:line="360" w:lineRule="auto"/>
        <w:rPr>
          <w:rFonts w:hint="eastAsia" w:ascii="Times New Roman" w:hAnsi="Times New Roman" w:eastAsia="宋体" w:cs="Times New Roman"/>
          <w:b/>
          <w:color w:val="auto"/>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Times New Roman"/>
          <w:b/>
          <w:color w:val="auto"/>
          <w:sz w:val="21"/>
          <w:szCs w:val="21"/>
          <w:highlight w:val="none"/>
          <w:lang w:val="en-US" w:eastAsia="zh-CN" w:bidi="ar-SA"/>
        </w:rPr>
      </w:r>
      <w:r/>
    </w:p>
    <w:p>
      <w:pPr>
        <w:pStyle w:val="755"/>
        <w:numPr>
          <w:ilvl w:val="0"/>
          <w:numId w:val="0"/>
        </w:numPr>
        <w:ind w:firstLine="426"/>
        <w:pageBreakBefore w:val="0"/>
        <w:spacing w:after="0" w:line="360" w:lineRule="auto"/>
        <w:rPr>
          <w:rFonts w:hint="eastAsia" w:ascii="Times New Roman" w:hAnsi="Times New Roman" w:eastAsia="宋体"/>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bidi="ar-SA"/>
        </w:rPr>
        <w:t xml:space="preserve">三、</w:t>
      </w:r>
      <w:r>
        <w:rPr>
          <w:rFonts w:hint="eastAsia" w:ascii="Times New Roman" w:hAnsi="Times New Roman" w:eastAsia="宋体"/>
          <w:b/>
          <w:color w:val="auto"/>
          <w:sz w:val="21"/>
          <w:szCs w:val="21"/>
          <w:highlight w:val="none"/>
          <w:lang w:val="en-US" w:eastAsia="zh-CN"/>
        </w:rPr>
        <w:t xml:space="preserve">采购清单</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7046"/>
      </w:tblGrid>
      <w:tr>
        <w:trPr>
          <w:jc w:val="center"/>
          <w:trHeight w:val="285"/>
        </w:trPr>
        <w:tc>
          <w:tcPr>
            <w:gridSpan w:val="2"/>
            <w:tcW w:w="8522"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货物需求一览表及技术规格</w:t>
            </w:r>
            <w:r/>
          </w:p>
        </w:tc>
      </w:tr>
      <w:tr>
        <w:trPr>
          <w:jc w:val="center"/>
          <w:trHeight w:val="297"/>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一</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设备名称：</w:t>
            </w:r>
            <w:r>
              <w:rPr>
                <w:rFonts w:hint="eastAsia" w:ascii="Times New Roman" w:hAnsi="Times New Roman" w:eastAsia="宋体" w:cs="宋体"/>
                <w:color w:val="auto"/>
                <w:sz w:val="21"/>
                <w:szCs w:val="21"/>
                <w:highlight w:val="none"/>
              </w:rPr>
              <w:t xml:space="preserve">彩色多普勒超声波诊断仪</w:t>
            </w:r>
            <w:r/>
          </w:p>
        </w:tc>
      </w:tr>
      <w:tr>
        <w:trPr>
          <w:jc w:val="center"/>
          <w:trHeight w:val="31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二</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数量：一台</w:t>
            </w:r>
            <w:r/>
          </w:p>
        </w:tc>
      </w:tr>
      <w:tr>
        <w:trPr>
          <w:jc w:val="center"/>
          <w:trHeight w:val="367"/>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三</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投标设备基本要求</w:t>
            </w:r>
            <w:r/>
          </w:p>
        </w:tc>
      </w:tr>
      <w:tr>
        <w:trPr>
          <w:jc w:val="center"/>
          <w:trHeight w:val="43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3.1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具备三类NMPA医疗器械注册证</w:t>
            </w:r>
            <w:r/>
          </w:p>
        </w:tc>
      </w:tr>
      <w:tr>
        <w:trPr>
          <w:jc w:val="center"/>
          <w:trHeight w:val="435"/>
        </w:trPr>
        <w:tc>
          <w:tcPr>
            <w:tcW w:w="1476" w:type="dxa"/>
            <w:vAlign w:val="center"/>
            <w:textDirection w:val="lrTb"/>
            <w:noWrap w:val="false"/>
          </w:tcPr>
          <w:p>
            <w:pPr>
              <w:jc w:val="center"/>
              <w:pageBreakBefore w:val="0"/>
              <w:spacing w:line="360" w:lineRule="auto"/>
              <w:widowControl/>
              <w:rPr>
                <w:rFonts w:hint="default" w:ascii="Times New Roman" w:hAnsi="Times New Roman" w:eastAsia="宋体" w:cs="宋体"/>
                <w:color w:val="auto"/>
                <w:sz w:val="21"/>
                <w:szCs w:val="21"/>
                <w:highlight w:val="none"/>
                <w:lang w:val="en-US" w:eastAsia="zh-CN"/>
              </w:rPr>
            </w:pPr>
            <w:r>
              <w:rPr>
                <w:rFonts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3.2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乙方所供全部设备须为全新原厂正品</w:t>
            </w:r>
            <w:r>
              <w:rPr>
                <w:rFonts w:hint="eastAsia" w:ascii="Times New Roman" w:hAnsi="Times New Roman" w:eastAsia="宋体" w:cs="宋体"/>
                <w:color w:val="auto"/>
                <w:sz w:val="21"/>
                <w:szCs w:val="21"/>
                <w:highlight w:val="none"/>
                <w:lang w:eastAsia="zh-CN"/>
              </w:rPr>
              <w:t xml:space="preserve">（生产日期</w:t>
            </w:r>
            <w:r>
              <w:rPr>
                <w:rFonts w:hint="eastAsia" w:ascii="Times New Roman" w:hAnsi="Times New Roman" w:cs="宋体"/>
                <w:color w:val="auto"/>
                <w:sz w:val="21"/>
                <w:szCs w:val="21"/>
                <w:highlight w:val="none"/>
                <w:lang w:val="en-US" w:eastAsia="zh-CN"/>
              </w:rPr>
              <w:t xml:space="preserve">在供货时间前</w:t>
            </w:r>
            <w:r>
              <w:rPr>
                <w:rFonts w:hint="eastAsia" w:ascii="Times New Roman" w:hAnsi="Times New Roman" w:eastAsia="宋体" w:cs="宋体"/>
                <w:color w:val="auto"/>
                <w:sz w:val="21"/>
                <w:szCs w:val="21"/>
                <w:highlight w:val="none"/>
                <w:lang w:eastAsia="zh-CN"/>
              </w:rPr>
              <w:t xml:space="preserve">3个月内</w:t>
            </w:r>
            <w:r>
              <w:rPr>
                <w:rFonts w:hint="eastAsia" w:ascii="Times New Roman" w:hAnsi="Times New Roman" w:cs="宋体"/>
                <w:color w:val="auto"/>
                <w:sz w:val="21"/>
                <w:szCs w:val="21"/>
                <w:highlight w:val="none"/>
                <w:lang w:val="en-US" w:eastAsia="zh-CN"/>
              </w:rPr>
              <w:t xml:space="preserve">出厂的</w:t>
            </w:r>
            <w:r>
              <w:rPr>
                <w:rFonts w:hint="eastAsia" w:ascii="Times New Roman" w:hAnsi="Times New Roman" w:eastAsia="宋体" w:cs="宋体"/>
                <w:color w:val="auto"/>
                <w:sz w:val="21"/>
                <w:szCs w:val="21"/>
                <w:highlight w:val="none"/>
                <w:lang w:eastAsia="zh-CN"/>
              </w:rPr>
              <w:t xml:space="preserve">新机器）</w:t>
            </w:r>
            <w:r>
              <w:rPr>
                <w:rFonts w:hint="eastAsia" w:ascii="Times New Roman" w:hAnsi="Times New Roman" w:eastAsia="宋体" w:cs="宋体"/>
                <w:color w:val="auto"/>
                <w:sz w:val="21"/>
                <w:szCs w:val="21"/>
                <w:highlight w:val="none"/>
              </w:rPr>
              <w:t xml:space="preserve">、未拆封、未使用、无翻新、无质量瑕疵，符合国家强制性标准及行业规范，具备完整的合格证、出厂检测报告、说明书、</w:t>
            </w:r>
            <w:r>
              <w:rPr>
                <w:rFonts w:hint="eastAsia" w:ascii="Times New Roman" w:hAnsi="Times New Roman" w:cs="宋体"/>
                <w:color w:val="auto"/>
                <w:sz w:val="21"/>
                <w:szCs w:val="21"/>
                <w:highlight w:val="none"/>
                <w:lang w:val="en-US" w:eastAsia="zh-CN"/>
              </w:rPr>
              <w:t xml:space="preserve">原厂</w:t>
            </w:r>
            <w:r>
              <w:rPr>
                <w:rFonts w:hint="eastAsia" w:ascii="Times New Roman" w:hAnsi="Times New Roman" w:eastAsia="宋体" w:cs="宋体"/>
                <w:color w:val="auto"/>
                <w:sz w:val="21"/>
                <w:szCs w:val="21"/>
                <w:highlight w:val="none"/>
              </w:rPr>
              <w:t xml:space="preserve">质保凭证</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b/>
                <w:bCs/>
                <w:color w:val="auto"/>
                <w:sz w:val="21"/>
                <w:szCs w:val="21"/>
                <w:highlight w:val="none"/>
                <w:lang w:eastAsia="zh-CN"/>
              </w:rPr>
              <w:t xml:space="preserve">（</w:t>
            </w:r>
            <w:r>
              <w:rPr>
                <w:rFonts w:hint="eastAsia" w:ascii="Times New Roman" w:hAnsi="Times New Roman" w:cs="宋体"/>
                <w:b/>
                <w:bCs/>
                <w:color w:val="auto"/>
                <w:sz w:val="21"/>
                <w:szCs w:val="21"/>
                <w:highlight w:val="none"/>
                <w:lang w:val="en-US" w:eastAsia="zh-CN"/>
              </w:rPr>
              <w:t xml:space="preserve">提供承诺书，格式自拟，原件加盖投标人公章</w:t>
            </w:r>
            <w:r>
              <w:rPr>
                <w:rFonts w:hint="eastAsia" w:ascii="Times New Roman" w:hAnsi="Times New Roman" w:cs="宋体"/>
                <w:b/>
                <w:bCs/>
                <w:color w:val="auto"/>
                <w:sz w:val="21"/>
                <w:szCs w:val="21"/>
                <w:highlight w:val="none"/>
                <w:lang w:eastAsia="zh-CN"/>
              </w:rPr>
              <w:t xml:space="preserve">）</w:t>
            </w:r>
            <w:r/>
          </w:p>
        </w:tc>
      </w:tr>
      <w:tr>
        <w:trPr>
          <w:jc w:val="center"/>
          <w:trHeight w:val="49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四</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设备用途及说明：</w:t>
            </w:r>
            <w:r/>
          </w:p>
          <w:p>
            <w:pPr>
              <w:jc w:val="left"/>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主要用于腹部、心脏、妇产、泌尿、浅表小器官与血管、儿科、肌骨神经等器官、系统疾病的早期诊断，重点结合公安民警群体心血管疾病高发的特点，强化对高血压、冠心病等心血管疾病的早期诊断，所购设备应具备组织多普勒、频谱多普勒及心功能定量分析功能，能够输出EF、E/e'等心脏血流定量参数，并支持相关测量结果写入临床报告及个人健康档案。</w:t>
            </w:r>
            <w:r/>
          </w:p>
        </w:tc>
      </w:tr>
      <w:tr>
        <w:trPr>
          <w:jc w:val="center"/>
          <w:trHeight w:val="348"/>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五</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主要规格及系统概述</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主机系统性能概括：</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≥22英寸</w:t>
            </w:r>
            <w:r>
              <w:rPr>
                <w:rFonts w:hint="eastAsia" w:ascii="Times New Roman" w:hAnsi="Times New Roman" w:eastAsia="宋体" w:cs="宋体"/>
                <w:color w:val="auto"/>
                <w:sz w:val="21"/>
                <w:szCs w:val="21"/>
                <w:highlight w:val="none"/>
              </w:rPr>
              <w:t xml:space="preserve">显示</w:t>
            </w:r>
            <w:r>
              <w:rPr>
                <w:rFonts w:hint="eastAsia" w:ascii="Times New Roman" w:hAnsi="Times New Roman" w:eastAsia="宋体" w:cs="宋体"/>
                <w:color w:val="auto"/>
                <w:sz w:val="21"/>
                <w:szCs w:val="21"/>
                <w:highlight w:val="none"/>
                <w:lang w:val="en-US" w:eastAsia="zh-CN"/>
              </w:rPr>
              <w:t xml:space="preserve">终端</w:t>
            </w:r>
            <w:r>
              <w:rPr>
                <w:rFonts w:hint="eastAsia" w:ascii="Times New Roman" w:hAnsi="Times New Roman" w:eastAsia="宋体" w:cs="宋体"/>
                <w:color w:val="auto"/>
                <w:sz w:val="21"/>
                <w:szCs w:val="21"/>
                <w:highlight w:val="none"/>
              </w:rPr>
              <w:t xml:space="preserve">，具备万向关节臂设计，可实现上下左右前后任意方位调节，可折叠</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分辨率≥1920x1080</w:t>
            </w:r>
            <w:r/>
          </w:p>
        </w:tc>
      </w:tr>
      <w:tr>
        <w:trPr>
          <w:jc w:val="center"/>
          <w:trHeight w:val="36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≥12英寸</w:t>
            </w:r>
            <w:r>
              <w:rPr>
                <w:rFonts w:hint="eastAsia" w:ascii="Times New Roman" w:hAnsi="Times New Roman" w:eastAsia="宋体" w:cs="宋体"/>
                <w:color w:val="auto"/>
                <w:sz w:val="21"/>
                <w:szCs w:val="21"/>
                <w:highlight w:val="none"/>
              </w:rPr>
              <w:t xml:space="preserve">人机交互</w:t>
            </w:r>
            <w:r>
              <w:rPr>
                <w:rFonts w:hint="eastAsia" w:ascii="Times New Roman" w:hAnsi="Times New Roman" w:eastAsia="宋体" w:cs="宋体"/>
                <w:color w:val="auto"/>
                <w:sz w:val="21"/>
                <w:szCs w:val="21"/>
                <w:highlight w:val="none"/>
                <w:lang w:val="en-US" w:eastAsia="zh-CN"/>
              </w:rPr>
              <w:t xml:space="preserve">液晶</w:t>
            </w:r>
            <w:r>
              <w:rPr>
                <w:rFonts w:hint="eastAsia" w:ascii="Times New Roman" w:hAnsi="Times New Roman" w:eastAsia="宋体" w:cs="宋体"/>
                <w:color w:val="auto"/>
                <w:sz w:val="21"/>
                <w:szCs w:val="21"/>
                <w:highlight w:val="none"/>
              </w:rPr>
              <w:t xml:space="preserve">操作终端</w:t>
            </w:r>
            <w:r>
              <w:rPr>
                <w:rFonts w:hint="eastAsia" w:ascii="Times New Roman" w:hAnsi="Times New Roman" w:eastAsia="宋体" w:cs="宋体"/>
                <w:color w:val="auto"/>
                <w:sz w:val="21"/>
                <w:szCs w:val="21"/>
                <w:highlight w:val="none"/>
              </w:rPr>
              <w:t xml:space="preserve">，可与</w:t>
            </w:r>
            <w:r>
              <w:rPr>
                <w:rFonts w:hint="eastAsia" w:ascii="Times New Roman" w:hAnsi="Times New Roman" w:eastAsia="宋体" w:cs="宋体"/>
                <w:color w:val="auto"/>
                <w:sz w:val="21"/>
                <w:szCs w:val="21"/>
                <w:highlight w:val="none"/>
              </w:rPr>
              <w:t xml:space="preserve">显示</w:t>
            </w:r>
            <w:r>
              <w:rPr>
                <w:rFonts w:hint="eastAsia" w:ascii="Times New Roman" w:hAnsi="Times New Roman" w:eastAsia="宋体" w:cs="宋体"/>
                <w:color w:val="auto"/>
                <w:sz w:val="21"/>
                <w:szCs w:val="21"/>
                <w:highlight w:val="none"/>
                <w:lang w:val="en-US" w:eastAsia="zh-CN"/>
              </w:rPr>
              <w:t xml:space="preserve">终端</w:t>
            </w:r>
            <w:r>
              <w:rPr>
                <w:rFonts w:hint="eastAsia" w:ascii="Times New Roman" w:hAnsi="Times New Roman" w:eastAsia="宋体" w:cs="宋体"/>
                <w:color w:val="auto"/>
                <w:sz w:val="21"/>
                <w:szCs w:val="21"/>
                <w:highlight w:val="none"/>
              </w:rPr>
              <w:t xml:space="preserve">同步显示实时图像</w:t>
            </w:r>
            <w:r/>
          </w:p>
        </w:tc>
      </w:tr>
      <w:tr>
        <w:trPr>
          <w:jc w:val="center"/>
          <w:trHeight w:val="9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支持数字</w:t>
            </w:r>
            <w:r>
              <w:rPr>
                <w:rFonts w:hint="eastAsia" w:ascii="Times New Roman" w:hAnsi="Times New Roman" w:eastAsia="宋体" w:cs="宋体"/>
                <w:color w:val="auto"/>
                <w:sz w:val="21"/>
                <w:szCs w:val="21"/>
                <w:highlight w:val="none"/>
                <w:lang w:val="en-US" w:eastAsia="zh-CN"/>
              </w:rPr>
              <w:t xml:space="preserve">化调节增益补偿</w:t>
            </w:r>
            <w:r>
              <w:rPr>
                <w:rFonts w:hint="eastAsia" w:ascii="Times New Roman" w:hAnsi="Times New Roman" w:eastAsia="宋体" w:cs="宋体"/>
                <w:color w:val="auto"/>
                <w:sz w:val="21"/>
                <w:szCs w:val="21"/>
                <w:highlight w:val="none"/>
              </w:rPr>
              <w:t xml:space="preserve">功能，滑动调节时间增益曲线</w:t>
            </w:r>
            <w:r/>
          </w:p>
        </w:tc>
      </w:tr>
      <w:tr>
        <w:trPr>
          <w:jc w:val="center"/>
          <w:trHeight w:val="77"/>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操作面板支持电动调节高度、前后左右位置及旋转</w:t>
            </w:r>
            <w:r/>
          </w:p>
        </w:tc>
      </w:tr>
      <w:tr>
        <w:trPr>
          <w:jc w:val="center"/>
          <w:trHeight w:val="233"/>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原始数据储存，可对回放图像进行多种参数调节</w:t>
            </w:r>
            <w:r/>
          </w:p>
        </w:tc>
      </w:tr>
      <w:tr>
        <w:trPr>
          <w:jc w:val="center"/>
          <w:trHeight w:val="442"/>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5.1.6</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空间像素成像</w:t>
            </w:r>
            <w:r>
              <w:rPr>
                <w:rFonts w:hint="eastAsia" w:ascii="Times New Roman" w:hAnsi="Times New Roman" w:eastAsia="宋体" w:cs="宋体"/>
                <w:color w:val="auto"/>
                <w:sz w:val="21"/>
                <w:szCs w:val="21"/>
                <w:highlight w:val="none"/>
                <w:lang w:val="en-US" w:eastAsia="zh-CN"/>
              </w:rPr>
              <w:t xml:space="preserve">技术</w:t>
            </w:r>
            <w:r>
              <w:rPr>
                <w:rFonts w:hint="eastAsia" w:ascii="Times New Roman" w:hAnsi="Times New Roman" w:eastAsia="宋体" w:cs="宋体"/>
                <w:color w:val="auto"/>
                <w:sz w:val="21"/>
                <w:szCs w:val="21"/>
                <w:highlight w:val="none"/>
              </w:rPr>
              <w:t xml:space="preserve">，仪器无任何实体和触摸按键可调节焦点位置和数目，图像区域无聚焦点</w:t>
            </w:r>
            <w:r/>
          </w:p>
        </w:tc>
      </w:tr>
      <w:tr>
        <w:trPr>
          <w:jc w:val="center"/>
          <w:trHeight w:val="9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5.1.7</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智能图像优化技术：提高图像整体空间分辨率、对比分辨率和信噪比，</w:t>
            </w:r>
            <w:r>
              <w:rPr>
                <w:rFonts w:hint="eastAsia" w:ascii="Times New Roman" w:hAnsi="Times New Roman" w:eastAsia="宋体" w:cs="宋体"/>
                <w:color w:val="auto"/>
                <w:sz w:val="21"/>
                <w:szCs w:val="21"/>
                <w:highlight w:val="none"/>
                <w:lang w:val="en-US" w:eastAsia="zh-CN"/>
              </w:rPr>
              <w:t xml:space="preserve">具备</w:t>
            </w:r>
            <w:r>
              <w:rPr>
                <w:rFonts w:hint="eastAsia" w:ascii="Times New Roman" w:hAnsi="Times New Roman" w:eastAsia="宋体" w:cs="宋体"/>
                <w:color w:val="auto"/>
                <w:sz w:val="21"/>
                <w:szCs w:val="21"/>
                <w:highlight w:val="none"/>
              </w:rPr>
              <w:t xml:space="preserve">可调节开关</w:t>
            </w:r>
            <w:r/>
          </w:p>
        </w:tc>
      </w:tr>
      <w:tr>
        <w:trPr>
          <w:jc w:val="center"/>
          <w:trHeight w:val="9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▲5.1.8</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动态范围≥3</w:t>
            </w:r>
            <w:r>
              <w:rPr>
                <w:rFonts w:hint="eastAsia" w:ascii="Times New Roman" w:hAnsi="Times New Roman" w:eastAsia="宋体"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rPr>
              <w:t xml:space="preserve">0dB</w:t>
            </w:r>
            <w:r>
              <w:rPr>
                <w:rFonts w:hint="eastAsia" w:ascii="Times New Roman" w:hAnsi="Times New Roman" w:cs="宋体"/>
                <w:b/>
                <w:bCs/>
                <w:color w:val="auto"/>
                <w:sz w:val="21"/>
                <w:szCs w:val="21"/>
                <w:highlight w:val="none"/>
                <w:lang w:eastAsia="zh-CN"/>
              </w:rPr>
              <w:t xml:space="preserve">（</w:t>
            </w:r>
            <w:r>
              <w:rPr>
                <w:rFonts w:hint="eastAsia" w:ascii="Times New Roman" w:hAnsi="Times New Roman" w:cs="宋体"/>
                <w:b/>
                <w:bCs/>
                <w:color w:val="auto"/>
                <w:sz w:val="21"/>
                <w:szCs w:val="21"/>
                <w:highlight w:val="none"/>
                <w:lang w:val="en-US" w:eastAsia="zh-CN"/>
              </w:rPr>
              <w:t xml:space="preserve">提供</w:t>
            </w:r>
            <w:r>
              <w:rPr>
                <w:rFonts w:hint="eastAsia" w:ascii="Times New Roman" w:hAnsi="Times New Roman"/>
                <w:b/>
                <w:bCs/>
                <w:color w:val="auto"/>
                <w:sz w:val="21"/>
                <w:highlight w:val="none"/>
                <w:u w:val="none"/>
                <w:lang w:val="en-US" w:eastAsia="zh-CN"/>
              </w:rPr>
              <w:t xml:space="preserve">原厂白皮书证明</w:t>
            </w:r>
            <w:r>
              <w:rPr>
                <w:rFonts w:hint="eastAsia" w:ascii="Times New Roman" w:hAnsi="Times New Roman" w:cs="宋体"/>
                <w:b/>
                <w:bCs/>
                <w:color w:val="auto"/>
                <w:sz w:val="21"/>
                <w:szCs w:val="21"/>
                <w:highlight w:val="none"/>
                <w:lang w:eastAsia="zh-CN"/>
              </w:rPr>
              <w:t xml:space="preserve">）</w:t>
            </w:r>
            <w:r/>
          </w:p>
        </w:tc>
      </w:tr>
      <w:tr>
        <w:trPr>
          <w:jc w:val="center"/>
          <w:trHeight w:val="176"/>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5.1.9</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主机具备耦合剂加热装置，加热温度分级可控</w:t>
            </w:r>
            <w:r/>
          </w:p>
        </w:tc>
      </w:tr>
      <w:tr>
        <w:trPr>
          <w:jc w:val="center"/>
          <w:trHeight w:val="77"/>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5.1.10</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具备数据防御系统，可对不同人群设置数据开放度及访问权限</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二维灰阶成像单元</w:t>
            </w:r>
            <w:r/>
          </w:p>
        </w:tc>
      </w:tr>
      <w:tr>
        <w:trPr>
          <w:jc w:val="center"/>
          <w:trHeight w:val="368"/>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宽频可变频成像技术：灰阶、谐波、彩色、频谱支持独立变频</w:t>
            </w:r>
            <w:r>
              <w:rPr>
                <w:rFonts w:hint="eastAsia" w:ascii="Times New Roman" w:hAnsi="Times New Roman" w:eastAsia="宋体" w:cs="宋体"/>
                <w:color w:val="auto"/>
                <w:sz w:val="21"/>
                <w:szCs w:val="21"/>
                <w:highlight w:val="none"/>
                <w:lang w:eastAsia="zh-CN"/>
              </w:rPr>
              <w:t xml:space="preserve">。</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斑点噪声抑制技术：支持所有探头，多级可调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空间复合成像或实时复合成像：支持所有凸阵、线阵及容积探头。</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组织谐波成像</w:t>
            </w:r>
            <w:r>
              <w:rPr>
                <w:rFonts w:hint="eastAsia" w:ascii="Times New Roman" w:hAnsi="Times New Roman" w:eastAsia="宋体" w:cs="宋体"/>
                <w:color w:val="auto"/>
                <w:sz w:val="21"/>
                <w:szCs w:val="21"/>
                <w:highlight w:val="none"/>
                <w:lang w:val="en-US" w:eastAsia="zh-CN"/>
              </w:rPr>
              <w:t xml:space="preserve">技术</w:t>
            </w:r>
            <w:r>
              <w:rPr>
                <w:rFonts w:hint="eastAsia" w:ascii="Times New Roman" w:hAnsi="Times New Roman" w:eastAsia="宋体" w:cs="宋体"/>
                <w:color w:val="auto"/>
                <w:sz w:val="21"/>
                <w:szCs w:val="21"/>
                <w:highlight w:val="none"/>
              </w:rPr>
              <w:t xml:space="preserve">：可用于全部成像探头，频率可视可调</w:t>
            </w:r>
            <w:r>
              <w:rPr>
                <w:rFonts w:hint="eastAsia" w:ascii="Times New Roman" w:hAnsi="Times New Roman" w:eastAsia="宋体" w:cs="宋体"/>
                <w:color w:val="auto"/>
                <w:sz w:val="21"/>
                <w:szCs w:val="21"/>
                <w:highlight w:val="none"/>
                <w:lang w:eastAsia="zh-CN"/>
              </w:rPr>
              <w:t xml:space="preserve">。</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lang w:bidi="ar"/>
              </w:rPr>
              <w:t xml:space="preserve">超声声速自适应技术</w:t>
            </w:r>
            <w:r>
              <w:rPr>
                <w:rFonts w:hint="eastAsia" w:ascii="Times New Roman" w:hAnsi="Times New Roman" w:eastAsia="宋体" w:cs="宋体"/>
                <w:color w:val="auto"/>
                <w:sz w:val="21"/>
                <w:szCs w:val="21"/>
                <w:highlight w:val="none"/>
              </w:rPr>
              <w:t xml:space="preserve">：适用于所有凸阵及线阵探头</w:t>
            </w:r>
            <w:r>
              <w:rPr>
                <w:rFonts w:hint="eastAsia" w:ascii="Times New Roman" w:hAnsi="Times New Roman" w:eastAsia="宋体" w:cs="宋体"/>
                <w:color w:val="auto"/>
                <w:sz w:val="21"/>
                <w:szCs w:val="21"/>
                <w:highlight w:val="none"/>
                <w:lang w:eastAsia="zh-CN"/>
              </w:rPr>
              <w:t xml:space="preserve">。</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5.2.6</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高清放大功能：可对局部图像进行高清放大，并可以对照显示被放大组织在整幅图像中所处位置关系</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5.2.7</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宽景成像技术：扫描长度</w:t>
            </w:r>
            <w:r>
              <w:rPr>
                <w:rFonts w:hint="eastAsia"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120cm，支持所有成像探头</w:t>
            </w:r>
            <w:r>
              <w:rPr>
                <w:rFonts w:hint="eastAsia" w:ascii="Times New Roman" w:hAnsi="Times New Roman" w:eastAsia="宋体" w:cs="宋体"/>
                <w:color w:val="auto"/>
                <w:sz w:val="21"/>
                <w:szCs w:val="21"/>
                <w:highlight w:val="none"/>
                <w:lang w:eastAsia="zh-CN"/>
              </w:rPr>
              <w:t xml:space="preserve">。</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5.2.8</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智能像素优化技术：支持心脏二维成像，分级可调，智能抑制噪声，增强组织显示</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5.2.9</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组织多普勒速度成像，同时支持解剖 M型和曲线解剖M型</w:t>
            </w:r>
            <w:r/>
          </w:p>
        </w:tc>
      </w:tr>
      <w:tr>
        <w:trPr>
          <w:jc w:val="center"/>
          <w:trHeight w:val="9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先进功能</w:t>
            </w:r>
            <w:r/>
          </w:p>
        </w:tc>
      </w:tr>
      <w:tr>
        <w:trPr>
          <w:jc w:val="center"/>
          <w:trHeight w:val="312"/>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▲5.3.1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具备动态向量血流成像技术，可直观反映血管内真实血流动力学状态，成像无取样框限制，能够动态展示血管空间走行与血流分布特征。</w:t>
            </w:r>
            <w:r/>
          </w:p>
        </w:tc>
      </w:tr>
      <w:tr>
        <w:trPr>
          <w:jc w:val="center"/>
          <w:trHeight w:val="377"/>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▲5.3.2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超微细血流成像或超低速血流成像：显示超微血流及低速血流信号，可支持腹部及小器官应用,具备多级别背景模式选择；支持PW速度测量；支持立体显示模式</w:t>
            </w:r>
            <w:r>
              <w:rPr>
                <w:rFonts w:hint="eastAsia" w:ascii="Times New Roman" w:hAnsi="Times New Roman" w:eastAsia="宋体" w:cs="宋体"/>
                <w:color w:val="auto"/>
                <w:sz w:val="21"/>
                <w:szCs w:val="21"/>
                <w:highlight w:val="none"/>
                <w:lang w:eastAsia="zh-CN"/>
              </w:rPr>
              <w:t xml:space="preserve">。</w:t>
            </w:r>
            <w:r/>
          </w:p>
        </w:tc>
      </w:tr>
      <w:tr>
        <w:trPr>
          <w:jc w:val="center"/>
          <w:trHeight w:val="614"/>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5.3.3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二维立体血流显示技术：常规二维探头实现二维图上呈现立体血流，突显血管位置关系，立体呈现程度可调节，可联合超低速血流技术和高穿透技术成像，并可支持测速。</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5.3.</w:t>
            </w:r>
            <w:r>
              <w:rPr>
                <w:rFonts w:hint="eastAsia" w:ascii="Times New Roman" w:hAnsi="Times New Roman" w:eastAsia="宋体" w:cs="宋体"/>
                <w:color w:val="auto"/>
                <w:sz w:val="21"/>
                <w:szCs w:val="21"/>
                <w:highlight w:val="none"/>
                <w:lang w:val="en-US" w:eastAsia="zh-CN"/>
              </w:rPr>
              <w:t xml:space="preserve">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智能</w:t>
            </w:r>
            <w:r>
              <w:rPr>
                <w:rFonts w:hint="eastAsia" w:ascii="Times New Roman" w:hAnsi="Times New Roman" w:eastAsia="宋体" w:cs="宋体"/>
                <w:color w:val="auto"/>
                <w:sz w:val="21"/>
                <w:szCs w:val="21"/>
                <w:highlight w:val="none"/>
              </w:rPr>
              <w:t xml:space="preserve">血流跟踪技</w:t>
            </w:r>
            <w:r>
              <w:rPr>
                <w:rFonts w:hint="eastAsia" w:ascii="Times New Roman" w:hAnsi="Times New Roman" w:eastAsia="宋体" w:cs="宋体"/>
                <w:color w:val="auto"/>
                <w:sz w:val="21"/>
                <w:szCs w:val="21"/>
                <w:highlight w:val="none"/>
                <w:lang w:val="en-US" w:eastAsia="zh-CN"/>
              </w:rPr>
              <w:t xml:space="preserve">术</w:t>
            </w:r>
            <w:r>
              <w:rPr>
                <w:rFonts w:hint="eastAsia" w:ascii="Times New Roman" w:hAnsi="Times New Roman" w:eastAsia="宋体" w:cs="宋体"/>
                <w:color w:val="auto"/>
                <w:sz w:val="21"/>
                <w:szCs w:val="21"/>
                <w:highlight w:val="none"/>
              </w:rPr>
              <w:t xml:space="preserve">：能够快速识别血管结构，自动调整彩色取样框位置、角度，调整频谱取样容积和取样角度</w:t>
            </w:r>
            <w:r/>
          </w:p>
        </w:tc>
      </w:tr>
      <w:tr>
        <w:trPr>
          <w:jc w:val="center"/>
          <w:trHeight w:val="30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5.3.</w:t>
            </w:r>
            <w:r>
              <w:rPr>
                <w:rFonts w:hint="eastAsia" w:ascii="Times New Roman" w:hAnsi="Times New Roman" w:eastAsia="宋体" w:cs="宋体"/>
                <w:color w:val="auto"/>
                <w:sz w:val="21"/>
                <w:szCs w:val="21"/>
                <w:highlight w:val="none"/>
                <w:lang w:val="en-US" w:eastAsia="zh-CN"/>
              </w:rPr>
              <w:t xml:space="preserve">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应变式弹性成像：支持多种凸阵、多种线阵、多种超高频线阵、腔内、术中、矩阵等多种探头。动态弹性图定量分析，可同屏提供多个感兴趣区的硬度值和多个感兴趣区与参照区的硬度比</w:t>
            </w:r>
            <w:r/>
          </w:p>
        </w:tc>
      </w:tr>
      <w:tr>
        <w:trPr>
          <w:jc w:val="center"/>
          <w:trHeight w:val="30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5.3.</w:t>
            </w:r>
            <w:r>
              <w:rPr>
                <w:rFonts w:hint="eastAsia" w:ascii="Times New Roman" w:hAnsi="Times New Roman" w:eastAsia="宋体" w:cs="宋体"/>
                <w:color w:val="auto"/>
                <w:sz w:val="21"/>
                <w:szCs w:val="21"/>
                <w:highlight w:val="none"/>
                <w:lang w:val="en-US" w:eastAsia="zh-CN"/>
              </w:rPr>
              <w:t xml:space="preserve">6</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应变式弹性成像或压力弹性成像具备成像质量监控色棒和操作动作曲线</w:t>
            </w:r>
            <w:r/>
          </w:p>
        </w:tc>
      </w:tr>
      <w:tr>
        <w:trPr>
          <w:jc w:val="center"/>
          <w:trHeight w:val="30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5.3.</w:t>
            </w:r>
            <w:r>
              <w:rPr>
                <w:rFonts w:hint="eastAsia" w:ascii="Times New Roman" w:hAnsi="Times New Roman" w:eastAsia="宋体" w:cs="宋体"/>
                <w:color w:val="auto"/>
                <w:sz w:val="21"/>
                <w:szCs w:val="21"/>
                <w:highlight w:val="none"/>
                <w:lang w:val="en-US" w:eastAsia="zh-CN"/>
              </w:rPr>
              <w:t xml:space="preserve">7</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智能组织边界识别技术：组织边界识别（甲状腺、乳腺、肝脏），在用户标定ROI区域自动识别病灶、自动包络病灶边界，对追踪边界进行细微调整校对</w:t>
            </w:r>
            <w:r/>
          </w:p>
        </w:tc>
      </w:tr>
      <w:tr>
        <w:trPr>
          <w:jc w:val="center"/>
          <w:trHeight w:val="30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5.3.</w:t>
            </w:r>
            <w:r>
              <w:rPr>
                <w:rFonts w:hint="eastAsia" w:ascii="Times New Roman" w:hAnsi="Times New Roman" w:eastAsia="宋体" w:cs="宋体"/>
                <w:color w:val="auto"/>
                <w:sz w:val="21"/>
                <w:szCs w:val="21"/>
                <w:highlight w:val="none"/>
                <w:lang w:val="en-US" w:eastAsia="zh-CN"/>
              </w:rPr>
              <w:t xml:space="preserve">8</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具备智能多普勒血管成像功能，支持一键式血管智能扫查，可自动识别目标血管，自动完成彩色多普勒、频谱多普勒参数及取样条件优化，实现血流频谱自动测量</w:t>
            </w:r>
            <w:r/>
          </w:p>
        </w:tc>
      </w:tr>
      <w:tr>
        <w:trPr>
          <w:jc w:val="center"/>
          <w:trHeight w:val="413"/>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5.4</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测量和分析（B型、M型、频谱多普勒、彩色模式）</w:t>
            </w:r>
            <w:r/>
          </w:p>
        </w:tc>
      </w:tr>
      <w:tr>
        <w:trPr>
          <w:jc w:val="center"/>
          <w:trHeight w:val="377"/>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一般测量</w:t>
            </w:r>
            <w:r/>
          </w:p>
        </w:tc>
      </w:tr>
      <w:tr>
        <w:trPr>
          <w:jc w:val="center"/>
          <w:trHeight w:val="264"/>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妇产科测量</w:t>
            </w:r>
            <w:r/>
          </w:p>
        </w:tc>
      </w:tr>
      <w:tr>
        <w:trPr>
          <w:jc w:val="center"/>
          <w:trHeight w:val="264"/>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5.4.3</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产科辅助自动测量：系统根据图像识别技术自动测量胎儿双顶径、股骨长、头围、腹围等重要的胎儿生长发育指标，从而提高测量客观性，减少人为误差</w:t>
            </w:r>
            <w:r/>
          </w:p>
        </w:tc>
      </w:tr>
      <w:tr>
        <w:trPr>
          <w:jc w:val="center"/>
          <w:trHeight w:val="30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5.4.4</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心脏功能测量</w:t>
            </w:r>
            <w:r/>
          </w:p>
        </w:tc>
      </w:tr>
      <w:tr>
        <w:trPr>
          <w:jc w:val="center"/>
          <w:trHeight w:val="30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5.4.5</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心功能自动计算功能：在心肌的动态运动下自动追踪描记心内膜并计算出心功能参数，自动得到EF、CO、SV 等心功能数据</w:t>
            </w:r>
            <w:r/>
          </w:p>
        </w:tc>
      </w:tr>
      <w:tr>
        <w:trPr>
          <w:jc w:val="center"/>
          <w:trHeight w:val="276"/>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5.4.6</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多普勒血流测量与分析</w:t>
            </w:r>
            <w:r/>
          </w:p>
        </w:tc>
      </w:tr>
      <w:tr>
        <w:trPr>
          <w:jc w:val="center"/>
          <w:trHeight w:val="97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5.4.7</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具备血流定量分析功能或类似技术：通过对组织感兴趣区的多普勒血流信号计算分析，获得定量数据。</w:t>
            </w:r>
            <w:r>
              <w:rPr>
                <w:rFonts w:hint="eastAsia" w:ascii="Times New Roman" w:hAnsi="Times New Roman" w:eastAsia="宋体" w:cs="宋体"/>
                <w:color w:val="auto"/>
                <w:sz w:val="21"/>
                <w:szCs w:val="21"/>
                <w:highlight w:val="none"/>
                <w:lang w:val="en-US" w:eastAsia="zh-CN"/>
              </w:rPr>
              <w:t xml:space="preserve">可</w:t>
            </w:r>
            <w:r>
              <w:rPr>
                <w:rFonts w:hint="eastAsia" w:ascii="Times New Roman" w:hAnsi="Times New Roman" w:eastAsia="宋体" w:cs="宋体"/>
                <w:color w:val="auto"/>
                <w:sz w:val="21"/>
                <w:szCs w:val="21"/>
                <w:highlight w:val="none"/>
              </w:rPr>
              <w:t xml:space="preserve">用于类风湿关节炎诊断、病程监测、及疗效评估</w:t>
            </w:r>
            <w:r>
              <w:rPr>
                <w:rFonts w:hint="eastAsia" w:ascii="Times New Roman" w:hAnsi="Times New Roman" w:eastAsia="宋体" w:cs="宋体"/>
                <w:color w:val="auto"/>
                <w:sz w:val="21"/>
                <w:szCs w:val="21"/>
                <w:highlight w:val="none"/>
                <w:lang w:val="en-US" w:eastAsia="zh-CN"/>
              </w:rPr>
              <w:t xml:space="preserve">或者</w:t>
            </w:r>
            <w:r>
              <w:rPr>
                <w:rFonts w:hint="eastAsia" w:ascii="Times New Roman" w:hAnsi="Times New Roman" w:eastAsia="宋体" w:cs="宋体"/>
                <w:color w:val="auto"/>
                <w:sz w:val="21"/>
                <w:szCs w:val="21"/>
                <w:highlight w:val="none"/>
              </w:rPr>
              <w:t xml:space="preserve">其它表现为病灶或组织内血流改变的疾病的定量分析及评估</w:t>
            </w:r>
            <w:r/>
          </w:p>
        </w:tc>
      </w:tr>
      <w:tr>
        <w:trPr>
          <w:jc w:val="center"/>
          <w:trHeight w:val="22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5.4.8</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外周血管测量与分析</w:t>
            </w:r>
            <w:r/>
          </w:p>
        </w:tc>
      </w:tr>
      <w:tr>
        <w:trPr>
          <w:jc w:val="center"/>
          <w:trHeight w:val="22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5.4.9</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血管内中膜自动测量技术：支持一段血管前壁和后壁同屏独立测量显示，自动给出分析报告</w:t>
            </w:r>
            <w:r/>
          </w:p>
        </w:tc>
      </w:tr>
      <w:tr>
        <w:trPr>
          <w:jc w:val="center"/>
          <w:trHeight w:val="272"/>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5.4.10</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泌尿科测量与分析</w:t>
            </w:r>
            <w:r/>
          </w:p>
        </w:tc>
      </w:tr>
      <w:tr>
        <w:trPr>
          <w:jc w:val="center"/>
          <w:trHeight w:val="248"/>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5.4.11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多普勒频谱自动包络、测量与计算，参数由客户自由选择</w:t>
            </w:r>
            <w:r/>
          </w:p>
        </w:tc>
      </w:tr>
      <w:tr>
        <w:trPr>
          <w:jc w:val="center"/>
          <w:trHeight w:val="252"/>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5.5</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图像存储与(电影)回放重现单元</w:t>
            </w:r>
            <w:r/>
          </w:p>
        </w:tc>
      </w:tr>
      <w:tr>
        <w:trPr>
          <w:jc w:val="center"/>
          <w:trHeight w:val="20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5.6</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输入/输出信号：HDMI、USB等</w:t>
            </w:r>
            <w:r/>
          </w:p>
        </w:tc>
      </w:tr>
      <w:tr>
        <w:trPr>
          <w:jc w:val="center"/>
          <w:trHeight w:val="249"/>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5.7</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连通性：</w:t>
            </w:r>
            <w:r/>
          </w:p>
        </w:tc>
      </w:tr>
      <w:tr>
        <w:trPr>
          <w:jc w:val="center"/>
          <w:trHeight w:val="459"/>
        </w:trPr>
        <w:tc>
          <w:tcPr>
            <w:tcW w:w="1476"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5.7.1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医学数字图像和通信DICOM 3.0版接口部件(且可以作为中央服务器远程读取、调入、存储其他彩超图像)，支持压缩和高清DICOM图像传输</w:t>
            </w:r>
            <w:r/>
          </w:p>
        </w:tc>
      </w:tr>
      <w:tr>
        <w:trPr>
          <w:jc w:val="center"/>
          <w:trHeight w:val="372"/>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5.8</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超声图像存档与病案管理系统</w:t>
            </w:r>
            <w:r/>
          </w:p>
        </w:tc>
      </w:tr>
      <w:tr>
        <w:trPr>
          <w:jc w:val="center"/>
          <w:trHeight w:val="353"/>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5.8.1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主机内置固态硬盘容量≥1TB</w:t>
            </w:r>
            <w:r/>
          </w:p>
        </w:tc>
      </w:tr>
      <w:tr>
        <w:trPr>
          <w:jc w:val="center"/>
          <w:trHeight w:val="43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5.8.2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一体化剪帖板：(在屏幕上)可以存储和回放动态及静态图像，在剪贴板上可以直接进行图像删除、转存或进入病案系统</w:t>
            </w:r>
            <w:r/>
          </w:p>
        </w:tc>
      </w:tr>
      <w:tr>
        <w:trPr>
          <w:jc w:val="center"/>
          <w:trHeight w:val="302"/>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5.8.</w:t>
            </w:r>
            <w:r>
              <w:rPr>
                <w:rFonts w:hint="eastAsia" w:ascii="Times New Roman" w:hAnsi="Times New Roman" w:eastAsia="宋体" w:cs="宋体"/>
                <w:color w:val="auto"/>
                <w:sz w:val="21"/>
                <w:szCs w:val="21"/>
                <w:highlight w:val="none"/>
                <w:lang w:val="en-US" w:eastAsia="zh-CN"/>
              </w:rPr>
              <w:t xml:space="preserve">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超声图像静态、动态存储，原始数据回放重现</w:t>
            </w:r>
            <w:r/>
          </w:p>
        </w:tc>
      </w:tr>
      <w:tr>
        <w:trPr>
          <w:jc w:val="center"/>
          <w:trHeight w:val="25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5.8.</w:t>
            </w:r>
            <w:r>
              <w:rPr>
                <w:rFonts w:hint="eastAsia" w:ascii="Times New Roman" w:hAnsi="Times New Roman" w:eastAsia="宋体" w:cs="宋体"/>
                <w:color w:val="auto"/>
                <w:sz w:val="21"/>
                <w:szCs w:val="21"/>
                <w:highlight w:val="none"/>
                <w:lang w:val="en-US" w:eastAsia="zh-CN"/>
              </w:rPr>
              <w:t xml:space="preserve">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动态图像、静态图像以JPEG或WMV（MPEGVue）格式直接存储于可移动媒介</w:t>
            </w:r>
            <w:r/>
          </w:p>
        </w:tc>
      </w:tr>
      <w:tr>
        <w:trPr>
          <w:jc w:val="center"/>
          <w:trHeight w:val="209"/>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5.8.</w:t>
            </w:r>
            <w:r>
              <w:rPr>
                <w:rFonts w:hint="eastAsia" w:ascii="Times New Roman" w:hAnsi="Times New Roman" w:eastAsia="宋体" w:cs="宋体"/>
                <w:color w:val="auto"/>
                <w:sz w:val="21"/>
                <w:szCs w:val="21"/>
                <w:highlight w:val="none"/>
                <w:lang w:val="en-US" w:eastAsia="zh-CN"/>
              </w:rPr>
              <w:t xml:space="preserve">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在屏剪帖板和多画面同屏回放功能，不同检查日期所存的图像可以回放至同一屏幕比较分析</w:t>
            </w:r>
            <w:r/>
          </w:p>
        </w:tc>
      </w:tr>
      <w:tr>
        <w:trPr>
          <w:jc w:val="center"/>
          <w:trHeight w:val="293"/>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六、</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技术参数要求</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6.1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系统通用功能：</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6.1.1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扫描方式：逐行扫描，高分辨率，全方位关节臂旋转</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6.1.2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探头接口≥4 个可激活成像探头接口（不包括笔式探头接口和微型探头接口），均为高信噪比无针触点式大接口</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6.2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探头规格</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6.2.1</w:t>
            </w:r>
            <w:r/>
          </w:p>
        </w:tc>
        <w:tc>
          <w:tcPr>
            <w:tcW w:w="7046" w:type="dxa"/>
            <w:vAlign w:val="center"/>
            <w:textDirection w:val="lrTb"/>
            <w:noWrap w:val="false"/>
          </w:tcPr>
          <w:p>
            <w:pPr>
              <w:jc w:val="left"/>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频率：无针触点式宽频变频探头，所有探头</w:t>
            </w:r>
            <w:r>
              <w:rPr>
                <w:rFonts w:hint="eastAsia" w:ascii="Times New Roman" w:hAnsi="Times New Roman" w:eastAsia="宋体" w:cs="宋体"/>
                <w:color w:val="auto"/>
                <w:sz w:val="21"/>
                <w:szCs w:val="21"/>
                <w:highlight w:val="none"/>
                <w:lang w:val="en-US" w:eastAsia="zh-CN"/>
              </w:rPr>
              <w:t xml:space="preserve">频率可视可调。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6.2.2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类型：支持凸阵探头、线阵探头、相控阵探头、微凸穿刺探头、双平面探头、经食道探头、术中探头、凸阵容积探头、腔内容积探头及笔式多普勒探头</w:t>
            </w:r>
            <w:r/>
          </w:p>
        </w:tc>
      </w:tr>
      <w:tr>
        <w:trPr>
          <w:jc w:val="center"/>
          <w:trHeight w:val="274"/>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6.3</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二维灰阶显示主要参数</w:t>
            </w:r>
            <w:r/>
          </w:p>
        </w:tc>
      </w:tr>
      <w:tr>
        <w:trPr>
          <w:jc w:val="center"/>
          <w:trHeight w:val="300"/>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▲6.3.1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标配4把探头</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其中凸阵探头</w:t>
            </w:r>
            <w:r>
              <w:rPr>
                <w:rFonts w:hint="eastAsia" w:ascii="Times New Roman" w:hAnsi="Times New Roman" w:eastAsia="宋体" w:cs="宋体"/>
                <w:color w:val="auto"/>
                <w:sz w:val="21"/>
                <w:szCs w:val="21"/>
                <w:highlight w:val="none"/>
                <w:lang w:val="en-US" w:eastAsia="zh-CN"/>
              </w:rPr>
              <w:t xml:space="preserve">、相控阵探头、微凸腔内探头、线阵探头</w:t>
            </w:r>
            <w:r>
              <w:rPr>
                <w:rFonts w:hint="eastAsia" w:ascii="Times New Roman" w:hAnsi="Times New Roman" w:eastAsia="宋体" w:cs="宋体"/>
                <w:color w:val="auto"/>
                <w:sz w:val="21"/>
                <w:szCs w:val="21"/>
                <w:highlight w:val="none"/>
                <w:lang w:val="en-US" w:eastAsia="zh-CN"/>
              </w:rPr>
              <w:t xml:space="preserve">各</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把</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单晶压电材料或PMN-PT或其他同档次探头</w:t>
            </w:r>
            <w:r>
              <w:rPr>
                <w:rFonts w:hint="eastAsia" w:ascii="Times New Roman" w:hAnsi="Times New Roman" w:eastAsia="宋体" w:cs="宋体"/>
                <w:color w:val="auto"/>
                <w:sz w:val="21"/>
                <w:szCs w:val="21"/>
                <w:highlight w:val="none"/>
                <w:lang w:val="en-US" w:eastAsia="zh-CN"/>
              </w:rPr>
              <w:t xml:space="preserve">不少于2把</w:t>
            </w:r>
            <w:r>
              <w:rPr>
                <w:rFonts w:hint="eastAsia" w:ascii="Times New Roman" w:hAnsi="Times New Roman" w:eastAsia="宋体" w:cs="宋体"/>
                <w:color w:val="auto"/>
                <w:sz w:val="21"/>
                <w:szCs w:val="21"/>
                <w:highlight w:val="none"/>
                <w:lang w:val="en-US" w:eastAsia="zh-CN"/>
              </w:rPr>
              <w:t xml:space="preserve">。</w:t>
            </w:r>
            <w:r/>
          </w:p>
        </w:tc>
      </w:tr>
      <w:tr>
        <w:trPr>
          <w:jc w:val="center"/>
          <w:trHeight w:val="300"/>
        </w:trPr>
        <w:tc>
          <w:tcPr>
            <w:tcW w:w="1476"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6.3.1.1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凸阵探头：带宽1</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-5</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MHz，最大显示扫描角度≥80°</w:t>
            </w:r>
            <w:r/>
          </w:p>
        </w:tc>
      </w:tr>
      <w:tr>
        <w:trPr>
          <w:jc w:val="center"/>
          <w:trHeight w:val="300"/>
        </w:trPr>
        <w:tc>
          <w:tcPr>
            <w:tcW w:w="1476"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▲6.3.1.2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相控阵</w:t>
            </w:r>
            <w:r>
              <w:rPr>
                <w:rFonts w:hint="eastAsia" w:ascii="Times New Roman" w:hAnsi="Times New Roman" w:eastAsia="宋体" w:cs="宋体"/>
                <w:color w:val="auto"/>
                <w:sz w:val="21"/>
                <w:szCs w:val="21"/>
                <w:highlight w:val="none"/>
              </w:rPr>
              <w:t xml:space="preserve">探头：带宽 </w:t>
            </w:r>
            <w:r>
              <w:rPr>
                <w:rFonts w:hint="eastAsia" w:ascii="Times New Roman" w:hAnsi="Times New Roman" w:eastAsia="宋体" w:cs="宋体"/>
                <w:color w:val="auto"/>
                <w:sz w:val="21"/>
                <w:szCs w:val="21"/>
                <w:highlight w:val="none"/>
                <w:lang w:val="en-US" w:eastAsia="zh-CN"/>
              </w:rPr>
              <w:t xml:space="preserve">1.0</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5.0</w:t>
            </w:r>
            <w:r>
              <w:rPr>
                <w:rFonts w:hint="eastAsia" w:ascii="Times New Roman" w:hAnsi="Times New Roman" w:eastAsia="宋体" w:cs="宋体"/>
                <w:color w:val="auto"/>
                <w:sz w:val="21"/>
                <w:szCs w:val="21"/>
                <w:highlight w:val="none"/>
              </w:rPr>
              <w:t xml:space="preserve">MHz</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扫描角度120°</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color w:val="auto"/>
                <w:sz w:val="21"/>
                <w:highlight w:val="none"/>
                <w:u w:val="none"/>
                <w:lang w:val="en-US" w:eastAsia="zh-CN"/>
              </w:rPr>
              <w:t xml:space="preserve">支持原生及扩展成像技术。</w:t>
            </w:r>
            <w:r>
              <w:rPr>
                <w:rFonts w:hint="eastAsia" w:ascii="Times New Roman" w:hAnsi="Times New Roman" w:cs="宋体"/>
                <w:b/>
                <w:bCs/>
                <w:color w:val="auto"/>
                <w:sz w:val="21"/>
                <w:szCs w:val="21"/>
                <w:highlight w:val="none"/>
                <w:lang w:eastAsia="zh-CN"/>
              </w:rPr>
              <w:t xml:space="preserve">（</w:t>
            </w:r>
            <w:r>
              <w:rPr>
                <w:rFonts w:hint="eastAsia" w:ascii="Times New Roman" w:hAnsi="Times New Roman"/>
                <w:b/>
                <w:bCs/>
                <w:color w:val="auto"/>
                <w:sz w:val="21"/>
                <w:highlight w:val="none"/>
                <w:u w:val="none"/>
                <w:lang w:val="en-US" w:eastAsia="zh-CN"/>
              </w:rPr>
              <w:t xml:space="preserve">提供原厂白皮书附图证明</w:t>
            </w:r>
            <w:r>
              <w:rPr>
                <w:rFonts w:hint="eastAsia" w:ascii="Times New Roman" w:hAnsi="Times New Roman" w:cs="宋体"/>
                <w:b/>
                <w:bCs/>
                <w:color w:val="auto"/>
                <w:sz w:val="21"/>
                <w:szCs w:val="21"/>
                <w:highlight w:val="none"/>
                <w:lang w:eastAsia="zh-CN"/>
              </w:rPr>
              <w:t xml:space="preserve">）</w:t>
            </w:r>
            <w:r/>
          </w:p>
        </w:tc>
      </w:tr>
      <w:tr>
        <w:trPr>
          <w:jc w:val="center"/>
          <w:trHeight w:val="300"/>
        </w:trPr>
        <w:tc>
          <w:tcPr>
            <w:tcW w:w="1476"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6.3.1.3</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线阵探头：带宽 </w:t>
            </w:r>
            <w:r>
              <w:rPr>
                <w:rFonts w:hint="eastAsia" w:ascii="Times New Roman" w:hAnsi="Times New Roman" w:eastAsia="宋体" w:cs="宋体"/>
                <w:color w:val="auto"/>
                <w:sz w:val="21"/>
                <w:szCs w:val="21"/>
                <w:highlight w:val="none"/>
                <w:lang w:val="en-US" w:eastAsia="zh-CN"/>
              </w:rPr>
              <w:t xml:space="preserve">3.0</w:t>
            </w:r>
            <w:r>
              <w:rPr>
                <w:rFonts w:hint="eastAsia"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1.0</w:t>
            </w:r>
            <w:r>
              <w:rPr>
                <w:rFonts w:hint="eastAsia" w:ascii="Times New Roman" w:hAnsi="Times New Roman" w:eastAsia="宋体" w:cs="宋体"/>
                <w:color w:val="auto"/>
                <w:sz w:val="21"/>
                <w:szCs w:val="21"/>
                <w:highlight w:val="none"/>
              </w:rPr>
              <w:t xml:space="preserve">MHz，支持应变式弹性成像</w:t>
            </w:r>
            <w:r/>
          </w:p>
        </w:tc>
      </w:tr>
      <w:tr>
        <w:trPr>
          <w:jc w:val="center"/>
          <w:trHeight w:val="300"/>
        </w:trPr>
        <w:tc>
          <w:tcPr>
            <w:tcW w:w="1476"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6.3.1.4</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微凸腔内探头：带宽5</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-9</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MHz，最大显示扫描角度≥170°</w:t>
            </w:r>
            <w:r/>
          </w:p>
        </w:tc>
      </w:tr>
      <w:tr>
        <w:trPr>
          <w:jc w:val="center"/>
          <w:trHeight w:val="407"/>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6.3.</w:t>
            </w:r>
            <w:r>
              <w:rPr>
                <w:rFonts w:hint="eastAsia" w:ascii="Times New Roman" w:hAnsi="Times New Roman" w:eastAsia="宋体" w:cs="宋体"/>
                <w:color w:val="auto"/>
                <w:sz w:val="21"/>
                <w:szCs w:val="21"/>
                <w:highlight w:val="none"/>
                <w:lang w:val="en-US" w:eastAsia="zh-CN"/>
              </w:rPr>
              <w:t xml:space="preserve">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预设条件针对不同的检查脏器，预置最佳化图像的检查条件，减少操作时的调节，及常用所需的外部调节及组合调节；</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6.3.</w:t>
            </w:r>
            <w:r>
              <w:rPr>
                <w:rFonts w:hint="eastAsia" w:ascii="Times New Roman" w:hAnsi="Times New Roman" w:eastAsia="宋体" w:cs="宋体"/>
                <w:color w:val="auto"/>
                <w:sz w:val="21"/>
                <w:szCs w:val="21"/>
                <w:highlight w:val="none"/>
                <w:lang w:val="en-US" w:eastAsia="zh-CN"/>
              </w:rPr>
              <w:t xml:space="preserve">3</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增益调节：B/M可独立调节，STC分段≥8；</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▲6.3.</w:t>
            </w:r>
            <w:r>
              <w:rPr>
                <w:rFonts w:hint="eastAsia" w:ascii="Times New Roman" w:hAnsi="Times New Roman" w:eastAsia="宋体" w:cs="宋体"/>
                <w:color w:val="auto"/>
                <w:sz w:val="21"/>
                <w:szCs w:val="21"/>
                <w:highlight w:val="none"/>
                <w:lang w:val="en-US" w:eastAsia="zh-CN"/>
              </w:rPr>
              <w:t xml:space="preserve">4</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探头最大显示扫描深度≥</w:t>
            </w:r>
            <w:r>
              <w:rPr>
                <w:rFonts w:hint="eastAsia" w:ascii="Times New Roman" w:hAnsi="Times New Roman" w:eastAsia="宋体" w:cs="宋体"/>
                <w:color w:val="auto"/>
                <w:sz w:val="21"/>
                <w:szCs w:val="21"/>
                <w:highlight w:val="none"/>
                <w:lang w:val="en-US" w:eastAsia="zh-CN"/>
              </w:rPr>
              <w:t xml:space="preserve">50</w:t>
            </w:r>
            <w:r>
              <w:rPr>
                <w:rFonts w:hint="eastAsia" w:ascii="Times New Roman" w:hAnsi="Times New Roman" w:eastAsia="宋体" w:cs="宋体"/>
                <w:color w:val="auto"/>
                <w:sz w:val="21"/>
                <w:szCs w:val="21"/>
                <w:highlight w:val="none"/>
              </w:rPr>
              <w:t xml:space="preserve">cm</w:t>
            </w:r>
            <w:r>
              <w:rPr>
                <w:rFonts w:hint="eastAsia" w:ascii="Times New Roman" w:hAnsi="Times New Roman" w:cs="宋体"/>
                <w:b/>
                <w:bCs/>
                <w:color w:val="auto"/>
                <w:sz w:val="21"/>
                <w:szCs w:val="21"/>
                <w:highlight w:val="none"/>
                <w:lang w:eastAsia="zh-CN"/>
              </w:rPr>
              <w:t xml:space="preserve">（</w:t>
            </w:r>
            <w:r>
              <w:rPr>
                <w:rFonts w:hint="eastAsia" w:ascii="Times New Roman" w:hAnsi="Times New Roman"/>
                <w:b/>
                <w:bCs/>
                <w:color w:val="auto"/>
                <w:sz w:val="21"/>
                <w:highlight w:val="none"/>
                <w:u w:val="none"/>
                <w:lang w:val="en-US" w:eastAsia="zh-CN"/>
              </w:rPr>
              <w:t xml:space="preserve">提供</w:t>
            </w:r>
            <w:r>
              <w:rPr>
                <w:rFonts w:hint="eastAsia" w:ascii="Times New Roman" w:hAnsi="Times New Roman" w:eastAsia="宋体" w:cs="宋体"/>
                <w:b/>
                <w:bCs/>
                <w:color w:val="auto"/>
                <w:sz w:val="21"/>
                <w:szCs w:val="21"/>
                <w:highlight w:val="none"/>
                <w:lang w:val="en-US" w:eastAsia="zh-CN"/>
              </w:rPr>
              <w:t xml:space="preserve">原厂白皮书证明</w:t>
            </w:r>
            <w:r>
              <w:rPr>
                <w:rFonts w:hint="eastAsia" w:ascii="Times New Roman" w:hAnsi="Times New Roman" w:cs="宋体"/>
                <w:b/>
                <w:bCs/>
                <w:color w:val="auto"/>
                <w:sz w:val="21"/>
                <w:szCs w:val="21"/>
                <w:highlight w:val="none"/>
                <w:lang w:eastAsia="zh-CN"/>
              </w:rPr>
              <w:t xml:space="preserve">）</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6.4</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频谱多普勒</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6.4.1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方式：PW，CW，HPRF；</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6.4.2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多普勒发射频率可视可调；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6.4.3</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PWD：血流速度≥15m/s；CWD：血流速度≥20m/s；</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6.4.4</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最低测量速度：≤1 mm/s （非噪声信号）；</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6.5</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彩色多普勒</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6.5.1</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显示方式：速度方差显示、能量显示、速度显示、方差显示；</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6.5.2</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具有双同步/三同步显示（B/D/CFM）；</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6.5.3</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显示位置调整：线阵扫描感兴趣的图像范围：-20° ~ +20°；</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6.5.4</w:t>
            </w:r>
            <w:r/>
          </w:p>
        </w:tc>
        <w:tc>
          <w:tcPr>
            <w:tcW w:w="704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彩色多普勒能量图 (PDI)，彩色方向性能量图（DPDI）；</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6.6</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超声功率输出调节：B/M、PWD、Color Doppler输出功率可调；</w:t>
            </w:r>
            <w:r/>
          </w:p>
        </w:tc>
      </w:tr>
      <w:tr>
        <w:trPr>
          <w:jc w:val="center"/>
          <w:trHeight w:val="285"/>
        </w:trPr>
        <w:tc>
          <w:tcPr>
            <w:tcW w:w="1476"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★七</w:t>
            </w:r>
            <w:r>
              <w:rPr>
                <w:rFonts w:hint="eastAsia" w:ascii="Times New Roman" w:hAnsi="Times New Roman" w:eastAsia="宋体" w:cs="宋体"/>
                <w:color w:val="auto"/>
                <w:sz w:val="21"/>
                <w:szCs w:val="21"/>
                <w:highlight w:val="none"/>
              </w:rPr>
              <w:t xml:space="preserve">、</w:t>
            </w:r>
            <w:r/>
          </w:p>
        </w:tc>
        <w:tc>
          <w:tcPr>
            <w:tcW w:w="7046" w:type="dxa"/>
            <w:vAlign w:val="center"/>
            <w:textDirection w:val="lrTb"/>
            <w:noWrap w:val="false"/>
          </w:tcPr>
          <w:p>
            <w:pPr>
              <w:jc w:val="left"/>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配置一台可独立操作同品牌的便携机，便携机</w:t>
            </w:r>
            <w:r>
              <w:rPr>
                <w:rFonts w:hint="eastAsia" w:ascii="Times New Roman" w:hAnsi="Times New Roman" w:eastAsia="宋体" w:cs="宋体"/>
                <w:color w:val="auto"/>
                <w:sz w:val="21"/>
                <w:szCs w:val="21"/>
                <w:highlight w:val="none"/>
              </w:rPr>
              <w:t xml:space="preserve">标配</w:t>
            </w:r>
            <w:r>
              <w:rPr>
                <w:rFonts w:hint="eastAsia" w:ascii="Times New Roman" w:hAnsi="Times New Roman" w:eastAsia="宋体" w:cs="宋体"/>
                <w:color w:val="auto"/>
                <w:sz w:val="21"/>
                <w:szCs w:val="21"/>
                <w:highlight w:val="none"/>
                <w:lang w:val="en-US" w:eastAsia="zh-CN"/>
              </w:rPr>
              <w:t xml:space="preserve">不少于2把探头，其中凸阵探头、线阵探头各不少于一把。</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7.1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设备用途说明：</w:t>
            </w:r>
            <w:r>
              <w:rPr>
                <w:rFonts w:hint="eastAsia" w:ascii="Times New Roman" w:hAnsi="Times New Roman" w:eastAsia="宋体" w:cs="宋体"/>
                <w:color w:val="auto"/>
                <w:sz w:val="21"/>
                <w:szCs w:val="21"/>
                <w:highlight w:val="none"/>
                <w:lang w:val="en-US" w:eastAsia="zh-CN"/>
              </w:rPr>
              <w:br/>
            </w:r>
            <w:r>
              <w:rPr>
                <w:rFonts w:hint="eastAsia" w:ascii="Times New Roman" w:hAnsi="Times New Roman" w:eastAsia="宋体" w:cs="宋体"/>
                <w:color w:val="auto"/>
                <w:sz w:val="21"/>
                <w:szCs w:val="21"/>
                <w:highlight w:val="none"/>
                <w:lang w:val="en-US" w:eastAsia="zh-CN"/>
              </w:rPr>
              <w:t xml:space="preserve">腹部、心脏、妇产科、泌尿科、肌骨、 血管、浅表组织与小器官疾病诊断。</w:t>
            </w:r>
            <w:r>
              <w:rPr>
                <w:rFonts w:hint="eastAsia" w:ascii="Times New Roman" w:hAnsi="Times New Roman" w:eastAsia="宋体" w:cs="宋体"/>
                <w:color w:val="auto"/>
                <w:sz w:val="21"/>
                <w:szCs w:val="21"/>
                <w:highlight w:val="none"/>
                <w:lang w:val="en-US" w:eastAsia="zh-CN"/>
              </w:rPr>
              <w:br/>
            </w:r>
            <w:r>
              <w:rPr>
                <w:rFonts w:hint="eastAsia" w:ascii="Times New Roman" w:hAnsi="Times New Roman" w:eastAsia="宋体" w:cs="宋体"/>
                <w:color w:val="auto"/>
                <w:sz w:val="21"/>
                <w:szCs w:val="21"/>
                <w:highlight w:val="none"/>
                <w:lang w:val="en-US" w:eastAsia="zh-CN"/>
              </w:rPr>
              <w:t xml:space="preserve">所配软件为该机型的最新版本</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笔记本式彩色多普勒超声波诊断仪包括：</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≥15英寸高清晰度彩色液晶</w:t>
            </w:r>
            <w:r>
              <w:rPr>
                <w:rFonts w:hint="eastAsia" w:ascii="Times New Roman" w:hAnsi="Times New Roman" w:eastAsia="宋体" w:cs="宋体"/>
                <w:color w:val="auto"/>
                <w:sz w:val="21"/>
                <w:szCs w:val="21"/>
                <w:highlight w:val="none"/>
              </w:rPr>
              <w:t xml:space="preserve">显示</w:t>
            </w:r>
            <w:r>
              <w:rPr>
                <w:rFonts w:hint="eastAsia" w:ascii="Times New Roman" w:hAnsi="Times New Roman" w:eastAsia="宋体" w:cs="宋体"/>
                <w:color w:val="auto"/>
                <w:sz w:val="21"/>
                <w:szCs w:val="21"/>
                <w:highlight w:val="none"/>
                <w:lang w:val="en-US" w:eastAsia="zh-CN"/>
              </w:rPr>
              <w:t xml:space="preserve">终端</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数字化二维灰阶成像单元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数字化彩色及能量多普勒单元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数字化频谱多普勒显示和分析单元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多角度空间复合成像技术</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7.2.6</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智能化斑点噪声抑制技术</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7.2.7</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自动优化功能</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7.2.8</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实时宽景成像技术</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7.2.9</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实时同屏教学软件</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7.2.10</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M模式, 具备彩色M模式及解剖M模式</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主机上实现实时及脱机状态M型扫描线可以以任意点为轴心360°旋转</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自适应彩色增强技术(可自动滤除运动伪影)</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编码脉冲反相二次谐波成像（可用于所有探头）</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i w:val="0"/>
                <w:color w:val="auto"/>
                <w:sz w:val="21"/>
                <w:szCs w:val="21"/>
                <w:highlight w:val="none"/>
                <w:u w:val="none"/>
                <w:lang w:val="en-US" w:eastAsia="zh-CN" w:bidi="ar"/>
              </w:rPr>
              <w:t xml:space="preserve">7.2.14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整机重量≤5公斤（含电池）</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i w:val="0"/>
                <w:color w:val="auto"/>
                <w:sz w:val="21"/>
                <w:szCs w:val="21"/>
                <w:highlight w:val="none"/>
                <w:u w:val="none"/>
                <w:lang w:val="en-US" w:eastAsia="zh-CN" w:bidi="ar"/>
              </w:rPr>
              <w:t xml:space="preserve">7.2.15</w:t>
            </w:r>
            <w:r/>
          </w:p>
        </w:tc>
        <w:tc>
          <w:tcPr>
            <w:tcW w:w="7046" w:type="dxa"/>
            <w:vAlign w:val="center"/>
            <w:textDirection w:val="lrTb"/>
            <w:noWrap w:val="false"/>
          </w:tcPr>
          <w:p>
            <w:pPr>
              <w:jc w:val="left"/>
              <w:pageBreakBefore w:val="0"/>
              <w:spacing w:line="360" w:lineRule="auto"/>
              <w:widowControl/>
              <w:rPr>
                <w:rFonts w:hint="default"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物理通道数≥128</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7.2.16</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可视可调系统动态范围≥90db</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7.2.17</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超声系统最大探查深度≥33CM</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7.2.18</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实时三同步成像</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7.2.19</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线阵探头凸型扩展技术</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7.2.20</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自动射血分数测量功能</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7.2.21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AUTO IMT颈动脉中内膜测量技术</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7.2.22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轨迹球操作</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7.2.23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中文操作界面, 中文输入（包括报告、注释等）</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7.2.24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支持线阵应变式弹性成像</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b/>
                <w:i w:val="0"/>
                <w:color w:val="auto"/>
                <w:sz w:val="21"/>
                <w:szCs w:val="21"/>
                <w:highlight w:val="none"/>
                <w:u w:val="none"/>
                <w:lang w:val="en-US" w:eastAsia="zh-CN" w:bidi="ar"/>
              </w:rPr>
              <w:t xml:space="preserve">测量和分析：(B型、M型、彩色M型、频谱多普勒、彩色模式)</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7.3.1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一般测量</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7.3.2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妇产科测量（包括孕期、预产期、胎重的分析及显示，胎儿生长曲线（单幅和多幅同时显示）、多数据对比图、子宫卵巢和卵泡的测量和计算以及全面的可编辑的报告功能）</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i w:val="0"/>
                <w:color w:val="auto"/>
                <w:sz w:val="21"/>
                <w:szCs w:val="21"/>
                <w:highlight w:val="none"/>
                <w:u w:val="none"/>
                <w:lang w:val="en-US" w:eastAsia="zh-CN" w:bidi="ar"/>
              </w:rPr>
              <w:t xml:space="preserve">7.3.3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多普勒血流测量与分析</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7.3.4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实时多普勒自动包络、测量和计算</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7.3.5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心脏功能测量以及各瓣膜功能的测量、分析及报告</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7.3.6</w:t>
            </w:r>
            <w:r/>
          </w:p>
        </w:tc>
        <w:tc>
          <w:tcPr>
            <w:tcW w:w="7046" w:type="dxa"/>
            <w:vAlign w:val="center"/>
            <w:textDirection w:val="lrTb"/>
            <w:noWrap w:val="false"/>
          </w:tcPr>
          <w:p>
            <w:pPr>
              <w:jc w:val="both"/>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外周血管测量与分析</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7.3.7</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泌尿科测量与分析</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t xml:space="preserve">7.4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一体化图像存储与(电影)回放重现及病案管理单元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一体化的剪贴板(在荧光屏上)可以存储和回放动态及静态图像</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7.6</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内置固态硬盘≥512GB</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7.8</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探头规格及其他</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7.9</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探头类型：支持凸阵，线阵，相控阵, 经食道探头，经腔内探头</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7.10</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二维灰阶显像主要参数：</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7.10.1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b/>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电子凸阵：探头频带范围2.0-5.0MHz</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7.10.2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电子线阵：探头频带范围6-12MHz</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i w:val="0"/>
                <w:color w:val="auto"/>
                <w:sz w:val="21"/>
                <w:szCs w:val="21"/>
                <w:highlight w:val="none"/>
                <w:u w:val="none"/>
                <w:lang w:val="en-US" w:eastAsia="zh-CN" w:bidi="ar"/>
              </w:rPr>
              <w:t xml:space="preserve">7.10.3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线阵或者凸阵探头有效阵元数≥192阵元</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7.10.4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扫描速率： B模式凸阵探头全视野，18cm深度时，帧速率≥50帧/秒</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7.10.5</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预设条件：针对不同的检查脏器，预置最佳化图像的检查条件， 减少操作时的调节，及常用所需的外部调节及组合调节。</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TGC调节≥6段</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频谱多普勒：</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7.12.1</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最大测量速度：</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PWD：血流速度≥8.0 m/s</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CWD:   血流速度≥14.0 m/s</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PW最低测量速度5mm/s</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7.12.2</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显示方式：B、M、B/M、B/M/CFI、B/D、D、B/CFI/D</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7.12.3</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取样宽度及位置范围：宽度1mm至16mm；分级</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PW最低测量速度5mm/s</w:t>
            </w:r>
            <w:r/>
          </w:p>
        </w:tc>
      </w:tr>
      <w:tr>
        <w:trPr>
          <w:jc w:val="center"/>
          <w:trHeight w:val="285"/>
        </w:trPr>
        <w:tc>
          <w:tcPr>
            <w:tcW w:w="1476" w:type="dxa"/>
            <w:vAlign w:val="center"/>
            <w:textDirection w:val="lrTb"/>
            <w:noWrap w:val="false"/>
          </w:tcPr>
          <w:p>
            <w:pPr>
              <w:jc w:val="center"/>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7.12.4</w:t>
            </w:r>
            <w:r/>
          </w:p>
        </w:tc>
        <w:tc>
          <w:tcPr>
            <w:tcW w:w="7046" w:type="dxa"/>
            <w:vAlign w:val="center"/>
            <w:textDirection w:val="lrTb"/>
            <w:noWrap w:val="false"/>
          </w:tcPr>
          <w:p>
            <w:pPr>
              <w:jc w:val="left"/>
              <w:pageBreakBefore w:val="0"/>
              <w:spacing w:line="360" w:lineRule="auto"/>
              <w:widowControl/>
              <w:rPr>
                <w:rFonts w:hint="eastAsia" w:ascii="Times New Roman" w:hAnsi="Times New Roman" w:eastAsia="宋体" w:cs="宋体"/>
                <w:i w:val="0"/>
                <w:color w:val="auto"/>
                <w:sz w:val="21"/>
                <w:szCs w:val="21"/>
                <w:highlight w:val="none"/>
                <w:u w:val="none"/>
                <w:lang w:val="en-US" w:eastAsia="zh-CN" w:bidi="ar"/>
              </w:rPr>
            </w:pPr>
            <w:r>
              <w:rPr>
                <w:rFonts w:hint="eastAsia" w:ascii="Times New Roman" w:hAnsi="Times New Roman" w:eastAsia="宋体" w:cs="宋体"/>
                <w:i w:val="0"/>
                <w:color w:val="auto"/>
                <w:sz w:val="21"/>
                <w:szCs w:val="21"/>
                <w:highlight w:val="none"/>
                <w:u w:val="none"/>
                <w:lang w:val="en-US" w:eastAsia="zh-CN" w:bidi="ar"/>
              </w:rPr>
              <w:t xml:space="preserve">显示方式：B、M、B/M、B/M/CFI、B/D、D、B/CFI/D</w:t>
            </w:r>
            <w:r/>
          </w:p>
        </w:tc>
      </w:tr>
    </w:tbl>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val="en-US" w:eastAsia="zh-CN" w:bidi="ar-SA"/>
        </w:rPr>
        <w:t xml:space="preserve">四、</w:t>
      </w:r>
      <w:r>
        <w:rPr>
          <w:rFonts w:hint="eastAsia" w:ascii="Times New Roman" w:hAnsi="Times New Roman" w:eastAsia="宋体" w:cs="宋体"/>
          <w:b/>
          <w:bCs/>
          <w:color w:val="auto"/>
          <w:sz w:val="21"/>
          <w:szCs w:val="21"/>
          <w:highlight w:val="none"/>
        </w:rPr>
        <w:t xml:space="preserve">商务要求</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1、质保期：</w:t>
      </w:r>
      <w:r>
        <w:rPr>
          <w:rFonts w:hint="eastAsia" w:ascii="Times New Roman" w:hAnsi="Times New Roman" w:eastAsia="宋体" w:cstheme="minorEastAsia"/>
          <w:b w:val="0"/>
          <w:bCs/>
          <w:i/>
          <w:iCs/>
          <w:color w:val="auto"/>
          <w:sz w:val="21"/>
          <w:szCs w:val="21"/>
          <w:highlight w:val="none"/>
          <w:u w:val="single"/>
          <w:lang w:eastAsia="zh-CN"/>
        </w:rPr>
        <w:t xml:space="preserve">无责质保，主机、便携机和探头质量保证期不低于3年，自验收合格之日起计算，质保期内探头损坏无条件更换。（提供承诺函，原件扫描上传）</w:t>
      </w:r>
      <w:r>
        <w:rPr>
          <w:rFonts w:hint="eastAsia" w:ascii="Times New Roman" w:hAnsi="Times New Roman" w:eastAsia="宋体" w:cstheme="minorEastAsia"/>
          <w:b w:val="0"/>
          <w:bCs/>
          <w:i w:val="0"/>
          <w:iCs w:val="0"/>
          <w:color w:val="auto"/>
          <w:sz w:val="21"/>
          <w:szCs w:val="21"/>
          <w:highlight w:val="none"/>
          <w:u w:val="none"/>
          <w:lang w:eastAsia="zh-CN"/>
        </w:rPr>
        <w:t xml:space="preserve">。</w:t>
      </w:r>
      <w:r>
        <w:rPr>
          <w:rFonts w:hint="eastAsia" w:ascii="Times New Roman" w:hAnsi="Times New Roman" w:eastAsia="宋体" w:cstheme="minorEastAsia"/>
          <w:b w:val="0"/>
          <w:bCs/>
          <w:i w:val="0"/>
          <w:iCs w:val="0"/>
          <w:color w:val="auto"/>
          <w:sz w:val="21"/>
          <w:szCs w:val="21"/>
          <w:highlight w:val="none"/>
          <w:u w:val="none"/>
          <w:lang w:eastAsia="zh-CN"/>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4、本项目由各投标人自行进行现场勘查，交通工具自配。请务必对项目现场和周围环境进行仔细认真查勘，在随后的采购中，对现场资料和数据所作出的推论、解释和结论及由此造成的后果由投标人负责。</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5、售后服务承诺包括但不限于以下内容：</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（1）在保修期内，如有损坏或质量不合格者，中标人应及时给予修复和更换，其修理和更换应免费。正常修理周期和修理期间需提供免费测试。</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（2）在保修期期满前一个月，中标人必须指派专业人员上门检测仪器，确保仪器的指标符合验收标准，如有问题应作为保修内容给予免费处理。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（3）在保修期外，中标人为仪器提供终身维修服务，维修问题出现时，按技术参数服务要求相应条款处理。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（4）在保修期内，如果原厂方鉴定设备因为人为损坏，厂方须出具具有法定权威性第三方检测证明，否则一律视为保修范围内容处理。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（6）终身提供免费的应用咨询及技术帮助。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7、中标人须按照采购人需求，免费配送安装至采购人指定地点，并免费提供安装调试服务，中标人需提供全套技术资料、操作手册、简易操作规程（塑封）、维修手册，同时提供对采购人的设备应用培训服务。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8 、中标人在接到采购人通知后，需根据采购人要求及现场具体情况，拟定产品进场方案报采购人，征得采购人同意后方可安排产品进场。</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9、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10、中标人免费对采购人技术人员进行操作、保养、维修等方面的培训，并且提供免费的技术咨询服务。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11、</w:t>
      </w:r>
      <w:r>
        <w:rPr>
          <w:rFonts w:hint="eastAsia" w:ascii="Times New Roman" w:hAnsi="Times New Roman" w:eastAsia="宋体" w:cstheme="minorEastAsia"/>
          <w:b w:val="0"/>
          <w:bCs/>
          <w:i/>
          <w:iCs/>
          <w:color w:val="auto"/>
          <w:sz w:val="21"/>
          <w:szCs w:val="21"/>
          <w:highlight w:val="none"/>
          <w:u w:val="single"/>
          <w:lang w:eastAsia="zh-CN"/>
        </w:rPr>
        <w:t xml:space="preserve">在接到采购人故障报修后，中标人需在2小时内响应，并在24小时内到达现场，48小时未解决故障，免费提供备用机。一切费用由中标人负责（提供承诺函，原件扫描上传）</w:t>
      </w:r>
      <w:r>
        <w:rPr>
          <w:rFonts w:hint="eastAsia" w:ascii="Times New Roman" w:hAnsi="Times New Roman" w:eastAsia="宋体" w:cstheme="minorEastAsia"/>
          <w:b w:val="0"/>
          <w:bCs/>
          <w:i w:val="0"/>
          <w:iCs w:val="0"/>
          <w:color w:val="auto"/>
          <w:sz w:val="21"/>
          <w:szCs w:val="21"/>
          <w:highlight w:val="none"/>
          <w:u w:val="none"/>
          <w:lang w:eastAsia="zh-CN"/>
        </w:rPr>
        <w:t xml:space="preserve">，若因为中标人维修不及时，给采购人造成影响的，采购人有权追究其法律责任。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13、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（1）投标人负责保管、看护进场的设备及附配件；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（2）投标人负责设备、安装设备（工具）等提供适当的保护、包装或覆盖等处理，以免受损；</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（3）投标人安装调试人员对邻近设备等造成损坏，应由投标人负责修复及承担一切费用；</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（4）无论安装调试期间或保修过程中，中标人负责及时清理垃圾；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（5）投标人承担安装调试期间安装场所的安全以及设备和安装调试人员的安全责任；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（6）供货、安装时间要求：</w:t>
      </w:r>
      <w:r>
        <w:rPr>
          <w:rFonts w:hint="eastAsia" w:ascii="Times New Roman" w:hAnsi="Times New Roman" w:eastAsia="宋体" w:cstheme="minorEastAsia"/>
          <w:b w:val="0"/>
          <w:bCs/>
          <w:i/>
          <w:iCs/>
          <w:color w:val="auto"/>
          <w:sz w:val="21"/>
          <w:szCs w:val="21"/>
          <w:highlight w:val="none"/>
          <w:u w:val="single"/>
          <w:lang w:eastAsia="zh-CN"/>
        </w:rPr>
        <w:t xml:space="preserve">合同签订后自接采购人通知之日起一个月内（除不可抗力、非乙方原因）全部供货及安装完毕，并完成全部验收、文档整理工作（提供承诺函，原件扫描上传）</w:t>
      </w:r>
      <w:r>
        <w:rPr>
          <w:rFonts w:hint="eastAsia" w:ascii="Times New Roman" w:hAnsi="Times New Roman" w:eastAsia="宋体" w:cstheme="minorEastAsia"/>
          <w:b w:val="0"/>
          <w:bCs/>
          <w:i w:val="0"/>
          <w:iCs w:val="0"/>
          <w:color w:val="auto"/>
          <w:sz w:val="21"/>
          <w:szCs w:val="21"/>
          <w:highlight w:val="none"/>
          <w:u w:val="none"/>
          <w:lang w:eastAsia="zh-CN"/>
        </w:rPr>
        <w:t xml:space="preserve">。</w:t>
      </w:r>
      <w:r>
        <w:rPr>
          <w:rFonts w:hint="eastAsia" w:ascii="Times New Roman" w:hAnsi="Times New Roman" w:eastAsia="宋体" w:cstheme="minorEastAsia"/>
          <w:b w:val="0"/>
          <w:bCs/>
          <w:i w:val="0"/>
          <w:iCs w:val="0"/>
          <w:color w:val="auto"/>
          <w:sz w:val="21"/>
          <w:szCs w:val="21"/>
          <w:highlight w:val="none"/>
          <w:u w:val="none"/>
          <w:lang w:eastAsia="zh-CN"/>
        </w:rPr>
        <w:t xml:space="preserve">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（7）中标人应在投标文件中提供一份验收大纲，在采购人确认后作为采购人验收的依据；设备到达采购人现场，应提前通知采购人，安装前开箱查验由投标人会同采购人及有关人员根据有关清单进行验收；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14、设备安装调试完成后，中标人需提供设备质保书、保修证明等书面资料，并报请有关部门进行检测验收</w:t>
      </w:r>
      <w:r>
        <w:rPr>
          <w:rFonts w:hint="eastAsia" w:ascii="Times New Roman" w:hAnsi="Times New Roman" w:eastAsia="宋体"/>
          <w:b w:val="0"/>
          <w:bCs/>
          <w:color w:val="auto"/>
          <w:highlight w:val="none"/>
        </w:rPr>
        <w:t xml:space="preserve">。</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theme="minorEastAsia"/>
          <w:b/>
          <w:color w:val="auto"/>
          <w:sz w:val="21"/>
          <w:szCs w:val="21"/>
          <w:highlight w:val="none"/>
          <w:lang w:val="en-US" w:eastAsia="zh-CN"/>
        </w:rPr>
        <w:t xml:space="preserve">五</w:t>
      </w:r>
      <w:r>
        <w:rPr>
          <w:rFonts w:hint="eastAsia" w:ascii="Times New Roman" w:hAnsi="Times New Roman" w:eastAsia="宋体" w:cstheme="minorEastAsia"/>
          <w:b/>
          <w:color w:val="auto"/>
          <w:sz w:val="21"/>
          <w:szCs w:val="21"/>
          <w:highlight w:val="none"/>
          <w:lang w:eastAsia="zh-CN"/>
        </w:rPr>
        <w:t xml:space="preserve">、</w:t>
      </w:r>
      <w:r>
        <w:rPr>
          <w:rFonts w:hint="eastAsia" w:ascii="Times New Roman" w:hAnsi="Times New Roman" w:eastAsia="宋体" w:cs="宋体"/>
          <w:b/>
          <w:color w:val="auto"/>
          <w:szCs w:val="21"/>
          <w:highlight w:val="none"/>
        </w:rPr>
        <w:t xml:space="preserve">节能产品要求</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val="en-US" w:eastAsia="zh-CN"/>
        </w:rPr>
        <w:t xml:space="preserve">http:</w:t>
      </w:r>
      <w:r>
        <w:rPr>
          <w:rFonts w:hint="eastAsia" w:ascii="Times New Roman" w:hAnsi="Times New Roman" w:eastAsia="宋体" w:cs="宋体"/>
          <w:iCs/>
          <w:color w:val="auto"/>
          <w:szCs w:val="21"/>
          <w:highlight w:val="none"/>
        </w:rPr>
        <w:t xml:space="preserve">//www.ccgp.gov.cn/zcfg/mof/201904/t20190403_11849836.htm）查询，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原件，扫描上传，否则视为无效投标。（本项目涉及强制采购范围内产品有：</w:t>
      </w:r>
      <w:r>
        <w:rPr>
          <w:rFonts w:hint="eastAsia" w:ascii="Times New Roman" w:hAnsi="Times New Roman" w:eastAsia="宋体"/>
          <w:b/>
          <w:bCs/>
          <w:i/>
          <w:iCs/>
          <w:color w:val="auto"/>
          <w:szCs w:val="21"/>
          <w:highlight w:val="none"/>
          <w:u w:val="single"/>
          <w:lang w:val="en-US" w:eastAsia="zh-CN"/>
        </w:rPr>
        <w:t xml:space="preserve">无</w:t>
      </w:r>
      <w:r>
        <w:rPr>
          <w:rFonts w:hint="eastAsia" w:ascii="Times New Roman" w:hAnsi="Times New Roman" w:eastAsia="宋体" w:cs="宋体"/>
          <w:i/>
          <w:iCs/>
          <w:color w:val="auto"/>
          <w:szCs w:val="21"/>
          <w:highlight w:val="none"/>
          <w:u w:val="single"/>
        </w:rPr>
        <w:t xml:space="preserve">）</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r>
      <w:r/>
    </w:p>
    <w:p>
      <w:pPr>
        <w:pStyle w:val="965"/>
        <w:jc w:val="center"/>
        <w:pageBreakBefore w:val="0"/>
        <w:spacing w:before="0" w:after="0" w:line="360" w:lineRule="auto"/>
        <w:rPr>
          <w:rFonts w:hint="eastAsia" w:ascii="Times New Roman" w:hAnsi="Times New Roman" w:eastAsia="宋体" w:cs="宋体"/>
          <w:i w:val="0"/>
          <w:iCs w:val="0"/>
          <w:color w:val="auto"/>
          <w:sz w:val="36"/>
          <w:highlight w:val="none"/>
          <w:u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i w:val="0"/>
          <w:iCs w:val="0"/>
          <w:color w:val="auto"/>
          <w:sz w:val="36"/>
          <w:highlight w:val="none"/>
          <w:u w:val="none"/>
        </w:rPr>
      </w:r>
      <w:r/>
    </w:p>
    <w:p>
      <w:pPr>
        <w:pStyle w:val="717"/>
        <w:pageBreakBefore w:val="0"/>
        <w:spacing w:line="360" w:lineRule="auto"/>
        <w:rPr>
          <w:rFonts w:ascii="Times New Roman" w:hAnsi="Times New Roman" w:eastAsia="宋体"/>
          <w:color w:val="auto"/>
          <w:highlight w:val="none"/>
        </w:rPr>
      </w:pPr>
      <w:r/>
      <w:bookmarkStart w:id="81" w:name="_Toc10862"/>
      <w:r/>
      <w:bookmarkStart w:id="82" w:name="_Toc821"/>
      <w:r/>
      <w:bookmarkStart w:id="83" w:name="_Toc6620"/>
      <w:r/>
      <w:bookmarkStart w:id="84" w:name="_Toc14859"/>
      <w:r/>
      <w:bookmarkStart w:id="85" w:name="_Toc19571"/>
      <w:r/>
      <w:bookmarkStart w:id="86" w:name="_Toc9033"/>
      <w:r>
        <w:rPr>
          <w:rFonts w:hint="eastAsia" w:ascii="Times New Roman" w:hAnsi="Times New Roman" w:eastAsia="宋体"/>
          <w:color w:val="auto"/>
          <w:highlight w:val="none"/>
        </w:rPr>
        <w:t xml:space="preserve">第五章 评标方法及评标标准</w:t>
      </w:r>
      <w:bookmarkEnd w:id="80"/>
      <w:r/>
      <w:bookmarkEnd w:id="81"/>
      <w:r/>
      <w:bookmarkEnd w:id="82"/>
      <w:r/>
      <w:bookmarkEnd w:id="83"/>
      <w:r/>
      <w:bookmarkEnd w:id="84"/>
      <w:r/>
      <w:bookmarkEnd w:id="85"/>
      <w:r/>
      <w:bookmarkEnd w:id="86"/>
      <w:r/>
      <w:r/>
    </w:p>
    <w:p>
      <w:pPr>
        <w:pStyle w:val="776"/>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一、评标方法</w:t>
      </w:r>
      <w:r/>
    </w:p>
    <w:p>
      <w:pPr>
        <w:pStyle w:val="776"/>
        <w:ind w:firstLine="420"/>
        <w:keepLines w:val="0"/>
        <w:keepNext w:val="0"/>
        <w:pageBreakBefore w:val="0"/>
        <w:spacing w:before="0" w:after="0" w:line="360" w:lineRule="auto"/>
        <w:widowControl w:val="off"/>
        <w:rPr>
          <w:rFonts w:hint="eastAsia" w:ascii="Times New Roman" w:hAnsi="Times New Roman" w:eastAsia="宋体" w:cs="宋体"/>
          <w:color w:val="auto"/>
          <w:sz w:val="21"/>
          <w:szCs w:val="21"/>
          <w:highlight w:val="none"/>
        </w:rPr>
      </w:pPr>
      <w:r/>
      <w:bookmarkStart w:id="87" w:name="_Toc449017024"/>
      <w:r/>
      <w:bookmarkStart w:id="88" w:name="_Toc449016388"/>
      <w:r>
        <w:rPr>
          <w:rFonts w:hint="eastAsia" w:ascii="Times New Roman" w:hAnsi="Times New Roman"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二、政府采购政策功能落实</w:t>
      </w:r>
      <w:bookmarkEnd w:id="87"/>
      <w:r/>
      <w:bookmarkEnd w:id="88"/>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76"/>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776"/>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776"/>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776"/>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776"/>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76"/>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776"/>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776"/>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776"/>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76"/>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6"/>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776"/>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776"/>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776"/>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、采购本国产品的支持政策</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694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报价</w:t>
            </w:r>
            <w:r/>
          </w:p>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采用低价优先法计算，即满足招标文件要求且投标价格最低的投标报价为评标基准价，其价格分为满分30分。</w:t>
            </w:r>
            <w:r/>
          </w:p>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其他投标人的价格分统一按照下列公式计算：</w:t>
            </w:r>
            <w:r/>
          </w:p>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技术要求响应</w:t>
            </w:r>
            <w:r/>
          </w:p>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color w:val="auto"/>
                <w:sz w:val="21"/>
                <w:szCs w:val="21"/>
                <w:highlight w:val="none"/>
                <w:lang w:val="en-US" w:eastAsia="zh-CN"/>
              </w:rPr>
              <w:t xml:space="preserve">39</w:t>
            </w:r>
            <w:r>
              <w:rPr>
                <w:rFonts w:ascii="Times New Roman" w:hAnsi="Times New Roman" w:eastAsia="宋体" w:cs="宋体"/>
                <w:b/>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评委根据投标文件中</w:t>
            </w:r>
            <w:r>
              <w:rPr>
                <w:rFonts w:hint="eastAsia" w:ascii="Times New Roman" w:hAnsi="Times New Roman" w:cs="宋体"/>
                <w:color w:val="auto"/>
                <w:sz w:val="21"/>
                <w:szCs w:val="21"/>
                <w:highlight w:val="none"/>
                <w:lang w:eastAsia="zh-CN"/>
              </w:rPr>
              <w:t xml:space="preserve">的</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技术参数响应及偏离表</w:t>
            </w:r>
            <w:r>
              <w:rPr>
                <w:rFonts w:ascii="Times New Roman" w:hAnsi="Times New Roman" w:eastAsia="宋体" w:cs="宋体"/>
                <w:color w:val="auto"/>
                <w:sz w:val="21"/>
                <w:szCs w:val="21"/>
                <w:highlight w:val="none"/>
              </w:rPr>
              <w:t xml:space="preserve">》</w:t>
            </w:r>
            <w:r>
              <w:rPr>
                <w:rFonts w:ascii="Times New Roman" w:hAnsi="Times New Roman" w:eastAsia="宋体" w:cs="宋体"/>
                <w:color w:val="auto"/>
                <w:sz w:val="21"/>
                <w:szCs w:val="21"/>
                <w:highlight w:val="none"/>
              </w:rPr>
              <w:t xml:space="preserve">，结合投标文件提供的佐证材料等进行评审：完全响应</w:t>
            </w:r>
            <w:r>
              <w:rPr>
                <w:rFonts w:hint="eastAsia" w:ascii="Times New Roman" w:hAnsi="Times New Roman" w:cs="宋体"/>
                <w:color w:val="auto"/>
                <w:sz w:val="21"/>
                <w:szCs w:val="21"/>
                <w:highlight w:val="none"/>
                <w:lang w:val="en-US" w:eastAsia="zh-CN"/>
              </w:rPr>
              <w:t xml:space="preserve">采购文件第四章项目需求第三项</w:t>
            </w:r>
            <w:r>
              <w:rPr>
                <w:rFonts w:hint="eastAsia" w:ascii="Times New Roman" w:hAnsi="Times New Roman" w:cs="宋体"/>
                <w:b w:val="0"/>
                <w:bCs w:val="0"/>
                <w:color w:val="auto"/>
                <w:sz w:val="21"/>
                <w:szCs w:val="21"/>
                <w:highlight w:val="none"/>
                <w:lang w:val="en-US" w:eastAsia="zh-CN"/>
              </w:rPr>
              <w:t xml:space="preserve">《</w:t>
            </w:r>
            <w:r>
              <w:rPr>
                <w:rFonts w:hint="eastAsia" w:ascii="Times New Roman" w:hAnsi="Times New Roman" w:eastAsia="宋体" w:cs="宋体"/>
                <w:b w:val="0"/>
                <w:bCs w:val="0"/>
                <w:color w:val="auto"/>
                <w:sz w:val="21"/>
                <w:szCs w:val="21"/>
                <w:highlight w:val="none"/>
              </w:rPr>
              <w:t xml:space="preserve">货物需求一览表及技术规格</w:t>
            </w:r>
            <w:r>
              <w:rPr>
                <w:rFonts w:hint="eastAsia" w:ascii="Times New Roman" w:hAnsi="Times New Roman" w:cs="宋体"/>
                <w:b w:val="0"/>
                <w:bCs w:val="0"/>
                <w:color w:val="auto"/>
                <w:sz w:val="21"/>
                <w:szCs w:val="21"/>
                <w:highlight w:val="none"/>
                <w:lang w:val="en-US" w:eastAsia="zh-CN"/>
              </w:rPr>
              <w:t xml:space="preserve">》</w:t>
            </w:r>
            <w:r>
              <w:rPr>
                <w:rFonts w:hint="eastAsia" w:ascii="Times New Roman" w:hAnsi="Times New Roman" w:cs="宋体"/>
                <w:color w:val="auto"/>
                <w:sz w:val="21"/>
                <w:szCs w:val="21"/>
                <w:highlight w:val="none"/>
                <w:lang w:val="en-US" w:eastAsia="zh-CN"/>
              </w:rPr>
              <w:t xml:space="preserve">内容</w:t>
            </w:r>
            <w:r>
              <w:rPr>
                <w:rFonts w:ascii="Times New Roman" w:hAnsi="Times New Roman" w:eastAsia="宋体" w:cs="宋体"/>
                <w:color w:val="auto"/>
                <w:sz w:val="21"/>
                <w:szCs w:val="21"/>
                <w:highlight w:val="none"/>
              </w:rPr>
              <w:t xml:space="preserve">，得</w:t>
            </w:r>
            <w:r>
              <w:rPr>
                <w:rFonts w:hint="eastAsia" w:ascii="Times New Roman" w:hAnsi="Times New Roman" w:eastAsia="宋体" w:cs="宋体"/>
                <w:color w:val="auto"/>
                <w:sz w:val="21"/>
                <w:szCs w:val="21"/>
                <w:highlight w:val="none"/>
                <w:lang w:val="en-US" w:eastAsia="zh-CN"/>
              </w:rPr>
              <w:t xml:space="preserve">39</w:t>
            </w:r>
            <w:r>
              <w:rPr>
                <w:rFonts w:ascii="Times New Roman" w:hAnsi="Times New Roman" w:eastAsia="宋体" w:cs="宋体"/>
                <w:color w:val="auto"/>
                <w:sz w:val="21"/>
                <w:szCs w:val="21"/>
                <w:highlight w:val="none"/>
              </w:rPr>
              <w:t xml:space="preserve">分</w:t>
            </w:r>
            <w:r>
              <w:rPr>
                <w:rFonts w:ascii="Times New Roman" w:hAnsi="Times New Roman" w:eastAsia="宋体" w:cs="宋体"/>
                <w:color w:val="auto"/>
                <w:sz w:val="21"/>
                <w:szCs w:val="21"/>
                <w:highlight w:val="none"/>
              </w:rPr>
              <w:t xml:space="preserve">；“★”号指标不允许负偏离，否则投标无效；加注“▲”符号的重要指标有一项负偏离或不满足扣3分。</w:t>
            </w:r>
            <w:r/>
          </w:p>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注：标注“★号或▲号”的技术参数，须提供相关证明材料</w:t>
            </w:r>
            <w:r>
              <w:rPr>
                <w:rFonts w:hint="eastAsia" w:ascii="Times New Roman" w:hAnsi="Times New Roman" w:cs="宋体"/>
                <w:b/>
                <w:color w:val="auto"/>
                <w:sz w:val="21"/>
                <w:szCs w:val="21"/>
                <w:highlight w:val="none"/>
                <w:lang w:eastAsia="zh-CN"/>
              </w:rPr>
              <w:t xml:space="preserve">（</w:t>
            </w:r>
            <w:r>
              <w:rPr>
                <w:rFonts w:hint="eastAsia" w:ascii="Times New Roman" w:hAnsi="Times New Roman" w:cs="宋体"/>
                <w:b/>
                <w:color w:val="auto"/>
                <w:sz w:val="21"/>
                <w:szCs w:val="21"/>
                <w:highlight w:val="none"/>
                <w:lang w:val="en-US" w:eastAsia="zh-CN"/>
              </w:rPr>
              <w:t xml:space="preserve">招标文件未指定证明材料类型的，证明材料</w:t>
            </w:r>
            <w:r>
              <w:rPr>
                <w:rFonts w:hint="eastAsia" w:ascii="Times New Roman" w:hAnsi="Times New Roman" w:cs="宋体"/>
                <w:b/>
                <w:color w:val="auto"/>
                <w:sz w:val="21"/>
                <w:szCs w:val="21"/>
                <w:highlight w:val="none"/>
                <w:lang w:val="en-US" w:eastAsia="zh-CN"/>
              </w:rPr>
              <w:t xml:space="preserve">可以是</w:t>
            </w:r>
            <w:r>
              <w:rPr>
                <w:rFonts w:ascii="Times New Roman" w:hAnsi="Times New Roman" w:eastAsia="宋体" w:cs="宋体"/>
                <w:b/>
                <w:color w:val="auto"/>
                <w:sz w:val="21"/>
                <w:szCs w:val="21"/>
                <w:highlight w:val="none"/>
              </w:rPr>
              <w:t xml:space="preserve">制造商技术白皮书或Data Sheet或医疗器械检测所检测报告或国家承认的第三方机构出具的检测报告或厂家公开发行的宣传彩页等</w:t>
            </w:r>
            <w:r>
              <w:rPr>
                <w:rFonts w:hint="eastAsia" w:ascii="Times New Roman" w:hAnsi="Times New Roman" w:cs="宋体"/>
                <w:b/>
                <w:color w:val="auto"/>
                <w:sz w:val="21"/>
                <w:szCs w:val="21"/>
                <w:highlight w:val="none"/>
                <w:lang w:eastAsia="zh-CN"/>
              </w:rPr>
              <w:t xml:space="preserve">，</w:t>
            </w:r>
            <w:r>
              <w:rPr>
                <w:rFonts w:hint="eastAsia" w:ascii="Times New Roman" w:hAnsi="Times New Roman" w:cs="宋体"/>
                <w:b/>
                <w:color w:val="auto"/>
                <w:sz w:val="21"/>
                <w:szCs w:val="21"/>
                <w:highlight w:val="none"/>
                <w:lang w:val="en-US" w:eastAsia="zh-CN"/>
              </w:rPr>
              <w:t xml:space="preserve">3.2项提供承诺书即可</w:t>
            </w:r>
            <w:r>
              <w:rPr>
                <w:rFonts w:ascii="Times New Roman" w:hAnsi="Times New Roman" w:eastAsia="宋体" w:cs="宋体"/>
                <w:b/>
                <w:color w:val="auto"/>
                <w:sz w:val="21"/>
                <w:szCs w:val="21"/>
                <w:highlight w:val="none"/>
              </w:rPr>
              <w:t xml:space="preserve">），并在响应文件需求响应偏离表备注栏中标注相应证明文件页码及相关证明条款，</w:t>
            </w:r>
            <w:r>
              <w:rPr>
                <w:rFonts w:ascii="Times New Roman" w:hAnsi="Times New Roman" w:eastAsia="宋体" w:cs="宋体"/>
                <w:b/>
                <w:color w:val="auto"/>
                <w:sz w:val="21"/>
                <w:szCs w:val="21"/>
                <w:highlight w:val="none"/>
              </w:rPr>
              <w:t xml:space="preserve">未</w:t>
            </w:r>
            <w:r>
              <w:rPr>
                <w:rFonts w:hint="eastAsia" w:ascii="Times New Roman" w:hAnsi="Times New Roman" w:cs="宋体"/>
                <w:b/>
                <w:color w:val="auto"/>
                <w:sz w:val="21"/>
                <w:szCs w:val="21"/>
                <w:highlight w:val="none"/>
                <w:lang w:val="en-US" w:eastAsia="zh-CN"/>
              </w:rPr>
              <w:t xml:space="preserve">按照招标文件要求</w:t>
            </w:r>
            <w:r>
              <w:rPr>
                <w:rFonts w:ascii="Times New Roman" w:hAnsi="Times New Roman" w:eastAsia="宋体" w:cs="宋体"/>
                <w:b/>
                <w:color w:val="auto"/>
                <w:sz w:val="21"/>
                <w:szCs w:val="21"/>
                <w:highlight w:val="none"/>
              </w:rPr>
              <w:t xml:space="preserve">提供相关证明材料</w:t>
            </w:r>
            <w:r>
              <w:rPr>
                <w:rFonts w:ascii="Times New Roman" w:hAnsi="Times New Roman" w:eastAsia="宋体" w:cs="宋体"/>
                <w:b/>
                <w:color w:val="auto"/>
                <w:sz w:val="21"/>
                <w:szCs w:val="21"/>
                <w:highlight w:val="none"/>
              </w:rPr>
              <w:t xml:space="preserve">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安装调试方案</w:t>
            </w:r>
            <w:r/>
          </w:p>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w:t>
            </w:r>
            <w:r>
              <w:rPr>
                <w:rFonts w:hint="eastAsia" w:ascii="Times New Roman" w:hAnsi="Times New Roman" w:cs="宋体"/>
                <w:b/>
                <w:color w:val="auto"/>
                <w:sz w:val="21"/>
                <w:szCs w:val="21"/>
                <w:highlight w:val="none"/>
                <w:lang w:val="en-US" w:eastAsia="zh-CN"/>
              </w:rPr>
              <w:t xml:space="preserve">8</w:t>
            </w:r>
            <w:r>
              <w:rPr>
                <w:rFonts w:ascii="Times New Roman" w:hAnsi="Times New Roman" w:eastAsia="宋体" w:cs="宋体"/>
                <w:b/>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设备到货、安装、调试方案，评委根据投标设备的到货运输、安装、设计方案进行横向对比评审：</w:t>
            </w:r>
            <w:r/>
          </w:p>
          <w:p>
            <w:pPr>
              <w:ind w:left="0" w:right="0" w:firstLine="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方案完整全面、科学合理、针对性强、完全切实可行</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方案整体完善、科学合规、具备较强可行性</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内容较为详细，有一定科学性和可行性</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内容不完整、科学性欠缺、可行性较差</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未提供的不得分。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培训方案</w:t>
            </w:r>
            <w:r/>
          </w:p>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color w:val="auto"/>
                <w:sz w:val="21"/>
                <w:szCs w:val="21"/>
                <w:highlight w:val="none"/>
                <w:lang w:val="en-US" w:eastAsia="zh-CN"/>
              </w:rPr>
              <w:t xml:space="preserve">7</w:t>
            </w:r>
            <w:r>
              <w:rPr>
                <w:rFonts w:ascii="Times New Roman" w:hAnsi="Times New Roman" w:eastAsia="宋体" w:cs="宋体"/>
                <w:b/>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方案完整全面、科学合理、针对性强、完全切实可行</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eastAsia="宋体" w:cs="宋体"/>
                <w:color w:val="auto"/>
                <w:sz w:val="21"/>
                <w:szCs w:val="21"/>
                <w:highlight w:val="none"/>
                <w:lang w:val="en-US" w:eastAsia="zh-CN"/>
              </w:rPr>
              <w:t xml:space="preserve">7分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方案整体完善、科学合规、具备较强可行性</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eastAsia="宋体" w:cs="宋体"/>
                <w:color w:val="auto"/>
                <w:sz w:val="21"/>
                <w:szCs w:val="21"/>
                <w:highlight w:val="none"/>
                <w:lang w:val="en-US" w:eastAsia="zh-CN"/>
              </w:rPr>
              <w:t xml:space="preserve">5分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内容较为详细，有一定科学性和可行性</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eastAsia="宋体" w:cs="宋体"/>
                <w:color w:val="auto"/>
                <w:sz w:val="21"/>
                <w:szCs w:val="21"/>
                <w:highlight w:val="none"/>
                <w:lang w:val="en-US" w:eastAsia="zh-CN"/>
              </w:rPr>
              <w:t xml:space="preserve">3分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内容不完整、科学性欠缺、可行性较差</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eastAsia="宋体" w:cs="宋体"/>
                <w:color w:val="auto"/>
                <w:sz w:val="21"/>
                <w:szCs w:val="21"/>
                <w:highlight w:val="none"/>
                <w:lang w:val="en-US" w:eastAsia="zh-CN"/>
              </w:rPr>
              <w:t xml:space="preserve">1分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未提供的不得分。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售后服务方案</w:t>
            </w:r>
            <w:r/>
          </w:p>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w:t>
            </w:r>
            <w:r>
              <w:rPr>
                <w:rFonts w:hint="eastAsia" w:ascii="Times New Roman" w:hAnsi="Times New Roman" w:cs="宋体"/>
                <w:b/>
                <w:color w:val="auto"/>
                <w:sz w:val="21"/>
                <w:szCs w:val="21"/>
                <w:highlight w:val="none"/>
                <w:lang w:val="en-US" w:eastAsia="zh-CN"/>
              </w:rPr>
              <w:t xml:space="preserve">8</w:t>
            </w:r>
            <w:r>
              <w:rPr>
                <w:rFonts w:ascii="Times New Roman" w:hAnsi="Times New Roman" w:eastAsia="宋体" w:cs="宋体"/>
                <w:b/>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方案完整全面、科学合理、针对性强、完全切实可行</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方案整体完善、科学合规、具备较强可行性</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6</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内容较为详细，有一定科学性和可行性</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内容不完整、科学性欠缺、可行性较差</w:t>
            </w:r>
            <w:r>
              <w:rPr>
                <w:rFonts w:hint="eastAsia" w:ascii="Times New Roman" w:hAnsi="Times New Roman" w:eastAsia="宋体" w:cs="宋体"/>
                <w:color w:val="auto"/>
                <w:sz w:val="21"/>
                <w:szCs w:val="21"/>
                <w:highlight w:val="none"/>
                <w:lang w:val="en-US" w:eastAsia="zh-CN"/>
              </w:rPr>
              <w:t xml:space="preserve">的得</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eastAsia="宋体" w:cs="宋体"/>
                <w:color w:val="auto"/>
                <w:sz w:val="21"/>
                <w:szCs w:val="21"/>
                <w:highlight w:val="none"/>
                <w:lang w:val="en-US" w:eastAsia="zh-CN"/>
              </w:rPr>
              <w:t xml:space="preserve">；</w:t>
            </w:r>
            <w:r/>
          </w:p>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未提供的不得分。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投标设备整体配置情况比较</w:t>
            </w:r>
            <w:r/>
          </w:p>
          <w:p>
            <w:pPr>
              <w:ind w:left="0" w:right="0" w:firstLine="0"/>
              <w:jc w:val="cente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w:t>
            </w:r>
            <w:r>
              <w:rPr>
                <w:rFonts w:hint="eastAsia" w:ascii="Times New Roman" w:hAnsi="Times New Roman" w:cs="宋体"/>
                <w:b/>
                <w:color w:val="auto"/>
                <w:sz w:val="21"/>
                <w:szCs w:val="21"/>
                <w:highlight w:val="none"/>
                <w:lang w:val="en-US" w:eastAsia="zh-CN"/>
              </w:rPr>
              <w:t xml:space="preserve">8</w:t>
            </w:r>
            <w:r>
              <w:rPr>
                <w:rFonts w:ascii="Times New Roman" w:hAnsi="Times New Roman" w:eastAsia="宋体" w:cs="宋体"/>
                <w:b/>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3" w:type="dxa"/>
            <w:vAlign w:val="center"/>
            <w:textDirection w:val="lrTb"/>
            <w:noWrap w:val="false"/>
          </w:tcPr>
          <w:p>
            <w:pPr>
              <w:pStyle w:val="826"/>
              <w:ind w:left="0" w:firstLine="0"/>
              <w:spacing w:line="320" w:lineRule="exact"/>
              <w:rPr>
                <w:rFonts w:hint="eastAsia" w:ascii="Times New Roman" w:hAnsi="Times New Roman" w:eastAsia="宋体" w:cs="宋体"/>
                <w:color w:val="auto"/>
                <w:sz w:val="21"/>
                <w:szCs w:val="21"/>
                <w:highlight w:val="none"/>
                <w:lang w:val="en-US" w:eastAsia="zh-CN"/>
              </w:rPr>
            </w:pPr>
            <w:r>
              <w:rPr>
                <w:rFonts w:ascii="Times New Roman" w:hAnsi="Times New Roman" w:eastAsia="宋体" w:cs="宋体"/>
                <w:color w:val="auto"/>
                <w:sz w:val="21"/>
                <w:szCs w:val="21"/>
                <w:highlight w:val="none"/>
              </w:rPr>
              <w:t xml:space="preserve">评委根据投标文件中</w:t>
            </w:r>
            <w:r>
              <w:rPr>
                <w:rFonts w:hint="eastAsia" w:ascii="Times New Roman" w:hAnsi="Times New Roman" w:cs="宋体"/>
                <w:color w:val="auto"/>
                <w:sz w:val="21"/>
                <w:szCs w:val="21"/>
                <w:highlight w:val="none"/>
                <w:lang w:eastAsia="zh-CN"/>
              </w:rPr>
              <w:t xml:space="preserve">的</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技术参数响应及偏离表</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对</w:t>
            </w:r>
            <w:r>
              <w:rPr>
                <w:rFonts w:ascii="Times New Roman" w:hAnsi="Times New Roman" w:eastAsia="宋体" w:cs="宋体"/>
                <w:b w:val="0"/>
                <w:bCs w:val="0"/>
                <w:color w:val="auto"/>
                <w:sz w:val="21"/>
                <w:szCs w:val="21"/>
                <w:highlight w:val="none"/>
              </w:rPr>
              <w:t xml:space="preserve">投标设备整体配置选型情况综合</w:t>
            </w:r>
            <w:r>
              <w:rPr>
                <w:rFonts w:hint="eastAsia" w:ascii="Times New Roman" w:hAnsi="Times New Roman" w:eastAsia="宋体" w:cs="宋体"/>
                <w:b w:val="0"/>
                <w:bCs w:val="0"/>
                <w:color w:val="auto"/>
                <w:sz w:val="21"/>
                <w:szCs w:val="21"/>
                <w:highlight w:val="none"/>
                <w:lang w:val="en-US" w:eastAsia="zh-CN"/>
              </w:rPr>
              <w:t xml:space="preserve">评价</w:t>
            </w:r>
            <w:r>
              <w:rPr>
                <w:rFonts w:ascii="Times New Roman" w:hAnsi="Times New Roman" w:eastAsia="宋体"/>
                <w:b w:val="0"/>
                <w:bCs w:val="0"/>
                <w:color w:val="auto"/>
                <w:sz w:val="21"/>
                <w:szCs w:val="21"/>
                <w:highlight w:val="none"/>
              </w:rPr>
              <w:t xml:space="preserve">：</w:t>
            </w:r>
            <w:r>
              <w:rPr>
                <w:rFonts w:hint="eastAsia" w:ascii="Times New Roman" w:hAnsi="Times New Roman" w:eastAsia="宋体"/>
                <w:b w:val="0"/>
                <w:bCs w:val="0"/>
                <w:color w:val="auto"/>
                <w:sz w:val="21"/>
                <w:szCs w:val="21"/>
                <w:highlight w:val="none"/>
                <w:lang w:val="en-US" w:eastAsia="zh-CN"/>
              </w:rPr>
              <w:t xml:space="preserve">未标记</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和</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eastAsia="zh-CN"/>
              </w:rPr>
              <w:t xml:space="preserve">的</w:t>
            </w:r>
            <w:r>
              <w:rPr>
                <w:rFonts w:hint="eastAsia" w:ascii="Times New Roman" w:hAnsi="Times New Roman" w:cs="宋体"/>
                <w:color w:val="auto"/>
                <w:sz w:val="21"/>
                <w:szCs w:val="21"/>
                <w:highlight w:val="none"/>
                <w:lang w:val="en-US" w:eastAsia="zh-CN"/>
              </w:rPr>
              <w:t xml:space="preserve">其他</w:t>
            </w:r>
            <w:r>
              <w:rPr>
                <w:rFonts w:hint="eastAsia" w:ascii="Times New Roman" w:hAnsi="Times New Roman" w:eastAsia="宋体" w:cs="宋体"/>
                <w:color w:val="auto"/>
                <w:sz w:val="21"/>
                <w:szCs w:val="21"/>
                <w:highlight w:val="none"/>
                <w:lang w:val="en-US" w:eastAsia="zh-CN"/>
              </w:rPr>
              <w:t xml:space="preserve">指标，负偏离≤5项，得</w:t>
            </w:r>
            <w:r>
              <w:rPr>
                <w:rFonts w:hint="eastAsia" w:ascii="Times New Roman" w:hAnsi="Times New Roman"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lang w:val="en-US" w:eastAsia="zh-CN"/>
              </w:rPr>
              <w:t xml:space="preserve">分，负偏离6-10项，得6分，负偏离11-15项，得4分，负偏离16-20项，得2分，负偏离＞20项，本项不得分。</w:t>
            </w:r>
            <w:r/>
          </w:p>
          <w:p>
            <w:pPr>
              <w:pStyle w:val="826"/>
              <w:ind w:left="0" w:firstLine="0"/>
              <w:spacing w:line="320" w:lineRule="exact"/>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t xml:space="preserve">说明：凡标有最低一级序号的指标项即为一项技术条款，无论是否隶属于上一级编号。</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响应)报价低于采购项目最高限价45%的，即投标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响应)报价&lt;采购项目最高限价X45%；</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二</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评审委员会启动异常低价投标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响应)审查后，属于前述第1项至第4项情形的，应当要求相关供应商在评审现场合理的时间内对投标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响应)文件一并提交相关书面说明及必要的证明材料的，在评审现场可不再重复提交。</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三</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评审委员会依据专业经验，参考同类项目中标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响应)处理。</w:t>
      </w:r>
      <w:r/>
    </w:p>
    <w:p>
      <w:pP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br w:type="page" w:clear="all"/>
      </w:r>
      <w:r/>
    </w:p>
    <w:p>
      <w:pPr>
        <w:pStyle w:val="717"/>
        <w:pageBreakBefore w:val="0"/>
        <w:spacing w:line="360" w:lineRule="auto"/>
        <w:rPr>
          <w:rFonts w:ascii="Times New Roman" w:hAnsi="Times New Roman" w:eastAsia="宋体"/>
          <w:color w:val="auto"/>
          <w:highlight w:val="none"/>
        </w:rPr>
      </w:pPr>
      <w:r/>
      <w:bookmarkStart w:id="89" w:name="_Toc27845"/>
      <w:r/>
      <w:bookmarkStart w:id="90" w:name="_Toc8012"/>
      <w:r/>
      <w:bookmarkStart w:id="91" w:name="_Toc20299"/>
      <w:r/>
      <w:bookmarkStart w:id="92" w:name="_Toc3287"/>
      <w:r/>
      <w:bookmarkStart w:id="93" w:name="_Toc1523"/>
      <w:r/>
      <w:bookmarkStart w:id="94" w:name="_Toc24650"/>
      <w:r>
        <w:rPr>
          <w:rFonts w:hint="eastAsia" w:ascii="Times New Roman" w:hAnsi="Times New Roman" w:eastAsia="宋体"/>
          <w:color w:val="auto"/>
          <w:highlight w:val="none"/>
        </w:rPr>
        <w:t xml:space="preserve">第六章 投标文件格式</w:t>
      </w:r>
      <w:bookmarkEnd w:id="89"/>
      <w:r/>
      <w:bookmarkEnd w:id="90"/>
      <w:r/>
      <w:bookmarkEnd w:id="91"/>
      <w:r/>
      <w:bookmarkEnd w:id="92"/>
      <w:r/>
      <w:bookmarkEnd w:id="93"/>
      <w:r/>
      <w:bookmarkEnd w:id="94"/>
      <w:r>
        <w:rPr>
          <w:rFonts w:hint="eastAsia" w:ascii="Times New Roman" w:hAnsi="Times New Roman" w:eastAsia="宋体"/>
          <w:color w:val="auto"/>
          <w:highlight w:val="none"/>
        </w:rPr>
        <w:t xml:space="preserve"> </w:t>
      </w:r>
      <w:r/>
    </w:p>
    <w:p>
      <w:pPr>
        <w:pageBreakBefore w:val="0"/>
        <w:spacing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Style w:val="733"/>
        <w:pageBreakBefore w:val="0"/>
        <w:spacing w:after="0"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t xml:space="preserve">投  标  文  件</w:t>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项 目 名 称：</w:t>
      </w:r>
      <w:r/>
    </w:p>
    <w:p>
      <w:pPr>
        <w:ind w:firstLine="1084"/>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招 标 编 号：</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投标人名称 ：</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日      期 ：</w:t>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投  标  人：（电子签章）</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投标主要文件目录</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一、资格审查响应对照表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二、符合性审查响应对照表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三、非实质性响应对照表</w:t>
      </w:r>
      <w:r/>
    </w:p>
    <w:p>
      <w:pPr>
        <w:ind w:firstLine="480"/>
        <w:pageBreakBefore w:val="0"/>
        <w:spacing w:line="360" w:lineRule="auto"/>
        <w:rPr>
          <w:rFonts w:hint="eastAsia" w:ascii="Times New Roman" w:hAnsi="Times New Roman" w:eastAsia="宋体" w:cs="宋体"/>
          <w:b/>
          <w:bCs/>
          <w:color w:val="auto"/>
          <w:sz w:val="24"/>
          <w:highlight w:val="none"/>
        </w:rPr>
      </w:pPr>
      <w:r>
        <w:rPr>
          <w:rFonts w:hint="eastAsia" w:ascii="Times New Roman" w:hAnsi="Times New Roman" w:eastAsia="宋体" w:cs="宋体"/>
          <w:color w:val="auto"/>
          <w:sz w:val="24"/>
          <w:highlight w:val="none"/>
        </w:rPr>
        <w:t xml:space="preserve">四</w:t>
      </w:r>
      <w:r>
        <w:rPr>
          <w:rFonts w:hint="eastAsia" w:ascii="Times New Roman" w:hAnsi="Times New Roman" w:eastAsia="宋体" w:cs="宋体"/>
          <w:b/>
          <w:bCs/>
          <w:color w:val="auto"/>
          <w:sz w:val="24"/>
          <w:highlight w:val="none"/>
        </w:rPr>
        <w:t xml:space="preserve">、</w:t>
      </w:r>
      <w:r>
        <w:rPr>
          <w:rFonts w:hint="eastAsia" w:ascii="Times New Roman" w:hAnsi="Times New Roman" w:eastAsia="宋体" w:cs="宋体"/>
          <w:i/>
          <w:color w:val="auto"/>
          <w:sz w:val="24"/>
          <w:highlight w:val="none"/>
          <w:u w:val="single"/>
        </w:rPr>
        <w:t xml:space="preserve">开标一览表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五、投标配置与分项报价表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六</w:t>
      </w:r>
      <w:r>
        <w:rPr>
          <w:rFonts w:hint="eastAsia" w:ascii="Times New Roman" w:hAnsi="Times New Roman" w:eastAsia="宋体" w:cs="宋体"/>
          <w:color w:val="auto"/>
          <w:sz w:val="24"/>
          <w:szCs w:val="24"/>
          <w:highlight w:val="none"/>
        </w:rPr>
        <w:t xml:space="preserve">、技术参数响应及偏离表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七、商务条款响应及偏离表</w:t>
      </w:r>
      <w:r/>
    </w:p>
    <w:p>
      <w:pPr>
        <w:ind w:firstLine="480"/>
        <w:pageBreakBefore w:val="0"/>
        <w:spacing w:line="360" w:lineRule="auto"/>
        <w:rPr>
          <w:rFonts w:hint="eastAsia" w:ascii="Times New Roman" w:hAnsi="Times New Roman" w:eastAsia="宋体" w:cs="宋体"/>
          <w:color w:val="auto"/>
          <w:sz w:val="36"/>
          <w:szCs w:val="36"/>
          <w:highlight w:val="none"/>
        </w:rPr>
      </w:pPr>
      <w:r>
        <w:rPr>
          <w:rFonts w:hint="eastAsia" w:ascii="Times New Roman" w:hAnsi="Times New Roman" w:eastAsia="宋体" w:cs="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718"/>
        <w:jc w:val="center"/>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s="宋体"/>
          <w:color w:val="auto"/>
          <w:sz w:val="32"/>
          <w:szCs w:val="32"/>
          <w:highlight w:val="none"/>
        </w:rPr>
        <w:br w:type="page" w:clear="all"/>
      </w:r>
      <w:bookmarkStart w:id="95" w:name="_Toc20369"/>
      <w:r/>
      <w:bookmarkStart w:id="96" w:name="_Toc5792"/>
      <w:r/>
      <w:bookmarkStart w:id="97" w:name="_Toc1107"/>
      <w:r/>
      <w:bookmarkStart w:id="98" w:name="_Toc26156"/>
      <w:r/>
      <w:bookmarkStart w:id="99" w:name="_Toc7268"/>
      <w:r>
        <w:rPr>
          <w:rFonts w:hint="eastAsia" w:ascii="Times New Roman" w:hAnsi="Times New Roman" w:eastAsia="宋体" w:cs="宋体"/>
          <w:b/>
          <w:bCs/>
          <w:color w:val="auto"/>
          <w:sz w:val="32"/>
          <w:highlight w:val="none"/>
        </w:rPr>
        <w:t xml:space="preserve">一、</w:t>
      </w:r>
      <w:bookmarkEnd w:id="95"/>
      <w:r/>
      <w:bookmarkEnd w:id="96"/>
      <w:r/>
      <w:bookmarkEnd w:id="97"/>
      <w:r/>
      <w:bookmarkEnd w:id="98"/>
      <w:r/>
      <w:bookmarkEnd w:id="99"/>
      <w:r>
        <w:rPr>
          <w:rFonts w:hint="eastAsia" w:ascii="Times New Roman" w:hAnsi="Times New Roman" w:eastAsia="宋体"/>
          <w:b/>
          <w:bCs/>
          <w:color w:val="auto"/>
          <w:sz w:val="32"/>
          <w:highlight w:val="none"/>
        </w:rPr>
        <w:t xml:space="preserve">资格审查响应对照表</w:t>
      </w:r>
      <w:r/>
    </w:p>
    <w:tbl>
      <w:tblPr>
        <w:tblStyle w:val="72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身份证为正、反面）</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2</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上一年度</w:t>
            </w:r>
            <w:r>
              <w:rPr>
                <w:rFonts w:hint="eastAsia" w:ascii="Times New Roman" w:hAnsi="Times New Roman" w:eastAsia="宋体" w:cs="宋体"/>
                <w:color w:val="auto"/>
                <w:szCs w:val="21"/>
                <w:highlight w:val="none"/>
              </w:rPr>
              <w:t xml:space="preserve">的财务报告情况（成立不满一年无需提供）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6</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www.creditchina.gov.cn）、“中国政府采购网”</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www.ccgp.gov.cn</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投标文件中无需提供证明材料）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default" w:ascii="Times New Roman" w:hAnsi="Times New Roman" w:eastAsia="宋体"/>
                <w:color w:val="auto"/>
                <w:szCs w:val="21"/>
                <w:highlight w:val="none"/>
                <w:lang w:val="en-US" w:eastAsia="zh-CN"/>
              </w:rPr>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8</w:t>
            </w:r>
            <w:r/>
          </w:p>
        </w:tc>
        <w:tc>
          <w:tcPr>
            <w:tcW w:w="5854" w:type="dxa"/>
            <w:vAlign w:val="center"/>
            <w:textDirection w:val="lrTb"/>
            <w:noWrap w:val="false"/>
          </w:tcPr>
          <w:p>
            <w:pPr>
              <w:jc w:val="left"/>
              <w:pageBreakBefore w:val="0"/>
              <w:spacing w:line="360" w:lineRule="auto"/>
              <w:rPr>
                <w:rFonts w:hint="eastAsia"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 xml:space="preserve">投标人具备医疗器械生产企业许可或医疗器械经营企业许可证或相应类别的医疗器械经营备案凭证。</w:t>
            </w:r>
            <w:r/>
          </w:p>
          <w:p>
            <w:pPr>
              <w:jc w:val="left"/>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 xml:space="preserve">（提供有效证书原件扫描上传）</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9</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left="0" w:firstLine="420"/>
        <w:keepLines w:val="0"/>
        <w:keepNext w:val="0"/>
        <w:pageBreakBefore w:val="0"/>
        <w:spacing w:line="360" w:lineRule="auto"/>
        <w:widowControl w:val="off"/>
        <w:rPr>
          <w:rFonts w:hint="eastAsia" w:ascii="Times New Roman" w:hAnsi="Times New Roman" w:eastAsia="宋体"/>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auto"/>
          <w:sz w:val="21"/>
          <w:szCs w:val="21"/>
          <w:highlight w:val="none"/>
        </w:rPr>
      </w:r>
      <w:r/>
    </w:p>
    <w:p>
      <w:pPr>
        <w:ind w:firstLine="147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主要设备有</w:t>
      </w:r>
      <w:r>
        <w:rPr>
          <w:rFonts w:hint="eastAsia" w:ascii="Times New Roman" w:hAnsi="Times New Roman" w:eastAsia="宋体" w:cs="宋体"/>
          <w:bCs/>
          <w:color w:val="auto"/>
          <w:szCs w:val="21"/>
          <w:highlight w:val="none"/>
          <w:lang w:eastAsia="zh-CN"/>
        </w:rPr>
        <w:t xml:space="preserve">：</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主要专业技术能力有</w:t>
      </w:r>
      <w:r>
        <w:rPr>
          <w:rFonts w:hint="eastAsia" w:ascii="Times New Roman" w:hAnsi="Times New Roman" w:eastAsia="宋体" w:cs="宋体"/>
          <w:bCs/>
          <w:color w:val="auto"/>
          <w:szCs w:val="21"/>
          <w:highlight w:val="none"/>
          <w:lang w:eastAsia="zh-CN"/>
        </w:rPr>
        <w:t xml:space="preserve">：</w:t>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br w:type="page" w:clear="all"/>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声  明</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供应商名称（公章）：</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法定代表人签章：</w:t>
      </w:r>
      <w:r>
        <w:rPr>
          <w:rFonts w:hint="eastAsia" w:ascii="Times New Roman" w:hAnsi="Times New Roman" w:eastAsia="宋体" w:cs="宋体"/>
          <w:bCs/>
          <w:color w:val="auto"/>
          <w:highlight w:val="none"/>
          <w:u w:val="single"/>
        </w:rPr>
        <w:t xml:space="preserve">_______________________</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日期：  年  月  日</w:t>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color w:val="auto"/>
          <w:szCs w:val="21"/>
          <w:highlight w:val="none"/>
        </w:rPr>
        <w:t xml:space="preserve">供应商信用承诺书</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承诺主体名称：</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统一社会信用代码：</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二、严格按照国家</w:t>
      </w:r>
      <w:r>
        <w:rPr>
          <w:rFonts w:hint="eastAsia" w:ascii="Times New Roman" w:hAnsi="Times New Roman" w:eastAsia="宋体" w:cs="宋体"/>
          <w:color w:val="auto"/>
          <w:szCs w:val="21"/>
          <w:highlight w:val="none"/>
          <w:lang w:eastAsia="zh-CN"/>
        </w:rPr>
        <w:t xml:space="preserve">法律法规</w:t>
      </w:r>
      <w:r>
        <w:rPr>
          <w:rFonts w:hint="eastAsia" w:ascii="Times New Roman" w:hAnsi="Times New Roman"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十、本承诺书自签订之日起生效。</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（注：法定代表人或负责人、主体名称发生变更的应当重新作出承诺。）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承诺单位（签章）：           </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法定代表人（负责人）：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年    月    日</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bCs/>
          <w:color w:val="auto"/>
          <w:highlight w:val="none"/>
        </w:rPr>
        <w:t xml:space="preserve">投标函格式</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致：</w:t>
      </w:r>
      <w:r>
        <w:rPr>
          <w:rFonts w:hint="eastAsia" w:ascii="Times New Roman" w:hAnsi="Times New Roman" w:eastAsia="宋体" w:cs="宋体"/>
          <w:color w:val="auto"/>
          <w:sz w:val="21"/>
          <w:highlight w:val="none"/>
        </w:rPr>
        <w:t xml:space="preserve">江苏苏维工程管理有限公司</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据此函，__________签字人（姓名）兹宣布同意如下：</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1.按照招标文件规定的各项要求，向买方提供所需货物与服务。</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2.我们完全理解贵方不一定将合同授予最低报价的投标人。</w:t>
      </w:r>
      <w:r/>
    </w:p>
    <w:p>
      <w:pPr>
        <w:pStyle w:val="776"/>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3.我们已详细审核全部招标文件及其有效补充文件，我们知道必须放弃提出含糊不清或误解问题的权利。</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4.我们同意从规定的开标日期起遵循本投标文件，并在规定的投标有效期期满之前均具有约束力。</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76"/>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Times New Roman" w:hAnsi="Times New Roman" w:eastAsia="宋体" w:cs="宋体"/>
          <w:color w:val="auto"/>
          <w:sz w:val="21"/>
          <w:szCs w:val="21"/>
          <w:highlight w:val="none"/>
          <w:lang w:eastAsia="zh-CN"/>
        </w:rPr>
        <w:t xml:space="preserve">间内</w:t>
      </w:r>
      <w:r>
        <w:rPr>
          <w:rFonts w:hint="eastAsia" w:ascii="Times New Roman" w:hAnsi="Times New Roman" w:eastAsia="宋体" w:cs="宋体"/>
          <w:color w:val="auto"/>
          <w:sz w:val="21"/>
          <w:szCs w:val="21"/>
          <w:highlight w:val="none"/>
        </w:rPr>
        <w:t xml:space="preserve">完成项目，交付买方验收、使用。</w:t>
      </w:r>
      <w:r/>
    </w:p>
    <w:p>
      <w:pPr>
        <w:pStyle w:val="776"/>
        <w:ind w:left="425" w:firstLine="105"/>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7.与本投标有关的正式通讯地址为：</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 址：</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邮 编：</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电 话：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 真：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投标人开户行：</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账 户： </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行 号：</w:t>
      </w:r>
      <w:r/>
    </w:p>
    <w:p>
      <w:pPr>
        <w:pStyle w:val="776"/>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 w:val="32"/>
          <w:szCs w:val="32"/>
          <w:highlight w:val="none"/>
        </w:rPr>
        <w:br w:type="page" w:clear="all"/>
      </w:r>
      <w:r>
        <w:rPr>
          <w:rFonts w:hint="eastAsia" w:ascii="Times New Roman" w:hAnsi="Times New Roman" w:eastAsia="宋体" w:cs="宋体"/>
          <w:b/>
          <w:color w:val="auto"/>
          <w:szCs w:val="21"/>
          <w:highlight w:val="none"/>
        </w:rPr>
        <w:t xml:space="preserve">法人授权书</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本授权书于______年____月____日起生效，特此声明。</w:t>
      </w:r>
      <w:r/>
    </w:p>
    <w:p>
      <w:pPr>
        <w:pStyle w:val="994"/>
        <w:ind w:firstLine="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被授权人姓名： </w:t>
      </w:r>
      <w:r/>
    </w:p>
    <w:p>
      <w:pPr>
        <w:pStyle w:val="994"/>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联系电话（手机）：</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单位名称： </w:t>
      </w:r>
      <w:r/>
    </w:p>
    <w:p>
      <w:pPr>
        <w:pStyle w:val="994"/>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单位地址：</w:t>
      </w:r>
      <w:r/>
    </w:p>
    <w:p>
      <w:pPr>
        <w:pStyle w:val="994"/>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r>
      <w:r/>
    </w:p>
    <w:p>
      <w:pPr>
        <w:pageBreakBefore w:val="0"/>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法定代表人身份证复印件</w:t>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被授权人身份证复印件</w:t>
      </w:r>
      <w:r/>
    </w:p>
    <w:p>
      <w:pPr>
        <w:jc w:val="center"/>
        <w:pageBreakBefore w:val="0"/>
        <w:spacing w:line="360" w:lineRule="auto"/>
        <w:rPr>
          <w:rFonts w:hint="eastAsia" w:ascii="Times New Roman" w:hAnsi="Times New Roman" w:eastAsia="宋体" w:cs="宋体"/>
          <w:b/>
          <w:bCs/>
          <w:i/>
          <w:iCs/>
          <w:color w:val="auto"/>
          <w:highlight w:val="none"/>
          <w:u w:val="single"/>
        </w:rPr>
      </w:pPr>
      <w:r>
        <w:rPr>
          <w:rFonts w:hint="eastAsia" w:ascii="Times New Roman" w:hAnsi="Times New Roman" w:eastAsia="宋体" w:cs="宋体"/>
          <w:b/>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被授权人提供提交</w:t>
      </w:r>
      <w:r>
        <w:rPr>
          <w:rFonts w:hint="eastAsia" w:ascii="Times New Roman" w:hAnsi="Times New Roman" w:cs="宋体"/>
          <w:bCs/>
          <w:i/>
          <w:iCs/>
          <w:color w:val="auto"/>
          <w:highlight w:val="none"/>
          <w:u w:val="single"/>
          <w:lang w:val="en-US" w:eastAsia="zh-CN"/>
        </w:rPr>
        <w:t xml:space="preserve">投标</w:t>
      </w:r>
      <w:r>
        <w:rPr>
          <w:rFonts w:hint="eastAsia" w:ascii="Times New Roman" w:hAnsi="Times New Roman" w:eastAsia="宋体" w:cs="宋体"/>
          <w:bCs/>
          <w:i/>
          <w:iCs/>
          <w:color w:val="auto"/>
          <w:highlight w:val="none"/>
          <w:u w:val="single"/>
        </w:rPr>
        <w:t xml:space="preserve">文件截止时间前一年内至少一个月依法缴纳社会保障资金的证明材料</w:t>
      </w:r>
      <w:r/>
    </w:p>
    <w:p>
      <w:pPr>
        <w:jc w:val="center"/>
        <w:pageBreakBefore w:val="0"/>
        <w:spacing w:line="360" w:lineRule="auto"/>
        <w:rPr>
          <w:rFonts w:hint="eastAsia" w:ascii="Times New Roman" w:hAnsi="Times New Roman" w:eastAsia="宋体" w:cs="宋体"/>
          <w:b/>
          <w:bCs/>
          <w:i/>
          <w:iCs/>
          <w:color w:val="auto"/>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i/>
          <w:iCs/>
          <w:color w:val="auto"/>
          <w:highlight w:val="none"/>
          <w:u w:val="singl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中小企业声明函（货物）</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本公司（联合体）郑重声明，根据《政府采购促进中小企业发展管理办法》（财库﹝2020﹞46 号）的规定，本公司（联合体）参加</w:t>
      </w:r>
      <w:r>
        <w:rPr>
          <w:rFonts w:hint="eastAsia" w:ascii="Times New Roman" w:hAnsi="Times New Roman" w:eastAsia="宋体" w:cs="宋体"/>
          <w:color w:val="auto"/>
          <w:szCs w:val="21"/>
          <w:highlight w:val="none"/>
          <w:u w:val="single"/>
        </w:rPr>
        <w:t xml:space="preserve">（单位名称）</w:t>
      </w:r>
      <w:r>
        <w:rPr>
          <w:rFonts w:hint="eastAsia" w:ascii="Times New Roman" w:hAnsi="Times New Roman" w:eastAsia="宋体" w:cs="宋体"/>
          <w:color w:val="auto"/>
          <w:szCs w:val="21"/>
          <w:highlight w:val="none"/>
        </w:rPr>
        <w:t xml:space="preserve">的</w:t>
      </w:r>
      <w:r>
        <w:rPr>
          <w:rFonts w:hint="eastAsia" w:ascii="Times New Roman" w:hAnsi="Times New Roman" w:eastAsia="宋体" w:cs="宋体"/>
          <w:color w:val="auto"/>
          <w:szCs w:val="21"/>
          <w:highlight w:val="none"/>
          <w:u w:val="single"/>
        </w:rPr>
        <w:t xml:space="preserve">（项目名称）</w:t>
      </w:r>
      <w:r>
        <w:rPr>
          <w:rFonts w:hint="eastAsia" w:ascii="Times New Roman" w:hAnsi="Times New Roman"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\o "#br1"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pacing w:val="-1"/>
          <w:szCs w:val="21"/>
          <w:highlight w:val="none"/>
          <w:vertAlign w:val="superscript"/>
        </w:rPr>
        <w:t xml:space="preserve">1</w:t>
      </w:r>
      <w:r>
        <w:rPr>
          <w:rFonts w:hint="eastAsia" w:ascii="Times New Roman" w:hAnsi="Times New Roman" w:eastAsia="宋体" w:cs="宋体"/>
          <w:color w:val="auto"/>
          <w:spacing w:val="-1"/>
          <w:szCs w:val="21"/>
          <w:highlight w:val="none"/>
          <w:vertAlign w:val="superscript"/>
        </w:rPr>
        <w:fldChar w:fldCharType="end"/>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2.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注： 1、从业人员（不仅指在职职工）、营业收入、资产总额填报上一年度数据，无上一年度数据的新成立企业可不填报。</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3、企业声明函请完整填写，中标后将公示。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5、声明函应涵盖本项目</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分包)所有货物，否则价格不作扣除。</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企业名称（盖章）：</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日 期：</w:t>
      </w:r>
      <w:r/>
    </w:p>
    <w:p>
      <w:pPr>
        <w:pStyle w:val="985"/>
        <w:ind w:firstLine="420"/>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rPr>
          <w:rStyle w:val="990"/>
          <w:rFonts w:hint="eastAsia" w:ascii="Times New Roman" w:hAnsi="Times New Roman" w:eastAsia="宋体" w:cs="宋体"/>
          <w:color w:val="auto"/>
          <w:sz w:val="21"/>
          <w:szCs w:val="21"/>
          <w:highlight w:val="none"/>
        </w:rPr>
        <w:t xml:space="preserve">中小微企业划型标准如下：</w:t>
      </w:r>
      <w:r/>
    </w:p>
    <w:tbl>
      <w:tblPr>
        <w:tblStyle w:val="727"/>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85"/>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ind w:firstLine="420"/>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5"/>
              <w:jc w:val="center"/>
              <w:pageBreakBefore w:val="0"/>
              <w:spacing w:line="360" w:lineRule="auto"/>
              <w:widowControl/>
              <w:rPr>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X&lt;10</w:t>
            </w:r>
            <w:r/>
          </w:p>
        </w:tc>
      </w:tr>
    </w:tbl>
    <w:p>
      <w:pPr>
        <w:pStyle w:val="985"/>
        <w:ind w:firstLine="810"/>
        <w:pageBreakBefore w:val="0"/>
        <w:spacing w:line="360" w:lineRule="auto"/>
        <w:widowControl/>
        <w:rPr>
          <w:rStyle w:val="990"/>
          <w:rFonts w:hint="eastAsia" w:ascii="Times New Roman" w:hAnsi="Times New Roman" w:eastAsia="宋体" w:cs="宋体"/>
          <w:color w:val="auto"/>
          <w:sz w:val="21"/>
          <w:szCs w:val="21"/>
          <w:highlight w:val="none"/>
        </w:rPr>
      </w:pPr>
      <w:r>
        <w:rPr>
          <w:rStyle w:val="990"/>
          <w:rFonts w:hint="eastAsia" w:ascii="Times New Roman" w:hAnsi="Times New Roman"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pageBreakBefore w:val="0"/>
        <w:spacing w:line="360" w:lineRule="auto"/>
        <w:rPr>
          <w:rFonts w:hint="eastAsia" w:ascii="Times New Roman" w:hAnsi="Times New Roman"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Cs/>
          <w:color w:val="auto"/>
          <w:highlight w:val="none"/>
        </w:rPr>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100" w:name="_Toc3074"/>
      <w:r/>
      <w:bookmarkStart w:id="101" w:name="_Toc9345"/>
      <w:r/>
      <w:bookmarkStart w:id="102" w:name="_Toc16911"/>
      <w:r/>
      <w:bookmarkStart w:id="103" w:name="_Toc20616"/>
      <w:r/>
      <w:bookmarkStart w:id="104" w:name="_Toc14959"/>
      <w:r>
        <w:rPr>
          <w:rFonts w:hint="eastAsia" w:ascii="Times New Roman" w:hAnsi="Times New Roman" w:eastAsia="宋体" w:cs="宋体"/>
          <w:color w:val="auto"/>
          <w:sz w:val="32"/>
          <w:highlight w:val="none"/>
        </w:rPr>
        <w:t xml:space="preserve">二、符合性审查响应对照表</w:t>
      </w:r>
      <w:bookmarkEnd w:id="100"/>
      <w:r/>
      <w:bookmarkEnd w:id="101"/>
      <w:r/>
      <w:bookmarkEnd w:id="102"/>
      <w:r/>
      <w:bookmarkEnd w:id="103"/>
      <w:r/>
      <w:bookmarkEnd w:id="104"/>
      <w:r/>
      <w:r/>
    </w:p>
    <w:tbl>
      <w:tblPr>
        <w:tblStyle w:val="72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bCs/>
                <w:iCs/>
                <w:color w:val="auto"/>
                <w:szCs w:val="21"/>
                <w:highlight w:val="none"/>
              </w:rPr>
            </w:pPr>
            <w:r>
              <w:rPr>
                <w:rFonts w:hint="eastAsia" w:ascii="Times New Roman" w:hAnsi="Times New Roman" w:eastAsia="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417"/>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105" w:name="_Toc6752"/>
      <w:r/>
      <w:bookmarkStart w:id="106" w:name="_Toc29406"/>
      <w:r/>
      <w:bookmarkStart w:id="107" w:name="_Toc23068"/>
      <w:r/>
      <w:bookmarkStart w:id="108" w:name="_Toc14100"/>
      <w:r/>
      <w:bookmarkStart w:id="109" w:name="_Toc23420"/>
      <w:r>
        <w:rPr>
          <w:rFonts w:hint="eastAsia" w:ascii="Times New Roman" w:hAnsi="Times New Roman" w:eastAsia="宋体" w:cs="宋体"/>
          <w:color w:val="auto"/>
          <w:sz w:val="32"/>
          <w:highlight w:val="none"/>
        </w:rPr>
        <w:t xml:space="preserve">三、非实质性响应对照表</w:t>
      </w:r>
      <w:bookmarkEnd w:id="105"/>
      <w:r/>
      <w:bookmarkEnd w:id="106"/>
      <w:r/>
      <w:bookmarkEnd w:id="107"/>
      <w:r/>
      <w:bookmarkEnd w:id="108"/>
      <w:r/>
      <w:bookmarkEnd w:id="109"/>
      <w:r/>
      <w:r/>
    </w:p>
    <w:tbl>
      <w:tblPr>
        <w:tblStyle w:val="727"/>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Cs w:val="21"/>
                <w:highlight w:val="none"/>
              </w:rPr>
              <w:t xml:space="preserve">《残疾人福利性单位声明函》</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关于符合本国产品标准的声明函</w:t>
            </w:r>
            <w:r>
              <w:rPr>
                <w:rFonts w:hint="eastAsia" w:ascii="Times New Roman" w:hAnsi="Times New Roman" w:eastAsia="宋体" w:cs="宋体"/>
                <w:color w:val="auto"/>
                <w:sz w:val="21"/>
                <w:szCs w:val="21"/>
                <w:highlight w:val="none"/>
                <w:lang w:eastAsia="zh-CN"/>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ind w:firstLine="272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残疾人福利性单位声明函</w:t>
      </w:r>
      <w:r/>
    </w:p>
    <w:p>
      <w:pPr>
        <w:ind w:firstLine="624"/>
        <w:pageBreakBefore w:val="0"/>
        <w:spacing w:line="360" w:lineRule="auto"/>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Times New Roman" w:hAnsi="Times New Roman" w:eastAsia="宋体"/>
          <w:color w:val="auto"/>
          <w:szCs w:val="21"/>
          <w:highlight w:val="none"/>
          <w:lang w:val="en-US" w:eastAsia="zh-CN"/>
        </w:rPr>
        <w:t xml:space="preserve">货物</w:t>
      </w:r>
      <w:r>
        <w:rPr>
          <w:rFonts w:hint="eastAsia" w:ascii="Times New Roman" w:hAnsi="Times New Roman" w:eastAsia="宋体"/>
          <w:color w:val="auto"/>
          <w:szCs w:val="21"/>
          <w:highlight w:val="none"/>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 w:val="21"/>
          <w:szCs w:val="21"/>
          <w:highlight w:val="none"/>
        </w:rPr>
      </w:pPr>
      <w:r>
        <w:rPr>
          <w:rFonts w:ascii="Times New Roman" w:hAnsi="Times New Roman" w:eastAsia="宋体"/>
          <w:color w:val="auto"/>
          <w:spacing w:val="6"/>
          <w:sz w:val="21"/>
          <w:szCs w:val="21"/>
          <w:highlight w:val="none"/>
        </w:rPr>
      </w:r>
      <w:r/>
    </w:p>
    <w:p>
      <w:pPr>
        <w:ind w:right="1559" w:firstLine="444"/>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pacing w:val="6"/>
          <w:sz w:val="21"/>
          <w:szCs w:val="21"/>
          <w:highlight w:val="none"/>
        </w:rPr>
        <w:t xml:space="preserve">             </w:t>
      </w:r>
      <w:r>
        <w:rPr>
          <w:rFonts w:hint="eastAsia" w:ascii="Times New Roman" w:hAnsi="Times New Roman" w:eastAsia="宋体"/>
          <w:color w:val="auto"/>
          <w:sz w:val="21"/>
          <w:szCs w:val="21"/>
          <w:highlight w:val="none"/>
        </w:rPr>
        <w:t xml:space="preserve">    供应商全称（加盖CA电子</w:t>
      </w:r>
      <w:r>
        <w:rPr>
          <w:rFonts w:hint="eastAsia" w:ascii="Times New Roman" w:hAnsi="Times New Roman" w:eastAsia="宋体"/>
          <w:color w:val="auto"/>
          <w:sz w:val="21"/>
          <w:szCs w:val="21"/>
          <w:highlight w:val="none"/>
          <w:lang w:val="en-US" w:eastAsia="zh-CN"/>
        </w:rPr>
        <w:t xml:space="preserve">公章</w:t>
      </w:r>
      <w:r>
        <w:rPr>
          <w:rFonts w:hint="eastAsia" w:ascii="Times New Roman" w:hAnsi="Times New Roman" w:eastAsia="宋体"/>
          <w:color w:val="auto"/>
          <w:sz w:val="21"/>
          <w:szCs w:val="21"/>
          <w:highlight w:val="none"/>
        </w:rPr>
        <w:t xml:space="preserve">）：</w:t>
      </w:r>
      <w:r/>
    </w:p>
    <w:p>
      <w:pPr>
        <w:ind w:right="1559" w:firstLine="420"/>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日  期：</w:t>
      </w:r>
      <w:r/>
    </w:p>
    <w:p>
      <w:pPr>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br w:type="page" w:clear="all"/>
      </w:r>
      <w:r/>
    </w:p>
    <w:p>
      <w:pPr>
        <w:jc w:val="cente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关于符合本国产品标准的声明函（采购包号：**）</w:t>
      </w:r>
      <w:r/>
    </w:p>
    <w:p>
      <w:pPr>
        <w:pStyle w:val="752"/>
        <w:ind w:firstLine="420"/>
        <w:pageBreakBefore w:val="0"/>
        <w:spacing w:beforeAutospacing="0" w:afterAutospacing="0"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1.</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Style w:val="759"/>
          <w:rFonts w:hint="eastAsia" w:ascii="Times New Roman" w:hAnsi="Times New Roman" w:eastAsia="宋体" w:cs="方正魏碑_GBK"/>
          <w:i w:val="0"/>
          <w:color w:val="auto"/>
          <w:highlight w:val="none"/>
          <w:shd w:val="clear" w:color="auto" w:fill="ffffff"/>
          <w:vertAlign w:val="superscript"/>
        </w:rPr>
        <w:t xml:space="preserve">1</w:t>
      </w:r>
      <w:r>
        <w:rPr>
          <w:rFonts w:hint="eastAsia" w:ascii="Times New Roman" w:hAnsi="Times New Roman" w:eastAsia="宋体" w:cs="方正魏碑_GBK"/>
          <w:color w:val="auto"/>
          <w:highlight w:val="none"/>
          <w:shd w:val="clear" w:color="auto" w:fill="ffffff"/>
        </w:rPr>
        <w:t xml:space="preserve">，生产厂为</w:t>
      </w:r>
      <w:r>
        <w:rPr>
          <w:rStyle w:val="759"/>
          <w:rFonts w:hint="eastAsia" w:ascii="Times New Roman" w:hAnsi="Times New Roman" w:eastAsia="宋体" w:cs="方正魏碑_GBK"/>
          <w:i w:val="0"/>
          <w:color w:val="auto"/>
          <w:highlight w:val="none"/>
          <w:u w:val="single"/>
          <w:shd w:val="clear" w:color="auto" w:fill="ffffff"/>
        </w:rPr>
        <w:t xml:space="preserve">（厂名）</w:t>
      </w:r>
      <w:r>
        <w:rPr>
          <w:rStyle w:val="759"/>
          <w:rFonts w:hint="eastAsia" w:ascii="Times New Roman" w:hAnsi="Times New Roman" w:eastAsia="宋体" w:cs="方正魏碑_GBK"/>
          <w:i w:val="0"/>
          <w:color w:val="auto"/>
          <w:highlight w:val="none"/>
          <w:shd w:val="clear" w:color="auto" w:fill="ffffff"/>
          <w:vertAlign w:val="superscript"/>
        </w:rPr>
        <w:t xml:space="preserve">2</w:t>
      </w:r>
      <w:r>
        <w:rPr>
          <w:rFonts w:hint="eastAsia" w:ascii="Times New Roman" w:hAnsi="Times New Roman" w:eastAsia="宋体" w:cs="方正魏碑_GBK"/>
          <w:color w:val="auto"/>
          <w:highlight w:val="none"/>
          <w:shd w:val="clear" w:color="auto" w:fill="ffffff"/>
        </w:rPr>
        <w:t xml:space="preserve">，厂址为</w:t>
      </w:r>
      <w:r>
        <w:rPr>
          <w:rStyle w:val="759"/>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Fonts w:hint="eastAsia" w:ascii="Times New Roman" w:hAnsi="Times New Roman" w:eastAsia="宋体" w:cs="方正魏碑_GBK"/>
          <w:color w:val="auto"/>
          <w:highlight w:val="none"/>
          <w:u w:val="single"/>
          <w:shd w:val="clear" w:color="auto" w:fill="ffffff"/>
        </w:rPr>
        <w:t xml:space="preserve"> </w:t>
      </w:r>
      <w:r>
        <w:rPr>
          <w:rStyle w:val="759"/>
          <w:rFonts w:hint="eastAsia" w:ascii="Times New Roman" w:hAnsi="Times New Roman" w:eastAsia="宋体" w:cs="方正魏碑_GBK"/>
          <w:i w:val="0"/>
          <w:color w:val="auto"/>
          <w:highlight w:val="none"/>
          <w:u w:val="single"/>
          <w:shd w:val="clear" w:color="auto" w:fill="ffffff"/>
        </w:rPr>
        <w:t xml:space="preserve">（产品名称1） </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59"/>
          <w:rFonts w:hint="eastAsia" w:ascii="Times New Roman" w:hAnsi="Times New Roman" w:eastAsia="宋体" w:cs="方正魏碑_GBK"/>
          <w:i w:val="0"/>
          <w:color w:val="auto"/>
          <w:highlight w:val="none"/>
          <w:u w:val="single"/>
          <w:shd w:val="clear" w:color="auto" w:fill="ffffff"/>
        </w:rPr>
        <w:t xml:space="preserve">（规定</w:t>
      </w:r>
      <w:r>
        <w:rPr>
          <w:rStyle w:val="759"/>
          <w:rFonts w:ascii="Times New Roman" w:hAnsi="Times New Roman" w:eastAsia="宋体" w:cs="方正魏碑_GBK"/>
          <w:i w:val="0"/>
          <w:color w:val="auto"/>
          <w:highlight w:val="none"/>
          <w:u w:val="single"/>
          <w:shd w:val="clear" w:color="auto" w:fill="ffffff"/>
        </w:rPr>
        <w:t xml:space="preserve">比例</w:t>
      </w:r>
      <w:r>
        <w:rPr>
          <w:rStyle w:val="759"/>
          <w:rFonts w:hint="eastAsia" w:ascii="Times New Roman" w:hAnsi="Times New Roman" w:eastAsia="宋体" w:cs="方正魏碑_GBK"/>
          <w:i w:val="0"/>
          <w:color w:val="auto"/>
          <w:highlight w:val="none"/>
          <w:u w:val="single"/>
          <w:shd w:val="clear" w:color="auto" w:fill="ffffff"/>
        </w:rPr>
        <w:t xml:space="preserve">）</w:t>
      </w:r>
      <w:r>
        <w:rPr>
          <w:rStyle w:val="759"/>
          <w:rFonts w:hint="eastAsia" w:ascii="Times New Roman" w:hAnsi="Times New Roman" w:eastAsia="宋体" w:cs="方正魏碑_GBK"/>
          <w:i w:val="0"/>
          <w:color w:val="auto"/>
          <w:highlight w:val="none"/>
          <w:shd w:val="clear" w:color="auto" w:fill="ffffff"/>
          <w:vertAlign w:val="superscript"/>
        </w:rPr>
        <w:t xml:space="preserve">3</w:t>
      </w:r>
      <w:r>
        <w:rPr>
          <w:rFonts w:hint="eastAsia" w:ascii="Times New Roman" w:hAnsi="Times New Roman" w:eastAsia="宋体" w:cs="方正魏碑_GBK"/>
          <w:color w:val="auto"/>
          <w:highlight w:val="none"/>
          <w:shd w:val="clear" w:color="auto" w:fill="ffffff"/>
        </w:rPr>
        <w:t xml:space="preserve">。</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w:t>
      </w:r>
      <w:r>
        <w:rPr>
          <w:rStyle w:val="759"/>
          <w:rFonts w:ascii="Times New Roman" w:hAnsi="Times New Roman" w:eastAsia="宋体" w:cs="方正魏碑_GBK"/>
          <w:i w:val="0"/>
          <w:color w:val="auto"/>
          <w:highlight w:val="none"/>
          <w:u w:val="single"/>
          <w:shd w:val="clear" w:color="auto" w:fill="ffffff"/>
        </w:rPr>
        <w:t xml:space="preserve">组件</w:t>
      </w:r>
      <w:r>
        <w:rPr>
          <w:rStyle w:val="759"/>
          <w:rFonts w:hint="eastAsia" w:ascii="Times New Roman" w:hAnsi="Times New Roman" w:eastAsia="宋体" w:cs="方正魏碑_GBK"/>
          <w:i w:val="0"/>
          <w:color w:val="auto"/>
          <w:highlight w:val="none"/>
          <w:u w:val="single"/>
          <w:shd w:val="clear" w:color="auto" w:fill="ffffff"/>
        </w:rPr>
        <w:t xml:space="preserve">）</w:t>
      </w:r>
      <w:r>
        <w:rPr>
          <w:rStyle w:val="759"/>
          <w:rFonts w:hint="eastAsia" w:ascii="Times New Roman" w:hAnsi="Times New Roman" w:eastAsia="宋体" w:cs="方正魏碑_GBK"/>
          <w:i w:val="0"/>
          <w:color w:val="auto"/>
          <w:highlight w:val="none"/>
          <w:shd w:val="clear" w:color="auto" w:fill="ffffff"/>
          <w:vertAlign w:val="superscript"/>
        </w:rPr>
        <w:t xml:space="preserve">4</w:t>
      </w:r>
      <w:r>
        <w:rPr>
          <w:rFonts w:hint="eastAsia" w:ascii="Times New Roman" w:hAnsi="Times New Roman" w:eastAsia="宋体" w:cs="方正魏碑_GBK"/>
          <w:color w:val="auto"/>
          <w:highlight w:val="none"/>
          <w:shd w:val="clear" w:color="auto" w:fill="ffffff"/>
        </w:rPr>
        <w:t xml:space="preserve">在中国境内生产。</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（关键工序）</w:t>
      </w:r>
      <w:r>
        <w:rPr>
          <w:rStyle w:val="759"/>
          <w:rFonts w:hint="eastAsia" w:ascii="Times New Roman" w:hAnsi="Times New Roman" w:eastAsia="宋体" w:cs="方正魏碑_GBK"/>
          <w:i w:val="0"/>
          <w:color w:val="auto"/>
          <w:highlight w:val="none"/>
          <w:shd w:val="clear" w:color="auto" w:fill="ffffff"/>
          <w:vertAlign w:val="superscript"/>
        </w:rPr>
        <w:t xml:space="preserve">5</w:t>
      </w:r>
      <w:r>
        <w:rPr>
          <w:rFonts w:hint="eastAsia" w:ascii="Times New Roman" w:hAnsi="Times New Roman" w:eastAsia="宋体" w:cs="方正魏碑_GBK"/>
          <w:color w:val="auto"/>
          <w:highlight w:val="none"/>
          <w:shd w:val="clear" w:color="auto" w:fill="ffffff"/>
        </w:rPr>
        <w:t xml:space="preserve">在中国境内完成。</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2.</w:t>
      </w:r>
      <w:r>
        <w:rPr>
          <w:rStyle w:val="759"/>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，生产厂为</w:t>
      </w:r>
      <w:r>
        <w:rPr>
          <w:rStyle w:val="759"/>
          <w:rFonts w:hint="eastAsia" w:ascii="Times New Roman" w:hAnsi="Times New Roman" w:eastAsia="宋体" w:cs="方正魏碑_GBK"/>
          <w:i w:val="0"/>
          <w:color w:val="auto"/>
          <w:highlight w:val="none"/>
          <w:u w:val="single"/>
          <w:shd w:val="clear" w:color="auto" w:fill="ffffff"/>
        </w:rPr>
        <w:t xml:space="preserve">（厂名）</w:t>
      </w:r>
      <w:r>
        <w:rPr>
          <w:rFonts w:hint="eastAsia" w:ascii="Times New Roman" w:hAnsi="Times New Roman" w:eastAsia="宋体" w:cs="方正魏碑_GBK"/>
          <w:color w:val="auto"/>
          <w:highlight w:val="none"/>
          <w:shd w:val="clear" w:color="auto" w:fill="ffffff"/>
        </w:rPr>
        <w:t xml:space="preserve">，厂址为</w:t>
      </w:r>
      <w:r>
        <w:rPr>
          <w:rStyle w:val="759"/>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Style w:val="759"/>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59"/>
          <w:rFonts w:hint="eastAsia" w:ascii="Times New Roman" w:hAnsi="Times New Roman" w:eastAsia="宋体" w:cs="方正魏碑_GBK"/>
          <w:i w:val="0"/>
          <w:color w:val="auto"/>
          <w:highlight w:val="none"/>
          <w:u w:val="single"/>
          <w:shd w:val="clear" w:color="auto" w:fill="ffffff"/>
        </w:rPr>
        <w:t xml:space="preserve">（规定</w:t>
      </w:r>
      <w:r>
        <w:rPr>
          <w:rStyle w:val="759"/>
          <w:rFonts w:ascii="Times New Roman" w:hAnsi="Times New Roman" w:eastAsia="宋体" w:cs="方正魏碑_GBK"/>
          <w:i w:val="0"/>
          <w:color w:val="auto"/>
          <w:highlight w:val="none"/>
          <w:u w:val="single"/>
          <w:shd w:val="clear" w:color="auto" w:fill="ffffff"/>
        </w:rPr>
        <w:t xml:space="preserve">比例</w:t>
      </w:r>
      <w:r>
        <w:rPr>
          <w:rStyle w:val="759"/>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w:t>
      </w:r>
      <w:r>
        <w:rPr>
          <w:rStyle w:val="759"/>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w:t>
      </w:r>
      <w:r>
        <w:rPr>
          <w:rStyle w:val="759"/>
          <w:rFonts w:ascii="Times New Roman" w:hAnsi="Times New Roman" w:eastAsia="宋体" w:cs="方正魏碑_GBK"/>
          <w:i w:val="0"/>
          <w:color w:val="auto"/>
          <w:highlight w:val="none"/>
          <w:u w:val="single"/>
          <w:shd w:val="clear" w:color="auto" w:fill="ffffff"/>
        </w:rPr>
        <w:t xml:space="preserve">组件</w:t>
      </w:r>
      <w:r>
        <w:rPr>
          <w:rStyle w:val="759"/>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在中国境内生产。</w:t>
      </w:r>
      <w:r>
        <w:rPr>
          <w:rStyle w:val="759"/>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59"/>
          <w:rFonts w:hint="eastAsia" w:ascii="Times New Roman" w:hAnsi="Times New Roman" w:eastAsia="宋体" w:cs="方正魏碑_GBK"/>
          <w:i w:val="0"/>
          <w:color w:val="auto"/>
          <w:highlight w:val="none"/>
          <w:u w:val="single"/>
          <w:shd w:val="clear" w:color="auto" w:fill="ffffff"/>
        </w:rPr>
        <w:t xml:space="preserve">（关键工序）</w:t>
      </w:r>
      <w:r>
        <w:rPr>
          <w:rFonts w:hint="eastAsia" w:ascii="Times New Roman" w:hAnsi="Times New Roman" w:eastAsia="宋体" w:cs="方正魏碑_GBK"/>
          <w:color w:val="auto"/>
          <w:highlight w:val="none"/>
          <w:shd w:val="clear" w:color="auto" w:fill="ffffff"/>
        </w:rPr>
        <w:t xml:space="preserve">在中国境内完成。</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w:t>
      </w:r>
      <w:r/>
    </w:p>
    <w:p>
      <w:pPr>
        <w:pStyle w:val="752"/>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本公司（单位）对上述声明内容的真实性负责。如有虚假，愿承担相应法律责任。</w:t>
      </w:r>
      <w:r/>
    </w:p>
    <w:p>
      <w:pPr>
        <w:pStyle w:val="752"/>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r>
      <w:r/>
    </w:p>
    <w:p>
      <w:pPr>
        <w:pStyle w:val="752"/>
        <w:ind w:right="480" w:firstLine="37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公司（单位）名称（盖章）：　        </w:t>
      </w:r>
      <w:r/>
    </w:p>
    <w:p>
      <w:pPr>
        <w:pStyle w:val="752"/>
        <w:jc w:val="center"/>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                    </w:t>
      </w:r>
      <w:r>
        <w:rPr>
          <w:rFonts w:ascii="Times New Roman" w:hAnsi="Times New Roman" w:eastAsia="宋体" w:cs="方正魏碑_GBK"/>
          <w:color w:val="auto"/>
          <w:highlight w:val="none"/>
          <w:shd w:val="clear" w:color="auto" w:fill="ffffff"/>
        </w:rPr>
        <w:t xml:space="preserve">            </w:t>
      </w:r>
      <w:r>
        <w:rPr>
          <w:rFonts w:hint="eastAsia" w:ascii="Times New Roman" w:hAnsi="Times New Roman" w:eastAsia="宋体" w:cs="方正魏碑_GBK"/>
          <w:color w:val="auto"/>
          <w:highlight w:val="none"/>
          <w:shd w:val="clear" w:color="auto" w:fill="ffffff"/>
        </w:rPr>
        <w:t xml:space="preserve">日期：　   年　  月　  日         </w:t>
      </w:r>
      <w:r/>
    </w:p>
    <w:p>
      <w:pPr>
        <w:pStyle w:val="752"/>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__________________</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1.产品如有型号，请在“产品名称”栏一并填写。</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2.生产厂名与厂址应与生产厂营业执照载明的相关信息保持一致。</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3.该产品的中国境内生产的组件成本占比相关要求实施前，“规定比例”栏可不填，下同。</w:t>
      </w:r>
      <w:r/>
    </w:p>
    <w:p>
      <w:pPr>
        <w:pStyle w:val="752"/>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4.该产品的关键组件要求实施前，“关键组件”栏可不填，下同。</w:t>
      </w:r>
      <w:r/>
    </w:p>
    <w:p>
      <w:pPr>
        <w:pStyle w:val="752"/>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5.该产品的关键工序要求实施前，“关键工序”栏可不填，下同。</w:t>
      </w:r>
      <w:r/>
    </w:p>
    <w:p>
      <w:pPr>
        <w:pStyle w:val="752"/>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6.用斜线划除的地方无需填写。</w:t>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color w:val="auto"/>
          <w:sz w:val="32"/>
          <w:highlight w:val="none"/>
        </w:rPr>
      </w:pPr>
      <w:r/>
      <w:bookmarkStart w:id="110" w:name="_Toc19910"/>
      <w:r/>
      <w:bookmarkStart w:id="111" w:name="_Toc25382"/>
      <w:r>
        <w:rPr>
          <w:rFonts w:hint="eastAsia" w:ascii="Times New Roman" w:hAnsi="Times New Roman" w:eastAsia="宋体" w:cs="宋体"/>
          <w:b/>
          <w:bCs/>
          <w:color w:val="auto"/>
          <w:sz w:val="32"/>
          <w:szCs w:val="44"/>
          <w:highlight w:val="none"/>
        </w:rPr>
        <w:t xml:space="preserve">四、开标一览表</w:t>
      </w:r>
      <w:bookmarkEnd w:id="110"/>
      <w:r/>
      <w:bookmarkEnd w:id="111"/>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分包号（如有）： </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bl>
      <w:tblPr>
        <w:tblStyle w:val="72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7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3604"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75"/>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3604" w:type="pct"/>
            <w:vAlign w:val="center"/>
            <w:textDirection w:val="lrTb"/>
            <w:noWrap w:val="false"/>
          </w:tcPr>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（人民币：元）</w:t>
            </w:r>
            <w:r/>
          </w:p>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1697"/>
        </w:trPr>
        <w:tc>
          <w:tcPr>
            <w:tcW w:w="1395" w:type="pct"/>
            <w:vAlign w:val="center"/>
            <w:textDirection w:val="lrTb"/>
            <w:noWrap w:val="false"/>
          </w:tcPr>
          <w:p>
            <w:pPr>
              <w:pStyle w:val="975"/>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776"/>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firstLine="48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Cs w:val="21"/>
          <w:highlight w:val="none"/>
        </w:rPr>
        <w:t xml:space="preserve">                                          </w:t>
      </w:r>
      <w:r/>
    </w:p>
    <w:p>
      <w:pPr>
        <w:pStyle w:val="972"/>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pStyle w:val="972"/>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szCs w:val="32"/>
          <w:highlight w:val="none"/>
        </w:rPr>
        <w:br w:type="page" w:clear="all"/>
      </w:r>
      <w:bookmarkStart w:id="112" w:name="_Toc17891"/>
      <w:r/>
      <w:bookmarkStart w:id="113" w:name="_Toc20323"/>
      <w:r>
        <w:rPr>
          <w:rFonts w:hint="eastAsia" w:ascii="Times New Roman" w:hAnsi="Times New Roman" w:eastAsia="宋体" w:cs="宋体"/>
          <w:b/>
          <w:bCs/>
          <w:color w:val="auto"/>
          <w:sz w:val="32"/>
          <w:szCs w:val="44"/>
          <w:highlight w:val="none"/>
        </w:rPr>
        <w:t xml:space="preserve">五、</w:t>
      </w:r>
      <w:bookmarkEnd w:id="112"/>
      <w:r/>
      <w:bookmarkEnd w:id="113"/>
      <w:r>
        <w:rPr>
          <w:rFonts w:hint="eastAsia" w:ascii="Times New Roman" w:hAnsi="Times New Roman" w:eastAsia="宋体" w:cs="宋体"/>
          <w:b/>
          <w:bCs/>
          <w:color w:val="auto"/>
          <w:sz w:val="32"/>
          <w:szCs w:val="44"/>
          <w:highlight w:val="none"/>
        </w:rPr>
        <w:t xml:space="preserve">投标产品配置及分项报价表</w:t>
      </w:r>
      <w:r/>
    </w:p>
    <w:tbl>
      <w:tblPr>
        <w:tblStyle w:val="72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序号</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w:t>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8</w:t>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产品</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名称</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品牌</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规格</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型号</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制造商名称</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产地</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交付期</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数量</w:t>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单价</w:t>
            </w:r>
            <w:r/>
          </w:p>
        </w:tc>
        <w:tc>
          <w:tcPr>
            <w:tcW w:w="966"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合同签订后</w:t>
            </w:r>
            <w:r>
              <w:rPr>
                <w:rFonts w:hint="eastAsia"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日</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72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434"/>
        </w:trPr>
        <w:tc>
          <w:tcPr>
            <w:gridSpan w:val="10"/>
            <w:tcW w:w="9263" w:type="dxa"/>
            <w:vAlign w:val="top"/>
            <w:textDirection w:val="lrTb"/>
            <w:noWrap w:val="false"/>
          </w:tcPr>
          <w:p>
            <w:pPr>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投标总报价（人民币：元）</w:t>
            </w:r>
            <w:r>
              <w:rPr>
                <w:rFonts w:hint="eastAsia" w:ascii="Times New Roman" w:hAnsi="Times New Roman" w:eastAsia="宋体"/>
                <w:color w:val="auto"/>
                <w:sz w:val="21"/>
                <w:szCs w:val="21"/>
                <w:highlight w:val="none"/>
                <w:u w:val="single"/>
              </w:rPr>
              <w:t xml:space="preserve">                             </w:t>
            </w:r>
            <w:r/>
          </w:p>
        </w:tc>
      </w:tr>
      <w:tr>
        <w:trPr>
          <w:cantSplit/>
          <w:trHeight w:val="434"/>
        </w:trPr>
        <w:tc>
          <w:tcPr>
            <w:gridSpan w:val="10"/>
            <w:tcW w:w="9263" w:type="dxa"/>
            <w:vAlign w:val="top"/>
            <w:textDirection w:val="lrTb"/>
            <w:noWrap w:val="false"/>
          </w:tcPr>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w:t>
            </w:r>
            <w:r/>
          </w:p>
        </w:tc>
      </w:tr>
    </w:tbl>
    <w:p>
      <w:p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numPr>
          <w:ilvl w:val="0"/>
          <w:numId w:val="3"/>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numPr>
          <w:ilvl w:val="0"/>
          <w:numId w:val="0"/>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2.“投标分项报价表”中“投标总报价”数额应当与“开标一览表”中“投标总报价”数额一致。</w:t>
      </w:r>
      <w:r/>
    </w:p>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3.投标人需认真填写本报价表，尤其注意规格型号的准确填写。</w:t>
      </w:r>
      <w:r/>
    </w:p>
    <w:p>
      <w:pPr>
        <w:pageBreakBefore w:val="0"/>
        <w:spacing w:line="360" w:lineRule="auto"/>
        <w:rPr>
          <w:rFonts w:hint="eastAsia" w:ascii="Times New Roman" w:hAnsi="Times New Roman" w:eastAsia="宋体" w:cs="方正魏碑_GBK"/>
          <w:color w:val="auto"/>
          <w:sz w:val="21"/>
          <w:szCs w:val="21"/>
          <w:highlight w:val="none"/>
        </w:rPr>
      </w:pPr>
      <w:r>
        <w:rPr>
          <w:rFonts w:hint="eastAsia" w:ascii="Times New Roman" w:hAnsi="Times New Roman" w:eastAsia="宋体"/>
          <w:color w:val="auto"/>
          <w:sz w:val="21"/>
          <w:szCs w:val="21"/>
          <w:highlight w:val="none"/>
        </w:rPr>
        <w:t xml:space="preserve">4.项目经办人可以根据项目实际需要对表格结构进行调整</w:t>
      </w:r>
      <w:r>
        <w:rPr>
          <w:rFonts w:hint="eastAsia" w:ascii="Times New Roman" w:hAnsi="Times New Roman" w:eastAsia="宋体" w:cs="方正魏碑_GBK"/>
          <w:color w:val="auto"/>
          <w:sz w:val="21"/>
          <w:szCs w:val="21"/>
          <w:highlight w:val="none"/>
        </w:rPr>
        <w:t xml:space="preserve">。</w:t>
      </w:r>
      <w:r/>
    </w:p>
    <w:p>
      <w:pPr>
        <w:pageBreakBefore w:val="0"/>
        <w:spacing w:line="360" w:lineRule="auto"/>
        <w:rPr>
          <w:rFonts w:hint="default" w:ascii="Times New Roman" w:hAnsi="Times New Roman" w:eastAsia="宋体" w:cs="方正魏碑_GBK"/>
          <w:color w:val="auto"/>
          <w:sz w:val="24"/>
          <w:szCs w:val="24"/>
          <w:highlight w:val="none"/>
          <w:lang w:val="en-US" w:eastAsia="zh-CN"/>
        </w:rPr>
      </w:pPr>
      <w:r>
        <w:rPr>
          <w:rFonts w:hint="eastAsia" w:ascii="Times New Roman" w:hAnsi="Times New Roman" w:eastAsia="宋体" w:cs="方正魏碑_GBK"/>
          <w:color w:val="auto"/>
          <w:sz w:val="21"/>
          <w:szCs w:val="21"/>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方正魏碑_GBK"/>
          <w:color w:val="auto"/>
          <w:sz w:val="24"/>
          <w:szCs w:val="24"/>
          <w:highlight w:val="none"/>
          <w:lang w:val="en-US" w:eastAsia="zh-CN"/>
        </w:rPr>
        <w:t xml:space="preserve">。</w:t>
      </w:r>
      <w:r/>
    </w:p>
    <w:p>
      <w:pP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w:br w:type="page" w:clear="all"/>
      </w:r>
      <w:r/>
    </w:p>
    <w:p>
      <w:pPr>
        <w:pStyle w:val="966"/>
        <w:pageBreakBefore w:val="0"/>
        <w:spacing w:before="0" w:after="0" w:line="360" w:lineRule="auto"/>
        <w:rPr>
          <w:rFonts w:hint="eastAsia" w:ascii="Times New Roman" w:hAnsi="Times New Roman" w:eastAsia="宋体" w:cs="宋体"/>
          <w:color w:val="auto"/>
          <w:sz w:val="32"/>
          <w:highlight w:val="none"/>
        </w:rPr>
      </w:pPr>
      <w:r/>
      <w:bookmarkStart w:id="114" w:name="_Toc16517"/>
      <w:r/>
      <w:bookmarkStart w:id="115" w:name="_Toc5967"/>
      <w:r/>
      <w:bookmarkStart w:id="116" w:name="_Toc9678"/>
      <w:r/>
      <w:bookmarkStart w:id="117" w:name="_Toc32755"/>
      <w:r/>
      <w:bookmarkStart w:id="118" w:name="_Toc17996"/>
      <w:r>
        <w:rPr>
          <w:rFonts w:hint="eastAsia" w:ascii="Times New Roman" w:hAnsi="Times New Roman" w:eastAsia="宋体" w:cs="宋体"/>
          <w:color w:val="auto"/>
          <w:sz w:val="32"/>
          <w:highlight w:val="none"/>
        </w:rPr>
        <w:t xml:space="preserve">六、技术参数响应及偏离表</w:t>
      </w:r>
      <w:bookmarkEnd w:id="114"/>
      <w:r/>
      <w:bookmarkEnd w:id="115"/>
      <w:r/>
      <w:bookmarkEnd w:id="116"/>
      <w:r/>
      <w:bookmarkEnd w:id="117"/>
      <w:r/>
      <w:bookmarkEnd w:id="118"/>
      <w:r/>
      <w:r/>
    </w:p>
    <w:tbl>
      <w:tblPr>
        <w:tblStyle w:val="727"/>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551" w:type="dxa"/>
            <w:textDirection w:val="lrTb"/>
            <w:noWrap w:val="false"/>
          </w:tcPr>
          <w:p>
            <w:pPr>
              <w:jc w:val="center"/>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w:t>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1.投标人需对技术要求（</w:t>
      </w:r>
      <w:r>
        <w:rPr>
          <w:rFonts w:hint="eastAsia" w:ascii="Times New Roman" w:hAnsi="Times New Roman" w:eastAsia="宋体" w:cs="宋体"/>
          <w:color w:val="auto"/>
          <w:sz w:val="21"/>
          <w:szCs w:val="21"/>
          <w:highlight w:val="none"/>
          <w:lang w:val="en-US" w:eastAsia="zh-CN"/>
        </w:rPr>
        <w:t xml:space="preserve">以及</w:t>
      </w:r>
      <w:r>
        <w:rPr>
          <w:rFonts w:hint="eastAsia" w:ascii="Times New Roman" w:hAnsi="Times New Roman" w:eastAsia="宋体" w:cs="宋体"/>
          <w:color w:val="auto"/>
          <w:sz w:val="21"/>
          <w:szCs w:val="21"/>
          <w:highlight w:val="none"/>
        </w:rPr>
        <w:t xml:space="preserve">未加斜体下划线的非实质性要求）逐条做出明确响应。</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2.如果招标文件要求提供证明材料，投标人需将证明材料列于该表之下。</w:t>
      </w:r>
      <w:r/>
    </w:p>
    <w:p>
      <w:pPr>
        <w:pStyle w:val="815"/>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3.行数不够，可自行添加。</w:t>
      </w:r>
      <w:r/>
    </w:p>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br w:type="page" w:clear="all"/>
      </w:r>
      <w:bookmarkStart w:id="119" w:name="_Hlt26955054"/>
      <w:r/>
      <w:bookmarkEnd w:id="119"/>
      <w:r/>
      <w:bookmarkStart w:id="120" w:name="_Toc32154"/>
      <w:r/>
      <w:bookmarkStart w:id="121" w:name="_Toc16820"/>
      <w:r>
        <w:rPr>
          <w:rFonts w:hint="eastAsia" w:ascii="Times New Roman" w:hAnsi="Times New Roman" w:eastAsia="宋体" w:cs="宋体"/>
          <w:b/>
          <w:bCs/>
          <w:color w:val="auto"/>
          <w:sz w:val="32"/>
          <w:szCs w:val="44"/>
          <w:highlight w:val="none"/>
        </w:rPr>
        <w:t xml:space="preserve">七、商务条款响应及偏离表</w:t>
      </w:r>
      <w:bookmarkEnd w:id="120"/>
      <w:r/>
      <w:bookmarkEnd w:id="121"/>
      <w:r/>
      <w:r/>
    </w:p>
    <w:tbl>
      <w:tblPr>
        <w:tblStyle w:val="727"/>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bookmarkStart w:id="122" w:name="_Hlt26955064"/>
            <w:r/>
            <w:bookmarkEnd w:id="122"/>
            <w:r/>
            <w:bookmarkStart w:id="123" w:name="_Hlt26671372"/>
            <w:r/>
            <w:bookmarkEnd w:id="123"/>
            <w:r/>
            <w:bookmarkStart w:id="124" w:name="_Hlt26580838"/>
            <w:r/>
            <w:bookmarkEnd w:id="124"/>
            <w:r/>
            <w:bookmarkStart w:id="125" w:name="_Hlt26609391"/>
            <w:r/>
            <w:bookmarkEnd w:id="125"/>
            <w:r/>
            <w:bookmarkStart w:id="126" w:name="_Hlt26671343"/>
            <w:r/>
            <w:bookmarkEnd w:id="126"/>
            <w:r/>
            <w:bookmarkStart w:id="127" w:name="_Hlt26955056"/>
            <w:r/>
            <w:bookmarkEnd w:id="127"/>
            <w:r/>
            <w:bookmarkStart w:id="128" w:name="_Hlt26782999"/>
            <w:r/>
            <w:bookmarkEnd w:id="128"/>
            <w:r/>
            <w:bookmarkStart w:id="129" w:name="_Hlt24879081"/>
            <w:r/>
            <w:bookmarkEnd w:id="129"/>
            <w:r>
              <w:rPr>
                <w:rFonts w:hint="eastAsia" w:ascii="Times New Roman" w:hAnsi="Times New Roman" w:eastAsia="宋体" w:cs="宋体"/>
                <w:color w:val="auto"/>
                <w:szCs w:val="21"/>
                <w:highlight w:val="none"/>
              </w:rPr>
              <w:t xml:space="preserve">项目</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招标文件要求</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是否响应</w:t>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投标人的承诺或说明</w:t>
            </w:r>
            <w:r/>
          </w:p>
        </w:tc>
      </w:tr>
      <w:tr>
        <w:trPr>
          <w:trHeight w:val="62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质保期</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9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售后技术服务要求</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17"/>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交付时间</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6"/>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613"/>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交货地点</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付款方式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122" w:type="dxa"/>
            <w:textDirection w:val="lrTb"/>
            <w:noWrap w:val="false"/>
          </w:tcPr>
          <w:p>
            <w:pP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备注</w:t>
      </w:r>
      <w:r>
        <w:rPr>
          <w:rFonts w:ascii="Times New Roman" w:hAnsi="Times New Roman" w:eastAsia="宋体"/>
          <w:color w:val="auto"/>
          <w:sz w:val="21"/>
          <w:szCs w:val="21"/>
          <w:highlight w:val="none"/>
        </w:rPr>
        <w:t xml:space="preserve">：</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1.投标人需对</w:t>
      </w:r>
      <w:r>
        <w:rPr>
          <w:rFonts w:hint="eastAsia" w:ascii="Times New Roman" w:hAnsi="Times New Roman" w:eastAsia="宋体" w:cs="Times New Roman"/>
          <w:color w:val="auto"/>
          <w:sz w:val="21"/>
          <w:szCs w:val="21"/>
          <w:highlight w:val="none"/>
          <w:lang w:val="en-US" w:eastAsia="zh-CN"/>
        </w:rPr>
        <w:t xml:space="preserve">商务</w:t>
      </w:r>
      <w:r>
        <w:rPr>
          <w:rFonts w:hint="eastAsia" w:ascii="Times New Roman" w:hAnsi="Times New Roman" w:eastAsia="宋体" w:cs="Times New Roman"/>
          <w:color w:val="auto"/>
          <w:sz w:val="21"/>
          <w:szCs w:val="21"/>
          <w:highlight w:val="none"/>
        </w:rPr>
        <w:t xml:space="preserve">要求（未加斜体下划线的非实质性要求）逐条做出明确响应。</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2.如果招标文件要求提供证明材料，投标人需将证明材料列于该表之下。</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3.行数不够，可自行添加。</w:t>
      </w:r>
      <w:r/>
    </w:p>
    <w:p>
      <w:pPr>
        <w:pStyle w:val="972"/>
        <w:ind w:firstLine="480"/>
        <w:pageBreakBefore w:val="0"/>
        <w:spacing w:line="360" w:lineRule="auto"/>
        <w:rPr>
          <w:rFonts w:hint="eastAsia" w:ascii="Times New Roman" w:hAnsi="Times New Roman" w:eastAsia="宋体" w:cs="宋体"/>
          <w:color w:val="auto"/>
          <w:sz w:val="24"/>
          <w:highlight w:val="none"/>
        </w:rPr>
      </w:pPr>
      <w:r/>
      <w:bookmarkStart w:id="130" w:name="_Hlt26609389"/>
      <w:r/>
      <w:bookmarkEnd w:id="130"/>
      <w:r/>
      <w:bookmarkStart w:id="131" w:name="_Hlt26955066"/>
      <w:r/>
      <w:bookmarkEnd w:id="131"/>
      <w:r/>
      <w:bookmarkStart w:id="132" w:name="_Hlt26671374"/>
      <w:r/>
      <w:bookmarkEnd w:id="132"/>
      <w:r/>
      <w:bookmarkStart w:id="133" w:name="_Toc462564146"/>
      <w:r/>
      <w:r/>
    </w:p>
    <w:p>
      <w:pPr>
        <w:pStyle w:val="972"/>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2"/>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2"/>
        <w:ind w:firstLine="480"/>
        <w:jc w:val="cente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sz w:val="24"/>
          <w:highlight w:val="none"/>
        </w:rPr>
        <w:br w:type="page" w:clear="all"/>
      </w:r>
      <w:bookmarkEnd w:id="133"/>
      <w:r/>
      <w:bookmarkStart w:id="134" w:name="_格式2__法定代表人授权书"/>
      <w:r/>
      <w:bookmarkEnd w:id="134"/>
      <w:r>
        <w:rPr>
          <w:rFonts w:hint="eastAsia" w:ascii="Times New Roman" w:hAnsi="Times New Roman" w:eastAsia="宋体" w:cs="宋体"/>
          <w:b/>
          <w:bCs/>
          <w:color w:val="auto"/>
          <w:sz w:val="32"/>
          <w:szCs w:val="44"/>
          <w:highlight w:val="none"/>
        </w:rPr>
        <w:t xml:space="preserve">主要标的信息（中标后将公示）</w:t>
      </w:r>
      <w:r/>
    </w:p>
    <w:p>
      <w:pP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highlight w:val="none"/>
        </w:rPr>
        <w:t xml:space="preserve">投标人全称：</w:t>
      </w:r>
      <w:r/>
    </w:p>
    <w:tbl>
      <w:tblPr>
        <w:tblStyle w:val="727"/>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r>
      <w:tr>
        <w:trPr>
          <w:trHeight w:val="3810"/>
        </w:trPr>
        <w:tc>
          <w:tcPr>
            <w:tcW w:w="6645"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r>
    </w:tbl>
    <w:p>
      <w:pPr>
        <w:jc w:val="left"/>
        <w:pageBreakBefore w:val="0"/>
        <w:spacing w:line="36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lang w:eastAsia="zh-CN"/>
      </w:rPr>
      <w:t xml:space="preserve">JSZC-321000-SWGC-G2026-0112号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Pr>
    <w:r>
      <w:rPr>
        <w:rFonts w:hint="eastAsia"/>
        <w:lang w:eastAsia="zh-CN"/>
      </w:rPr>
      <w:t xml:space="preserve">JSZC-321000-SWGC-G2026-0112号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7">
    <w:name w:val="Heading 1"/>
    <w:basedOn w:val="716"/>
    <w:next w:val="716"/>
    <w:link w:val="817"/>
    <w:uiPriority w:val="9"/>
    <w:qFormat/>
    <w:pPr>
      <w:jc w:val="center"/>
      <w:keepLines/>
      <w:keepNext/>
      <w:spacing w:line="360" w:lineRule="auto"/>
      <w:outlineLvl w:val="0"/>
    </w:pPr>
    <w:rPr>
      <w:rFonts w:ascii="Arial" w:hAnsi="Arial" w:cs="Arial"/>
      <w:b/>
      <w:sz w:val="30"/>
      <w:szCs w:val="40"/>
    </w:rPr>
  </w:style>
  <w:style w:type="paragraph" w:styleId="718">
    <w:name w:val="Heading 2"/>
    <w:basedOn w:val="716"/>
    <w:next w:val="716"/>
    <w:link w:val="818"/>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19"/>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20"/>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21"/>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22"/>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823"/>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824"/>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825"/>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table of authorities"/>
    <w:basedOn w:val="716"/>
    <w:next w:val="716"/>
    <w:uiPriority w:val="0"/>
    <w:qFormat/>
    <w:pPr>
      <w:ind w:left="420"/>
    </w:pPr>
    <w:rPr>
      <w:rFonts w:ascii="Times New Roman" w:hAnsi="Times New Roman"/>
    </w:r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uiPriority w:val="0"/>
    <w:qFormat/>
    <w:pPr>
      <w:spacing w:after="120"/>
    </w:pPr>
    <w:rPr>
      <w:szCs w:val="24"/>
    </w:rPr>
  </w:style>
  <w:style w:type="paragraph" w:styleId="733">
    <w:name w:val="Body Text Indent"/>
    <w:basedOn w:val="716"/>
    <w:next w:val="734"/>
    <w:uiPriority w:val="0"/>
    <w:qFormat/>
    <w:pPr>
      <w:ind w:left="420"/>
      <w:spacing w:after="120"/>
    </w:pPr>
    <w:rPr>
      <w:rFonts w:ascii="等线" w:hAnsi="等线" w:eastAsia="等线"/>
    </w:rPr>
  </w:style>
  <w:style w:type="paragraph" w:styleId="734">
    <w:name w:val="envelope return"/>
    <w:basedOn w:val="716"/>
    <w:uiPriority w:val="0"/>
    <w:qFormat/>
    <w:rPr>
      <w:rFonts w:ascii="Arial" w:hAnsi="Arial"/>
    </w:rPr>
  </w:style>
  <w:style w:type="paragraph" w:styleId="735">
    <w:name w:val="List Bullet 2"/>
    <w:basedOn w:val="716"/>
    <w:uiPriority w:val="99"/>
    <w:semiHidden/>
    <w:unhideWhenUsed/>
    <w:qFormat/>
    <w:pPr>
      <w:numPr>
        <w:ilvl w:val="0"/>
        <w:numId w:val="1"/>
      </w:numPr>
    </w:pPr>
  </w:style>
  <w:style w:type="paragraph" w:styleId="736">
    <w:name w:val="toc 5"/>
    <w:basedOn w:val="716"/>
    <w:next w:val="716"/>
    <w:uiPriority w:val="39"/>
    <w:unhideWhenUsed/>
    <w:qFormat/>
    <w:pPr>
      <w:ind w:left="1134"/>
      <w:spacing w:after="57"/>
    </w:pPr>
  </w:style>
  <w:style w:type="paragraph" w:styleId="737">
    <w:name w:val="toc 3"/>
    <w:basedOn w:val="716"/>
    <w:next w:val="716"/>
    <w:uiPriority w:val="39"/>
    <w:unhideWhenUsed/>
    <w:qFormat/>
    <w:pPr>
      <w:ind w:left="567"/>
      <w:spacing w:after="57"/>
    </w:pPr>
  </w:style>
  <w:style w:type="paragraph" w:styleId="738">
    <w:name w:val="Plain Text"/>
    <w:basedOn w:val="716"/>
    <w:uiPriority w:val="0"/>
    <w:qFormat/>
    <w:rPr>
      <w:rFonts w:ascii="宋体" w:hAnsi="Courier New"/>
      <w:sz w:val="20"/>
      <w:szCs w:val="21"/>
    </w:rPr>
  </w:style>
  <w:style w:type="paragraph" w:styleId="739">
    <w:name w:val="toc 8"/>
    <w:basedOn w:val="716"/>
    <w:next w:val="716"/>
    <w:uiPriority w:val="39"/>
    <w:unhideWhenUsed/>
    <w:qFormat/>
    <w:pPr>
      <w:ind w:left="1984"/>
      <w:spacing w:after="57"/>
    </w:pPr>
  </w:style>
  <w:style w:type="paragraph" w:styleId="740">
    <w:name w:val="Body Text Indent 2"/>
    <w:basedOn w:val="716"/>
    <w:uiPriority w:val="0"/>
    <w:qFormat/>
    <w:pPr>
      <w:ind w:left="640"/>
      <w:spacing w:after="120" w:line="480" w:lineRule="auto"/>
    </w:pPr>
    <w:rPr>
      <w:rFonts w:eastAsia="仿宋_GB2312"/>
      <w:sz w:val="32"/>
      <w:szCs w:val="28"/>
    </w:rPr>
  </w:style>
  <w:style w:type="paragraph" w:styleId="741">
    <w:name w:val="endnote text"/>
    <w:basedOn w:val="716"/>
    <w:link w:val="963"/>
    <w:uiPriority w:val="99"/>
    <w:semiHidden/>
    <w:unhideWhenUsed/>
    <w:qFormat/>
    <w:rPr>
      <w:sz w:val="20"/>
    </w:rPr>
  </w:style>
  <w:style w:type="paragraph" w:styleId="742">
    <w:name w:val="Footer"/>
    <w:basedOn w:val="716"/>
    <w:link w:val="836"/>
    <w:uiPriority w:val="99"/>
    <w:unhideWhenUsed/>
    <w:qFormat/>
    <w:pPr>
      <w:tabs>
        <w:tab w:val="center" w:pos="7143" w:leader="none"/>
        <w:tab w:val="right" w:pos="14287" w:leader="none"/>
      </w:tabs>
    </w:pPr>
  </w:style>
  <w:style w:type="paragraph" w:styleId="743">
    <w:name w:val="Header"/>
    <w:basedOn w:val="716"/>
    <w:link w:val="834"/>
    <w:uiPriority w:val="99"/>
    <w:unhideWhenUsed/>
    <w:qFormat/>
    <w:pPr>
      <w:tabs>
        <w:tab w:val="center" w:pos="7143" w:leader="none"/>
        <w:tab w:val="right" w:pos="14287" w:leader="none"/>
      </w:tabs>
    </w:pPr>
  </w:style>
  <w:style w:type="paragraph" w:styleId="744">
    <w:name w:val="toc 1"/>
    <w:basedOn w:val="716"/>
    <w:next w:val="716"/>
    <w:uiPriority w:val="39"/>
    <w:unhideWhenUsed/>
    <w:qFormat/>
    <w:pPr>
      <w:spacing w:after="57"/>
    </w:pPr>
  </w:style>
  <w:style w:type="paragraph" w:styleId="745">
    <w:name w:val="toc 4"/>
    <w:basedOn w:val="716"/>
    <w:next w:val="716"/>
    <w:uiPriority w:val="39"/>
    <w:unhideWhenUsed/>
    <w:qFormat/>
    <w:pPr>
      <w:ind w:left="850"/>
      <w:spacing w:after="57"/>
    </w:pPr>
  </w:style>
  <w:style w:type="paragraph" w:styleId="746">
    <w:name w:val="Subtitle"/>
    <w:basedOn w:val="716"/>
    <w:next w:val="716"/>
    <w:link w:val="829"/>
    <w:uiPriority w:val="11"/>
    <w:qFormat/>
    <w:pPr>
      <w:spacing w:before="200" w:after="200"/>
    </w:pPr>
    <w:rPr>
      <w:sz w:val="24"/>
      <w:szCs w:val="24"/>
    </w:rPr>
  </w:style>
  <w:style w:type="paragraph" w:styleId="747">
    <w:name w:val="footnote text"/>
    <w:basedOn w:val="716"/>
    <w:link w:val="962"/>
    <w:uiPriority w:val="99"/>
    <w:semiHidden/>
    <w:unhideWhenUsed/>
    <w:qFormat/>
    <w:pPr>
      <w:spacing w:after="40"/>
    </w:pPr>
    <w:rPr>
      <w:sz w:val="18"/>
    </w:rPr>
  </w:style>
  <w:style w:type="paragraph" w:styleId="748">
    <w:name w:val="toc 6"/>
    <w:basedOn w:val="716"/>
    <w:next w:val="716"/>
    <w:uiPriority w:val="39"/>
    <w:unhideWhenUsed/>
    <w:qFormat/>
    <w:pPr>
      <w:ind w:left="1417"/>
      <w:spacing w:after="57"/>
    </w:pPr>
  </w:style>
  <w:style w:type="paragraph" w:styleId="749">
    <w:name w:val="table of figures"/>
    <w:basedOn w:val="716"/>
    <w:next w:val="716"/>
    <w:uiPriority w:val="99"/>
    <w:unhideWhenUsed/>
    <w:qFormat/>
  </w:style>
  <w:style w:type="paragraph" w:styleId="750">
    <w:name w:val="toc 2"/>
    <w:basedOn w:val="716"/>
    <w:next w:val="716"/>
    <w:uiPriority w:val="39"/>
    <w:unhideWhenUsed/>
    <w:qFormat/>
    <w:pPr>
      <w:ind w:left="283"/>
      <w:spacing w:after="57"/>
    </w:pPr>
  </w:style>
  <w:style w:type="paragraph" w:styleId="751">
    <w:name w:val="toc 9"/>
    <w:basedOn w:val="716"/>
    <w:next w:val="716"/>
    <w:uiPriority w:val="39"/>
    <w:unhideWhenUsed/>
    <w:qFormat/>
    <w:pPr>
      <w:ind w:left="2268"/>
      <w:spacing w:after="57"/>
    </w:pPr>
  </w:style>
  <w:style w:type="paragraph" w:styleId="752">
    <w:name w:val="Normal (Web)"/>
    <w:basedOn w:val="716"/>
    <w:uiPriority w:val="99"/>
    <w:semiHidden/>
    <w:unhideWhenUsed/>
    <w:qFormat/>
    <w:pPr>
      <w:jc w:val="left"/>
      <w:spacing w:beforeAutospacing="1" w:afterAutospacing="1"/>
    </w:pPr>
    <w:rPr>
      <w:sz w:val="24"/>
    </w:rPr>
  </w:style>
  <w:style w:type="paragraph" w:styleId="753">
    <w:name w:val="index 1"/>
    <w:basedOn w:val="716"/>
    <w:next w:val="716"/>
    <w:uiPriority w:val="0"/>
    <w:qFormat/>
    <w:rPr>
      <w:rFonts w:ascii="仿宋_GB2312" w:hAnsi="宋体" w:eastAsia="仿宋_GB2312" w:cs="宋体"/>
      <w:sz w:val="30"/>
      <w:szCs w:val="24"/>
      <w:lang w:val="zh-CN"/>
    </w:rPr>
  </w:style>
  <w:style w:type="paragraph" w:styleId="754">
    <w:name w:val="Title"/>
    <w:basedOn w:val="716"/>
    <w:next w:val="716"/>
    <w:link w:val="828"/>
    <w:uiPriority w:val="10"/>
    <w:qFormat/>
    <w:pPr>
      <w:contextualSpacing/>
      <w:spacing w:before="300" w:after="200"/>
    </w:pPr>
    <w:rPr>
      <w:sz w:val="48"/>
      <w:szCs w:val="48"/>
    </w:rPr>
  </w:style>
  <w:style w:type="paragraph" w:styleId="755">
    <w:name w:val="Body Text First Indent"/>
    <w:basedOn w:val="732"/>
    <w:uiPriority w:val="99"/>
    <w:unhideWhenUsed/>
    <w:qFormat/>
    <w:pPr>
      <w:ind w:firstLine="426"/>
      <w:spacing w:line="400" w:lineRule="atLeast"/>
    </w:pPr>
    <w:rPr>
      <w:sz w:val="24"/>
      <w:szCs w:val="20"/>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26"/>
    <w:uiPriority w:val="0"/>
    <w:qFormat/>
    <w:rPr>
      <w:b/>
    </w:rPr>
  </w:style>
  <w:style w:type="character" w:styleId="758">
    <w:name w:val="endnote reference"/>
    <w:uiPriority w:val="99"/>
    <w:semiHidden/>
    <w:unhideWhenUsed/>
    <w:qFormat/>
    <w:rPr>
      <w:vertAlign w:val="superscript"/>
    </w:rPr>
  </w:style>
  <w:style w:type="character" w:styleId="759">
    <w:name w:val="Emphasis"/>
    <w:basedOn w:val="726"/>
    <w:uiPriority w:val="20"/>
    <w:qFormat/>
    <w:rPr>
      <w:i/>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763" w:customStyle="1">
    <w:name w:val="正文（缩进）"/>
    <w:basedOn w:val="716"/>
    <w:next w:val="764"/>
    <w:uiPriority w:val="0"/>
    <w:qFormat/>
    <w:pPr>
      <w:ind w:firstLine="480"/>
      <w:spacing w:before="156" w:after="156"/>
    </w:pPr>
  </w:style>
  <w:style w:type="paragraph" w:styleId="764" w:customStyle="1">
    <w:name w:val="Char Char Char Char Char Char Char Char Char"/>
    <w:basedOn w:val="716"/>
    <w:next w:val="765"/>
    <w:uiPriority w:val="99"/>
    <w:qFormat/>
    <w:pPr>
      <w:ind w:left="360" w:firstLine="5784"/>
    </w:pPr>
  </w:style>
  <w:style w:type="paragraph" w:styleId="765" w:customStyle="1">
    <w:name w:val="正文文本 21"/>
    <w:basedOn w:val="716"/>
    <w:next w:val="766"/>
    <w:uiPriority w:val="0"/>
    <w:qFormat/>
    <w:pPr>
      <w:spacing w:after="120" w:line="480" w:lineRule="auto"/>
    </w:pPr>
  </w:style>
  <w:style w:type="paragraph" w:styleId="766" w:customStyle="1">
    <w:name w:val="默认段落字体 Para Char Char Char Char Char Char Char"/>
    <w:basedOn w:val="716"/>
    <w:next w:val="767"/>
    <w:uiPriority w:val="99"/>
    <w:qFormat/>
    <w:pPr>
      <w:ind w:firstLine="200"/>
    </w:pPr>
    <w:rPr>
      <w:rFonts w:cs="Arial"/>
    </w:rPr>
  </w:style>
  <w:style w:type="paragraph" w:styleId="767" w:customStyle="1">
    <w:name w:val="样式 首行缩进:  2 字符"/>
    <w:basedOn w:val="716"/>
    <w:next w:val="768"/>
    <w:uiPriority w:val="99"/>
    <w:qFormat/>
    <w:pPr>
      <w:ind w:left="480" w:firstLine="5856"/>
      <w:spacing w:line="360" w:lineRule="auto"/>
    </w:pPr>
  </w:style>
  <w:style w:type="paragraph" w:styleId="768" w:customStyle="1">
    <w:name w:val="样式 段后: 0.25 行"/>
    <w:basedOn w:val="716"/>
    <w:next w:val="769"/>
    <w:uiPriority w:val="99"/>
    <w:qFormat/>
    <w:pPr>
      <w:ind w:left="420" w:firstLine="5796"/>
      <w:spacing w:line="300" w:lineRule="auto"/>
      <w:widowControl/>
    </w:pPr>
  </w:style>
  <w:style w:type="paragraph" w:styleId="769" w:customStyle="1">
    <w:name w:val="正文 New New New New New New New New New New New New New New"/>
    <w:next w:val="751"/>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770" w:customStyle="1">
    <w:name w:val="正文1"/>
    <w:basedOn w:val="716"/>
    <w:next w:val="771"/>
    <w:uiPriority w:val="0"/>
    <w:qFormat/>
    <w:pPr>
      <w:jc w:val="left"/>
      <w:spacing w:line="360" w:lineRule="atLeast"/>
    </w:pPr>
    <w:rPr>
      <w:rFonts w:ascii="宋体" w:cs="Arial"/>
      <w:sz w:val="24"/>
      <w:szCs w:val="20"/>
    </w:rPr>
  </w:style>
  <w:style w:type="paragraph" w:styleId="771" w:customStyle="1">
    <w:name w:val="正文文本1"/>
    <w:basedOn w:val="770"/>
    <w:next w:val="772"/>
    <w:uiPriority w:val="0"/>
    <w:qFormat/>
    <w:pPr>
      <w:spacing w:after="120"/>
    </w:pPr>
    <w:rPr>
      <w:lang w:eastAsia="en-US"/>
    </w:rPr>
  </w:style>
  <w:style w:type="paragraph" w:styleId="772" w:customStyle="1">
    <w:name w:val="一级条标题"/>
    <w:basedOn w:val="773"/>
    <w:next w:val="7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3"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4" w:customStyle="1">
    <w:name w:val="段"/>
    <w:basedOn w:val="770"/>
    <w:next w:val="716"/>
    <w:uiPriority w:val="0"/>
    <w:qFormat/>
    <w:pPr>
      <w:ind w:firstLine="200"/>
      <w:widowControl/>
    </w:pPr>
    <w:rPr>
      <w:sz w:val="20"/>
    </w:rPr>
  </w:style>
  <w:style w:type="paragraph" w:styleId="775" w:customStyle="1">
    <w:name w:val="远大正文"/>
    <w:basedOn w:val="716"/>
    <w:uiPriority w:val="0"/>
    <w:qFormat/>
    <w:pPr>
      <w:ind w:firstLine="0"/>
      <w:jc w:val="center"/>
      <w:spacing w:line="360" w:lineRule="auto"/>
    </w:pPr>
    <w:rPr>
      <w:rFonts w:ascii="宋体" w:hAnsi="宋体" w:cs="Times New Roman"/>
    </w:rPr>
  </w:style>
  <w:style w:type="paragraph" w:styleId="776"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777" w:customStyle="1">
    <w:name w:val="标题1"/>
    <w:basedOn w:val="716"/>
    <w:next w:val="716"/>
    <w:uiPriority w:val="0"/>
    <w:qFormat/>
    <w:pPr>
      <w:jc w:val="center"/>
      <w:spacing w:before="240" w:after="60" w:line="360" w:lineRule="auto"/>
      <w:outlineLvl w:val="0"/>
    </w:pPr>
    <w:rPr>
      <w:rFonts w:ascii="宋体" w:hAnsi="宋体"/>
      <w:b/>
      <w:bCs/>
      <w:sz w:val="32"/>
      <w:szCs w:val="32"/>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Heading 5 Char"/>
    <w:basedOn w:val="726"/>
    <w:uiPriority w:val="9"/>
    <w:qFormat/>
    <w:rPr>
      <w:rFonts w:ascii="Arial" w:hAnsi="Arial" w:eastAsia="Arial" w:cs="Arial"/>
      <w:b/>
      <w:bCs/>
      <w:sz w:val="24"/>
      <w:szCs w:val="24"/>
    </w:rPr>
  </w:style>
  <w:style w:type="character" w:styleId="783" w:customStyle="1">
    <w:name w:val="Heading 6 Char"/>
    <w:basedOn w:val="726"/>
    <w:uiPriority w:val="9"/>
    <w:qFormat/>
    <w:rPr>
      <w:rFonts w:ascii="Arial" w:hAnsi="Arial" w:eastAsia="Arial" w:cs="Arial"/>
      <w:b/>
      <w:bCs/>
      <w:sz w:val="22"/>
      <w:szCs w:val="22"/>
    </w:rPr>
  </w:style>
  <w:style w:type="character" w:styleId="784" w:customStyle="1">
    <w:name w:val="Heading 7 Char"/>
    <w:basedOn w:val="726"/>
    <w:uiPriority w:val="9"/>
    <w:qFormat/>
    <w:rPr>
      <w:rFonts w:ascii="Arial" w:hAnsi="Arial" w:eastAsia="Arial" w:cs="Arial"/>
      <w:b/>
      <w:bCs/>
      <w:i/>
      <w:iCs/>
      <w:sz w:val="22"/>
      <w:szCs w:val="22"/>
    </w:rPr>
  </w:style>
  <w:style w:type="character" w:styleId="785" w:customStyle="1">
    <w:name w:val="Heading 8 Char"/>
    <w:basedOn w:val="726"/>
    <w:uiPriority w:val="9"/>
    <w:qFormat/>
    <w:rPr>
      <w:rFonts w:ascii="Arial" w:hAnsi="Arial" w:eastAsia="Arial" w:cs="Arial"/>
      <w:i/>
      <w:iCs/>
      <w:sz w:val="22"/>
      <w:szCs w:val="22"/>
    </w:rPr>
  </w:style>
  <w:style w:type="character" w:styleId="786" w:customStyle="1">
    <w:name w:val="Heading 9 Char"/>
    <w:basedOn w:val="726"/>
    <w:uiPriority w:val="9"/>
    <w:qFormat/>
    <w:rPr>
      <w:rFonts w:ascii="Arial" w:hAnsi="Arial" w:eastAsia="Arial" w:cs="Arial"/>
      <w:i/>
      <w:iCs/>
      <w:sz w:val="21"/>
      <w:szCs w:val="21"/>
    </w:rPr>
  </w:style>
  <w:style w:type="character" w:styleId="787" w:customStyle="1">
    <w:name w:val="Title Char"/>
    <w:basedOn w:val="726"/>
    <w:uiPriority w:val="10"/>
    <w:qFormat/>
    <w:rPr>
      <w:sz w:val="48"/>
      <w:szCs w:val="48"/>
    </w:rPr>
  </w:style>
  <w:style w:type="character" w:styleId="788" w:customStyle="1">
    <w:name w:val="Subtitle Char"/>
    <w:basedOn w:val="72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6"/>
    <w:uiPriority w:val="99"/>
    <w:qFormat/>
  </w:style>
  <w:style w:type="character" w:styleId="792" w:customStyle="1">
    <w:name w:val="Caption Char"/>
    <w:uiPriority w:val="99"/>
    <w:qFormat/>
  </w:style>
  <w:style w:type="table" w:styleId="793"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Default"/>
    <w:next w:val="716"/>
    <w:uiPriority w:val="0"/>
    <w:qFormat/>
    <w:pPr>
      <w:widowControl w:val="off"/>
    </w:pPr>
    <w:rPr>
      <w:rFonts w:hint="default" w:ascii="黑体" w:hAnsi="Times New Roman" w:eastAsia="黑体" w:cs="Times New Roman"/>
      <w:lang w:val="en-US" w:eastAsia="zh-CN" w:bidi="ar-SA"/>
    </w:rPr>
  </w:style>
  <w:style w:type="paragraph" w:styleId="816" w:customStyle="1">
    <w:name w:val="首行缩进"/>
    <w:basedOn w:val="716"/>
    <w:uiPriority w:val="0"/>
    <w:qFormat/>
    <w:pPr>
      <w:ind w:firstLine="420"/>
      <w:spacing w:line="360" w:lineRule="auto"/>
    </w:pPr>
  </w:style>
  <w:style w:type="character" w:styleId="817" w:customStyle="1">
    <w:name w:val="标题 1 字符"/>
    <w:link w:val="717"/>
    <w:uiPriority w:val="9"/>
    <w:qFormat/>
    <w:rPr>
      <w:rFonts w:ascii="Arial" w:hAnsi="Arial" w:eastAsia="宋体" w:cs="Arial"/>
      <w:b/>
      <w:sz w:val="30"/>
      <w:szCs w:val="40"/>
    </w:rPr>
  </w:style>
  <w:style w:type="character" w:styleId="818" w:customStyle="1">
    <w:name w:val="标题 2 字符"/>
    <w:link w:val="718"/>
    <w:uiPriority w:val="9"/>
    <w:qFormat/>
    <w:rPr>
      <w:rFonts w:ascii="Arial" w:hAnsi="Arial" w:eastAsia="Arial" w:cs="Arial"/>
      <w:sz w:val="34"/>
    </w:rPr>
  </w:style>
  <w:style w:type="character" w:styleId="819" w:customStyle="1">
    <w:name w:val="标题 3 字符"/>
    <w:link w:val="719"/>
    <w:uiPriority w:val="9"/>
    <w:qFormat/>
    <w:rPr>
      <w:rFonts w:ascii="Arial" w:hAnsi="Arial" w:eastAsia="Arial" w:cs="Arial"/>
      <w:sz w:val="30"/>
      <w:szCs w:val="30"/>
    </w:rPr>
  </w:style>
  <w:style w:type="character" w:styleId="820" w:customStyle="1">
    <w:name w:val="标题 4 字符"/>
    <w:link w:val="720"/>
    <w:uiPriority w:val="9"/>
    <w:qFormat/>
    <w:rPr>
      <w:rFonts w:ascii="Arial" w:hAnsi="Arial" w:eastAsia="Arial" w:cs="Arial"/>
      <w:b/>
      <w:bCs/>
      <w:sz w:val="26"/>
      <w:szCs w:val="26"/>
    </w:rPr>
  </w:style>
  <w:style w:type="character" w:styleId="821" w:customStyle="1">
    <w:name w:val="标题 5 字符"/>
    <w:link w:val="721"/>
    <w:uiPriority w:val="9"/>
    <w:qFormat/>
    <w:rPr>
      <w:rFonts w:ascii="Arial" w:hAnsi="Arial" w:eastAsia="Arial" w:cs="Arial"/>
      <w:b/>
      <w:bCs/>
      <w:sz w:val="24"/>
      <w:szCs w:val="24"/>
    </w:rPr>
  </w:style>
  <w:style w:type="character" w:styleId="822" w:customStyle="1">
    <w:name w:val="标题 6 字符"/>
    <w:link w:val="722"/>
    <w:uiPriority w:val="9"/>
    <w:qFormat/>
    <w:rPr>
      <w:rFonts w:ascii="Arial" w:hAnsi="Arial" w:eastAsia="Arial" w:cs="Arial"/>
      <w:b/>
      <w:bCs/>
      <w:sz w:val="22"/>
      <w:szCs w:val="22"/>
    </w:rPr>
  </w:style>
  <w:style w:type="character" w:styleId="823" w:customStyle="1">
    <w:name w:val="标题 7 字符"/>
    <w:link w:val="723"/>
    <w:uiPriority w:val="9"/>
    <w:qFormat/>
    <w:rPr>
      <w:rFonts w:ascii="Arial" w:hAnsi="Arial" w:eastAsia="Arial" w:cs="Arial"/>
      <w:b/>
      <w:bCs/>
      <w:i/>
      <w:iCs/>
      <w:sz w:val="22"/>
      <w:szCs w:val="22"/>
    </w:rPr>
  </w:style>
  <w:style w:type="character" w:styleId="824" w:customStyle="1">
    <w:name w:val="标题 8 字符"/>
    <w:link w:val="724"/>
    <w:uiPriority w:val="9"/>
    <w:qFormat/>
    <w:rPr>
      <w:rFonts w:ascii="Arial" w:hAnsi="Arial" w:eastAsia="Arial" w:cs="Arial"/>
      <w:i/>
      <w:iCs/>
      <w:sz w:val="22"/>
      <w:szCs w:val="22"/>
    </w:rPr>
  </w:style>
  <w:style w:type="character" w:styleId="825" w:customStyle="1">
    <w:name w:val="标题 9 字符"/>
    <w:link w:val="725"/>
    <w:uiPriority w:val="9"/>
    <w:qFormat/>
    <w:rPr>
      <w:rFonts w:ascii="Arial" w:hAnsi="Arial" w:eastAsia="Arial" w:cs="Arial"/>
      <w:i/>
      <w:iCs/>
      <w:sz w:val="21"/>
      <w:szCs w:val="21"/>
    </w:rPr>
  </w:style>
  <w:style w:type="paragraph" w:styleId="826">
    <w:name w:val="List Paragraph"/>
    <w:basedOn w:val="716"/>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character" w:styleId="828" w:customStyle="1">
    <w:name w:val="标题 字符"/>
    <w:link w:val="754"/>
    <w:uiPriority w:val="10"/>
    <w:qFormat/>
    <w:rPr>
      <w:sz w:val="48"/>
      <w:szCs w:val="48"/>
    </w:rPr>
  </w:style>
  <w:style w:type="character" w:styleId="829" w:customStyle="1">
    <w:name w:val="副标题 字符"/>
    <w:link w:val="746"/>
    <w:uiPriority w:val="11"/>
    <w:qFormat/>
    <w:rPr>
      <w:sz w:val="24"/>
      <w:szCs w:val="24"/>
    </w:rPr>
  </w:style>
  <w:style w:type="paragraph" w:styleId="830">
    <w:name w:val="Quote"/>
    <w:basedOn w:val="716"/>
    <w:next w:val="716"/>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16"/>
    <w:next w:val="716"/>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743"/>
    <w:uiPriority w:val="99"/>
    <w:qFormat/>
  </w:style>
  <w:style w:type="character" w:styleId="835" w:customStyle="1">
    <w:name w:val="Footer Char"/>
    <w:uiPriority w:val="99"/>
    <w:qFormat/>
  </w:style>
  <w:style w:type="character" w:styleId="836" w:customStyle="1">
    <w:name w:val="页脚 字符"/>
    <w:link w:val="742"/>
    <w:uiPriority w:val="99"/>
    <w:qFormat/>
  </w:style>
  <w:style w:type="table" w:styleId="8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47"/>
    <w:uiPriority w:val="99"/>
    <w:qFormat/>
    <w:rPr>
      <w:sz w:val="18"/>
    </w:rPr>
  </w:style>
  <w:style w:type="character" w:styleId="963" w:customStyle="1">
    <w:name w:val="尾注文本 字符"/>
    <w:link w:val="741"/>
    <w:uiPriority w:val="99"/>
    <w:qFormat/>
    <w:rPr>
      <w:sz w:val="20"/>
    </w:r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标题 11"/>
    <w:basedOn w:val="716"/>
    <w:next w:val="716"/>
    <w:uiPriority w:val="9"/>
    <w:qFormat/>
    <w:pPr>
      <w:keepLines/>
      <w:keepNext/>
      <w:spacing w:before="340" w:after="330" w:line="578" w:lineRule="auto"/>
      <w:outlineLvl w:val="0"/>
    </w:pPr>
    <w:rPr>
      <w:b/>
      <w:bCs/>
      <w:sz w:val="44"/>
      <w:szCs w:val="44"/>
    </w:rPr>
  </w:style>
  <w:style w:type="paragraph" w:styleId="966" w:customStyle="1">
    <w:name w:val="标题 21"/>
    <w:basedOn w:val="716"/>
    <w:next w:val="7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
    <w:basedOn w:val="716"/>
    <w:next w:val="716"/>
    <w:uiPriority w:val="0"/>
    <w:qFormat/>
    <w:pPr>
      <w:keepLines/>
      <w:keepNext/>
      <w:spacing w:before="260" w:after="260" w:line="416" w:lineRule="auto"/>
      <w:outlineLvl w:val="2"/>
    </w:pPr>
    <w:rPr>
      <w:b/>
      <w:bCs/>
      <w:sz w:val="32"/>
      <w:szCs w:val="32"/>
    </w:rPr>
  </w:style>
  <w:style w:type="character" w:styleId="968" w:customStyle="1">
    <w:name w:val="默认段落字体1"/>
    <w:uiPriority w:val="1"/>
    <w:unhideWhenUsed/>
    <w:qFormat/>
  </w:style>
  <w:style w:type="table" w:styleId="969" w:customStyle="1">
    <w:name w:val="普通表格1"/>
    <w:uiPriority w:val="99"/>
    <w:unhideWhenUsed/>
    <w:qFormat/>
    <w:tblPr>
      <w:tblCellMar>
        <w:left w:w="0" w:type="dxa"/>
        <w:top w:w="0" w:type="dxa"/>
        <w:right w:w="0" w:type="dxa"/>
        <w:bottom w:w="0" w:type="dxa"/>
      </w:tblCellMar>
    </w:tblPr>
  </w:style>
  <w:style w:type="paragraph" w:styleId="970" w:customStyle="1">
    <w:name w:val="正文文本缩进1"/>
    <w:basedOn w:val="716"/>
    <w:next w:val="971"/>
    <w:uiPriority w:val="0"/>
    <w:qFormat/>
    <w:pPr>
      <w:ind w:left="420"/>
      <w:spacing w:after="120"/>
    </w:pPr>
    <w:rPr>
      <w:rFonts w:ascii="等线" w:hAnsi="等线" w:eastAsia="等线"/>
    </w:rPr>
  </w:style>
  <w:style w:type="paragraph" w:styleId="971" w:customStyle="1">
    <w:name w:val="寄信人地址1"/>
    <w:basedOn w:val="716"/>
    <w:uiPriority w:val="99"/>
    <w:unhideWhenUsed/>
    <w:qFormat/>
    <w:rPr>
      <w:rFonts w:ascii="Arial" w:hAnsi="Arial"/>
    </w:rPr>
  </w:style>
  <w:style w:type="paragraph" w:styleId="972" w:customStyle="1">
    <w:name w:val="正文缩进1"/>
    <w:basedOn w:val="716"/>
    <w:uiPriority w:val="0"/>
    <w:unhideWhenUsed/>
    <w:qFormat/>
    <w:pPr>
      <w:ind w:firstLine="420"/>
    </w:pPr>
  </w:style>
  <w:style w:type="paragraph" w:styleId="973" w:customStyle="1">
    <w:name w:val="批注文字1"/>
    <w:basedOn w:val="716"/>
    <w:link w:val="974"/>
    <w:uiPriority w:val="0"/>
    <w:qFormat/>
    <w:pPr>
      <w:jc w:val="left"/>
    </w:pPr>
  </w:style>
  <w:style w:type="character" w:styleId="974" w:customStyle="1">
    <w:name w:val="批注文字 Char"/>
    <w:link w:val="973"/>
    <w:uiPriority w:val="0"/>
    <w:qFormat/>
    <w:rPr>
      <w:rFonts w:ascii="Calibri" w:hAnsi="Calibri"/>
      <w:sz w:val="21"/>
      <w:szCs w:val="22"/>
    </w:rPr>
  </w:style>
  <w:style w:type="paragraph" w:styleId="975" w:customStyle="1">
    <w:name w:val="正文文本11"/>
    <w:basedOn w:val="716"/>
    <w:next w:val="777"/>
    <w:uiPriority w:val="0"/>
    <w:qFormat/>
    <w:rPr>
      <w:rFonts w:ascii="楷体_GB2312" w:hAnsi="Arial" w:eastAsia="楷体_GB2312"/>
      <w:sz w:val="28"/>
      <w:szCs w:val="28"/>
    </w:rPr>
  </w:style>
  <w:style w:type="paragraph" w:styleId="976" w:customStyle="1">
    <w:name w:val="纯文本1"/>
    <w:basedOn w:val="716"/>
    <w:uiPriority w:val="99"/>
    <w:qFormat/>
    <w:rPr>
      <w:rFonts w:ascii="宋体" w:hAnsi="Courier New"/>
      <w:sz w:val="20"/>
      <w:szCs w:val="21"/>
    </w:rPr>
  </w:style>
  <w:style w:type="paragraph" w:styleId="977" w:customStyle="1">
    <w:name w:val="正文文本缩进 21"/>
    <w:basedOn w:val="716"/>
    <w:uiPriority w:val="0"/>
    <w:qFormat/>
    <w:pPr>
      <w:ind w:left="640"/>
      <w:spacing w:after="120" w:line="480" w:lineRule="auto"/>
    </w:pPr>
    <w:rPr>
      <w:rFonts w:eastAsia="仿宋_GB2312"/>
      <w:sz w:val="32"/>
      <w:szCs w:val="28"/>
    </w:rPr>
  </w:style>
  <w:style w:type="paragraph" w:styleId="978" w:customStyle="1">
    <w:name w:val="批注框文本1"/>
    <w:basedOn w:val="716"/>
    <w:link w:val="979"/>
    <w:uiPriority w:val="0"/>
    <w:qFormat/>
    <w:rPr>
      <w:sz w:val="18"/>
      <w:szCs w:val="18"/>
    </w:rPr>
  </w:style>
  <w:style w:type="character" w:styleId="979" w:customStyle="1">
    <w:name w:val="批注框文本 Char"/>
    <w:link w:val="978"/>
    <w:uiPriority w:val="0"/>
    <w:qFormat/>
    <w:rPr>
      <w:sz w:val="18"/>
      <w:szCs w:val="18"/>
    </w:rPr>
  </w:style>
  <w:style w:type="paragraph" w:styleId="980" w:customStyle="1">
    <w:name w:val="页脚1"/>
    <w:basedOn w:val="716"/>
    <w:uiPriority w:val="99"/>
    <w:unhideWhenUsed/>
    <w:qFormat/>
    <w:pPr>
      <w:jc w:val="left"/>
      <w:tabs>
        <w:tab w:val="center" w:pos="4153" w:leader="none"/>
        <w:tab w:val="right" w:pos="8306" w:leader="none"/>
      </w:tabs>
    </w:pPr>
    <w:rPr>
      <w:sz w:val="18"/>
      <w:szCs w:val="18"/>
    </w:rPr>
  </w:style>
  <w:style w:type="paragraph" w:styleId="981" w:customStyle="1">
    <w:name w:val="页眉1"/>
    <w:basedOn w:val="71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
    <w:basedOn w:val="716"/>
    <w:next w:val="716"/>
    <w:uiPriority w:val="39"/>
    <w:unhideWhenUsed/>
    <w:qFormat/>
  </w:style>
  <w:style w:type="paragraph" w:styleId="983" w:customStyle="1">
    <w:name w:val="目录 21"/>
    <w:basedOn w:val="716"/>
    <w:next w:val="716"/>
    <w:uiPriority w:val="0"/>
    <w:qFormat/>
    <w:pPr>
      <w:ind w:left="420"/>
    </w:pPr>
  </w:style>
  <w:style w:type="paragraph" w:styleId="984" w:customStyle="1">
    <w:name w:val="信息标题1"/>
    <w:basedOn w:val="71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5" w:customStyle="1">
    <w:name w:val="普通(网站)1"/>
    <w:basedOn w:val="716"/>
    <w:uiPriority w:val="0"/>
    <w:qFormat/>
    <w:rPr>
      <w:rFonts w:ascii="Times New Roman" w:hAnsi="Times New Roman"/>
      <w:sz w:val="24"/>
    </w:rPr>
  </w:style>
  <w:style w:type="paragraph" w:styleId="986" w:customStyle="1">
    <w:name w:val="批注主题1"/>
    <w:basedOn w:val="973"/>
    <w:next w:val="973"/>
    <w:link w:val="987"/>
    <w:uiPriority w:val="0"/>
    <w:qFormat/>
    <w:rPr>
      <w:b/>
      <w:bCs/>
    </w:rPr>
  </w:style>
  <w:style w:type="character" w:styleId="987" w:customStyle="1">
    <w:name w:val="批注主题 Char"/>
    <w:link w:val="986"/>
    <w:uiPriority w:val="0"/>
    <w:qFormat/>
    <w:rPr>
      <w:rFonts w:ascii="Calibri" w:hAnsi="Calibri"/>
      <w:b/>
      <w:bCs/>
      <w:sz w:val="21"/>
      <w:szCs w:val="22"/>
    </w:rPr>
  </w:style>
  <w:style w:type="paragraph" w:styleId="988" w:customStyle="1">
    <w:name w:val="正文首行缩进 21"/>
    <w:basedOn w:val="970"/>
    <w:next w:val="716"/>
    <w:uiPriority w:val="0"/>
    <w:qFormat/>
    <w:pPr>
      <w:ind w:firstLine="420"/>
      <w:spacing w:before="100" w:beforeAutospacing="1"/>
    </w:pPr>
    <w:rPr>
      <w:rFonts w:ascii="Times New Roman" w:hAnsi="Times New Roman" w:eastAsia="宋体"/>
      <w:sz w:val="20"/>
      <w:szCs w:val="21"/>
    </w:rPr>
  </w:style>
  <w:style w:type="table" w:styleId="989" w:customStyle="1">
    <w:name w:val="网格型1"/>
    <w:basedOn w:val="969"/>
    <w:uiPriority w:val="0"/>
    <w:qFormat/>
    <w:pPr>
      <w:jc w:val="both"/>
      <w:widowControl w:val="off"/>
    </w:pPr>
    <w:tblPr>
      <w:tblCellMar>
        <w:left w:w="0" w:type="dxa"/>
        <w:top w:w="0" w:type="dxa"/>
        <w:right w:w="0" w:type="dxa"/>
        <w:bottom w:w="0" w:type="dxa"/>
      </w:tblCellMar>
    </w:tblPr>
  </w:style>
  <w:style w:type="character" w:styleId="990" w:customStyle="1">
    <w:name w:val="要点1"/>
    <w:uiPriority w:val="0"/>
    <w:qFormat/>
    <w:rPr>
      <w:b/>
    </w:rPr>
  </w:style>
  <w:style w:type="character" w:styleId="991" w:customStyle="1">
    <w:name w:val="强调1"/>
    <w:uiPriority w:val="0"/>
    <w:qFormat/>
    <w:rPr>
      <w:i/>
    </w:rPr>
  </w:style>
  <w:style w:type="character" w:styleId="992" w:customStyle="1">
    <w:name w:val="超链接1"/>
    <w:uiPriority w:val="0"/>
    <w:qFormat/>
    <w:rPr>
      <w:color w:val="0000ff"/>
      <w:u w:val="single"/>
    </w:rPr>
  </w:style>
  <w:style w:type="character" w:styleId="993" w:customStyle="1">
    <w:name w:val="批注引用1"/>
    <w:uiPriority w:val="0"/>
    <w:qFormat/>
    <w:rPr>
      <w:sz w:val="21"/>
      <w:szCs w:val="21"/>
    </w:rPr>
  </w:style>
  <w:style w:type="paragraph" w:styleId="994" w:customStyle="1">
    <w:name w:val="Char"/>
    <w:basedOn w:val="716"/>
    <w:uiPriority w:val="0"/>
    <w:qFormat/>
    <w:pPr>
      <w:ind w:firstLine="200"/>
      <w:tabs>
        <w:tab w:val="left" w:pos="360" w:leader="none"/>
      </w:tabs>
    </w:pPr>
    <w:rPr>
      <w:rFonts w:ascii="Times New Roman" w:hAnsi="Times New Roman"/>
      <w:sz w:val="28"/>
      <w:szCs w:val="30"/>
    </w:rPr>
  </w:style>
  <w:style w:type="paragraph" w:styleId="995" w:customStyle="1">
    <w:name w:val="Table Paragraph"/>
    <w:basedOn w:val="716"/>
    <w:uiPriority w:val="1"/>
    <w:qFormat/>
    <w:rPr>
      <w:rFonts w:ascii="Noto Sans CJK JP Regular" w:hAnsi="Noto Sans CJK JP Regular" w:eastAsia="Noto Sans CJK JP Regular" w:cs="Noto Sans CJK JP Regular"/>
    </w:rPr>
  </w:style>
  <w:style w:type="paragraph" w:styleId="996" w:customStyle="1">
    <w:name w:val="正文（1）"/>
    <w:basedOn w:val="716"/>
    <w:uiPriority w:val="0"/>
    <w:qFormat/>
    <w:pPr>
      <w:numPr>
        <w:ilvl w:val="0"/>
        <w:numId w:val="2"/>
      </w:numPr>
      <w:ind w:firstLine="200"/>
    </w:pPr>
    <w:rPr>
      <w:szCs w:val="24"/>
    </w:rPr>
  </w:style>
  <w:style w:type="paragraph" w:styleId="997" w:customStyle="1">
    <w:name w:val="朱-正文"/>
    <w:basedOn w:val="716"/>
    <w:uiPriority w:val="0"/>
    <w:qFormat/>
    <w:pPr>
      <w:ind w:firstLine="200"/>
    </w:pPr>
    <w:rPr>
      <w:rFonts w:ascii="Times New Roman"/>
      <w:color w:val="000000"/>
      <w:szCs w:val="24"/>
      <w:lang w:val="en-GB"/>
    </w:rPr>
  </w:style>
  <w:style w:type="paragraph" w:styleId="998" w:customStyle="1">
    <w:name w:val="GP正文(首行缩进)"/>
    <w:basedOn w:val="716"/>
    <w:uiPriority w:val="0"/>
    <w:qFormat/>
    <w:pPr>
      <w:ind w:firstLine="480"/>
      <w:jc w:val="left"/>
    </w:pPr>
    <w:rPr>
      <w:rFonts w:ascii="Times New Roman" w:hAnsi="宋体"/>
      <w:sz w:val="24"/>
      <w:szCs w:val="24"/>
    </w:rPr>
  </w:style>
  <w:style w:type="character" w:styleId="999" w:customStyle="1">
    <w:name w:val="font71"/>
    <w:basedOn w:val="726"/>
    <w:uiPriority w:val="0"/>
    <w:qFormat/>
    <w:rPr>
      <w:rFonts w:hint="eastAsia" w:ascii="宋体" w:hAnsi="宋体" w:eastAsia="宋体" w:cs="宋体"/>
      <w:color w:val="ff0000"/>
      <w:sz w:val="21"/>
      <w:szCs w:val="21"/>
      <w:u w:val="none"/>
    </w:rPr>
  </w:style>
  <w:style w:type="character" w:styleId="1000" w:customStyle="1">
    <w:name w:val="font41"/>
    <w:uiPriority w:val="0"/>
    <w:qFormat/>
    <w:rPr>
      <w:rFonts w:hint="eastAsia" w:ascii="宋体" w:hAnsi="宋体" w:eastAsia="宋体" w:cs="宋体"/>
      <w:color w:val="000000"/>
      <w:sz w:val="21"/>
      <w:szCs w:val="21"/>
      <w:u w:val="none"/>
    </w:rPr>
  </w:style>
  <w:style w:type="paragraph" w:styleId="1001" w:customStyle="1">
    <w:name w:val="列出段落"/>
    <w:basedOn w:val="716"/>
    <w:uiPriority w:val="0"/>
    <w:qFormat/>
    <w:pPr>
      <w:ind w:firstLine="420"/>
    </w:pPr>
  </w:style>
  <w:style w:type="paragraph" w:styleId="1002" w:customStyle="1">
    <w:name w:val="列出段落2"/>
    <w:basedOn w:val="716"/>
    <w:uiPriority w:val="34"/>
    <w:qFormat/>
    <w:pPr>
      <w:ind w:firstLine="420"/>
    </w:pPr>
    <w:rPr>
      <w:rFonts w:ascii="宋体"/>
      <w:color w:val="404040"/>
    </w:rPr>
  </w:style>
  <w:style w:type="paragraph" w:styleId="1003" w:customStyle="1">
    <w:name w:val="列表段落1"/>
    <w:basedOn w:val="716"/>
    <w:uiPriority w:val="0"/>
    <w:qFormat/>
    <w:pPr>
      <w:ind w:firstLine="200"/>
    </w:pPr>
    <w:rPr>
      <w:rFonts w:cs="宋体"/>
    </w:rPr>
  </w:style>
  <w:style w:type="character" w:styleId="1004" w:customStyle="1">
    <w:name w:val="font51"/>
    <w:uiPriority w:val="0"/>
    <w:qFormat/>
    <w:rPr>
      <w:rFonts w:hint="eastAsia" w:ascii="宋体" w:hAnsi="宋体" w:eastAsia="宋体" w:cs="宋体"/>
      <w:color w:val="000000"/>
      <w:sz w:val="24"/>
      <w:szCs w:val="24"/>
      <w:u w:val="none"/>
      <w:vertAlign w:val="subscript"/>
    </w:rPr>
  </w:style>
  <w:style w:type="character" w:styleId="1005" w:customStyle="1">
    <w:name w:val="font61"/>
    <w:basedOn w:val="726"/>
    <w:uiPriority w:val="0"/>
    <w:qFormat/>
    <w:rPr>
      <w:rFonts w:hint="eastAsia" w:ascii="宋体" w:hAnsi="宋体" w:eastAsia="宋体" w:cs="宋体"/>
      <w:color w:val="000000"/>
      <w:sz w:val="24"/>
      <w:szCs w:val="24"/>
      <w:u w:val="none"/>
    </w:rPr>
  </w:style>
  <w:style w:type="character" w:styleId="1006" w:customStyle="1">
    <w:name w:val="font01"/>
    <w:uiPriority w:val="0"/>
    <w:qFormat/>
    <w:rPr>
      <w:rFonts w:hint="eastAsia" w:ascii="宋体" w:hAnsi="宋体" w:eastAsia="宋体" w:cs="宋体"/>
      <w:color w:val="000000"/>
      <w:sz w:val="24"/>
      <w:szCs w:val="24"/>
      <w:u w:val="none"/>
    </w:rPr>
  </w:style>
  <w:style w:type="character" w:styleId="1007" w:customStyle="1">
    <w:name w:val="font81"/>
    <w:uiPriority w:val="0"/>
    <w:qFormat/>
    <w:rPr>
      <w:rFonts w:ascii="微软雅黑" w:hAnsi="微软雅黑" w:eastAsia="微软雅黑" w:cs="微软雅黑"/>
      <w:color w:val="000000"/>
      <w:sz w:val="24"/>
      <w:szCs w:val="24"/>
      <w:u w:val="none"/>
    </w:rPr>
  </w:style>
  <w:style w:type="character" w:styleId="1008" w:customStyle="1">
    <w:name w:val="font91"/>
    <w:basedOn w:val="726"/>
    <w:uiPriority w:val="0"/>
    <w:qFormat/>
    <w:rPr>
      <w:rFonts w:ascii="Segoe UI Symbol" w:hAnsi="Segoe UI Symbol" w:eastAsia="Segoe UI Symbol" w:cs="Segoe UI Symbol"/>
      <w:color w:val="000000"/>
      <w:sz w:val="24"/>
      <w:szCs w:val="24"/>
      <w:u w:val="none"/>
    </w:rPr>
  </w:style>
  <w:style w:type="character" w:styleId="1009" w:customStyle="1">
    <w:name w:val="font101"/>
    <w:uiPriority w:val="0"/>
    <w:qFormat/>
    <w:rPr>
      <w:rFonts w:ascii="Calibri" w:hAnsi="Calibri" w:cs="Calibri"/>
      <w:color w:val="000000"/>
      <w:sz w:val="24"/>
      <w:szCs w:val="24"/>
      <w:u w:val="none"/>
    </w:rPr>
  </w:style>
  <w:style w:type="paragraph" w:styleId="1010"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1" w:customStyle="1">
    <w:name w:val="TableEmphasis"/>
    <w:basedOn w:val="716"/>
    <w:uiPriority w:val="0"/>
    <w:qFormat/>
    <w:rPr>
      <w:rFonts w:ascii="Times New Roman" w:hAnsi="Times New Roman" w:eastAsia="Times New Roman"/>
      <w:b/>
      <w:bCs/>
      <w:color w:val="3333ff"/>
      <w:sz w:val="16"/>
      <w:szCs w:val="18"/>
    </w:rPr>
  </w:style>
  <w:style w:type="paragraph" w:styleId="1012" w:customStyle="1">
    <w:name w:val="修订1"/>
    <w:uiPriority w:val="99"/>
    <w:unhideWhenUsed/>
    <w:qFormat/>
    <w:rPr>
      <w:rFonts w:hint="default" w:ascii="Calibri" w:hAnsi="Calibri" w:eastAsia="宋体" w:cs="Times New Roman"/>
      <w:sz w:val="21"/>
      <w:szCs w:val="22"/>
      <w:lang w:val="en-US" w:eastAsia="zh-CN" w:bidi="ar-SA"/>
    </w:rPr>
  </w:style>
  <w:style w:type="paragraph" w:styleId="1013" w:customStyle="1">
    <w:name w:val="修订2"/>
    <w:uiPriority w:val="99"/>
    <w:semiHidden/>
    <w:qFormat/>
    <w:rPr>
      <w:rFonts w:hint="default" w:ascii="Calibri" w:hAnsi="Calibri" w:eastAsia="宋体" w:cs="Times New Roman"/>
      <w:sz w:val="21"/>
      <w:szCs w:val="22"/>
      <w:lang w:val="en-US" w:eastAsia="zh-CN" w:bidi="ar-SA"/>
    </w:rPr>
  </w:style>
  <w:style w:type="character" w:styleId="1014" w:customStyle="1">
    <w:name w:val="font11"/>
    <w:uiPriority w:val="0"/>
    <w:qFormat/>
    <w:rPr>
      <w:rFonts w:hint="eastAsia" w:ascii="宋体" w:hAnsi="宋体" w:eastAsia="宋体" w:cs="宋体"/>
      <w:color w:val="000000"/>
      <w:sz w:val="24"/>
      <w:szCs w:val="24"/>
      <w:u w:val="none"/>
    </w:rPr>
  </w:style>
  <w:style w:type="character" w:styleId="1015" w:customStyle="1">
    <w:name w:val="font21"/>
    <w:uiPriority w:val="0"/>
    <w:qFormat/>
    <w:rPr>
      <w:rFonts w:ascii="Segoe UI Symbol" w:hAnsi="Segoe UI Symbol" w:eastAsia="Segoe UI Symbol" w:cs="Segoe UI Symbol"/>
      <w:color w:val="000000"/>
      <w:sz w:val="24"/>
      <w:szCs w:val="24"/>
      <w:u w:val="none"/>
    </w:rPr>
  </w:style>
  <w:style w:type="character" w:styleId="1016" w:customStyle="1">
    <w:name w:val="NormalCharacter1"/>
    <w:uiPriority w:val="0"/>
    <w:semiHidden/>
    <w:qFormat/>
  </w:style>
  <w:style w:type="character" w:styleId="1017" w:customStyle="1">
    <w:name w:val="font31"/>
    <w:uiPriority w:val="0"/>
    <w:qFormat/>
    <w:rPr>
      <w:rFonts w:hint="eastAsia" w:ascii="宋体" w:hAnsi="宋体" w:eastAsia="宋体" w:cs="宋体"/>
      <w:color w:val="000000"/>
      <w:sz w:val="21"/>
      <w:szCs w:val="21"/>
      <w:u w:val="none"/>
    </w:rPr>
  </w:style>
  <w:style w:type="paragraph" w:styleId="1018" w:customStyle="1">
    <w:name w:val="无间隔1"/>
    <w:uiPriority w:val="1"/>
    <w:qFormat/>
    <w:rPr>
      <w:rFonts w:hint="default" w:ascii="Times New Roman" w:hAnsi="Times New Roman" w:eastAsia="宋体" w:cs="Times New Roman"/>
      <w:lang w:val="en-US" w:eastAsia="zh-CN" w:bidi="ar-SA"/>
    </w:rPr>
  </w:style>
  <w:style w:type="paragraph" w:styleId="1019" w:customStyle="1">
    <w:name w:val="索引 41"/>
    <w:basedOn w:val="716"/>
    <w:next w:val="716"/>
    <w:uiPriority w:val="99"/>
    <w:unhideWhenUsed/>
    <w:qFormat/>
    <w:pPr>
      <w:ind w:left="600"/>
    </w:pPr>
    <w:rPr>
      <w:rFonts w:ascii="Verdana" w:hAnsi="Verdana" w:eastAsia="微软雅黑"/>
      <w:szCs w:val="20"/>
    </w:rPr>
  </w:style>
  <w:style w:type="paragraph" w:styleId="1020" w:customStyle="1">
    <w:name w:val="样式 宋体 加粗 居中"/>
    <w:basedOn w:val="716"/>
    <w:uiPriority w:val="0"/>
    <w:qFormat/>
    <w:pPr>
      <w:jc w:val="center"/>
    </w:pPr>
    <w:rPr>
      <w:rFonts w:ascii="宋体" w:hAnsi="宋体" w:cs="宋体"/>
      <w:b/>
      <w:bCs/>
      <w:sz w:val="32"/>
      <w:szCs w:val="20"/>
    </w:rPr>
  </w:style>
  <w:style w:type="character" w:styleId="1021" w:customStyle="1">
    <w:name w:val="font151"/>
    <w:basedOn w:val="726"/>
    <w:uiPriority w:val="0"/>
    <w:qFormat/>
    <w:rPr>
      <w:rFonts w:hint="eastAsia" w:ascii="宋体" w:hAnsi="宋体" w:eastAsia="宋体" w:cs="宋体"/>
      <w:color w:val="000000"/>
      <w:sz w:val="24"/>
      <w:szCs w:val="24"/>
      <w:u w:val="none"/>
    </w:rPr>
  </w:style>
  <w:style w:type="character" w:styleId="1022" w:customStyle="1">
    <w:name w:val="font161"/>
    <w:basedOn w:val="726"/>
    <w:uiPriority w:val="0"/>
    <w:qFormat/>
    <w:rPr>
      <w:rFonts w:hint="eastAsia" w:ascii="宋体" w:hAnsi="宋体" w:eastAsia="宋体" w:cs="宋体"/>
      <w:color w:val="000000"/>
      <w:sz w:val="24"/>
      <w:szCs w:val="24"/>
      <w:u w:val="none"/>
    </w:rPr>
  </w:style>
  <w:style w:type="character" w:styleId="1023" w:customStyle="1">
    <w:name w:val="font171"/>
    <w:basedOn w:val="726"/>
    <w:uiPriority w:val="0"/>
    <w:qFormat/>
    <w:rPr>
      <w:rFonts w:hint="eastAsia" w:ascii="宋体" w:hAnsi="宋体" w:eastAsia="宋体" w:cs="宋体"/>
      <w:color w:val="000000"/>
      <w:sz w:val="24"/>
      <w:szCs w:val="24"/>
      <w:u w:val="none"/>
    </w:rPr>
  </w:style>
  <w:style w:type="table" w:styleId="1024" w:customStyle="1">
    <w:name w:val="Table Normal"/>
    <w:uiPriority w:val="2"/>
    <w:semiHidden/>
    <w:unhideWhenUsed/>
    <w:qFormat/>
    <w:tblPr>
      <w:tblCellMar>
        <w:left w:w="0" w:type="dxa"/>
        <w:top w:w="0" w:type="dxa"/>
        <w:right w:w="0" w:type="dxa"/>
        <w:bottom w:w="0" w:type="dxa"/>
      </w:tblCellMar>
    </w:tbl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李韦林</cp:lastModifiedBy>
  <cp:revision>19</cp:revision>
  <dcterms:created xsi:type="dcterms:W3CDTF">2024-08-07T07:47:00Z</dcterms:created>
  <dcterms:modified xsi:type="dcterms:W3CDTF">2026-08-29T00:46:30Z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FC4B394D16DE40E78CA665DD702233A4_13</vt:lpwstr>
  </property>
  <property fmtid="{D5CDD505-2E9C-101B-9397-08002B2CF9AE}" pid="4" name="KSOTemplateDocerSaveRecord">
    <vt:lpwstr>eyJoZGlkIjoiZjUyMzY0ZjE0ODU1Nzg0MmU2NGU0ZjgwMGY4MDE5MDMiLCJ1c2VySWQiOiIzMDc2NjU2NDYifQ==</vt:lpwstr>
  </property>
</Properties>
</file>