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BE9">
      <w:pPr>
        <w:widowControl/>
        <w:shd w:val="clear" w:color="auto" w:fill="FFFFFF"/>
        <w:spacing w:line="360" w:lineRule="auto"/>
        <w:jc w:val="center"/>
        <w:rPr>
          <w:rFonts w:ascii="Arial" w:hAnsi="Arial" w:cs="Arial"/>
          <w:b/>
          <w:kern w:val="0"/>
          <w:sz w:val="48"/>
          <w:szCs w:val="48"/>
        </w:rPr>
      </w:pPr>
      <w:bookmarkStart w:id="0" w:name="_Hlk74841385"/>
      <w:bookmarkStart w:id="1" w:name="_Hlk77778371"/>
    </w:p>
    <w:p w14:paraId="057CA20F">
      <w:pPr>
        <w:pStyle w:val="70"/>
      </w:pPr>
    </w:p>
    <w:p w14:paraId="1961C8F5">
      <w:pPr>
        <w:pStyle w:val="70"/>
        <w:jc w:val="center"/>
        <w:rPr>
          <w:rFonts w:hint="eastAsia" w:eastAsia="黑体"/>
          <w:sz w:val="24"/>
          <w:szCs w:val="28"/>
          <w:lang w:eastAsia="zh-CN"/>
        </w:rPr>
      </w:pPr>
      <w:r>
        <w:rPr>
          <w:rFonts w:hint="eastAsia" w:ascii="Arial" w:hAnsi="Arial" w:eastAsia="黑体" w:cs="Arial"/>
          <w:b/>
          <w:bCs/>
          <w:sz w:val="60"/>
          <w:szCs w:val="60"/>
          <w:lang w:eastAsia="zh-CN"/>
        </w:rPr>
        <w:t>南京医科大学高性能计算平台采购项目</w:t>
      </w:r>
    </w:p>
    <w:p w14:paraId="5767189F">
      <w:pPr>
        <w:widowControl/>
        <w:spacing w:line="360" w:lineRule="auto"/>
        <w:jc w:val="center"/>
        <w:rPr>
          <w:rFonts w:hint="eastAsia" w:ascii="Arial" w:hAnsi="宋体" w:cs="Arial"/>
          <w:b/>
          <w:kern w:val="0"/>
          <w:sz w:val="72"/>
          <w:szCs w:val="72"/>
        </w:rPr>
      </w:pPr>
    </w:p>
    <w:p w14:paraId="29287FC1">
      <w:pPr>
        <w:pStyle w:val="22"/>
        <w:ind w:left="1260"/>
      </w:pPr>
    </w:p>
    <w:p w14:paraId="0961055B"/>
    <w:p w14:paraId="78AE8D37"/>
    <w:p w14:paraId="5F05DE15"/>
    <w:p w14:paraId="39F22AAB"/>
    <w:p w14:paraId="66701C05"/>
    <w:p w14:paraId="11B9C97C">
      <w:pPr>
        <w:pStyle w:val="22"/>
        <w:ind w:left="1260"/>
      </w:pPr>
    </w:p>
    <w:p w14:paraId="1F7360A2"/>
    <w:p w14:paraId="284EDE60">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74B5D333">
      <w:pPr>
        <w:widowControl/>
        <w:spacing w:line="360" w:lineRule="auto"/>
        <w:jc w:val="center"/>
        <w:rPr>
          <w:rFonts w:ascii="Arial" w:hAnsi="Arial" w:cs="Arial"/>
          <w:b/>
          <w:kern w:val="0"/>
          <w:sz w:val="36"/>
          <w:szCs w:val="36"/>
        </w:rPr>
      </w:pPr>
    </w:p>
    <w:p w14:paraId="7E7452EB">
      <w:pPr>
        <w:widowControl/>
        <w:spacing w:line="360" w:lineRule="auto"/>
        <w:jc w:val="center"/>
        <w:rPr>
          <w:rFonts w:hint="eastAsia" w:ascii="Arial" w:hAnsi="宋体" w:eastAsia="宋体" w:cs="Arial"/>
          <w:b/>
          <w:kern w:val="0"/>
          <w:sz w:val="40"/>
          <w:szCs w:val="40"/>
          <w:lang w:eastAsia="zh-CN"/>
        </w:rPr>
      </w:pPr>
      <w:r>
        <w:rPr>
          <w:rFonts w:hint="eastAsia" w:ascii="Arial" w:hAnsi="Arial" w:cs="Arial"/>
          <w:b/>
          <w:kern w:val="0"/>
          <w:sz w:val="32"/>
          <w:szCs w:val="32"/>
        </w:rPr>
        <w:t>项目编号：</w:t>
      </w:r>
      <w:r>
        <w:rPr>
          <w:rFonts w:hint="eastAsia" w:ascii="Arial" w:hAnsi="Arial" w:cs="Arial"/>
          <w:b/>
          <w:kern w:val="0"/>
          <w:sz w:val="32"/>
          <w:szCs w:val="32"/>
          <w:lang w:eastAsia="zh-CN"/>
        </w:rPr>
        <w:t>JSZC-320000-JCEC-G2026-0380</w:t>
      </w:r>
    </w:p>
    <w:p w14:paraId="4F9E0A44">
      <w:pPr>
        <w:widowControl/>
        <w:spacing w:line="360" w:lineRule="auto"/>
        <w:jc w:val="center"/>
        <w:rPr>
          <w:rFonts w:hint="eastAsia" w:ascii="Arial" w:hAnsi="宋体" w:cs="Arial"/>
          <w:b/>
          <w:kern w:val="0"/>
          <w:sz w:val="36"/>
          <w:szCs w:val="36"/>
        </w:rPr>
      </w:pPr>
    </w:p>
    <w:p w14:paraId="7CFCA725">
      <w:pPr>
        <w:widowControl/>
        <w:spacing w:line="360" w:lineRule="auto"/>
        <w:jc w:val="center"/>
        <w:rPr>
          <w:rFonts w:ascii="Arial" w:hAnsi="Arial" w:cs="Arial"/>
          <w:b/>
          <w:kern w:val="0"/>
          <w:sz w:val="28"/>
          <w:szCs w:val="28"/>
        </w:rPr>
      </w:pPr>
    </w:p>
    <w:p w14:paraId="03A52B7C">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p>
    <w:p w14:paraId="7281DD08">
      <w:pPr>
        <w:pStyle w:val="22"/>
        <w:ind w:left="1260"/>
        <w:rPr>
          <w:rFonts w:ascii="Arial" w:hAnsi="Arial" w:cs="Arial"/>
          <w:kern w:val="0"/>
          <w:sz w:val="32"/>
          <w:szCs w:val="32"/>
        </w:rPr>
      </w:pPr>
    </w:p>
    <w:p w14:paraId="7B096374">
      <w:pPr>
        <w:pStyle w:val="22"/>
        <w:ind w:left="1260"/>
      </w:pPr>
    </w:p>
    <w:p w14:paraId="32395A8B">
      <w:pPr>
        <w:widowControl/>
        <w:spacing w:line="360" w:lineRule="auto"/>
        <w:jc w:val="center"/>
        <w:rPr>
          <w:rFonts w:ascii="Arial" w:hAnsi="Arial" w:cs="Arial"/>
          <w:b/>
          <w:kern w:val="0"/>
          <w:sz w:val="36"/>
          <w:szCs w:val="36"/>
        </w:rPr>
      </w:pPr>
    </w:p>
    <w:p w14:paraId="5D5354A5">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采购人：南京医科大学</w:t>
      </w:r>
    </w:p>
    <w:p w14:paraId="60E32916">
      <w:pPr>
        <w:widowControl/>
        <w:spacing w:line="360" w:lineRule="auto"/>
        <w:jc w:val="center"/>
        <w:rPr>
          <w:rFonts w:hint="eastAsia"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18E55159">
      <w:pPr>
        <w:widowControl/>
        <w:shd w:val="clear" w:color="auto" w:fill="FFFFFF"/>
        <w:spacing w:line="360" w:lineRule="auto"/>
        <w:jc w:val="center"/>
        <w:rPr>
          <w:rFonts w:ascii="Arial" w:hAnsi="Arial" w:cs="Arial"/>
          <w:b/>
          <w:kern w:val="0"/>
          <w:sz w:val="36"/>
          <w:szCs w:val="36"/>
        </w:rPr>
      </w:pPr>
      <w:r>
        <w:rPr>
          <w:rFonts w:hint="eastAsia" w:ascii="宋体" w:hAnsi="宋体" w:cs="宋体"/>
          <w:b/>
          <w:kern w:val="0"/>
          <w:sz w:val="32"/>
          <w:szCs w:val="32"/>
        </w:rPr>
        <w:t>2026年</w:t>
      </w:r>
      <w:r>
        <w:rPr>
          <w:rFonts w:hint="eastAsia" w:ascii="宋体" w:hAnsi="宋体" w:cs="宋体"/>
          <w:b/>
          <w:kern w:val="0"/>
          <w:sz w:val="32"/>
          <w:szCs w:val="32"/>
          <w:lang w:val="en-US" w:eastAsia="zh-CN"/>
        </w:rPr>
        <w:t>9月</w:t>
      </w:r>
    </w:p>
    <w:p w14:paraId="306E8738">
      <w:pPr>
        <w:pStyle w:val="173"/>
        <w:jc w:val="center"/>
        <w:rPr>
          <w:rFonts w:ascii="Arial" w:hAnsi="Arial" w:cs="Arial"/>
          <w:color w:val="auto"/>
          <w:sz w:val="48"/>
          <w:szCs w:val="48"/>
        </w:rPr>
      </w:pPr>
      <w:r>
        <w:rPr>
          <w:rFonts w:ascii="Arial" w:hAnsi="宋体" w:cs="Arial"/>
          <w:color w:val="auto"/>
          <w:sz w:val="48"/>
          <w:szCs w:val="48"/>
          <w:lang w:val="zh-CN"/>
        </w:rPr>
        <w:t>目录</w:t>
      </w:r>
    </w:p>
    <w:p w14:paraId="6BFA1058">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sz w:val="28"/>
          <w:szCs w:val="36"/>
        </w:rPr>
      </w:pPr>
      <w:r>
        <w:rPr>
          <w:rFonts w:hint="eastAsia" w:ascii="宋体" w:hAnsi="宋体" w:cs="宋体"/>
          <w:sz w:val="40"/>
          <w:szCs w:val="40"/>
        </w:rPr>
        <w:fldChar w:fldCharType="begin"/>
      </w:r>
      <w:r>
        <w:rPr>
          <w:rFonts w:hint="eastAsia" w:ascii="宋体" w:hAnsi="宋体" w:cs="宋体"/>
          <w:sz w:val="40"/>
          <w:szCs w:val="40"/>
        </w:rPr>
        <w:instrText xml:space="preserve">TOC \o "1-1" \h \u </w:instrText>
      </w:r>
      <w:r>
        <w:rPr>
          <w:rFonts w:hint="eastAsia" w:ascii="宋体" w:hAnsi="宋体" w:cs="宋体"/>
          <w:sz w:val="40"/>
          <w:szCs w:val="40"/>
        </w:rPr>
        <w:fldChar w:fldCharType="separate"/>
      </w:r>
      <w:r>
        <w:rPr>
          <w:rFonts w:hint="eastAsia" w:ascii="宋体" w:hAnsi="宋体" w:cs="宋体"/>
          <w:sz w:val="28"/>
          <w:szCs w:val="40"/>
        </w:rPr>
        <w:fldChar w:fldCharType="begin"/>
      </w:r>
      <w:r>
        <w:rPr>
          <w:rFonts w:hint="eastAsia" w:ascii="宋体" w:hAnsi="宋体" w:cs="宋体"/>
          <w:sz w:val="28"/>
          <w:szCs w:val="40"/>
        </w:rPr>
        <w:instrText xml:space="preserve"> HYPERLINK \l _Toc18741 </w:instrText>
      </w:r>
      <w:r>
        <w:rPr>
          <w:rFonts w:hint="eastAsia" w:ascii="宋体" w:hAnsi="宋体" w:cs="宋体"/>
          <w:sz w:val="28"/>
          <w:szCs w:val="40"/>
        </w:rPr>
        <w:fldChar w:fldCharType="separate"/>
      </w:r>
      <w:r>
        <w:rPr>
          <w:rFonts w:hint="eastAsia" w:ascii="Arial" w:cs="Arial"/>
          <w:sz w:val="28"/>
          <w:szCs w:val="36"/>
          <w:lang w:val="en-US" w:eastAsia="zh-CN"/>
        </w:rPr>
        <w:t>第一章 采购公告</w:t>
      </w:r>
      <w:r>
        <w:rPr>
          <w:sz w:val="28"/>
          <w:szCs w:val="36"/>
        </w:rPr>
        <w:tab/>
      </w:r>
      <w:r>
        <w:rPr>
          <w:sz w:val="28"/>
          <w:szCs w:val="36"/>
        </w:rPr>
        <w:fldChar w:fldCharType="begin"/>
      </w:r>
      <w:r>
        <w:rPr>
          <w:sz w:val="28"/>
          <w:szCs w:val="36"/>
        </w:rPr>
        <w:instrText xml:space="preserve"> PAGEREF _Toc18741 \h </w:instrText>
      </w:r>
      <w:r>
        <w:rPr>
          <w:sz w:val="28"/>
          <w:szCs w:val="36"/>
        </w:rPr>
        <w:fldChar w:fldCharType="separate"/>
      </w:r>
      <w:r>
        <w:rPr>
          <w:sz w:val="28"/>
          <w:szCs w:val="36"/>
        </w:rPr>
        <w:t>1</w:t>
      </w:r>
      <w:r>
        <w:rPr>
          <w:sz w:val="28"/>
          <w:szCs w:val="36"/>
        </w:rPr>
        <w:fldChar w:fldCharType="end"/>
      </w:r>
      <w:r>
        <w:rPr>
          <w:rFonts w:hint="eastAsia" w:ascii="宋体" w:hAnsi="宋体" w:cs="宋体"/>
          <w:sz w:val="28"/>
          <w:szCs w:val="40"/>
        </w:rPr>
        <w:fldChar w:fldCharType="end"/>
      </w:r>
    </w:p>
    <w:p w14:paraId="24DB4ACB">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sz w:val="28"/>
          <w:szCs w:val="36"/>
        </w:rPr>
      </w:pPr>
      <w:r>
        <w:rPr>
          <w:rFonts w:hint="eastAsia" w:ascii="宋体" w:hAnsi="宋体" w:cs="宋体"/>
          <w:sz w:val="28"/>
          <w:szCs w:val="40"/>
        </w:rPr>
        <w:fldChar w:fldCharType="begin"/>
      </w:r>
      <w:r>
        <w:rPr>
          <w:rFonts w:hint="eastAsia" w:ascii="宋体" w:hAnsi="宋体" w:cs="宋体"/>
          <w:sz w:val="28"/>
          <w:szCs w:val="40"/>
        </w:rPr>
        <w:instrText xml:space="preserve"> HYPERLINK \l _Toc539 </w:instrText>
      </w:r>
      <w:r>
        <w:rPr>
          <w:rFonts w:hint="eastAsia" w:ascii="宋体" w:hAnsi="宋体" w:cs="宋体"/>
          <w:sz w:val="28"/>
          <w:szCs w:val="40"/>
        </w:rPr>
        <w:fldChar w:fldCharType="separate"/>
      </w:r>
      <w:r>
        <w:rPr>
          <w:rFonts w:hint="eastAsia" w:ascii="Arial" w:cs="Arial"/>
          <w:sz w:val="28"/>
          <w:szCs w:val="36"/>
          <w:lang w:val="en-US" w:eastAsia="zh-CN"/>
        </w:rPr>
        <w:t>第二章 供应商须知</w:t>
      </w:r>
      <w:r>
        <w:rPr>
          <w:sz w:val="28"/>
          <w:szCs w:val="36"/>
        </w:rPr>
        <w:tab/>
      </w:r>
      <w:r>
        <w:rPr>
          <w:sz w:val="28"/>
          <w:szCs w:val="36"/>
        </w:rPr>
        <w:fldChar w:fldCharType="begin"/>
      </w:r>
      <w:r>
        <w:rPr>
          <w:sz w:val="28"/>
          <w:szCs w:val="36"/>
        </w:rPr>
        <w:instrText xml:space="preserve"> PAGEREF _Toc539 \h </w:instrText>
      </w:r>
      <w:r>
        <w:rPr>
          <w:sz w:val="28"/>
          <w:szCs w:val="36"/>
        </w:rPr>
        <w:fldChar w:fldCharType="separate"/>
      </w:r>
      <w:r>
        <w:rPr>
          <w:sz w:val="28"/>
          <w:szCs w:val="36"/>
        </w:rPr>
        <w:t>5</w:t>
      </w:r>
      <w:r>
        <w:rPr>
          <w:sz w:val="28"/>
          <w:szCs w:val="36"/>
        </w:rPr>
        <w:fldChar w:fldCharType="end"/>
      </w:r>
      <w:r>
        <w:rPr>
          <w:rFonts w:hint="eastAsia" w:ascii="宋体" w:hAnsi="宋体" w:cs="宋体"/>
          <w:sz w:val="28"/>
          <w:szCs w:val="40"/>
        </w:rPr>
        <w:fldChar w:fldCharType="end"/>
      </w:r>
    </w:p>
    <w:p w14:paraId="485B528D">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sz w:val="28"/>
          <w:szCs w:val="36"/>
        </w:rPr>
      </w:pPr>
      <w:r>
        <w:rPr>
          <w:rFonts w:hint="eastAsia" w:ascii="宋体" w:hAnsi="宋体" w:cs="宋体"/>
          <w:sz w:val="28"/>
          <w:szCs w:val="40"/>
        </w:rPr>
        <w:fldChar w:fldCharType="begin"/>
      </w:r>
      <w:r>
        <w:rPr>
          <w:rFonts w:hint="eastAsia" w:ascii="宋体" w:hAnsi="宋体" w:cs="宋体"/>
          <w:sz w:val="28"/>
          <w:szCs w:val="40"/>
        </w:rPr>
        <w:instrText xml:space="preserve"> HYPERLINK \l _Toc22394 </w:instrText>
      </w:r>
      <w:r>
        <w:rPr>
          <w:rFonts w:hint="eastAsia" w:ascii="宋体" w:hAnsi="宋体" w:cs="宋体"/>
          <w:sz w:val="28"/>
          <w:szCs w:val="40"/>
        </w:rPr>
        <w:fldChar w:fldCharType="separate"/>
      </w:r>
      <w:r>
        <w:rPr>
          <w:rFonts w:hint="eastAsia" w:ascii="Arial" w:cs="Arial"/>
          <w:sz w:val="28"/>
          <w:szCs w:val="36"/>
          <w:lang w:val="en-US" w:eastAsia="zh-CN"/>
        </w:rPr>
        <w:t>第三章 评标标准</w:t>
      </w:r>
      <w:r>
        <w:rPr>
          <w:sz w:val="28"/>
          <w:szCs w:val="36"/>
        </w:rPr>
        <w:tab/>
      </w:r>
      <w:r>
        <w:rPr>
          <w:sz w:val="28"/>
          <w:szCs w:val="36"/>
        </w:rPr>
        <w:fldChar w:fldCharType="begin"/>
      </w:r>
      <w:r>
        <w:rPr>
          <w:sz w:val="28"/>
          <w:szCs w:val="36"/>
        </w:rPr>
        <w:instrText xml:space="preserve"> PAGEREF _Toc22394 \h </w:instrText>
      </w:r>
      <w:r>
        <w:rPr>
          <w:sz w:val="28"/>
          <w:szCs w:val="36"/>
        </w:rPr>
        <w:fldChar w:fldCharType="separate"/>
      </w:r>
      <w:r>
        <w:rPr>
          <w:sz w:val="28"/>
          <w:szCs w:val="36"/>
        </w:rPr>
        <w:t>19</w:t>
      </w:r>
      <w:r>
        <w:rPr>
          <w:sz w:val="28"/>
          <w:szCs w:val="36"/>
        </w:rPr>
        <w:fldChar w:fldCharType="end"/>
      </w:r>
      <w:r>
        <w:rPr>
          <w:rFonts w:hint="eastAsia" w:ascii="宋体" w:hAnsi="宋体" w:cs="宋体"/>
          <w:sz w:val="28"/>
          <w:szCs w:val="40"/>
        </w:rPr>
        <w:fldChar w:fldCharType="end"/>
      </w:r>
    </w:p>
    <w:p w14:paraId="372A02FD">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sz w:val="28"/>
          <w:szCs w:val="36"/>
        </w:rPr>
      </w:pPr>
      <w:r>
        <w:rPr>
          <w:rFonts w:hint="eastAsia" w:ascii="宋体" w:hAnsi="宋体" w:cs="宋体"/>
          <w:sz w:val="28"/>
          <w:szCs w:val="40"/>
        </w:rPr>
        <w:fldChar w:fldCharType="begin"/>
      </w:r>
      <w:r>
        <w:rPr>
          <w:rFonts w:hint="eastAsia" w:ascii="宋体" w:hAnsi="宋体" w:cs="宋体"/>
          <w:sz w:val="28"/>
          <w:szCs w:val="40"/>
        </w:rPr>
        <w:instrText xml:space="preserve"> HYPERLINK \l _Toc8605 </w:instrText>
      </w:r>
      <w:r>
        <w:rPr>
          <w:rFonts w:hint="eastAsia" w:ascii="宋体" w:hAnsi="宋体" w:cs="宋体"/>
          <w:sz w:val="28"/>
          <w:szCs w:val="40"/>
        </w:rPr>
        <w:fldChar w:fldCharType="separate"/>
      </w:r>
      <w:r>
        <w:rPr>
          <w:rFonts w:hint="eastAsia" w:ascii="Arial" w:cs="Arial"/>
          <w:sz w:val="28"/>
          <w:szCs w:val="36"/>
          <w:lang w:val="en-US" w:eastAsia="zh-CN"/>
        </w:rPr>
        <w:t>第四章 采购需求</w:t>
      </w:r>
      <w:r>
        <w:rPr>
          <w:sz w:val="28"/>
          <w:szCs w:val="36"/>
        </w:rPr>
        <w:tab/>
      </w:r>
      <w:r>
        <w:rPr>
          <w:sz w:val="28"/>
          <w:szCs w:val="36"/>
        </w:rPr>
        <w:fldChar w:fldCharType="begin"/>
      </w:r>
      <w:r>
        <w:rPr>
          <w:sz w:val="28"/>
          <w:szCs w:val="36"/>
        </w:rPr>
        <w:instrText xml:space="preserve"> PAGEREF _Toc8605 \h </w:instrText>
      </w:r>
      <w:r>
        <w:rPr>
          <w:sz w:val="28"/>
          <w:szCs w:val="36"/>
        </w:rPr>
        <w:fldChar w:fldCharType="separate"/>
      </w:r>
      <w:r>
        <w:rPr>
          <w:sz w:val="28"/>
          <w:szCs w:val="36"/>
        </w:rPr>
        <w:t>23</w:t>
      </w:r>
      <w:r>
        <w:rPr>
          <w:sz w:val="28"/>
          <w:szCs w:val="36"/>
        </w:rPr>
        <w:fldChar w:fldCharType="end"/>
      </w:r>
      <w:r>
        <w:rPr>
          <w:rFonts w:hint="eastAsia" w:ascii="宋体" w:hAnsi="宋体" w:cs="宋体"/>
          <w:sz w:val="28"/>
          <w:szCs w:val="40"/>
        </w:rPr>
        <w:fldChar w:fldCharType="end"/>
      </w:r>
    </w:p>
    <w:p w14:paraId="0421A3E3">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sz w:val="28"/>
          <w:szCs w:val="36"/>
        </w:rPr>
      </w:pPr>
      <w:r>
        <w:rPr>
          <w:rFonts w:hint="eastAsia" w:ascii="宋体" w:hAnsi="宋体" w:cs="宋体"/>
          <w:sz w:val="28"/>
          <w:szCs w:val="40"/>
        </w:rPr>
        <w:fldChar w:fldCharType="begin"/>
      </w:r>
      <w:r>
        <w:rPr>
          <w:rFonts w:hint="eastAsia" w:ascii="宋体" w:hAnsi="宋体" w:cs="宋体"/>
          <w:sz w:val="28"/>
          <w:szCs w:val="40"/>
        </w:rPr>
        <w:instrText xml:space="preserve"> HYPERLINK \l _Toc17697 </w:instrText>
      </w:r>
      <w:r>
        <w:rPr>
          <w:rFonts w:hint="eastAsia" w:ascii="宋体" w:hAnsi="宋体" w:cs="宋体"/>
          <w:sz w:val="28"/>
          <w:szCs w:val="40"/>
        </w:rPr>
        <w:fldChar w:fldCharType="separate"/>
      </w:r>
      <w:r>
        <w:rPr>
          <w:rFonts w:hint="eastAsia" w:ascii="Arial" w:cs="Arial"/>
          <w:sz w:val="28"/>
          <w:szCs w:val="36"/>
          <w:lang w:val="en-US" w:eastAsia="zh-CN"/>
        </w:rPr>
        <w:t>第五章 合同主要条款及格式</w:t>
      </w:r>
      <w:r>
        <w:rPr>
          <w:sz w:val="28"/>
          <w:szCs w:val="36"/>
        </w:rPr>
        <w:tab/>
      </w:r>
      <w:r>
        <w:rPr>
          <w:sz w:val="28"/>
          <w:szCs w:val="36"/>
        </w:rPr>
        <w:fldChar w:fldCharType="begin"/>
      </w:r>
      <w:r>
        <w:rPr>
          <w:sz w:val="28"/>
          <w:szCs w:val="36"/>
        </w:rPr>
        <w:instrText xml:space="preserve"> PAGEREF _Toc17697 \h </w:instrText>
      </w:r>
      <w:r>
        <w:rPr>
          <w:sz w:val="28"/>
          <w:szCs w:val="36"/>
        </w:rPr>
        <w:fldChar w:fldCharType="separate"/>
      </w:r>
      <w:r>
        <w:rPr>
          <w:sz w:val="28"/>
          <w:szCs w:val="36"/>
        </w:rPr>
        <w:t>41</w:t>
      </w:r>
      <w:r>
        <w:rPr>
          <w:sz w:val="28"/>
          <w:szCs w:val="36"/>
        </w:rPr>
        <w:fldChar w:fldCharType="end"/>
      </w:r>
      <w:r>
        <w:rPr>
          <w:rFonts w:hint="eastAsia" w:ascii="宋体" w:hAnsi="宋体" w:cs="宋体"/>
          <w:sz w:val="28"/>
          <w:szCs w:val="40"/>
        </w:rPr>
        <w:fldChar w:fldCharType="end"/>
      </w:r>
    </w:p>
    <w:p w14:paraId="56426A8E">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sz w:val="28"/>
          <w:szCs w:val="36"/>
        </w:rPr>
      </w:pPr>
      <w:r>
        <w:rPr>
          <w:rFonts w:hint="eastAsia" w:ascii="宋体" w:hAnsi="宋体" w:cs="宋体"/>
          <w:sz w:val="28"/>
          <w:szCs w:val="40"/>
        </w:rPr>
        <w:fldChar w:fldCharType="begin"/>
      </w:r>
      <w:r>
        <w:rPr>
          <w:rFonts w:hint="eastAsia" w:ascii="宋体" w:hAnsi="宋体" w:cs="宋体"/>
          <w:sz w:val="28"/>
          <w:szCs w:val="40"/>
        </w:rPr>
        <w:instrText xml:space="preserve"> HYPERLINK \l _Toc29371 </w:instrText>
      </w:r>
      <w:r>
        <w:rPr>
          <w:rFonts w:hint="eastAsia" w:ascii="宋体" w:hAnsi="宋体" w:cs="宋体"/>
          <w:sz w:val="28"/>
          <w:szCs w:val="40"/>
        </w:rPr>
        <w:fldChar w:fldCharType="separate"/>
      </w:r>
      <w:r>
        <w:rPr>
          <w:rFonts w:hint="eastAsia" w:ascii="Arial" w:cs="Arial"/>
          <w:sz w:val="28"/>
          <w:szCs w:val="36"/>
          <w:lang w:val="en-US" w:eastAsia="zh-CN"/>
        </w:rPr>
        <w:t>第六章 附件</w:t>
      </w:r>
      <w:r>
        <w:rPr>
          <w:sz w:val="28"/>
          <w:szCs w:val="36"/>
        </w:rPr>
        <w:tab/>
      </w:r>
      <w:r>
        <w:rPr>
          <w:sz w:val="28"/>
          <w:szCs w:val="36"/>
        </w:rPr>
        <w:fldChar w:fldCharType="begin"/>
      </w:r>
      <w:r>
        <w:rPr>
          <w:sz w:val="28"/>
          <w:szCs w:val="36"/>
        </w:rPr>
        <w:instrText xml:space="preserve"> PAGEREF _Toc29371 \h </w:instrText>
      </w:r>
      <w:r>
        <w:rPr>
          <w:sz w:val="28"/>
          <w:szCs w:val="36"/>
        </w:rPr>
        <w:fldChar w:fldCharType="separate"/>
      </w:r>
      <w:r>
        <w:rPr>
          <w:sz w:val="28"/>
          <w:szCs w:val="36"/>
        </w:rPr>
        <w:t>49</w:t>
      </w:r>
      <w:r>
        <w:rPr>
          <w:sz w:val="28"/>
          <w:szCs w:val="36"/>
        </w:rPr>
        <w:fldChar w:fldCharType="end"/>
      </w:r>
      <w:r>
        <w:rPr>
          <w:rFonts w:hint="eastAsia" w:ascii="宋体" w:hAnsi="宋体" w:cs="宋体"/>
          <w:sz w:val="28"/>
          <w:szCs w:val="40"/>
        </w:rPr>
        <w:fldChar w:fldCharType="end"/>
      </w:r>
    </w:p>
    <w:p w14:paraId="315F657C">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hAnsi="Arial" w:cs="Arial"/>
          <w:sz w:val="72"/>
          <w:szCs w:val="72"/>
        </w:rPr>
      </w:pPr>
      <w:r>
        <w:rPr>
          <w:rFonts w:hint="eastAsia" w:ascii="宋体" w:hAnsi="宋体" w:cs="宋体"/>
          <w:sz w:val="28"/>
          <w:szCs w:val="40"/>
        </w:rPr>
        <w:fldChar w:fldCharType="end"/>
      </w:r>
    </w:p>
    <w:p w14:paraId="33C50F2E">
      <w:pPr>
        <w:widowControl/>
        <w:shd w:val="clear" w:color="auto" w:fill="FFFFFF"/>
        <w:spacing w:line="360" w:lineRule="auto"/>
        <w:jc w:val="center"/>
        <w:rPr>
          <w:rFonts w:ascii="Arial" w:hAnsi="Arial" w:cs="Arial"/>
          <w:b/>
          <w:kern w:val="0"/>
          <w:sz w:val="36"/>
          <w:szCs w:val="36"/>
        </w:rPr>
      </w:pPr>
    </w:p>
    <w:p w14:paraId="29E415FA">
      <w:pPr>
        <w:pStyle w:val="2"/>
        <w:rPr>
          <w:rFonts w:ascii="Arial" w:cs="Arial"/>
        </w:rPr>
        <w:sectPr>
          <w:pgSz w:w="11905" w:h="16838"/>
          <w:pgMar w:top="1440" w:right="1803" w:bottom="1440" w:left="1803" w:header="850" w:footer="992" w:gutter="0"/>
          <w:cols w:space="0" w:num="1"/>
          <w:titlePg/>
          <w:docGrid w:type="lines" w:linePitch="317" w:charSpace="0"/>
        </w:sectPr>
      </w:pPr>
      <w:bookmarkStart w:id="2" w:name="_Toc481057143"/>
    </w:p>
    <w:p w14:paraId="2E2BEF7D">
      <w:pPr>
        <w:pStyle w:val="2"/>
        <w:numPr>
          <w:ilvl w:val="0"/>
          <w:numId w:val="0"/>
        </w:numPr>
        <w:rPr>
          <w:rFonts w:hint="eastAsia" w:ascii="Arial" w:cs="Arial"/>
          <w:lang w:val="en-US" w:eastAsia="zh-CN"/>
        </w:rPr>
      </w:pPr>
      <w:bookmarkStart w:id="3" w:name="_Toc18741"/>
      <w:r>
        <w:rPr>
          <w:rFonts w:hint="eastAsia" w:ascii="Arial" w:cs="Arial"/>
          <w:lang w:val="en-US" w:eastAsia="zh-CN"/>
        </w:rPr>
        <w:t xml:space="preserve">第一章 </w:t>
      </w:r>
      <w:bookmarkStart w:id="4" w:name="_Hlk85716974"/>
      <w:r>
        <w:rPr>
          <w:rFonts w:hint="eastAsia" w:ascii="Arial" w:cs="Arial"/>
          <w:lang w:val="en-US" w:eastAsia="zh-CN"/>
        </w:rPr>
        <w:t>采购公告</w:t>
      </w:r>
      <w:bookmarkEnd w:id="2"/>
      <w:bookmarkEnd w:id="3"/>
      <w:bookmarkStart w:id="5" w:name="OLE_LINK5"/>
      <w:bookmarkStart w:id="6" w:name="OLE_LINK7"/>
      <w:bookmarkStart w:id="7" w:name="OLE_LINK1"/>
      <w:bookmarkStart w:id="8" w:name="OLE_LINK6"/>
      <w:bookmarkStart w:id="9" w:name="_Hlk74842529"/>
    </w:p>
    <w:p w14:paraId="668F55D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eastAsia="宋体" w:cs="宋体"/>
          <w:spacing w:val="8"/>
          <w:kern w:val="0"/>
          <w:szCs w:val="21"/>
        </w:rPr>
      </w:pPr>
      <w:bookmarkStart w:id="10" w:name="OLE_LINK4"/>
      <w:bookmarkStart w:id="11" w:name="OLE_LINK2"/>
      <w:bookmarkStart w:id="12" w:name="OLE_LINK3"/>
      <w:bookmarkStart w:id="13" w:name="_Hlk74841176"/>
      <w:r>
        <w:rPr>
          <w:rFonts w:hint="eastAsia" w:ascii="宋体" w:hAnsi="宋体" w:eastAsia="宋体" w:cs="宋体"/>
          <w:spacing w:val="8"/>
          <w:kern w:val="0"/>
          <w:szCs w:val="21"/>
        </w:rPr>
        <w:t>项目概况</w:t>
      </w:r>
    </w:p>
    <w:p w14:paraId="23DC10B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eastAsia="宋体" w:cs="宋体"/>
          <w:spacing w:val="8"/>
          <w:kern w:val="0"/>
          <w:szCs w:val="21"/>
        </w:rPr>
      </w:pPr>
      <w:r>
        <w:rPr>
          <w:rFonts w:hint="eastAsia" w:ascii="宋体" w:hAnsi="宋体" w:eastAsia="宋体" w:cs="宋体"/>
          <w:spacing w:val="8"/>
          <w:kern w:val="0"/>
          <w:szCs w:val="21"/>
          <w:u w:val="single"/>
        </w:rPr>
        <w:t> </w:t>
      </w:r>
      <w:r>
        <w:rPr>
          <w:rFonts w:hint="eastAsia" w:ascii="宋体" w:hAnsi="宋体" w:eastAsia="宋体" w:cs="宋体"/>
          <w:kern w:val="0"/>
          <w:szCs w:val="21"/>
          <w:u w:val="single"/>
          <w:lang w:eastAsia="zh-CN"/>
        </w:rPr>
        <w:t>南京医科大学高性能计算平台采购项目</w:t>
      </w:r>
      <w:r>
        <w:rPr>
          <w:rFonts w:hint="eastAsia" w:ascii="宋体" w:hAnsi="宋体" w:eastAsia="宋体" w:cs="宋体"/>
          <w:kern w:val="0"/>
          <w:szCs w:val="21"/>
          <w:u w:val="single"/>
        </w:rPr>
        <w:t xml:space="preserve"> </w:t>
      </w:r>
      <w:r>
        <w:rPr>
          <w:rFonts w:hint="eastAsia" w:ascii="宋体" w:hAnsi="宋体" w:eastAsia="宋体" w:cs="宋体"/>
          <w:spacing w:val="8"/>
          <w:kern w:val="0"/>
          <w:szCs w:val="21"/>
        </w:rPr>
        <w:t>的潜在供应商应在</w:t>
      </w:r>
      <w:r>
        <w:rPr>
          <w:rFonts w:hint="eastAsia" w:ascii="宋体" w:hAnsi="宋体" w:eastAsia="宋体" w:cs="宋体"/>
          <w:kern w:val="0"/>
          <w:szCs w:val="21"/>
          <w:u w:val="single"/>
        </w:rPr>
        <w:t>苏采云系统注册登记成功后系统内免费</w:t>
      </w:r>
      <w:r>
        <w:rPr>
          <w:rFonts w:hint="eastAsia" w:ascii="宋体" w:hAnsi="宋体" w:eastAsia="宋体" w:cs="宋体"/>
          <w:spacing w:val="8"/>
          <w:kern w:val="0"/>
          <w:szCs w:val="21"/>
        </w:rPr>
        <w:t>获取招标文件，</w:t>
      </w:r>
      <w:r>
        <w:rPr>
          <w:rFonts w:hint="eastAsia" w:ascii="宋体" w:hAnsi="宋体" w:eastAsia="宋体" w:cs="宋体"/>
          <w:color w:val="auto"/>
          <w:spacing w:val="8"/>
          <w:kern w:val="0"/>
          <w:szCs w:val="21"/>
        </w:rPr>
        <w:t>并于</w:t>
      </w:r>
      <w:r>
        <w:rPr>
          <w:rFonts w:hint="eastAsia" w:ascii="宋体" w:hAnsi="宋体" w:eastAsia="宋体" w:cs="宋体"/>
          <w:color w:val="auto"/>
          <w:kern w:val="0"/>
          <w:szCs w:val="21"/>
          <w:u w:val="single"/>
        </w:rPr>
        <w:t>2026年</w:t>
      </w:r>
      <w:r>
        <w:rPr>
          <w:rFonts w:hint="eastAsia" w:ascii="宋体" w:hAnsi="宋体" w:cs="宋体"/>
          <w:color w:val="auto"/>
          <w:kern w:val="0"/>
          <w:szCs w:val="21"/>
          <w:u w:val="single"/>
          <w:lang w:val="en-US" w:eastAsia="zh-CN"/>
        </w:rPr>
        <w:t>10</w:t>
      </w:r>
      <w:r>
        <w:rPr>
          <w:rFonts w:hint="eastAsia" w:ascii="宋体" w:hAnsi="宋体" w:eastAsia="宋体" w:cs="宋体"/>
          <w:color w:val="auto"/>
          <w:kern w:val="0"/>
          <w:szCs w:val="21"/>
          <w:u w:val="single"/>
        </w:rPr>
        <w:t>月</w:t>
      </w:r>
      <w:r>
        <w:rPr>
          <w:rFonts w:hint="eastAsia" w:ascii="宋体" w:hAnsi="宋体" w:cs="宋体"/>
          <w:color w:val="auto"/>
          <w:kern w:val="0"/>
          <w:szCs w:val="21"/>
          <w:u w:val="single"/>
          <w:lang w:val="en-US" w:eastAsia="zh-CN"/>
        </w:rPr>
        <w:t>20</w:t>
      </w:r>
      <w:r>
        <w:rPr>
          <w:rFonts w:hint="eastAsia" w:ascii="宋体" w:hAnsi="宋体" w:eastAsia="宋体" w:cs="宋体"/>
          <w:color w:val="auto"/>
          <w:kern w:val="0"/>
          <w:szCs w:val="21"/>
          <w:u w:val="single"/>
        </w:rPr>
        <w:t>日</w:t>
      </w:r>
      <w:r>
        <w:rPr>
          <w:rFonts w:hint="eastAsia" w:ascii="宋体" w:hAnsi="宋体" w:cs="宋体"/>
          <w:color w:val="auto"/>
          <w:kern w:val="0"/>
          <w:szCs w:val="21"/>
          <w:u w:val="single"/>
          <w:lang w:val="en-US" w:eastAsia="zh-CN"/>
        </w:rPr>
        <w:t>09</w:t>
      </w:r>
      <w:r>
        <w:rPr>
          <w:rFonts w:hint="eastAsia" w:ascii="宋体" w:hAnsi="宋体" w:eastAsia="宋体" w:cs="宋体"/>
          <w:color w:val="auto"/>
          <w:kern w:val="0"/>
          <w:szCs w:val="21"/>
          <w:u w:val="single"/>
        </w:rPr>
        <w:t>点30分</w:t>
      </w:r>
      <w:r>
        <w:rPr>
          <w:rFonts w:hint="eastAsia" w:ascii="宋体" w:hAnsi="宋体" w:eastAsia="宋体" w:cs="宋体"/>
          <w:spacing w:val="8"/>
          <w:kern w:val="0"/>
          <w:szCs w:val="21"/>
        </w:rPr>
        <w:t>（北京时间）前递交投标文件。</w:t>
      </w:r>
    </w:p>
    <w:p w14:paraId="21D732F9">
      <w:pPr>
        <w:rPr>
          <w:rFonts w:hint="eastAsia" w:ascii="宋体" w:hAnsi="宋体" w:eastAsia="宋体" w:cs="宋体"/>
        </w:rPr>
      </w:pPr>
    </w:p>
    <w:p w14:paraId="57CB362C">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一、项目基本情况</w:t>
      </w:r>
    </w:p>
    <w:p w14:paraId="29EA2D46">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eastAsia="zh-CN"/>
        </w:rPr>
      </w:pPr>
      <w:r>
        <w:rPr>
          <w:rFonts w:hint="eastAsia" w:ascii="宋体" w:hAnsi="宋体" w:eastAsia="宋体" w:cs="宋体"/>
          <w:spacing w:val="8"/>
          <w:kern w:val="0"/>
          <w:szCs w:val="21"/>
        </w:rPr>
        <w:t>1.1项目编号：</w:t>
      </w:r>
      <w:r>
        <w:rPr>
          <w:rFonts w:hint="eastAsia" w:ascii="宋体" w:hAnsi="宋体" w:cs="宋体"/>
          <w:spacing w:val="8"/>
          <w:kern w:val="0"/>
          <w:szCs w:val="21"/>
          <w:lang w:eastAsia="zh-CN"/>
        </w:rPr>
        <w:t>JSZC-320000-JCEC-G2026-0380</w:t>
      </w:r>
    </w:p>
    <w:p w14:paraId="17D79080">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eastAsia="zh-CN"/>
        </w:rPr>
      </w:pPr>
      <w:r>
        <w:rPr>
          <w:rFonts w:hint="eastAsia" w:ascii="宋体" w:hAnsi="宋体" w:eastAsia="宋体" w:cs="宋体"/>
          <w:spacing w:val="8"/>
          <w:kern w:val="0"/>
          <w:szCs w:val="21"/>
        </w:rPr>
        <w:t>1.2项目名称：</w:t>
      </w:r>
      <w:r>
        <w:rPr>
          <w:rFonts w:hint="eastAsia" w:ascii="宋体" w:hAnsi="宋体" w:eastAsia="宋体" w:cs="宋体"/>
          <w:spacing w:val="8"/>
          <w:kern w:val="0"/>
          <w:szCs w:val="21"/>
          <w:lang w:eastAsia="zh-CN"/>
        </w:rPr>
        <w:t>南京医科大学高性能计算平台采购项目</w:t>
      </w:r>
    </w:p>
    <w:p w14:paraId="43CF4F93">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rPr>
      </w:pPr>
      <w:r>
        <w:rPr>
          <w:rFonts w:hint="eastAsia" w:ascii="宋体" w:hAnsi="宋体" w:eastAsia="宋体" w:cs="宋体"/>
          <w:spacing w:val="8"/>
          <w:kern w:val="0"/>
          <w:szCs w:val="21"/>
        </w:rPr>
        <w:t>1.3预算金额：人民币</w:t>
      </w:r>
      <w:r>
        <w:rPr>
          <w:rFonts w:hint="eastAsia" w:ascii="宋体" w:hAnsi="宋体" w:eastAsia="宋体" w:cs="宋体"/>
          <w:spacing w:val="8"/>
          <w:kern w:val="0"/>
          <w:szCs w:val="21"/>
          <w:lang w:val="en-US" w:eastAsia="zh-CN"/>
        </w:rPr>
        <w:t>3500</w:t>
      </w:r>
      <w:r>
        <w:rPr>
          <w:rFonts w:hint="eastAsia" w:ascii="宋体" w:hAnsi="宋体" w:eastAsia="宋体" w:cs="宋体"/>
          <w:spacing w:val="8"/>
          <w:kern w:val="0"/>
          <w:szCs w:val="21"/>
        </w:rPr>
        <w:t>.00万元</w:t>
      </w:r>
    </w:p>
    <w:p w14:paraId="72259E92">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rPr>
      </w:pPr>
      <w:r>
        <w:rPr>
          <w:rFonts w:hint="eastAsia" w:ascii="宋体" w:hAnsi="宋体" w:eastAsia="宋体" w:cs="宋体"/>
          <w:spacing w:val="8"/>
          <w:kern w:val="0"/>
          <w:szCs w:val="21"/>
        </w:rPr>
        <w:t>1.4最高限价：人民币</w:t>
      </w:r>
      <w:r>
        <w:rPr>
          <w:rFonts w:hint="eastAsia" w:ascii="宋体" w:hAnsi="宋体" w:eastAsia="宋体" w:cs="宋体"/>
          <w:spacing w:val="8"/>
          <w:kern w:val="0"/>
          <w:szCs w:val="21"/>
          <w:lang w:val="en-US" w:eastAsia="zh-CN"/>
        </w:rPr>
        <w:t>3500</w:t>
      </w:r>
      <w:r>
        <w:rPr>
          <w:rFonts w:hint="eastAsia" w:ascii="宋体" w:hAnsi="宋体" w:eastAsia="宋体" w:cs="宋体"/>
          <w:spacing w:val="8"/>
          <w:kern w:val="0"/>
          <w:szCs w:val="21"/>
        </w:rPr>
        <w:t>.00万元</w:t>
      </w:r>
    </w:p>
    <w:p w14:paraId="5D93BEF9">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rPr>
      </w:pPr>
      <w:r>
        <w:rPr>
          <w:rFonts w:hint="eastAsia" w:ascii="宋体" w:hAnsi="宋体" w:eastAsia="宋体" w:cs="宋体"/>
          <w:spacing w:val="8"/>
          <w:kern w:val="0"/>
          <w:szCs w:val="21"/>
        </w:rPr>
        <w:t>1.5采购需求：南京医科大学为满足</w:t>
      </w:r>
      <w:r>
        <w:rPr>
          <w:rFonts w:hint="eastAsia" w:ascii="宋体" w:hAnsi="宋体" w:eastAsia="宋体" w:cs="宋体"/>
          <w:spacing w:val="8"/>
          <w:kern w:val="0"/>
          <w:szCs w:val="21"/>
          <w:lang w:val="en-US" w:eastAsia="zh-CN"/>
        </w:rPr>
        <w:t>学校</w:t>
      </w:r>
      <w:r>
        <w:rPr>
          <w:rFonts w:hint="eastAsia" w:ascii="宋体" w:hAnsi="宋体" w:eastAsia="宋体" w:cs="宋体"/>
          <w:spacing w:val="8"/>
          <w:kern w:val="0"/>
          <w:szCs w:val="21"/>
        </w:rPr>
        <w:t>需要，需采购</w:t>
      </w:r>
      <w:r>
        <w:rPr>
          <w:rFonts w:hint="eastAsia" w:ascii="宋体" w:hAnsi="宋体" w:eastAsia="宋体" w:cs="宋体"/>
          <w:spacing w:val="8"/>
          <w:kern w:val="0"/>
          <w:szCs w:val="21"/>
          <w:lang w:val="en-US" w:eastAsia="zh-CN"/>
        </w:rPr>
        <w:t>一套</w:t>
      </w:r>
      <w:r>
        <w:rPr>
          <w:rFonts w:hint="eastAsia" w:ascii="宋体" w:hAnsi="宋体" w:eastAsia="宋体" w:cs="宋体"/>
          <w:spacing w:val="8"/>
          <w:kern w:val="0"/>
          <w:szCs w:val="21"/>
        </w:rPr>
        <w:t>高性能计算平台。具体需求详见采购文件 第四章 采购需求。</w:t>
      </w:r>
    </w:p>
    <w:p w14:paraId="08124595">
      <w:pPr>
        <w:pStyle w:val="25"/>
        <w:keepNext w:val="0"/>
        <w:keepLines w:val="0"/>
        <w:pageBreakBefore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spacing w:val="8"/>
          <w:kern w:val="0"/>
          <w:szCs w:val="21"/>
          <w:highlight w:val="none"/>
        </w:rPr>
        <w:t>1.6合同履行期限：合同签订生效后，60天内全部设备、材料运抵现场，并安装、调试结束，验收合格，交付采购</w:t>
      </w:r>
      <w:r>
        <w:rPr>
          <w:rFonts w:hint="eastAsia" w:ascii="宋体" w:hAnsi="宋体" w:eastAsia="宋体" w:cs="宋体"/>
          <w:spacing w:val="8"/>
          <w:kern w:val="0"/>
          <w:szCs w:val="21"/>
          <w:highlight w:val="none"/>
          <w:lang w:val="en-US" w:eastAsia="zh-CN"/>
        </w:rPr>
        <w:t>人</w:t>
      </w:r>
      <w:r>
        <w:rPr>
          <w:rFonts w:hint="eastAsia" w:ascii="宋体" w:hAnsi="宋体" w:eastAsia="宋体" w:cs="宋体"/>
          <w:spacing w:val="8"/>
          <w:kern w:val="0"/>
          <w:szCs w:val="21"/>
          <w:highlight w:val="none"/>
        </w:rPr>
        <w:t>使用。</w:t>
      </w:r>
    </w:p>
    <w:p w14:paraId="4004178E">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rPr>
      </w:pPr>
      <w:r>
        <w:rPr>
          <w:rFonts w:hint="eastAsia" w:ascii="宋体" w:hAnsi="宋体" w:eastAsia="宋体" w:cs="宋体"/>
          <w:spacing w:val="8"/>
          <w:kern w:val="0"/>
          <w:szCs w:val="21"/>
        </w:rPr>
        <w:t>1.7本项目标的所属行业：工业。</w:t>
      </w:r>
    </w:p>
    <w:p w14:paraId="780885CA">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rPr>
      </w:pPr>
      <w:r>
        <w:rPr>
          <w:rFonts w:hint="eastAsia" w:ascii="宋体" w:hAnsi="宋体" w:eastAsia="宋体" w:cs="宋体"/>
          <w:spacing w:val="8"/>
          <w:kern w:val="0"/>
          <w:szCs w:val="21"/>
        </w:rPr>
        <w:t>1.8本项目</w:t>
      </w:r>
      <w:r>
        <w:rPr>
          <w:rFonts w:hint="eastAsia" w:ascii="宋体" w:hAnsi="宋体" w:eastAsia="宋体" w:cs="宋体"/>
          <w:b/>
          <w:bCs/>
          <w:spacing w:val="8"/>
          <w:kern w:val="0"/>
          <w:szCs w:val="21"/>
        </w:rPr>
        <w:t>非专门</w:t>
      </w:r>
      <w:r>
        <w:rPr>
          <w:rFonts w:hint="eastAsia" w:ascii="宋体" w:hAnsi="宋体" w:eastAsia="宋体" w:cs="宋体"/>
          <w:spacing w:val="8"/>
          <w:kern w:val="0"/>
          <w:szCs w:val="21"/>
        </w:rPr>
        <w:t>面向中小企业采购。</w:t>
      </w:r>
    </w:p>
    <w:p w14:paraId="7A0183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1.9本项目</w:t>
      </w:r>
      <w:r>
        <w:rPr>
          <w:rFonts w:hint="eastAsia" w:ascii="宋体" w:hAnsi="宋体" w:eastAsia="宋体" w:cs="宋体"/>
          <w:b/>
          <w:bCs/>
          <w:spacing w:val="8"/>
          <w:kern w:val="0"/>
          <w:szCs w:val="21"/>
          <w:highlight w:val="none"/>
          <w:lang w:val="en-US" w:eastAsia="zh-CN"/>
        </w:rPr>
        <w:t>不</w:t>
      </w:r>
      <w:r>
        <w:rPr>
          <w:rFonts w:hint="eastAsia" w:ascii="宋体" w:hAnsi="宋体" w:eastAsia="宋体" w:cs="宋体"/>
          <w:b/>
          <w:bCs/>
          <w:spacing w:val="8"/>
          <w:kern w:val="0"/>
          <w:szCs w:val="21"/>
          <w:highlight w:val="none"/>
        </w:rPr>
        <w:t>接受</w:t>
      </w:r>
      <w:r>
        <w:rPr>
          <w:rFonts w:hint="eastAsia" w:ascii="宋体" w:hAnsi="宋体" w:eastAsia="宋体" w:cs="宋体"/>
          <w:spacing w:val="8"/>
          <w:kern w:val="0"/>
          <w:szCs w:val="21"/>
          <w:highlight w:val="none"/>
        </w:rPr>
        <w:t>进口产品。</w:t>
      </w:r>
    </w:p>
    <w:p w14:paraId="270F6BDE">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color w:val="FFFFFF" w:themeColor="background1"/>
          <w:spacing w:val="8"/>
          <w:kern w:val="0"/>
          <w:szCs w:val="21"/>
          <w14:textFill>
            <w14:solidFill>
              <w14:schemeClr w14:val="bg1"/>
            </w14:solidFill>
          </w14:textFill>
        </w:rPr>
      </w:pPr>
      <w:r>
        <w:rPr>
          <w:rFonts w:hint="eastAsia" w:ascii="宋体" w:hAnsi="宋体" w:eastAsia="宋体" w:cs="宋体"/>
          <w:spacing w:val="8"/>
          <w:kern w:val="0"/>
          <w:szCs w:val="21"/>
        </w:rPr>
        <w:t>1.10本项目</w:t>
      </w:r>
      <w:r>
        <w:rPr>
          <w:rFonts w:hint="eastAsia" w:ascii="宋体" w:hAnsi="宋体" w:eastAsia="宋体" w:cs="宋体"/>
          <w:b/>
          <w:bCs/>
          <w:spacing w:val="8"/>
          <w:kern w:val="0"/>
          <w:szCs w:val="21"/>
        </w:rPr>
        <w:t>不接受</w:t>
      </w:r>
      <w:r>
        <w:rPr>
          <w:rFonts w:hint="eastAsia" w:ascii="宋体" w:hAnsi="宋体" w:eastAsia="宋体" w:cs="宋体"/>
          <w:spacing w:val="8"/>
          <w:kern w:val="0"/>
          <w:szCs w:val="21"/>
        </w:rPr>
        <w:t>联合体投标。</w:t>
      </w:r>
    </w:p>
    <w:p w14:paraId="15A9DB06">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二、申请人的资格要求：</w:t>
      </w:r>
    </w:p>
    <w:p w14:paraId="30443193">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4" w:firstLineChars="200"/>
        <w:textAlignment w:val="auto"/>
        <w:rPr>
          <w:rFonts w:hint="eastAsia" w:ascii="宋体" w:hAnsi="宋体" w:eastAsia="宋体" w:cs="宋体"/>
          <w:b/>
          <w:bCs/>
          <w:spacing w:val="8"/>
          <w:kern w:val="0"/>
          <w:szCs w:val="21"/>
        </w:rPr>
      </w:pPr>
      <w:r>
        <w:rPr>
          <w:rFonts w:hint="eastAsia" w:ascii="宋体" w:hAnsi="宋体" w:eastAsia="宋体" w:cs="宋体"/>
          <w:b/>
          <w:bCs/>
          <w:spacing w:val="8"/>
          <w:kern w:val="0"/>
          <w:szCs w:val="21"/>
        </w:rPr>
        <w:t>2.1满足《中华人民共和国政府采购法》第二十二条规定；</w:t>
      </w:r>
    </w:p>
    <w:p w14:paraId="432E975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（1）具有独立承担民事责任的能力</w:t>
      </w:r>
      <w:r>
        <w:rPr>
          <w:rFonts w:hint="eastAsia" w:ascii="宋体" w:hAnsi="宋体" w:eastAsia="宋体" w:cs="宋体"/>
          <w:b/>
          <w:szCs w:val="21"/>
        </w:rPr>
        <w:t>（提供法人或者其他组织的营业执照；供应商为自然人的提供其身份证）</w:t>
      </w:r>
      <w:r>
        <w:rPr>
          <w:rFonts w:hint="eastAsia" w:ascii="宋体" w:hAnsi="宋体" w:eastAsia="宋体" w:cs="宋体"/>
          <w:bCs/>
          <w:szCs w:val="21"/>
          <w:lang w:eastAsia="zh-CN"/>
        </w:rPr>
        <w:t>；</w:t>
      </w:r>
      <w:r>
        <w:rPr>
          <w:rFonts w:hint="eastAsia" w:ascii="宋体" w:hAnsi="宋体" w:eastAsia="宋体" w:cs="宋体"/>
          <w:bCs/>
          <w:szCs w:val="21"/>
        </w:rPr>
        <w:t xml:space="preserve"> </w:t>
      </w:r>
    </w:p>
    <w:p w14:paraId="6D6FB9C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lang w:eastAsia="zh-CN"/>
        </w:rPr>
      </w:pPr>
      <w:r>
        <w:rPr>
          <w:rFonts w:hint="eastAsia" w:ascii="宋体" w:hAnsi="宋体" w:eastAsia="宋体" w:cs="宋体"/>
          <w:bCs/>
          <w:szCs w:val="21"/>
        </w:rPr>
        <w:t>（2）具有良好的商业信誉和健全的财务会计制度</w:t>
      </w:r>
      <w:r>
        <w:rPr>
          <w:rFonts w:hint="eastAsia" w:ascii="宋体" w:hAnsi="宋体" w:eastAsia="宋体" w:cs="宋体"/>
          <w:b/>
          <w:szCs w:val="21"/>
        </w:rPr>
        <w:t>（提供2025年度的财务报告，至少包含资产负债表、利润表</w:t>
      </w:r>
      <w:r>
        <w:rPr>
          <w:rFonts w:hint="eastAsia" w:ascii="宋体" w:hAnsi="宋体" w:eastAsia="宋体" w:cs="宋体"/>
          <w:b/>
          <w:szCs w:val="21"/>
          <w:lang w:eastAsia="zh-CN"/>
        </w:rPr>
        <w:t>；</w:t>
      </w:r>
      <w:r>
        <w:rPr>
          <w:rFonts w:hint="eastAsia" w:ascii="宋体" w:hAnsi="宋体" w:eastAsia="宋体" w:cs="宋体"/>
          <w:b/>
          <w:szCs w:val="21"/>
        </w:rPr>
        <w:t>或投标截止时间前六个月内银行出具的资信证明</w:t>
      </w:r>
      <w:r>
        <w:rPr>
          <w:rFonts w:hint="eastAsia" w:ascii="宋体" w:hAnsi="宋体" w:eastAsia="宋体" w:cs="宋体"/>
          <w:b/>
          <w:szCs w:val="21"/>
          <w:lang w:eastAsia="zh-CN"/>
        </w:rPr>
        <w:t>；</w:t>
      </w:r>
      <w:r>
        <w:rPr>
          <w:rFonts w:hint="eastAsia" w:ascii="宋体" w:hAnsi="宋体" w:eastAsia="宋体" w:cs="宋体"/>
          <w:b/>
          <w:szCs w:val="21"/>
        </w:rPr>
        <w:t>成立不满一年无须提供）</w:t>
      </w:r>
      <w:r>
        <w:rPr>
          <w:rFonts w:hint="eastAsia" w:ascii="宋体" w:hAnsi="宋体" w:eastAsia="宋体" w:cs="宋体"/>
          <w:b w:val="0"/>
          <w:bCs/>
          <w:szCs w:val="21"/>
          <w:lang w:eastAsia="zh-CN"/>
        </w:rPr>
        <w:t>；</w:t>
      </w:r>
    </w:p>
    <w:p w14:paraId="72368F0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lang w:eastAsia="zh-CN"/>
        </w:rPr>
      </w:pPr>
      <w:r>
        <w:rPr>
          <w:rFonts w:hint="eastAsia" w:ascii="宋体" w:hAnsi="宋体" w:eastAsia="宋体" w:cs="宋体"/>
          <w:bCs/>
          <w:szCs w:val="21"/>
        </w:rPr>
        <w:t>（3）具有履行合同所必需的设备和专业技术能力</w:t>
      </w:r>
      <w:r>
        <w:rPr>
          <w:rFonts w:hint="eastAsia" w:ascii="宋体" w:hAnsi="宋体" w:eastAsia="宋体" w:cs="宋体"/>
          <w:b/>
          <w:szCs w:val="21"/>
        </w:rPr>
        <w:t>（供应商根据履行采购项目合同需要，提供履行合同所必需的设备和专业技术能力的证明材料或承诺书</w:t>
      </w:r>
      <w:r>
        <w:rPr>
          <w:rFonts w:hint="eastAsia" w:ascii="宋体" w:hAnsi="宋体" w:eastAsia="宋体" w:cs="宋体"/>
          <w:b/>
          <w:szCs w:val="21"/>
          <w:lang w:val="en-US" w:eastAsia="zh-CN"/>
        </w:rPr>
        <w:t>加盖公章</w:t>
      </w:r>
      <w:r>
        <w:rPr>
          <w:rFonts w:hint="eastAsia" w:ascii="宋体" w:hAnsi="宋体" w:eastAsia="宋体" w:cs="宋体"/>
          <w:b/>
          <w:szCs w:val="21"/>
        </w:rPr>
        <w:t>）</w:t>
      </w:r>
      <w:r>
        <w:rPr>
          <w:rFonts w:hint="eastAsia" w:ascii="宋体" w:hAnsi="宋体" w:eastAsia="宋体" w:cs="宋体"/>
          <w:bCs/>
          <w:szCs w:val="21"/>
          <w:lang w:eastAsia="zh-CN"/>
        </w:rPr>
        <w:t>；</w:t>
      </w:r>
    </w:p>
    <w:p w14:paraId="321934D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（4）有依法缴纳税收和社会保障资金的良好记录</w:t>
      </w:r>
      <w:r>
        <w:rPr>
          <w:rFonts w:hint="eastAsia" w:ascii="宋体" w:hAnsi="宋体" w:eastAsia="宋体" w:cs="宋体"/>
          <w:b/>
          <w:szCs w:val="21"/>
        </w:rPr>
        <w:t>（提供自投标截止时间前六个月内任意一个月份：①提供缴纳税收的凭证；②提供缴纳社会保险的凭据，依法享受免缴、缓缴的，提供证明材料）</w:t>
      </w:r>
      <w:r>
        <w:rPr>
          <w:rFonts w:hint="eastAsia" w:ascii="宋体" w:hAnsi="宋体" w:eastAsia="宋体" w:cs="宋体"/>
          <w:bCs/>
          <w:szCs w:val="21"/>
        </w:rPr>
        <w:t>；</w:t>
      </w:r>
    </w:p>
    <w:p w14:paraId="0C0CF25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（5）参加政府采购活动前三年内，在经营活动中没有重大违法记录</w:t>
      </w:r>
      <w:r>
        <w:rPr>
          <w:rFonts w:hint="eastAsia" w:ascii="宋体" w:hAnsi="宋体" w:eastAsia="宋体" w:cs="宋体"/>
          <w:b/>
          <w:szCs w:val="21"/>
        </w:rPr>
        <w:t>（提供承诺书</w:t>
      </w:r>
      <w:r>
        <w:rPr>
          <w:rFonts w:hint="eastAsia" w:ascii="宋体" w:hAnsi="宋体" w:eastAsia="宋体" w:cs="宋体"/>
          <w:b/>
          <w:szCs w:val="21"/>
          <w:lang w:val="en-US" w:eastAsia="zh-CN"/>
        </w:rPr>
        <w:t>加盖公章</w:t>
      </w:r>
      <w:r>
        <w:rPr>
          <w:rFonts w:hint="eastAsia" w:ascii="宋体" w:hAnsi="宋体" w:eastAsia="宋体" w:cs="宋体"/>
          <w:b/>
          <w:szCs w:val="21"/>
        </w:rPr>
        <w:t>）</w:t>
      </w:r>
      <w:r>
        <w:rPr>
          <w:rFonts w:hint="eastAsia" w:ascii="宋体" w:hAnsi="宋体" w:eastAsia="宋体" w:cs="宋体"/>
          <w:bCs/>
          <w:szCs w:val="21"/>
        </w:rPr>
        <w:t>；</w:t>
      </w:r>
    </w:p>
    <w:p w14:paraId="67BA1CC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（6）法律、行政法规规定的其他条件：无。</w:t>
      </w:r>
    </w:p>
    <w:p w14:paraId="69EF7721">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54" w:firstLineChars="200"/>
        <w:textAlignment w:val="auto"/>
        <w:rPr>
          <w:rFonts w:hint="eastAsia" w:ascii="宋体" w:hAnsi="宋体" w:eastAsia="宋体" w:cs="宋体"/>
          <w:b/>
          <w:bCs/>
          <w:spacing w:val="8"/>
          <w:kern w:val="0"/>
          <w:szCs w:val="21"/>
        </w:rPr>
      </w:pPr>
      <w:r>
        <w:rPr>
          <w:rFonts w:hint="eastAsia" w:ascii="宋体" w:hAnsi="宋体" w:eastAsia="宋体" w:cs="宋体"/>
          <w:b/>
          <w:bCs/>
          <w:spacing w:val="8"/>
          <w:kern w:val="0"/>
          <w:szCs w:val="21"/>
        </w:rPr>
        <w:t>2.2落实政府采购政策需满足的资格要求：无。</w:t>
      </w:r>
    </w:p>
    <w:p w14:paraId="22BA0F99">
      <w:pPr>
        <w:keepNext w:val="0"/>
        <w:keepLines w:val="0"/>
        <w:pageBreakBefore w:val="0"/>
        <w:kinsoku/>
        <w:wordWrap/>
        <w:overflowPunct/>
        <w:topLinePunct w:val="0"/>
        <w:autoSpaceDE/>
        <w:autoSpaceDN/>
        <w:bidi w:val="0"/>
        <w:adjustRightInd/>
        <w:snapToGrid/>
        <w:spacing w:line="360" w:lineRule="auto"/>
        <w:ind w:firstLine="454" w:firstLineChars="200"/>
        <w:textAlignment w:val="auto"/>
        <w:rPr>
          <w:rFonts w:hint="eastAsia" w:ascii="宋体" w:hAnsi="宋体" w:eastAsia="宋体" w:cs="宋体"/>
          <w:b/>
          <w:spacing w:val="8"/>
          <w:kern w:val="0"/>
          <w:szCs w:val="21"/>
          <w:highlight w:val="none"/>
        </w:rPr>
      </w:pPr>
      <w:r>
        <w:rPr>
          <w:rFonts w:hint="eastAsia" w:ascii="宋体" w:hAnsi="宋体" w:eastAsia="宋体" w:cs="宋体"/>
          <w:b/>
          <w:spacing w:val="8"/>
          <w:kern w:val="0"/>
          <w:szCs w:val="21"/>
          <w:highlight w:val="none"/>
        </w:rPr>
        <w:t>2.3采购人根据采购项目的特殊要求规定的特定条件，并提供符合特殊要求的证明材料或者情况说明：</w:t>
      </w:r>
      <w:r>
        <w:rPr>
          <w:rFonts w:hint="eastAsia" w:ascii="宋体" w:hAnsi="宋体" w:eastAsia="宋体" w:cs="宋体"/>
          <w:b/>
          <w:spacing w:val="8"/>
          <w:kern w:val="0"/>
          <w:szCs w:val="21"/>
          <w:highlight w:val="none"/>
          <w:lang w:val="en-US" w:eastAsia="zh-CN"/>
        </w:rPr>
        <w:t>无</w:t>
      </w:r>
      <w:r>
        <w:rPr>
          <w:rFonts w:hint="eastAsia" w:ascii="宋体" w:hAnsi="宋体" w:eastAsia="宋体" w:cs="宋体"/>
          <w:b/>
          <w:spacing w:val="8"/>
          <w:kern w:val="0"/>
          <w:szCs w:val="21"/>
          <w:highlight w:val="none"/>
        </w:rPr>
        <w:t>。</w:t>
      </w:r>
    </w:p>
    <w:p w14:paraId="56F5158E">
      <w:pPr>
        <w:keepNext w:val="0"/>
        <w:keepLines w:val="0"/>
        <w:pageBreakBefore w:val="0"/>
        <w:kinsoku/>
        <w:wordWrap/>
        <w:overflowPunct/>
        <w:topLinePunct w:val="0"/>
        <w:autoSpaceDE/>
        <w:autoSpaceDN/>
        <w:bidi w:val="0"/>
        <w:adjustRightInd/>
        <w:snapToGrid/>
        <w:spacing w:line="360" w:lineRule="auto"/>
        <w:ind w:firstLine="454" w:firstLineChars="200"/>
        <w:textAlignment w:val="auto"/>
        <w:rPr>
          <w:rFonts w:hint="eastAsia" w:ascii="宋体" w:hAnsi="宋体" w:eastAsia="宋体" w:cs="宋体"/>
          <w:bCs/>
          <w:szCs w:val="21"/>
        </w:rPr>
      </w:pPr>
      <w:r>
        <w:rPr>
          <w:rFonts w:hint="eastAsia" w:ascii="宋体" w:hAnsi="宋体" w:eastAsia="宋体" w:cs="宋体"/>
          <w:b/>
          <w:spacing w:val="8"/>
          <w:kern w:val="0"/>
          <w:szCs w:val="21"/>
        </w:rPr>
        <w:t>2.4第2.1（5）条所称重大违法记录，</w:t>
      </w:r>
      <w:r>
        <w:rPr>
          <w:rFonts w:hint="eastAsia" w:ascii="宋体" w:hAnsi="宋体" w:eastAsia="宋体" w:cs="宋体"/>
          <w:bCs/>
          <w:szCs w:val="21"/>
        </w:rPr>
        <w:t>是指供应商因违法经营受到刑事处罚或者责令停产停业、吊销许可证或者执照、较大数额罚款等行政处罚。</w:t>
      </w:r>
    </w:p>
    <w:p w14:paraId="1348D28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2.5 供应商在参加政府采购活动前3年内因违法经营被禁止在一定期限内参加政府采购活动，期限届满的，可以参加政府采购活动。</w:t>
      </w:r>
    </w:p>
    <w:p w14:paraId="6BC1A57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2.6单位负责人为同一人或者存在直接控股、管理关系的不同供应商，不得参加同一合同项下的政府采购活动。</w:t>
      </w:r>
    </w:p>
    <w:p w14:paraId="7EF59BF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为采购项目提供整体设计、规范编制或者项目管理、监理、检测等服务的供应商，不得再参加该采购项目的其他采购活动。</w:t>
      </w:r>
    </w:p>
    <w:p w14:paraId="2F6C8B5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p>
    <w:p w14:paraId="7229C518">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三、获取招标文件</w:t>
      </w:r>
    </w:p>
    <w:p w14:paraId="477B10AC">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3.1时间：</w:t>
      </w:r>
      <w:r>
        <w:rPr>
          <w:rFonts w:hint="eastAsia" w:ascii="宋体" w:hAnsi="宋体" w:eastAsia="宋体" w:cs="宋体"/>
          <w:b w:val="0"/>
          <w:bCs/>
          <w:color w:val="auto"/>
          <w:szCs w:val="21"/>
        </w:rPr>
        <w:t>自招标文件公告发布之日起5个工作日</w:t>
      </w:r>
    </w:p>
    <w:p w14:paraId="573B6023">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3.2地点：苏采云系统注册登记成功后系统内免费下载</w:t>
      </w:r>
    </w:p>
    <w:p w14:paraId="1BE40DC3">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pacing w:val="15"/>
          <w:szCs w:val="21"/>
          <w:shd w:val="clear" w:color="auto" w:fill="FFFFFF"/>
        </w:rPr>
      </w:pPr>
      <w:r>
        <w:rPr>
          <w:rFonts w:hint="eastAsia" w:ascii="宋体" w:hAnsi="宋体" w:eastAsia="宋体" w:cs="宋体"/>
          <w:bCs/>
          <w:szCs w:val="21"/>
        </w:rPr>
        <w:t>3.3方式：</w:t>
      </w:r>
      <w:r>
        <w:rPr>
          <w:rFonts w:hint="eastAsia" w:ascii="宋体" w:hAnsi="宋体" w:eastAsia="宋体" w:cs="宋体"/>
          <w:szCs w:val="21"/>
        </w:rPr>
        <w:t>采用网上注册登记方式 </w:t>
      </w:r>
    </w:p>
    <w:p w14:paraId="7CAB8C4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rPr>
      </w:pPr>
      <w:r>
        <w:rPr>
          <w:rFonts w:hint="eastAsia" w:ascii="宋体" w:hAnsi="宋体" w:eastAsia="宋体" w:cs="宋体"/>
          <w:bCs/>
          <w:szCs w:val="21"/>
        </w:rPr>
        <w:t>3.4</w:t>
      </w:r>
      <w:r>
        <w:rPr>
          <w:rFonts w:hint="eastAsia" w:ascii="宋体" w:hAnsi="宋体" w:eastAsia="宋体" w:cs="宋体"/>
          <w:spacing w:val="8"/>
          <w:kern w:val="0"/>
          <w:szCs w:val="21"/>
        </w:rPr>
        <w:t>售价</w:t>
      </w:r>
      <w:r>
        <w:rPr>
          <w:rFonts w:hint="eastAsia" w:ascii="宋体" w:hAnsi="宋体" w:eastAsia="宋体" w:cs="宋体"/>
          <w:spacing w:val="8"/>
          <w:kern w:val="0"/>
          <w:szCs w:val="21"/>
          <w:lang w:eastAsia="zh-CN"/>
        </w:rPr>
        <w:t>：</w:t>
      </w:r>
      <w:r>
        <w:rPr>
          <w:rFonts w:hint="eastAsia" w:ascii="宋体" w:hAnsi="宋体" w:eastAsia="宋体" w:cs="宋体"/>
          <w:spacing w:val="8"/>
          <w:kern w:val="0"/>
          <w:szCs w:val="21"/>
        </w:rPr>
        <w:t>0.00元</w:t>
      </w:r>
    </w:p>
    <w:p w14:paraId="5C31EE97">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四、提交投标文件截止时间、开标时间和地点</w:t>
      </w:r>
    </w:p>
    <w:p w14:paraId="07189309">
      <w:pPr>
        <w:keepNext w:val="0"/>
        <w:keepLines w:val="0"/>
        <w:pageBreakBefore w:val="0"/>
        <w:widowControl/>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rPr>
      </w:pPr>
      <w:r>
        <w:rPr>
          <w:rFonts w:hint="eastAsia" w:ascii="宋体" w:hAnsi="宋体" w:eastAsia="宋体" w:cs="宋体"/>
          <w:spacing w:val="8"/>
          <w:kern w:val="0"/>
          <w:szCs w:val="21"/>
        </w:rPr>
        <w:t>4.1</w:t>
      </w:r>
      <w:r>
        <w:rPr>
          <w:rFonts w:hint="eastAsia" w:ascii="宋体" w:hAnsi="宋体" w:eastAsia="宋体" w:cs="宋体"/>
          <w:spacing w:val="15"/>
          <w:kern w:val="0"/>
          <w:szCs w:val="21"/>
          <w:shd w:val="clear" w:color="auto" w:fill="FFFFFF"/>
        </w:rPr>
        <w:t>提交投标文件截止时间、开标时间：</w:t>
      </w:r>
      <w:r>
        <w:rPr>
          <w:rFonts w:hint="eastAsia" w:ascii="宋体" w:hAnsi="宋体" w:eastAsia="宋体" w:cs="宋体"/>
          <w:b/>
          <w:bCs/>
        </w:rPr>
        <w:t>202</w:t>
      </w:r>
      <w:r>
        <w:rPr>
          <w:rFonts w:hint="eastAsia" w:ascii="宋体" w:hAnsi="宋体" w:eastAsia="宋体" w:cs="宋体"/>
          <w:b/>
          <w:bCs/>
          <w:lang w:val="en-US" w:eastAsia="zh-CN"/>
        </w:rPr>
        <w:t>6</w:t>
      </w:r>
      <w:r>
        <w:rPr>
          <w:rFonts w:hint="eastAsia" w:ascii="宋体" w:hAnsi="宋体" w:eastAsia="宋体" w:cs="宋体"/>
          <w:b/>
          <w:bCs/>
          <w:spacing w:val="8"/>
          <w:kern w:val="0"/>
          <w:szCs w:val="21"/>
        </w:rPr>
        <w:t>年</w:t>
      </w:r>
      <w:r>
        <w:rPr>
          <w:rFonts w:hint="eastAsia" w:ascii="宋体" w:hAnsi="宋体" w:cs="宋体"/>
          <w:b/>
          <w:bCs/>
          <w:spacing w:val="8"/>
          <w:kern w:val="0"/>
          <w:szCs w:val="21"/>
          <w:lang w:val="en-US" w:eastAsia="zh-CN"/>
        </w:rPr>
        <w:t>10</w:t>
      </w:r>
      <w:r>
        <w:rPr>
          <w:rFonts w:hint="eastAsia" w:ascii="宋体" w:hAnsi="宋体" w:eastAsia="宋体" w:cs="宋体"/>
          <w:b/>
          <w:bCs/>
          <w:spacing w:val="8"/>
          <w:kern w:val="0"/>
          <w:szCs w:val="21"/>
        </w:rPr>
        <w:t>月</w:t>
      </w:r>
      <w:r>
        <w:rPr>
          <w:rFonts w:hint="eastAsia" w:ascii="宋体" w:hAnsi="宋体" w:cs="宋体"/>
          <w:b/>
          <w:bCs/>
          <w:spacing w:val="8"/>
          <w:kern w:val="0"/>
          <w:szCs w:val="21"/>
          <w:lang w:val="en-US" w:eastAsia="zh-CN"/>
        </w:rPr>
        <w:t>20</w:t>
      </w:r>
      <w:r>
        <w:rPr>
          <w:rFonts w:hint="eastAsia" w:ascii="宋体" w:hAnsi="宋体" w:eastAsia="宋体" w:cs="宋体"/>
          <w:b/>
          <w:bCs/>
          <w:spacing w:val="8"/>
          <w:kern w:val="0"/>
          <w:szCs w:val="21"/>
          <w:highlight w:val="none"/>
        </w:rPr>
        <w:t>日</w:t>
      </w:r>
      <w:r>
        <w:rPr>
          <w:rFonts w:hint="eastAsia" w:ascii="宋体" w:hAnsi="宋体" w:cs="宋体"/>
          <w:b/>
          <w:bCs/>
          <w:highlight w:val="none"/>
          <w:lang w:val="en-US" w:eastAsia="zh-CN"/>
        </w:rPr>
        <w:t>09</w:t>
      </w:r>
      <w:r>
        <w:rPr>
          <w:rFonts w:hint="eastAsia" w:ascii="宋体" w:hAnsi="宋体" w:eastAsia="宋体" w:cs="宋体"/>
          <w:b/>
          <w:bCs/>
          <w:spacing w:val="8"/>
          <w:kern w:val="0"/>
          <w:szCs w:val="21"/>
          <w:highlight w:val="none"/>
        </w:rPr>
        <w:t>点</w:t>
      </w:r>
      <w:r>
        <w:rPr>
          <w:rFonts w:hint="eastAsia" w:ascii="宋体" w:hAnsi="宋体" w:eastAsia="宋体" w:cs="宋体"/>
          <w:b/>
          <w:bCs/>
          <w:highlight w:val="none"/>
        </w:rPr>
        <w:t>30</w:t>
      </w:r>
      <w:r>
        <w:rPr>
          <w:rFonts w:hint="eastAsia" w:ascii="宋体" w:hAnsi="宋体" w:eastAsia="宋体" w:cs="宋体"/>
          <w:b/>
          <w:bCs/>
          <w:spacing w:val="8"/>
          <w:kern w:val="0"/>
          <w:szCs w:val="21"/>
          <w:highlight w:val="none"/>
        </w:rPr>
        <w:t>分</w:t>
      </w:r>
      <w:r>
        <w:rPr>
          <w:rFonts w:hint="eastAsia" w:ascii="宋体" w:hAnsi="宋体" w:eastAsia="宋体" w:cs="宋体"/>
          <w:spacing w:val="8"/>
          <w:kern w:val="0"/>
          <w:szCs w:val="21"/>
        </w:rPr>
        <w:t>（北京时间）</w:t>
      </w:r>
    </w:p>
    <w:p w14:paraId="54CD8042">
      <w:pPr>
        <w:pStyle w:val="41"/>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4.2地点：江苏省政府采购管理交易系统（苏采云）（以下简称“苏采云”）（网址：http://jszfcg.jsczt.cn/）</w:t>
      </w:r>
    </w:p>
    <w:p w14:paraId="472D6DAD">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五、公告期限</w:t>
      </w:r>
    </w:p>
    <w:p w14:paraId="34D56A54">
      <w:pPr>
        <w:widowControl/>
        <w:shd w:val="clear" w:color="auto" w:fill="FFFFFF" w:themeFill="background1"/>
        <w:spacing w:line="360" w:lineRule="auto"/>
        <w:ind w:firstLine="370"/>
        <w:rPr>
          <w:rFonts w:hint="eastAsia" w:ascii="宋体" w:hAnsi="宋体" w:eastAsia="宋体" w:cs="宋体"/>
          <w:spacing w:val="8"/>
          <w:kern w:val="0"/>
          <w:szCs w:val="21"/>
        </w:rPr>
      </w:pPr>
      <w:r>
        <w:rPr>
          <w:rFonts w:hint="eastAsia" w:ascii="宋体" w:hAnsi="宋体" w:eastAsia="宋体" w:cs="宋体"/>
          <w:spacing w:val="8"/>
          <w:kern w:val="0"/>
          <w:szCs w:val="21"/>
        </w:rPr>
        <w:t>自本公告发布之日起5个工作日。</w:t>
      </w:r>
    </w:p>
    <w:p w14:paraId="7A5CE23E">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六、其他补充事宜</w:t>
      </w:r>
    </w:p>
    <w:p w14:paraId="7B664341">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Cs/>
          <w:szCs w:val="21"/>
          <w:lang w:val="zh-CN"/>
        </w:rPr>
      </w:pPr>
      <w:r>
        <w:rPr>
          <w:rFonts w:hint="eastAsia" w:ascii="宋体" w:hAnsi="宋体" w:eastAsia="宋体" w:cs="宋体"/>
          <w:spacing w:val="8"/>
          <w:kern w:val="0"/>
          <w:szCs w:val="21"/>
          <w:lang w:val="zh-CN"/>
        </w:rPr>
        <w:t>6.1本</w:t>
      </w:r>
      <w:r>
        <w:rPr>
          <w:rFonts w:hint="eastAsia" w:ascii="宋体" w:hAnsi="宋体" w:eastAsia="宋体" w:cs="宋体"/>
          <w:bCs/>
          <w:szCs w:val="21"/>
          <w:lang w:val="zh-CN"/>
        </w:rPr>
        <w:t>项目在</w:t>
      </w:r>
      <w:r>
        <w:rPr>
          <w:rFonts w:hint="eastAsia" w:ascii="宋体" w:hAnsi="宋体" w:eastAsia="宋体" w:cs="宋体"/>
          <w:b/>
          <w:szCs w:val="21"/>
          <w:u w:val="single"/>
        </w:rPr>
        <w:t>江苏政府采购网、中国政府采购网</w:t>
      </w:r>
      <w:r>
        <w:rPr>
          <w:rFonts w:hint="eastAsia" w:ascii="宋体" w:hAnsi="宋体" w:eastAsia="宋体" w:cs="宋体"/>
          <w:bCs/>
          <w:szCs w:val="21"/>
          <w:lang w:val="zh-CN"/>
        </w:rPr>
        <w:t>发布公告。</w:t>
      </w:r>
    </w:p>
    <w:p w14:paraId="2F6CE80F">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rPr>
      </w:pPr>
      <w:r>
        <w:rPr>
          <w:rFonts w:hint="eastAsia" w:ascii="宋体" w:hAnsi="宋体" w:eastAsia="宋体" w:cs="宋体"/>
          <w:spacing w:val="8"/>
          <w:kern w:val="0"/>
          <w:szCs w:val="21"/>
          <w:lang w:val="zh-CN"/>
        </w:rPr>
        <w:t>6.2勘察现场或答疑地点：无。</w:t>
      </w:r>
    </w:p>
    <w:p w14:paraId="1769EC01">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zh-CN"/>
        </w:rPr>
        <w:t>6.3</w:t>
      </w:r>
      <w:r>
        <w:rPr>
          <w:rFonts w:hint="eastAsia" w:ascii="宋体" w:hAnsi="宋体" w:eastAsia="宋体" w:cs="宋体"/>
          <w:spacing w:val="8"/>
          <w:kern w:val="0"/>
          <w:szCs w:val="21"/>
          <w:lang w:val="en-US" w:eastAsia="zh-CN"/>
        </w:rPr>
        <w:t>获取招标文件方式补充：本项目采用网上注册登记方式。</w:t>
      </w:r>
    </w:p>
    <w:p w14:paraId="47447B94">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①潜在供应商访问电子招标响应交易平台的网络地址和方法：</w:t>
      </w:r>
    </w:p>
    <w:p w14:paraId="220A6590">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②潜在供应商访问“苏采云”系统的网络地址和方法：“苏采云”系统的网址：http：//jszfcg.jsczt.cn/。</w:t>
      </w:r>
    </w:p>
    <w:p w14:paraId="4062FEE0">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③“CA数字证书”的获取：</w:t>
      </w:r>
    </w:p>
    <w:p w14:paraId="331139FA">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响应供应商需办理“CA 数字证书”，CA办理指南及“苏采云”操作手册可至江苏省政府采购网―办事指南-资料下载中心下载。</w:t>
      </w:r>
    </w:p>
    <w:p w14:paraId="6389A587">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通过苏采云系统首页（http：//jszfcg.jscz.gov.cn/）的“苏采云控件驱动下载”，选择“政务CA、方正签章控件驱动安装包及安装说明”下载安装，具体安装方法详见下载文件内的《安装说明》。</w:t>
      </w:r>
    </w:p>
    <w:p w14:paraId="3F63615E">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④采购文件（后缀名为“.kedt”）、供应商操作手册及政府采购客户端工具可通过“苏采云”系统--已报名项目--报名详情页面内相应链接进行下载。</w:t>
      </w:r>
    </w:p>
    <w:p w14:paraId="6599CCD2">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⑤采购人或采购代理机构将数据电文形式的采购文件加载至“苏采云”系统，供潜在供应商下载或者查阅。</w:t>
      </w:r>
    </w:p>
    <w:p w14:paraId="04897C07">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⑥请潜在供应商提前安装相应的控件（详见《江苏省政府采购管理交易系统（苏采云）供应商操作手册》）并使用谷歌浏览器登录“苏采云”系统参与不见面开评标。</w:t>
      </w:r>
    </w:p>
    <w:p w14:paraId="174193A8">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rPr>
      </w:pPr>
      <w:r>
        <w:rPr>
          <w:rFonts w:hint="eastAsia" w:ascii="宋体" w:hAnsi="宋体" w:eastAsia="宋体" w:cs="宋体"/>
          <w:spacing w:val="8"/>
          <w:kern w:val="0"/>
          <w:szCs w:val="21"/>
          <w:lang w:val="en-US" w:eastAsia="zh-CN"/>
        </w:rPr>
        <w:t>注：如潜在供应商未按上述要求操作，将自行承担所产生的风险。</w:t>
      </w:r>
    </w:p>
    <w:p w14:paraId="49CA518C">
      <w:pPr>
        <w:widowControl/>
        <w:shd w:val="clear" w:color="auto" w:fill="FFFFFF" w:themeFill="background1"/>
        <w:spacing w:line="360" w:lineRule="auto"/>
        <w:rPr>
          <w:rFonts w:hint="eastAsia" w:ascii="宋体" w:hAnsi="宋体" w:eastAsia="宋体" w:cs="宋体"/>
          <w:b/>
          <w:spacing w:val="8"/>
          <w:kern w:val="0"/>
          <w:sz w:val="24"/>
        </w:rPr>
      </w:pPr>
      <w:r>
        <w:rPr>
          <w:rFonts w:hint="eastAsia" w:ascii="宋体" w:hAnsi="宋体" w:eastAsia="宋体" w:cs="宋体"/>
          <w:b/>
          <w:spacing w:val="8"/>
          <w:kern w:val="0"/>
          <w:sz w:val="24"/>
        </w:rPr>
        <w:t>七、对本次招标提出询问，请按以下方式联系</w:t>
      </w:r>
    </w:p>
    <w:bookmarkEnd w:id="5"/>
    <w:bookmarkEnd w:id="6"/>
    <w:bookmarkEnd w:id="7"/>
    <w:bookmarkEnd w:id="8"/>
    <w:bookmarkEnd w:id="10"/>
    <w:bookmarkEnd w:id="11"/>
    <w:bookmarkEnd w:id="12"/>
    <w:p w14:paraId="71A74691">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7.1采购人信息</w:t>
      </w:r>
    </w:p>
    <w:p w14:paraId="394B194B">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名 称：南京医科大学</w:t>
      </w:r>
    </w:p>
    <w:p w14:paraId="11162C63">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地址：南京市江宁区龙眠大道101号</w:t>
      </w:r>
    </w:p>
    <w:p w14:paraId="1AB19926">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联系方式：</w:t>
      </w:r>
      <w:r>
        <w:rPr>
          <w:rFonts w:hint="eastAsia" w:ascii="宋体" w:hAnsi="宋体" w:cs="宋体"/>
          <w:spacing w:val="8"/>
          <w:kern w:val="0"/>
          <w:szCs w:val="21"/>
          <w:lang w:val="en-US" w:eastAsia="zh-CN"/>
        </w:rPr>
        <w:t>汪</w:t>
      </w:r>
      <w:r>
        <w:rPr>
          <w:rFonts w:hint="eastAsia" w:ascii="宋体" w:hAnsi="宋体" w:eastAsia="宋体" w:cs="宋体"/>
          <w:spacing w:val="8"/>
          <w:kern w:val="0"/>
          <w:szCs w:val="21"/>
          <w:lang w:val="zh-CN" w:eastAsia="zh-CN"/>
        </w:rPr>
        <w:t xml:space="preserve">老师 </w:t>
      </w:r>
      <w:r>
        <w:rPr>
          <w:rFonts w:hint="eastAsia" w:ascii="宋体" w:hAnsi="宋体" w:eastAsia="宋体" w:cs="宋体"/>
          <w:spacing w:val="8"/>
          <w:kern w:val="0"/>
          <w:szCs w:val="21"/>
          <w:lang w:val="en-US" w:eastAsia="zh-CN"/>
        </w:rPr>
        <w:t>025-86867808</w:t>
      </w:r>
    </w:p>
    <w:p w14:paraId="2A4D0FB6">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7.2采购代理机构信息</w:t>
      </w:r>
    </w:p>
    <w:p w14:paraId="696088D7">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名 称：江苏省设备成套股份有限公司</w:t>
      </w:r>
    </w:p>
    <w:p w14:paraId="376E8423">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地　址：南京市鼓楼区清江南路18号鼓楼创新广场10楼100</w:t>
      </w:r>
      <w:r>
        <w:rPr>
          <w:rFonts w:hint="eastAsia" w:ascii="宋体" w:hAnsi="宋体" w:eastAsia="宋体" w:cs="宋体"/>
          <w:spacing w:val="8"/>
          <w:kern w:val="0"/>
          <w:szCs w:val="21"/>
          <w:lang w:val="en-US" w:eastAsia="zh-CN"/>
        </w:rPr>
        <w:t>1</w:t>
      </w:r>
      <w:r>
        <w:rPr>
          <w:rFonts w:hint="eastAsia" w:ascii="宋体" w:hAnsi="宋体" w:eastAsia="宋体" w:cs="宋体"/>
          <w:spacing w:val="8"/>
          <w:kern w:val="0"/>
          <w:szCs w:val="21"/>
          <w:lang w:val="zh-CN" w:eastAsia="zh-CN"/>
        </w:rPr>
        <w:t>室</w:t>
      </w:r>
    </w:p>
    <w:p w14:paraId="25CFF900">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zh-CN" w:eastAsia="zh-CN"/>
        </w:rPr>
        <w:t>联系方式：</w:t>
      </w:r>
      <w:r>
        <w:rPr>
          <w:rFonts w:hint="eastAsia" w:ascii="宋体" w:hAnsi="宋体" w:eastAsia="宋体" w:cs="宋体"/>
          <w:spacing w:val="8"/>
          <w:kern w:val="0"/>
          <w:szCs w:val="21"/>
          <w:lang w:val="en-US" w:eastAsia="zh-CN"/>
        </w:rPr>
        <w:t>古南明</w:t>
      </w:r>
      <w:r>
        <w:rPr>
          <w:rFonts w:hint="eastAsia" w:ascii="宋体" w:hAnsi="宋体" w:eastAsia="宋体" w:cs="宋体"/>
          <w:spacing w:val="8"/>
          <w:kern w:val="0"/>
          <w:szCs w:val="21"/>
          <w:lang w:val="zh-CN" w:eastAsia="zh-CN"/>
        </w:rPr>
        <w:t xml:space="preserve"> 025-</w:t>
      </w:r>
      <w:r>
        <w:rPr>
          <w:rFonts w:hint="eastAsia" w:ascii="宋体" w:hAnsi="宋体" w:eastAsia="宋体" w:cs="宋体"/>
          <w:spacing w:val="8"/>
          <w:kern w:val="0"/>
          <w:szCs w:val="21"/>
          <w:lang w:val="en-US" w:eastAsia="zh-CN"/>
        </w:rPr>
        <w:t>83306855</w:t>
      </w:r>
    </w:p>
    <w:p w14:paraId="36903703">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7.3项目联系方式</w:t>
      </w:r>
    </w:p>
    <w:p w14:paraId="559B48E7">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zh-CN" w:eastAsia="zh-CN"/>
        </w:rPr>
      </w:pPr>
      <w:r>
        <w:rPr>
          <w:rFonts w:hint="eastAsia" w:ascii="宋体" w:hAnsi="宋体" w:eastAsia="宋体" w:cs="宋体"/>
          <w:spacing w:val="8"/>
          <w:kern w:val="0"/>
          <w:szCs w:val="21"/>
          <w:lang w:val="zh-CN" w:eastAsia="zh-CN"/>
        </w:rPr>
        <w:t>项目联系人：</w:t>
      </w:r>
      <w:r>
        <w:rPr>
          <w:rFonts w:hint="eastAsia" w:ascii="宋体" w:hAnsi="宋体" w:eastAsia="宋体" w:cs="宋体"/>
          <w:spacing w:val="8"/>
          <w:kern w:val="0"/>
          <w:szCs w:val="21"/>
          <w:lang w:val="en-US" w:eastAsia="zh-CN"/>
        </w:rPr>
        <w:t>古南明</w:t>
      </w:r>
    </w:p>
    <w:p w14:paraId="4148A574">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zh-CN" w:eastAsia="zh-CN"/>
        </w:rPr>
        <w:t>电　话： 025-</w:t>
      </w:r>
      <w:r>
        <w:rPr>
          <w:rFonts w:hint="eastAsia" w:ascii="宋体" w:hAnsi="宋体" w:eastAsia="宋体" w:cs="宋体"/>
          <w:spacing w:val="8"/>
          <w:kern w:val="0"/>
          <w:szCs w:val="21"/>
          <w:lang w:val="en-US" w:eastAsia="zh-CN"/>
        </w:rPr>
        <w:t>83306855</w:t>
      </w:r>
    </w:p>
    <w:p w14:paraId="1B001D52">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spacing w:val="8"/>
          <w:kern w:val="0"/>
          <w:szCs w:val="21"/>
          <w:lang w:val="en-US" w:eastAsia="zh-CN"/>
        </w:rPr>
      </w:pPr>
      <w:r>
        <w:rPr>
          <w:rFonts w:hint="eastAsia" w:ascii="宋体" w:hAnsi="宋体" w:eastAsia="宋体" w:cs="宋体"/>
          <w:spacing w:val="8"/>
          <w:kern w:val="0"/>
          <w:szCs w:val="21"/>
          <w:lang w:val="en-US" w:eastAsia="zh-CN"/>
        </w:rPr>
        <w:t>邮箱：gunm@jcec.cn</w:t>
      </w:r>
    </w:p>
    <w:bookmarkEnd w:id="4"/>
    <w:bookmarkEnd w:id="9"/>
    <w:bookmarkEnd w:id="13"/>
    <w:p w14:paraId="6E71A5E2">
      <w:pPr>
        <w:widowControl/>
        <w:jc w:val="left"/>
        <w:rPr>
          <w:rFonts w:hint="eastAsia" w:ascii="宋体" w:hAnsi="宋体" w:eastAsia="宋体" w:cs="宋体"/>
          <w:szCs w:val="21"/>
        </w:rPr>
      </w:pPr>
      <w:r>
        <w:rPr>
          <w:rFonts w:hint="eastAsia" w:ascii="宋体" w:hAnsi="宋体" w:eastAsia="宋体" w:cs="宋体"/>
          <w:szCs w:val="21"/>
        </w:rPr>
        <w:br w:type="page"/>
      </w:r>
    </w:p>
    <w:p w14:paraId="18F5B9CD">
      <w:pPr>
        <w:pStyle w:val="2"/>
        <w:numPr>
          <w:ilvl w:val="0"/>
          <w:numId w:val="0"/>
        </w:numPr>
        <w:rPr>
          <w:rFonts w:hint="eastAsia" w:ascii="Arial" w:cs="Arial"/>
          <w:lang w:val="en-US" w:eastAsia="zh-CN"/>
        </w:rPr>
      </w:pPr>
      <w:bookmarkStart w:id="14" w:name="_Toc539"/>
      <w:r>
        <w:rPr>
          <w:rFonts w:hint="eastAsia" w:ascii="Arial" w:cs="Arial"/>
          <w:lang w:val="en-US" w:eastAsia="zh-CN"/>
        </w:rPr>
        <w:t>第二章</w:t>
      </w:r>
      <w:bookmarkStart w:id="15" w:name="_Toc452625218"/>
      <w:r>
        <w:rPr>
          <w:rFonts w:hint="eastAsia" w:ascii="Arial" w:cs="Arial"/>
          <w:lang w:val="en-US" w:eastAsia="zh-CN"/>
        </w:rPr>
        <w:t xml:space="preserve"> 供应商须知</w:t>
      </w:r>
      <w:bookmarkEnd w:id="14"/>
      <w:bookmarkEnd w:id="15"/>
    </w:p>
    <w:p w14:paraId="25E5BA20">
      <w:pPr>
        <w:widowControl/>
        <w:shd w:val="clear" w:color="auto" w:fill="FFFFFF"/>
        <w:spacing w:line="360" w:lineRule="auto"/>
        <w:ind w:firstLine="424" w:firstLineChars="201"/>
        <w:rPr>
          <w:rFonts w:hint="eastAsia" w:ascii="宋体" w:hAnsi="宋体" w:eastAsia="宋体" w:cs="宋体"/>
          <w:kern w:val="0"/>
          <w:szCs w:val="21"/>
        </w:rPr>
      </w:pPr>
      <w:bookmarkStart w:id="16" w:name="_Toc25340"/>
      <w:bookmarkStart w:id="17" w:name="_Toc481057145"/>
      <w:r>
        <w:rPr>
          <w:rFonts w:hint="eastAsia" w:ascii="宋体" w:hAnsi="宋体" w:eastAsia="宋体" w:cs="宋体"/>
          <w:b/>
          <w:bCs/>
          <w:kern w:val="0"/>
          <w:szCs w:val="21"/>
        </w:rPr>
        <w:t>一、总 则</w:t>
      </w:r>
    </w:p>
    <w:p w14:paraId="7922307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1、适用法律</w:t>
      </w:r>
    </w:p>
    <w:p w14:paraId="2FAB4DE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97C8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2、定义</w:t>
      </w:r>
    </w:p>
    <w:p w14:paraId="078C05F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2.1“采购人”是指依法进行政府采购的国家机关、事业单位、团体组织。</w:t>
      </w:r>
    </w:p>
    <w:p w14:paraId="21CCA46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2.2“供应商（供应商）”是指参加投标竞争，并符合招标文件规定资格条件的法人、其他组织或者自然人。</w:t>
      </w:r>
    </w:p>
    <w:p w14:paraId="42CCB41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2.3“采购代理机构”是指集中采购机构和集中采购机构以外的采购代理机构，集中采购机构以外的采购代理机构，是从事采购代理业务的社会中介机构。</w:t>
      </w:r>
    </w:p>
    <w:p w14:paraId="42252B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2.4“货物和服务”指本招标文件中所述</w:t>
      </w:r>
      <w:r>
        <w:rPr>
          <w:rFonts w:hint="eastAsia" w:ascii="宋体" w:hAnsi="宋体" w:eastAsia="宋体" w:cs="宋体"/>
          <w:bCs/>
          <w:kern w:val="0"/>
          <w:szCs w:val="21"/>
        </w:rPr>
        <w:t>产品</w:t>
      </w:r>
      <w:r>
        <w:rPr>
          <w:rFonts w:hint="eastAsia" w:ascii="宋体" w:hAnsi="宋体" w:eastAsia="宋体" w:cs="宋体"/>
          <w:kern w:val="0"/>
          <w:szCs w:val="21"/>
        </w:rPr>
        <w:t>及相关服务。</w:t>
      </w:r>
    </w:p>
    <w:p w14:paraId="2710E43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2.5“用户或使用单位”是指使用货物，接受服务的单位。</w:t>
      </w:r>
    </w:p>
    <w:p w14:paraId="4E10533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3、政策功能</w:t>
      </w:r>
    </w:p>
    <w:p w14:paraId="6355767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0AF8F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A2F3E8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17E4C5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3544294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F184E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3.6进口产品政策</w:t>
      </w:r>
    </w:p>
    <w:p w14:paraId="56847D8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（1）除采购公告载明接受进口产品参加外，不允许进口产品参加。进口产品认定依照《财政部关于政府采购进口产品管理有关问题的通知》（财办库〔2008〕248号）的规定。</w:t>
      </w:r>
    </w:p>
    <w:p w14:paraId="33D0048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（2）允许进口产品参加的，满足需求的国内产品可以参加。</w:t>
      </w:r>
    </w:p>
    <w:p w14:paraId="4E496A4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（3）允许进口产品参加的，优先采购向我国企业转让技术、与我国企业签订消化吸收再创新方案的供应商的进口产品。</w:t>
      </w:r>
    </w:p>
    <w:p w14:paraId="5625E55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3.7本国产品支持政策</w:t>
      </w:r>
    </w:p>
    <w:p w14:paraId="12DA6BB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1332204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08CD2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3.8未按要求提供相关材料的，不享受相关政策。</w:t>
      </w:r>
    </w:p>
    <w:p w14:paraId="3C4F12CC">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
          <w:bCs/>
          <w:kern w:val="0"/>
          <w:szCs w:val="21"/>
        </w:rPr>
        <w:t>二、招标文件构成</w:t>
      </w:r>
    </w:p>
    <w:p w14:paraId="4090F91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4、招标文件组成</w:t>
      </w:r>
    </w:p>
    <w:p w14:paraId="14B0F78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4.1招标文件包括以下主要内容：采购公告；供应商须知；供应商应当提交的资格、资信证明文件；为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p>
    <w:p w14:paraId="64146F1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4.2招标的最小单位是</w:t>
      </w:r>
      <w:r>
        <w:rPr>
          <w:rFonts w:hint="eastAsia" w:ascii="宋体" w:hAnsi="宋体" w:eastAsia="宋体" w:cs="宋体"/>
          <w:kern w:val="0"/>
          <w:szCs w:val="21"/>
          <w:lang w:val="en-US" w:eastAsia="zh-CN"/>
        </w:rPr>
        <w:t>包</w:t>
      </w:r>
      <w:r>
        <w:rPr>
          <w:rFonts w:hint="eastAsia" w:ascii="宋体" w:hAnsi="宋体" w:eastAsia="宋体" w:cs="宋体"/>
          <w:kern w:val="0"/>
          <w:szCs w:val="21"/>
        </w:rPr>
        <w:t>。招标货物数量及技术要求中未分</w:t>
      </w:r>
      <w:r>
        <w:rPr>
          <w:rFonts w:hint="eastAsia" w:ascii="宋体" w:hAnsi="宋体" w:eastAsia="宋体" w:cs="宋体"/>
          <w:kern w:val="0"/>
          <w:szCs w:val="21"/>
          <w:lang w:val="en-US" w:eastAsia="zh-CN"/>
        </w:rPr>
        <w:t>包</w:t>
      </w:r>
      <w:r>
        <w:rPr>
          <w:rFonts w:hint="eastAsia" w:ascii="宋体" w:hAnsi="宋体" w:eastAsia="宋体" w:cs="宋体"/>
          <w:kern w:val="0"/>
          <w:szCs w:val="21"/>
        </w:rPr>
        <w:t>的，供应商对要求提供的货物和服务不得部分投标；招标货物数量及技术要求中已经分</w:t>
      </w:r>
      <w:r>
        <w:rPr>
          <w:rFonts w:hint="eastAsia" w:ascii="宋体" w:hAnsi="宋体" w:eastAsia="宋体" w:cs="宋体"/>
          <w:kern w:val="0"/>
          <w:szCs w:val="21"/>
          <w:lang w:val="en-US" w:eastAsia="zh-CN"/>
        </w:rPr>
        <w:t>包</w:t>
      </w:r>
      <w:r>
        <w:rPr>
          <w:rFonts w:hint="eastAsia" w:ascii="宋体" w:hAnsi="宋体" w:eastAsia="宋体" w:cs="宋体"/>
          <w:kern w:val="0"/>
          <w:szCs w:val="21"/>
        </w:rPr>
        <w:t>的，可以以</w:t>
      </w:r>
      <w:r>
        <w:rPr>
          <w:rFonts w:hint="eastAsia" w:ascii="宋体" w:hAnsi="宋体" w:eastAsia="宋体" w:cs="宋体"/>
          <w:kern w:val="0"/>
          <w:szCs w:val="21"/>
          <w:lang w:val="en-US" w:eastAsia="zh-CN"/>
        </w:rPr>
        <w:t>包</w:t>
      </w:r>
      <w:r>
        <w:rPr>
          <w:rFonts w:hint="eastAsia" w:ascii="宋体" w:hAnsi="宋体" w:eastAsia="宋体" w:cs="宋体"/>
          <w:kern w:val="0"/>
          <w:szCs w:val="21"/>
        </w:rPr>
        <w:t>为单位投标。</w:t>
      </w:r>
    </w:p>
    <w:p w14:paraId="7EF609D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4.3采购代理机构如果要求供应商按照招标文件规定提交备选投标方案的，供应商可以提交备选方案；否则，备选方案将被拒绝。</w:t>
      </w:r>
    </w:p>
    <w:p w14:paraId="3FE5349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4.4招标文件中要求的产品品牌或型号，是采购人根据项目所要实现的功能推荐的品牌或型号，仅供供应商参考，并不是限制条件。</w:t>
      </w:r>
    </w:p>
    <w:p w14:paraId="571F151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5、招标文件的澄清或者修改</w:t>
      </w:r>
    </w:p>
    <w:p w14:paraId="5E79E35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513200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49BF7DF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三、投标文件的编制</w:t>
      </w:r>
    </w:p>
    <w:p w14:paraId="525017A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6、投标文件的语言、计量单位、货币和编制</w:t>
      </w:r>
    </w:p>
    <w:p w14:paraId="65A8B1A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p>
    <w:p w14:paraId="13B4CFF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6.2供应商所使用的计量单位应为国家法定计量单位。</w:t>
      </w:r>
    </w:p>
    <w:p w14:paraId="1A9A8D8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6.3供应商应用人民币报价。投标产品如果是进口产品的，应提供人民币与</w:t>
      </w:r>
      <w:r>
        <w:rPr>
          <w:rFonts w:hint="eastAsia" w:ascii="宋体" w:hAnsi="宋体" w:eastAsia="宋体" w:cs="宋体"/>
          <w:b/>
          <w:bCs/>
          <w:kern w:val="0"/>
          <w:szCs w:val="21"/>
        </w:rPr>
        <w:t>外币之间的汇率。</w:t>
      </w:r>
    </w:p>
    <w:p w14:paraId="04ACE6B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6.4供应商应在投标文件中写清相应的项目编号、项目名称、供应商全称、地址、电话、传真等。</w:t>
      </w:r>
    </w:p>
    <w:p w14:paraId="781CABCF">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Cs/>
          <w:kern w:val="0"/>
          <w:szCs w:val="21"/>
        </w:rPr>
        <w:t>6.</w:t>
      </w:r>
      <w:r>
        <w:rPr>
          <w:rFonts w:hint="eastAsia" w:ascii="宋体" w:hAnsi="宋体" w:eastAsia="宋体" w:cs="宋体"/>
          <w:bCs/>
          <w:kern w:val="0"/>
          <w:szCs w:val="21"/>
          <w:lang w:val="en-US" w:eastAsia="zh-CN"/>
        </w:rPr>
        <w:t>5</w:t>
      </w:r>
      <w:r>
        <w:rPr>
          <w:rFonts w:hint="eastAsia" w:ascii="宋体" w:hAnsi="宋体" w:eastAsia="宋体" w:cs="宋体"/>
          <w:kern w:val="0"/>
          <w:szCs w:val="21"/>
        </w:rPr>
        <w:t>供应商根据招标文件载明的标的采购项目实际情况，拟在中标后将中标项目的非主体、非关键性工作交由他人完成的，应当在投标文件中载明。</w:t>
      </w:r>
    </w:p>
    <w:p w14:paraId="7EF82B84">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7、联合体投标</w:t>
      </w:r>
    </w:p>
    <w:p w14:paraId="11AA68F5">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7.1 两个以上的自然人、法人或者其他组织可以组成一个联合体，以一个供应商的身份共同参加政府采购。</w:t>
      </w:r>
    </w:p>
    <w:p w14:paraId="5189382C">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7.2 联合体中有同类资质的供应商按照联合体分工承担相同工作的，按照资质等级较低的供应商确定资质等级。</w:t>
      </w:r>
    </w:p>
    <w:p w14:paraId="183CE088">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7.3 联合体各方之间应当签订联合体协议，明确约定联合体各方承担的工作和相应的责任，并将联合体协议连同投标文件一同提交。</w:t>
      </w:r>
    </w:p>
    <w:p w14:paraId="727E6E23">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Cs/>
          <w:kern w:val="0"/>
          <w:szCs w:val="21"/>
        </w:rPr>
        <w:t>7.4 以联合体形式参加政府采购活动的，联合体各方不得再单独参加或者与其他供应商另外组成联合体参加同一合同项下的政府采购活动。</w:t>
      </w:r>
    </w:p>
    <w:p w14:paraId="77541F6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8、投标文件的组成</w:t>
      </w:r>
    </w:p>
    <w:p w14:paraId="7145F228">
      <w:pPr>
        <w:widowControl/>
        <w:shd w:val="clear" w:color="auto" w:fill="FFFFFF"/>
        <w:spacing w:line="360" w:lineRule="auto"/>
        <w:ind w:firstLine="420"/>
        <w:jc w:val="left"/>
        <w:rPr>
          <w:rFonts w:hint="eastAsia" w:ascii="宋体" w:hAnsi="宋体" w:eastAsia="宋体" w:cs="宋体"/>
          <w:b/>
          <w:kern w:val="0"/>
          <w:szCs w:val="21"/>
        </w:rPr>
      </w:pPr>
      <w:r>
        <w:rPr>
          <w:rFonts w:hint="eastAsia" w:ascii="宋体" w:hAnsi="宋体" w:eastAsia="宋体" w:cs="宋体"/>
          <w:kern w:val="0"/>
          <w:szCs w:val="21"/>
        </w:rPr>
        <w:t>8.1供应商应当根据招标文件要求编制投标文件，投标文件应对招标文件提出的要求和条件作出实质性响应，并在《商务条款偏离表》和《技术条款偏离表》等处标明满足与否。</w:t>
      </w:r>
      <w:r>
        <w:rPr>
          <w:rFonts w:hint="eastAsia" w:ascii="宋体" w:hAnsi="宋体" w:eastAsia="宋体" w:cs="宋体"/>
          <w:b/>
          <w:kern w:val="0"/>
          <w:szCs w:val="21"/>
        </w:rPr>
        <w:t>对带</w:t>
      </w:r>
      <w:r>
        <w:rPr>
          <w:rFonts w:hint="eastAsia" w:ascii="宋体" w:hAnsi="宋体" w:eastAsia="宋体" w:cs="宋体"/>
          <w:b/>
          <w:bCs/>
          <w:kern w:val="0"/>
          <w:szCs w:val="21"/>
        </w:rPr>
        <w:t>星号（“</w:t>
      </w:r>
      <w:r>
        <w:rPr>
          <w:rFonts w:hint="eastAsia" w:ascii="宋体" w:hAnsi="宋体" w:eastAsia="宋体" w:cs="宋体"/>
          <w:szCs w:val="21"/>
        </w:rPr>
        <w:t>★</w:t>
      </w:r>
      <w:r>
        <w:rPr>
          <w:rFonts w:hint="eastAsia" w:ascii="宋体" w:hAnsi="宋体" w:eastAsia="宋体" w:cs="宋体"/>
          <w:b/>
          <w:bCs/>
          <w:kern w:val="0"/>
          <w:szCs w:val="21"/>
        </w:rPr>
        <w:t>”）的技术条款必须在投标文件中提供技术支持资料（如彩页、手册、检测报告等，具体详见技术参数要求），未提供技术支持资料的，视为未对招标文件实质性要求作出响应，评审时不予认可。</w:t>
      </w:r>
    </w:p>
    <w:p w14:paraId="2367E1D8">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8.2 投标文件由商务、技术、价格以及其他部分内容组成。投标文件目录及有关格式按招标文件“第六章 投标文件格式及附件”的要求编制。</w:t>
      </w:r>
    </w:p>
    <w:p w14:paraId="634FD1F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9、投标文件的商务内容</w:t>
      </w:r>
    </w:p>
    <w:p w14:paraId="0835E66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9.1商务部分内容是证明供应商有资格参加投标和中标后有能力履行合同的文件，这些文件应能满足招标的要求，包括但不限于下列文件（</w:t>
      </w:r>
      <w:r>
        <w:rPr>
          <w:rFonts w:hint="eastAsia" w:ascii="宋体" w:hAnsi="宋体" w:eastAsia="宋体" w:cs="宋体"/>
          <w:b/>
          <w:kern w:val="0"/>
          <w:szCs w:val="21"/>
        </w:rPr>
        <w:t>（1）-（</w:t>
      </w:r>
      <w:r>
        <w:rPr>
          <w:rFonts w:hint="eastAsia" w:ascii="宋体" w:hAnsi="宋体" w:eastAsia="宋体" w:cs="宋体"/>
          <w:b/>
          <w:kern w:val="0"/>
          <w:szCs w:val="21"/>
          <w:lang w:val="en-US" w:eastAsia="zh-CN"/>
        </w:rPr>
        <w:t>4</w:t>
      </w:r>
      <w:r>
        <w:rPr>
          <w:rFonts w:hint="eastAsia" w:ascii="宋体" w:hAnsi="宋体" w:eastAsia="宋体" w:cs="宋体"/>
          <w:b/>
          <w:kern w:val="0"/>
          <w:szCs w:val="21"/>
        </w:rPr>
        <w:t>）所述材料不得有缺失或提供不全或不满足招标文件的实质性要求</w:t>
      </w:r>
      <w:r>
        <w:rPr>
          <w:rFonts w:hint="eastAsia" w:ascii="宋体" w:hAnsi="宋体" w:eastAsia="宋体" w:cs="宋体"/>
          <w:kern w:val="0"/>
          <w:szCs w:val="21"/>
        </w:rPr>
        <w:t>）：</w:t>
      </w:r>
    </w:p>
    <w:p w14:paraId="16D53E83">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（1）投标函（投标申请及声明）</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r>
        <w:rPr>
          <w:rFonts w:hint="eastAsia" w:ascii="宋体" w:hAnsi="宋体" w:eastAsia="宋体" w:cs="宋体"/>
          <w:kern w:val="0"/>
          <w:szCs w:val="21"/>
        </w:rPr>
        <w:t>；</w:t>
      </w:r>
    </w:p>
    <w:p w14:paraId="0DCBDE71">
      <w:pPr>
        <w:widowControl/>
        <w:shd w:val="clear" w:color="auto" w:fill="FFFFFF"/>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（2）法定代表人授权书及委托代理人的身份证明文件的复印件</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r>
        <w:rPr>
          <w:rFonts w:hint="eastAsia" w:ascii="宋体" w:hAnsi="宋体" w:eastAsia="宋体" w:cs="宋体"/>
          <w:kern w:val="0"/>
          <w:szCs w:val="21"/>
        </w:rPr>
        <w:t>；</w:t>
      </w:r>
    </w:p>
    <w:p w14:paraId="6121470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（3）供应商资格资信证明文件：</w:t>
      </w:r>
    </w:p>
    <w:p w14:paraId="54AEB74D">
      <w:pPr>
        <w:pStyle w:val="158"/>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2.1《中华人民共和国政府采购法》规定的资格条件证明文件；</w:t>
      </w:r>
    </w:p>
    <w:p w14:paraId="4DBAE40E">
      <w:pPr>
        <w:pStyle w:val="158"/>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2.2</w:t>
      </w:r>
      <w:r>
        <w:rPr>
          <w:rFonts w:hint="eastAsia" w:ascii="宋体" w:hAnsi="宋体" w:eastAsia="宋体" w:cs="宋体"/>
          <w:spacing w:val="8"/>
          <w:kern w:val="0"/>
          <w:szCs w:val="21"/>
        </w:rPr>
        <w:t>落实政府采购政策需满足的资格要求；</w:t>
      </w:r>
    </w:p>
    <w:p w14:paraId="15CBDA2F">
      <w:pPr>
        <w:pStyle w:val="158"/>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2.3 采购人根据采购项目的特殊要求规定的特定条件证明文件。</w:t>
      </w:r>
    </w:p>
    <w:p w14:paraId="487E0288">
      <w:pPr>
        <w:widowControl/>
        <w:shd w:val="clear" w:color="auto" w:fill="FFFFFF"/>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（4）开标一览表</w:t>
      </w:r>
      <w:r>
        <w:rPr>
          <w:rFonts w:hint="eastAsia" w:ascii="宋体" w:hAnsi="宋体" w:eastAsia="宋体" w:cs="宋体"/>
          <w:kern w:val="0"/>
          <w:szCs w:val="21"/>
          <w:lang w:val="en-US" w:eastAsia="zh-CN"/>
        </w:rPr>
        <w:t xml:space="preserve"> </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p>
    <w:p w14:paraId="253403DC">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（5）《商务条款偏离表》；</w:t>
      </w:r>
    </w:p>
    <w:p w14:paraId="5784CA57">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（6）第三章评标标准中对应的所需证明材料；</w:t>
      </w:r>
    </w:p>
    <w:p w14:paraId="1C534705">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（7）其它。</w:t>
      </w:r>
    </w:p>
    <w:p w14:paraId="41D8555F">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b/>
          <w:bCs/>
          <w:kern w:val="0"/>
          <w:szCs w:val="21"/>
        </w:rPr>
        <w:t>10、投标文件的技术内容</w:t>
      </w:r>
    </w:p>
    <w:p w14:paraId="234FED16">
      <w:pPr>
        <w:widowControl/>
        <w:adjustRightInd w:val="0"/>
        <w:spacing w:line="360" w:lineRule="auto"/>
        <w:ind w:firstLine="420"/>
        <w:jc w:val="left"/>
        <w:rPr>
          <w:rFonts w:hint="eastAsia" w:ascii="宋体" w:hAnsi="宋体" w:eastAsia="宋体" w:cs="宋体"/>
          <w:szCs w:val="21"/>
          <w:lang w:val="zh-CN"/>
        </w:rPr>
      </w:pPr>
      <w:r>
        <w:rPr>
          <w:rFonts w:hint="eastAsia" w:ascii="宋体" w:hAnsi="宋体" w:eastAsia="宋体" w:cs="宋体"/>
          <w:szCs w:val="21"/>
          <w:lang w:val="zh-CN"/>
        </w:rPr>
        <w:t>技术部分</w:t>
      </w:r>
      <w:r>
        <w:rPr>
          <w:rFonts w:hint="eastAsia" w:ascii="宋体" w:hAnsi="宋体" w:eastAsia="宋体" w:cs="宋体"/>
          <w:kern w:val="0"/>
          <w:szCs w:val="21"/>
        </w:rPr>
        <w:t>内容</w:t>
      </w:r>
      <w:r>
        <w:rPr>
          <w:rFonts w:hint="eastAsia" w:ascii="宋体" w:hAnsi="宋体" w:eastAsia="宋体" w:cs="宋体"/>
          <w:szCs w:val="21"/>
          <w:lang w:val="zh-CN"/>
        </w:rPr>
        <w:t>是证明</w:t>
      </w:r>
      <w:r>
        <w:rPr>
          <w:rFonts w:hint="eastAsia" w:ascii="宋体" w:hAnsi="宋体" w:eastAsia="宋体" w:cs="宋体"/>
          <w:szCs w:val="21"/>
        </w:rPr>
        <w:t>供应商提供的货物和服务是合格的、并符合招标文件要求的证明文件，以及</w:t>
      </w:r>
      <w:r>
        <w:rPr>
          <w:rFonts w:hint="eastAsia" w:ascii="宋体" w:hAnsi="宋体" w:eastAsia="宋体" w:cs="宋体"/>
          <w:szCs w:val="21"/>
          <w:lang w:val="zh-CN"/>
        </w:rPr>
        <w:t>对货物和服务的详细说明，这些文件可以是文字资料、图纸、数据</w:t>
      </w:r>
      <w:r>
        <w:rPr>
          <w:rFonts w:hint="eastAsia" w:ascii="宋体" w:hAnsi="宋体" w:eastAsia="宋体" w:cs="宋体"/>
          <w:szCs w:val="21"/>
        </w:rPr>
        <w:t>或其他证明文件</w:t>
      </w:r>
      <w:r>
        <w:rPr>
          <w:rFonts w:hint="eastAsia" w:ascii="宋体" w:hAnsi="宋体" w:eastAsia="宋体" w:cs="宋体"/>
          <w:szCs w:val="21"/>
          <w:lang w:val="zh-CN"/>
        </w:rPr>
        <w:t>等。提供的货物和服务如与招标文件要求有不符之处，应说明其差别之所在。包括但不限于下列文件：</w:t>
      </w:r>
    </w:p>
    <w:p w14:paraId="4C473B16">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（1）技术说明或服务方案；</w:t>
      </w:r>
    </w:p>
    <w:p w14:paraId="63B28984">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（2）《技术条款偏离表》；</w:t>
      </w:r>
    </w:p>
    <w:p w14:paraId="53527494">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（3）服务承诺；</w:t>
      </w:r>
    </w:p>
    <w:p w14:paraId="1D4F33A0">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（4）供应商拟投入本项目的设备、人员情况一览表；</w:t>
      </w:r>
    </w:p>
    <w:p w14:paraId="027C3D26">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（5）供应商认为需要提供的其他技术资料。</w:t>
      </w:r>
    </w:p>
    <w:p w14:paraId="73427A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11、投标文件的价格内容</w:t>
      </w:r>
    </w:p>
    <w:p w14:paraId="5870B353">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11.1价格部分内容是对采购标的价格构成的说明，招标文件如无特别说明，每一项货物及服务仅接受一个价格。</w:t>
      </w:r>
    </w:p>
    <w:p w14:paraId="769C60B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11.2报价应包含为履行本项目合同项下所有义务的全部含税费用（包括但不限于</w:t>
      </w:r>
      <w:r>
        <w:rPr>
          <w:rFonts w:hint="eastAsia" w:ascii="宋体" w:hAnsi="宋体" w:eastAsia="宋体" w:cs="宋体"/>
          <w:szCs w:val="21"/>
        </w:rPr>
        <w:t>货物设计、制造、包装、仓储、运输装</w:t>
      </w:r>
      <w:r>
        <w:rPr>
          <w:rFonts w:hint="eastAsia" w:ascii="宋体" w:hAnsi="宋体" w:eastAsia="宋体" w:cs="宋体"/>
          <w:szCs w:val="21"/>
          <w:lang w:val="en-US" w:eastAsia="zh-CN"/>
        </w:rPr>
        <w:t>卸</w:t>
      </w:r>
      <w:r>
        <w:rPr>
          <w:rFonts w:hint="eastAsia" w:ascii="宋体" w:hAnsi="宋体" w:eastAsia="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kern w:val="0"/>
          <w:szCs w:val="21"/>
        </w:rPr>
        <w:t>）</w:t>
      </w:r>
      <w:r>
        <w:rPr>
          <w:rFonts w:hint="eastAsia" w:ascii="宋体" w:hAnsi="宋体" w:eastAsia="宋体" w:cs="宋体"/>
          <w:kern w:val="0"/>
          <w:szCs w:val="21"/>
          <w:lang w:val="zh-CN"/>
        </w:rPr>
        <w:t>，</w:t>
      </w:r>
      <w:r>
        <w:rPr>
          <w:rFonts w:hint="eastAsia" w:ascii="宋体" w:hAnsi="宋体" w:eastAsia="宋体" w:cs="宋体"/>
          <w:bCs/>
          <w:szCs w:val="21"/>
        </w:rPr>
        <w:t>以</w:t>
      </w:r>
      <w:r>
        <w:rPr>
          <w:rFonts w:hint="eastAsia" w:ascii="宋体" w:hAnsi="宋体" w:eastAsia="宋体" w:cs="宋体"/>
          <w:szCs w:val="21"/>
        </w:rPr>
        <w:t>及供应商认为需要的其他费用等</w:t>
      </w:r>
      <w:r>
        <w:rPr>
          <w:rFonts w:hint="eastAsia" w:ascii="宋体" w:hAnsi="宋体" w:eastAsia="宋体" w:cs="宋体"/>
          <w:b/>
          <w:szCs w:val="21"/>
        </w:rPr>
        <w:t>。</w:t>
      </w:r>
    </w:p>
    <w:p w14:paraId="683796C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11.3供应商的任何错漏、优惠、竞争性报价不得作为减轻责任、减少服务、增加收费、降低质量的理由。</w:t>
      </w:r>
    </w:p>
    <w:p w14:paraId="37A0875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kern w:val="0"/>
          <w:szCs w:val="21"/>
        </w:rPr>
        <w:t>无效投标处理</w:t>
      </w:r>
      <w:r>
        <w:rPr>
          <w:rFonts w:hint="eastAsia" w:ascii="宋体" w:hAnsi="宋体" w:eastAsia="宋体" w:cs="宋体"/>
          <w:kern w:val="0"/>
          <w:szCs w:val="21"/>
        </w:rPr>
        <w:t>。</w:t>
      </w:r>
    </w:p>
    <w:p w14:paraId="24750B2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11.5 供应商应在《开标一览表》《分项报价表》等标明投标货物和服务的单价、总价以及分项报价等。</w:t>
      </w:r>
    </w:p>
    <w:p w14:paraId="39394B8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11.6本项目预算为：详见第一章。</w:t>
      </w:r>
    </w:p>
    <w:p w14:paraId="66145A8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12、投标文件的其他部分</w:t>
      </w:r>
    </w:p>
    <w:p w14:paraId="35E0F17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12.1 其他部分由供应商根据编制投标文件需要提供的其他相关文件组成。</w:t>
      </w:r>
    </w:p>
    <w:p w14:paraId="738070A3">
      <w:pPr>
        <w:widowControl/>
        <w:shd w:val="clear"/>
        <w:autoSpaceDE w:val="0"/>
        <w:autoSpaceDN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如标书制作工具中格式和内容与“江苏政府采购网、中国政府采购网”发布的</w:t>
      </w:r>
      <w:r>
        <w:rPr>
          <w:rFonts w:hint="eastAsia" w:ascii="宋体" w:hAnsi="宋体" w:eastAsia="宋体" w:cs="宋体"/>
          <w:color w:val="000000"/>
          <w:szCs w:val="21"/>
          <w:lang w:val="en-US" w:eastAsia="zh-CN"/>
        </w:rPr>
        <w:t>采购</w:t>
      </w:r>
      <w:r>
        <w:rPr>
          <w:rFonts w:hint="eastAsia" w:ascii="宋体" w:hAnsi="宋体" w:eastAsia="宋体" w:cs="宋体"/>
          <w:color w:val="000000"/>
          <w:szCs w:val="21"/>
          <w:lang w:val="zh-CN"/>
        </w:rPr>
        <w:t>文件不一致，以</w:t>
      </w:r>
      <w:r>
        <w:rPr>
          <w:rFonts w:hint="eastAsia" w:ascii="宋体" w:hAnsi="宋体" w:eastAsia="宋体" w:cs="宋体"/>
          <w:color w:val="000000"/>
          <w:szCs w:val="21"/>
        </w:rPr>
        <w:t>上述网站</w:t>
      </w:r>
      <w:r>
        <w:rPr>
          <w:rFonts w:hint="eastAsia" w:ascii="宋体" w:hAnsi="宋体" w:eastAsia="宋体" w:cs="宋体"/>
          <w:color w:val="000000"/>
          <w:szCs w:val="21"/>
          <w:lang w:val="zh-CN"/>
        </w:rPr>
        <w:t>发布的</w:t>
      </w:r>
      <w:r>
        <w:rPr>
          <w:rFonts w:hint="eastAsia" w:ascii="宋体" w:hAnsi="宋体" w:eastAsia="宋体" w:cs="宋体"/>
          <w:color w:val="000000"/>
          <w:szCs w:val="21"/>
          <w:lang w:val="en-US" w:eastAsia="zh-CN"/>
        </w:rPr>
        <w:t>采购</w:t>
      </w:r>
      <w:r>
        <w:rPr>
          <w:rFonts w:hint="eastAsia" w:ascii="宋体" w:hAnsi="宋体" w:eastAsia="宋体" w:cs="宋体"/>
          <w:color w:val="000000"/>
          <w:szCs w:val="21"/>
          <w:lang w:val="zh-CN"/>
        </w:rPr>
        <w:t>文件为准。</w:t>
      </w:r>
    </w:p>
    <w:p w14:paraId="119D0E1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13、投标保证金：（本项目无需缴纳投标保证金）</w:t>
      </w:r>
    </w:p>
    <w:p w14:paraId="513285B6">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14、投标有效期</w:t>
      </w:r>
    </w:p>
    <w:p w14:paraId="1A406C8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14.1 自开标之日起</w:t>
      </w:r>
      <w:r>
        <w:rPr>
          <w:rFonts w:hint="eastAsia" w:ascii="宋体" w:hAnsi="宋体" w:eastAsia="宋体" w:cs="宋体"/>
          <w:b/>
          <w:kern w:val="0"/>
          <w:szCs w:val="21"/>
        </w:rPr>
        <w:t>90</w:t>
      </w:r>
      <w:r>
        <w:rPr>
          <w:rFonts w:hint="eastAsia" w:ascii="宋体" w:hAnsi="宋体" w:eastAsia="宋体" w:cs="宋体"/>
          <w:kern w:val="0"/>
          <w:szCs w:val="21"/>
        </w:rPr>
        <w:t>天内投标有效</w:t>
      </w:r>
      <w:r>
        <w:rPr>
          <w:rFonts w:hint="eastAsia" w:ascii="宋体" w:hAnsi="宋体" w:eastAsia="宋体" w:cs="宋体"/>
          <w:b/>
        </w:rPr>
        <w:t>，投标有效期从提交投标文件的截止之日起算。投标文件中承诺的投标有效期应当不少于招标文件中载明的投标有效期。</w:t>
      </w:r>
    </w:p>
    <w:p w14:paraId="3490A04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14.2 特殊情况下，在原投标有效期截止之前，采购代理机构可要求供应商同意延长投标有效期，这种要求与答复均应以书面形式提交。供应商可拒绝这种要求，接受延长投标有效期的供应商将不会要求和允许修正其投标。</w:t>
      </w:r>
    </w:p>
    <w:p w14:paraId="2B62B6B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15、投标文件签署</w:t>
      </w:r>
    </w:p>
    <w:p w14:paraId="05075C6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15.1 投标文件应按照招标文件要求加盖电子公章，否则视为无效投标。</w:t>
      </w:r>
    </w:p>
    <w:p w14:paraId="067176F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16、投标费用</w:t>
      </w:r>
    </w:p>
    <w:p w14:paraId="49ED085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16.1 供应商应承担所有与准备和参加投标有关的费用，无论招标结果如何，采购代理机构和采购人在任何情况下均无义务和责任承担这些费用。</w:t>
      </w:r>
    </w:p>
    <w:p w14:paraId="2565D70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16.2 招标代理服务费：</w:t>
      </w:r>
    </w:p>
    <w:p w14:paraId="4EF8320A">
      <w:pPr>
        <w:widowControl/>
        <w:shd w:val="clear" w:color="auto" w:fill="FFFFFF"/>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p>
    <w:p w14:paraId="1E45D44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四、投标文件的递交</w:t>
      </w:r>
    </w:p>
    <w:p w14:paraId="5F1A5E8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17、投标文件的递交</w:t>
      </w:r>
    </w:p>
    <w:p w14:paraId="009CDA6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17.1 投标人应当按照《操作手册》规定，在招标公告规定的投标截止时间前制作并上传电子投标文件。招标代理机构拒绝接收提交投标文件截止时间后上传的任何电子投标文件。</w:t>
      </w:r>
    </w:p>
    <w:p w14:paraId="6276CAC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18、投标文件的解密</w:t>
      </w:r>
    </w:p>
    <w:p w14:paraId="2070B1A4">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18.1 投标人应当按照《操作手册》规定，在“苏采云”系统规定的时间内对投标文件进行解密。</w:t>
      </w:r>
    </w:p>
    <w:p w14:paraId="50597B7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18.3 投标人应充分考虑网络环境、网络带宽等因素可能对投标产生的影响，如因投标人自身原因造成的电子投标文件解密不成功的，做无效投标处理。</w:t>
      </w:r>
    </w:p>
    <w:p w14:paraId="0FF83E3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19、投标文件的修改和撤回</w:t>
      </w:r>
    </w:p>
    <w:p w14:paraId="7E04D88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725E2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19.2 投标截止时间之后，投标文件不得撤回；如撤回，投标保证金不予退还。</w:t>
      </w:r>
    </w:p>
    <w:p w14:paraId="4893050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20、诚实信用</w:t>
      </w:r>
    </w:p>
    <w:p w14:paraId="4B3528A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20.1供应商应当遵循公平竞争的原则，不得恶意串通，不得妨碍其他供应商的竞争行为，不得损害采购人或者其他供应商的合法权益。</w:t>
      </w:r>
    </w:p>
    <w:p w14:paraId="516638B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20.2在评标过程中发现供应商有上述情形的，评标委员会应当认定其投标无效。</w:t>
      </w:r>
    </w:p>
    <w:p w14:paraId="599B4D8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五、开标、评标与定标</w:t>
      </w:r>
    </w:p>
    <w:p w14:paraId="256E5DC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21、开标</w:t>
      </w:r>
    </w:p>
    <w:p w14:paraId="161148E2">
      <w:pPr>
        <w:spacing w:line="360" w:lineRule="auto"/>
        <w:ind w:firstLine="420" w:firstLineChars="200"/>
        <w:rPr>
          <w:rFonts w:hint="eastAsia" w:ascii="宋体" w:hAnsi="宋体" w:eastAsia="宋体" w:cs="宋体"/>
        </w:rPr>
      </w:pPr>
      <w:r>
        <w:rPr>
          <w:rFonts w:hint="eastAsia" w:ascii="宋体" w:hAnsi="宋体" w:eastAsia="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hint="eastAsia" w:ascii="宋体" w:hAnsi="宋体" w:eastAsia="宋体" w:cs="宋体"/>
        </w:rPr>
      </w:pPr>
      <w:r>
        <w:rPr>
          <w:rFonts w:hint="eastAsia" w:ascii="宋体" w:hAnsi="宋体" w:eastAsia="宋体" w:cs="宋体"/>
        </w:rPr>
        <w:t>21.2 投标人在开标过程中涉及到的投标文件解密、开标结果确认等工作，应按照《操作手册》规定执行。</w:t>
      </w:r>
    </w:p>
    <w:p w14:paraId="32E58D96">
      <w:pPr>
        <w:spacing w:line="360" w:lineRule="auto"/>
        <w:ind w:firstLine="420" w:firstLineChars="200"/>
        <w:rPr>
          <w:rFonts w:hint="eastAsia" w:ascii="宋体" w:hAnsi="宋体" w:eastAsia="宋体" w:cs="宋体"/>
        </w:rPr>
      </w:pPr>
      <w:r>
        <w:rPr>
          <w:rFonts w:hint="eastAsia" w:ascii="宋体" w:hAnsi="宋体" w:eastAsia="宋体" w:cs="宋体"/>
        </w:rPr>
        <w:t>21.3投标人不足3家的，不得开标。</w:t>
      </w:r>
    </w:p>
    <w:p w14:paraId="2B757249">
      <w:pPr>
        <w:spacing w:line="360" w:lineRule="auto"/>
        <w:ind w:firstLine="420" w:firstLineChars="200"/>
        <w:rPr>
          <w:rFonts w:hint="eastAsia" w:ascii="宋体" w:hAnsi="宋体" w:eastAsia="宋体" w:cs="宋体"/>
        </w:rPr>
      </w:pPr>
      <w:r>
        <w:rPr>
          <w:rFonts w:hint="eastAsia" w:ascii="宋体" w:hAnsi="宋体" w:eastAsia="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hint="eastAsia" w:ascii="宋体" w:hAnsi="宋体" w:eastAsia="宋体" w:cs="宋体"/>
        </w:rPr>
      </w:pPr>
      <w:r>
        <w:rPr>
          <w:rFonts w:hint="eastAsia" w:ascii="宋体" w:hAnsi="宋体" w:eastAsia="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hint="eastAsia" w:ascii="宋体" w:hAnsi="宋体" w:eastAsia="宋体" w:cs="宋体"/>
        </w:rPr>
      </w:pPr>
      <w:r>
        <w:rPr>
          <w:rFonts w:hint="eastAsia" w:ascii="宋体" w:hAnsi="宋体" w:eastAsia="宋体" w:cs="宋体"/>
        </w:rPr>
        <w:t>（1）招标文件存在不合理条款或者招标程序不符合规定的，采购人、采购代理机构改正后依法重新招标；</w:t>
      </w:r>
    </w:p>
    <w:p w14:paraId="58554D0F">
      <w:pPr>
        <w:widowControl/>
        <w:shd w:val="clear"/>
        <w:spacing w:line="360" w:lineRule="auto"/>
        <w:ind w:firstLine="420" w:firstLineChars="200"/>
        <w:rPr>
          <w:rFonts w:hint="eastAsia" w:ascii="宋体" w:hAnsi="宋体" w:eastAsia="宋体" w:cs="宋体"/>
          <w:kern w:val="0"/>
          <w:szCs w:val="21"/>
        </w:rPr>
      </w:pPr>
      <w:r>
        <w:rPr>
          <w:rFonts w:hint="eastAsia" w:ascii="宋体" w:hAnsi="宋体" w:eastAsia="宋体" w:cs="宋体"/>
        </w:rPr>
        <w:t>（2）招标文件没有不合理条款、招标程序符合规定，需要采用其他采购方式采购的，采购人依法报财政部门批准，经批准后，可变更为其他采购方式采购。</w:t>
      </w:r>
    </w:p>
    <w:p w14:paraId="4C20AD0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22、评标</w:t>
      </w:r>
    </w:p>
    <w:p w14:paraId="7925C65D">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22.1 评标委员会</w:t>
      </w:r>
    </w:p>
    <w:p w14:paraId="03D662A7">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22.1.1评标委员会负责具体评标事务，并独立履行下列职责：</w:t>
      </w:r>
    </w:p>
    <w:p w14:paraId="1372FBE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（一）审查、评价投标文件是否符合招标文件的商务、技术等实质性要求；</w:t>
      </w:r>
    </w:p>
    <w:p w14:paraId="1459DAE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（二）要求投标人对投标文件有关事项作出澄清或者说明；</w:t>
      </w:r>
    </w:p>
    <w:p w14:paraId="2664E060">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（三）对投标文件进行比较和评价；</w:t>
      </w:r>
    </w:p>
    <w:p w14:paraId="7E3E79D1">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（四）确定中标候选人名单，以及根据采购人委托直接确定中标人；</w:t>
      </w:r>
    </w:p>
    <w:p w14:paraId="3A8BA64C">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（五）向采购人、采购代理机构或者有关部门报告评标中发现的违法行为。</w:t>
      </w:r>
    </w:p>
    <w:p w14:paraId="13A60960">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22.1.2 评标委员会由采购人代表和有关技术、经济等方面的专家组成，独立开展评审工作。</w:t>
      </w:r>
    </w:p>
    <w:p w14:paraId="544C55F5">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  评标程序</w:t>
      </w:r>
    </w:p>
    <w:p w14:paraId="0DC26573">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22.2.1 投标文件的资格性检查。公开招标采购项目开标结束后，采购人或者采购代理机构应当依法对投标人的资格进行审查。合格投标人不足3家的，不得评标。</w:t>
      </w:r>
    </w:p>
    <w:p w14:paraId="7889365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3D2799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（1）同一投标人提交两个（含两个）以上不同的投标报价的；</w:t>
      </w:r>
    </w:p>
    <w:p w14:paraId="5E9C6CC5">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（2）投标文件未按照招标文件要求加盖电子公章的；</w:t>
      </w:r>
    </w:p>
    <w:p w14:paraId="35FE76F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（3）报价超过招标文件中规定的预算金额或者最高限价的；</w:t>
      </w:r>
    </w:p>
    <w:p w14:paraId="1BCFC10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（4）投标文件含有采购人不能接受的附加条件的；</w:t>
      </w:r>
    </w:p>
    <w:p w14:paraId="4C5CCAF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（5）投标文件内容不全或不符合招标文件中规定的其他实质性要求的；</w:t>
      </w:r>
    </w:p>
    <w:p w14:paraId="094E4A8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（6）现行法律、法规、规章和招标文件规定的其他无效情形。</w:t>
      </w:r>
    </w:p>
    <w:p w14:paraId="7748914B">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22.2.2.1 实质性要求是指本招标文件中用带星号（“</w:t>
      </w:r>
      <w:r>
        <w:rPr>
          <w:rFonts w:hint="eastAsia" w:ascii="宋体" w:hAnsi="宋体" w:eastAsia="宋体" w:cs="宋体"/>
          <w:szCs w:val="21"/>
        </w:rPr>
        <w:t>★</w:t>
      </w:r>
      <w:r>
        <w:rPr>
          <w:rFonts w:hint="eastAsia" w:ascii="宋体" w:hAnsi="宋体" w:eastAsia="宋体" w:cs="宋体"/>
          <w:b/>
          <w:bCs/>
          <w:kern w:val="0"/>
          <w:szCs w:val="21"/>
        </w:rPr>
        <w:t>”）</w:t>
      </w:r>
      <w:r>
        <w:rPr>
          <w:rFonts w:hint="eastAsia" w:ascii="宋体" w:hAnsi="宋体" w:eastAsia="宋体" w:cs="宋体"/>
          <w:b/>
          <w:bCs/>
          <w:kern w:val="0"/>
          <w:szCs w:val="21"/>
          <w:lang w:val="en-US" w:eastAsia="zh-CN"/>
        </w:rPr>
        <w:t>或</w:t>
      </w:r>
      <w:r>
        <w:rPr>
          <w:rFonts w:hint="eastAsia" w:ascii="宋体" w:hAnsi="宋体" w:eastAsia="宋体" w:cs="宋体"/>
          <w:b/>
          <w:bCs/>
          <w:kern w:val="0"/>
          <w:szCs w:val="21"/>
        </w:rPr>
        <w:t>其他文字说明的商务和技术要求。</w:t>
      </w:r>
    </w:p>
    <w:p w14:paraId="6377D6C3">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22.2.2.2未通过资格审查或符合性审查的投标人，代理机构将通过“苏采云”系统告知其具体原因，评标结束后不再接受有关询问。</w:t>
      </w:r>
    </w:p>
    <w:p w14:paraId="4A77400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22.2.2.3有下列情形之一的予以废标：</w:t>
      </w:r>
    </w:p>
    <w:p w14:paraId="2E76877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（1）符合专业条件的投标人或者对招标文件作实质性响应的投标人不足三家的；</w:t>
      </w:r>
    </w:p>
    <w:p w14:paraId="183D2F9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（2）出现影响采购公正的违法、违规行为的；</w:t>
      </w:r>
    </w:p>
    <w:p w14:paraId="096E2CC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（3）投标人的报价均超过了采购预算，采购人不能支付的；</w:t>
      </w:r>
    </w:p>
    <w:p w14:paraId="12F6712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（4）因苏采云系统故障造成开标不成功的；</w:t>
      </w:r>
    </w:p>
    <w:p w14:paraId="363F559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（5）因重大变故，采购任务取消的。</w:t>
      </w:r>
    </w:p>
    <w:p w14:paraId="5A5FFDD3">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（6）投标人以明显低于其他通过符合性审查投标人的报价，有可能影响产品质量或者不能诚信履约的，且不能证明其报价合理性的。</w:t>
      </w:r>
    </w:p>
    <w:p w14:paraId="71A294D1">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22.2.3澄清有关问题。</w:t>
      </w:r>
    </w:p>
    <w:p w14:paraId="55F2886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22.2.3.1 评标期间，评委会对投标文件中含义不明确、同类问题表述不一致或者有明显文字和计算错误的内容，有权要求投标人作出必要的澄清、说明或者补正。</w:t>
      </w:r>
    </w:p>
    <w:p w14:paraId="6A85776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投标人的澄清、说明或者补正不得超出投标文件的范围或者改变投标文件的实质性内容。</w:t>
      </w:r>
    </w:p>
    <w:p w14:paraId="3C4EC104">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评委会并非对每个投标人都做澄清要求。</w:t>
      </w:r>
    </w:p>
    <w:p w14:paraId="13C78D12">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1D4FA6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22.2.3.3 接到评委会澄清、说明和补正要求的，投标人如未按规定作出澄清、说明和补正，其风险由投标人自行承担。</w:t>
      </w:r>
    </w:p>
    <w:p w14:paraId="5B8050E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22.2.3.4投标文件报价出现前后不一致的，除招标文件另有规定外，按照下列规定修正：</w:t>
      </w:r>
    </w:p>
    <w:p w14:paraId="49A34581">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（1）投标文件中开标一览表（报价表）内容与投标文件中相应内容不一致的，以开标一览表（报价表）为准；</w:t>
      </w:r>
    </w:p>
    <w:p w14:paraId="564E485B">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（2）大写金额和小写金额不一致的，以大写金额为准；</w:t>
      </w:r>
    </w:p>
    <w:p w14:paraId="391E934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（3）单价金额小数点或者百分比有明显错位的，以开标一览表的总价为准，并修改单价；</w:t>
      </w:r>
    </w:p>
    <w:p w14:paraId="187ED335">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（4）总价金额与按单价汇总金额不一致的，以单价金额计算结果为准。</w:t>
      </w:r>
    </w:p>
    <w:p w14:paraId="7B17B7CB">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250BE8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w:t>
      </w:r>
      <w:r>
        <w:rPr>
          <w:rFonts w:hint="eastAsia" w:ascii="宋体" w:hAnsi="宋体" w:cs="宋体"/>
          <w:b w:val="0"/>
          <w:bCs w:val="0"/>
          <w:kern w:val="0"/>
          <w:szCs w:val="21"/>
          <w:lang w:val="en-US" w:eastAsia="zh-CN"/>
        </w:rPr>
        <w:t>2.</w:t>
      </w:r>
      <w:r>
        <w:rPr>
          <w:rFonts w:hint="eastAsia" w:ascii="宋体" w:hAnsi="宋体" w:eastAsia="宋体" w:cs="宋体"/>
          <w:b w:val="0"/>
          <w:bCs w:val="0"/>
          <w:kern w:val="0"/>
          <w:szCs w:val="21"/>
        </w:rPr>
        <w:t>3.5投标人在开、评标全过程中应保持通讯畅通，及时登录苏采云系统查阅、答复相关信息，并安排专人与代理机构及评委会联系。</w:t>
      </w:r>
    </w:p>
    <w:p w14:paraId="4B2D2AFD">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C62D707">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22.2.4比较与评价。评标委员会应当按照招标文件中规定的评标方法和标准，对符合性审查合格的投标文件进行商务和技术评估，综合比较与评价。</w:t>
      </w:r>
    </w:p>
    <w:p w14:paraId="669F2067">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22.3 评标方法和标准</w:t>
      </w:r>
    </w:p>
    <w:p w14:paraId="61B695E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22.3.1评标方法分为最低评标价法和综合评分法。本次招标的评标方法和标准，详见本招标文件第三章。</w:t>
      </w:r>
    </w:p>
    <w:p w14:paraId="446FC7D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22.3.2最低评标价法，是指投标文件满足招标文件全部实质性要求，且投标报价最低的投标人为中标候选人的评标方法。</w:t>
      </w:r>
    </w:p>
    <w:p w14:paraId="2EE4B8F2">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采用最低评标价法评标时，除了算术修正和落实政府采购政策需进行的价格扣除外，不对投标人的投标价格进行任何调整。</w:t>
      </w:r>
    </w:p>
    <w:p w14:paraId="0F8BD31B">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22.3.3综合评分法，是指投标文件满足招标文件全部实质性要求，且按照评审因素的量化指标评审得分最高的投标人为中标候选人的评标方法。</w:t>
      </w:r>
    </w:p>
    <w:p w14:paraId="096D652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评审因素，包括价格、技术、商务等。</w:t>
      </w:r>
    </w:p>
    <w:p w14:paraId="5BFD10F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评标时，评标委员会各成员应当独立对每个投标人的投标文件进行评价，并汇总每个投标人的得分。</w:t>
      </w:r>
    </w:p>
    <w:p w14:paraId="4095AA25">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价格分采用低价优先法计算，即满足招标文件要求且投标价格最低的投标报价为评标基准价，其价格分为满分。</w:t>
      </w:r>
    </w:p>
    <w:p w14:paraId="07A9819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评标总得分＝F1×A1＋F2×A2＋……＋Fn×An</w:t>
      </w:r>
    </w:p>
    <w:p w14:paraId="521B8BDC">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F1、F2……Fn分别为各项评审因素的得分；</w:t>
      </w:r>
    </w:p>
    <w:p w14:paraId="12590166">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A1、A2、……An 分别为各项评审因素所占的权重(A1＋A2＋……＋An＝1)。</w:t>
      </w:r>
    </w:p>
    <w:p w14:paraId="2BA84BE7">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因落实政府采购政策进行价格调整的，以调整后的价格计算评标基准价和投标报价。</w:t>
      </w:r>
    </w:p>
    <w:p w14:paraId="2FDC656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 评标委员会启动异常低价投标审查的情形和具体要求</w:t>
      </w:r>
    </w:p>
    <w:p w14:paraId="76075FD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 xml:space="preserve">22.4.1评标过程中出现下列情形之一的，评标委员会应当启动异常低价投标审查程序： </w:t>
      </w:r>
    </w:p>
    <w:p w14:paraId="4439AB9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（1）投标报价低于全部通过符合性审查投标人投标报价平均值50%的，即投标报价&lt;全部通过符合性审查投标人投标报价平均值×50%；</w:t>
      </w:r>
    </w:p>
    <w:p w14:paraId="046504D1">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（2）投标报价低于通过符合性审查的次低报价投标人投标报价50%的，即投标报价&lt;通过符合性审查的次低报价投标人投标报价×50%；</w:t>
      </w:r>
    </w:p>
    <w:p w14:paraId="60B2F144">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（3）投标报价低于本项目最高限价45%的，即投标报价&lt;本项目最高限价×45%；</w:t>
      </w:r>
    </w:p>
    <w:p w14:paraId="7DF9F8A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（4）评标委员会基于专业判断，认为投标人报价过低，有可能影响产品质量或者不能诚信履约的其他情形。</w:t>
      </w:r>
    </w:p>
    <w:p w14:paraId="582360F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33FBEAF6">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3F44A22">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22.4.4异常低价投标审查的启动原因、审查意见和审查结果应当在评标报告中记录，并随投标人提供的相关书面说明及证明材料，以及评标委员会有关互联网浏览、查询历史一并归档。</w:t>
      </w:r>
    </w:p>
    <w:p w14:paraId="7E52BBF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23、确定中标人</w:t>
      </w:r>
    </w:p>
    <w:p w14:paraId="336334B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2109BC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B42B57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23.3 中标人确定后，在省级以上财政部门指定的媒体上公告中标结果，中标公告期为1个工作日，公告的同时向中标人发出中标通知书。中标人可在中标结果公告届满之日起三十日内</w:t>
      </w:r>
      <w:r>
        <w:rPr>
          <w:rFonts w:hint="eastAsia" w:ascii="宋体" w:hAnsi="宋体" w:eastAsia="宋体" w:cs="宋体"/>
          <w:b w:val="0"/>
          <w:bCs w:val="0"/>
          <w:kern w:val="0"/>
          <w:szCs w:val="21"/>
          <w:lang w:val="en-US" w:eastAsia="zh-CN"/>
        </w:rPr>
        <w:t>,</w:t>
      </w:r>
      <w:r>
        <w:rPr>
          <w:rFonts w:hint="eastAsia" w:ascii="宋体" w:hAnsi="宋体" w:eastAsia="宋体" w:cs="宋体"/>
          <w:b w:val="0"/>
          <w:bCs w:val="0"/>
          <w:kern w:val="0"/>
          <w:szCs w:val="21"/>
        </w:rPr>
        <w:t>登录苏采云系统下载。</w:t>
      </w:r>
    </w:p>
    <w:p w14:paraId="62D1669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因系统存储空间有限，中标结果公告届满之日起三十日后，苏采云系统不再保证提供下载《中标通知书》服务，因未及时下载而造成的不利后果由中标人自行承担。</w:t>
      </w:r>
    </w:p>
    <w:p w14:paraId="224BDF3F">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23.4 中标通知书对采购人和中标人具有同等法律效力。中标通知书发出后，采购人不得违法改变中标结果，中标人无正当理由不得放弃中标。</w:t>
      </w:r>
    </w:p>
    <w:p w14:paraId="3CA8784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23.5 所有投标文件不论中标与否，均不退回。</w:t>
      </w:r>
    </w:p>
    <w:p w14:paraId="13A1235C">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24、编写评标报告</w:t>
      </w:r>
    </w:p>
    <w:p w14:paraId="06DED832">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24.1评标委员会根据全体评标成员签字的原始评标记录和评标结果编写评标报告。</w:t>
      </w:r>
    </w:p>
    <w:p w14:paraId="01E0DB3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25、评标过程的保密性</w:t>
      </w:r>
    </w:p>
    <w:p w14:paraId="58A0E35A">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25.1 采购人和采购代理机构将采取必要措施，保证评标在严格保密的情况下进行。</w:t>
      </w:r>
    </w:p>
    <w:p w14:paraId="1193ADD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25.2 任何单位和个人不得非法干预、影响评标办法的确定，以及评标过程和结果。</w:t>
      </w:r>
    </w:p>
    <w:p w14:paraId="251F769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25.3 凡是与审查、澄清、评价和比较投标的有关资料等，均不向投标人及与评标无关的其他人员透露。</w:t>
      </w:r>
    </w:p>
    <w:p w14:paraId="3BB6E8B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六、签订合同</w:t>
      </w:r>
    </w:p>
    <w:p w14:paraId="72275F11">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26、签订合同</w:t>
      </w:r>
    </w:p>
    <w:p w14:paraId="532586BF">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7DC72A5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B8EDCCC">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26.3采购人不得向中标人提出任何不合理的要求作为签订合同的条件。</w:t>
      </w:r>
    </w:p>
    <w:p w14:paraId="4A50BA7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26.4中标人拒绝与采购人签订合同的，采购人可以按照评审报告推荐的中标或者成交候选人名单排序，确定下一候选人为中标或者成交供应商，也可以重新开展政府采购活动。</w:t>
      </w:r>
    </w:p>
    <w:p w14:paraId="7785C5A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C4EDE7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26.6 采购人与中标人应当根据合同的约定依法履行合同义务。</w:t>
      </w:r>
    </w:p>
    <w:p w14:paraId="6707122F">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七、质疑和投诉</w:t>
      </w:r>
    </w:p>
    <w:p w14:paraId="2FC0954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27、质疑</w:t>
      </w:r>
    </w:p>
    <w:p w14:paraId="4CD55E8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27.1供应商对招标活动事项有疑问的，可以向采购代理机构提出询问，采购代理机构将依法作出答复，但答复的内容不涉及商业秘密。</w:t>
      </w:r>
    </w:p>
    <w:p w14:paraId="05E9213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27.2提出质疑的供应商应当是参与所质疑项目采购活动的供应商。潜在供应商已依法获取其可质疑的采购文件的，可以对该文件提出质疑。</w:t>
      </w:r>
    </w:p>
    <w:p w14:paraId="31D88B71">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8DEDDAD">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E0A89BD">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供应商必须在法定质疑期内一次性提出针对同一采购程序环节的质疑。</w:t>
      </w:r>
    </w:p>
    <w:p w14:paraId="492FBC6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27.4 供应商提出质疑应当提交质疑函和必要的证明材料。质疑函应当包括下列内容：</w:t>
      </w:r>
    </w:p>
    <w:p w14:paraId="0357EDB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（一）供应商的姓名或者名称、地址、邮编、联系人及联系电话；</w:t>
      </w:r>
    </w:p>
    <w:p w14:paraId="2510512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（二）质疑项目的名称、编号；</w:t>
      </w:r>
    </w:p>
    <w:p w14:paraId="3B24FE9D">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（三）具体、明确的质疑事项和与质疑事项相关的请求（具体条款）；</w:t>
      </w:r>
    </w:p>
    <w:p w14:paraId="6BEF438A">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（四）事实依据（具体条款）；</w:t>
      </w:r>
    </w:p>
    <w:p w14:paraId="4CBF2660">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（五）必要的法律依据（具体条款）；</w:t>
      </w:r>
    </w:p>
    <w:p w14:paraId="011B9B9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（六）提出质疑的日期。</w:t>
      </w:r>
    </w:p>
    <w:p w14:paraId="35FB221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E115452">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质疑函应当使用中文。相关当事人提供外文书证或者外国语视听资料的，应当附有中文译本，由翻译机构盖章或者翻译人员签名。</w:t>
      </w:r>
    </w:p>
    <w:p w14:paraId="12597BDD">
      <w:pPr>
        <w:widowControl/>
        <w:shd w:val="clear" w:color="auto" w:fill="FFFFFF"/>
        <w:spacing w:line="360" w:lineRule="auto"/>
        <w:ind w:firstLine="420"/>
        <w:rPr>
          <w:rFonts w:hint="eastAsia" w:ascii="宋体" w:hAnsi="宋体" w:eastAsia="宋体" w:cs="宋体"/>
          <w:b w:val="0"/>
          <w:bCs w:val="0"/>
        </w:rPr>
      </w:pPr>
      <w:r>
        <w:rPr>
          <w:rFonts w:hint="eastAsia" w:ascii="宋体" w:hAnsi="宋体" w:eastAsia="宋体" w:cs="宋体"/>
          <w:b w:val="0"/>
          <w:bCs w:val="0"/>
          <w:kern w:val="0"/>
          <w:szCs w:val="21"/>
        </w:rPr>
        <w:t>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425F235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27.</w:t>
      </w:r>
      <w:r>
        <w:rPr>
          <w:rFonts w:hint="eastAsia" w:ascii="宋体" w:hAnsi="宋体" w:eastAsia="宋体" w:cs="宋体"/>
          <w:b w:val="0"/>
          <w:bCs w:val="0"/>
          <w:kern w:val="0"/>
          <w:szCs w:val="21"/>
          <w:lang w:val="en-US" w:eastAsia="zh-CN"/>
        </w:rPr>
        <w:t>6</w:t>
      </w:r>
      <w:r>
        <w:rPr>
          <w:rFonts w:hint="eastAsia" w:ascii="宋体" w:hAnsi="宋体" w:eastAsia="宋体" w:cs="宋体"/>
          <w:b w:val="0"/>
          <w:bCs w:val="0"/>
          <w:kern w:val="0"/>
          <w:szCs w:val="21"/>
        </w:rPr>
        <w:t>采购代理机构在收到投标人的书面质疑后将及时组织调查核实，在七个工作日内作出答复，并以书面或在网站公告形式通知质疑投标人和其他有关投标人，答复的内容不涉及商业秘密。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hint="eastAsia" w:ascii="宋体" w:hAnsi="宋体" w:eastAsia="宋体" w:cs="宋体"/>
          <w:kern w:val="0"/>
          <w:szCs w:val="21"/>
        </w:rPr>
      </w:pPr>
      <w:r>
        <w:rPr>
          <w:rFonts w:hint="eastAsia" w:ascii="宋体" w:hAnsi="宋体" w:eastAsia="宋体" w:cs="宋体"/>
          <w:b/>
          <w:bCs/>
          <w:kern w:val="0"/>
          <w:szCs w:val="21"/>
        </w:rPr>
        <w:t>28、投诉</w:t>
      </w:r>
    </w:p>
    <w:p w14:paraId="297E6CB8">
      <w:pPr>
        <w:spacing w:line="420" w:lineRule="exact"/>
        <w:ind w:firstLine="420" w:firstLineChars="200"/>
        <w:rPr>
          <w:rFonts w:hint="eastAsia" w:ascii="宋体" w:hAnsi="宋体" w:eastAsia="宋体" w:cs="宋体"/>
        </w:rPr>
      </w:pPr>
      <w:r>
        <w:rPr>
          <w:rFonts w:hint="eastAsia" w:ascii="宋体" w:hAnsi="宋体" w:eastAsia="宋体" w:cs="宋体"/>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hint="eastAsia" w:ascii="宋体" w:hAnsi="宋体" w:eastAsia="宋体" w:cs="宋体"/>
        </w:rPr>
      </w:pPr>
      <w:r>
        <w:rPr>
          <w:rFonts w:hint="eastAsia" w:ascii="宋体" w:hAnsi="宋体" w:eastAsia="宋体" w:cs="宋体"/>
          <w:szCs w:val="21"/>
        </w:rPr>
        <w:t>28.2供应商投诉应当有明确的请求和必要的证明材料。供应商投诉的事项不得超出已质疑事项的范围。</w:t>
      </w:r>
    </w:p>
    <w:p w14:paraId="76A95592">
      <w:pPr>
        <w:spacing w:line="420" w:lineRule="exact"/>
        <w:ind w:firstLine="420" w:firstLineChars="200"/>
        <w:rPr>
          <w:rFonts w:hint="eastAsia" w:ascii="宋体" w:hAnsi="宋体" w:eastAsia="宋体" w:cs="宋体"/>
        </w:rPr>
      </w:pPr>
      <w:r>
        <w:rPr>
          <w:rFonts w:hint="eastAsia" w:ascii="宋体" w:hAnsi="宋体" w:eastAsia="宋体" w:cs="宋体"/>
          <w:szCs w:val="21"/>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hint="eastAsia" w:ascii="宋体" w:hAnsi="宋体" w:eastAsia="宋体" w:cs="宋体"/>
          <w:szCs w:val="21"/>
        </w:rPr>
      </w:pPr>
      <w:r>
        <w:rPr>
          <w:rFonts w:hint="eastAsia" w:ascii="宋体" w:hAnsi="宋体" w:eastAsia="宋体" w:cs="宋体"/>
        </w:rPr>
        <w:t>28.4 投诉人有下列行为之一的，属于严重失信行为，</w:t>
      </w:r>
      <w:r>
        <w:rPr>
          <w:rFonts w:hint="eastAsia" w:ascii="宋体" w:hAnsi="宋体" w:eastAsia="宋体" w:cs="宋体"/>
          <w:szCs w:val="21"/>
        </w:rPr>
        <w:t>由财政部门列入不良行为记录名单，禁止其一至三年内参加政府采购活动。</w:t>
      </w:r>
    </w:p>
    <w:p w14:paraId="3D699B72">
      <w:pPr>
        <w:spacing w:line="420" w:lineRule="exact"/>
        <w:ind w:firstLine="420" w:firstLineChars="200"/>
        <w:rPr>
          <w:rFonts w:hint="eastAsia" w:ascii="宋体" w:hAnsi="宋体" w:eastAsia="宋体" w:cs="宋体"/>
        </w:rPr>
      </w:pPr>
      <w:r>
        <w:rPr>
          <w:rFonts w:hint="eastAsia" w:ascii="宋体" w:hAnsi="宋体" w:eastAsia="宋体" w:cs="宋体"/>
        </w:rPr>
        <w:t>（1）投诉人在全国范围12个月内三次以上投诉查无实据的；</w:t>
      </w:r>
    </w:p>
    <w:p w14:paraId="177D29CD">
      <w:pPr>
        <w:spacing w:line="420" w:lineRule="exact"/>
        <w:ind w:firstLine="420" w:firstLineChars="200"/>
        <w:rPr>
          <w:rFonts w:hint="eastAsia" w:ascii="宋体" w:hAnsi="宋体" w:eastAsia="宋体" w:cs="宋体"/>
        </w:rPr>
      </w:pPr>
      <w:r>
        <w:rPr>
          <w:rFonts w:hint="eastAsia" w:ascii="宋体" w:hAnsi="宋体" w:eastAsia="宋体" w:cs="宋体"/>
        </w:rPr>
        <w:t>（2）采用捏造事实、提供虚假材料或者以非法手段取得证明材料等方式进行虚假、恶意投诉。</w:t>
      </w:r>
    </w:p>
    <w:p w14:paraId="37B95898">
      <w:pPr>
        <w:spacing w:line="420" w:lineRule="exact"/>
        <w:ind w:firstLine="420" w:firstLineChars="200"/>
        <w:rPr>
          <w:rFonts w:hint="eastAsia" w:ascii="宋体" w:hAnsi="宋体" w:eastAsia="宋体" w:cs="宋体"/>
        </w:rPr>
      </w:pPr>
      <w:r>
        <w:rPr>
          <w:rFonts w:hint="eastAsia" w:ascii="宋体" w:hAnsi="宋体" w:eastAsia="宋体" w:cs="宋体"/>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hint="eastAsia" w:ascii="宋体" w:hAnsi="宋体" w:eastAsia="宋体" w:cs="宋体"/>
          <w:b/>
          <w:bCs/>
          <w:kern w:val="0"/>
          <w:szCs w:val="21"/>
        </w:rPr>
      </w:pPr>
      <w:r>
        <w:rPr>
          <w:rFonts w:hint="eastAsia" w:ascii="宋体" w:hAnsi="宋体" w:eastAsia="宋体" w:cs="宋体"/>
          <w:b/>
          <w:bCs/>
          <w:kern w:val="0"/>
          <w:szCs w:val="21"/>
        </w:rPr>
        <w:t>29、其他</w:t>
      </w:r>
    </w:p>
    <w:p w14:paraId="7B73B383">
      <w:pPr>
        <w:spacing w:line="360" w:lineRule="auto"/>
        <w:ind w:firstLine="420" w:firstLineChars="200"/>
        <w:rPr>
          <w:rFonts w:hint="eastAsia" w:ascii="宋体" w:hAnsi="宋体" w:eastAsia="宋体" w:cs="宋体"/>
          <w:szCs w:val="20"/>
        </w:rPr>
      </w:pPr>
      <w:r>
        <w:rPr>
          <w:rFonts w:hint="eastAsia" w:ascii="宋体" w:hAnsi="宋体" w:eastAsia="宋体" w:cs="宋体"/>
          <w:szCs w:val="20"/>
        </w:rPr>
        <w:t>29.1本项目根据江苏省财政厅关于加强政府绿色采购有关事项的通知（苏财购</w:t>
      </w:r>
      <w:r>
        <w:rPr>
          <w:rFonts w:hint="eastAsia" w:ascii="宋体" w:hAnsi="宋体" w:eastAsia="宋体" w:cs="宋体"/>
          <w:kern w:val="0"/>
          <w:szCs w:val="21"/>
        </w:rPr>
        <w:t>〔2023〕65号</w:t>
      </w:r>
      <w:r>
        <w:rPr>
          <w:rFonts w:hint="eastAsia" w:ascii="宋体" w:hAnsi="宋体" w:eastAsia="宋体" w:cs="宋体"/>
          <w:szCs w:val="20"/>
        </w:rPr>
        <w:t>）规定，执行绿色采购需求标准。</w:t>
      </w:r>
    </w:p>
    <w:p w14:paraId="245D9C52">
      <w:pPr>
        <w:widowControl/>
        <w:shd w:val="clear" w:color="auto" w:fill="FFFFFF"/>
        <w:spacing w:line="360" w:lineRule="auto"/>
        <w:ind w:firstLine="420"/>
        <w:rPr>
          <w:rFonts w:ascii="Arial" w:hAnsi="Arial" w:cs="Arial"/>
          <w:kern w:val="0"/>
          <w:szCs w:val="21"/>
        </w:rPr>
      </w:pPr>
    </w:p>
    <w:p w14:paraId="3642BF5F">
      <w:pPr>
        <w:rPr>
          <w:rFonts w:ascii="Arial" w:hAnsi="Arial" w:cs="Arial"/>
          <w:kern w:val="0"/>
        </w:rPr>
      </w:pPr>
      <w:r>
        <w:rPr>
          <w:rFonts w:hint="eastAsia" w:ascii="Arial" w:hAnsi="Arial" w:cs="Arial"/>
          <w:kern w:val="0"/>
        </w:rPr>
        <w:br w:type="page"/>
      </w:r>
    </w:p>
    <w:p w14:paraId="39B46139">
      <w:pPr>
        <w:pStyle w:val="2"/>
        <w:numPr>
          <w:ilvl w:val="0"/>
          <w:numId w:val="0"/>
        </w:numPr>
        <w:rPr>
          <w:rFonts w:hint="eastAsia" w:ascii="Arial" w:cs="Arial"/>
          <w:lang w:val="en-US" w:eastAsia="zh-CN"/>
        </w:rPr>
      </w:pPr>
      <w:bookmarkStart w:id="18" w:name="_Toc22394"/>
      <w:r>
        <w:rPr>
          <w:rFonts w:hint="eastAsia" w:ascii="Arial" w:cs="Arial"/>
          <w:lang w:val="en-US" w:eastAsia="zh-CN"/>
        </w:rPr>
        <w:t>第三章 评标标准</w:t>
      </w:r>
      <w:bookmarkEnd w:id="16"/>
      <w:bookmarkEnd w:id="18"/>
    </w:p>
    <w:bookmarkEnd w:id="17"/>
    <w:p w14:paraId="5802AD02">
      <w:pPr>
        <w:keepNext w:val="0"/>
        <w:keepLines w:val="0"/>
        <w:pageBreakBefore w:val="0"/>
        <w:widowControl w:val="0"/>
        <w:tabs>
          <w:tab w:val="left" w:pos="960"/>
        </w:tabs>
        <w:kinsoku/>
        <w:wordWrap/>
        <w:overflowPunct/>
        <w:topLinePunct w:val="0"/>
        <w:autoSpaceDE/>
        <w:autoSpaceDN/>
        <w:bidi w:val="0"/>
        <w:adjustRightInd/>
        <w:snapToGrid/>
        <w:spacing w:line="360" w:lineRule="auto"/>
        <w:ind w:left="0" w:firstLine="420" w:firstLineChars="200"/>
        <w:textAlignment w:val="auto"/>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位。按评审后得分由高到低顺序排列，得分相同的，按投标报价由低到高顺序排列，得分且投标报价相同的，按</w:t>
      </w:r>
      <w:r>
        <w:rPr>
          <w:rFonts w:hint="eastAsia" w:ascii="Arial" w:hAnsi="Arial" w:cs="Arial"/>
          <w:b/>
          <w:bCs/>
        </w:rPr>
        <w:t>技术响应情况得分</w:t>
      </w:r>
      <w:r>
        <w:rPr>
          <w:rFonts w:hint="eastAsia" w:ascii="Arial" w:hAnsi="Arial" w:cs="Arial"/>
          <w:bCs/>
        </w:rPr>
        <w:t>高低</w:t>
      </w:r>
      <w:r>
        <w:rPr>
          <w:rFonts w:hint="eastAsia" w:ascii="Arial" w:hAnsi="Arial" w:cs="Arial"/>
        </w:rPr>
        <w:t>顺序排列，由评标委员会确定中标人。</w:t>
      </w:r>
    </w:p>
    <w:tbl>
      <w:tblPr>
        <w:tblStyle w:val="47"/>
        <w:tblW w:w="5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535"/>
        <w:gridCol w:w="6358"/>
        <w:gridCol w:w="702"/>
      </w:tblGrid>
      <w:tr w14:paraId="4578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14:paraId="7E84A46D">
            <w:pPr>
              <w:adjustRightInd w:val="0"/>
              <w:snapToGrid w:val="0"/>
              <w:spacing w:line="320" w:lineRule="exact"/>
              <w:jc w:val="center"/>
              <w:rPr>
                <w:rFonts w:ascii="宋体" w:hAnsi="宋体" w:cs="宋体"/>
                <w:b/>
                <w:color w:val="auto"/>
                <w:sz w:val="21"/>
                <w:szCs w:val="21"/>
                <w:highlight w:val="none"/>
              </w:rPr>
            </w:pPr>
            <w:r>
              <w:rPr>
                <w:rFonts w:hint="eastAsia" w:ascii="宋体" w:hAnsi="宋体" w:cs="宋体"/>
                <w:color w:val="auto"/>
                <w:kern w:val="0"/>
                <w:sz w:val="21"/>
                <w:szCs w:val="21"/>
                <w:highlight w:val="none"/>
              </w:rPr>
              <w:br w:type="page"/>
            </w:r>
            <w:r>
              <w:rPr>
                <w:rFonts w:hint="eastAsia" w:ascii="宋体" w:hAnsi="宋体" w:cs="宋体"/>
                <w:color w:val="auto"/>
                <w:kern w:val="0"/>
                <w:sz w:val="21"/>
                <w:szCs w:val="21"/>
                <w:highlight w:val="none"/>
              </w:rPr>
              <w:br w:type="page"/>
            </w:r>
            <w:r>
              <w:rPr>
                <w:rFonts w:hint="eastAsia" w:ascii="宋体" w:hAnsi="宋体" w:cs="宋体"/>
                <w:b/>
                <w:color w:val="auto"/>
                <w:sz w:val="21"/>
                <w:szCs w:val="21"/>
                <w:highlight w:val="none"/>
              </w:rPr>
              <w:t>序号</w:t>
            </w:r>
          </w:p>
        </w:tc>
        <w:tc>
          <w:tcPr>
            <w:tcW w:w="846" w:type="pct"/>
            <w:tcBorders>
              <w:top w:val="single" w:color="auto" w:sz="4" w:space="0"/>
              <w:left w:val="single" w:color="auto" w:sz="4" w:space="0"/>
              <w:bottom w:val="single" w:color="auto" w:sz="4" w:space="0"/>
              <w:right w:val="single" w:color="auto" w:sz="4" w:space="0"/>
            </w:tcBorders>
            <w:vAlign w:val="center"/>
          </w:tcPr>
          <w:p w14:paraId="1029BF21">
            <w:pPr>
              <w:adjustRightInd w:val="0"/>
              <w:snapToGrid w:val="0"/>
              <w:spacing w:line="32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评分项目</w:t>
            </w:r>
          </w:p>
        </w:tc>
        <w:tc>
          <w:tcPr>
            <w:tcW w:w="3507" w:type="pct"/>
            <w:tcBorders>
              <w:top w:val="single" w:color="auto" w:sz="4" w:space="0"/>
              <w:left w:val="single" w:color="auto" w:sz="4" w:space="0"/>
              <w:bottom w:val="single" w:color="auto" w:sz="4" w:space="0"/>
              <w:right w:val="single" w:color="auto" w:sz="4" w:space="0"/>
            </w:tcBorders>
            <w:vAlign w:val="center"/>
          </w:tcPr>
          <w:p w14:paraId="38016C2E">
            <w:pPr>
              <w:spacing w:line="32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评分标准及细则</w:t>
            </w:r>
          </w:p>
        </w:tc>
        <w:tc>
          <w:tcPr>
            <w:tcW w:w="387" w:type="pct"/>
            <w:tcBorders>
              <w:top w:val="single" w:color="auto" w:sz="4" w:space="0"/>
              <w:left w:val="single" w:color="auto" w:sz="4" w:space="0"/>
              <w:bottom w:val="single" w:color="auto" w:sz="4" w:space="0"/>
              <w:right w:val="single" w:color="auto" w:sz="4" w:space="0"/>
            </w:tcBorders>
            <w:vAlign w:val="center"/>
          </w:tcPr>
          <w:p w14:paraId="77822617">
            <w:pPr>
              <w:spacing w:line="32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分值</w:t>
            </w:r>
          </w:p>
        </w:tc>
      </w:tr>
      <w:tr w14:paraId="3EA4C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14:paraId="75B14937">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846" w:type="pct"/>
            <w:tcBorders>
              <w:top w:val="single" w:color="auto" w:sz="4" w:space="0"/>
              <w:left w:val="single" w:color="auto" w:sz="4" w:space="0"/>
              <w:bottom w:val="single" w:color="auto" w:sz="4" w:space="0"/>
              <w:right w:val="single" w:color="auto" w:sz="4" w:space="0"/>
            </w:tcBorders>
            <w:vAlign w:val="center"/>
          </w:tcPr>
          <w:p w14:paraId="38680F97">
            <w:pPr>
              <w:keepNext w:val="0"/>
              <w:keepLines w:val="0"/>
              <w:pageBreakBefore w:val="0"/>
              <w:widowControl/>
              <w:kinsoku/>
              <w:wordWrap/>
              <w:overflowPunct/>
              <w:topLinePunct w:val="0"/>
              <w:bidi w:val="0"/>
              <w:adjustRightInd/>
              <w:snapToGrid/>
              <w:spacing w:line="360" w:lineRule="exact"/>
              <w:jc w:val="center"/>
              <w:textAlignment w:val="center"/>
              <w:rPr>
                <w:rFonts w:hint="eastAsia" w:ascii="宋体" w:hAnsi="宋体" w:cs="宋体"/>
                <w:bCs/>
                <w:color w:val="auto"/>
                <w:kern w:val="0"/>
                <w:szCs w:val="21"/>
                <w:highlight w:val="none"/>
                <w:lang w:bidi="ar"/>
              </w:rPr>
            </w:pPr>
            <w:r>
              <w:rPr>
                <w:rFonts w:hint="eastAsia" w:ascii="宋体" w:hAnsi="宋体" w:cs="宋体"/>
                <w:bCs/>
                <w:color w:val="auto"/>
                <w:kern w:val="0"/>
                <w:szCs w:val="21"/>
                <w:highlight w:val="none"/>
                <w:lang w:bidi="ar"/>
              </w:rPr>
              <w:t>价格分</w:t>
            </w:r>
          </w:p>
          <w:p w14:paraId="6F2C5553">
            <w:pPr>
              <w:keepNext w:val="0"/>
              <w:keepLines w:val="0"/>
              <w:pageBreakBefore w:val="0"/>
              <w:widowControl/>
              <w:kinsoku/>
              <w:wordWrap/>
              <w:overflowPunct/>
              <w:topLinePunct w:val="0"/>
              <w:bidi w:val="0"/>
              <w:adjustRightInd/>
              <w:snapToGrid/>
              <w:spacing w:line="360" w:lineRule="exact"/>
              <w:jc w:val="center"/>
              <w:textAlignment w:val="center"/>
              <w:rPr>
                <w:rFonts w:ascii="宋体" w:hAnsi="宋体" w:cs="宋体"/>
                <w:color w:val="auto"/>
                <w:szCs w:val="21"/>
                <w:highlight w:val="none"/>
              </w:rPr>
            </w:pPr>
            <w:r>
              <w:rPr>
                <w:rFonts w:hint="eastAsia" w:ascii="宋体" w:hAnsi="宋体" w:cs="宋体"/>
                <w:bCs/>
                <w:color w:val="auto"/>
                <w:kern w:val="0"/>
                <w:szCs w:val="21"/>
                <w:highlight w:val="none"/>
                <w:lang w:bidi="ar"/>
              </w:rPr>
              <w:t>(30分)</w:t>
            </w:r>
          </w:p>
        </w:tc>
        <w:tc>
          <w:tcPr>
            <w:tcW w:w="3507" w:type="pct"/>
            <w:tcBorders>
              <w:top w:val="single" w:color="auto" w:sz="4" w:space="0"/>
              <w:left w:val="single" w:color="auto" w:sz="4" w:space="0"/>
              <w:bottom w:val="single" w:color="auto" w:sz="4" w:space="0"/>
              <w:right w:val="single" w:color="auto" w:sz="4" w:space="0"/>
            </w:tcBorders>
            <w:vAlign w:val="center"/>
          </w:tcPr>
          <w:p w14:paraId="6F512780">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价格分采用低价优先法计算，即满足采购文件要求且报价最低的供应商的报价为评审基准价，其价格分为满分</w:t>
            </w:r>
            <w:r>
              <w:rPr>
                <w:rFonts w:hint="eastAsia" w:ascii="宋体" w:hAnsi="宋体" w:cs="宋体"/>
                <w:bCs/>
                <w:color w:val="auto"/>
                <w:kern w:val="0"/>
                <w:szCs w:val="21"/>
                <w:highlight w:val="none"/>
                <w:lang w:bidi="ar"/>
              </w:rPr>
              <w:t>30</w:t>
            </w:r>
            <w:r>
              <w:rPr>
                <w:rFonts w:hint="eastAsia" w:ascii="宋体" w:hAnsi="宋体" w:cs="宋体"/>
                <w:color w:val="auto"/>
                <w:szCs w:val="21"/>
                <w:highlight w:val="none"/>
              </w:rPr>
              <w:t>分，其它供应商的价格分统一按照以下公式计算：</w:t>
            </w:r>
          </w:p>
          <w:p w14:paraId="4C11E32E">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报价得分=(评审基准价/该供应商的报价)×30分。</w:t>
            </w:r>
          </w:p>
          <w:p w14:paraId="24D23827">
            <w:pPr>
              <w:keepNext w:val="0"/>
              <w:keepLines w:val="0"/>
              <w:pageBreakBefore w:val="0"/>
              <w:kinsoku/>
              <w:wordWrap/>
              <w:overflowPunct/>
              <w:topLinePunct w:val="0"/>
              <w:bidi w:val="0"/>
              <w:adjustRightInd/>
              <w:snapToGrid/>
              <w:spacing w:line="340" w:lineRule="exact"/>
              <w:jc w:val="left"/>
              <w:rPr>
                <w:color w:val="auto"/>
                <w:highlight w:val="none"/>
              </w:rPr>
            </w:pPr>
            <w:r>
              <w:rPr>
                <w:rFonts w:hint="eastAsia" w:ascii="宋体" w:hAnsi="宋体" w:cs="宋体"/>
                <w:b/>
                <w:bCs/>
                <w:color w:val="auto"/>
                <w:szCs w:val="21"/>
                <w:highlight w:val="none"/>
              </w:rPr>
              <w:t>注：评标委员会认为供应商的报价明显低于其他通过符合性审查供应商的报价，有可能影响产品质量或者不能诚信履约的，要求其在评标现场合理的时间内提供书面说明，必要时提交相关证明材料。供应商不能证明其报价合理性的，将其作为无效投标处理。</w:t>
            </w:r>
          </w:p>
        </w:tc>
        <w:tc>
          <w:tcPr>
            <w:tcW w:w="387" w:type="pct"/>
            <w:tcBorders>
              <w:top w:val="single" w:color="auto" w:sz="4" w:space="0"/>
              <w:left w:val="single" w:color="auto" w:sz="4" w:space="0"/>
              <w:bottom w:val="single" w:color="auto" w:sz="4" w:space="0"/>
              <w:right w:val="single" w:color="auto" w:sz="4" w:space="0"/>
            </w:tcBorders>
            <w:vAlign w:val="center"/>
          </w:tcPr>
          <w:p w14:paraId="6CFB8530">
            <w:pPr>
              <w:keepNext w:val="0"/>
              <w:keepLines w:val="0"/>
              <w:pageBreakBefore w:val="0"/>
              <w:widowControl/>
              <w:kinsoku/>
              <w:wordWrap/>
              <w:overflowPunct/>
              <w:topLinePunct w:val="0"/>
              <w:bidi w:val="0"/>
              <w:adjustRightInd/>
              <w:snapToGrid/>
              <w:spacing w:line="360" w:lineRule="exact"/>
              <w:jc w:val="center"/>
              <w:textAlignment w:val="center"/>
              <w:rPr>
                <w:rFonts w:ascii="宋体" w:hAnsi="宋体" w:cs="宋体"/>
                <w:color w:val="auto"/>
                <w:sz w:val="24"/>
                <w:highlight w:val="none"/>
              </w:rPr>
            </w:pPr>
            <w:r>
              <w:rPr>
                <w:rFonts w:hint="eastAsia" w:ascii="宋体" w:hAnsi="宋体" w:cs="宋体"/>
                <w:bCs/>
                <w:color w:val="auto"/>
                <w:kern w:val="0"/>
                <w:szCs w:val="21"/>
                <w:highlight w:val="none"/>
                <w:lang w:bidi="ar"/>
              </w:rPr>
              <w:t>30</w:t>
            </w:r>
          </w:p>
        </w:tc>
      </w:tr>
      <w:tr w14:paraId="4B24B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58" w:type="pct"/>
            <w:tcBorders>
              <w:left w:val="single" w:color="auto" w:sz="4" w:space="0"/>
              <w:right w:val="single" w:color="auto" w:sz="4" w:space="0"/>
            </w:tcBorders>
            <w:vAlign w:val="center"/>
          </w:tcPr>
          <w:p w14:paraId="7DCECA32">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846" w:type="pct"/>
            <w:tcBorders>
              <w:left w:val="single" w:color="auto" w:sz="4" w:space="0"/>
              <w:right w:val="single" w:color="auto" w:sz="4" w:space="0"/>
            </w:tcBorders>
            <w:vAlign w:val="center"/>
          </w:tcPr>
          <w:p w14:paraId="5EBD4C02">
            <w:pPr>
              <w:keepNext w:val="0"/>
              <w:keepLines w:val="0"/>
              <w:pageBreakBefore w:val="0"/>
              <w:kinsoku/>
              <w:wordWrap/>
              <w:overflowPunct/>
              <w:topLinePunct w:val="0"/>
              <w:bidi w:val="0"/>
              <w:adjustRightInd/>
              <w:snapToGrid/>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指标响应</w:t>
            </w:r>
          </w:p>
          <w:p w14:paraId="1C7E0945">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tc>
        <w:tc>
          <w:tcPr>
            <w:tcW w:w="3507" w:type="pct"/>
            <w:tcBorders>
              <w:top w:val="single" w:color="auto" w:sz="4" w:space="0"/>
              <w:left w:val="single" w:color="auto" w:sz="4" w:space="0"/>
              <w:bottom w:val="single" w:color="auto" w:sz="4" w:space="0"/>
              <w:right w:val="single" w:color="auto" w:sz="4" w:space="0"/>
            </w:tcBorders>
            <w:vAlign w:val="center"/>
          </w:tcPr>
          <w:p w14:paraId="76216C1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color w:val="auto"/>
                <w:highlight w:val="none"/>
                <w:lang w:val="en-US" w:eastAsia="zh-CN"/>
              </w:rPr>
            </w:pPr>
            <w:r>
              <w:rPr>
                <w:rFonts w:hint="eastAsia"/>
                <w:color w:val="auto"/>
                <w:highlight w:val="none"/>
                <w:lang w:val="en-US" w:eastAsia="zh-CN"/>
              </w:rPr>
              <w:t>供应商所投产品全部满足采购文件“第四章 采购需求中二、技术指标及要求”的，得基础分43分，评分规则如下：</w:t>
            </w:r>
          </w:p>
          <w:p w14:paraId="1C4CAD49">
            <w:pPr>
              <w:keepNext w:val="0"/>
              <w:keepLines w:val="0"/>
              <w:pageBreakBefore w:val="0"/>
              <w:widowControl w:val="0"/>
              <w:kinsoku/>
              <w:wordWrap/>
              <w:overflowPunct/>
              <w:topLinePunct w:val="0"/>
              <w:autoSpaceDE/>
              <w:autoSpaceDN/>
              <w:bidi w:val="0"/>
              <w:adjustRightInd/>
              <w:snapToGrid/>
              <w:spacing w:line="340" w:lineRule="exact"/>
              <w:textAlignment w:val="auto"/>
              <w:rPr>
                <w:color w:val="auto"/>
                <w:highlight w:val="none"/>
              </w:rPr>
            </w:pPr>
            <w:r>
              <w:rPr>
                <w:rFonts w:hint="eastAsia"/>
                <w:color w:val="auto"/>
                <w:highlight w:val="none"/>
              </w:rPr>
              <w:t>（1）带“★”的条款为实质性指标，不满足按无效投标处理；</w:t>
            </w:r>
          </w:p>
          <w:p w14:paraId="02974051">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color w:val="auto"/>
                <w:highlight w:val="none"/>
              </w:rPr>
            </w:pPr>
            <w:r>
              <w:rPr>
                <w:rFonts w:hint="eastAsia" w:ascii="Times New Roman" w:hAnsi="Times New Roman" w:eastAsia="宋体" w:cs="Times New Roman"/>
                <w:color w:val="auto"/>
                <w:kern w:val="2"/>
                <w:sz w:val="21"/>
                <w:szCs w:val="24"/>
                <w:highlight w:val="none"/>
                <w:lang w:val="en-US" w:eastAsia="zh-CN" w:bidi="ar-SA"/>
              </w:rPr>
              <w:t>（2）</w:t>
            </w:r>
            <w:r>
              <w:rPr>
                <w:rFonts w:hint="eastAsia"/>
                <w:color w:val="auto"/>
                <w:highlight w:val="none"/>
              </w:rPr>
              <w:t>带“▲”的条款为重要技术指标，如带“</w:t>
            </w:r>
            <w:r>
              <w:rPr>
                <w:rFonts w:hint="eastAsia"/>
                <w:color w:val="auto"/>
                <w:sz w:val="24"/>
                <w:szCs w:val="32"/>
                <w:highlight w:val="none"/>
              </w:rPr>
              <w:t>▲</w:t>
            </w:r>
            <w:r>
              <w:rPr>
                <w:rFonts w:hint="eastAsia"/>
                <w:color w:val="auto"/>
                <w:highlight w:val="none"/>
              </w:rPr>
              <w:t>”条款存在负偏离的，负偏离1项扣1分；</w:t>
            </w:r>
          </w:p>
          <w:p w14:paraId="100CDC62">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firstLine="0" w:firstLineChars="0"/>
              <w:textAlignment w:val="auto"/>
              <w:rPr>
                <w:rFonts w:hint="eastAsia"/>
                <w:color w:val="auto"/>
                <w:highlight w:val="none"/>
                <w:lang w:eastAsia="zh-CN"/>
              </w:rPr>
            </w:pPr>
            <w:r>
              <w:rPr>
                <w:rFonts w:hint="eastAsia" w:ascii="Times New Roman" w:hAnsi="Times New Roman" w:eastAsia="宋体" w:cs="Times New Roman"/>
                <w:color w:val="auto"/>
                <w:kern w:val="2"/>
                <w:sz w:val="21"/>
                <w:szCs w:val="24"/>
                <w:highlight w:val="none"/>
                <w:lang w:val="en-US" w:eastAsia="zh-CN" w:bidi="ar-SA"/>
              </w:rPr>
              <w:t>（3）</w:t>
            </w:r>
            <w:r>
              <w:rPr>
                <w:rFonts w:hint="eastAsia"/>
                <w:color w:val="auto"/>
                <w:highlight w:val="none"/>
              </w:rPr>
              <w:t>其他技术指标，每负偏离1项扣0.</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14:paraId="61442AC8">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textAlignment w:val="auto"/>
              <w:rPr>
                <w:color w:val="auto"/>
                <w:highlight w:val="none"/>
              </w:rPr>
            </w:pPr>
            <w:r>
              <w:rPr>
                <w:rFonts w:hint="eastAsia"/>
                <w:color w:val="auto"/>
                <w:highlight w:val="none"/>
              </w:rPr>
              <w:t>上述第</w:t>
            </w:r>
            <w:r>
              <w:rPr>
                <w:rFonts w:hint="eastAsia" w:ascii="Times New Roman" w:hAnsi="Times New Roman" w:eastAsia="宋体" w:cs="Times New Roman"/>
                <w:color w:val="auto"/>
                <w:kern w:val="2"/>
                <w:sz w:val="21"/>
                <w:szCs w:val="24"/>
                <w:highlight w:val="none"/>
                <w:lang w:val="en-US" w:eastAsia="zh-CN" w:bidi="ar-SA"/>
              </w:rPr>
              <w:t>（2）</w:t>
            </w:r>
            <w:r>
              <w:rPr>
                <w:rFonts w:hint="eastAsia"/>
                <w:color w:val="auto"/>
                <w:highlight w:val="none"/>
              </w:rPr>
              <w:t>、</w:t>
            </w:r>
            <w:r>
              <w:rPr>
                <w:rFonts w:hint="eastAsia" w:ascii="Times New Roman" w:hAnsi="Times New Roman" w:eastAsia="宋体" w:cs="Times New Roman"/>
                <w:color w:val="auto"/>
                <w:kern w:val="2"/>
                <w:sz w:val="21"/>
                <w:szCs w:val="24"/>
                <w:highlight w:val="none"/>
                <w:lang w:val="en-US" w:eastAsia="zh-CN" w:bidi="ar-SA"/>
              </w:rPr>
              <w:t>（3）</w:t>
            </w:r>
            <w:r>
              <w:rPr>
                <w:rFonts w:hint="eastAsia"/>
                <w:color w:val="auto"/>
                <w:highlight w:val="none"/>
              </w:rPr>
              <w:t>项扣分累计，扣完本项分值</w:t>
            </w:r>
            <w:r>
              <w:rPr>
                <w:rFonts w:hint="eastAsia"/>
                <w:color w:val="auto"/>
                <w:highlight w:val="none"/>
                <w:lang w:val="en-US" w:eastAsia="zh-CN"/>
              </w:rPr>
              <w:t>为</w:t>
            </w:r>
            <w:r>
              <w:rPr>
                <w:rFonts w:hint="eastAsia"/>
                <w:color w:val="auto"/>
                <w:highlight w:val="none"/>
              </w:rPr>
              <w:t>止。</w:t>
            </w:r>
          </w:p>
          <w:p w14:paraId="649A5F3C">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ascii="宋体" w:hAnsi="宋体" w:cs="宋体"/>
                <w:color w:val="auto"/>
                <w:szCs w:val="21"/>
                <w:highlight w:val="none"/>
              </w:rPr>
            </w:pPr>
            <w:r>
              <w:rPr>
                <w:rFonts w:hint="eastAsia"/>
                <w:b/>
                <w:bCs/>
                <w:color w:val="auto"/>
                <w:highlight w:val="none"/>
              </w:rPr>
              <w:t>（评标委员会根据</w:t>
            </w:r>
            <w:r>
              <w:rPr>
                <w:rFonts w:hint="eastAsia"/>
                <w:b/>
                <w:bCs/>
                <w:color w:val="auto"/>
                <w:highlight w:val="none"/>
                <w:lang w:val="en-US" w:eastAsia="zh-CN"/>
              </w:rPr>
              <w:t>第四章采购需求中技术指标及要求</w:t>
            </w:r>
            <w:r>
              <w:rPr>
                <w:rFonts w:hint="eastAsia"/>
                <w:b/>
                <w:bCs/>
                <w:color w:val="auto"/>
                <w:highlight w:val="none"/>
              </w:rPr>
              <w:t>进行评审，请供应商根据</w:t>
            </w:r>
            <w:r>
              <w:rPr>
                <w:rFonts w:hint="eastAsia"/>
                <w:b/>
                <w:bCs/>
                <w:color w:val="auto"/>
                <w:highlight w:val="none"/>
                <w:lang w:val="en-US" w:eastAsia="zh-CN"/>
              </w:rPr>
              <w:t>第六章附件中</w:t>
            </w:r>
            <w:r>
              <w:rPr>
                <w:rFonts w:hint="eastAsia" w:ascii="Arial" w:hAnsi="Arial" w:cs="Arial"/>
                <w:b/>
                <w:bCs/>
                <w:color w:val="auto"/>
                <w:kern w:val="0"/>
                <w:szCs w:val="21"/>
                <w:highlight w:val="none"/>
                <w:lang w:val="en-US" w:eastAsia="zh-CN"/>
              </w:rPr>
              <w:t>技术条款偏离表</w:t>
            </w:r>
            <w:r>
              <w:rPr>
                <w:rFonts w:hint="eastAsia" w:ascii="Arial" w:hAnsi="Arial" w:cs="Arial"/>
                <w:b/>
                <w:bCs/>
                <w:color w:val="auto"/>
                <w:kern w:val="0"/>
                <w:szCs w:val="21"/>
                <w:highlight w:val="none"/>
              </w:rPr>
              <w:t>中</w:t>
            </w:r>
            <w:r>
              <w:rPr>
                <w:rFonts w:hint="eastAsia"/>
                <w:b/>
                <w:bCs/>
                <w:color w:val="auto"/>
                <w:highlight w:val="none"/>
              </w:rPr>
              <w:t>的条款响应，如实填列所投产品的技术指标和商务条款的响应内容并标注证明资料页码。</w:t>
            </w:r>
            <w:r>
              <w:rPr>
                <w:rFonts w:hint="eastAsia" w:ascii="宋体" w:hAnsi="宋体" w:cs="宋体"/>
                <w:b/>
                <w:bCs/>
                <w:color w:val="auto"/>
                <w:szCs w:val="21"/>
                <w:highlight w:val="none"/>
              </w:rPr>
              <w:t>所有对“★”“▲”的技术参数响应需提供支撑资料（提供相关证明材料并加盖投标单位公章包括明确说明该技术内容的公开发行的产品彩页或产品说明书或第三方检测机构的检测报告，需求中有其他要求的仅从其要求。），如未附有效支撑材料或者所附的支撑材料由评标委员会认为不能佐证技术指标的有效性的，则视为负偏离。）如文件中要求提供证明材料，建议采用箭头、标红或下划线等进行明显标注，方便评委查看。供应商须如实地在《技术条款偏离表》中标明满足与否，并对其真实性负责。在签订合同前，采购人有权要求供应商到用户现场验证，功能</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性能需与技术要求一致，否则视为虚假应标，采购人有权追究其相应法律责任。</w:t>
            </w:r>
            <w:r>
              <w:rPr>
                <w:rFonts w:hint="eastAsia"/>
                <w:b/>
                <w:bCs/>
                <w:color w:val="auto"/>
                <w:highlight w:val="none"/>
              </w:rPr>
              <w:t>）</w:t>
            </w:r>
          </w:p>
        </w:tc>
        <w:tc>
          <w:tcPr>
            <w:tcW w:w="387" w:type="pct"/>
            <w:tcBorders>
              <w:top w:val="single" w:color="auto" w:sz="4" w:space="0"/>
              <w:left w:val="single" w:color="auto" w:sz="4" w:space="0"/>
              <w:bottom w:val="single" w:color="auto" w:sz="4" w:space="0"/>
              <w:right w:val="single" w:color="auto" w:sz="4" w:space="0"/>
            </w:tcBorders>
            <w:vAlign w:val="center"/>
          </w:tcPr>
          <w:p w14:paraId="59BB3DD6">
            <w:pPr>
              <w:keepNext w:val="0"/>
              <w:keepLines w:val="0"/>
              <w:pageBreakBefore w:val="0"/>
              <w:widowControl/>
              <w:kinsoku/>
              <w:wordWrap/>
              <w:overflowPunct/>
              <w:topLinePunct w:val="0"/>
              <w:bidi w:val="0"/>
              <w:adjustRightInd/>
              <w:snapToGrid/>
              <w:spacing w:line="360" w:lineRule="exact"/>
              <w:jc w:val="center"/>
              <w:textAlignment w:val="center"/>
              <w:rPr>
                <w:rFonts w:hint="eastAsia" w:ascii="宋体" w:hAnsi="宋体" w:eastAsia="宋体" w:cs="宋体"/>
                <w:bCs/>
                <w:color w:val="auto"/>
                <w:kern w:val="0"/>
                <w:szCs w:val="21"/>
                <w:highlight w:val="none"/>
                <w:lang w:eastAsia="zh-CN" w:bidi="ar"/>
              </w:rPr>
            </w:pPr>
            <w:r>
              <w:rPr>
                <w:rFonts w:hint="eastAsia" w:ascii="宋体" w:hAnsi="宋体" w:cs="宋体"/>
                <w:bCs/>
                <w:color w:val="auto"/>
                <w:szCs w:val="21"/>
                <w:highlight w:val="none"/>
                <w:lang w:bidi="ar"/>
              </w:rPr>
              <w:t>4</w:t>
            </w:r>
            <w:r>
              <w:rPr>
                <w:rFonts w:hint="eastAsia" w:ascii="宋体" w:hAnsi="宋体" w:cs="宋体"/>
                <w:bCs/>
                <w:color w:val="auto"/>
                <w:szCs w:val="21"/>
                <w:highlight w:val="none"/>
                <w:lang w:val="en-US" w:eastAsia="zh-CN" w:bidi="ar"/>
              </w:rPr>
              <w:t>3</w:t>
            </w:r>
          </w:p>
        </w:tc>
      </w:tr>
      <w:tr w14:paraId="0521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58" w:type="pct"/>
            <w:tcBorders>
              <w:left w:val="single" w:color="auto" w:sz="4" w:space="0"/>
              <w:right w:val="single" w:color="auto" w:sz="4" w:space="0"/>
            </w:tcBorders>
            <w:vAlign w:val="center"/>
          </w:tcPr>
          <w:p w14:paraId="12CD07B4">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846" w:type="pct"/>
            <w:tcBorders>
              <w:left w:val="single" w:color="auto" w:sz="4" w:space="0"/>
              <w:right w:val="single" w:color="auto" w:sz="4" w:space="0"/>
            </w:tcBorders>
            <w:vAlign w:val="center"/>
          </w:tcPr>
          <w:p w14:paraId="0F84E160">
            <w:pPr>
              <w:keepNext w:val="0"/>
              <w:keepLines w:val="0"/>
              <w:pageBreakBefore w:val="0"/>
              <w:kinsoku/>
              <w:wordWrap/>
              <w:overflowPunct/>
              <w:topLinePunct w:val="0"/>
              <w:bidi w:val="0"/>
              <w:adjustRightInd/>
              <w:snapToGrid/>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业绩</w:t>
            </w:r>
          </w:p>
          <w:p w14:paraId="130BFC03">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tc>
        <w:tc>
          <w:tcPr>
            <w:tcW w:w="3507" w:type="pct"/>
            <w:tcBorders>
              <w:top w:val="single" w:color="auto" w:sz="4" w:space="0"/>
              <w:left w:val="single" w:color="auto" w:sz="4" w:space="0"/>
              <w:bottom w:val="single" w:color="auto" w:sz="4" w:space="0"/>
              <w:right w:val="single" w:color="auto" w:sz="4" w:space="0"/>
            </w:tcBorders>
            <w:vAlign w:val="center"/>
          </w:tcPr>
          <w:p w14:paraId="50166E83">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供应商提供自202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年01月01日</w:t>
            </w:r>
            <w:r>
              <w:rPr>
                <w:rFonts w:hint="eastAsia" w:ascii="宋体" w:hAnsi="宋体" w:cs="宋体"/>
                <w:b/>
                <w:bCs/>
                <w:color w:val="auto"/>
                <w:szCs w:val="21"/>
                <w:highlight w:val="none"/>
              </w:rPr>
              <w:t>（以合同签订日期为准）</w:t>
            </w:r>
            <w:r>
              <w:rPr>
                <w:rFonts w:hint="eastAsia" w:ascii="宋体" w:hAnsi="宋体" w:cs="宋体"/>
                <w:color w:val="auto"/>
                <w:szCs w:val="21"/>
                <w:highlight w:val="none"/>
              </w:rPr>
              <w:t>以来，承担过类似项目</w:t>
            </w:r>
            <w:r>
              <w:rPr>
                <w:rFonts w:hint="eastAsia" w:ascii="宋体" w:hAnsi="宋体" w:cs="宋体"/>
                <w:b/>
                <w:bCs/>
                <w:color w:val="auto"/>
                <w:szCs w:val="21"/>
                <w:highlight w:val="none"/>
              </w:rPr>
              <w:t>（高性能计算平台）</w:t>
            </w:r>
            <w:r>
              <w:rPr>
                <w:rFonts w:hint="eastAsia" w:ascii="宋体" w:hAnsi="宋体" w:cs="宋体"/>
                <w:color w:val="auto"/>
                <w:szCs w:val="21"/>
                <w:highlight w:val="none"/>
              </w:rPr>
              <w:t>业绩的，每提供1个业绩得1分，最高得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b/>
                <w:bCs/>
                <w:color w:val="auto"/>
                <w:szCs w:val="21"/>
                <w:highlight w:val="none"/>
              </w:rPr>
              <w:t>（提供合同复印件加盖公章，合同需体现相关内容）</w:t>
            </w:r>
          </w:p>
        </w:tc>
        <w:tc>
          <w:tcPr>
            <w:tcW w:w="387" w:type="pct"/>
            <w:tcBorders>
              <w:top w:val="single" w:color="auto" w:sz="4" w:space="0"/>
              <w:left w:val="single" w:color="auto" w:sz="4" w:space="0"/>
              <w:bottom w:val="single" w:color="auto" w:sz="4" w:space="0"/>
              <w:right w:val="single" w:color="auto" w:sz="4" w:space="0"/>
            </w:tcBorders>
            <w:vAlign w:val="center"/>
          </w:tcPr>
          <w:p w14:paraId="3BEE66F0">
            <w:pPr>
              <w:keepNext w:val="0"/>
              <w:keepLines w:val="0"/>
              <w:pageBreakBefore w:val="0"/>
              <w:widowControl/>
              <w:kinsoku/>
              <w:wordWrap/>
              <w:overflowPunct/>
              <w:topLinePunct w:val="0"/>
              <w:bidi w:val="0"/>
              <w:adjustRightInd/>
              <w:snapToGrid/>
              <w:spacing w:line="360" w:lineRule="exact"/>
              <w:jc w:val="center"/>
              <w:textAlignment w:val="center"/>
              <w:rPr>
                <w:rFonts w:hint="eastAsia" w:ascii="宋体" w:hAnsi="宋体" w:eastAsia="宋体" w:cs="宋体"/>
                <w:bCs/>
                <w:color w:val="auto"/>
                <w:kern w:val="0"/>
                <w:szCs w:val="21"/>
                <w:highlight w:val="none"/>
                <w:lang w:eastAsia="zh-CN" w:bidi="ar"/>
              </w:rPr>
            </w:pPr>
            <w:r>
              <w:rPr>
                <w:rFonts w:hint="eastAsia" w:ascii="宋体" w:hAnsi="宋体" w:cs="宋体"/>
                <w:bCs/>
                <w:color w:val="auto"/>
                <w:kern w:val="0"/>
                <w:szCs w:val="21"/>
                <w:highlight w:val="none"/>
                <w:lang w:val="en-US" w:eastAsia="zh-CN" w:bidi="ar"/>
              </w:rPr>
              <w:t>3</w:t>
            </w:r>
          </w:p>
        </w:tc>
      </w:tr>
      <w:tr w14:paraId="2FC5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58" w:type="pct"/>
            <w:vMerge w:val="restart"/>
            <w:tcBorders>
              <w:left w:val="single" w:color="auto" w:sz="4" w:space="0"/>
              <w:right w:val="single" w:color="auto" w:sz="4" w:space="0"/>
            </w:tcBorders>
            <w:vAlign w:val="center"/>
          </w:tcPr>
          <w:p w14:paraId="4ECA2AA2">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846" w:type="pct"/>
            <w:vMerge w:val="restart"/>
            <w:tcBorders>
              <w:left w:val="single" w:color="auto" w:sz="4" w:space="0"/>
              <w:right w:val="single" w:color="auto" w:sz="4" w:space="0"/>
            </w:tcBorders>
            <w:vAlign w:val="center"/>
          </w:tcPr>
          <w:p w14:paraId="6852ED09">
            <w:pPr>
              <w:keepNext w:val="0"/>
              <w:keepLines w:val="0"/>
              <w:pageBreakBefore w:val="0"/>
              <w:kinsoku/>
              <w:wordWrap/>
              <w:overflowPunct/>
              <w:topLinePunct w:val="0"/>
              <w:bidi w:val="0"/>
              <w:adjustRightInd/>
              <w:snapToGrid/>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技术方案</w:t>
            </w:r>
          </w:p>
          <w:p w14:paraId="0625FCAD">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c>
          <w:tcPr>
            <w:tcW w:w="3507" w:type="pct"/>
            <w:tcBorders>
              <w:left w:val="single" w:color="auto" w:sz="4" w:space="0"/>
              <w:right w:val="single" w:color="auto" w:sz="4" w:space="0"/>
            </w:tcBorders>
            <w:vAlign w:val="center"/>
          </w:tcPr>
          <w:p w14:paraId="275F817F">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项目实施方案（</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评标委员会</w:t>
            </w:r>
            <w:r>
              <w:rPr>
                <w:rFonts w:hint="eastAsia" w:ascii="宋体" w:hAnsi="宋体" w:cs="宋体"/>
                <w:color w:val="auto"/>
                <w:szCs w:val="21"/>
                <w:highlight w:val="none"/>
                <w:lang w:val="zh-CN"/>
              </w:rPr>
              <w:t>根据供应商提供的</w:t>
            </w:r>
            <w:r>
              <w:rPr>
                <w:rFonts w:hint="eastAsia" w:ascii="宋体" w:hAnsi="宋体" w:cs="宋体"/>
                <w:color w:val="auto"/>
                <w:szCs w:val="21"/>
                <w:highlight w:val="none"/>
              </w:rPr>
              <w:t>项目实施方案进行打分，包括但不限于项目管理方法及项目组织结构、实施进度计划安排、实施流程及关键步骤实施保障措施：</w:t>
            </w:r>
          </w:p>
          <w:p w14:paraId="6AB3BE9D">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1、方案要素齐全完整，组织结构、管理制度、进度计划、实施流程、关键环节保障措施全部明确、具体落地，完全贴合本项目实际需求、无通用模板化内容，可落地、可执行，得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4D9DF734">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2、方案核心要素齐全，具备完整的组织、进度、流程、保障内容，但部分内容较为通用、细化程度不足，基本满足项目实施要求，得3分；</w:t>
            </w:r>
          </w:p>
          <w:p w14:paraId="47FC61A7">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3、方案仅基础框架完整，关键实施流程、保障措施内容简略、落地性弱，仅勉强满足最低要求，得1分；</w:t>
            </w:r>
          </w:p>
          <w:p w14:paraId="7093BE8C">
            <w:pPr>
              <w:keepNext w:val="0"/>
              <w:keepLines w:val="0"/>
              <w:pageBreakBefore w:val="0"/>
              <w:kinsoku/>
              <w:wordWrap/>
              <w:overflowPunct/>
              <w:topLinePunct w:val="0"/>
              <w:bidi w:val="0"/>
              <w:adjustRightInd/>
              <w:snapToGrid/>
              <w:spacing w:line="340" w:lineRule="exact"/>
              <w:jc w:val="left"/>
              <w:rPr>
                <w:rFonts w:ascii="宋体" w:hAnsi="宋体" w:cs="宋体"/>
                <w:b/>
                <w:bCs/>
                <w:color w:val="auto"/>
                <w:szCs w:val="21"/>
                <w:highlight w:val="none"/>
              </w:rPr>
            </w:pPr>
            <w:r>
              <w:rPr>
                <w:rFonts w:hint="eastAsia" w:ascii="宋体" w:hAnsi="宋体" w:cs="宋体"/>
                <w:color w:val="auto"/>
                <w:szCs w:val="21"/>
                <w:highlight w:val="none"/>
              </w:rPr>
              <w:t>4、未提供项目实施方案的，不得分。</w:t>
            </w:r>
          </w:p>
        </w:tc>
        <w:tc>
          <w:tcPr>
            <w:tcW w:w="387" w:type="pct"/>
            <w:tcBorders>
              <w:top w:val="single" w:color="auto" w:sz="4" w:space="0"/>
              <w:left w:val="single" w:color="auto" w:sz="4" w:space="0"/>
              <w:bottom w:val="single" w:color="auto" w:sz="4" w:space="0"/>
              <w:right w:val="single" w:color="auto" w:sz="4" w:space="0"/>
            </w:tcBorders>
            <w:vAlign w:val="center"/>
          </w:tcPr>
          <w:p w14:paraId="55A08DEC">
            <w:pPr>
              <w:keepNext w:val="0"/>
              <w:keepLines w:val="0"/>
              <w:pageBreakBefore w:val="0"/>
              <w:widowControl/>
              <w:kinsoku/>
              <w:wordWrap/>
              <w:overflowPunct/>
              <w:topLinePunct w:val="0"/>
              <w:bidi w:val="0"/>
              <w:adjustRightInd/>
              <w:snapToGrid/>
              <w:spacing w:line="360" w:lineRule="exact"/>
              <w:jc w:val="center"/>
              <w:textAlignment w:val="center"/>
              <w:rPr>
                <w:rFonts w:hint="eastAsia" w:ascii="宋体" w:hAnsi="宋体" w:eastAsia="宋体" w:cs="宋体"/>
                <w:bCs/>
                <w:color w:val="auto"/>
                <w:kern w:val="0"/>
                <w:szCs w:val="21"/>
                <w:highlight w:val="none"/>
                <w:lang w:eastAsia="zh-CN" w:bidi="ar"/>
              </w:rPr>
            </w:pPr>
            <w:r>
              <w:rPr>
                <w:rFonts w:hint="eastAsia" w:ascii="宋体" w:hAnsi="宋体" w:cs="宋体"/>
                <w:bCs/>
                <w:color w:val="auto"/>
                <w:kern w:val="0"/>
                <w:szCs w:val="21"/>
                <w:highlight w:val="none"/>
                <w:lang w:val="en-US" w:eastAsia="zh-CN" w:bidi="ar"/>
              </w:rPr>
              <w:t>5</w:t>
            </w:r>
          </w:p>
        </w:tc>
      </w:tr>
      <w:tr w14:paraId="11C9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58" w:type="pct"/>
            <w:vMerge w:val="continue"/>
            <w:tcBorders>
              <w:left w:val="single" w:color="auto" w:sz="4" w:space="0"/>
              <w:right w:val="single" w:color="auto" w:sz="4" w:space="0"/>
            </w:tcBorders>
            <w:vAlign w:val="center"/>
          </w:tcPr>
          <w:p w14:paraId="20D7E8C8">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p>
        </w:tc>
        <w:tc>
          <w:tcPr>
            <w:tcW w:w="846" w:type="pct"/>
            <w:vMerge w:val="continue"/>
            <w:tcBorders>
              <w:left w:val="single" w:color="auto" w:sz="4" w:space="0"/>
              <w:right w:val="single" w:color="auto" w:sz="4" w:space="0"/>
            </w:tcBorders>
            <w:vAlign w:val="center"/>
          </w:tcPr>
          <w:p w14:paraId="189921B6">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p>
        </w:tc>
        <w:tc>
          <w:tcPr>
            <w:tcW w:w="3507" w:type="pct"/>
            <w:tcBorders>
              <w:left w:val="single" w:color="auto" w:sz="4" w:space="0"/>
              <w:right w:val="single" w:color="auto" w:sz="4" w:space="0"/>
            </w:tcBorders>
            <w:shd w:val="clear" w:color="auto" w:fill="auto"/>
            <w:vAlign w:val="center"/>
          </w:tcPr>
          <w:p w14:paraId="712C5B1B">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lang w:val="zh-CN"/>
              </w:rPr>
            </w:pPr>
            <w:r>
              <w:rPr>
                <w:rFonts w:hint="eastAsia" w:ascii="宋体" w:hAnsi="宋体" w:cs="宋体"/>
                <w:color w:val="auto"/>
                <w:szCs w:val="21"/>
                <w:highlight w:val="none"/>
                <w:lang w:val="zh-CN"/>
              </w:rPr>
              <w:t>产品选型与兼容情况</w:t>
            </w:r>
            <w:r>
              <w:rPr>
                <w:rFonts w:hint="eastAsia" w:ascii="宋体" w:hAnsi="宋体" w:cs="宋体"/>
                <w:color w:val="auto"/>
                <w:szCs w:val="21"/>
                <w:highlight w:val="none"/>
              </w:rPr>
              <w:t>方案（</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评标委员会</w:t>
            </w:r>
            <w:r>
              <w:rPr>
                <w:rFonts w:hint="eastAsia" w:ascii="宋体" w:hAnsi="宋体" w:cs="宋体"/>
                <w:color w:val="auto"/>
                <w:szCs w:val="21"/>
                <w:highlight w:val="none"/>
                <w:lang w:val="zh-CN"/>
              </w:rPr>
              <w:t>根据供应商提供的产品选型与兼容情况</w:t>
            </w:r>
            <w:r>
              <w:rPr>
                <w:rFonts w:hint="eastAsia" w:ascii="宋体" w:hAnsi="宋体" w:cs="宋体"/>
                <w:color w:val="auto"/>
                <w:szCs w:val="21"/>
                <w:highlight w:val="none"/>
              </w:rPr>
              <w:t>方案进行打分，包括但不限于</w:t>
            </w:r>
            <w:r>
              <w:rPr>
                <w:rFonts w:hint="eastAsia" w:ascii="宋体" w:hAnsi="宋体" w:cs="宋体"/>
                <w:color w:val="auto"/>
                <w:szCs w:val="21"/>
                <w:highlight w:val="none"/>
                <w:lang w:val="zh-CN"/>
              </w:rPr>
              <w:t>技术路线、设备选型、数量配置、设备集成方案是否充分理解</w:t>
            </w:r>
            <w:r>
              <w:rPr>
                <w:rFonts w:hint="eastAsia" w:ascii="宋体" w:hAnsi="宋体" w:cs="宋体"/>
                <w:color w:val="auto"/>
                <w:szCs w:val="21"/>
                <w:highlight w:val="none"/>
              </w:rPr>
              <w:t>采购需求</w:t>
            </w:r>
            <w:r>
              <w:rPr>
                <w:rFonts w:hint="eastAsia" w:ascii="宋体" w:hAnsi="宋体" w:cs="宋体"/>
                <w:color w:val="auto"/>
                <w:szCs w:val="21"/>
                <w:highlight w:val="none"/>
                <w:lang w:val="zh-CN"/>
              </w:rPr>
              <w:t>、是否考虑与已有系统(如现有作业调度系统、</w:t>
            </w:r>
            <w:r>
              <w:rPr>
                <w:rFonts w:hint="eastAsia" w:ascii="宋体" w:hAnsi="宋体" w:cs="宋体"/>
                <w:color w:val="auto"/>
                <w:szCs w:val="21"/>
                <w:highlight w:val="none"/>
                <w:lang w:val="en-US" w:eastAsia="zh-CN"/>
              </w:rPr>
              <w:t>存储</w:t>
            </w:r>
            <w:r>
              <w:rPr>
                <w:rFonts w:hint="eastAsia" w:ascii="宋体" w:hAnsi="宋体" w:cs="宋体"/>
                <w:color w:val="auto"/>
                <w:szCs w:val="21"/>
                <w:highlight w:val="none"/>
                <w:lang w:val="zh-CN"/>
              </w:rPr>
              <w:t>系统)的兼容性及使用习惯延续性等：</w:t>
            </w:r>
          </w:p>
          <w:p w14:paraId="36AB462D">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1、方案要素完整、技术路线清晰，设备选型、参数配置、数量配置完全匹配本项目采购需求；详细阐述与现有作业调度系统、存储系统等在用系统的对接方式、兼容机制、集成逻辑，兼容保障措施具体可落地，充分保障原有使用习惯延续、无适配风险，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4374D230">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2、方案内容完整，设备选型、配置及集成方案满足项目需求，可实现与现有系统兼容适配，明确考虑使用习惯延续性，但部分兼容、集成细节阐述简略、针对性一般，得3分；</w:t>
            </w:r>
          </w:p>
          <w:p w14:paraId="2F3B1B6F">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3、仅提供基础选型及兼容方案，选型配置仅满足最低采购要求，兼容、集成内容表述笼统，无具体对接措施和保障细节，仅能实现基础兼容，得1分；</w:t>
            </w:r>
          </w:p>
          <w:p w14:paraId="0DD05DD9">
            <w:pPr>
              <w:keepNext w:val="0"/>
              <w:keepLines w:val="0"/>
              <w:pageBreakBefore w:val="0"/>
              <w:kinsoku/>
              <w:wordWrap/>
              <w:overflowPunct/>
              <w:topLinePunct w:val="0"/>
              <w:bidi w:val="0"/>
              <w:adjustRightInd/>
              <w:snapToGrid/>
              <w:spacing w:line="340" w:lineRule="exact"/>
              <w:jc w:val="left"/>
              <w:rPr>
                <w:rFonts w:ascii="宋体" w:hAnsi="宋体" w:cs="宋体"/>
                <w:b/>
                <w:bCs/>
                <w:color w:val="auto"/>
                <w:szCs w:val="21"/>
                <w:highlight w:val="none"/>
              </w:rPr>
            </w:pPr>
            <w:r>
              <w:rPr>
                <w:rFonts w:hint="eastAsia" w:ascii="宋体" w:hAnsi="宋体" w:cs="宋体"/>
                <w:color w:val="auto"/>
                <w:szCs w:val="21"/>
                <w:highlight w:val="none"/>
              </w:rPr>
              <w:t>4、未提供产品选型与兼容情况专项方案的，不得分。</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10ADF68F">
            <w:pPr>
              <w:keepNext w:val="0"/>
              <w:keepLines w:val="0"/>
              <w:pageBreakBefore w:val="0"/>
              <w:widowControl/>
              <w:kinsoku/>
              <w:wordWrap/>
              <w:overflowPunct/>
              <w:topLinePunct w:val="0"/>
              <w:bidi w:val="0"/>
              <w:adjustRightInd/>
              <w:snapToGrid/>
              <w:spacing w:line="360" w:lineRule="exact"/>
              <w:jc w:val="center"/>
              <w:textAlignment w:val="center"/>
              <w:rPr>
                <w:rFonts w:hint="eastAsia" w:ascii="宋体" w:hAnsi="宋体" w:eastAsia="宋体" w:cs="宋体"/>
                <w:bCs/>
                <w:color w:val="auto"/>
                <w:kern w:val="0"/>
                <w:szCs w:val="21"/>
                <w:highlight w:val="none"/>
                <w:lang w:eastAsia="zh-CN" w:bidi="ar"/>
              </w:rPr>
            </w:pPr>
            <w:r>
              <w:rPr>
                <w:rFonts w:hint="eastAsia" w:ascii="宋体" w:hAnsi="宋体" w:cs="宋体"/>
                <w:bCs/>
                <w:color w:val="auto"/>
                <w:kern w:val="0"/>
                <w:szCs w:val="21"/>
                <w:highlight w:val="none"/>
                <w:lang w:val="en-US" w:eastAsia="zh-CN" w:bidi="ar"/>
              </w:rPr>
              <w:t>5</w:t>
            </w:r>
          </w:p>
        </w:tc>
      </w:tr>
      <w:tr w14:paraId="7137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58" w:type="pct"/>
            <w:vMerge w:val="restart"/>
            <w:tcBorders>
              <w:left w:val="single" w:color="auto" w:sz="4" w:space="0"/>
              <w:right w:val="single" w:color="auto" w:sz="4" w:space="0"/>
            </w:tcBorders>
            <w:shd w:val="clear" w:color="auto" w:fill="auto"/>
            <w:vAlign w:val="center"/>
          </w:tcPr>
          <w:p w14:paraId="6611BADC">
            <w:pPr>
              <w:keepNext w:val="0"/>
              <w:keepLines w:val="0"/>
              <w:pageBreakBefore w:val="0"/>
              <w:kinsoku/>
              <w:wordWrap/>
              <w:overflowPunct/>
              <w:topLinePunct w:val="0"/>
              <w:bidi w:val="0"/>
              <w:adjustRightInd/>
              <w:snapToGrid/>
              <w:spacing w:line="360" w:lineRule="exact"/>
              <w:jc w:val="center"/>
              <w:rPr>
                <w:color w:val="auto"/>
                <w:highlight w:val="none"/>
              </w:rPr>
            </w:pPr>
            <w:r>
              <w:rPr>
                <w:rFonts w:hint="eastAsia"/>
                <w:color w:val="auto"/>
                <w:highlight w:val="none"/>
              </w:rPr>
              <w:t>5</w:t>
            </w:r>
          </w:p>
        </w:tc>
        <w:tc>
          <w:tcPr>
            <w:tcW w:w="846" w:type="pct"/>
            <w:vMerge w:val="restart"/>
            <w:tcBorders>
              <w:left w:val="single" w:color="auto" w:sz="4" w:space="0"/>
              <w:right w:val="single" w:color="auto" w:sz="4" w:space="0"/>
            </w:tcBorders>
            <w:shd w:val="clear" w:color="auto" w:fill="auto"/>
            <w:vAlign w:val="center"/>
          </w:tcPr>
          <w:p w14:paraId="798A7082">
            <w:pPr>
              <w:keepNext w:val="0"/>
              <w:keepLines w:val="0"/>
              <w:pageBreakBefore w:val="0"/>
              <w:widowControl/>
              <w:kinsoku/>
              <w:wordWrap/>
              <w:overflowPunct/>
              <w:topLinePunct w:val="0"/>
              <w:bidi w:val="0"/>
              <w:adjustRightInd/>
              <w:snapToGrid/>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项目实施能力、售后服务、增值服务</w:t>
            </w:r>
          </w:p>
          <w:p w14:paraId="5D359F23">
            <w:pPr>
              <w:keepNext w:val="0"/>
              <w:keepLines w:val="0"/>
              <w:pageBreakBefore w:val="0"/>
              <w:kinsoku/>
              <w:wordWrap/>
              <w:overflowPunct/>
              <w:topLinePunct w:val="0"/>
              <w:bidi w:val="0"/>
              <w:adjustRightInd/>
              <w:snapToGrid/>
              <w:spacing w:line="360" w:lineRule="exact"/>
              <w:jc w:val="center"/>
              <w:rPr>
                <w:color w:val="auto"/>
                <w:highlight w:val="none"/>
              </w:rPr>
            </w:pP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13</w:t>
            </w:r>
            <w:r>
              <w:rPr>
                <w:rFonts w:hint="eastAsia" w:ascii="宋体" w:hAnsi="宋体" w:cs="宋体"/>
                <w:color w:val="auto"/>
                <w:kern w:val="0"/>
                <w:szCs w:val="21"/>
                <w:highlight w:val="none"/>
              </w:rPr>
              <w:t>分）</w:t>
            </w:r>
          </w:p>
        </w:tc>
        <w:tc>
          <w:tcPr>
            <w:tcW w:w="3507" w:type="pct"/>
            <w:tcBorders>
              <w:left w:val="single" w:color="auto" w:sz="4" w:space="0"/>
              <w:right w:val="single" w:color="auto" w:sz="4" w:space="0"/>
            </w:tcBorders>
            <w:vAlign w:val="center"/>
          </w:tcPr>
          <w:p w14:paraId="406F4C01">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售后服务方案（</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评标委员会</w:t>
            </w:r>
            <w:r>
              <w:rPr>
                <w:rFonts w:hint="eastAsia" w:ascii="宋体" w:hAnsi="宋体" w:cs="宋体"/>
                <w:color w:val="auto"/>
                <w:szCs w:val="21"/>
                <w:highlight w:val="none"/>
                <w:lang w:val="zh-CN"/>
              </w:rPr>
              <w:t>根据供应商提供的</w:t>
            </w:r>
            <w:r>
              <w:rPr>
                <w:rFonts w:hint="eastAsia" w:ascii="宋体" w:hAnsi="宋体" w:cs="宋体"/>
                <w:color w:val="auto"/>
                <w:szCs w:val="21"/>
                <w:highlight w:val="none"/>
              </w:rPr>
              <w:t>售后服务方案进行打分，包括但不限于配备的售后服务团队、是否满足用户对于售后服务的要求等：</w:t>
            </w:r>
          </w:p>
          <w:p w14:paraId="36D246FE">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1、售后服务方案要素齐全，贴合本项目实际运维需求，配备专职售后团队、明确服务人员及岗位职责；具备明确的售后响应时效、故障处理流程、定期巡检、质保服务、应急保障、回访机制等具体落地措施，服务体系完整、可执行性强、针对性足，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4A1DB80F">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2、售后服务方案整体完整，覆盖本项目主要售后需求，配有售后团队及基础服务机制，能够满足项目售后要求，但部分服务细则、保障措施阐述较为简略、细化程度不足，得3分；</w:t>
            </w:r>
          </w:p>
          <w:p w14:paraId="511D5B66">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3、仅提供基础售后服务框架，售后团队配置、响应机制、维保措施内容笼统简单，无具体落地细则，仅勉强满足最低服务要求，得1分；</w:t>
            </w:r>
          </w:p>
          <w:p w14:paraId="296FB647">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4、未提供售后服务方案的，不得分。</w:t>
            </w:r>
          </w:p>
        </w:tc>
        <w:tc>
          <w:tcPr>
            <w:tcW w:w="387" w:type="pct"/>
            <w:tcBorders>
              <w:top w:val="single" w:color="auto" w:sz="4" w:space="0"/>
              <w:left w:val="single" w:color="auto" w:sz="4" w:space="0"/>
              <w:bottom w:val="single" w:color="auto" w:sz="4" w:space="0"/>
              <w:right w:val="single" w:color="auto" w:sz="4" w:space="0"/>
            </w:tcBorders>
            <w:vAlign w:val="center"/>
          </w:tcPr>
          <w:p w14:paraId="0D5E2C72">
            <w:pPr>
              <w:keepNext w:val="0"/>
              <w:keepLines w:val="0"/>
              <w:pageBreakBefore w:val="0"/>
              <w:kinsoku/>
              <w:wordWrap/>
              <w:overflowPunct/>
              <w:topLinePunct w:val="0"/>
              <w:bidi w:val="0"/>
              <w:adjustRightInd/>
              <w:snapToGrid/>
              <w:spacing w:line="36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p>
        </w:tc>
      </w:tr>
      <w:tr w14:paraId="64E3F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258" w:type="pct"/>
            <w:vMerge w:val="continue"/>
            <w:tcBorders>
              <w:left w:val="single" w:color="auto" w:sz="4" w:space="0"/>
              <w:right w:val="single" w:color="auto" w:sz="4" w:space="0"/>
            </w:tcBorders>
            <w:vAlign w:val="center"/>
          </w:tcPr>
          <w:p w14:paraId="0004F992">
            <w:pPr>
              <w:keepNext w:val="0"/>
              <w:keepLines w:val="0"/>
              <w:pageBreakBefore w:val="0"/>
              <w:kinsoku/>
              <w:wordWrap/>
              <w:overflowPunct/>
              <w:topLinePunct w:val="0"/>
              <w:bidi w:val="0"/>
              <w:adjustRightInd/>
              <w:snapToGrid/>
              <w:spacing w:line="360" w:lineRule="exact"/>
              <w:jc w:val="center"/>
              <w:rPr>
                <w:color w:val="auto"/>
                <w:highlight w:val="none"/>
              </w:rPr>
            </w:pPr>
          </w:p>
        </w:tc>
        <w:tc>
          <w:tcPr>
            <w:tcW w:w="846" w:type="pct"/>
            <w:vMerge w:val="continue"/>
            <w:tcBorders>
              <w:left w:val="single" w:color="auto" w:sz="4" w:space="0"/>
              <w:right w:val="single" w:color="auto" w:sz="4" w:space="0"/>
            </w:tcBorders>
            <w:vAlign w:val="center"/>
          </w:tcPr>
          <w:p w14:paraId="7E1AA602">
            <w:pPr>
              <w:keepNext w:val="0"/>
              <w:keepLines w:val="0"/>
              <w:pageBreakBefore w:val="0"/>
              <w:kinsoku/>
              <w:wordWrap/>
              <w:overflowPunct/>
              <w:topLinePunct w:val="0"/>
              <w:bidi w:val="0"/>
              <w:adjustRightInd/>
              <w:snapToGrid/>
              <w:spacing w:line="360" w:lineRule="exact"/>
              <w:jc w:val="center"/>
              <w:rPr>
                <w:color w:val="auto"/>
                <w:highlight w:val="none"/>
              </w:rPr>
            </w:pPr>
          </w:p>
        </w:tc>
        <w:tc>
          <w:tcPr>
            <w:tcW w:w="3507" w:type="pct"/>
            <w:tcBorders>
              <w:left w:val="single" w:color="auto" w:sz="4" w:space="0"/>
              <w:right w:val="single" w:color="auto" w:sz="4" w:space="0"/>
            </w:tcBorders>
            <w:shd w:val="clear" w:color="auto" w:fill="auto"/>
            <w:vAlign w:val="center"/>
          </w:tcPr>
          <w:p w14:paraId="3826A141">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培训服务方案（</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评标委员会</w:t>
            </w:r>
            <w:r>
              <w:rPr>
                <w:rFonts w:hint="eastAsia" w:ascii="宋体" w:hAnsi="宋体" w:cs="宋体"/>
                <w:color w:val="auto"/>
                <w:szCs w:val="21"/>
                <w:highlight w:val="none"/>
                <w:lang w:val="zh-CN"/>
              </w:rPr>
              <w:t>根据供应商提供的</w:t>
            </w:r>
            <w:r>
              <w:rPr>
                <w:rFonts w:hint="eastAsia" w:ascii="宋体" w:hAnsi="宋体" w:cs="宋体"/>
                <w:color w:val="auto"/>
                <w:szCs w:val="21"/>
                <w:highlight w:val="none"/>
              </w:rPr>
              <w:t>培训服务方案进行打分，包括但不限于培训方案、培训时间、培训内容等：</w:t>
            </w:r>
          </w:p>
          <w:p w14:paraId="7BE1EDC7">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1、培训方案要素齐全，培训对象分层清晰、课时安排合理、课程内容贴合本项目设备及系统实际操作需求，包含授课、实操、考核、答疑、后续辅导等完整培训环节，措施具体、落地性强、针对性强，完全满足采购培训要求，得5分；</w:t>
            </w:r>
          </w:p>
          <w:p w14:paraId="7BB0BA8B">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2、培训方案内容完整，覆盖主要培训环节，课程及课时安排基本满足项目需求，具备可实施性，但分层培训、实操安排或考核辅导等细节内容阐述简略，得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4AC937B5">
            <w:pPr>
              <w:keepNext w:val="0"/>
              <w:keepLines w:val="0"/>
              <w:pageBreakBefore w:val="0"/>
              <w:kinsoku/>
              <w:wordWrap/>
              <w:overflowPunct/>
              <w:topLinePunct w:val="0"/>
              <w:bidi w:val="0"/>
              <w:adjustRightInd/>
              <w:snapToGrid/>
              <w:spacing w:line="340" w:lineRule="exact"/>
              <w:jc w:val="left"/>
              <w:rPr>
                <w:rFonts w:hint="eastAsia" w:ascii="宋体" w:hAnsi="宋体" w:cs="宋体"/>
                <w:color w:val="auto"/>
                <w:szCs w:val="21"/>
                <w:highlight w:val="none"/>
              </w:rPr>
            </w:pPr>
            <w:r>
              <w:rPr>
                <w:rFonts w:hint="eastAsia" w:ascii="宋体" w:hAnsi="宋体" w:cs="宋体"/>
                <w:color w:val="auto"/>
                <w:szCs w:val="21"/>
                <w:highlight w:val="none"/>
              </w:rPr>
              <w:t>3、仅提供基础培训框架，培训内容笼统、无具体课时及实操安排，关键培训环节缺失，无法充分满足项目培训需求、落地可行性低，得1分；</w:t>
            </w:r>
          </w:p>
          <w:p w14:paraId="3B6F7898">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4、未提供培训服务方案的，不得分。</w:t>
            </w:r>
          </w:p>
        </w:tc>
        <w:tc>
          <w:tcPr>
            <w:tcW w:w="387" w:type="pct"/>
            <w:tcBorders>
              <w:top w:val="single" w:color="auto" w:sz="4" w:space="0"/>
              <w:left w:val="single" w:color="auto" w:sz="4" w:space="0"/>
              <w:bottom w:val="single" w:color="auto" w:sz="4" w:space="0"/>
              <w:right w:val="single" w:color="auto" w:sz="4" w:space="0"/>
            </w:tcBorders>
            <w:vAlign w:val="center"/>
          </w:tcPr>
          <w:p w14:paraId="62349457">
            <w:pPr>
              <w:keepNext w:val="0"/>
              <w:keepLines w:val="0"/>
              <w:pageBreakBefore w:val="0"/>
              <w:kinsoku/>
              <w:wordWrap/>
              <w:overflowPunct/>
              <w:topLinePunct w:val="0"/>
              <w:bidi w:val="0"/>
              <w:adjustRightInd/>
              <w:snapToGrid/>
              <w:spacing w:line="36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p>
        </w:tc>
      </w:tr>
      <w:tr w14:paraId="5BB57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8" w:type="pct"/>
            <w:vMerge w:val="continue"/>
            <w:tcBorders>
              <w:left w:val="single" w:color="auto" w:sz="4" w:space="0"/>
              <w:right w:val="single" w:color="auto" w:sz="4" w:space="0"/>
            </w:tcBorders>
            <w:vAlign w:val="center"/>
          </w:tcPr>
          <w:p w14:paraId="7DFB6C85">
            <w:pPr>
              <w:keepNext w:val="0"/>
              <w:keepLines w:val="0"/>
              <w:pageBreakBefore w:val="0"/>
              <w:kinsoku/>
              <w:wordWrap/>
              <w:overflowPunct/>
              <w:topLinePunct w:val="0"/>
              <w:bidi w:val="0"/>
              <w:adjustRightInd/>
              <w:snapToGrid/>
              <w:spacing w:line="360" w:lineRule="exact"/>
              <w:jc w:val="center"/>
              <w:rPr>
                <w:color w:val="auto"/>
                <w:highlight w:val="none"/>
              </w:rPr>
            </w:pPr>
          </w:p>
        </w:tc>
        <w:tc>
          <w:tcPr>
            <w:tcW w:w="846" w:type="pct"/>
            <w:vMerge w:val="continue"/>
            <w:tcBorders>
              <w:left w:val="single" w:color="auto" w:sz="4" w:space="0"/>
              <w:right w:val="single" w:color="auto" w:sz="4" w:space="0"/>
            </w:tcBorders>
            <w:vAlign w:val="center"/>
          </w:tcPr>
          <w:p w14:paraId="5D1DCEC2">
            <w:pPr>
              <w:keepNext w:val="0"/>
              <w:keepLines w:val="0"/>
              <w:pageBreakBefore w:val="0"/>
              <w:kinsoku/>
              <w:wordWrap/>
              <w:overflowPunct/>
              <w:topLinePunct w:val="0"/>
              <w:bidi w:val="0"/>
              <w:adjustRightInd/>
              <w:snapToGrid/>
              <w:spacing w:line="360" w:lineRule="exact"/>
              <w:jc w:val="center"/>
              <w:rPr>
                <w:color w:val="auto"/>
                <w:highlight w:val="none"/>
              </w:rPr>
            </w:pPr>
          </w:p>
        </w:tc>
        <w:tc>
          <w:tcPr>
            <w:tcW w:w="3507" w:type="pct"/>
            <w:tcBorders>
              <w:left w:val="single" w:color="auto" w:sz="4" w:space="0"/>
              <w:right w:val="single" w:color="auto" w:sz="4" w:space="0"/>
            </w:tcBorders>
            <w:shd w:val="clear" w:color="auto" w:fill="auto"/>
            <w:vAlign w:val="center"/>
          </w:tcPr>
          <w:p w14:paraId="578AF5A2">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增值服务（3分）</w:t>
            </w:r>
            <w:r>
              <w:rPr>
                <w:rFonts w:hint="eastAsia" w:ascii="宋体" w:hAnsi="宋体" w:cs="宋体"/>
                <w:color w:val="auto"/>
                <w:szCs w:val="21"/>
                <w:highlight w:val="none"/>
                <w:lang w:eastAsia="zh-CN"/>
              </w:rPr>
              <w:t>：</w:t>
            </w:r>
            <w:r>
              <w:rPr>
                <w:rFonts w:hint="eastAsia" w:ascii="宋体" w:hAnsi="宋体" w:cs="宋体"/>
                <w:color w:val="auto"/>
                <w:szCs w:val="21"/>
                <w:highlight w:val="none"/>
              </w:rPr>
              <w:t>评标委员会</w:t>
            </w:r>
            <w:r>
              <w:rPr>
                <w:rFonts w:hint="eastAsia" w:ascii="宋体" w:hAnsi="宋体" w:cs="宋体"/>
                <w:color w:val="auto"/>
                <w:szCs w:val="21"/>
                <w:highlight w:val="none"/>
                <w:lang w:val="zh-CN"/>
              </w:rPr>
              <w:t>根据供应商提供的</w:t>
            </w:r>
            <w:r>
              <w:rPr>
                <w:rFonts w:hint="eastAsia" w:ascii="宋体" w:hAnsi="宋体" w:cs="宋体"/>
                <w:color w:val="auto"/>
                <w:szCs w:val="21"/>
                <w:highlight w:val="none"/>
              </w:rPr>
              <w:t>增值服务方案进行打分，包括但不限于供应商为本次建设集群提供异地灾备服务，当本次建设集群不能正常使用时，采购人可通过异地计算中心免费在线提交计算任务等：</w:t>
            </w:r>
          </w:p>
          <w:p w14:paraId="774C36AC">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1、供应商提供的异地灾备计算中心属于科技部认证的国家级超算的，得3分；</w:t>
            </w:r>
          </w:p>
          <w:p w14:paraId="7D045DBE">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2、供应商提供的异地灾备计算中心与本次建设集群规模相当，但是不属于国家级超算的，得1分；</w:t>
            </w:r>
          </w:p>
          <w:p w14:paraId="4795D185">
            <w:pPr>
              <w:keepNext w:val="0"/>
              <w:keepLines w:val="0"/>
              <w:pageBreakBefore w:val="0"/>
              <w:kinsoku/>
              <w:wordWrap/>
              <w:overflowPunct/>
              <w:topLinePunct w:val="0"/>
              <w:bidi w:val="0"/>
              <w:adjustRightInd/>
              <w:snapToGrid/>
              <w:spacing w:line="340" w:lineRule="exact"/>
              <w:jc w:val="left"/>
              <w:rPr>
                <w:rFonts w:ascii="宋体" w:hAnsi="宋体" w:cs="宋体"/>
                <w:color w:val="auto"/>
                <w:szCs w:val="21"/>
                <w:highlight w:val="none"/>
              </w:rPr>
            </w:pPr>
            <w:r>
              <w:rPr>
                <w:rFonts w:hint="eastAsia" w:ascii="宋体" w:hAnsi="宋体" w:cs="宋体"/>
                <w:color w:val="auto"/>
                <w:szCs w:val="21"/>
                <w:highlight w:val="none"/>
              </w:rPr>
              <w:t>3、供应商未提供本服务、或采用的异地灾备计算中心规模不及本次建设集群规模的，不得分。</w:t>
            </w:r>
          </w:p>
          <w:p w14:paraId="36F22F33">
            <w:pPr>
              <w:keepNext w:val="0"/>
              <w:keepLines w:val="0"/>
              <w:pageBreakBefore w:val="0"/>
              <w:kinsoku/>
              <w:wordWrap/>
              <w:overflowPunct/>
              <w:topLinePunct w:val="0"/>
              <w:bidi w:val="0"/>
              <w:adjustRightInd/>
              <w:snapToGrid/>
              <w:spacing w:line="340" w:lineRule="exact"/>
              <w:jc w:val="left"/>
              <w:rPr>
                <w:color w:val="auto"/>
                <w:highlight w:val="none"/>
              </w:rPr>
            </w:pPr>
            <w:r>
              <w:rPr>
                <w:rFonts w:hint="eastAsia" w:ascii="宋体" w:hAnsi="宋体" w:cs="宋体"/>
                <w:b/>
                <w:bCs/>
                <w:color w:val="auto"/>
                <w:szCs w:val="21"/>
                <w:highlight w:val="none"/>
              </w:rPr>
              <w:t>（供应商需提供服务承诺函及科技部官网截图证明相关证明材料）</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68834876">
            <w:pPr>
              <w:keepNext w:val="0"/>
              <w:keepLines w:val="0"/>
              <w:pageBreakBefore w:val="0"/>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w:t>
            </w:r>
          </w:p>
        </w:tc>
      </w:tr>
      <w:tr w14:paraId="57F9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258" w:type="pct"/>
            <w:vMerge w:val="restart"/>
            <w:tcBorders>
              <w:left w:val="single" w:color="auto" w:sz="4" w:space="0"/>
              <w:right w:val="single" w:color="auto" w:sz="4" w:space="0"/>
            </w:tcBorders>
            <w:vAlign w:val="center"/>
          </w:tcPr>
          <w:p w14:paraId="32DF6416">
            <w:pPr>
              <w:keepNext w:val="0"/>
              <w:keepLines w:val="0"/>
              <w:pageBreakBefore w:val="0"/>
              <w:kinsoku/>
              <w:wordWrap/>
              <w:overflowPunct/>
              <w:topLinePunct w:val="0"/>
              <w:bidi w:val="0"/>
              <w:adjustRightInd/>
              <w:snapToGrid/>
              <w:spacing w:line="360" w:lineRule="exact"/>
              <w:jc w:val="center"/>
              <w:rPr>
                <w:color w:val="auto"/>
                <w:highlight w:val="none"/>
              </w:rPr>
            </w:pPr>
            <w:r>
              <w:rPr>
                <w:rFonts w:hint="eastAsia"/>
                <w:color w:val="auto"/>
                <w:highlight w:val="none"/>
              </w:rPr>
              <w:t>6</w:t>
            </w:r>
          </w:p>
        </w:tc>
        <w:tc>
          <w:tcPr>
            <w:tcW w:w="846" w:type="pct"/>
            <w:vMerge w:val="restart"/>
            <w:tcBorders>
              <w:left w:val="single" w:color="auto" w:sz="4" w:space="0"/>
              <w:right w:val="single" w:color="auto" w:sz="4" w:space="0"/>
            </w:tcBorders>
            <w:vAlign w:val="center"/>
          </w:tcPr>
          <w:p w14:paraId="656F1161">
            <w:pPr>
              <w:pStyle w:val="73"/>
              <w:keepNext w:val="0"/>
              <w:keepLines w:val="0"/>
              <w:pageBreakBefore w:val="0"/>
              <w:kinsoku/>
              <w:wordWrap/>
              <w:overflowPunct/>
              <w:topLinePunct w:val="0"/>
              <w:bidi w:val="0"/>
              <w:adjustRightInd/>
              <w:snapToGrid/>
              <w:spacing w:line="360" w:lineRule="exact"/>
              <w:ind w:left="0" w:firstLine="0" w:firstLineChars="0"/>
              <w:jc w:val="center"/>
              <w:rPr>
                <w:color w:val="auto"/>
                <w:highlight w:val="none"/>
              </w:rPr>
            </w:pPr>
            <w:r>
              <w:rPr>
                <w:rFonts w:hint="eastAsia" w:ascii="宋体" w:hAnsi="宋体" w:eastAsia="宋体" w:cs="宋体"/>
                <w:color w:val="auto"/>
                <w:szCs w:val="21"/>
                <w:highlight w:val="none"/>
              </w:rPr>
              <w:t>投标主要产品为环保节能产品（1分）</w:t>
            </w:r>
          </w:p>
        </w:tc>
        <w:tc>
          <w:tcPr>
            <w:tcW w:w="3507" w:type="pct"/>
            <w:tcBorders>
              <w:top w:val="single" w:color="auto" w:sz="4" w:space="0"/>
              <w:left w:val="single" w:color="auto" w:sz="4" w:space="0"/>
              <w:bottom w:val="single" w:color="auto" w:sz="4" w:space="0"/>
              <w:right w:val="single" w:color="auto" w:sz="4" w:space="0"/>
            </w:tcBorders>
            <w:vAlign w:val="center"/>
          </w:tcPr>
          <w:p w14:paraId="3ABFAC72">
            <w:pPr>
              <w:keepNext w:val="0"/>
              <w:keepLines w:val="0"/>
              <w:pageBreakBefore w:val="0"/>
              <w:widowControl/>
              <w:kinsoku/>
              <w:wordWrap/>
              <w:overflowPunct/>
              <w:topLinePunct w:val="0"/>
              <w:bidi w:val="0"/>
              <w:adjustRightInd/>
              <w:snapToGrid/>
              <w:spacing w:line="340" w:lineRule="exact"/>
              <w:jc w:val="left"/>
              <w:textAlignment w:val="top"/>
              <w:rPr>
                <w:rFonts w:ascii="宋体" w:hAnsi="宋体" w:cs="宋体"/>
                <w:b/>
                <w:bCs/>
                <w:color w:val="auto"/>
                <w:szCs w:val="21"/>
                <w:highlight w:val="none"/>
              </w:rPr>
            </w:pPr>
            <w:r>
              <w:rPr>
                <w:rFonts w:hint="eastAsia" w:ascii="宋体" w:hAnsi="宋体" w:cs="宋体"/>
                <w:color w:val="auto"/>
                <w:kern w:val="0"/>
                <w:szCs w:val="21"/>
                <w:highlight w:val="none"/>
              </w:rPr>
              <w:t>投标主要产品属于财政部、国家发改委公布的“节能产品品目清单”范围内的，供应商提供国家确定的认证机构出具的、处于有效期之内的该节能产品认证证书复印件的，得0.5分。</w:t>
            </w:r>
          </w:p>
        </w:tc>
        <w:tc>
          <w:tcPr>
            <w:tcW w:w="387" w:type="pct"/>
            <w:tcBorders>
              <w:top w:val="single" w:color="auto" w:sz="4" w:space="0"/>
              <w:left w:val="single" w:color="auto" w:sz="4" w:space="0"/>
              <w:bottom w:val="single" w:color="auto" w:sz="4" w:space="0"/>
              <w:right w:val="single" w:color="auto" w:sz="4" w:space="0"/>
            </w:tcBorders>
            <w:vAlign w:val="center"/>
          </w:tcPr>
          <w:p w14:paraId="3673D6DF">
            <w:pPr>
              <w:keepNext w:val="0"/>
              <w:keepLines w:val="0"/>
              <w:pageBreakBefore w:val="0"/>
              <w:widowControl/>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kern w:val="0"/>
                <w:szCs w:val="21"/>
                <w:highlight w:val="none"/>
              </w:rPr>
              <w:t>0.5</w:t>
            </w:r>
          </w:p>
        </w:tc>
      </w:tr>
      <w:tr w14:paraId="2773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258" w:type="pct"/>
            <w:vMerge w:val="continue"/>
            <w:tcBorders>
              <w:left w:val="single" w:color="auto" w:sz="4" w:space="0"/>
              <w:right w:val="single" w:color="auto" w:sz="4" w:space="0"/>
            </w:tcBorders>
            <w:vAlign w:val="center"/>
          </w:tcPr>
          <w:p w14:paraId="07A5B0B5">
            <w:pPr>
              <w:keepNext w:val="0"/>
              <w:keepLines w:val="0"/>
              <w:pageBreakBefore w:val="0"/>
              <w:kinsoku/>
              <w:wordWrap/>
              <w:overflowPunct/>
              <w:topLinePunct w:val="0"/>
              <w:bidi w:val="0"/>
              <w:adjustRightInd/>
              <w:snapToGrid/>
              <w:spacing w:line="360" w:lineRule="exact"/>
              <w:jc w:val="center"/>
              <w:rPr>
                <w:color w:val="auto"/>
                <w:highlight w:val="none"/>
              </w:rPr>
            </w:pPr>
          </w:p>
        </w:tc>
        <w:tc>
          <w:tcPr>
            <w:tcW w:w="846" w:type="pct"/>
            <w:vMerge w:val="continue"/>
            <w:tcBorders>
              <w:left w:val="single" w:color="auto" w:sz="4" w:space="0"/>
              <w:right w:val="single" w:color="auto" w:sz="4" w:space="0"/>
            </w:tcBorders>
            <w:vAlign w:val="center"/>
          </w:tcPr>
          <w:p w14:paraId="4A47DAB8">
            <w:pPr>
              <w:keepNext w:val="0"/>
              <w:keepLines w:val="0"/>
              <w:pageBreakBefore w:val="0"/>
              <w:widowControl/>
              <w:shd w:val="clear" w:color="auto" w:fill="FFFFFF"/>
              <w:kinsoku/>
              <w:wordWrap/>
              <w:overflowPunct/>
              <w:topLinePunct w:val="0"/>
              <w:autoSpaceDE w:val="0"/>
              <w:autoSpaceDN w:val="0"/>
              <w:bidi w:val="0"/>
              <w:adjustRightInd/>
              <w:snapToGrid/>
              <w:spacing w:line="360" w:lineRule="exact"/>
              <w:ind w:firstLine="420"/>
              <w:jc w:val="center"/>
              <w:textAlignment w:val="baseline"/>
              <w:rPr>
                <w:color w:val="auto"/>
                <w:highlight w:val="none"/>
              </w:rPr>
            </w:pPr>
          </w:p>
        </w:tc>
        <w:tc>
          <w:tcPr>
            <w:tcW w:w="3507" w:type="pct"/>
            <w:tcBorders>
              <w:top w:val="single" w:color="auto" w:sz="4" w:space="0"/>
              <w:left w:val="single" w:color="auto" w:sz="4" w:space="0"/>
              <w:bottom w:val="single" w:color="auto" w:sz="4" w:space="0"/>
              <w:right w:val="single" w:color="auto" w:sz="4" w:space="0"/>
            </w:tcBorders>
            <w:vAlign w:val="center"/>
          </w:tcPr>
          <w:p w14:paraId="11749B26">
            <w:pPr>
              <w:keepNext w:val="0"/>
              <w:keepLines w:val="0"/>
              <w:pageBreakBefore w:val="0"/>
              <w:widowControl/>
              <w:kinsoku/>
              <w:wordWrap/>
              <w:overflowPunct/>
              <w:topLinePunct w:val="0"/>
              <w:bidi w:val="0"/>
              <w:adjustRightInd/>
              <w:snapToGrid/>
              <w:spacing w:line="340" w:lineRule="exact"/>
              <w:jc w:val="left"/>
              <w:textAlignment w:val="top"/>
              <w:rPr>
                <w:rFonts w:ascii="宋体" w:hAnsi="宋体" w:cs="宋体"/>
                <w:b/>
                <w:bCs/>
                <w:color w:val="auto"/>
                <w:szCs w:val="21"/>
                <w:highlight w:val="none"/>
              </w:rPr>
            </w:pPr>
            <w:r>
              <w:rPr>
                <w:rFonts w:hint="eastAsia" w:ascii="宋体" w:hAnsi="宋体" w:cs="宋体"/>
                <w:color w:val="auto"/>
                <w:kern w:val="0"/>
                <w:szCs w:val="21"/>
                <w:highlight w:val="none"/>
              </w:rPr>
              <w:t>投标主要产品属于财政部、生态环境部公布的“环境标志产品品目清单”范围内的，供应商提供国家确定的认证机构出具的、处于有效期内的该环保产品认证证书复印件的，得0.5分。</w:t>
            </w:r>
          </w:p>
        </w:tc>
        <w:tc>
          <w:tcPr>
            <w:tcW w:w="387" w:type="pct"/>
            <w:tcBorders>
              <w:top w:val="single" w:color="auto" w:sz="4" w:space="0"/>
              <w:left w:val="single" w:color="auto" w:sz="4" w:space="0"/>
              <w:bottom w:val="single" w:color="auto" w:sz="4" w:space="0"/>
              <w:right w:val="single" w:color="auto" w:sz="4" w:space="0"/>
            </w:tcBorders>
            <w:vAlign w:val="center"/>
          </w:tcPr>
          <w:p w14:paraId="40F6486E">
            <w:pPr>
              <w:keepNext w:val="0"/>
              <w:keepLines w:val="0"/>
              <w:pageBreakBefore w:val="0"/>
              <w:widowControl/>
              <w:kinsoku/>
              <w:wordWrap/>
              <w:overflowPunct/>
              <w:topLinePunct w:val="0"/>
              <w:bidi w:val="0"/>
              <w:adjustRightInd/>
              <w:snapToGrid/>
              <w:spacing w:line="360" w:lineRule="exact"/>
              <w:jc w:val="center"/>
              <w:rPr>
                <w:rFonts w:ascii="宋体" w:hAnsi="宋体" w:cs="宋体"/>
                <w:color w:val="auto"/>
                <w:szCs w:val="21"/>
                <w:highlight w:val="none"/>
              </w:rPr>
            </w:pPr>
            <w:r>
              <w:rPr>
                <w:rFonts w:hint="eastAsia" w:ascii="宋体" w:hAnsi="宋体" w:cs="宋体"/>
                <w:color w:val="auto"/>
                <w:kern w:val="0"/>
                <w:szCs w:val="21"/>
                <w:highlight w:val="none"/>
              </w:rPr>
              <w:t>0.5</w:t>
            </w:r>
          </w:p>
        </w:tc>
      </w:tr>
      <w:tr w14:paraId="0305F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58" w:type="pct"/>
            <w:tcBorders>
              <w:left w:val="single" w:color="auto" w:sz="4" w:space="0"/>
              <w:right w:val="single" w:color="auto" w:sz="4" w:space="0"/>
            </w:tcBorders>
            <w:vAlign w:val="center"/>
          </w:tcPr>
          <w:p w14:paraId="3A3B1D54">
            <w:pPr>
              <w:jc w:val="center"/>
              <w:rPr>
                <w:rFonts w:ascii="宋体" w:hAnsi="宋体" w:cs="宋体"/>
                <w:color w:val="auto"/>
                <w:szCs w:val="21"/>
                <w:highlight w:val="none"/>
              </w:rPr>
            </w:pPr>
            <w:r>
              <w:rPr>
                <w:rFonts w:hint="eastAsia" w:ascii="宋体" w:hAnsi="宋体" w:cs="宋体"/>
                <w:color w:val="auto"/>
                <w:szCs w:val="21"/>
                <w:highlight w:val="none"/>
              </w:rPr>
              <w:t>7</w:t>
            </w:r>
          </w:p>
        </w:tc>
        <w:tc>
          <w:tcPr>
            <w:tcW w:w="4354" w:type="pct"/>
            <w:gridSpan w:val="2"/>
            <w:tcBorders>
              <w:left w:val="single" w:color="auto" w:sz="4" w:space="0"/>
              <w:right w:val="single" w:color="auto" w:sz="4" w:space="0"/>
            </w:tcBorders>
            <w:vAlign w:val="center"/>
          </w:tcPr>
          <w:p w14:paraId="31CDD65E">
            <w:pPr>
              <w:jc w:val="center"/>
              <w:rPr>
                <w:rFonts w:ascii="宋体" w:hAnsi="宋体" w:cs="宋体"/>
                <w:color w:val="auto"/>
                <w:sz w:val="24"/>
                <w:highlight w:val="none"/>
              </w:rPr>
            </w:pPr>
            <w:r>
              <w:rPr>
                <w:rFonts w:hint="eastAsia" w:ascii="宋体" w:hAnsi="宋体" w:cs="宋体"/>
                <w:color w:val="auto"/>
                <w:szCs w:val="21"/>
                <w:highlight w:val="none"/>
              </w:rPr>
              <w:t>合计</w:t>
            </w:r>
          </w:p>
        </w:tc>
        <w:tc>
          <w:tcPr>
            <w:tcW w:w="387" w:type="pct"/>
            <w:tcBorders>
              <w:left w:val="single" w:color="auto" w:sz="4" w:space="0"/>
              <w:right w:val="single" w:color="auto" w:sz="4" w:space="0"/>
            </w:tcBorders>
            <w:vAlign w:val="center"/>
          </w:tcPr>
          <w:p w14:paraId="261B7C61">
            <w:pPr>
              <w:jc w:val="center"/>
              <w:rPr>
                <w:rFonts w:ascii="宋体" w:hAnsi="宋体" w:cs="宋体"/>
                <w:color w:val="auto"/>
                <w:szCs w:val="21"/>
                <w:highlight w:val="none"/>
              </w:rPr>
            </w:pPr>
            <w:r>
              <w:rPr>
                <w:rFonts w:hint="eastAsia" w:ascii="宋体" w:hAnsi="宋体" w:cs="宋体"/>
                <w:color w:val="auto"/>
                <w:szCs w:val="21"/>
                <w:highlight w:val="none"/>
              </w:rPr>
              <w:t>100</w:t>
            </w:r>
          </w:p>
        </w:tc>
      </w:tr>
    </w:tbl>
    <w:p w14:paraId="14D9E575">
      <w:pPr>
        <w:ind w:firstLine="422" w:firstLineChars="200"/>
        <w:rPr>
          <w:rFonts w:hint="eastAsia" w:ascii="宋体" w:hAnsi="宋体" w:cs="宋体"/>
          <w:b/>
          <w:szCs w:val="21"/>
        </w:rPr>
      </w:pPr>
    </w:p>
    <w:p w14:paraId="59CB73A0">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说明：1.所有认证、证明和业绩均以有效清晰的证明文件的复印件为依据，原件备查。</w:t>
      </w:r>
    </w:p>
    <w:p w14:paraId="6D1FB08A">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2.小微企业价格扣除</w:t>
      </w:r>
    </w:p>
    <w:p w14:paraId="73C4A227">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szCs w:val="21"/>
        </w:rPr>
      </w:pPr>
      <w:r>
        <w:rPr>
          <w:rFonts w:hint="eastAsia" w:ascii="宋体" w:hAnsi="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598DB478">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C5134A4">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3.监狱和戒毒企业的价格扣除</w:t>
      </w:r>
    </w:p>
    <w:p w14:paraId="425D3146">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3.1 本项目对监狱和戒毒企业，给予10%的价格扣除，用扣除后的价格参与评审。</w:t>
      </w:r>
    </w:p>
    <w:p w14:paraId="0C381F07">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3.2 监狱企业需提供由省级以上监狱管理局、戒毒管理局（含新疆生产建设兵团）出具的属于监狱企业的证明文件。</w:t>
      </w:r>
    </w:p>
    <w:p w14:paraId="600B05CA">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3.3 监狱企业标准请参照《关于政府采购支持监狱企业发展有关问题的通知》（财库〔2014〕68号）。</w:t>
      </w:r>
    </w:p>
    <w:p w14:paraId="21EA03B5">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4.残疾人福利性单位的价格扣除</w:t>
      </w:r>
    </w:p>
    <w:p w14:paraId="299CEAC1">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4.1 本项目对残疾人福利性单位，给予10%的价格扣除，用扣除后的价格参与评审。</w:t>
      </w:r>
    </w:p>
    <w:p w14:paraId="03E6CA34">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4.2 残疾人福利性单位需提供《残疾人福利性单位声明函》</w:t>
      </w:r>
    </w:p>
    <w:p w14:paraId="47E7E96F">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4.3 残疾人福利性单位标准请参照《关于促进残疾人就业政府采购政策的通知》（财库〔2017〕141号）。</w:t>
      </w:r>
    </w:p>
    <w:p w14:paraId="26F3182C">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5. 监狱企业、残疾人福利性单位属于小型、微型企业的，不重复享受政策。</w:t>
      </w:r>
    </w:p>
    <w:p w14:paraId="56F32973">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6.本国产品的价格扣除</w:t>
      </w:r>
    </w:p>
    <w:p w14:paraId="4989F5F8">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6.1本国产品标准、本国产品标准的适用范围、对本国产品的支持政策等详见《国务院办公厅关于在政府采购中实施本国产品标准及相关政策的通知》（国办发〔2025〕34号）。</w:t>
      </w:r>
    </w:p>
    <w:p w14:paraId="4CAE1917">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6.2 政府采购活动中既有本国产品又有非本国产品参与竞争的，依法对本国产品给予价格评审优惠，对本国产品的报价给予20%的价格扣除，用扣除后的价格参与评审。</w:t>
      </w:r>
    </w:p>
    <w:p w14:paraId="4E0553B5">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cs="宋体"/>
          <w:b/>
          <w:szCs w:val="21"/>
        </w:rPr>
      </w:pPr>
      <w:r>
        <w:rPr>
          <w:rFonts w:hint="eastAsia" w:ascii="宋体" w:hAnsi="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ECE022">
      <w:pPr>
        <w:rPr>
          <w:rFonts w:ascii="Arial" w:hAnsi="Arial" w:cs="Arial"/>
          <w:kern w:val="0"/>
        </w:rPr>
      </w:pPr>
      <w:r>
        <w:rPr>
          <w:rFonts w:ascii="Arial" w:hAnsi="Arial" w:cs="Arial"/>
          <w:kern w:val="0"/>
        </w:rPr>
        <w:br w:type="page"/>
      </w:r>
    </w:p>
    <w:p w14:paraId="3D69241D">
      <w:pPr>
        <w:pStyle w:val="2"/>
        <w:numPr>
          <w:ilvl w:val="0"/>
          <w:numId w:val="0"/>
        </w:numPr>
        <w:rPr>
          <w:rFonts w:hint="eastAsia" w:ascii="Arial" w:cs="Arial"/>
          <w:lang w:val="en-US" w:eastAsia="zh-CN"/>
        </w:rPr>
      </w:pPr>
      <w:bookmarkStart w:id="19" w:name="_Toc8605"/>
      <w:r>
        <w:rPr>
          <w:rFonts w:hint="eastAsia" w:ascii="Arial" w:cs="Arial"/>
          <w:lang w:val="en-US" w:eastAsia="zh-CN"/>
        </w:rPr>
        <w:t>第四章 采购需求</w:t>
      </w:r>
      <w:bookmarkEnd w:id="19"/>
    </w:p>
    <w:p w14:paraId="059B52D1">
      <w:pPr>
        <w:spacing w:line="360" w:lineRule="auto"/>
        <w:ind w:firstLine="422" w:firstLineChars="200"/>
        <w:rPr>
          <w:rFonts w:hint="eastAsia" w:ascii="宋体" w:hAnsi="宋体" w:cs="宋体"/>
          <w:b/>
          <w:color w:val="000000" w:themeColor="text1"/>
          <w:szCs w:val="21"/>
          <w14:textFill>
            <w14:solidFill>
              <w14:schemeClr w14:val="tx1"/>
            </w14:solidFill>
          </w14:textFill>
        </w:rPr>
      </w:pPr>
      <w:bookmarkStart w:id="20" w:name="_Toc3932"/>
      <w:bookmarkStart w:id="21" w:name="_Toc27315"/>
      <w:bookmarkStart w:id="22" w:name="_Toc481057147"/>
      <w:r>
        <w:rPr>
          <w:rFonts w:hint="eastAsia" w:ascii="宋体" w:hAnsi="宋体" w:cs="宋体"/>
          <w:b/>
          <w:color w:val="000000" w:themeColor="text1"/>
          <w:szCs w:val="21"/>
          <w14:textFill>
            <w14:solidFill>
              <w14:schemeClr w14:val="tx1"/>
            </w14:solidFill>
          </w14:textFill>
        </w:rPr>
        <w:t>一、项目</w:t>
      </w:r>
      <w:bookmarkEnd w:id="20"/>
      <w:r>
        <w:rPr>
          <w:rFonts w:hint="eastAsia" w:ascii="宋体" w:hAnsi="宋体" w:cs="宋体"/>
          <w:b/>
          <w:color w:val="000000" w:themeColor="text1"/>
          <w:szCs w:val="21"/>
          <w14:textFill>
            <w14:solidFill>
              <w14:schemeClr w14:val="tx1"/>
            </w14:solidFill>
          </w14:textFill>
        </w:rPr>
        <w:t>概述</w:t>
      </w:r>
      <w:bookmarkEnd w:id="21"/>
      <w:bookmarkStart w:id="23" w:name="_Toc32119"/>
      <w:bookmarkStart w:id="24" w:name="_Toc311"/>
      <w:bookmarkStart w:id="25" w:name="_Toc18449"/>
      <w:bookmarkStart w:id="26" w:name="_Toc4968"/>
    </w:p>
    <w:p w14:paraId="56096A24">
      <w:pPr>
        <w:pStyle w:val="73"/>
        <w:keepNext w:val="0"/>
        <w:keepLines w:val="0"/>
        <w:pageBreakBefore w:val="0"/>
        <w:widowControl w:val="0"/>
        <w:kinsoku/>
        <w:wordWrap/>
        <w:overflowPunct/>
        <w:topLinePunct w:val="0"/>
        <w:autoSpaceDE/>
        <w:autoSpaceDN/>
        <w:bidi w:val="0"/>
        <w:adjustRightInd/>
        <w:snapToGrid/>
        <w:spacing w:line="360" w:lineRule="auto"/>
        <w:ind w:firstLine="452"/>
        <w:textAlignment w:val="auto"/>
        <w:rPr>
          <w:rFonts w:hint="eastAsia" w:ascii="宋体" w:hAnsi="宋体" w:eastAsia="宋体" w:cs="宋体"/>
          <w:spacing w:val="8"/>
          <w:kern w:val="0"/>
          <w:sz w:val="21"/>
          <w:szCs w:val="21"/>
        </w:rPr>
      </w:pPr>
      <w:r>
        <w:rPr>
          <w:rFonts w:hint="eastAsia" w:ascii="宋体" w:hAnsi="宋体" w:eastAsia="宋体" w:cs="宋体"/>
          <w:spacing w:val="8"/>
          <w:kern w:val="0"/>
          <w:sz w:val="21"/>
          <w:szCs w:val="21"/>
        </w:rPr>
        <w:t>南京医科大学需采购</w:t>
      </w:r>
      <w:r>
        <w:rPr>
          <w:rFonts w:hint="eastAsia" w:ascii="宋体" w:hAnsi="宋体" w:eastAsia="宋体" w:cs="宋体"/>
          <w:color w:val="auto"/>
          <w:sz w:val="21"/>
          <w:szCs w:val="21"/>
          <w:highlight w:val="none"/>
          <w:lang w:val="en-US" w:eastAsia="zh-CN"/>
        </w:rPr>
        <w:t>高</w:t>
      </w:r>
      <w:r>
        <w:rPr>
          <w:rFonts w:hint="eastAsia" w:ascii="宋体" w:hAnsi="宋体" w:eastAsia="宋体" w:cs="宋体"/>
          <w:color w:val="auto"/>
          <w:sz w:val="21"/>
          <w:szCs w:val="21"/>
          <w:highlight w:val="none"/>
        </w:rPr>
        <w:t>性能计算平台</w:t>
      </w:r>
      <w:r>
        <w:rPr>
          <w:rFonts w:hint="eastAsia" w:ascii="宋体" w:hAnsi="宋体" w:eastAsia="宋体" w:cs="宋体"/>
          <w:spacing w:val="8"/>
          <w:kern w:val="0"/>
          <w:sz w:val="21"/>
          <w:szCs w:val="21"/>
        </w:rPr>
        <w:t>。具体需求如下：</w:t>
      </w:r>
    </w:p>
    <w:p w14:paraId="275F4E59">
      <w:pPr>
        <w:pStyle w:val="73"/>
        <w:keepNext w:val="0"/>
        <w:keepLines w:val="0"/>
        <w:pageBreakBefore w:val="0"/>
        <w:widowControl w:val="0"/>
        <w:kinsoku/>
        <w:wordWrap/>
        <w:overflowPunct/>
        <w:topLinePunct w:val="0"/>
        <w:autoSpaceDE/>
        <w:autoSpaceDN/>
        <w:bidi w:val="0"/>
        <w:adjustRightInd/>
        <w:snapToGrid/>
        <w:spacing w:line="360" w:lineRule="auto"/>
        <w:ind w:firstLine="452"/>
        <w:textAlignment w:val="auto"/>
        <w:rPr>
          <w:rFonts w:hint="eastAsia" w:ascii="宋体" w:hAnsi="宋体" w:eastAsia="宋体" w:cs="宋体"/>
          <w:spacing w:val="8"/>
          <w:kern w:val="0"/>
          <w:sz w:val="21"/>
          <w:szCs w:val="21"/>
        </w:rPr>
      </w:pPr>
      <w:r>
        <w:rPr>
          <w:rFonts w:hint="eastAsia" w:ascii="宋体" w:hAnsi="宋体" w:eastAsia="宋体" w:cs="宋体"/>
          <w:spacing w:val="8"/>
          <w:kern w:val="0"/>
          <w:sz w:val="21"/>
          <w:szCs w:val="21"/>
        </w:rPr>
        <w:t>1、设备名称、数量</w:t>
      </w:r>
    </w:p>
    <w:bookmarkEnd w:id="23"/>
    <w:bookmarkEnd w:id="24"/>
    <w:tbl>
      <w:tblPr>
        <w:tblStyle w:val="4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3"/>
        <w:gridCol w:w="2848"/>
        <w:gridCol w:w="2056"/>
        <w:gridCol w:w="2109"/>
      </w:tblGrid>
      <w:tr w14:paraId="3F8B2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8" w:type="pct"/>
            <w:shd w:val="clear" w:color="auto" w:fill="auto"/>
          </w:tcPr>
          <w:p w14:paraId="1BFDBEA8">
            <w:pPr>
              <w:pStyle w:val="291"/>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bCs/>
                <w:color w:val="auto"/>
                <w:sz w:val="21"/>
                <w:szCs w:val="21"/>
                <w:highlight w:val="none"/>
              </w:rPr>
            </w:pPr>
            <w:bookmarkStart w:id="27" w:name="OLE_LINK12"/>
            <w:r>
              <w:rPr>
                <w:rFonts w:hint="eastAsia" w:ascii="宋体" w:hAnsi="宋体" w:eastAsia="宋体" w:cs="宋体"/>
                <w:b/>
                <w:bCs/>
                <w:color w:val="auto"/>
                <w:sz w:val="21"/>
                <w:szCs w:val="21"/>
                <w:highlight w:val="none"/>
              </w:rPr>
              <w:t>序号</w:t>
            </w:r>
          </w:p>
        </w:tc>
        <w:tc>
          <w:tcPr>
            <w:tcW w:w="1718" w:type="pct"/>
            <w:shd w:val="clear" w:color="auto" w:fill="auto"/>
          </w:tcPr>
          <w:p w14:paraId="7087E35B">
            <w:pPr>
              <w:pStyle w:val="291"/>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设备名称</w:t>
            </w:r>
          </w:p>
        </w:tc>
        <w:tc>
          <w:tcPr>
            <w:tcW w:w="1240" w:type="pct"/>
            <w:shd w:val="clear" w:color="auto" w:fill="auto"/>
          </w:tcPr>
          <w:p w14:paraId="282A2055">
            <w:pPr>
              <w:pStyle w:val="291"/>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1272" w:type="pct"/>
            <w:shd w:val="clear" w:color="auto" w:fill="auto"/>
          </w:tcPr>
          <w:p w14:paraId="73272389">
            <w:pPr>
              <w:pStyle w:val="291"/>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r>
      <w:tr w14:paraId="4D366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8" w:type="pct"/>
            <w:shd w:val="clear" w:color="auto" w:fill="auto"/>
          </w:tcPr>
          <w:p w14:paraId="57E2777B">
            <w:pPr>
              <w:pStyle w:val="291"/>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718" w:type="pct"/>
            <w:shd w:val="clear" w:color="auto" w:fill="auto"/>
          </w:tcPr>
          <w:p w14:paraId="260E9907">
            <w:pPr>
              <w:pStyle w:val="291"/>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高</w:t>
            </w:r>
            <w:r>
              <w:rPr>
                <w:rFonts w:hint="eastAsia" w:ascii="宋体" w:hAnsi="宋体" w:eastAsia="宋体" w:cs="宋体"/>
                <w:color w:val="auto"/>
                <w:sz w:val="21"/>
                <w:szCs w:val="21"/>
                <w:highlight w:val="none"/>
              </w:rPr>
              <w:t>性能计算平台</w:t>
            </w:r>
          </w:p>
        </w:tc>
        <w:tc>
          <w:tcPr>
            <w:tcW w:w="1240" w:type="pct"/>
            <w:shd w:val="clear" w:color="auto" w:fill="auto"/>
          </w:tcPr>
          <w:p w14:paraId="1911783D">
            <w:pPr>
              <w:pStyle w:val="291"/>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套</w:t>
            </w:r>
          </w:p>
        </w:tc>
        <w:tc>
          <w:tcPr>
            <w:tcW w:w="1272" w:type="pct"/>
            <w:shd w:val="clear" w:color="auto" w:fill="auto"/>
          </w:tcPr>
          <w:p w14:paraId="4E3E75B4">
            <w:pPr>
              <w:pStyle w:val="291"/>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r>
    </w:tbl>
    <w:p w14:paraId="3B2A0C00">
      <w:pPr>
        <w:pStyle w:val="73"/>
        <w:keepNext w:val="0"/>
        <w:keepLines w:val="0"/>
        <w:pageBreakBefore w:val="0"/>
        <w:widowControl w:val="0"/>
        <w:kinsoku/>
        <w:wordWrap/>
        <w:overflowPunct/>
        <w:topLinePunct w:val="0"/>
        <w:autoSpaceDE/>
        <w:autoSpaceDN/>
        <w:bidi w:val="0"/>
        <w:adjustRightInd/>
        <w:snapToGrid/>
        <w:spacing w:line="360" w:lineRule="auto"/>
        <w:ind w:firstLine="452"/>
        <w:textAlignment w:val="auto"/>
        <w:rPr>
          <w:rFonts w:hint="eastAsia" w:ascii="宋体" w:hAnsi="宋体" w:eastAsia="宋体" w:cs="宋体"/>
          <w:spacing w:val="8"/>
          <w:kern w:val="0"/>
          <w:sz w:val="21"/>
          <w:szCs w:val="21"/>
        </w:rPr>
      </w:pPr>
      <w:r>
        <w:rPr>
          <w:rFonts w:hint="eastAsia" w:ascii="宋体" w:hAnsi="宋体" w:eastAsia="宋体" w:cs="宋体"/>
          <w:spacing w:val="8"/>
          <w:kern w:val="0"/>
          <w:sz w:val="21"/>
          <w:szCs w:val="21"/>
        </w:rPr>
        <w:t>2、配置要求</w:t>
      </w:r>
    </w:p>
    <w:tbl>
      <w:tblPr>
        <w:tblStyle w:val="47"/>
        <w:tblpPr w:leftFromText="180" w:rightFromText="180" w:vertAnchor="text" w:horzAnchor="page" w:tblpX="1832" w:tblpY="137"/>
        <w:tblOverlap w:val="never"/>
        <w:tblW w:w="82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4305"/>
        <w:gridCol w:w="2958"/>
      </w:tblGrid>
      <w:tr w14:paraId="5FE02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06" w:type="dxa"/>
            <w:vAlign w:val="center"/>
          </w:tcPr>
          <w:p w14:paraId="571B2235">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4305" w:type="dxa"/>
            <w:vAlign w:val="center"/>
          </w:tcPr>
          <w:p w14:paraId="46FC2CA9">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分项明细</w:t>
            </w:r>
          </w:p>
        </w:tc>
        <w:tc>
          <w:tcPr>
            <w:tcW w:w="2958" w:type="dxa"/>
            <w:vAlign w:val="center"/>
          </w:tcPr>
          <w:p w14:paraId="534A2E54">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r>
      <w:tr w14:paraId="6D3DF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restart"/>
            <w:vAlign w:val="center"/>
          </w:tcPr>
          <w:p w14:paraId="35F8598D">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p>
        </w:tc>
        <w:tc>
          <w:tcPr>
            <w:tcW w:w="7263" w:type="dxa"/>
            <w:gridSpan w:val="2"/>
            <w:vAlign w:val="center"/>
          </w:tcPr>
          <w:p w14:paraId="1EB051C7">
            <w:pPr>
              <w:keepNext w:val="0"/>
              <w:keepLines w:val="0"/>
              <w:pageBreakBefore w:val="0"/>
              <w:kinsoku/>
              <w:wordWrap/>
              <w:overflowPunct/>
              <w:topLinePunct w:val="0"/>
              <w:autoSpaceDE/>
              <w:autoSpaceDN/>
              <w:bidi w:val="0"/>
              <w:adjustRightInd/>
              <w:snapToGrid/>
              <w:spacing w:line="360" w:lineRule="auto"/>
              <w:ind w:left="0" w:lef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计算系统：</w:t>
            </w:r>
          </w:p>
        </w:tc>
      </w:tr>
      <w:tr w14:paraId="4B3A8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continue"/>
            <w:vAlign w:val="center"/>
          </w:tcPr>
          <w:p w14:paraId="267AB270">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6D4BE8D7">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登录管理节点</w:t>
            </w:r>
          </w:p>
        </w:tc>
        <w:tc>
          <w:tcPr>
            <w:tcW w:w="2958" w:type="dxa"/>
            <w:vAlign w:val="center"/>
          </w:tcPr>
          <w:p w14:paraId="21DC6C2B">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3D8E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continue"/>
            <w:vAlign w:val="center"/>
          </w:tcPr>
          <w:p w14:paraId="0EBBE4DC">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66F91FF1">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通用计算节点</w:t>
            </w:r>
          </w:p>
        </w:tc>
        <w:tc>
          <w:tcPr>
            <w:tcW w:w="2958" w:type="dxa"/>
            <w:vAlign w:val="center"/>
          </w:tcPr>
          <w:p w14:paraId="0CD1F4E5">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r>
      <w:tr w14:paraId="6376D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continue"/>
            <w:vAlign w:val="center"/>
          </w:tcPr>
          <w:p w14:paraId="2EAD4532">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166F8E9E">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大内存计算节点</w:t>
            </w:r>
          </w:p>
        </w:tc>
        <w:tc>
          <w:tcPr>
            <w:tcW w:w="2958" w:type="dxa"/>
            <w:vAlign w:val="center"/>
          </w:tcPr>
          <w:p w14:paraId="64979596">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r>
      <w:tr w14:paraId="5E013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continue"/>
            <w:vAlign w:val="center"/>
          </w:tcPr>
          <w:p w14:paraId="665D97B9">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29E1B69E">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4）专用节点</w:t>
            </w:r>
          </w:p>
        </w:tc>
        <w:tc>
          <w:tcPr>
            <w:tcW w:w="2958" w:type="dxa"/>
            <w:vAlign w:val="center"/>
          </w:tcPr>
          <w:p w14:paraId="1C51D004">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r>
      <w:tr w14:paraId="0113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continue"/>
            <w:vAlign w:val="center"/>
          </w:tcPr>
          <w:p w14:paraId="66CA24D4">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61EF081E">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GPU计算节点1</w:t>
            </w:r>
          </w:p>
        </w:tc>
        <w:tc>
          <w:tcPr>
            <w:tcW w:w="2958" w:type="dxa"/>
            <w:vAlign w:val="center"/>
          </w:tcPr>
          <w:p w14:paraId="2BEF2946">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76E8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continue"/>
            <w:vAlign w:val="center"/>
          </w:tcPr>
          <w:p w14:paraId="04548654">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7CF17C14">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bidi="ar"/>
              </w:rPr>
              <w:t>GPU计算节点2</w:t>
            </w:r>
            <w:r>
              <w:rPr>
                <w:rFonts w:hint="eastAsia" w:ascii="宋体" w:hAnsi="宋体" w:cs="宋体"/>
                <w:b/>
                <w:bCs/>
                <w:color w:val="auto"/>
                <w:sz w:val="21"/>
                <w:szCs w:val="21"/>
                <w:highlight w:val="none"/>
                <w:lang w:eastAsia="zh-CN" w:bidi="ar"/>
              </w:rPr>
              <w:t>（</w:t>
            </w:r>
            <w:r>
              <w:rPr>
                <w:rFonts w:hint="eastAsia" w:ascii="宋体" w:hAnsi="宋体" w:cs="宋体"/>
                <w:b/>
                <w:bCs/>
                <w:color w:val="auto"/>
                <w:sz w:val="21"/>
                <w:szCs w:val="21"/>
                <w:highlight w:val="none"/>
                <w:lang w:val="en-US" w:eastAsia="zh-CN" w:bidi="ar"/>
              </w:rPr>
              <w:t>核心产品</w:t>
            </w:r>
            <w:r>
              <w:rPr>
                <w:rFonts w:hint="eastAsia" w:ascii="宋体" w:hAnsi="宋体" w:cs="宋体"/>
                <w:b/>
                <w:bCs/>
                <w:color w:val="auto"/>
                <w:sz w:val="21"/>
                <w:szCs w:val="21"/>
                <w:highlight w:val="none"/>
                <w:lang w:eastAsia="zh-CN" w:bidi="ar"/>
              </w:rPr>
              <w:t>）</w:t>
            </w:r>
          </w:p>
        </w:tc>
        <w:tc>
          <w:tcPr>
            <w:tcW w:w="2958" w:type="dxa"/>
            <w:vAlign w:val="center"/>
          </w:tcPr>
          <w:p w14:paraId="522F4CAF">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074C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continue"/>
            <w:vAlign w:val="center"/>
          </w:tcPr>
          <w:p w14:paraId="68527F5D">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7AD2DE62">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w:t>
            </w:r>
            <w:r>
              <w:rPr>
                <w:rFonts w:hint="eastAsia" w:ascii="宋体" w:hAnsi="宋体" w:eastAsia="宋体" w:cs="宋体"/>
                <w:color w:val="auto"/>
                <w:sz w:val="21"/>
                <w:szCs w:val="21"/>
                <w:highlight w:val="none"/>
                <w:lang w:bidi="ar"/>
              </w:rPr>
              <w:t>GPU计算节点</w:t>
            </w:r>
            <w:r>
              <w:rPr>
                <w:rFonts w:hint="eastAsia" w:ascii="宋体" w:hAnsi="宋体" w:eastAsia="宋体" w:cs="宋体"/>
                <w:color w:val="auto"/>
                <w:sz w:val="21"/>
                <w:szCs w:val="21"/>
                <w:highlight w:val="none"/>
                <w:lang w:val="en-US" w:eastAsia="zh-CN" w:bidi="ar"/>
              </w:rPr>
              <w:t>3</w:t>
            </w:r>
          </w:p>
        </w:tc>
        <w:tc>
          <w:tcPr>
            <w:tcW w:w="2958" w:type="dxa"/>
            <w:vAlign w:val="center"/>
          </w:tcPr>
          <w:p w14:paraId="32B840F2">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r w14:paraId="6D2F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06" w:type="dxa"/>
            <w:vMerge w:val="continue"/>
            <w:vAlign w:val="center"/>
          </w:tcPr>
          <w:p w14:paraId="4647425D">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7A9C4753">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lang w:val="en-US" w:eastAsia="zh-CN" w:bidi="ar"/>
              </w:rPr>
              <w:t>8）超融合节点</w:t>
            </w:r>
          </w:p>
        </w:tc>
        <w:tc>
          <w:tcPr>
            <w:tcW w:w="2958" w:type="dxa"/>
            <w:vAlign w:val="center"/>
          </w:tcPr>
          <w:p w14:paraId="3D056D5C">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r>
      <w:tr w14:paraId="650F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006" w:type="dxa"/>
            <w:vAlign w:val="center"/>
          </w:tcPr>
          <w:p w14:paraId="7D40D99B">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w:t>
            </w:r>
          </w:p>
        </w:tc>
        <w:tc>
          <w:tcPr>
            <w:tcW w:w="4305" w:type="dxa"/>
            <w:vAlign w:val="center"/>
          </w:tcPr>
          <w:p w14:paraId="3BE9022D">
            <w:pPr>
              <w:keepNext w:val="0"/>
              <w:keepLines w:val="0"/>
              <w:pageBreakBefore w:val="0"/>
              <w:kinsoku/>
              <w:wordWrap/>
              <w:overflowPunct/>
              <w:topLinePunct w:val="0"/>
              <w:autoSpaceDE/>
              <w:autoSpaceDN/>
              <w:bidi w:val="0"/>
              <w:adjustRightInd/>
              <w:snapToGrid/>
              <w:spacing w:line="360" w:lineRule="auto"/>
              <w:ind w:left="0" w:left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共享存储</w:t>
            </w:r>
          </w:p>
        </w:tc>
        <w:tc>
          <w:tcPr>
            <w:tcW w:w="2958" w:type="dxa"/>
            <w:vAlign w:val="center"/>
          </w:tcPr>
          <w:p w14:paraId="75053D5B">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r w14:paraId="0937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6" w:type="dxa"/>
            <w:vMerge w:val="restart"/>
            <w:vAlign w:val="center"/>
          </w:tcPr>
          <w:p w14:paraId="260886F5">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p>
        </w:tc>
        <w:tc>
          <w:tcPr>
            <w:tcW w:w="7263" w:type="dxa"/>
            <w:gridSpan w:val="2"/>
            <w:vAlign w:val="center"/>
          </w:tcPr>
          <w:p w14:paraId="7913D74D">
            <w:pPr>
              <w:keepNext w:val="0"/>
              <w:keepLines w:val="0"/>
              <w:pageBreakBefore w:val="0"/>
              <w:kinsoku/>
              <w:wordWrap/>
              <w:overflowPunct/>
              <w:topLinePunct w:val="0"/>
              <w:autoSpaceDE/>
              <w:autoSpaceDN/>
              <w:bidi w:val="0"/>
              <w:adjustRightInd/>
              <w:snapToGrid/>
              <w:spacing w:line="360" w:lineRule="auto"/>
              <w:ind w:left="0" w:lef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网络系统：</w:t>
            </w:r>
          </w:p>
        </w:tc>
      </w:tr>
      <w:tr w14:paraId="1532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6" w:type="dxa"/>
            <w:vMerge w:val="continue"/>
            <w:vAlign w:val="center"/>
          </w:tcPr>
          <w:p w14:paraId="61A36541">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5F1CA7B9">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高速计算网络</w:t>
            </w:r>
          </w:p>
        </w:tc>
        <w:tc>
          <w:tcPr>
            <w:tcW w:w="2958" w:type="dxa"/>
            <w:vAlign w:val="center"/>
          </w:tcPr>
          <w:p w14:paraId="23784965">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r w14:paraId="70C6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6" w:type="dxa"/>
            <w:vMerge w:val="continue"/>
            <w:vAlign w:val="center"/>
          </w:tcPr>
          <w:p w14:paraId="52145753">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1CBB2868">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万兆业务网络</w:t>
            </w:r>
          </w:p>
        </w:tc>
        <w:tc>
          <w:tcPr>
            <w:tcW w:w="2958" w:type="dxa"/>
            <w:vAlign w:val="center"/>
          </w:tcPr>
          <w:p w14:paraId="0F870F2F">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r w14:paraId="0442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6" w:type="dxa"/>
            <w:vMerge w:val="continue"/>
            <w:vAlign w:val="center"/>
          </w:tcPr>
          <w:p w14:paraId="2265C29A">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rPr>
            </w:pPr>
          </w:p>
        </w:tc>
        <w:tc>
          <w:tcPr>
            <w:tcW w:w="4305" w:type="dxa"/>
            <w:shd w:val="clear" w:color="auto" w:fill="auto"/>
            <w:vAlign w:val="center"/>
          </w:tcPr>
          <w:p w14:paraId="251D4CE6">
            <w:pPr>
              <w:keepNext w:val="0"/>
              <w:keepLines w:val="0"/>
              <w:pageBreakBefore w:val="0"/>
              <w:widowControl/>
              <w:kinsoku/>
              <w:wordWrap/>
              <w:overflowPunct/>
              <w:topLinePunct w:val="0"/>
              <w:autoSpaceDE/>
              <w:autoSpaceDN/>
              <w:bidi w:val="0"/>
              <w:adjustRightInd/>
              <w:snapToGrid/>
              <w:spacing w:line="360" w:lineRule="auto"/>
              <w:ind w:left="0" w:left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千兆管理网络</w:t>
            </w:r>
          </w:p>
        </w:tc>
        <w:tc>
          <w:tcPr>
            <w:tcW w:w="2958" w:type="dxa"/>
            <w:vAlign w:val="center"/>
          </w:tcPr>
          <w:p w14:paraId="0DB2E7E7">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r w14:paraId="5CB9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006" w:type="dxa"/>
            <w:vAlign w:val="center"/>
          </w:tcPr>
          <w:p w14:paraId="7392E8D0">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4</w:t>
            </w:r>
          </w:p>
        </w:tc>
        <w:tc>
          <w:tcPr>
            <w:tcW w:w="4305" w:type="dxa"/>
            <w:vAlign w:val="center"/>
          </w:tcPr>
          <w:p w14:paraId="65FA7616">
            <w:pPr>
              <w:keepNext w:val="0"/>
              <w:keepLines w:val="0"/>
              <w:pageBreakBefore w:val="0"/>
              <w:kinsoku/>
              <w:wordWrap/>
              <w:overflowPunct/>
              <w:topLinePunct w:val="0"/>
              <w:autoSpaceDE/>
              <w:autoSpaceDN/>
              <w:bidi w:val="0"/>
              <w:adjustRightInd/>
              <w:snapToGrid/>
              <w:spacing w:line="360" w:lineRule="auto"/>
              <w:ind w:left="0" w:lef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集群调度管理系统</w:t>
            </w:r>
          </w:p>
        </w:tc>
        <w:tc>
          <w:tcPr>
            <w:tcW w:w="2958" w:type="dxa"/>
            <w:vAlign w:val="center"/>
          </w:tcPr>
          <w:p w14:paraId="54911404">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r>
      <w:tr w14:paraId="24AB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006" w:type="dxa"/>
            <w:vAlign w:val="center"/>
          </w:tcPr>
          <w:p w14:paraId="62352DF3">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w:t>
            </w:r>
          </w:p>
        </w:tc>
        <w:tc>
          <w:tcPr>
            <w:tcW w:w="4305" w:type="dxa"/>
            <w:vAlign w:val="center"/>
          </w:tcPr>
          <w:p w14:paraId="0C9458A4">
            <w:pPr>
              <w:keepNext w:val="0"/>
              <w:keepLines w:val="0"/>
              <w:pageBreakBefore w:val="0"/>
              <w:kinsoku/>
              <w:wordWrap/>
              <w:overflowPunct/>
              <w:topLinePunct w:val="0"/>
              <w:autoSpaceDE/>
              <w:autoSpaceDN/>
              <w:bidi w:val="0"/>
              <w:adjustRightInd/>
              <w:snapToGrid/>
              <w:spacing w:line="360" w:lineRule="auto"/>
              <w:ind w:left="0" w:leftChars="0"/>
              <w:jc w:val="lef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集群防火墙</w:t>
            </w:r>
          </w:p>
        </w:tc>
        <w:tc>
          <w:tcPr>
            <w:tcW w:w="2958" w:type="dxa"/>
            <w:vAlign w:val="center"/>
          </w:tcPr>
          <w:p w14:paraId="515C7358">
            <w:pPr>
              <w:keepNext w:val="0"/>
              <w:keepLines w:val="0"/>
              <w:pageBreakBefore w:val="0"/>
              <w:kinsoku/>
              <w:wordWrap/>
              <w:overflowPunct/>
              <w:topLinePunct w:val="0"/>
              <w:autoSpaceDE/>
              <w:autoSpaceDN/>
              <w:bidi w:val="0"/>
              <w:adjustRightInd/>
              <w:snapToGrid/>
              <w:spacing w:line="360" w:lineRule="auto"/>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bl>
    <w:p w14:paraId="5DAA68BE">
      <w:pPr>
        <w:pStyle w:val="73"/>
        <w:keepNext w:val="0"/>
        <w:keepLines w:val="0"/>
        <w:pageBreakBefore w:val="0"/>
        <w:widowControl w:val="0"/>
        <w:kinsoku/>
        <w:wordWrap/>
        <w:overflowPunct/>
        <w:topLinePunct w:val="0"/>
        <w:autoSpaceDE/>
        <w:autoSpaceDN/>
        <w:bidi w:val="0"/>
        <w:adjustRightInd/>
        <w:snapToGrid/>
        <w:spacing w:line="360" w:lineRule="auto"/>
        <w:ind w:firstLine="452"/>
        <w:textAlignment w:val="auto"/>
        <w:rPr>
          <w:rFonts w:hint="eastAsia" w:ascii="宋体" w:hAnsi="宋体" w:cs="宋体"/>
          <w:color w:val="000000" w:themeColor="text1"/>
          <w:sz w:val="21"/>
          <w:szCs w:val="21"/>
          <w14:textFill>
            <w14:solidFill>
              <w14:schemeClr w14:val="tx1"/>
            </w14:solidFill>
          </w14:textFill>
        </w:rPr>
      </w:pPr>
    </w:p>
    <w:p w14:paraId="6E1CF274">
      <w:pPr>
        <w:pStyle w:val="286"/>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二、技术指标及要求</w:t>
      </w:r>
      <w:bookmarkEnd w:id="25"/>
      <w:bookmarkEnd w:id="26"/>
      <w:bookmarkStart w:id="28" w:name="_Toc29315"/>
      <w:bookmarkStart w:id="29" w:name="_Toc2652"/>
      <w:bookmarkStart w:id="30" w:name="_Toc9991"/>
    </w:p>
    <w:bookmarkEnd w:id="27"/>
    <w:p w14:paraId="678E491E">
      <w:pPr>
        <w:spacing w:line="360" w:lineRule="auto"/>
        <w:ind w:firstLine="422" w:firstLineChars="200"/>
        <w:rPr>
          <w:rFonts w:hint="eastAsia" w:ascii="宋体" w:hAnsi="宋体" w:cs="宋体"/>
          <w:b/>
          <w:bCs/>
          <w:szCs w:val="21"/>
          <w:highlight w:val="none"/>
        </w:rPr>
      </w:pPr>
      <w:r>
        <w:rPr>
          <w:rFonts w:hint="eastAsia" w:ascii="宋体" w:hAnsi="宋体"/>
          <w:b/>
          <w:bCs/>
          <w:szCs w:val="21"/>
          <w:highlight w:val="none"/>
        </w:rPr>
        <w:t>“★”“▲”的技术参数响应需提供支撑资料（提供相关证明材料并加盖投标单位公章包括明确说明该技术内容的公开发行的产品彩页或产品说明书或第三方检测机构的检测报告</w:t>
      </w:r>
      <w:r>
        <w:rPr>
          <w:rFonts w:hint="eastAsia" w:ascii="宋体" w:hAnsi="宋体"/>
          <w:b/>
          <w:bCs/>
          <w:szCs w:val="21"/>
          <w:highlight w:val="none"/>
          <w:lang w:eastAsia="zh-CN"/>
        </w:rPr>
        <w:t>，需求中有其他要求的</w:t>
      </w:r>
      <w:r>
        <w:rPr>
          <w:rFonts w:hint="eastAsia" w:ascii="宋体" w:hAnsi="宋体"/>
          <w:b/>
          <w:bCs/>
          <w:szCs w:val="21"/>
          <w:highlight w:val="none"/>
          <w:lang w:val="en-US" w:eastAsia="zh-CN"/>
        </w:rPr>
        <w:t>仅</w:t>
      </w:r>
      <w:r>
        <w:rPr>
          <w:rFonts w:hint="eastAsia" w:ascii="宋体" w:hAnsi="宋体"/>
          <w:b/>
          <w:bCs/>
          <w:szCs w:val="21"/>
          <w:highlight w:val="none"/>
          <w:lang w:eastAsia="zh-CN"/>
        </w:rPr>
        <w:t>从其要求。</w:t>
      </w:r>
      <w:r>
        <w:rPr>
          <w:rFonts w:hint="eastAsia" w:ascii="宋体" w:hAnsi="宋体"/>
          <w:b/>
          <w:bCs/>
          <w:szCs w:val="21"/>
          <w:highlight w:val="none"/>
        </w:rPr>
        <w:t>），如未附有效支撑材料或者所附的支撑材料由评标委员会认为不能佐证技术指标的有效性的，则视为负偏离。如文件中要求提供证明材料，建议采用箭头、标红或下划线等进行明显标注，方便评委查看。供应商须如实地在《技术条款偏离表》中标明满足与否，并对其真实性负责。在签订合同前，采购人有权要求供应商到用户现场验证，功能</w:t>
      </w:r>
      <w:r>
        <w:rPr>
          <w:rFonts w:hint="eastAsia" w:ascii="宋体" w:hAnsi="宋体"/>
          <w:b/>
          <w:bCs/>
          <w:szCs w:val="21"/>
          <w:highlight w:val="none"/>
          <w:lang w:eastAsia="zh-CN"/>
        </w:rPr>
        <w:t>、</w:t>
      </w:r>
      <w:r>
        <w:rPr>
          <w:rFonts w:hint="eastAsia" w:ascii="宋体" w:hAnsi="宋体"/>
          <w:b/>
          <w:bCs/>
          <w:szCs w:val="21"/>
          <w:highlight w:val="none"/>
        </w:rPr>
        <w:t>性能需与技术要求一致，否则视为虚假应标，采购人有权追究其相应法律责任。</w:t>
      </w:r>
    </w:p>
    <w:p w14:paraId="749A6667">
      <w:pPr>
        <w:keepNext w:val="0"/>
        <w:keepLines w:val="0"/>
        <w:pageBreakBefore w:val="0"/>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计算系统</w:t>
      </w:r>
    </w:p>
    <w:p w14:paraId="017D695D">
      <w:pPr>
        <w:keepNext w:val="0"/>
        <w:keepLines w:val="0"/>
        <w:pageBreakBefore w:val="0"/>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登录管理节点</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473"/>
      </w:tblGrid>
      <w:tr w14:paraId="58088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507E456D">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73" w:type="dxa"/>
            <w:shd w:val="clear" w:color="auto" w:fill="auto"/>
            <w:vAlign w:val="center"/>
          </w:tcPr>
          <w:p w14:paraId="48CFBAFD">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340B5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40F74642">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73" w:type="dxa"/>
            <w:shd w:val="clear" w:color="auto" w:fill="auto"/>
            <w:vAlign w:val="center"/>
          </w:tcPr>
          <w:p w14:paraId="785BCC3F">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形态：2U机架式</w:t>
            </w:r>
            <w:r>
              <w:rPr>
                <w:rFonts w:hint="eastAsia" w:ascii="宋体" w:hAnsi="宋体" w:eastAsia="宋体" w:cs="宋体"/>
                <w:color w:val="auto"/>
                <w:sz w:val="21"/>
                <w:szCs w:val="21"/>
                <w:highlight w:val="none"/>
                <w:lang w:eastAsia="zh-Hans"/>
              </w:rPr>
              <w:t>服务器</w:t>
            </w:r>
            <w:r>
              <w:rPr>
                <w:rFonts w:hint="eastAsia" w:ascii="宋体" w:hAnsi="宋体" w:eastAsia="宋体" w:cs="宋体"/>
                <w:color w:val="auto"/>
                <w:sz w:val="21"/>
                <w:szCs w:val="21"/>
                <w:highlight w:val="none"/>
                <w:lang w:eastAsia="zh-CN"/>
              </w:rPr>
              <w:t>；</w:t>
            </w:r>
          </w:p>
        </w:tc>
      </w:tr>
      <w:tr w14:paraId="7CA3C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16" w:type="dxa"/>
            <w:shd w:val="clear" w:color="auto" w:fill="auto"/>
            <w:vAlign w:val="center"/>
          </w:tcPr>
          <w:p w14:paraId="2F02CE0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w:t>
            </w:r>
          </w:p>
        </w:tc>
        <w:tc>
          <w:tcPr>
            <w:tcW w:w="7473" w:type="dxa"/>
            <w:shd w:val="clear" w:color="auto" w:fill="auto"/>
            <w:vAlign w:val="center"/>
          </w:tcPr>
          <w:p w14:paraId="6FEC560E">
            <w:pPr>
              <w:pStyle w:val="3"/>
              <w:keepNext/>
              <w:keepLines/>
              <w:widowControl w:val="0"/>
              <w:spacing w:before="0" w:after="0" w:line="360" w:lineRule="auto"/>
              <w:rPr>
                <w:rFonts w:hint="eastAsia" w:ascii="宋体" w:hAnsi="宋体" w:eastAsia="宋体" w:cs="宋体"/>
                <w:color w:val="auto"/>
                <w:kern w:val="0"/>
                <w:sz w:val="21"/>
                <w:szCs w:val="21"/>
                <w:highlight w:val="none"/>
                <w:lang w:eastAsia="zh-CN"/>
              </w:rPr>
            </w:pPr>
            <w:r>
              <w:rPr>
                <w:rFonts w:hint="eastAsia" w:ascii="宋体" w:hAnsi="宋体" w:eastAsia="宋体" w:cs="宋体"/>
                <w:b w:val="0"/>
                <w:bCs w:val="0"/>
                <w:color w:val="auto"/>
                <w:sz w:val="21"/>
                <w:szCs w:val="21"/>
                <w:highlight w:val="none"/>
              </w:rPr>
              <w:t xml:space="preserve">CPU：配置≥2 颗 </w:t>
            </w:r>
            <w:r>
              <w:rPr>
                <w:rFonts w:hint="eastAsia" w:ascii="宋体" w:hAnsi="宋体" w:cs="宋体"/>
                <w:b w:val="0"/>
                <w:bCs w:val="0"/>
                <w:color w:val="auto"/>
                <w:sz w:val="21"/>
                <w:szCs w:val="21"/>
                <w:highlight w:val="none"/>
                <w:lang w:val="en-US" w:eastAsia="zh-CN"/>
              </w:rPr>
              <w:t>X86处理器</w:t>
            </w:r>
            <w:r>
              <w:rPr>
                <w:rFonts w:hint="eastAsia" w:ascii="宋体" w:hAnsi="宋体" w:cs="宋体"/>
                <w:b w:val="0"/>
                <w:bCs w:val="0"/>
                <w:color w:val="auto"/>
                <w:sz w:val="21"/>
                <w:szCs w:val="21"/>
                <w:highlight w:val="none"/>
                <w:lang w:eastAsia="zh-CN"/>
              </w:rPr>
              <w:t>；</w:t>
            </w:r>
          </w:p>
          <w:p w14:paraId="77B1514C">
            <w:pPr>
              <w:pStyle w:val="3"/>
              <w:keepNext/>
              <w:keepLines/>
              <w:widowControl w:val="0"/>
              <w:spacing w:before="0" w:after="0" w:line="360" w:lineRule="auto"/>
              <w:rPr>
                <w:rFonts w:hint="eastAsia" w:ascii="宋体" w:hAnsi="宋体" w:eastAsia="宋体" w:cs="宋体"/>
                <w:color w:val="auto"/>
                <w:kern w:val="0"/>
                <w:sz w:val="21"/>
                <w:szCs w:val="21"/>
                <w:highlight w:val="none"/>
                <w:lang w:eastAsia="zh-CN"/>
              </w:rPr>
            </w:pPr>
            <w:r>
              <w:rPr>
                <w:rFonts w:hint="eastAsia" w:ascii="宋体" w:hAnsi="宋体" w:eastAsia="宋体" w:cs="宋体"/>
                <w:b w:val="0"/>
                <w:bCs w:val="0"/>
                <w:color w:val="auto"/>
                <w:sz w:val="21"/>
                <w:szCs w:val="21"/>
                <w:highlight w:val="none"/>
              </w:rPr>
              <w:t>单颗 CPU 物理核数≥32核，基准频率≥2.</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GHz</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最大睿频频率</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GHz</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缓存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160MB，TDP</w:t>
            </w:r>
            <w:r>
              <w:rPr>
                <w:rFonts w:hint="eastAsia" w:ascii="宋体" w:hAnsi="宋体" w:eastAsia="宋体" w:cs="宋体"/>
                <w:b w:val="0"/>
                <w:bCs w:val="0"/>
                <w:i w:val="0"/>
                <w:iCs w:val="0"/>
                <w:caps w:val="0"/>
                <w:color w:val="auto"/>
                <w:spacing w:val="0"/>
                <w:sz w:val="21"/>
                <w:szCs w:val="21"/>
                <w:highlight w:val="none"/>
              </w:rPr>
              <w:t>≤</w:t>
            </w:r>
            <w:r>
              <w:rPr>
                <w:rFonts w:hint="eastAsia" w:ascii="宋体" w:hAnsi="宋体" w:eastAsia="宋体" w:cs="宋体"/>
                <w:b w:val="0"/>
                <w:bCs w:val="0"/>
                <w:i w:val="0"/>
                <w:iCs w:val="0"/>
                <w:caps w:val="0"/>
                <w:color w:val="auto"/>
                <w:spacing w:val="0"/>
                <w:sz w:val="21"/>
                <w:szCs w:val="21"/>
                <w:highlight w:val="none"/>
                <w:lang w:val="en-US" w:eastAsia="zh-CN"/>
              </w:rPr>
              <w:t>270W</w:t>
            </w:r>
            <w:r>
              <w:rPr>
                <w:rFonts w:hint="eastAsia" w:ascii="宋体" w:hAnsi="宋体" w:cs="宋体"/>
                <w:b w:val="0"/>
                <w:bCs w:val="0"/>
                <w:color w:val="auto"/>
                <w:sz w:val="21"/>
                <w:szCs w:val="21"/>
                <w:highlight w:val="none"/>
                <w:lang w:eastAsia="zh-CN"/>
              </w:rPr>
              <w:t>；</w:t>
            </w:r>
            <w:r>
              <w:rPr>
                <w:rFonts w:hint="eastAsia" w:ascii="宋体" w:hAnsi="宋体" w:cs="宋体"/>
                <w:b/>
                <w:bCs/>
                <w:i/>
                <w:iCs/>
                <w:caps w:val="0"/>
                <w:color w:val="auto"/>
                <w:spacing w:val="0"/>
                <w:sz w:val="21"/>
                <w:szCs w:val="21"/>
                <w:highlight w:val="none"/>
                <w:lang w:val="en-US" w:eastAsia="zh-CN"/>
              </w:rPr>
              <w:t>（提供</w:t>
            </w:r>
            <w:r>
              <w:rPr>
                <w:rFonts w:hint="eastAsia" w:ascii="宋体" w:hAnsi="宋体" w:cs="宋体"/>
                <w:b/>
                <w:bCs/>
                <w:i/>
                <w:iCs/>
                <w:color w:val="auto"/>
                <w:sz w:val="21"/>
                <w:szCs w:val="21"/>
                <w:highlight w:val="none"/>
              </w:rPr>
              <w:t>官网</w:t>
            </w:r>
            <w:r>
              <w:rPr>
                <w:rFonts w:hint="eastAsia" w:ascii="宋体" w:hAnsi="宋体" w:cs="宋体"/>
                <w:b/>
                <w:bCs/>
                <w:i/>
                <w:iCs/>
                <w:color w:val="auto"/>
                <w:sz w:val="21"/>
                <w:szCs w:val="21"/>
                <w:highlight w:val="none"/>
                <w:lang w:val="en-US" w:eastAsia="zh-CN"/>
              </w:rPr>
              <w:t>截图，如未提供按“其他”负偏离扣分</w:t>
            </w:r>
            <w:r>
              <w:rPr>
                <w:rFonts w:hint="eastAsia" w:ascii="宋体" w:hAnsi="宋体" w:cs="宋体"/>
                <w:b/>
                <w:bCs/>
                <w:i/>
                <w:iCs/>
                <w:caps w:val="0"/>
                <w:color w:val="auto"/>
                <w:spacing w:val="0"/>
                <w:sz w:val="21"/>
                <w:szCs w:val="21"/>
                <w:highlight w:val="none"/>
                <w:lang w:val="en-US" w:eastAsia="zh-CN"/>
              </w:rPr>
              <w:t>）</w:t>
            </w:r>
          </w:p>
        </w:tc>
      </w:tr>
      <w:tr w14:paraId="7036C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13082ACC">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73" w:type="dxa"/>
            <w:shd w:val="clear" w:color="auto" w:fill="auto"/>
            <w:vAlign w:val="center"/>
          </w:tcPr>
          <w:p w14:paraId="63FFFE42">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内存：每</w:t>
            </w:r>
            <w:r>
              <w:rPr>
                <w:rFonts w:hint="eastAsia" w:ascii="宋体" w:hAnsi="宋体" w:eastAsia="宋体" w:cs="宋体"/>
                <w:color w:val="auto"/>
                <w:sz w:val="21"/>
                <w:szCs w:val="21"/>
                <w:highlight w:val="none"/>
                <w:lang w:eastAsia="zh-Hans"/>
              </w:rPr>
              <w:t>物理</w:t>
            </w:r>
            <w:r>
              <w:rPr>
                <w:rFonts w:hint="eastAsia" w:ascii="宋体" w:hAnsi="宋体" w:eastAsia="宋体" w:cs="宋体"/>
                <w:color w:val="auto"/>
                <w:sz w:val="21"/>
                <w:szCs w:val="21"/>
                <w:highlight w:val="none"/>
              </w:rPr>
              <w:t>核心配置≥</w:t>
            </w:r>
            <w:r>
              <w:rPr>
                <w:rFonts w:hint="eastAsia" w:ascii="宋体" w:hAnsi="宋体" w:eastAsia="宋体" w:cs="宋体"/>
                <w:color w:val="auto"/>
                <w:sz w:val="21"/>
                <w:szCs w:val="21"/>
                <w:highlight w:val="none"/>
                <w:lang w:val="en-US"/>
              </w:rPr>
              <w:t>4</w:t>
            </w:r>
            <w:r>
              <w:rPr>
                <w:rFonts w:hint="eastAsia" w:ascii="宋体" w:hAnsi="宋体" w:eastAsia="宋体" w:cs="宋体"/>
                <w:color w:val="auto"/>
                <w:sz w:val="21"/>
                <w:szCs w:val="21"/>
                <w:highlight w:val="none"/>
              </w:rPr>
              <w:t>GB</w:t>
            </w:r>
            <w:r>
              <w:rPr>
                <w:rFonts w:hint="eastAsia" w:ascii="宋体" w:hAnsi="宋体" w:eastAsia="宋体" w:cs="宋体"/>
                <w:color w:val="auto"/>
                <w:sz w:val="21"/>
                <w:szCs w:val="21"/>
                <w:highlight w:val="none"/>
                <w:lang w:val="en-US" w:eastAsia="zh-CN"/>
              </w:rPr>
              <w:t xml:space="preserve"> DDR5 </w:t>
            </w:r>
            <w:r>
              <w:rPr>
                <w:rFonts w:hint="default" w:ascii="宋体" w:hAnsi="宋体" w:cs="宋体"/>
                <w:color w:val="auto"/>
                <w:sz w:val="21"/>
                <w:szCs w:val="21"/>
                <w:highlight w:val="none"/>
                <w:lang w:val="en-US" w:eastAsia="zh-CN"/>
              </w:rPr>
              <w:t>5600MT/s</w:t>
            </w:r>
            <w:r>
              <w:rPr>
                <w:rFonts w:hint="eastAsia" w:ascii="宋体" w:hAnsi="宋体" w:eastAsia="宋体" w:cs="宋体"/>
                <w:color w:val="auto"/>
                <w:sz w:val="21"/>
                <w:szCs w:val="21"/>
                <w:highlight w:val="none"/>
              </w:rPr>
              <w:t>内存空间</w:t>
            </w:r>
            <w:r>
              <w:rPr>
                <w:rFonts w:hint="eastAsia" w:ascii="宋体" w:hAnsi="宋体" w:cs="宋体"/>
                <w:color w:val="auto"/>
                <w:sz w:val="21"/>
                <w:szCs w:val="21"/>
                <w:highlight w:val="none"/>
                <w:lang w:eastAsia="zh-CN"/>
              </w:rPr>
              <w:t>；</w:t>
            </w:r>
          </w:p>
        </w:tc>
      </w:tr>
      <w:tr w14:paraId="18B9F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16" w:type="dxa"/>
            <w:shd w:val="clear" w:color="auto" w:fill="auto"/>
            <w:vAlign w:val="center"/>
          </w:tcPr>
          <w:p w14:paraId="43D85ADF">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.4</w:t>
            </w:r>
          </w:p>
        </w:tc>
        <w:tc>
          <w:tcPr>
            <w:tcW w:w="7473" w:type="dxa"/>
            <w:shd w:val="clear" w:color="auto" w:fill="auto"/>
            <w:vAlign w:val="center"/>
          </w:tcPr>
          <w:p w14:paraId="145A09A5">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硬盘：配置≥4块960G SATA SSD</w:t>
            </w:r>
            <w:r>
              <w:rPr>
                <w:rFonts w:hint="eastAsia" w:ascii="宋体" w:hAnsi="宋体" w:cs="宋体"/>
                <w:color w:val="auto"/>
                <w:sz w:val="21"/>
                <w:szCs w:val="21"/>
                <w:highlight w:val="none"/>
                <w:lang w:eastAsia="zh-CN"/>
              </w:rPr>
              <w:t>；</w:t>
            </w:r>
          </w:p>
        </w:tc>
      </w:tr>
      <w:tr w14:paraId="3F0B3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7971D423">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1.5</w:t>
            </w:r>
          </w:p>
        </w:tc>
        <w:tc>
          <w:tcPr>
            <w:tcW w:w="7473" w:type="dxa"/>
            <w:shd w:val="clear" w:color="auto" w:fill="auto"/>
            <w:vAlign w:val="center"/>
          </w:tcPr>
          <w:p w14:paraId="0A75738E">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RAID：配置≥1块4G RAID卡，支持RAID 0/1/5/6/10/50/60</w:t>
            </w:r>
            <w:r>
              <w:rPr>
                <w:rFonts w:hint="eastAsia" w:ascii="宋体" w:hAnsi="宋体" w:eastAsia="宋体" w:cs="宋体"/>
                <w:color w:val="auto"/>
                <w:sz w:val="21"/>
                <w:szCs w:val="21"/>
                <w:highlight w:val="none"/>
                <w:lang w:eastAsia="zh-CN"/>
              </w:rPr>
              <w:t>；</w:t>
            </w:r>
          </w:p>
        </w:tc>
      </w:tr>
      <w:tr w14:paraId="4E591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5A87E908">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73" w:type="dxa"/>
            <w:shd w:val="clear" w:color="auto" w:fill="auto"/>
            <w:vAlign w:val="center"/>
          </w:tcPr>
          <w:p w14:paraId="61534A58">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Hans"/>
              </w:rPr>
              <w:t>以太</w:t>
            </w:r>
            <w:r>
              <w:rPr>
                <w:rFonts w:hint="eastAsia" w:ascii="宋体" w:hAnsi="宋体" w:eastAsia="宋体" w:cs="宋体"/>
                <w:color w:val="auto"/>
                <w:sz w:val="21"/>
                <w:szCs w:val="21"/>
                <w:highlight w:val="none"/>
              </w:rPr>
              <w:t>网络：配置≥2个千兆网口，配置≥2个万兆网口（含模块）</w:t>
            </w:r>
            <w:r>
              <w:rPr>
                <w:rFonts w:hint="eastAsia" w:ascii="宋体" w:hAnsi="宋体" w:eastAsia="宋体" w:cs="宋体"/>
                <w:color w:val="auto"/>
                <w:sz w:val="21"/>
                <w:szCs w:val="21"/>
                <w:highlight w:val="none"/>
                <w:lang w:eastAsia="zh-CN"/>
              </w:rPr>
              <w:t>；</w:t>
            </w:r>
          </w:p>
        </w:tc>
      </w:tr>
      <w:tr w14:paraId="0B55A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52DE97B1">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73" w:type="dxa"/>
            <w:shd w:val="clear" w:color="auto" w:fill="auto"/>
            <w:vAlign w:val="center"/>
          </w:tcPr>
          <w:p w14:paraId="76168DC0">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IB网络：配置≥1个200G IB 网络端口，系统实际传输速率≥200Gb/s</w:t>
            </w:r>
            <w:r>
              <w:rPr>
                <w:rFonts w:hint="eastAsia" w:ascii="宋体" w:hAnsi="宋体" w:eastAsia="宋体" w:cs="宋体"/>
                <w:color w:val="auto"/>
                <w:sz w:val="21"/>
                <w:szCs w:val="21"/>
                <w:highlight w:val="none"/>
                <w:lang w:eastAsia="zh-CN"/>
              </w:rPr>
              <w:t>；</w:t>
            </w:r>
          </w:p>
        </w:tc>
      </w:tr>
      <w:tr w14:paraId="175E4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61ACAB40">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73" w:type="dxa"/>
            <w:shd w:val="clear" w:color="auto" w:fill="auto"/>
            <w:vAlign w:val="center"/>
          </w:tcPr>
          <w:p w14:paraId="29002B8B">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rPr>
              <w:t>管理：配置≥1个独立的远程管理控制端口，支持远程监控图形界面、支持H5虚拟键盘、支持VNC功能；支持监控服务器内部主要部件的状态；支持带外获取主板、背板等板卡信息；支持RAID卡配置带外导入导出功能</w:t>
            </w:r>
            <w:r>
              <w:rPr>
                <w:rFonts w:hint="eastAsia" w:ascii="宋体" w:hAnsi="宋体" w:eastAsia="宋体" w:cs="宋体"/>
                <w:b w:val="0"/>
                <w:bCs w:val="0"/>
                <w:color w:val="auto"/>
                <w:sz w:val="21"/>
                <w:szCs w:val="21"/>
                <w:highlight w:val="none"/>
                <w:lang w:eastAsia="zh-CN"/>
              </w:rPr>
              <w:t>；</w:t>
            </w:r>
          </w:p>
        </w:tc>
      </w:tr>
      <w:tr w14:paraId="5C49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7E3E76CF">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w:t>
            </w:r>
          </w:p>
        </w:tc>
        <w:tc>
          <w:tcPr>
            <w:tcW w:w="7473" w:type="dxa"/>
            <w:shd w:val="clear" w:color="auto" w:fill="auto"/>
            <w:vAlign w:val="center"/>
          </w:tcPr>
          <w:p w14:paraId="43E95387">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电源：满配冗余电源，支持n+n冗余</w:t>
            </w:r>
            <w:r>
              <w:rPr>
                <w:rFonts w:hint="eastAsia" w:ascii="宋体" w:hAnsi="宋体" w:eastAsia="宋体" w:cs="宋体"/>
                <w:color w:val="auto"/>
                <w:sz w:val="21"/>
                <w:szCs w:val="21"/>
                <w:highlight w:val="none"/>
                <w:lang w:eastAsia="zh-CN"/>
              </w:rPr>
              <w:t>；</w:t>
            </w:r>
          </w:p>
        </w:tc>
      </w:tr>
    </w:tbl>
    <w:p w14:paraId="3430CB21">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2CF8AF7A">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通用计算节点</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473"/>
      </w:tblGrid>
      <w:tr w14:paraId="12B83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61D17477">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73" w:type="dxa"/>
            <w:shd w:val="clear" w:color="auto" w:fill="auto"/>
            <w:vAlign w:val="center"/>
          </w:tcPr>
          <w:p w14:paraId="7AD15BA8">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0EB62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12ED8E0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73" w:type="dxa"/>
            <w:shd w:val="clear" w:color="auto" w:fill="auto"/>
            <w:vAlign w:val="center"/>
          </w:tcPr>
          <w:p w14:paraId="1C5A4087">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形态：2U机架式</w:t>
            </w:r>
            <w:r>
              <w:rPr>
                <w:rFonts w:hint="eastAsia" w:ascii="宋体" w:hAnsi="宋体" w:eastAsia="宋体" w:cs="宋体"/>
                <w:color w:val="auto"/>
                <w:sz w:val="21"/>
                <w:szCs w:val="21"/>
                <w:highlight w:val="none"/>
                <w:lang w:eastAsia="zh-Hans"/>
              </w:rPr>
              <w:t>服务器</w:t>
            </w:r>
            <w:r>
              <w:rPr>
                <w:rFonts w:hint="eastAsia" w:ascii="宋体" w:hAnsi="宋体" w:eastAsia="宋体" w:cs="宋体"/>
                <w:color w:val="auto"/>
                <w:sz w:val="21"/>
                <w:szCs w:val="21"/>
                <w:highlight w:val="none"/>
                <w:lang w:eastAsia="zh-CN"/>
              </w:rPr>
              <w:t>；</w:t>
            </w:r>
          </w:p>
        </w:tc>
      </w:tr>
      <w:tr w14:paraId="51178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67B8E26B">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w:t>
            </w:r>
          </w:p>
        </w:tc>
        <w:tc>
          <w:tcPr>
            <w:tcW w:w="7473" w:type="dxa"/>
            <w:shd w:val="clear" w:color="auto" w:fill="auto"/>
            <w:vAlign w:val="center"/>
          </w:tcPr>
          <w:p w14:paraId="717AD262">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CPU：配置≥2 颗 </w:t>
            </w:r>
            <w:r>
              <w:rPr>
                <w:rFonts w:hint="eastAsia" w:ascii="宋体" w:hAnsi="宋体" w:cs="宋体"/>
                <w:b w:val="0"/>
                <w:bCs w:val="0"/>
                <w:color w:val="auto"/>
                <w:sz w:val="21"/>
                <w:szCs w:val="21"/>
                <w:highlight w:val="none"/>
                <w:lang w:val="en-US" w:eastAsia="zh-CN"/>
              </w:rPr>
              <w:t>X86处理器</w:t>
            </w:r>
            <w:r>
              <w:rPr>
                <w:rFonts w:hint="eastAsia" w:ascii="宋体" w:hAnsi="宋体" w:cs="宋体"/>
                <w:b w:val="0"/>
                <w:bCs w:val="0"/>
                <w:color w:val="auto"/>
                <w:sz w:val="21"/>
                <w:szCs w:val="21"/>
                <w:highlight w:val="none"/>
                <w:lang w:eastAsia="zh-CN"/>
              </w:rPr>
              <w:t>；</w:t>
            </w:r>
          </w:p>
          <w:p w14:paraId="27994D57">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b/>
                <w:bCs/>
                <w:szCs w:val="21"/>
                <w:highlight w:val="none"/>
              </w:rPr>
              <w:t>★</w:t>
            </w:r>
            <w:r>
              <w:rPr>
                <w:rFonts w:hint="eastAsia" w:ascii="宋体" w:hAnsi="宋体" w:eastAsia="宋体" w:cs="宋体"/>
                <w:b w:val="0"/>
                <w:bCs w:val="0"/>
                <w:color w:val="auto"/>
                <w:sz w:val="21"/>
                <w:szCs w:val="21"/>
                <w:highlight w:val="none"/>
              </w:rPr>
              <w:t>单颗 CPU 物理核数≥</w:t>
            </w:r>
            <w:r>
              <w:rPr>
                <w:rFonts w:hint="eastAsia" w:ascii="宋体" w:hAnsi="宋体" w:eastAsia="宋体" w:cs="宋体"/>
                <w:b w:val="0"/>
                <w:bCs w:val="0"/>
                <w:color w:val="auto"/>
                <w:sz w:val="21"/>
                <w:szCs w:val="21"/>
                <w:highlight w:val="none"/>
                <w:lang w:val="en-US" w:eastAsia="zh-CN"/>
              </w:rPr>
              <w:t>48</w:t>
            </w:r>
            <w:r>
              <w:rPr>
                <w:rFonts w:hint="eastAsia" w:ascii="宋体" w:hAnsi="宋体" w:eastAsia="宋体" w:cs="宋体"/>
                <w:b w:val="0"/>
                <w:bCs w:val="0"/>
                <w:color w:val="auto"/>
                <w:sz w:val="21"/>
                <w:szCs w:val="21"/>
                <w:highlight w:val="none"/>
              </w:rPr>
              <w:t>核，基准频率≥2.</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GHz</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最大睿频频率</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GHz</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缓存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260MB，TDP</w:t>
            </w:r>
            <w:r>
              <w:rPr>
                <w:rFonts w:hint="eastAsia" w:ascii="宋体" w:hAnsi="宋体" w:eastAsia="宋体" w:cs="宋体"/>
                <w:b w:val="0"/>
                <w:bCs w:val="0"/>
                <w:i w:val="0"/>
                <w:iCs w:val="0"/>
                <w:caps w:val="0"/>
                <w:color w:val="auto"/>
                <w:spacing w:val="0"/>
                <w:sz w:val="21"/>
                <w:szCs w:val="21"/>
                <w:highlight w:val="none"/>
              </w:rPr>
              <w:t>≤</w:t>
            </w:r>
            <w:r>
              <w:rPr>
                <w:rFonts w:hint="eastAsia" w:ascii="宋体" w:hAnsi="宋体" w:eastAsia="宋体" w:cs="宋体"/>
                <w:b w:val="0"/>
                <w:bCs w:val="0"/>
                <w:i w:val="0"/>
                <w:iCs w:val="0"/>
                <w:caps w:val="0"/>
                <w:color w:val="auto"/>
                <w:spacing w:val="0"/>
                <w:sz w:val="21"/>
                <w:szCs w:val="21"/>
                <w:highlight w:val="none"/>
                <w:lang w:val="en-US" w:eastAsia="zh-CN"/>
              </w:rPr>
              <w:t>330W</w:t>
            </w:r>
            <w:r>
              <w:rPr>
                <w:rFonts w:hint="eastAsia" w:ascii="宋体" w:hAnsi="宋体" w:eastAsia="宋体" w:cs="宋体"/>
                <w:b w:val="0"/>
                <w:bCs w:val="0"/>
                <w:color w:val="auto"/>
                <w:sz w:val="21"/>
                <w:szCs w:val="21"/>
                <w:highlight w:val="none"/>
              </w:rPr>
              <w:t>；</w:t>
            </w:r>
            <w:r>
              <w:rPr>
                <w:rFonts w:hint="eastAsia" w:ascii="宋体" w:hAnsi="宋体" w:cs="宋体"/>
                <w:b/>
                <w:bCs/>
                <w:i/>
                <w:iCs/>
                <w:caps w:val="0"/>
                <w:color w:val="auto"/>
                <w:spacing w:val="0"/>
                <w:sz w:val="21"/>
                <w:szCs w:val="21"/>
                <w:highlight w:val="none"/>
                <w:lang w:val="en-US" w:eastAsia="zh-CN"/>
              </w:rPr>
              <w:t>（提供处理器</w:t>
            </w:r>
            <w:r>
              <w:rPr>
                <w:rFonts w:hint="eastAsia" w:ascii="宋体" w:hAnsi="宋体" w:cs="宋体"/>
                <w:b/>
                <w:bCs/>
                <w:i/>
                <w:iCs/>
                <w:color w:val="auto"/>
                <w:sz w:val="21"/>
                <w:szCs w:val="21"/>
                <w:highlight w:val="none"/>
              </w:rPr>
              <w:t>官网</w:t>
            </w:r>
            <w:r>
              <w:rPr>
                <w:rFonts w:hint="eastAsia" w:ascii="宋体" w:hAnsi="宋体" w:cs="宋体"/>
                <w:b/>
                <w:bCs/>
                <w:i/>
                <w:iCs/>
                <w:color w:val="auto"/>
                <w:sz w:val="21"/>
                <w:szCs w:val="21"/>
                <w:highlight w:val="none"/>
                <w:lang w:val="en-US" w:eastAsia="zh-CN"/>
              </w:rPr>
              <w:t>截图</w:t>
            </w:r>
            <w:r>
              <w:rPr>
                <w:rFonts w:hint="eastAsia" w:ascii="宋体" w:hAnsi="宋体" w:cs="宋体"/>
                <w:b/>
                <w:bCs/>
                <w:i/>
                <w:iCs/>
                <w:caps w:val="0"/>
                <w:color w:val="auto"/>
                <w:spacing w:val="0"/>
                <w:sz w:val="21"/>
                <w:szCs w:val="21"/>
                <w:highlight w:val="none"/>
                <w:lang w:val="en-US" w:eastAsia="zh-CN"/>
              </w:rPr>
              <w:t>）</w:t>
            </w:r>
          </w:p>
        </w:tc>
      </w:tr>
      <w:tr w14:paraId="791FD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2DAB08E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73" w:type="dxa"/>
            <w:shd w:val="clear" w:color="auto" w:fill="auto"/>
            <w:vAlign w:val="center"/>
          </w:tcPr>
          <w:p w14:paraId="4927567D">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内存：满配</w:t>
            </w:r>
            <w:r>
              <w:rPr>
                <w:rFonts w:hint="eastAsia" w:ascii="宋体" w:hAnsi="宋体" w:eastAsia="宋体" w:cs="宋体"/>
                <w:color w:val="auto"/>
                <w:sz w:val="21"/>
                <w:szCs w:val="21"/>
                <w:highlight w:val="none"/>
                <w:lang w:eastAsia="zh-Hans"/>
              </w:rPr>
              <w:t>处理器</w:t>
            </w:r>
            <w:r>
              <w:rPr>
                <w:rFonts w:hint="eastAsia" w:ascii="宋体" w:hAnsi="宋体" w:eastAsia="宋体" w:cs="宋体"/>
                <w:color w:val="auto"/>
                <w:sz w:val="21"/>
                <w:szCs w:val="21"/>
                <w:highlight w:val="none"/>
              </w:rPr>
              <w:t>内存通道，每</w:t>
            </w:r>
            <w:r>
              <w:rPr>
                <w:rFonts w:hint="eastAsia" w:ascii="宋体" w:hAnsi="宋体" w:eastAsia="宋体" w:cs="宋体"/>
                <w:color w:val="auto"/>
                <w:sz w:val="21"/>
                <w:szCs w:val="21"/>
                <w:highlight w:val="none"/>
                <w:lang w:eastAsia="zh-Hans"/>
              </w:rPr>
              <w:t>物理</w:t>
            </w:r>
            <w:r>
              <w:rPr>
                <w:rFonts w:hint="eastAsia" w:ascii="宋体" w:hAnsi="宋体" w:eastAsia="宋体" w:cs="宋体"/>
                <w:color w:val="auto"/>
                <w:sz w:val="21"/>
                <w:szCs w:val="21"/>
                <w:highlight w:val="none"/>
              </w:rPr>
              <w:t>核心配置≥</w:t>
            </w:r>
            <w:r>
              <w:rPr>
                <w:rFonts w:hint="eastAsia" w:ascii="宋体" w:hAnsi="宋体" w:eastAsia="宋体" w:cs="宋体"/>
                <w:color w:val="auto"/>
                <w:sz w:val="21"/>
                <w:szCs w:val="21"/>
                <w:highlight w:val="none"/>
                <w:lang w:val="en-US" w:eastAsia="zh-CN"/>
              </w:rPr>
              <w:t>5.33</w:t>
            </w:r>
            <w:r>
              <w:rPr>
                <w:rFonts w:hint="eastAsia" w:ascii="宋体" w:hAnsi="宋体" w:eastAsia="宋体" w:cs="宋体"/>
                <w:color w:val="auto"/>
                <w:sz w:val="21"/>
                <w:szCs w:val="21"/>
                <w:highlight w:val="none"/>
              </w:rPr>
              <w:t>GB</w:t>
            </w:r>
            <w:r>
              <w:rPr>
                <w:rFonts w:hint="eastAsia" w:ascii="宋体" w:hAnsi="宋体" w:eastAsia="宋体" w:cs="宋体"/>
                <w:color w:val="auto"/>
                <w:sz w:val="21"/>
                <w:szCs w:val="21"/>
                <w:highlight w:val="none"/>
                <w:lang w:val="en-US" w:eastAsia="zh-CN"/>
              </w:rPr>
              <w:t xml:space="preserve"> DDR5 </w:t>
            </w:r>
            <w:r>
              <w:rPr>
                <w:rFonts w:hint="default" w:ascii="宋体" w:hAnsi="宋体" w:cs="宋体"/>
                <w:color w:val="auto"/>
                <w:sz w:val="21"/>
                <w:szCs w:val="21"/>
                <w:highlight w:val="none"/>
                <w:lang w:val="en-US" w:eastAsia="zh-CN"/>
              </w:rPr>
              <w:t>5600MT/s</w:t>
            </w:r>
            <w:r>
              <w:rPr>
                <w:rFonts w:hint="eastAsia" w:ascii="宋体" w:hAnsi="宋体" w:eastAsia="宋体" w:cs="宋体"/>
                <w:color w:val="auto"/>
                <w:sz w:val="21"/>
                <w:szCs w:val="21"/>
                <w:highlight w:val="none"/>
              </w:rPr>
              <w:t>内存空间</w:t>
            </w:r>
            <w:r>
              <w:rPr>
                <w:rFonts w:hint="eastAsia" w:ascii="宋体" w:hAnsi="宋体" w:cs="宋体"/>
                <w:color w:val="auto"/>
                <w:sz w:val="21"/>
                <w:szCs w:val="21"/>
                <w:highlight w:val="none"/>
                <w:lang w:eastAsia="zh-CN"/>
              </w:rPr>
              <w:t>；</w:t>
            </w:r>
          </w:p>
        </w:tc>
      </w:tr>
      <w:tr w14:paraId="0FF76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16" w:type="dxa"/>
            <w:shd w:val="clear" w:color="auto" w:fill="auto"/>
            <w:vAlign w:val="center"/>
          </w:tcPr>
          <w:p w14:paraId="57F6F316">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.4</w:t>
            </w:r>
          </w:p>
        </w:tc>
        <w:tc>
          <w:tcPr>
            <w:tcW w:w="7473" w:type="dxa"/>
            <w:shd w:val="clear" w:color="auto" w:fill="auto"/>
            <w:vAlign w:val="center"/>
          </w:tcPr>
          <w:p w14:paraId="00C16050">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硬盘：配置≥</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块960G SATA SSD</w:t>
            </w:r>
            <w:r>
              <w:rPr>
                <w:rFonts w:hint="eastAsia" w:ascii="宋体" w:hAnsi="宋体" w:cs="宋体"/>
                <w:color w:val="auto"/>
                <w:sz w:val="21"/>
                <w:szCs w:val="21"/>
                <w:highlight w:val="none"/>
                <w:lang w:eastAsia="zh-CN"/>
              </w:rPr>
              <w:t>；</w:t>
            </w:r>
          </w:p>
        </w:tc>
      </w:tr>
      <w:tr w14:paraId="647B6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3D8463AA">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1.5</w:t>
            </w:r>
          </w:p>
        </w:tc>
        <w:tc>
          <w:tcPr>
            <w:tcW w:w="7473" w:type="dxa"/>
            <w:shd w:val="clear" w:color="auto" w:fill="auto"/>
            <w:vAlign w:val="center"/>
          </w:tcPr>
          <w:p w14:paraId="1718BC4B">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Hans"/>
              </w:rPr>
              <w:t>以太</w:t>
            </w:r>
            <w:r>
              <w:rPr>
                <w:rFonts w:hint="eastAsia" w:ascii="宋体" w:hAnsi="宋体" w:eastAsia="宋体" w:cs="宋体"/>
                <w:color w:val="auto"/>
                <w:sz w:val="21"/>
                <w:szCs w:val="21"/>
                <w:highlight w:val="none"/>
              </w:rPr>
              <w:t>网络：配置≥2个千兆网口，配置≥2个万兆网口（含模块）</w:t>
            </w:r>
            <w:r>
              <w:rPr>
                <w:rFonts w:hint="eastAsia" w:ascii="宋体" w:hAnsi="宋体" w:eastAsia="宋体" w:cs="宋体"/>
                <w:color w:val="auto"/>
                <w:sz w:val="21"/>
                <w:szCs w:val="21"/>
                <w:highlight w:val="none"/>
                <w:lang w:eastAsia="zh-CN"/>
              </w:rPr>
              <w:t>；</w:t>
            </w:r>
          </w:p>
        </w:tc>
      </w:tr>
      <w:tr w14:paraId="32A81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02A3A67F">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73" w:type="dxa"/>
            <w:shd w:val="clear" w:color="auto" w:fill="auto"/>
            <w:vAlign w:val="center"/>
          </w:tcPr>
          <w:p w14:paraId="461E4B4D">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IB网络：配置≥1个200G IB 网络端口，系统实际传输速率≥200Gb/s</w:t>
            </w:r>
            <w:r>
              <w:rPr>
                <w:rFonts w:hint="eastAsia" w:ascii="宋体" w:hAnsi="宋体" w:eastAsia="宋体" w:cs="宋体"/>
                <w:color w:val="auto"/>
                <w:sz w:val="21"/>
                <w:szCs w:val="21"/>
                <w:highlight w:val="none"/>
                <w:lang w:eastAsia="zh-CN"/>
              </w:rPr>
              <w:t>；</w:t>
            </w:r>
          </w:p>
        </w:tc>
      </w:tr>
      <w:tr w14:paraId="63E12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36B0222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73" w:type="dxa"/>
            <w:shd w:val="clear" w:color="auto" w:fill="auto"/>
            <w:vAlign w:val="center"/>
          </w:tcPr>
          <w:p w14:paraId="68FB7099">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rPr>
              <w:t>管理：配置≥1个独立的远程管理控制端口，支持远程监控图形界面、支持H5虚拟键盘、支持VNC功能；支持监控服务器内部主要部件的状态；支持带外获取主板、背板等板卡信息；支持RAID卡配置带外导入导出功能</w:t>
            </w:r>
            <w:r>
              <w:rPr>
                <w:rFonts w:hint="eastAsia" w:ascii="宋体" w:hAnsi="宋体" w:eastAsia="宋体" w:cs="宋体"/>
                <w:b w:val="0"/>
                <w:bCs w:val="0"/>
                <w:color w:val="auto"/>
                <w:sz w:val="21"/>
                <w:szCs w:val="21"/>
                <w:highlight w:val="none"/>
                <w:lang w:eastAsia="zh-CN"/>
              </w:rPr>
              <w:t>；</w:t>
            </w:r>
          </w:p>
        </w:tc>
      </w:tr>
      <w:tr w14:paraId="48AC5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343284AB">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73" w:type="dxa"/>
            <w:shd w:val="clear" w:color="auto" w:fill="auto"/>
            <w:vAlign w:val="center"/>
          </w:tcPr>
          <w:p w14:paraId="7B969929">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电源：满配冗余电源，支持n+n冗余</w:t>
            </w:r>
            <w:r>
              <w:rPr>
                <w:rFonts w:hint="eastAsia" w:ascii="宋体" w:hAnsi="宋体" w:eastAsia="宋体" w:cs="宋体"/>
                <w:color w:val="auto"/>
                <w:sz w:val="21"/>
                <w:szCs w:val="21"/>
                <w:highlight w:val="none"/>
                <w:lang w:eastAsia="zh-CN"/>
              </w:rPr>
              <w:t>；</w:t>
            </w:r>
          </w:p>
        </w:tc>
      </w:tr>
    </w:tbl>
    <w:p w14:paraId="5501443F">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6F87C1B5">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大内存计算节点</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3"/>
        <w:gridCol w:w="7456"/>
      </w:tblGrid>
      <w:tr w14:paraId="06F6B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833" w:type="dxa"/>
            <w:shd w:val="clear" w:color="auto" w:fill="auto"/>
            <w:vAlign w:val="center"/>
          </w:tcPr>
          <w:p w14:paraId="19BF9877">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56" w:type="dxa"/>
            <w:shd w:val="clear" w:color="auto" w:fill="auto"/>
            <w:vAlign w:val="center"/>
          </w:tcPr>
          <w:p w14:paraId="2CA36ACD">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14ACC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33" w:type="dxa"/>
            <w:shd w:val="clear" w:color="auto" w:fill="auto"/>
            <w:vAlign w:val="center"/>
          </w:tcPr>
          <w:p w14:paraId="771D06E5">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56" w:type="dxa"/>
            <w:shd w:val="clear" w:color="auto" w:fill="auto"/>
            <w:vAlign w:val="center"/>
          </w:tcPr>
          <w:p w14:paraId="35795B58">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形态：</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U机架式</w:t>
            </w:r>
            <w:r>
              <w:rPr>
                <w:rFonts w:hint="eastAsia" w:ascii="宋体" w:hAnsi="宋体" w:eastAsia="宋体" w:cs="宋体"/>
                <w:color w:val="auto"/>
                <w:sz w:val="21"/>
                <w:szCs w:val="21"/>
                <w:highlight w:val="none"/>
                <w:lang w:eastAsia="zh-Hans"/>
              </w:rPr>
              <w:t>服务器</w:t>
            </w:r>
            <w:r>
              <w:rPr>
                <w:rFonts w:hint="eastAsia" w:ascii="宋体" w:hAnsi="宋体" w:eastAsia="宋体" w:cs="宋体"/>
                <w:color w:val="auto"/>
                <w:sz w:val="21"/>
                <w:szCs w:val="21"/>
                <w:highlight w:val="none"/>
                <w:lang w:eastAsia="zh-CN"/>
              </w:rPr>
              <w:t>；</w:t>
            </w:r>
          </w:p>
        </w:tc>
      </w:tr>
      <w:tr w14:paraId="25AA6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33" w:type="dxa"/>
            <w:shd w:val="clear" w:color="auto" w:fill="auto"/>
            <w:vAlign w:val="center"/>
          </w:tcPr>
          <w:p w14:paraId="5EE2B483">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w:t>
            </w:r>
          </w:p>
        </w:tc>
        <w:tc>
          <w:tcPr>
            <w:tcW w:w="7456" w:type="dxa"/>
            <w:shd w:val="clear" w:color="auto" w:fill="auto"/>
            <w:vAlign w:val="center"/>
          </w:tcPr>
          <w:p w14:paraId="4C17F173">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CPU：配置≥4 颗 </w:t>
            </w:r>
            <w:r>
              <w:rPr>
                <w:rFonts w:hint="default" w:ascii="宋体" w:hAnsi="宋体" w:eastAsia="宋体" w:cs="宋体"/>
                <w:b w:val="0"/>
                <w:bCs w:val="0"/>
                <w:color w:val="auto"/>
                <w:sz w:val="21"/>
                <w:szCs w:val="21"/>
                <w:highlight w:val="none"/>
                <w:lang w:val="en-US"/>
              </w:rPr>
              <w:t>X 86</w:t>
            </w:r>
            <w:r>
              <w:rPr>
                <w:rFonts w:hint="eastAsia" w:ascii="宋体" w:hAnsi="宋体" w:eastAsia="宋体" w:cs="宋体"/>
                <w:b w:val="0"/>
                <w:bCs w:val="0"/>
                <w:color w:val="auto"/>
                <w:sz w:val="21"/>
                <w:szCs w:val="21"/>
                <w:highlight w:val="none"/>
                <w:lang w:val="en-US" w:eastAsia="zh-CN"/>
              </w:rPr>
              <w:t>处理器</w:t>
            </w:r>
            <w:r>
              <w:rPr>
                <w:rFonts w:hint="eastAsia" w:ascii="宋体" w:hAnsi="宋体" w:eastAsia="宋体" w:cs="宋体"/>
                <w:b w:val="0"/>
                <w:bCs w:val="0"/>
                <w:color w:val="auto"/>
                <w:sz w:val="21"/>
                <w:szCs w:val="21"/>
                <w:highlight w:val="none"/>
                <w:lang w:eastAsia="zh-CN"/>
              </w:rPr>
              <w:t>；</w:t>
            </w:r>
          </w:p>
          <w:p w14:paraId="76016AB6">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b w:val="0"/>
                <w:bCs w:val="0"/>
                <w:color w:val="auto"/>
                <w:sz w:val="21"/>
                <w:szCs w:val="21"/>
                <w:highlight w:val="none"/>
              </w:rPr>
              <w:t>单颗 CPU 物理核数≥32核，基准频率≥2.4GHz</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最大睿频频率</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4</w:t>
            </w:r>
            <w:r>
              <w:rPr>
                <w:rFonts w:hint="default"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GHz</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缓存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60MB，TDP</w:t>
            </w:r>
            <w:r>
              <w:rPr>
                <w:rFonts w:hint="eastAsia" w:ascii="宋体" w:hAnsi="宋体" w:eastAsia="宋体" w:cs="宋体"/>
                <w:b w:val="0"/>
                <w:bCs w:val="0"/>
                <w:i w:val="0"/>
                <w:iCs w:val="0"/>
                <w:caps w:val="0"/>
                <w:color w:val="auto"/>
                <w:spacing w:val="0"/>
                <w:sz w:val="21"/>
                <w:szCs w:val="21"/>
                <w:highlight w:val="none"/>
              </w:rPr>
              <w:t>≤</w:t>
            </w:r>
            <w:r>
              <w:rPr>
                <w:rFonts w:hint="default" w:ascii="宋体" w:hAnsi="宋体" w:eastAsia="宋体" w:cs="宋体"/>
                <w:b w:val="0"/>
                <w:bCs w:val="0"/>
                <w:i w:val="0"/>
                <w:iCs w:val="0"/>
                <w:caps w:val="0"/>
                <w:color w:val="auto"/>
                <w:spacing w:val="0"/>
                <w:sz w:val="21"/>
                <w:szCs w:val="21"/>
                <w:highlight w:val="none"/>
                <w:lang w:val="en-US" w:eastAsia="zh-CN"/>
              </w:rPr>
              <w:t>250</w:t>
            </w:r>
            <w:r>
              <w:rPr>
                <w:rFonts w:hint="eastAsia" w:ascii="宋体" w:hAnsi="宋体" w:eastAsia="宋体" w:cs="宋体"/>
                <w:b w:val="0"/>
                <w:bCs w:val="0"/>
                <w:i w:val="0"/>
                <w:iCs w:val="0"/>
                <w:caps w:val="0"/>
                <w:color w:val="auto"/>
                <w:spacing w:val="0"/>
                <w:sz w:val="21"/>
                <w:szCs w:val="21"/>
                <w:highlight w:val="none"/>
                <w:lang w:val="en-US" w:eastAsia="zh-CN"/>
              </w:rPr>
              <w:t>W</w:t>
            </w:r>
            <w:r>
              <w:rPr>
                <w:rFonts w:hint="eastAsia" w:ascii="宋体" w:hAnsi="宋体" w:eastAsia="宋体" w:cs="宋体"/>
                <w:b w:val="0"/>
                <w:bCs w:val="0"/>
                <w:color w:val="auto"/>
                <w:sz w:val="21"/>
                <w:szCs w:val="21"/>
                <w:highlight w:val="none"/>
              </w:rPr>
              <w:t>；</w:t>
            </w:r>
            <w:r>
              <w:rPr>
                <w:rFonts w:hint="eastAsia" w:ascii="宋体" w:hAnsi="宋体" w:cs="宋体"/>
                <w:b/>
                <w:bCs/>
                <w:i/>
                <w:iCs/>
                <w:caps w:val="0"/>
                <w:color w:val="auto"/>
                <w:spacing w:val="0"/>
                <w:sz w:val="21"/>
                <w:szCs w:val="21"/>
                <w:highlight w:val="none"/>
                <w:lang w:val="en-US" w:eastAsia="zh-CN"/>
              </w:rPr>
              <w:t>（提供</w:t>
            </w:r>
            <w:r>
              <w:rPr>
                <w:rFonts w:hint="eastAsia" w:ascii="宋体" w:hAnsi="宋体" w:cs="宋体"/>
                <w:b/>
                <w:bCs/>
                <w:i/>
                <w:iCs/>
                <w:color w:val="auto"/>
                <w:sz w:val="21"/>
                <w:szCs w:val="21"/>
                <w:highlight w:val="none"/>
              </w:rPr>
              <w:t>官网</w:t>
            </w:r>
            <w:r>
              <w:rPr>
                <w:rFonts w:hint="eastAsia" w:ascii="宋体" w:hAnsi="宋体" w:cs="宋体"/>
                <w:b/>
                <w:bCs/>
                <w:i/>
                <w:iCs/>
                <w:color w:val="auto"/>
                <w:sz w:val="21"/>
                <w:szCs w:val="21"/>
                <w:highlight w:val="none"/>
                <w:lang w:val="en-US" w:eastAsia="zh-CN"/>
              </w:rPr>
              <w:t>截图，如未提供按“</w:t>
            </w:r>
            <w:r>
              <w:rPr>
                <w:rFonts w:hint="eastAsia" w:ascii="宋体" w:hAnsi="宋体" w:eastAsia="宋体" w:cs="宋体"/>
                <w:i/>
                <w:iCs/>
                <w:color w:val="auto"/>
                <w:sz w:val="21"/>
                <w:szCs w:val="21"/>
                <w:highlight w:val="none"/>
              </w:rPr>
              <w:t>▲</w:t>
            </w:r>
            <w:r>
              <w:rPr>
                <w:rFonts w:hint="eastAsia" w:ascii="宋体" w:hAnsi="宋体" w:cs="宋体"/>
                <w:b/>
                <w:bCs/>
                <w:i/>
                <w:iCs/>
                <w:color w:val="auto"/>
                <w:sz w:val="21"/>
                <w:szCs w:val="21"/>
                <w:highlight w:val="none"/>
                <w:lang w:val="en-US" w:eastAsia="zh-CN"/>
              </w:rPr>
              <w:t>”负偏离扣分</w:t>
            </w:r>
            <w:r>
              <w:rPr>
                <w:rFonts w:hint="eastAsia" w:ascii="宋体" w:hAnsi="宋体" w:cs="宋体"/>
                <w:b/>
                <w:bCs/>
                <w:i/>
                <w:iCs/>
                <w:caps w:val="0"/>
                <w:color w:val="auto"/>
                <w:spacing w:val="0"/>
                <w:sz w:val="21"/>
                <w:szCs w:val="21"/>
                <w:highlight w:val="none"/>
                <w:lang w:val="en-US" w:eastAsia="zh-CN"/>
              </w:rPr>
              <w:t>）</w:t>
            </w:r>
          </w:p>
        </w:tc>
      </w:tr>
      <w:tr w14:paraId="73857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33" w:type="dxa"/>
            <w:shd w:val="clear" w:color="auto" w:fill="auto"/>
            <w:vAlign w:val="center"/>
          </w:tcPr>
          <w:p w14:paraId="0E254FD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56" w:type="dxa"/>
            <w:shd w:val="clear" w:color="auto" w:fill="auto"/>
            <w:vAlign w:val="center"/>
          </w:tcPr>
          <w:p w14:paraId="6280F69C">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内存：满配</w:t>
            </w:r>
            <w:r>
              <w:rPr>
                <w:rFonts w:hint="eastAsia" w:ascii="宋体" w:hAnsi="宋体" w:eastAsia="宋体" w:cs="宋体"/>
                <w:color w:val="auto"/>
                <w:sz w:val="21"/>
                <w:szCs w:val="21"/>
                <w:highlight w:val="none"/>
                <w:lang w:eastAsia="zh-Hans"/>
              </w:rPr>
              <w:t>处理器</w:t>
            </w:r>
            <w:r>
              <w:rPr>
                <w:rFonts w:hint="eastAsia" w:ascii="宋体" w:hAnsi="宋体" w:eastAsia="宋体" w:cs="宋体"/>
                <w:color w:val="auto"/>
                <w:sz w:val="21"/>
                <w:szCs w:val="21"/>
                <w:highlight w:val="none"/>
              </w:rPr>
              <w:t>内存通道，每</w:t>
            </w:r>
            <w:r>
              <w:rPr>
                <w:rFonts w:hint="eastAsia" w:ascii="宋体" w:hAnsi="宋体" w:eastAsia="宋体" w:cs="宋体"/>
                <w:color w:val="auto"/>
                <w:sz w:val="21"/>
                <w:szCs w:val="21"/>
                <w:highlight w:val="none"/>
                <w:lang w:eastAsia="zh-Hans"/>
              </w:rPr>
              <w:t>物理</w:t>
            </w:r>
            <w:r>
              <w:rPr>
                <w:rFonts w:hint="eastAsia" w:ascii="宋体" w:hAnsi="宋体" w:eastAsia="宋体" w:cs="宋体"/>
                <w:color w:val="auto"/>
                <w:sz w:val="21"/>
                <w:szCs w:val="21"/>
                <w:highlight w:val="none"/>
              </w:rPr>
              <w:t>核心配置≥32GB</w:t>
            </w:r>
            <w:r>
              <w:rPr>
                <w:rFonts w:hint="eastAsia" w:ascii="宋体" w:hAnsi="宋体" w:eastAsia="宋体" w:cs="宋体"/>
                <w:color w:val="auto"/>
                <w:sz w:val="21"/>
                <w:szCs w:val="21"/>
                <w:highlight w:val="none"/>
                <w:lang w:val="en-US" w:eastAsia="zh-CN"/>
              </w:rPr>
              <w:t xml:space="preserve"> DDR5 </w:t>
            </w:r>
            <w:r>
              <w:rPr>
                <w:rFonts w:hint="default" w:ascii="宋体" w:hAnsi="宋体" w:cs="宋体"/>
                <w:color w:val="auto"/>
                <w:sz w:val="21"/>
                <w:szCs w:val="21"/>
                <w:highlight w:val="none"/>
                <w:lang w:val="en-US" w:eastAsia="zh-CN"/>
              </w:rPr>
              <w:t>5600MT/s</w:t>
            </w:r>
            <w:r>
              <w:rPr>
                <w:rFonts w:hint="eastAsia" w:ascii="宋体" w:hAnsi="宋体" w:eastAsia="宋体" w:cs="宋体"/>
                <w:color w:val="auto"/>
                <w:sz w:val="21"/>
                <w:szCs w:val="21"/>
                <w:highlight w:val="none"/>
              </w:rPr>
              <w:t>内存空间</w:t>
            </w:r>
            <w:r>
              <w:rPr>
                <w:rFonts w:hint="eastAsia" w:ascii="宋体" w:hAnsi="宋体" w:eastAsia="宋体" w:cs="宋体"/>
                <w:color w:val="auto"/>
                <w:sz w:val="21"/>
                <w:szCs w:val="21"/>
                <w:highlight w:val="none"/>
                <w:lang w:eastAsia="zh-CN"/>
              </w:rPr>
              <w:t>；</w:t>
            </w:r>
          </w:p>
        </w:tc>
      </w:tr>
      <w:tr w14:paraId="1B6C1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3" w:type="dxa"/>
            <w:shd w:val="clear" w:color="auto" w:fill="auto"/>
            <w:vAlign w:val="center"/>
          </w:tcPr>
          <w:p w14:paraId="72DFE616">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.4</w:t>
            </w:r>
          </w:p>
        </w:tc>
        <w:tc>
          <w:tcPr>
            <w:tcW w:w="7456" w:type="dxa"/>
            <w:shd w:val="clear" w:color="auto" w:fill="auto"/>
            <w:vAlign w:val="center"/>
          </w:tcPr>
          <w:p w14:paraId="43387170">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硬盘：配置≥</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块960G SATA SSD</w:t>
            </w:r>
            <w:r>
              <w:rPr>
                <w:rFonts w:hint="eastAsia" w:ascii="宋体" w:hAnsi="宋体" w:cs="宋体"/>
                <w:color w:val="auto"/>
                <w:sz w:val="21"/>
                <w:szCs w:val="21"/>
                <w:highlight w:val="none"/>
                <w:lang w:eastAsia="zh-CN"/>
              </w:rPr>
              <w:t>；</w:t>
            </w:r>
          </w:p>
        </w:tc>
      </w:tr>
      <w:tr w14:paraId="21E63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33" w:type="dxa"/>
            <w:shd w:val="clear" w:color="auto" w:fill="auto"/>
            <w:vAlign w:val="center"/>
          </w:tcPr>
          <w:p w14:paraId="08D46D9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1.5</w:t>
            </w:r>
          </w:p>
        </w:tc>
        <w:tc>
          <w:tcPr>
            <w:tcW w:w="7456" w:type="dxa"/>
            <w:shd w:val="clear" w:color="auto" w:fill="auto"/>
            <w:vAlign w:val="center"/>
          </w:tcPr>
          <w:p w14:paraId="5F5B50AB">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RAID：配置≥1块4G RAID卡，支持RAID 0/1/5/6/10/50/60</w:t>
            </w:r>
            <w:r>
              <w:rPr>
                <w:rFonts w:hint="eastAsia" w:ascii="宋体" w:hAnsi="宋体" w:eastAsia="宋体" w:cs="宋体"/>
                <w:color w:val="auto"/>
                <w:sz w:val="21"/>
                <w:szCs w:val="21"/>
                <w:highlight w:val="none"/>
                <w:lang w:eastAsia="zh-CN"/>
              </w:rPr>
              <w:t>；</w:t>
            </w:r>
          </w:p>
        </w:tc>
      </w:tr>
      <w:tr w14:paraId="139BD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33" w:type="dxa"/>
            <w:shd w:val="clear" w:color="auto" w:fill="auto"/>
            <w:vAlign w:val="center"/>
          </w:tcPr>
          <w:p w14:paraId="5672182B">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56" w:type="dxa"/>
            <w:shd w:val="clear" w:color="auto" w:fill="auto"/>
            <w:vAlign w:val="center"/>
          </w:tcPr>
          <w:p w14:paraId="00175423">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Hans"/>
              </w:rPr>
              <w:t>以太</w:t>
            </w:r>
            <w:r>
              <w:rPr>
                <w:rFonts w:hint="eastAsia" w:ascii="宋体" w:hAnsi="宋体" w:eastAsia="宋体" w:cs="宋体"/>
                <w:color w:val="auto"/>
                <w:sz w:val="21"/>
                <w:szCs w:val="21"/>
                <w:highlight w:val="none"/>
              </w:rPr>
              <w:t>网络：配置≥2个千兆网口，配置≥2个万兆网口（含模块）</w:t>
            </w:r>
            <w:r>
              <w:rPr>
                <w:rFonts w:hint="eastAsia" w:ascii="宋体" w:hAnsi="宋体" w:eastAsia="宋体" w:cs="宋体"/>
                <w:color w:val="auto"/>
                <w:sz w:val="21"/>
                <w:szCs w:val="21"/>
                <w:highlight w:val="none"/>
                <w:lang w:eastAsia="zh-CN"/>
              </w:rPr>
              <w:t>；</w:t>
            </w:r>
          </w:p>
        </w:tc>
      </w:tr>
      <w:tr w14:paraId="7F5B6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833" w:type="dxa"/>
            <w:shd w:val="clear" w:color="auto" w:fill="auto"/>
            <w:vAlign w:val="center"/>
          </w:tcPr>
          <w:p w14:paraId="5365871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56" w:type="dxa"/>
            <w:shd w:val="clear" w:color="auto" w:fill="auto"/>
            <w:vAlign w:val="center"/>
          </w:tcPr>
          <w:p w14:paraId="5EC92B10">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IB网络：配置≥1个200G IB 网络端口，系统实际传输速率≥200Gb/s</w:t>
            </w:r>
            <w:r>
              <w:rPr>
                <w:rFonts w:hint="eastAsia" w:ascii="宋体" w:hAnsi="宋体" w:eastAsia="宋体" w:cs="宋体"/>
                <w:color w:val="auto"/>
                <w:sz w:val="21"/>
                <w:szCs w:val="21"/>
                <w:highlight w:val="none"/>
                <w:lang w:eastAsia="zh-CN"/>
              </w:rPr>
              <w:t>；</w:t>
            </w:r>
          </w:p>
        </w:tc>
      </w:tr>
      <w:tr w14:paraId="61D66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33" w:type="dxa"/>
            <w:shd w:val="clear" w:color="auto" w:fill="auto"/>
            <w:vAlign w:val="center"/>
          </w:tcPr>
          <w:p w14:paraId="2BF04F90">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56" w:type="dxa"/>
            <w:shd w:val="clear" w:color="auto" w:fill="auto"/>
            <w:vAlign w:val="center"/>
          </w:tcPr>
          <w:p w14:paraId="3B915E26">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rPr>
              <w:t>管理：配置≥1个独立的远程管理控制端口，支持远程监控图形界面、支持H5虚拟键盘、支持VNC功能；支持监控服务器内部主要部件的状态；支持带外获取主板、背板等板卡信息；支持RAID卡配置带外导入导出功能</w:t>
            </w:r>
            <w:r>
              <w:rPr>
                <w:rFonts w:hint="eastAsia" w:ascii="宋体" w:hAnsi="宋体" w:eastAsia="宋体" w:cs="宋体"/>
                <w:b w:val="0"/>
                <w:bCs w:val="0"/>
                <w:color w:val="auto"/>
                <w:sz w:val="21"/>
                <w:szCs w:val="21"/>
                <w:highlight w:val="none"/>
                <w:lang w:eastAsia="zh-CN"/>
              </w:rPr>
              <w:t>；</w:t>
            </w:r>
          </w:p>
        </w:tc>
      </w:tr>
      <w:tr w14:paraId="7C550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33" w:type="dxa"/>
            <w:shd w:val="clear" w:color="auto" w:fill="auto"/>
            <w:vAlign w:val="center"/>
          </w:tcPr>
          <w:p w14:paraId="1789C736">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w:t>
            </w:r>
          </w:p>
        </w:tc>
        <w:tc>
          <w:tcPr>
            <w:tcW w:w="7456" w:type="dxa"/>
            <w:shd w:val="clear" w:color="auto" w:fill="auto"/>
            <w:vAlign w:val="center"/>
          </w:tcPr>
          <w:p w14:paraId="55F8B7A6">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电源：满配冗余电源，支持n+n冗余</w:t>
            </w:r>
            <w:r>
              <w:rPr>
                <w:rFonts w:hint="eastAsia" w:ascii="宋体" w:hAnsi="宋体" w:eastAsia="宋体" w:cs="宋体"/>
                <w:color w:val="auto"/>
                <w:sz w:val="21"/>
                <w:szCs w:val="21"/>
                <w:highlight w:val="none"/>
                <w:lang w:eastAsia="zh-CN"/>
              </w:rPr>
              <w:t>；</w:t>
            </w:r>
          </w:p>
        </w:tc>
      </w:tr>
    </w:tbl>
    <w:p w14:paraId="7A746157">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21A233A1">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rPr>
        <w:t>专用节点</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473"/>
      </w:tblGrid>
      <w:tr w14:paraId="52968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716F6FE2">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73" w:type="dxa"/>
            <w:shd w:val="clear" w:color="auto" w:fill="auto"/>
            <w:vAlign w:val="center"/>
          </w:tcPr>
          <w:p w14:paraId="2AC74F5A">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53133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679B9E1A">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73" w:type="dxa"/>
            <w:shd w:val="clear" w:color="auto" w:fill="auto"/>
            <w:vAlign w:val="center"/>
          </w:tcPr>
          <w:p w14:paraId="1C291E11">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形态：</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U机架式</w:t>
            </w:r>
            <w:r>
              <w:rPr>
                <w:rFonts w:hint="eastAsia" w:ascii="宋体" w:hAnsi="宋体" w:eastAsia="宋体" w:cs="宋体"/>
                <w:color w:val="auto"/>
                <w:sz w:val="21"/>
                <w:szCs w:val="21"/>
                <w:highlight w:val="none"/>
                <w:lang w:eastAsia="zh-Hans"/>
              </w:rPr>
              <w:t>服务器</w:t>
            </w:r>
            <w:r>
              <w:rPr>
                <w:rFonts w:hint="eastAsia" w:ascii="宋体" w:hAnsi="宋体" w:eastAsia="宋体" w:cs="宋体"/>
                <w:color w:val="auto"/>
                <w:sz w:val="21"/>
                <w:szCs w:val="21"/>
                <w:highlight w:val="none"/>
                <w:lang w:eastAsia="zh-CN"/>
              </w:rPr>
              <w:t>；</w:t>
            </w:r>
          </w:p>
        </w:tc>
      </w:tr>
      <w:tr w14:paraId="3279D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704BB64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w:t>
            </w:r>
          </w:p>
        </w:tc>
        <w:tc>
          <w:tcPr>
            <w:tcW w:w="7473" w:type="dxa"/>
            <w:shd w:val="clear" w:color="auto" w:fill="auto"/>
            <w:vAlign w:val="center"/>
          </w:tcPr>
          <w:p w14:paraId="6E262B21">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CPU：配置≥2 颗 </w:t>
            </w:r>
            <w:r>
              <w:rPr>
                <w:rFonts w:hint="eastAsia" w:ascii="宋体" w:hAnsi="宋体" w:eastAsia="宋体" w:cs="宋体"/>
                <w:b w:val="0"/>
                <w:bCs w:val="0"/>
                <w:color w:val="auto"/>
                <w:sz w:val="21"/>
                <w:szCs w:val="21"/>
                <w:highlight w:val="none"/>
                <w:lang w:val="en-US" w:eastAsia="zh-CN"/>
              </w:rPr>
              <w:t>X86</w:t>
            </w:r>
            <w:r>
              <w:rPr>
                <w:rFonts w:hint="eastAsia" w:ascii="宋体" w:hAnsi="宋体" w:eastAsia="宋体" w:cs="宋体"/>
                <w:b w:val="0"/>
                <w:bCs w:val="0"/>
                <w:color w:val="auto"/>
                <w:sz w:val="21"/>
                <w:szCs w:val="21"/>
                <w:highlight w:val="none"/>
              </w:rPr>
              <w:t>处理器</w:t>
            </w:r>
            <w:r>
              <w:rPr>
                <w:rFonts w:hint="eastAsia" w:ascii="宋体" w:hAnsi="宋体" w:eastAsia="宋体" w:cs="宋体"/>
                <w:b w:val="0"/>
                <w:bCs w:val="0"/>
                <w:color w:val="auto"/>
                <w:sz w:val="21"/>
                <w:szCs w:val="21"/>
                <w:highlight w:val="none"/>
                <w:lang w:eastAsia="zh-CN"/>
              </w:rPr>
              <w:t>；</w:t>
            </w:r>
          </w:p>
          <w:p w14:paraId="482BB79B">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w:t>
            </w:r>
            <w:r>
              <w:rPr>
                <w:rFonts w:hint="eastAsia" w:ascii="宋体" w:hAnsi="宋体" w:eastAsia="宋体" w:cs="宋体"/>
                <w:b w:val="0"/>
                <w:bCs w:val="0"/>
                <w:color w:val="auto"/>
                <w:sz w:val="21"/>
                <w:szCs w:val="21"/>
                <w:highlight w:val="none"/>
              </w:rPr>
              <w:t>单颗 CPU 物理核数≥32核，基准频率≥</w:t>
            </w:r>
            <w:r>
              <w:rPr>
                <w:rFonts w:hint="eastAsia" w:ascii="宋体" w:hAnsi="宋体" w:eastAsia="宋体" w:cs="宋体"/>
                <w:b w:val="0"/>
                <w:bCs w:val="0"/>
                <w:color w:val="auto"/>
                <w:sz w:val="21"/>
                <w:szCs w:val="21"/>
                <w:highlight w:val="none"/>
                <w:lang w:val="en-US" w:eastAsia="zh-CN"/>
              </w:rPr>
              <w:t>2.1</w:t>
            </w:r>
            <w:r>
              <w:rPr>
                <w:rFonts w:hint="eastAsia" w:ascii="宋体" w:hAnsi="宋体" w:eastAsia="宋体" w:cs="宋体"/>
                <w:b w:val="0"/>
                <w:bCs w:val="0"/>
                <w:color w:val="auto"/>
                <w:sz w:val="21"/>
                <w:szCs w:val="21"/>
                <w:highlight w:val="none"/>
              </w:rPr>
              <w:t>GHz</w:t>
            </w:r>
            <w:r>
              <w:rPr>
                <w:rFonts w:hint="eastAsia" w:ascii="宋体" w:hAnsi="宋体" w:cs="宋体"/>
                <w:b w:val="0"/>
                <w:bCs w:val="0"/>
                <w:i w:val="0"/>
                <w:iCs w:val="0"/>
                <w:caps w:val="0"/>
                <w:color w:val="auto"/>
                <w:spacing w:val="0"/>
                <w:sz w:val="21"/>
                <w:szCs w:val="21"/>
                <w:highlight w:val="none"/>
                <w:lang w:val="en-US" w:eastAsia="zh-CN"/>
              </w:rPr>
              <w:t>；</w:t>
            </w:r>
            <w:r>
              <w:rPr>
                <w:rFonts w:hint="eastAsia" w:ascii="宋体" w:hAnsi="宋体" w:cs="宋体"/>
                <w:b/>
                <w:bCs/>
                <w:i/>
                <w:iCs/>
                <w:caps w:val="0"/>
                <w:color w:val="auto"/>
                <w:spacing w:val="0"/>
                <w:sz w:val="21"/>
                <w:szCs w:val="21"/>
                <w:highlight w:val="none"/>
                <w:lang w:val="en-US" w:eastAsia="zh-CN"/>
              </w:rPr>
              <w:t>（提供</w:t>
            </w:r>
            <w:r>
              <w:rPr>
                <w:rFonts w:hint="eastAsia" w:ascii="宋体" w:hAnsi="宋体" w:cs="宋体"/>
                <w:b/>
                <w:bCs/>
                <w:i/>
                <w:iCs/>
                <w:color w:val="auto"/>
                <w:sz w:val="21"/>
                <w:szCs w:val="21"/>
                <w:highlight w:val="none"/>
              </w:rPr>
              <w:t>官网</w:t>
            </w:r>
            <w:r>
              <w:rPr>
                <w:rFonts w:hint="eastAsia" w:ascii="宋体" w:hAnsi="宋体" w:cs="宋体"/>
                <w:b/>
                <w:bCs/>
                <w:i/>
                <w:iCs/>
                <w:color w:val="auto"/>
                <w:sz w:val="21"/>
                <w:szCs w:val="21"/>
                <w:highlight w:val="none"/>
                <w:lang w:val="en-US" w:eastAsia="zh-CN"/>
              </w:rPr>
              <w:t>截图，如未提供按“</w:t>
            </w:r>
            <w:r>
              <w:rPr>
                <w:rFonts w:hint="eastAsia" w:ascii="宋体" w:hAnsi="宋体" w:eastAsia="宋体" w:cs="宋体"/>
                <w:i/>
                <w:iCs/>
                <w:color w:val="auto"/>
                <w:sz w:val="21"/>
                <w:szCs w:val="21"/>
                <w:highlight w:val="none"/>
              </w:rPr>
              <w:t>▲</w:t>
            </w:r>
            <w:r>
              <w:rPr>
                <w:rFonts w:hint="eastAsia" w:ascii="宋体" w:hAnsi="宋体" w:cs="宋体"/>
                <w:b/>
                <w:bCs/>
                <w:i/>
                <w:iCs/>
                <w:color w:val="auto"/>
                <w:sz w:val="21"/>
                <w:szCs w:val="21"/>
                <w:highlight w:val="none"/>
                <w:lang w:val="en-US" w:eastAsia="zh-CN"/>
              </w:rPr>
              <w:t>”负偏离扣分</w:t>
            </w:r>
            <w:r>
              <w:rPr>
                <w:rFonts w:hint="eastAsia" w:ascii="宋体" w:hAnsi="宋体" w:cs="宋体"/>
                <w:b/>
                <w:bCs/>
                <w:i/>
                <w:iCs/>
                <w:caps w:val="0"/>
                <w:color w:val="auto"/>
                <w:spacing w:val="0"/>
                <w:sz w:val="21"/>
                <w:szCs w:val="21"/>
                <w:highlight w:val="none"/>
                <w:lang w:val="en-US" w:eastAsia="zh-CN"/>
              </w:rPr>
              <w:t>）</w:t>
            </w:r>
          </w:p>
        </w:tc>
      </w:tr>
      <w:tr w14:paraId="344DB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61E1870D">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73" w:type="dxa"/>
            <w:shd w:val="clear" w:color="auto" w:fill="auto"/>
            <w:vAlign w:val="center"/>
          </w:tcPr>
          <w:p w14:paraId="4E44C83A">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内存：每</w:t>
            </w:r>
            <w:r>
              <w:rPr>
                <w:rFonts w:hint="eastAsia" w:ascii="宋体" w:hAnsi="宋体" w:eastAsia="宋体" w:cs="宋体"/>
                <w:color w:val="auto"/>
                <w:sz w:val="21"/>
                <w:szCs w:val="21"/>
                <w:highlight w:val="none"/>
                <w:lang w:eastAsia="zh-Hans"/>
              </w:rPr>
              <w:t>物理</w:t>
            </w:r>
            <w:r>
              <w:rPr>
                <w:rFonts w:hint="eastAsia" w:ascii="宋体" w:hAnsi="宋体" w:eastAsia="宋体" w:cs="宋体"/>
                <w:color w:val="auto"/>
                <w:sz w:val="21"/>
                <w:szCs w:val="21"/>
                <w:highlight w:val="none"/>
              </w:rPr>
              <w:t>核心配置≥</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GB</w:t>
            </w:r>
            <w:r>
              <w:rPr>
                <w:rFonts w:hint="eastAsia" w:ascii="宋体" w:hAnsi="宋体" w:eastAsia="宋体" w:cs="宋体"/>
                <w:color w:val="auto"/>
                <w:sz w:val="21"/>
                <w:szCs w:val="21"/>
                <w:highlight w:val="none"/>
                <w:lang w:val="en-US" w:eastAsia="zh-CN"/>
              </w:rPr>
              <w:t xml:space="preserve"> DDR5 </w:t>
            </w:r>
            <w:r>
              <w:rPr>
                <w:rFonts w:hint="default" w:ascii="宋体" w:hAnsi="宋体" w:cs="宋体"/>
                <w:color w:val="auto"/>
                <w:sz w:val="21"/>
                <w:szCs w:val="21"/>
                <w:highlight w:val="none"/>
                <w:lang w:val="en-US" w:eastAsia="zh-CN"/>
              </w:rPr>
              <w:t>5600MT/s</w:t>
            </w:r>
            <w:r>
              <w:rPr>
                <w:rFonts w:hint="eastAsia" w:ascii="宋体" w:hAnsi="宋体" w:eastAsia="宋体" w:cs="宋体"/>
                <w:color w:val="auto"/>
                <w:sz w:val="21"/>
                <w:szCs w:val="21"/>
                <w:highlight w:val="none"/>
              </w:rPr>
              <w:t>内存空间</w:t>
            </w:r>
            <w:r>
              <w:rPr>
                <w:rFonts w:hint="eastAsia" w:ascii="宋体" w:hAnsi="宋体" w:eastAsia="宋体" w:cs="宋体"/>
                <w:color w:val="auto"/>
                <w:sz w:val="21"/>
                <w:szCs w:val="21"/>
                <w:highlight w:val="none"/>
                <w:lang w:eastAsia="zh-CN"/>
              </w:rPr>
              <w:t>；</w:t>
            </w:r>
          </w:p>
        </w:tc>
      </w:tr>
      <w:tr w14:paraId="745FE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16" w:type="dxa"/>
            <w:shd w:val="clear" w:color="auto" w:fill="auto"/>
            <w:vAlign w:val="center"/>
          </w:tcPr>
          <w:p w14:paraId="38288DF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.4</w:t>
            </w:r>
          </w:p>
        </w:tc>
        <w:tc>
          <w:tcPr>
            <w:tcW w:w="7473" w:type="dxa"/>
            <w:shd w:val="clear" w:color="auto" w:fill="auto"/>
            <w:vAlign w:val="center"/>
          </w:tcPr>
          <w:p w14:paraId="4544ECB2">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硬盘：配置≥2块960G SATA SSD，配置≥6块18T SATA HDD；</w:t>
            </w:r>
          </w:p>
        </w:tc>
      </w:tr>
      <w:tr w14:paraId="0792A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08413ACC">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1.5</w:t>
            </w:r>
          </w:p>
        </w:tc>
        <w:tc>
          <w:tcPr>
            <w:tcW w:w="7473" w:type="dxa"/>
            <w:shd w:val="clear" w:color="auto" w:fill="auto"/>
            <w:vAlign w:val="center"/>
          </w:tcPr>
          <w:p w14:paraId="002CBAB4">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RAID：配置≥1块4G RAID卡，支持RAID 0/1/5/6/10/50/60</w:t>
            </w:r>
            <w:r>
              <w:rPr>
                <w:rFonts w:hint="eastAsia" w:ascii="宋体" w:hAnsi="宋体" w:eastAsia="宋体" w:cs="宋体"/>
                <w:color w:val="auto"/>
                <w:sz w:val="21"/>
                <w:szCs w:val="21"/>
                <w:highlight w:val="none"/>
                <w:lang w:eastAsia="zh-CN"/>
              </w:rPr>
              <w:t>；</w:t>
            </w:r>
          </w:p>
        </w:tc>
      </w:tr>
      <w:tr w14:paraId="042AD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2EEDEB49">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73" w:type="dxa"/>
            <w:shd w:val="clear" w:color="auto" w:fill="auto"/>
            <w:vAlign w:val="center"/>
          </w:tcPr>
          <w:p w14:paraId="7F31217E">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GPU：</w:t>
            </w:r>
            <w:r>
              <w:rPr>
                <w:rFonts w:hint="eastAsia" w:ascii="宋体" w:hAnsi="宋体" w:eastAsia="宋体" w:cs="宋体"/>
                <w:b w:val="0"/>
                <w:bCs w:val="0"/>
                <w:color w:val="auto"/>
                <w:sz w:val="21"/>
                <w:szCs w:val="21"/>
                <w:highlight w:val="none"/>
              </w:rPr>
              <w:t>采用GPGPU架构，配置≥4块双宽</w:t>
            </w:r>
            <w:r>
              <w:rPr>
                <w:rFonts w:hint="eastAsia" w:ascii="宋体" w:hAnsi="宋体" w:eastAsia="宋体" w:cs="宋体"/>
                <w:b w:val="0"/>
                <w:bCs w:val="0"/>
                <w:color w:val="auto"/>
                <w:sz w:val="21"/>
                <w:szCs w:val="21"/>
                <w:highlight w:val="none"/>
                <w:lang w:eastAsia="zh-Hans"/>
              </w:rPr>
              <w:t>加速卡</w:t>
            </w:r>
            <w:r>
              <w:rPr>
                <w:rFonts w:hint="eastAsia" w:ascii="宋体" w:hAnsi="宋体" w:cs="宋体"/>
                <w:b w:val="0"/>
                <w:bCs w:val="0"/>
                <w:color w:val="auto"/>
                <w:sz w:val="21"/>
                <w:szCs w:val="21"/>
                <w:highlight w:val="none"/>
                <w:lang w:eastAsia="zh-CN"/>
              </w:rPr>
              <w:t>；</w:t>
            </w:r>
          </w:p>
          <w:p w14:paraId="31BF9B17">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rPr>
              <w:t>单</w:t>
            </w:r>
            <w:r>
              <w:rPr>
                <w:rFonts w:hint="eastAsia" w:ascii="宋体" w:hAnsi="宋体" w:eastAsia="宋体" w:cs="宋体"/>
                <w:b w:val="0"/>
                <w:bCs w:val="0"/>
                <w:color w:val="auto"/>
                <w:sz w:val="21"/>
                <w:szCs w:val="21"/>
                <w:highlight w:val="none"/>
                <w:lang w:eastAsia="zh-Hans"/>
              </w:rPr>
              <w:t>卡</w:t>
            </w:r>
            <w:r>
              <w:rPr>
                <w:rFonts w:hint="eastAsia" w:ascii="宋体" w:hAnsi="宋体" w:eastAsia="宋体" w:cs="宋体"/>
                <w:b w:val="0"/>
                <w:bCs w:val="0"/>
                <w:color w:val="auto"/>
                <w:sz w:val="21"/>
                <w:szCs w:val="21"/>
                <w:highlight w:val="none"/>
              </w:rPr>
              <w:t>显存容量≥48GB GDDR6，显存带宽≥864GB/s，支持ECC，FP32计算能力≥59.8 TFLOPS，FP16计算能力≥119.5 TFLOPS，</w:t>
            </w:r>
            <w:r>
              <w:rPr>
                <w:rFonts w:hint="eastAsia" w:ascii="宋体" w:hAnsi="宋体" w:cs="宋体"/>
                <w:color w:val="auto"/>
                <w:szCs w:val="21"/>
                <w:highlight w:val="none"/>
              </w:rPr>
              <w:t>支持硬件级光线追踪或</w:t>
            </w:r>
            <w:r>
              <w:rPr>
                <w:rFonts w:hint="eastAsia" w:ascii="宋体" w:hAnsi="宋体" w:cs="宋体"/>
                <w:color w:val="auto"/>
                <w:szCs w:val="21"/>
                <w:highlight w:val="none"/>
                <w:lang w:val="en-US" w:eastAsia="zh-CN"/>
              </w:rPr>
              <w:t>可</w:t>
            </w:r>
            <w:r>
              <w:rPr>
                <w:rFonts w:hint="eastAsia" w:ascii="宋体" w:hAnsi="宋体" w:cs="宋体"/>
                <w:color w:val="auto"/>
                <w:szCs w:val="21"/>
                <w:highlight w:val="none"/>
              </w:rPr>
              <w:t>等效</w:t>
            </w:r>
            <w:r>
              <w:rPr>
                <w:rFonts w:hint="eastAsia" w:ascii="宋体" w:hAnsi="宋体" w:cs="宋体"/>
                <w:color w:val="auto"/>
                <w:szCs w:val="21"/>
                <w:highlight w:val="none"/>
                <w:lang w:val="en-US" w:eastAsia="zh-CN"/>
              </w:rPr>
              <w:t>实现的</w:t>
            </w:r>
            <w:r>
              <w:rPr>
                <w:rFonts w:hint="eastAsia" w:ascii="宋体" w:hAnsi="宋体" w:cs="宋体"/>
                <w:color w:val="auto"/>
                <w:szCs w:val="21"/>
                <w:highlight w:val="none"/>
              </w:rPr>
              <w:t>能力</w:t>
            </w:r>
            <w:r>
              <w:rPr>
                <w:rFonts w:hint="eastAsia" w:ascii="宋体" w:hAnsi="宋体" w:eastAsia="宋体" w:cs="宋体"/>
                <w:b w:val="0"/>
                <w:bCs w:val="0"/>
                <w:color w:val="auto"/>
                <w:sz w:val="21"/>
                <w:szCs w:val="21"/>
                <w:highlight w:val="none"/>
                <w:lang w:eastAsia="zh-Hans"/>
              </w:rPr>
              <w:t>；</w:t>
            </w:r>
          </w:p>
        </w:tc>
      </w:tr>
      <w:tr w14:paraId="64DCD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16" w:type="dxa"/>
            <w:shd w:val="clear" w:color="auto" w:fill="auto"/>
            <w:vAlign w:val="center"/>
          </w:tcPr>
          <w:p w14:paraId="46E56E95">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73" w:type="dxa"/>
            <w:shd w:val="clear" w:color="auto" w:fill="auto"/>
            <w:vAlign w:val="center"/>
          </w:tcPr>
          <w:p w14:paraId="4041C72C">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GPU扩展：支持扩展至8张同类型GPU卡；</w:t>
            </w:r>
          </w:p>
        </w:tc>
      </w:tr>
      <w:tr w14:paraId="483FF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16" w:type="dxa"/>
            <w:shd w:val="clear" w:color="auto" w:fill="auto"/>
            <w:vAlign w:val="center"/>
          </w:tcPr>
          <w:p w14:paraId="28AF148F">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Hans"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73" w:type="dxa"/>
            <w:shd w:val="clear" w:color="auto" w:fill="auto"/>
            <w:vAlign w:val="center"/>
          </w:tcPr>
          <w:p w14:paraId="152F1740">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eastAsia="zh-Hans"/>
              </w:rPr>
              <w:t>以太</w:t>
            </w:r>
            <w:r>
              <w:rPr>
                <w:rFonts w:hint="eastAsia" w:ascii="宋体" w:hAnsi="宋体" w:eastAsia="宋体" w:cs="宋体"/>
                <w:color w:val="auto"/>
                <w:sz w:val="21"/>
                <w:szCs w:val="21"/>
                <w:highlight w:val="none"/>
              </w:rPr>
              <w:t>网络：配置≥2个千兆网口，配置≥2个万兆网口（含模块）</w:t>
            </w:r>
            <w:r>
              <w:rPr>
                <w:rFonts w:hint="eastAsia" w:ascii="宋体" w:hAnsi="宋体" w:eastAsia="宋体" w:cs="宋体"/>
                <w:color w:val="auto"/>
                <w:sz w:val="21"/>
                <w:szCs w:val="21"/>
                <w:highlight w:val="none"/>
                <w:lang w:eastAsia="zh-CN"/>
              </w:rPr>
              <w:t>；</w:t>
            </w:r>
          </w:p>
        </w:tc>
      </w:tr>
      <w:tr w14:paraId="79EA8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4B48E24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1.9</w:t>
            </w:r>
          </w:p>
        </w:tc>
        <w:tc>
          <w:tcPr>
            <w:tcW w:w="7473" w:type="dxa"/>
            <w:shd w:val="clear" w:color="auto" w:fill="auto"/>
            <w:vAlign w:val="center"/>
          </w:tcPr>
          <w:p w14:paraId="116E4C67">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IB网络：配置≥1个200G IB 网络端口，系统实际传输速率≥200Gb/s</w:t>
            </w:r>
            <w:r>
              <w:rPr>
                <w:rFonts w:hint="eastAsia" w:ascii="宋体" w:hAnsi="宋体" w:eastAsia="宋体" w:cs="宋体"/>
                <w:color w:val="auto"/>
                <w:sz w:val="21"/>
                <w:szCs w:val="21"/>
                <w:highlight w:val="none"/>
                <w:lang w:eastAsia="zh-CN"/>
              </w:rPr>
              <w:t>；</w:t>
            </w:r>
          </w:p>
        </w:tc>
      </w:tr>
      <w:tr w14:paraId="65134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1AE8B550">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1.10</w:t>
            </w:r>
          </w:p>
        </w:tc>
        <w:tc>
          <w:tcPr>
            <w:tcW w:w="7473" w:type="dxa"/>
            <w:shd w:val="clear" w:color="auto" w:fill="auto"/>
            <w:vAlign w:val="center"/>
          </w:tcPr>
          <w:p w14:paraId="2FCD94EE">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rPr>
              <w:t>管理：配置≥1个独立的远程管理控制端口，支持远程监控图形界面、支持H5虚拟键盘、支持VNC功能；支持监控服务器内部主要部件的状态；支持带外获取主板、背板等板卡信息；支持RAID卡配置带外导入导出功能</w:t>
            </w:r>
            <w:r>
              <w:rPr>
                <w:rFonts w:hint="eastAsia" w:ascii="宋体" w:hAnsi="宋体" w:eastAsia="宋体" w:cs="宋体"/>
                <w:b w:val="0"/>
                <w:bCs w:val="0"/>
                <w:color w:val="auto"/>
                <w:sz w:val="21"/>
                <w:szCs w:val="21"/>
                <w:highlight w:val="none"/>
                <w:lang w:eastAsia="zh-CN"/>
              </w:rPr>
              <w:t>；</w:t>
            </w:r>
          </w:p>
        </w:tc>
      </w:tr>
      <w:tr w14:paraId="2A84D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6A058952">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1.11</w:t>
            </w:r>
          </w:p>
        </w:tc>
        <w:tc>
          <w:tcPr>
            <w:tcW w:w="7473" w:type="dxa"/>
            <w:shd w:val="clear" w:color="auto" w:fill="auto"/>
            <w:vAlign w:val="center"/>
          </w:tcPr>
          <w:p w14:paraId="3943106C">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电源：满配冗余电源，支持n+n冗余</w:t>
            </w:r>
            <w:r>
              <w:rPr>
                <w:rFonts w:hint="eastAsia" w:ascii="宋体" w:hAnsi="宋体" w:eastAsia="宋体" w:cs="宋体"/>
                <w:color w:val="auto"/>
                <w:sz w:val="21"/>
                <w:szCs w:val="21"/>
                <w:highlight w:val="none"/>
                <w:lang w:eastAsia="zh-CN"/>
              </w:rPr>
              <w:t>；</w:t>
            </w:r>
          </w:p>
        </w:tc>
      </w:tr>
    </w:tbl>
    <w:p w14:paraId="1DC857D4">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4CAEB240">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5）</w:t>
      </w:r>
      <w:r>
        <w:rPr>
          <w:rFonts w:hint="eastAsia" w:ascii="宋体" w:hAnsi="宋体" w:eastAsia="宋体" w:cs="宋体"/>
          <w:color w:val="auto"/>
          <w:sz w:val="21"/>
          <w:szCs w:val="21"/>
          <w:highlight w:val="none"/>
        </w:rPr>
        <w:t>GPU计算节点1</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0"/>
        <w:gridCol w:w="7489"/>
      </w:tblGrid>
      <w:tr w14:paraId="3ADBB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800" w:type="dxa"/>
            <w:shd w:val="clear" w:color="auto" w:fill="auto"/>
            <w:vAlign w:val="center"/>
          </w:tcPr>
          <w:p w14:paraId="666C4A2E">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89" w:type="dxa"/>
            <w:shd w:val="clear" w:color="auto" w:fill="auto"/>
            <w:vAlign w:val="center"/>
          </w:tcPr>
          <w:p w14:paraId="79E3FEEB">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3FCD3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7D40BE5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89" w:type="dxa"/>
            <w:shd w:val="clear" w:color="auto" w:fill="auto"/>
            <w:vAlign w:val="center"/>
          </w:tcPr>
          <w:p w14:paraId="64E2FD9C">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形态：</w:t>
            </w:r>
            <w:r>
              <w:rPr>
                <w:rFonts w:hint="eastAsia" w:ascii="宋体" w:hAnsi="宋体" w:eastAsia="宋体" w:cs="宋体"/>
                <w:color w:val="auto"/>
                <w:sz w:val="21"/>
                <w:szCs w:val="21"/>
                <w:highlight w:val="none"/>
                <w:lang w:val="en-US" w:eastAsia="zh-CN"/>
              </w:rPr>
              <w:t>机架式服务器，高度≥8U</w:t>
            </w:r>
            <w:r>
              <w:rPr>
                <w:rFonts w:hint="eastAsia" w:ascii="宋体" w:hAnsi="宋体" w:eastAsia="宋体" w:cs="宋体"/>
                <w:color w:val="auto"/>
                <w:sz w:val="21"/>
                <w:szCs w:val="21"/>
                <w:highlight w:val="none"/>
                <w:lang w:eastAsia="zh-CN"/>
              </w:rPr>
              <w:t>；</w:t>
            </w:r>
          </w:p>
        </w:tc>
      </w:tr>
      <w:tr w14:paraId="113B4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4AB0D27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w:t>
            </w:r>
          </w:p>
        </w:tc>
        <w:tc>
          <w:tcPr>
            <w:tcW w:w="7489" w:type="dxa"/>
            <w:shd w:val="clear" w:color="auto" w:fill="auto"/>
            <w:vAlign w:val="center"/>
          </w:tcPr>
          <w:p w14:paraId="7B9E73F9">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CPU：配置≥2 颗</w:t>
            </w:r>
            <w:r>
              <w:rPr>
                <w:rFonts w:hint="eastAsia" w:ascii="宋体" w:hAnsi="宋体" w:eastAsia="宋体" w:cs="宋体"/>
                <w:b w:val="0"/>
                <w:bCs w:val="0"/>
                <w:color w:val="auto"/>
                <w:sz w:val="21"/>
                <w:szCs w:val="21"/>
                <w:highlight w:val="none"/>
                <w:lang w:val="en-US" w:eastAsia="zh-CN"/>
              </w:rPr>
              <w:t>X86架构国产</w:t>
            </w:r>
            <w:r>
              <w:rPr>
                <w:rFonts w:hint="eastAsia" w:ascii="宋体" w:hAnsi="宋体" w:eastAsia="宋体" w:cs="宋体"/>
                <w:b w:val="0"/>
                <w:bCs w:val="0"/>
                <w:color w:val="auto"/>
                <w:sz w:val="21"/>
                <w:szCs w:val="21"/>
                <w:highlight w:val="none"/>
              </w:rPr>
              <w:t>处理器</w:t>
            </w:r>
            <w:r>
              <w:rPr>
                <w:rFonts w:hint="eastAsia" w:ascii="宋体" w:hAnsi="宋体" w:eastAsia="宋体" w:cs="宋体"/>
                <w:b w:val="0"/>
                <w:bCs w:val="0"/>
                <w:color w:val="auto"/>
                <w:sz w:val="21"/>
                <w:szCs w:val="21"/>
                <w:highlight w:val="none"/>
                <w:lang w:eastAsia="zh-CN"/>
              </w:rPr>
              <w:t>。</w:t>
            </w:r>
          </w:p>
          <w:p w14:paraId="4E035321">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w:t>
            </w:r>
            <w:r>
              <w:rPr>
                <w:rFonts w:hint="eastAsia" w:ascii="宋体" w:hAnsi="宋体" w:eastAsia="宋体" w:cs="宋体"/>
                <w:b w:val="0"/>
                <w:bCs w:val="0"/>
                <w:color w:val="auto"/>
                <w:sz w:val="21"/>
                <w:szCs w:val="21"/>
                <w:highlight w:val="none"/>
              </w:rPr>
              <w:t>单颗 CPU 物理核数≥</w:t>
            </w:r>
            <w:r>
              <w:rPr>
                <w:rFonts w:hint="eastAsia" w:ascii="宋体" w:hAnsi="宋体" w:eastAsia="宋体" w:cs="宋体"/>
                <w:b w:val="0"/>
                <w:bCs w:val="0"/>
                <w:color w:val="auto"/>
                <w:sz w:val="21"/>
                <w:szCs w:val="21"/>
                <w:highlight w:val="none"/>
                <w:lang w:val="en-US" w:eastAsia="zh-CN"/>
              </w:rPr>
              <w:t>64</w:t>
            </w:r>
            <w:r>
              <w:rPr>
                <w:rFonts w:hint="eastAsia" w:ascii="宋体" w:hAnsi="宋体" w:eastAsia="宋体" w:cs="宋体"/>
                <w:b w:val="0"/>
                <w:bCs w:val="0"/>
                <w:color w:val="auto"/>
                <w:sz w:val="21"/>
                <w:szCs w:val="21"/>
                <w:highlight w:val="none"/>
              </w:rPr>
              <w:t>核，基准频率≥</w:t>
            </w:r>
            <w:r>
              <w:rPr>
                <w:rFonts w:hint="eastAsia" w:ascii="宋体" w:hAnsi="宋体" w:eastAsia="宋体" w:cs="宋体"/>
                <w:b w:val="0"/>
                <w:bCs w:val="0"/>
                <w:color w:val="auto"/>
                <w:sz w:val="21"/>
                <w:szCs w:val="21"/>
                <w:highlight w:val="none"/>
                <w:lang w:val="en-US" w:eastAsia="zh-CN"/>
              </w:rPr>
              <w:t>3.0</w:t>
            </w:r>
            <w:r>
              <w:rPr>
                <w:rFonts w:hint="eastAsia" w:ascii="宋体" w:hAnsi="宋体" w:eastAsia="宋体" w:cs="宋体"/>
                <w:b w:val="0"/>
                <w:bCs w:val="0"/>
                <w:color w:val="auto"/>
                <w:sz w:val="21"/>
                <w:szCs w:val="21"/>
                <w:highlight w:val="none"/>
              </w:rPr>
              <w:t>GHz，</w:t>
            </w:r>
            <w:r>
              <w:rPr>
                <w:rFonts w:hint="eastAsia" w:ascii="宋体" w:hAnsi="宋体" w:eastAsia="宋体" w:cs="宋体"/>
                <w:b w:val="0"/>
                <w:bCs w:val="0"/>
                <w:color w:val="auto"/>
                <w:sz w:val="21"/>
                <w:szCs w:val="21"/>
                <w:highlight w:val="none"/>
                <w:lang w:val="en-US" w:eastAsia="zh-CN"/>
              </w:rPr>
              <w:t>三级缓存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256MB</w:t>
            </w:r>
            <w:r>
              <w:rPr>
                <w:rFonts w:hint="eastAsia" w:ascii="宋体" w:hAnsi="宋体" w:eastAsia="宋体" w:cs="宋体"/>
                <w:b w:val="0"/>
                <w:bCs w:val="0"/>
                <w:color w:val="auto"/>
                <w:sz w:val="21"/>
                <w:szCs w:val="21"/>
                <w:highlight w:val="none"/>
              </w:rPr>
              <w:t>；</w:t>
            </w:r>
          </w:p>
        </w:tc>
      </w:tr>
      <w:tr w14:paraId="17B68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634D34C0">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89" w:type="dxa"/>
            <w:shd w:val="clear" w:color="auto" w:fill="auto"/>
            <w:vAlign w:val="center"/>
          </w:tcPr>
          <w:p w14:paraId="2555731C">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内存：每物理核心配置≥</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GB DDR5 </w:t>
            </w:r>
            <w:r>
              <w:rPr>
                <w:rFonts w:hint="default" w:ascii="宋体" w:hAnsi="宋体" w:cs="宋体"/>
                <w:color w:val="auto"/>
                <w:sz w:val="21"/>
                <w:szCs w:val="21"/>
                <w:highlight w:val="none"/>
                <w:lang w:val="en-US" w:eastAsia="zh-CN"/>
              </w:rPr>
              <w:t>5600MT/s</w:t>
            </w:r>
            <w:r>
              <w:rPr>
                <w:rFonts w:hint="eastAsia" w:ascii="宋体" w:hAnsi="宋体" w:eastAsia="宋体" w:cs="宋体"/>
                <w:color w:val="auto"/>
                <w:sz w:val="21"/>
                <w:szCs w:val="21"/>
                <w:highlight w:val="none"/>
              </w:rPr>
              <w:t>内存空间；</w:t>
            </w:r>
          </w:p>
        </w:tc>
      </w:tr>
      <w:tr w14:paraId="2835C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00" w:type="dxa"/>
            <w:shd w:val="clear" w:color="auto" w:fill="auto"/>
            <w:vAlign w:val="center"/>
          </w:tcPr>
          <w:p w14:paraId="4643C69B">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.4</w:t>
            </w:r>
          </w:p>
        </w:tc>
        <w:tc>
          <w:tcPr>
            <w:tcW w:w="7489" w:type="dxa"/>
            <w:shd w:val="clear" w:color="auto" w:fill="auto"/>
            <w:vAlign w:val="center"/>
          </w:tcPr>
          <w:p w14:paraId="7EB18798">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硬盘：配置≥2块960G SATA SSD，配置≥1块7.68T Nvme SSD；</w:t>
            </w:r>
          </w:p>
        </w:tc>
      </w:tr>
      <w:tr w14:paraId="0E529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7FB0F511">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1.5</w:t>
            </w:r>
          </w:p>
        </w:tc>
        <w:tc>
          <w:tcPr>
            <w:tcW w:w="7489" w:type="dxa"/>
            <w:shd w:val="clear" w:color="auto" w:fill="auto"/>
            <w:vAlign w:val="center"/>
          </w:tcPr>
          <w:p w14:paraId="3A380AF0">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RAID：配置≥1块4G RAID卡，支持RAID 0/1/5/6/10/50/60</w:t>
            </w:r>
            <w:r>
              <w:rPr>
                <w:rFonts w:hint="eastAsia" w:ascii="宋体" w:hAnsi="宋体" w:eastAsia="宋体" w:cs="宋体"/>
                <w:color w:val="auto"/>
                <w:sz w:val="21"/>
                <w:szCs w:val="21"/>
                <w:highlight w:val="none"/>
                <w:lang w:eastAsia="zh-CN"/>
              </w:rPr>
              <w:t>；</w:t>
            </w:r>
          </w:p>
        </w:tc>
      </w:tr>
      <w:tr w14:paraId="67D60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24DBD36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89" w:type="dxa"/>
            <w:shd w:val="clear" w:color="auto" w:fill="auto"/>
            <w:vAlign w:val="center"/>
          </w:tcPr>
          <w:p w14:paraId="114D76B4">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lang w:eastAsia="zh-CN"/>
              </w:rPr>
            </w:pPr>
            <w:r>
              <w:rPr>
                <w:rFonts w:hint="eastAsia" w:ascii="宋体" w:hAnsi="宋体" w:eastAsia="宋体" w:cs="宋体"/>
                <w:b w:val="0"/>
                <w:bCs w:val="0"/>
                <w:color w:val="auto"/>
                <w:sz w:val="21"/>
                <w:szCs w:val="21"/>
                <w:highlight w:val="none"/>
                <w:lang w:val="en-US" w:eastAsia="zh-CN"/>
              </w:rPr>
              <w:t>GPU：采用GPGPU架构，配置≥8张GPU卡</w:t>
            </w:r>
            <w:r>
              <w:rPr>
                <w:rFonts w:hint="eastAsia"/>
                <w:lang w:eastAsia="zh-CN"/>
              </w:rPr>
              <w:t>；</w:t>
            </w:r>
          </w:p>
          <w:p w14:paraId="1272C8F2">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lang w:val="en-US" w:eastAsia="zh-CN"/>
              </w:rPr>
            </w:pPr>
            <w:r>
              <w:rPr>
                <w:rFonts w:hint="eastAsia"/>
                <w:lang w:val="en-US" w:eastAsia="zh-CN"/>
              </w:rPr>
              <w:t>GPU单卡算力实测性能不低于下述单卡算力指标的95%，投标文件中需提供测试报告与说明（内容需要包含测试环境、测试步骤、测试结果截图等内容）；</w:t>
            </w:r>
          </w:p>
          <w:p w14:paraId="40A8ECD5">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val="0"/>
                <w:bCs w:val="0"/>
                <w:color w:val="auto"/>
                <w:sz w:val="21"/>
                <w:szCs w:val="21"/>
                <w:highlight w:val="none"/>
                <w:lang w:val="en-US" w:eastAsia="zh-CN"/>
              </w:rPr>
              <w:t>单卡算力指标：双精度（FP64）运算能力≥22TFlops，单精度（FP32)运算能力≥44TFlops、单精度（TF32）≥177TFlops，半精度（FP16）运算能力≥354 TFlops，FP8运算能力≥708TFLOPS。</w:t>
            </w:r>
            <w:r>
              <w:rPr>
                <w:rFonts w:hint="eastAsia" w:ascii="宋体" w:hAnsi="宋体" w:cs="宋体"/>
                <w:b w:val="0"/>
                <w:bCs w:val="0"/>
                <w:color w:val="auto"/>
                <w:sz w:val="21"/>
                <w:szCs w:val="21"/>
                <w:highlight w:val="none"/>
                <w:lang w:val="en-US" w:eastAsia="zh-CN"/>
              </w:rPr>
              <w:t>单卡显存指标：</w:t>
            </w:r>
            <w:r>
              <w:rPr>
                <w:rFonts w:hint="eastAsia" w:ascii="宋体" w:hAnsi="宋体" w:eastAsia="宋体" w:cs="宋体"/>
                <w:b w:val="0"/>
                <w:bCs w:val="0"/>
                <w:color w:val="auto"/>
                <w:sz w:val="21"/>
                <w:szCs w:val="21"/>
                <w:highlight w:val="none"/>
                <w:lang w:val="en-US" w:eastAsia="zh-CN"/>
              </w:rPr>
              <w:t>显存容量≥144GB，显存带宽≥2.4TB/s</w:t>
            </w:r>
            <w:r>
              <w:rPr>
                <w:rFonts w:hint="eastAsia" w:ascii="宋体" w:hAnsi="宋体" w:cs="宋体"/>
                <w:b w:val="0"/>
                <w:bCs w:val="0"/>
                <w:color w:val="auto"/>
                <w:sz w:val="21"/>
                <w:szCs w:val="21"/>
                <w:highlight w:val="none"/>
                <w:lang w:val="en-US" w:eastAsia="zh-CN"/>
              </w:rPr>
              <w:t>。模组内互联带宽指标：GPU任意</w:t>
            </w:r>
            <w:r>
              <w:rPr>
                <w:rFonts w:hint="eastAsia" w:ascii="宋体" w:hAnsi="宋体" w:eastAsia="宋体" w:cs="宋体"/>
                <w:b w:val="0"/>
                <w:bCs w:val="0"/>
                <w:color w:val="auto"/>
                <w:sz w:val="21"/>
                <w:szCs w:val="21"/>
                <w:highlight w:val="none"/>
                <w:lang w:val="en-US" w:eastAsia="zh-CN"/>
              </w:rPr>
              <w:t>卡间互联（不包含以太网互联）带宽≥44</w:t>
            </w:r>
            <w:r>
              <w:rPr>
                <w:rFonts w:hint="default" w:ascii="宋体" w:hAnsi="宋体" w:eastAsia="宋体" w:cs="宋体"/>
                <w:b w:val="0"/>
                <w:bCs w:val="0"/>
                <w:color w:val="auto"/>
                <w:sz w:val="21"/>
                <w:szCs w:val="21"/>
                <w:highlight w:val="none"/>
                <w:lang w:val="en-US" w:eastAsia="zh-CN"/>
              </w:rPr>
              <w:t>0</w:t>
            </w:r>
            <w:r>
              <w:rPr>
                <w:rFonts w:hint="eastAsia" w:ascii="宋体" w:hAnsi="宋体" w:eastAsia="宋体" w:cs="宋体"/>
                <w:b w:val="0"/>
                <w:bCs w:val="0"/>
                <w:color w:val="auto"/>
                <w:sz w:val="21"/>
                <w:szCs w:val="21"/>
                <w:highlight w:val="none"/>
                <w:lang w:val="en-US" w:eastAsia="zh-CN"/>
              </w:rPr>
              <w:t>GB/s；</w:t>
            </w:r>
          </w:p>
        </w:tc>
      </w:tr>
      <w:tr w14:paraId="73A98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00" w:type="dxa"/>
            <w:shd w:val="clear" w:color="auto" w:fill="auto"/>
            <w:vAlign w:val="center"/>
          </w:tcPr>
          <w:p w14:paraId="76CAF42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89" w:type="dxa"/>
            <w:shd w:val="clear" w:color="auto" w:fill="auto"/>
            <w:vAlign w:val="center"/>
          </w:tcPr>
          <w:p w14:paraId="7ED148A0">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以太</w:t>
            </w:r>
            <w:r>
              <w:rPr>
                <w:rFonts w:hint="eastAsia" w:ascii="宋体" w:hAnsi="宋体" w:eastAsia="宋体" w:cs="宋体"/>
                <w:color w:val="auto"/>
                <w:sz w:val="21"/>
                <w:szCs w:val="21"/>
                <w:highlight w:val="none"/>
              </w:rPr>
              <w:t>网络：配置≥2个千兆网口，配置≥2个万兆网口（含模块）</w:t>
            </w:r>
            <w:r>
              <w:rPr>
                <w:rFonts w:hint="eastAsia" w:ascii="宋体" w:hAnsi="宋体" w:eastAsia="宋体" w:cs="宋体"/>
                <w:color w:val="auto"/>
                <w:sz w:val="21"/>
                <w:szCs w:val="21"/>
                <w:highlight w:val="none"/>
                <w:lang w:eastAsia="zh-CN"/>
              </w:rPr>
              <w:t>；</w:t>
            </w:r>
          </w:p>
        </w:tc>
      </w:tr>
      <w:tr w14:paraId="1BE53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00" w:type="dxa"/>
            <w:shd w:val="clear" w:color="auto" w:fill="auto"/>
            <w:vAlign w:val="center"/>
          </w:tcPr>
          <w:p w14:paraId="103693B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Hans"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89" w:type="dxa"/>
            <w:shd w:val="clear" w:color="auto" w:fill="auto"/>
            <w:vAlign w:val="center"/>
          </w:tcPr>
          <w:p w14:paraId="1790EDED">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IB网络：配置≥</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00G IB 网络端口</w:t>
            </w:r>
            <w:r>
              <w:rPr>
                <w:rFonts w:hint="eastAsia" w:ascii="宋体" w:hAnsi="宋体" w:eastAsia="宋体" w:cs="宋体"/>
                <w:color w:val="auto"/>
                <w:sz w:val="21"/>
                <w:szCs w:val="21"/>
                <w:highlight w:val="none"/>
                <w:lang w:eastAsia="zh-CN"/>
              </w:rPr>
              <w:t>；</w:t>
            </w:r>
          </w:p>
        </w:tc>
      </w:tr>
      <w:tr w14:paraId="46ECF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45A0B55F">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1.9</w:t>
            </w:r>
          </w:p>
        </w:tc>
        <w:tc>
          <w:tcPr>
            <w:tcW w:w="7489" w:type="dxa"/>
            <w:shd w:val="clear" w:color="auto" w:fill="auto"/>
            <w:vAlign w:val="center"/>
          </w:tcPr>
          <w:p w14:paraId="2FD82A99">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color w:val="auto"/>
                <w:sz w:val="21"/>
                <w:szCs w:val="21"/>
                <w:highlight w:val="none"/>
              </w:rPr>
              <w:t>管理：配置≥1个独立的远程管理控制端口，支持远程监控图形界面、支持H5虚拟键盘、支持VNC功能；支持监控服务器内部主要部件的状态；支持带外获取主板、背板等板卡信息；支持RAID卡配置带外导入导出功能</w:t>
            </w:r>
            <w:r>
              <w:rPr>
                <w:rFonts w:hint="eastAsia" w:ascii="宋体" w:hAnsi="宋体" w:eastAsia="宋体" w:cs="宋体"/>
                <w:b w:val="0"/>
                <w:bCs w:val="0"/>
                <w:color w:val="auto"/>
                <w:sz w:val="21"/>
                <w:szCs w:val="21"/>
                <w:highlight w:val="none"/>
                <w:lang w:eastAsia="zh-CN"/>
              </w:rPr>
              <w:t>；</w:t>
            </w:r>
          </w:p>
        </w:tc>
      </w:tr>
      <w:tr w14:paraId="1067D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64625D90">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1.10</w:t>
            </w:r>
          </w:p>
        </w:tc>
        <w:tc>
          <w:tcPr>
            <w:tcW w:w="7489" w:type="dxa"/>
            <w:shd w:val="clear" w:color="auto" w:fill="auto"/>
            <w:vAlign w:val="center"/>
          </w:tcPr>
          <w:p w14:paraId="6396D3BF">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电源：满配冗余电源，支持n+n冗余</w:t>
            </w:r>
            <w:r>
              <w:rPr>
                <w:rFonts w:hint="eastAsia" w:ascii="宋体" w:hAnsi="宋体" w:eastAsia="宋体" w:cs="宋体"/>
                <w:color w:val="auto"/>
                <w:sz w:val="21"/>
                <w:szCs w:val="21"/>
                <w:highlight w:val="none"/>
                <w:lang w:eastAsia="zh-CN"/>
              </w:rPr>
              <w:t>；</w:t>
            </w:r>
          </w:p>
        </w:tc>
      </w:tr>
    </w:tbl>
    <w:p w14:paraId="1A4ABC02">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68CD8A9A">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6）</w:t>
      </w:r>
      <w:r>
        <w:rPr>
          <w:rFonts w:hint="eastAsia" w:ascii="宋体" w:hAnsi="宋体" w:eastAsia="宋体" w:cs="宋体"/>
          <w:color w:val="auto"/>
          <w:sz w:val="21"/>
          <w:szCs w:val="21"/>
          <w:highlight w:val="none"/>
        </w:rPr>
        <w:t>GPU计算节点2</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0"/>
        <w:gridCol w:w="7489"/>
      </w:tblGrid>
      <w:tr w14:paraId="736FD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406A948F">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89" w:type="dxa"/>
            <w:shd w:val="clear" w:color="auto" w:fill="auto"/>
            <w:vAlign w:val="center"/>
          </w:tcPr>
          <w:p w14:paraId="5ABFE1E7">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46454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A0F173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89" w:type="dxa"/>
            <w:shd w:val="clear" w:color="auto" w:fill="auto"/>
            <w:vAlign w:val="center"/>
          </w:tcPr>
          <w:p w14:paraId="64E4939D">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形态：</w:t>
            </w:r>
            <w:r>
              <w:rPr>
                <w:rFonts w:hint="eastAsia" w:ascii="宋体" w:hAnsi="宋体" w:eastAsia="宋体" w:cs="宋体"/>
                <w:color w:val="auto"/>
                <w:sz w:val="21"/>
                <w:szCs w:val="21"/>
                <w:highlight w:val="none"/>
                <w:lang w:val="en-US" w:eastAsia="zh-CN"/>
              </w:rPr>
              <w:t>机架式服务器，高度≥6U</w:t>
            </w:r>
            <w:r>
              <w:rPr>
                <w:rFonts w:hint="eastAsia" w:ascii="宋体" w:hAnsi="宋体" w:eastAsia="宋体" w:cs="宋体"/>
                <w:color w:val="auto"/>
                <w:sz w:val="21"/>
                <w:szCs w:val="21"/>
                <w:highlight w:val="none"/>
                <w:lang w:eastAsia="zh-CN"/>
              </w:rPr>
              <w:t>；</w:t>
            </w:r>
          </w:p>
        </w:tc>
      </w:tr>
      <w:tr w14:paraId="754B0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2BED6DFD">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w:t>
            </w:r>
          </w:p>
        </w:tc>
        <w:tc>
          <w:tcPr>
            <w:tcW w:w="7489" w:type="dxa"/>
            <w:shd w:val="clear" w:color="auto" w:fill="auto"/>
            <w:vAlign w:val="center"/>
          </w:tcPr>
          <w:p w14:paraId="7F10CD57">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CPU：配置≥2 颗 </w:t>
            </w:r>
            <w:r>
              <w:rPr>
                <w:rFonts w:hint="eastAsia" w:ascii="宋体" w:hAnsi="宋体" w:eastAsia="宋体" w:cs="宋体"/>
                <w:b w:val="0"/>
                <w:bCs w:val="0"/>
                <w:color w:val="auto"/>
                <w:sz w:val="21"/>
                <w:szCs w:val="21"/>
                <w:highlight w:val="none"/>
                <w:lang w:val="en-US" w:eastAsia="zh-CN"/>
              </w:rPr>
              <w:t>X86处理器</w:t>
            </w:r>
            <w:r>
              <w:rPr>
                <w:rFonts w:hint="eastAsia" w:ascii="宋体" w:hAnsi="宋体" w:eastAsia="宋体" w:cs="宋体"/>
                <w:b w:val="0"/>
                <w:bCs w:val="0"/>
                <w:color w:val="auto"/>
                <w:sz w:val="21"/>
                <w:szCs w:val="21"/>
                <w:highlight w:val="none"/>
                <w:lang w:eastAsia="zh-CN"/>
              </w:rPr>
              <w:t>；</w:t>
            </w:r>
          </w:p>
          <w:p w14:paraId="2D301F7F">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b w:val="0"/>
                <w:bCs w:val="0"/>
                <w:color w:val="auto"/>
                <w:sz w:val="21"/>
                <w:szCs w:val="21"/>
                <w:highlight w:val="none"/>
              </w:rPr>
              <w:t>单颗 CPU 物理核数≥32核，基准频率≥</w:t>
            </w:r>
            <w:r>
              <w:rPr>
                <w:rFonts w:hint="eastAsia" w:ascii="宋体" w:hAnsi="宋体" w:eastAsia="宋体" w:cs="宋体"/>
                <w:b w:val="0"/>
                <w:bCs w:val="0"/>
                <w:color w:val="auto"/>
                <w:sz w:val="21"/>
                <w:szCs w:val="21"/>
                <w:highlight w:val="none"/>
                <w:lang w:val="en-US" w:eastAsia="zh-CN"/>
              </w:rPr>
              <w:t>3.55</w:t>
            </w:r>
            <w:r>
              <w:rPr>
                <w:rFonts w:hint="eastAsia" w:ascii="宋体" w:hAnsi="宋体" w:eastAsia="宋体" w:cs="宋体"/>
                <w:b w:val="0"/>
                <w:bCs w:val="0"/>
                <w:color w:val="auto"/>
                <w:sz w:val="21"/>
                <w:szCs w:val="21"/>
                <w:highlight w:val="none"/>
              </w:rPr>
              <w:t>GHz</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最大睿频频率</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4</w:t>
            </w:r>
            <w:r>
              <w:rPr>
                <w:rFonts w:hint="default"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GHz</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缓存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256MB，TDP</w:t>
            </w:r>
            <w:r>
              <w:rPr>
                <w:rFonts w:hint="eastAsia" w:ascii="宋体" w:hAnsi="宋体" w:eastAsia="宋体" w:cs="宋体"/>
                <w:b w:val="0"/>
                <w:bCs w:val="0"/>
                <w:i w:val="0"/>
                <w:iCs w:val="0"/>
                <w:caps w:val="0"/>
                <w:color w:val="auto"/>
                <w:spacing w:val="0"/>
                <w:sz w:val="21"/>
                <w:szCs w:val="21"/>
                <w:highlight w:val="none"/>
              </w:rPr>
              <w:t>≤</w:t>
            </w:r>
            <w:r>
              <w:rPr>
                <w:rFonts w:hint="eastAsia" w:ascii="宋体" w:hAnsi="宋体" w:eastAsia="宋体" w:cs="宋体"/>
                <w:b w:val="0"/>
                <w:bCs w:val="0"/>
                <w:i w:val="0"/>
                <w:iCs w:val="0"/>
                <w:caps w:val="0"/>
                <w:color w:val="auto"/>
                <w:spacing w:val="0"/>
                <w:sz w:val="21"/>
                <w:szCs w:val="21"/>
                <w:highlight w:val="none"/>
                <w:lang w:val="en-US" w:eastAsia="zh-CN"/>
              </w:rPr>
              <w:t>280W</w:t>
            </w:r>
            <w:r>
              <w:rPr>
                <w:rFonts w:hint="eastAsia" w:ascii="宋体" w:hAnsi="宋体" w:eastAsia="宋体" w:cs="宋体"/>
                <w:b w:val="0"/>
                <w:bCs w:val="0"/>
                <w:color w:val="auto"/>
                <w:sz w:val="21"/>
                <w:szCs w:val="21"/>
                <w:highlight w:val="none"/>
              </w:rPr>
              <w:t>；</w:t>
            </w:r>
            <w:r>
              <w:rPr>
                <w:rFonts w:hint="eastAsia" w:ascii="宋体" w:hAnsi="宋体" w:cs="宋体"/>
                <w:b/>
                <w:bCs/>
                <w:i/>
                <w:iCs/>
                <w:caps w:val="0"/>
                <w:color w:val="auto"/>
                <w:spacing w:val="0"/>
                <w:sz w:val="21"/>
                <w:szCs w:val="21"/>
                <w:highlight w:val="none"/>
                <w:lang w:val="en-US" w:eastAsia="zh-CN"/>
              </w:rPr>
              <w:t>（提供</w:t>
            </w:r>
            <w:r>
              <w:rPr>
                <w:rFonts w:hint="eastAsia" w:ascii="宋体" w:hAnsi="宋体" w:cs="宋体"/>
                <w:b/>
                <w:bCs/>
                <w:i/>
                <w:iCs/>
                <w:color w:val="auto"/>
                <w:sz w:val="21"/>
                <w:szCs w:val="21"/>
                <w:highlight w:val="none"/>
              </w:rPr>
              <w:t>官网</w:t>
            </w:r>
            <w:r>
              <w:rPr>
                <w:rFonts w:hint="eastAsia" w:ascii="宋体" w:hAnsi="宋体" w:cs="宋体"/>
                <w:b/>
                <w:bCs/>
                <w:i/>
                <w:iCs/>
                <w:color w:val="auto"/>
                <w:sz w:val="21"/>
                <w:szCs w:val="21"/>
                <w:highlight w:val="none"/>
                <w:lang w:val="en-US" w:eastAsia="zh-CN"/>
              </w:rPr>
              <w:t>截图，如未提供按“</w:t>
            </w:r>
            <w:r>
              <w:rPr>
                <w:rFonts w:hint="eastAsia" w:ascii="宋体" w:hAnsi="宋体" w:eastAsia="宋体" w:cs="宋体"/>
                <w:i/>
                <w:iCs/>
                <w:color w:val="auto"/>
                <w:sz w:val="21"/>
                <w:szCs w:val="21"/>
                <w:highlight w:val="none"/>
              </w:rPr>
              <w:t>▲</w:t>
            </w:r>
            <w:r>
              <w:rPr>
                <w:rFonts w:hint="eastAsia" w:ascii="宋体" w:hAnsi="宋体" w:cs="宋体"/>
                <w:b/>
                <w:bCs/>
                <w:i/>
                <w:iCs/>
                <w:color w:val="auto"/>
                <w:sz w:val="21"/>
                <w:szCs w:val="21"/>
                <w:highlight w:val="none"/>
                <w:lang w:val="en-US" w:eastAsia="zh-CN"/>
              </w:rPr>
              <w:t>”负偏离扣分</w:t>
            </w:r>
            <w:r>
              <w:rPr>
                <w:rFonts w:hint="eastAsia" w:ascii="宋体" w:hAnsi="宋体" w:cs="宋体"/>
                <w:b/>
                <w:bCs/>
                <w:i/>
                <w:iCs/>
                <w:caps w:val="0"/>
                <w:color w:val="auto"/>
                <w:spacing w:val="0"/>
                <w:sz w:val="21"/>
                <w:szCs w:val="21"/>
                <w:highlight w:val="none"/>
                <w:lang w:val="en-US" w:eastAsia="zh-CN"/>
              </w:rPr>
              <w:t>）</w:t>
            </w:r>
          </w:p>
        </w:tc>
      </w:tr>
      <w:tr w14:paraId="3F50D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E858EAB">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89" w:type="dxa"/>
            <w:shd w:val="clear" w:color="auto" w:fill="auto"/>
            <w:vAlign w:val="center"/>
          </w:tcPr>
          <w:p w14:paraId="1FBE1A4E">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内存：每物理核心配置≥</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GB DDR5 </w:t>
            </w:r>
            <w:r>
              <w:rPr>
                <w:rFonts w:hint="default" w:ascii="宋体" w:hAnsi="宋体" w:cs="宋体"/>
                <w:color w:val="auto"/>
                <w:sz w:val="21"/>
                <w:szCs w:val="21"/>
                <w:highlight w:val="none"/>
                <w:lang w:val="en-US" w:eastAsia="zh-CN"/>
              </w:rPr>
              <w:t>5600MT/s</w:t>
            </w:r>
            <w:r>
              <w:rPr>
                <w:rFonts w:hint="eastAsia" w:ascii="宋体" w:hAnsi="宋体" w:eastAsia="宋体" w:cs="宋体"/>
                <w:color w:val="auto"/>
                <w:sz w:val="21"/>
                <w:szCs w:val="21"/>
                <w:highlight w:val="none"/>
              </w:rPr>
              <w:t>内存空间；</w:t>
            </w:r>
          </w:p>
        </w:tc>
      </w:tr>
      <w:tr w14:paraId="4F249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00" w:type="dxa"/>
            <w:shd w:val="clear" w:color="auto" w:fill="auto"/>
            <w:vAlign w:val="center"/>
          </w:tcPr>
          <w:p w14:paraId="6FF73FBC">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.4</w:t>
            </w:r>
          </w:p>
        </w:tc>
        <w:tc>
          <w:tcPr>
            <w:tcW w:w="7489" w:type="dxa"/>
            <w:shd w:val="clear" w:color="auto" w:fill="auto"/>
            <w:vAlign w:val="center"/>
          </w:tcPr>
          <w:p w14:paraId="08479705">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硬盘：配置≥2块960G SATA SSD；</w:t>
            </w:r>
          </w:p>
        </w:tc>
      </w:tr>
      <w:tr w14:paraId="67CA4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32FA76AF">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1.5</w:t>
            </w:r>
          </w:p>
        </w:tc>
        <w:tc>
          <w:tcPr>
            <w:tcW w:w="7489" w:type="dxa"/>
            <w:shd w:val="clear" w:color="auto" w:fill="auto"/>
            <w:vAlign w:val="center"/>
          </w:tcPr>
          <w:p w14:paraId="0720ED3E">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RAID：配置≥1块4G RAID卡，支持RAID 0/1/5/6/10/50/60</w:t>
            </w:r>
            <w:r>
              <w:rPr>
                <w:rFonts w:hint="eastAsia" w:ascii="宋体" w:hAnsi="宋体" w:eastAsia="宋体" w:cs="宋体"/>
                <w:color w:val="auto"/>
                <w:sz w:val="21"/>
                <w:szCs w:val="21"/>
                <w:highlight w:val="none"/>
                <w:lang w:eastAsia="zh-CN"/>
              </w:rPr>
              <w:t>；</w:t>
            </w:r>
          </w:p>
        </w:tc>
      </w:tr>
      <w:tr w14:paraId="73E73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0083DD35">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89" w:type="dxa"/>
            <w:shd w:val="clear" w:color="auto" w:fill="auto"/>
            <w:vAlign w:val="center"/>
          </w:tcPr>
          <w:p w14:paraId="54C8ACD1">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shd w:val="clear"/>
                <w:lang w:eastAsia="zh-CN"/>
              </w:rPr>
            </w:pPr>
            <w:r>
              <w:rPr>
                <w:rFonts w:hint="eastAsia" w:ascii="宋体" w:hAnsi="宋体" w:eastAsia="宋体" w:cs="宋体"/>
                <w:b w:val="0"/>
                <w:bCs w:val="0"/>
                <w:color w:val="auto"/>
                <w:sz w:val="21"/>
                <w:szCs w:val="21"/>
                <w:highlight w:val="none"/>
                <w:shd w:val="clear"/>
                <w:lang w:val="en-US" w:eastAsia="zh-CN"/>
              </w:rPr>
              <w:t>GPU：</w:t>
            </w:r>
            <w:r>
              <w:rPr>
                <w:rFonts w:hint="eastAsia" w:ascii="宋体" w:hAnsi="宋体" w:eastAsia="宋体" w:cs="宋体"/>
                <w:b w:val="0"/>
                <w:bCs w:val="0"/>
                <w:color w:val="auto"/>
                <w:sz w:val="21"/>
                <w:szCs w:val="21"/>
                <w:highlight w:val="none"/>
                <w:shd w:val="clear"/>
              </w:rPr>
              <w:t>采用GPGPU架构，配置≥8张GPU卡</w:t>
            </w:r>
            <w:r>
              <w:rPr>
                <w:rFonts w:hint="eastAsia" w:ascii="宋体" w:hAnsi="宋体" w:cs="宋体"/>
                <w:b w:val="0"/>
                <w:bCs w:val="0"/>
                <w:color w:val="auto"/>
                <w:sz w:val="21"/>
                <w:szCs w:val="21"/>
                <w:highlight w:val="none"/>
                <w:shd w:val="clear"/>
                <w:lang w:eastAsia="zh-CN"/>
              </w:rPr>
              <w:t>；</w:t>
            </w:r>
          </w:p>
          <w:p w14:paraId="5B5DD346">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shd w:val="clear"/>
              </w:rPr>
              <w:t>单卡算力指标：</w:t>
            </w:r>
            <w:r>
              <w:rPr>
                <w:rFonts w:hint="eastAsia" w:ascii="宋体" w:hAnsi="宋体" w:eastAsia="宋体" w:cs="宋体"/>
                <w:b w:val="0"/>
                <w:bCs w:val="0"/>
                <w:color w:val="auto"/>
                <w:sz w:val="21"/>
                <w:szCs w:val="21"/>
                <w:highlight w:val="none"/>
                <w:shd w:val="clear"/>
                <w:lang w:val="en-US" w:eastAsia="zh-CN"/>
              </w:rPr>
              <w:t>核心数</w:t>
            </w:r>
            <w:r>
              <w:rPr>
                <w:rFonts w:hint="eastAsia" w:ascii="宋体" w:hAnsi="宋体" w:eastAsia="宋体" w:cs="宋体"/>
                <w:b w:val="0"/>
                <w:bCs w:val="0"/>
                <w:color w:val="auto"/>
                <w:sz w:val="21"/>
                <w:szCs w:val="21"/>
                <w:highlight w:val="none"/>
                <w:shd w:val="clear"/>
              </w:rPr>
              <w:t>≥</w:t>
            </w:r>
            <w:r>
              <w:rPr>
                <w:rFonts w:hint="eastAsia" w:ascii="宋体" w:hAnsi="宋体" w:eastAsia="宋体" w:cs="宋体"/>
                <w:b w:val="0"/>
                <w:bCs w:val="0"/>
                <w:color w:val="auto"/>
                <w:sz w:val="21"/>
                <w:szCs w:val="21"/>
                <w:highlight w:val="none"/>
                <w:shd w:val="clear"/>
                <w:lang w:val="en-US" w:eastAsia="zh-CN"/>
              </w:rPr>
              <w:t>19968</w:t>
            </w:r>
            <w:r>
              <w:rPr>
                <w:rFonts w:hint="eastAsia" w:ascii="宋体" w:hAnsi="宋体" w:eastAsia="宋体" w:cs="宋体"/>
                <w:b w:val="0"/>
                <w:bCs w:val="0"/>
                <w:color w:val="auto"/>
                <w:sz w:val="21"/>
                <w:szCs w:val="21"/>
                <w:highlight w:val="none"/>
                <w:shd w:val="clear"/>
                <w:lang w:eastAsia="zh-CN"/>
              </w:rPr>
              <w:t>，</w:t>
            </w:r>
            <w:r>
              <w:rPr>
                <w:rFonts w:hint="eastAsia" w:ascii="宋体" w:hAnsi="宋体" w:eastAsia="宋体" w:cs="宋体"/>
                <w:b w:val="0"/>
                <w:bCs w:val="0"/>
                <w:color w:val="auto"/>
                <w:sz w:val="21"/>
                <w:szCs w:val="21"/>
                <w:highlight w:val="none"/>
                <w:shd w:val="clear"/>
              </w:rPr>
              <w:t>单精度（FP32</w:t>
            </w:r>
            <w:r>
              <w:rPr>
                <w:rFonts w:hint="eastAsia" w:ascii="宋体" w:hAnsi="宋体" w:eastAsia="宋体" w:cs="宋体"/>
                <w:b w:val="0"/>
                <w:bCs w:val="0"/>
                <w:color w:val="auto"/>
                <w:sz w:val="21"/>
                <w:szCs w:val="21"/>
                <w:highlight w:val="none"/>
                <w:shd w:val="clear"/>
                <w:lang w:eastAsia="zh-CN"/>
              </w:rPr>
              <w:t>）</w:t>
            </w:r>
            <w:r>
              <w:rPr>
                <w:rFonts w:hint="eastAsia" w:ascii="宋体" w:hAnsi="宋体" w:eastAsia="宋体" w:cs="宋体"/>
                <w:b w:val="0"/>
                <w:bCs w:val="0"/>
                <w:color w:val="auto"/>
                <w:sz w:val="21"/>
                <w:szCs w:val="21"/>
                <w:highlight w:val="none"/>
                <w:shd w:val="clear"/>
              </w:rPr>
              <w:t>运算能力≥</w:t>
            </w:r>
            <w:r>
              <w:rPr>
                <w:rFonts w:hint="eastAsia" w:ascii="宋体" w:hAnsi="宋体" w:eastAsia="宋体" w:cs="宋体"/>
                <w:b w:val="0"/>
                <w:bCs w:val="0"/>
                <w:color w:val="auto"/>
                <w:sz w:val="21"/>
                <w:szCs w:val="21"/>
                <w:highlight w:val="none"/>
                <w:shd w:val="clear"/>
                <w:lang w:val="en-US" w:eastAsia="zh-CN"/>
              </w:rPr>
              <w:t>97</w:t>
            </w:r>
            <w:r>
              <w:rPr>
                <w:rFonts w:hint="eastAsia" w:ascii="宋体" w:hAnsi="宋体" w:eastAsia="宋体" w:cs="宋体"/>
                <w:b w:val="0"/>
                <w:bCs w:val="0"/>
                <w:color w:val="auto"/>
                <w:sz w:val="21"/>
                <w:szCs w:val="21"/>
                <w:highlight w:val="none"/>
                <w:shd w:val="clear"/>
              </w:rPr>
              <w:t>TFlops。显存容量≥</w:t>
            </w:r>
            <w:r>
              <w:rPr>
                <w:rFonts w:hint="eastAsia" w:ascii="宋体" w:hAnsi="宋体" w:eastAsia="宋体" w:cs="宋体"/>
                <w:b w:val="0"/>
                <w:bCs w:val="0"/>
                <w:color w:val="auto"/>
                <w:sz w:val="21"/>
                <w:szCs w:val="21"/>
                <w:highlight w:val="none"/>
                <w:shd w:val="clear"/>
                <w:lang w:val="en-US" w:eastAsia="zh-CN"/>
              </w:rPr>
              <w:t>8</w:t>
            </w:r>
            <w:r>
              <w:rPr>
                <w:rFonts w:hint="eastAsia" w:ascii="宋体" w:hAnsi="宋体" w:cs="宋体"/>
                <w:b w:val="0"/>
                <w:bCs w:val="0"/>
                <w:color w:val="auto"/>
                <w:sz w:val="21"/>
                <w:szCs w:val="21"/>
                <w:highlight w:val="none"/>
                <w:shd w:val="clear"/>
                <w:lang w:val="en-US" w:eastAsia="zh-CN"/>
              </w:rPr>
              <w:t>0</w:t>
            </w:r>
            <w:r>
              <w:rPr>
                <w:rFonts w:hint="eastAsia" w:ascii="宋体" w:hAnsi="宋体" w:eastAsia="宋体" w:cs="宋体"/>
                <w:b w:val="0"/>
                <w:bCs w:val="0"/>
                <w:color w:val="auto"/>
                <w:sz w:val="21"/>
                <w:szCs w:val="21"/>
                <w:highlight w:val="none"/>
                <w:shd w:val="clear"/>
              </w:rPr>
              <w:t>GB</w:t>
            </w:r>
            <w:r>
              <w:rPr>
                <w:rFonts w:hint="eastAsia" w:ascii="宋体" w:hAnsi="宋体" w:cs="宋体"/>
                <w:b w:val="0"/>
                <w:bCs w:val="0"/>
                <w:color w:val="auto"/>
                <w:sz w:val="21"/>
                <w:szCs w:val="21"/>
                <w:highlight w:val="none"/>
                <w:shd w:val="clear"/>
                <w:lang w:val="en-US" w:eastAsia="zh-CN"/>
              </w:rPr>
              <w:t>，显存类型为</w:t>
            </w:r>
            <w:r>
              <w:rPr>
                <w:rFonts w:hint="eastAsia" w:ascii="宋体" w:hAnsi="宋体" w:eastAsia="宋体" w:cs="宋体"/>
                <w:b w:val="0"/>
                <w:bCs w:val="0"/>
                <w:color w:val="auto"/>
                <w:sz w:val="21"/>
                <w:szCs w:val="21"/>
                <w:highlight w:val="none"/>
                <w:shd w:val="clear"/>
                <w:lang w:val="en-US" w:eastAsia="zh-CN"/>
              </w:rPr>
              <w:t>GDDR</w:t>
            </w:r>
            <w:r>
              <w:rPr>
                <w:rFonts w:hint="eastAsia" w:ascii="宋体" w:hAnsi="宋体" w:cs="宋体"/>
                <w:b w:val="0"/>
                <w:bCs w:val="0"/>
                <w:color w:val="auto"/>
                <w:sz w:val="21"/>
                <w:szCs w:val="21"/>
                <w:highlight w:val="none"/>
                <w:shd w:val="clear"/>
                <w:lang w:val="en-US" w:eastAsia="zh-CN"/>
              </w:rPr>
              <w:t>6及以上，支持ECC</w:t>
            </w:r>
            <w:r>
              <w:rPr>
                <w:rFonts w:hint="eastAsia" w:ascii="宋体" w:hAnsi="宋体" w:eastAsia="宋体" w:cs="宋体"/>
                <w:b w:val="0"/>
                <w:bCs w:val="0"/>
                <w:color w:val="auto"/>
                <w:sz w:val="21"/>
                <w:szCs w:val="21"/>
                <w:highlight w:val="none"/>
                <w:shd w:val="clear"/>
              </w:rPr>
              <w:t>；</w:t>
            </w:r>
          </w:p>
        </w:tc>
      </w:tr>
      <w:tr w14:paraId="4438B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00" w:type="dxa"/>
            <w:shd w:val="clear" w:color="auto" w:fill="auto"/>
            <w:vAlign w:val="center"/>
          </w:tcPr>
          <w:p w14:paraId="2B970023">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89" w:type="dxa"/>
            <w:shd w:val="clear" w:color="auto" w:fill="auto"/>
            <w:vAlign w:val="center"/>
          </w:tcPr>
          <w:p w14:paraId="2586C012">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以太</w:t>
            </w:r>
            <w:r>
              <w:rPr>
                <w:rFonts w:hint="eastAsia" w:ascii="宋体" w:hAnsi="宋体" w:eastAsia="宋体" w:cs="宋体"/>
                <w:color w:val="auto"/>
                <w:sz w:val="21"/>
                <w:szCs w:val="21"/>
                <w:highlight w:val="none"/>
              </w:rPr>
              <w:t>网络：配置≥2个千兆网口，配置≥2个万兆网口（含模块）</w:t>
            </w:r>
            <w:r>
              <w:rPr>
                <w:rFonts w:hint="eastAsia" w:ascii="宋体" w:hAnsi="宋体" w:eastAsia="宋体" w:cs="宋体"/>
                <w:color w:val="auto"/>
                <w:sz w:val="21"/>
                <w:szCs w:val="21"/>
                <w:highlight w:val="none"/>
                <w:lang w:eastAsia="zh-CN"/>
              </w:rPr>
              <w:t>；</w:t>
            </w:r>
          </w:p>
        </w:tc>
      </w:tr>
      <w:tr w14:paraId="491B5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00" w:type="dxa"/>
            <w:shd w:val="clear" w:color="auto" w:fill="auto"/>
            <w:vAlign w:val="center"/>
          </w:tcPr>
          <w:p w14:paraId="6E51C5E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Hans"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89" w:type="dxa"/>
            <w:shd w:val="clear" w:color="auto" w:fill="auto"/>
            <w:vAlign w:val="center"/>
          </w:tcPr>
          <w:p w14:paraId="685D768E">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IB网络：配置≥1个200G IB 网络端口，系统实际传输速率≥200Gb/s</w:t>
            </w:r>
            <w:r>
              <w:rPr>
                <w:rFonts w:hint="eastAsia" w:ascii="宋体" w:hAnsi="宋体" w:eastAsia="宋体" w:cs="宋体"/>
                <w:color w:val="auto"/>
                <w:sz w:val="21"/>
                <w:szCs w:val="21"/>
                <w:highlight w:val="none"/>
                <w:lang w:eastAsia="zh-CN"/>
              </w:rPr>
              <w:t>；</w:t>
            </w:r>
          </w:p>
        </w:tc>
      </w:tr>
      <w:tr w14:paraId="6B53B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2FB5DCB9">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1.9</w:t>
            </w:r>
          </w:p>
        </w:tc>
        <w:tc>
          <w:tcPr>
            <w:tcW w:w="7489" w:type="dxa"/>
            <w:shd w:val="clear" w:color="auto" w:fill="auto"/>
            <w:vAlign w:val="center"/>
          </w:tcPr>
          <w:p w14:paraId="418C54A7">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color w:val="auto"/>
                <w:sz w:val="21"/>
                <w:szCs w:val="21"/>
                <w:highlight w:val="none"/>
              </w:rPr>
              <w:t>管理：配置≥1个独立的远程管理控制端口，支持远程监控图形界面、支持H5虚拟键盘、支持VNC功能；支持监控服务器内部主要部件的状态；支持带外获取主板、背板等板卡信息；支持RAID卡配置带外导入导出功能</w:t>
            </w:r>
            <w:r>
              <w:rPr>
                <w:rFonts w:hint="eastAsia" w:ascii="宋体" w:hAnsi="宋体" w:eastAsia="宋体" w:cs="宋体"/>
                <w:b w:val="0"/>
                <w:bCs w:val="0"/>
                <w:color w:val="auto"/>
                <w:sz w:val="21"/>
                <w:szCs w:val="21"/>
                <w:highlight w:val="none"/>
                <w:lang w:eastAsia="zh-CN"/>
              </w:rPr>
              <w:t>；</w:t>
            </w:r>
          </w:p>
        </w:tc>
      </w:tr>
      <w:tr w14:paraId="105D2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5437B7D">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1.10</w:t>
            </w:r>
          </w:p>
        </w:tc>
        <w:tc>
          <w:tcPr>
            <w:tcW w:w="7489" w:type="dxa"/>
            <w:shd w:val="clear" w:color="auto" w:fill="auto"/>
            <w:vAlign w:val="center"/>
          </w:tcPr>
          <w:p w14:paraId="55606006">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电源：满配冗余电源，支持n+n冗余</w:t>
            </w:r>
            <w:r>
              <w:rPr>
                <w:rFonts w:hint="eastAsia" w:ascii="宋体" w:hAnsi="宋体" w:eastAsia="宋体" w:cs="宋体"/>
                <w:color w:val="auto"/>
                <w:sz w:val="21"/>
                <w:szCs w:val="21"/>
                <w:highlight w:val="none"/>
                <w:lang w:eastAsia="zh-CN"/>
              </w:rPr>
              <w:t>；</w:t>
            </w:r>
          </w:p>
        </w:tc>
      </w:tr>
    </w:tbl>
    <w:p w14:paraId="39D8B9EA">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2BD033CD">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7）</w:t>
      </w:r>
      <w:r>
        <w:rPr>
          <w:rFonts w:hint="eastAsia" w:ascii="宋体" w:hAnsi="宋体" w:eastAsia="宋体" w:cs="宋体"/>
          <w:color w:val="auto"/>
          <w:sz w:val="21"/>
          <w:szCs w:val="21"/>
          <w:highlight w:val="none"/>
        </w:rPr>
        <w:t>GPU计算节点3</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473"/>
      </w:tblGrid>
      <w:tr w14:paraId="14FEC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03142E80">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73" w:type="dxa"/>
            <w:shd w:val="clear" w:color="auto" w:fill="auto"/>
            <w:vAlign w:val="center"/>
          </w:tcPr>
          <w:p w14:paraId="1DB8D87B">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16509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599B3115">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73" w:type="dxa"/>
            <w:shd w:val="clear" w:color="auto" w:fill="auto"/>
            <w:vAlign w:val="center"/>
          </w:tcPr>
          <w:p w14:paraId="2A20594D">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形态：</w:t>
            </w:r>
            <w:r>
              <w:rPr>
                <w:rFonts w:hint="eastAsia" w:ascii="宋体" w:hAnsi="宋体" w:eastAsia="宋体" w:cs="宋体"/>
                <w:color w:val="auto"/>
                <w:sz w:val="21"/>
                <w:szCs w:val="21"/>
                <w:highlight w:val="none"/>
                <w:lang w:val="en-US" w:eastAsia="zh-CN"/>
              </w:rPr>
              <w:t>4U机架式服务器</w:t>
            </w:r>
            <w:r>
              <w:rPr>
                <w:rFonts w:hint="eastAsia" w:ascii="宋体" w:hAnsi="宋体" w:eastAsia="宋体" w:cs="宋体"/>
                <w:color w:val="auto"/>
                <w:sz w:val="21"/>
                <w:szCs w:val="21"/>
                <w:highlight w:val="none"/>
                <w:lang w:eastAsia="zh-CN"/>
              </w:rPr>
              <w:t>；</w:t>
            </w:r>
          </w:p>
        </w:tc>
      </w:tr>
      <w:tr w14:paraId="19AF4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06DBF81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w:t>
            </w:r>
          </w:p>
        </w:tc>
        <w:tc>
          <w:tcPr>
            <w:tcW w:w="7473" w:type="dxa"/>
            <w:shd w:val="clear" w:color="auto" w:fill="auto"/>
            <w:vAlign w:val="center"/>
          </w:tcPr>
          <w:p w14:paraId="52825D51">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CPU：配置≥2 颗</w:t>
            </w:r>
            <w:r>
              <w:rPr>
                <w:rFonts w:hint="eastAsia" w:ascii="宋体" w:hAnsi="宋体" w:eastAsia="宋体" w:cs="宋体"/>
                <w:b w:val="0"/>
                <w:bCs w:val="0"/>
                <w:color w:val="auto"/>
                <w:sz w:val="21"/>
                <w:szCs w:val="21"/>
                <w:highlight w:val="none"/>
                <w:lang w:val="en-US" w:eastAsia="zh-CN"/>
              </w:rPr>
              <w:t>X86架构国产</w:t>
            </w:r>
            <w:r>
              <w:rPr>
                <w:rFonts w:hint="eastAsia" w:ascii="宋体" w:hAnsi="宋体" w:eastAsia="宋体" w:cs="宋体"/>
                <w:b w:val="0"/>
                <w:bCs w:val="0"/>
                <w:color w:val="auto"/>
                <w:sz w:val="21"/>
                <w:szCs w:val="21"/>
                <w:highlight w:val="none"/>
              </w:rPr>
              <w:t>处理器</w:t>
            </w:r>
            <w:r>
              <w:rPr>
                <w:rFonts w:hint="eastAsia" w:ascii="宋体" w:hAnsi="宋体" w:eastAsia="宋体" w:cs="宋体"/>
                <w:b w:val="0"/>
                <w:bCs w:val="0"/>
                <w:color w:val="auto"/>
                <w:sz w:val="21"/>
                <w:szCs w:val="21"/>
                <w:highlight w:val="none"/>
                <w:lang w:eastAsia="zh-CN"/>
              </w:rPr>
              <w:t>；</w:t>
            </w:r>
          </w:p>
          <w:p w14:paraId="57F4B14D">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b w:val="0"/>
                <w:bCs w:val="0"/>
                <w:color w:val="auto"/>
                <w:sz w:val="21"/>
                <w:szCs w:val="21"/>
                <w:highlight w:val="none"/>
              </w:rPr>
              <w:t>单颗 CPU 物理核数≥</w:t>
            </w:r>
            <w:r>
              <w:rPr>
                <w:rFonts w:hint="eastAsia" w:ascii="宋体" w:hAnsi="宋体" w:eastAsia="宋体" w:cs="宋体"/>
                <w:b w:val="0"/>
                <w:bCs w:val="0"/>
                <w:color w:val="auto"/>
                <w:sz w:val="21"/>
                <w:szCs w:val="21"/>
                <w:highlight w:val="none"/>
                <w:lang w:val="en-US" w:eastAsia="zh-CN"/>
              </w:rPr>
              <w:t>64</w:t>
            </w:r>
            <w:r>
              <w:rPr>
                <w:rFonts w:hint="eastAsia" w:ascii="宋体" w:hAnsi="宋体" w:eastAsia="宋体" w:cs="宋体"/>
                <w:b w:val="0"/>
                <w:bCs w:val="0"/>
                <w:color w:val="auto"/>
                <w:sz w:val="21"/>
                <w:szCs w:val="21"/>
                <w:highlight w:val="none"/>
              </w:rPr>
              <w:t>核，基准频率≥</w:t>
            </w:r>
            <w:r>
              <w:rPr>
                <w:rFonts w:hint="eastAsia" w:ascii="宋体" w:hAnsi="宋体" w:eastAsia="宋体" w:cs="宋体"/>
                <w:b w:val="0"/>
                <w:bCs w:val="0"/>
                <w:color w:val="auto"/>
                <w:sz w:val="21"/>
                <w:szCs w:val="21"/>
                <w:highlight w:val="none"/>
                <w:lang w:val="en-US" w:eastAsia="zh-CN"/>
              </w:rPr>
              <w:t>3.0</w:t>
            </w:r>
            <w:r>
              <w:rPr>
                <w:rFonts w:hint="eastAsia" w:ascii="宋体" w:hAnsi="宋体" w:eastAsia="宋体" w:cs="宋体"/>
                <w:b w:val="0"/>
                <w:bCs w:val="0"/>
                <w:color w:val="auto"/>
                <w:sz w:val="21"/>
                <w:szCs w:val="21"/>
                <w:highlight w:val="none"/>
              </w:rPr>
              <w:t>GHz，</w:t>
            </w:r>
            <w:r>
              <w:rPr>
                <w:rFonts w:hint="eastAsia" w:ascii="宋体" w:hAnsi="宋体" w:eastAsia="宋体" w:cs="宋体"/>
                <w:b w:val="0"/>
                <w:bCs w:val="0"/>
                <w:color w:val="auto"/>
                <w:sz w:val="21"/>
                <w:szCs w:val="21"/>
                <w:highlight w:val="none"/>
                <w:lang w:val="en-US" w:eastAsia="zh-CN"/>
              </w:rPr>
              <w:t>三级缓存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256MB</w:t>
            </w:r>
            <w:r>
              <w:rPr>
                <w:rFonts w:hint="eastAsia" w:ascii="宋体" w:hAnsi="宋体" w:eastAsia="宋体" w:cs="宋体"/>
                <w:b w:val="0"/>
                <w:bCs w:val="0"/>
                <w:color w:val="auto"/>
                <w:sz w:val="21"/>
                <w:szCs w:val="21"/>
                <w:highlight w:val="none"/>
                <w:lang w:eastAsia="zh-CN"/>
              </w:rPr>
              <w:t>；</w:t>
            </w:r>
          </w:p>
        </w:tc>
      </w:tr>
      <w:tr w14:paraId="1FD05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6EECB4F2">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73" w:type="dxa"/>
            <w:shd w:val="clear" w:color="auto" w:fill="auto"/>
            <w:vAlign w:val="center"/>
          </w:tcPr>
          <w:p w14:paraId="3C4A1AD5">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内存：每物理核心配置≥</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GB DDR5 </w:t>
            </w:r>
            <w:r>
              <w:rPr>
                <w:rFonts w:hint="default" w:ascii="宋体" w:hAnsi="宋体" w:cs="宋体"/>
                <w:color w:val="auto"/>
                <w:sz w:val="21"/>
                <w:szCs w:val="21"/>
                <w:highlight w:val="none"/>
                <w:lang w:val="en-US" w:eastAsia="zh-CN"/>
              </w:rPr>
              <w:t>5600MT/s</w:t>
            </w:r>
            <w:r>
              <w:rPr>
                <w:rFonts w:hint="eastAsia" w:ascii="宋体" w:hAnsi="宋体" w:eastAsia="宋体" w:cs="宋体"/>
                <w:color w:val="auto"/>
                <w:sz w:val="21"/>
                <w:szCs w:val="21"/>
                <w:highlight w:val="none"/>
              </w:rPr>
              <w:t>内存空间；</w:t>
            </w:r>
          </w:p>
        </w:tc>
      </w:tr>
      <w:tr w14:paraId="1F348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16" w:type="dxa"/>
            <w:shd w:val="clear" w:color="auto" w:fill="auto"/>
            <w:vAlign w:val="center"/>
          </w:tcPr>
          <w:p w14:paraId="7C2F6F45">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.4</w:t>
            </w:r>
          </w:p>
        </w:tc>
        <w:tc>
          <w:tcPr>
            <w:tcW w:w="7473" w:type="dxa"/>
            <w:shd w:val="clear" w:color="auto" w:fill="auto"/>
            <w:vAlign w:val="center"/>
          </w:tcPr>
          <w:p w14:paraId="524EDA64">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硬盘：配置≥2块960G SATA SSD；</w:t>
            </w:r>
          </w:p>
        </w:tc>
      </w:tr>
      <w:tr w14:paraId="201A0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45E52E26">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1.5</w:t>
            </w:r>
          </w:p>
        </w:tc>
        <w:tc>
          <w:tcPr>
            <w:tcW w:w="7473" w:type="dxa"/>
            <w:shd w:val="clear" w:color="auto" w:fill="auto"/>
            <w:vAlign w:val="center"/>
          </w:tcPr>
          <w:p w14:paraId="766C58B8">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RAID：配置≥1块4G RAID卡，支持RAID 0/1/5/6/10/50/60</w:t>
            </w:r>
            <w:r>
              <w:rPr>
                <w:rFonts w:hint="eastAsia" w:ascii="宋体" w:hAnsi="宋体" w:eastAsia="宋体" w:cs="宋体"/>
                <w:color w:val="auto"/>
                <w:sz w:val="21"/>
                <w:szCs w:val="21"/>
                <w:highlight w:val="none"/>
                <w:lang w:eastAsia="zh-CN"/>
              </w:rPr>
              <w:t>；</w:t>
            </w:r>
          </w:p>
        </w:tc>
      </w:tr>
      <w:tr w14:paraId="45A7E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0C3C2BDC">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73" w:type="dxa"/>
            <w:shd w:val="clear" w:color="auto" w:fill="auto"/>
            <w:vAlign w:val="center"/>
          </w:tcPr>
          <w:p w14:paraId="31E1D2AF">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shd w:val="clear"/>
                <w:lang w:eastAsia="zh-CN"/>
              </w:rPr>
            </w:pPr>
            <w:r>
              <w:rPr>
                <w:rFonts w:hint="eastAsia" w:ascii="宋体" w:hAnsi="宋体" w:eastAsia="宋体" w:cs="宋体"/>
                <w:b w:val="0"/>
                <w:bCs w:val="0"/>
                <w:color w:val="auto"/>
                <w:sz w:val="21"/>
                <w:szCs w:val="21"/>
                <w:highlight w:val="none"/>
                <w:shd w:val="clear"/>
                <w:lang w:val="en-US" w:eastAsia="zh-CN"/>
              </w:rPr>
              <w:t>GPU：</w:t>
            </w:r>
            <w:r>
              <w:rPr>
                <w:rFonts w:hint="eastAsia" w:ascii="宋体" w:hAnsi="宋体" w:eastAsia="宋体" w:cs="宋体"/>
                <w:b w:val="0"/>
                <w:bCs w:val="0"/>
                <w:color w:val="auto"/>
                <w:sz w:val="21"/>
                <w:szCs w:val="21"/>
                <w:highlight w:val="none"/>
                <w:shd w:val="clear"/>
              </w:rPr>
              <w:t>采用GPGPU架构，配置≥8块双宽显卡</w:t>
            </w:r>
            <w:r>
              <w:rPr>
                <w:rFonts w:hint="eastAsia" w:ascii="宋体" w:hAnsi="宋体" w:cs="宋体"/>
                <w:b w:val="0"/>
                <w:bCs w:val="0"/>
                <w:color w:val="auto"/>
                <w:sz w:val="21"/>
                <w:szCs w:val="21"/>
                <w:highlight w:val="none"/>
                <w:shd w:val="clear"/>
                <w:lang w:eastAsia="zh-CN"/>
              </w:rPr>
              <w:t>；</w:t>
            </w:r>
          </w:p>
          <w:p w14:paraId="737E5C49">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b w:val="0"/>
                <w:bCs w:val="0"/>
                <w:color w:val="auto"/>
                <w:sz w:val="21"/>
                <w:szCs w:val="21"/>
                <w:highlight w:val="none"/>
                <w:shd w:val="clear"/>
              </w:rPr>
              <w:t>单块显卡显存容量≥</w:t>
            </w:r>
            <w:r>
              <w:rPr>
                <w:rFonts w:hint="eastAsia" w:ascii="宋体" w:hAnsi="宋体" w:eastAsia="宋体" w:cs="宋体"/>
                <w:b w:val="0"/>
                <w:bCs w:val="0"/>
                <w:color w:val="auto"/>
                <w:sz w:val="21"/>
                <w:szCs w:val="21"/>
                <w:highlight w:val="none"/>
                <w:shd w:val="clear"/>
                <w:lang w:val="en-US" w:eastAsia="zh-CN"/>
              </w:rPr>
              <w:t>64</w:t>
            </w:r>
            <w:r>
              <w:rPr>
                <w:rFonts w:hint="eastAsia" w:ascii="宋体" w:hAnsi="宋体" w:eastAsia="宋体" w:cs="宋体"/>
                <w:b w:val="0"/>
                <w:bCs w:val="0"/>
                <w:color w:val="auto"/>
                <w:sz w:val="21"/>
                <w:szCs w:val="21"/>
                <w:highlight w:val="none"/>
                <w:shd w:val="clear"/>
              </w:rPr>
              <w:t>GB，显存带宽≥</w:t>
            </w:r>
            <w:r>
              <w:rPr>
                <w:rFonts w:hint="eastAsia" w:ascii="宋体" w:hAnsi="宋体" w:eastAsia="宋体" w:cs="宋体"/>
                <w:b w:val="0"/>
                <w:bCs w:val="0"/>
                <w:color w:val="auto"/>
                <w:sz w:val="21"/>
                <w:szCs w:val="21"/>
                <w:highlight w:val="none"/>
                <w:shd w:val="clear"/>
                <w:lang w:val="en-US" w:eastAsia="zh-CN"/>
              </w:rPr>
              <w:t>1.8T</w:t>
            </w:r>
            <w:r>
              <w:rPr>
                <w:rFonts w:hint="eastAsia" w:ascii="宋体" w:hAnsi="宋体" w:eastAsia="宋体" w:cs="宋体"/>
                <w:b w:val="0"/>
                <w:bCs w:val="0"/>
                <w:color w:val="auto"/>
                <w:sz w:val="21"/>
                <w:szCs w:val="21"/>
                <w:highlight w:val="none"/>
                <w:shd w:val="clear"/>
              </w:rPr>
              <w:t>B/s，</w:t>
            </w:r>
            <w:r>
              <w:rPr>
                <w:rFonts w:hint="eastAsia" w:ascii="宋体" w:hAnsi="宋体" w:eastAsia="宋体" w:cs="宋体"/>
                <w:b w:val="0"/>
                <w:bCs w:val="0"/>
                <w:color w:val="auto"/>
                <w:sz w:val="21"/>
                <w:szCs w:val="21"/>
                <w:highlight w:val="none"/>
                <w:shd w:val="clear"/>
                <w:lang w:val="en-US" w:eastAsia="zh-CN"/>
              </w:rPr>
              <w:t>双</w:t>
            </w:r>
            <w:r>
              <w:rPr>
                <w:rFonts w:hint="eastAsia" w:ascii="宋体" w:hAnsi="宋体" w:eastAsia="宋体" w:cs="宋体"/>
                <w:b w:val="0"/>
                <w:bCs w:val="0"/>
                <w:color w:val="auto"/>
                <w:sz w:val="21"/>
                <w:szCs w:val="21"/>
                <w:highlight w:val="none"/>
                <w:shd w:val="clear"/>
              </w:rPr>
              <w:t>精度（FP</w:t>
            </w:r>
            <w:r>
              <w:rPr>
                <w:rFonts w:hint="eastAsia" w:ascii="宋体" w:hAnsi="宋体" w:eastAsia="宋体" w:cs="宋体"/>
                <w:b w:val="0"/>
                <w:bCs w:val="0"/>
                <w:color w:val="auto"/>
                <w:sz w:val="21"/>
                <w:szCs w:val="21"/>
                <w:highlight w:val="none"/>
                <w:shd w:val="clear"/>
                <w:lang w:val="en-US" w:eastAsia="zh-CN"/>
              </w:rPr>
              <w:t>64</w:t>
            </w:r>
            <w:r>
              <w:rPr>
                <w:rFonts w:hint="eastAsia" w:ascii="宋体" w:hAnsi="宋体" w:eastAsia="宋体" w:cs="宋体"/>
                <w:b w:val="0"/>
                <w:bCs w:val="0"/>
                <w:color w:val="auto"/>
                <w:sz w:val="21"/>
                <w:szCs w:val="21"/>
                <w:highlight w:val="none"/>
                <w:shd w:val="clear"/>
                <w:lang w:eastAsia="zh-CN"/>
              </w:rPr>
              <w:t>）</w:t>
            </w:r>
            <w:r>
              <w:rPr>
                <w:rFonts w:hint="eastAsia" w:ascii="宋体" w:hAnsi="宋体" w:eastAsia="宋体" w:cs="宋体"/>
                <w:b w:val="0"/>
                <w:bCs w:val="0"/>
                <w:color w:val="auto"/>
                <w:sz w:val="21"/>
                <w:szCs w:val="21"/>
                <w:highlight w:val="none"/>
                <w:shd w:val="clear"/>
              </w:rPr>
              <w:t>计算能力≥</w:t>
            </w:r>
            <w:r>
              <w:rPr>
                <w:rFonts w:hint="eastAsia" w:ascii="宋体" w:hAnsi="宋体" w:eastAsia="宋体" w:cs="宋体"/>
                <w:b w:val="0"/>
                <w:bCs w:val="0"/>
                <w:color w:val="auto"/>
                <w:sz w:val="21"/>
                <w:szCs w:val="21"/>
                <w:highlight w:val="none"/>
                <w:shd w:val="clear"/>
                <w:lang w:val="en-US" w:eastAsia="zh-CN"/>
              </w:rPr>
              <w:t>21</w:t>
            </w:r>
            <w:r>
              <w:rPr>
                <w:rFonts w:hint="eastAsia" w:ascii="宋体" w:hAnsi="宋体" w:eastAsia="宋体" w:cs="宋体"/>
                <w:b w:val="0"/>
                <w:bCs w:val="0"/>
                <w:color w:val="auto"/>
                <w:sz w:val="21"/>
                <w:szCs w:val="21"/>
                <w:highlight w:val="none"/>
                <w:shd w:val="clear"/>
              </w:rPr>
              <w:t>TFLOPS，单精度（FP32</w:t>
            </w:r>
            <w:r>
              <w:rPr>
                <w:rFonts w:hint="eastAsia" w:ascii="宋体" w:hAnsi="宋体" w:eastAsia="宋体" w:cs="宋体"/>
                <w:b w:val="0"/>
                <w:bCs w:val="0"/>
                <w:color w:val="auto"/>
                <w:sz w:val="21"/>
                <w:szCs w:val="21"/>
                <w:highlight w:val="none"/>
                <w:shd w:val="clear"/>
                <w:lang w:eastAsia="zh-CN"/>
              </w:rPr>
              <w:t>）</w:t>
            </w:r>
            <w:r>
              <w:rPr>
                <w:rFonts w:hint="eastAsia" w:ascii="宋体" w:hAnsi="宋体" w:eastAsia="宋体" w:cs="宋体"/>
                <w:b w:val="0"/>
                <w:bCs w:val="0"/>
                <w:color w:val="auto"/>
                <w:sz w:val="21"/>
                <w:szCs w:val="21"/>
                <w:highlight w:val="none"/>
                <w:shd w:val="clear"/>
              </w:rPr>
              <w:t>计算能力≥</w:t>
            </w:r>
            <w:r>
              <w:rPr>
                <w:rFonts w:hint="eastAsia" w:ascii="宋体" w:hAnsi="宋体" w:eastAsia="宋体" w:cs="宋体"/>
                <w:b w:val="0"/>
                <w:bCs w:val="0"/>
                <w:color w:val="auto"/>
                <w:sz w:val="21"/>
                <w:szCs w:val="21"/>
                <w:highlight w:val="none"/>
                <w:shd w:val="clear"/>
                <w:lang w:val="en-US" w:eastAsia="zh-CN"/>
              </w:rPr>
              <w:t>42</w:t>
            </w:r>
            <w:r>
              <w:rPr>
                <w:rFonts w:hint="eastAsia" w:ascii="宋体" w:hAnsi="宋体" w:eastAsia="宋体" w:cs="宋体"/>
                <w:b w:val="0"/>
                <w:bCs w:val="0"/>
                <w:color w:val="auto"/>
                <w:sz w:val="21"/>
                <w:szCs w:val="21"/>
                <w:highlight w:val="none"/>
                <w:shd w:val="clear"/>
              </w:rPr>
              <w:t>TFLOPS，单精度（</w:t>
            </w:r>
            <w:r>
              <w:rPr>
                <w:rFonts w:hint="eastAsia" w:ascii="宋体" w:hAnsi="宋体" w:eastAsia="宋体" w:cs="宋体"/>
                <w:b w:val="0"/>
                <w:bCs w:val="0"/>
                <w:color w:val="auto"/>
                <w:sz w:val="21"/>
                <w:szCs w:val="21"/>
                <w:highlight w:val="none"/>
                <w:shd w:val="clear"/>
                <w:lang w:val="en-US" w:eastAsia="zh-CN"/>
              </w:rPr>
              <w:t>TF</w:t>
            </w:r>
            <w:r>
              <w:rPr>
                <w:rFonts w:hint="eastAsia" w:ascii="宋体" w:hAnsi="宋体" w:eastAsia="宋体" w:cs="宋体"/>
                <w:b w:val="0"/>
                <w:bCs w:val="0"/>
                <w:color w:val="auto"/>
                <w:sz w:val="21"/>
                <w:szCs w:val="21"/>
                <w:highlight w:val="none"/>
                <w:shd w:val="clear"/>
              </w:rPr>
              <w:t>32</w:t>
            </w:r>
            <w:r>
              <w:rPr>
                <w:rFonts w:hint="eastAsia" w:ascii="宋体" w:hAnsi="宋体" w:eastAsia="宋体" w:cs="宋体"/>
                <w:b w:val="0"/>
                <w:bCs w:val="0"/>
                <w:color w:val="auto"/>
                <w:sz w:val="21"/>
                <w:szCs w:val="21"/>
                <w:highlight w:val="none"/>
                <w:shd w:val="clear"/>
                <w:lang w:eastAsia="zh-CN"/>
              </w:rPr>
              <w:t>）</w:t>
            </w:r>
            <w:r>
              <w:rPr>
                <w:rFonts w:hint="eastAsia" w:ascii="宋体" w:hAnsi="宋体" w:eastAsia="宋体" w:cs="宋体"/>
                <w:b w:val="0"/>
                <w:bCs w:val="0"/>
                <w:color w:val="auto"/>
                <w:sz w:val="21"/>
                <w:szCs w:val="21"/>
                <w:highlight w:val="none"/>
                <w:shd w:val="clear"/>
              </w:rPr>
              <w:t>计算能力≥</w:t>
            </w:r>
            <w:r>
              <w:rPr>
                <w:rFonts w:hint="eastAsia" w:ascii="宋体" w:hAnsi="宋体" w:eastAsia="宋体" w:cs="宋体"/>
                <w:b w:val="0"/>
                <w:bCs w:val="0"/>
                <w:color w:val="auto"/>
                <w:sz w:val="21"/>
                <w:szCs w:val="21"/>
                <w:highlight w:val="none"/>
                <w:shd w:val="clear"/>
                <w:lang w:val="en-US" w:eastAsia="zh-CN"/>
              </w:rPr>
              <w:t>170</w:t>
            </w:r>
            <w:r>
              <w:rPr>
                <w:rFonts w:hint="eastAsia" w:ascii="宋体" w:hAnsi="宋体" w:eastAsia="宋体" w:cs="宋体"/>
                <w:b w:val="0"/>
                <w:bCs w:val="0"/>
                <w:color w:val="auto"/>
                <w:sz w:val="21"/>
                <w:szCs w:val="21"/>
                <w:highlight w:val="none"/>
                <w:shd w:val="clear"/>
              </w:rPr>
              <w:t>TFLOPS</w:t>
            </w:r>
            <w:r>
              <w:rPr>
                <w:rFonts w:hint="eastAsia" w:ascii="宋体" w:hAnsi="宋体" w:eastAsia="宋体" w:cs="宋体"/>
                <w:b w:val="0"/>
                <w:bCs w:val="0"/>
                <w:color w:val="auto"/>
                <w:sz w:val="21"/>
                <w:szCs w:val="21"/>
                <w:highlight w:val="none"/>
                <w:shd w:val="clear"/>
                <w:lang w:eastAsia="zh-CN"/>
              </w:rPr>
              <w:t>，</w:t>
            </w:r>
            <w:r>
              <w:rPr>
                <w:rFonts w:hint="eastAsia" w:ascii="宋体" w:hAnsi="宋体" w:eastAsia="宋体" w:cs="宋体"/>
                <w:b w:val="0"/>
                <w:bCs w:val="0"/>
                <w:color w:val="auto"/>
                <w:sz w:val="21"/>
                <w:szCs w:val="21"/>
                <w:highlight w:val="none"/>
                <w:shd w:val="clear"/>
              </w:rPr>
              <w:t>半精度（FP16</w:t>
            </w:r>
            <w:r>
              <w:rPr>
                <w:rFonts w:hint="eastAsia" w:ascii="宋体" w:hAnsi="宋体" w:eastAsia="宋体" w:cs="宋体"/>
                <w:b w:val="0"/>
                <w:bCs w:val="0"/>
                <w:color w:val="auto"/>
                <w:sz w:val="21"/>
                <w:szCs w:val="21"/>
                <w:highlight w:val="none"/>
                <w:shd w:val="clear"/>
                <w:lang w:val="en-US" w:eastAsia="zh-CN"/>
              </w:rPr>
              <w:t>/BF16</w:t>
            </w:r>
            <w:r>
              <w:rPr>
                <w:rFonts w:hint="eastAsia" w:ascii="宋体" w:hAnsi="宋体" w:eastAsia="宋体" w:cs="宋体"/>
                <w:b w:val="0"/>
                <w:bCs w:val="0"/>
                <w:color w:val="auto"/>
                <w:sz w:val="21"/>
                <w:szCs w:val="21"/>
                <w:highlight w:val="none"/>
                <w:shd w:val="clear"/>
              </w:rPr>
              <w:t>）计算能力≥</w:t>
            </w:r>
            <w:r>
              <w:rPr>
                <w:rFonts w:hint="eastAsia" w:ascii="宋体" w:hAnsi="宋体" w:eastAsia="宋体" w:cs="宋体"/>
                <w:b w:val="0"/>
                <w:bCs w:val="0"/>
                <w:color w:val="auto"/>
                <w:sz w:val="21"/>
                <w:szCs w:val="21"/>
                <w:highlight w:val="none"/>
                <w:shd w:val="clear"/>
                <w:lang w:val="en-US" w:eastAsia="zh-CN"/>
              </w:rPr>
              <w:t>340</w:t>
            </w:r>
            <w:r>
              <w:rPr>
                <w:rFonts w:hint="eastAsia" w:ascii="宋体" w:hAnsi="宋体" w:eastAsia="宋体" w:cs="宋体"/>
                <w:b w:val="0"/>
                <w:bCs w:val="0"/>
                <w:color w:val="auto"/>
                <w:sz w:val="21"/>
                <w:szCs w:val="21"/>
                <w:highlight w:val="none"/>
                <w:shd w:val="clear"/>
              </w:rPr>
              <w:t xml:space="preserve"> TFLOPS</w:t>
            </w:r>
            <w:r>
              <w:rPr>
                <w:rFonts w:hint="eastAsia" w:ascii="宋体" w:hAnsi="宋体" w:cs="宋体"/>
                <w:b w:val="0"/>
                <w:bCs w:val="0"/>
                <w:color w:val="auto"/>
                <w:sz w:val="21"/>
                <w:szCs w:val="21"/>
                <w:highlight w:val="none"/>
                <w:shd w:val="clear"/>
                <w:lang w:eastAsia="zh-CN"/>
              </w:rPr>
              <w:t>；</w:t>
            </w:r>
          </w:p>
        </w:tc>
      </w:tr>
      <w:tr w14:paraId="72793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16" w:type="dxa"/>
            <w:shd w:val="clear" w:color="auto" w:fill="auto"/>
            <w:vAlign w:val="center"/>
          </w:tcPr>
          <w:p w14:paraId="0DBB3151">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73" w:type="dxa"/>
            <w:shd w:val="clear" w:color="auto" w:fill="auto"/>
            <w:vAlign w:val="center"/>
          </w:tcPr>
          <w:p w14:paraId="3BFCE22F">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以太</w:t>
            </w:r>
            <w:r>
              <w:rPr>
                <w:rFonts w:hint="eastAsia" w:ascii="宋体" w:hAnsi="宋体" w:eastAsia="宋体" w:cs="宋体"/>
                <w:color w:val="auto"/>
                <w:sz w:val="21"/>
                <w:szCs w:val="21"/>
                <w:highlight w:val="none"/>
              </w:rPr>
              <w:t>网络：配置≥2个千兆网口，配置≥2个万兆网口（含模块）</w:t>
            </w:r>
            <w:r>
              <w:rPr>
                <w:rFonts w:hint="eastAsia" w:ascii="宋体" w:hAnsi="宋体" w:eastAsia="宋体" w:cs="宋体"/>
                <w:color w:val="auto"/>
                <w:sz w:val="21"/>
                <w:szCs w:val="21"/>
                <w:highlight w:val="none"/>
                <w:lang w:eastAsia="zh-CN"/>
              </w:rPr>
              <w:t>；</w:t>
            </w:r>
          </w:p>
        </w:tc>
      </w:tr>
      <w:tr w14:paraId="1BAE6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16" w:type="dxa"/>
            <w:shd w:val="clear" w:color="auto" w:fill="auto"/>
            <w:vAlign w:val="center"/>
          </w:tcPr>
          <w:p w14:paraId="5CACF52A">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Hans"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73" w:type="dxa"/>
            <w:shd w:val="clear" w:color="auto" w:fill="auto"/>
            <w:vAlign w:val="center"/>
          </w:tcPr>
          <w:p w14:paraId="42E2C5C3">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IB网络：配置≥1个200G IB 网络端口，系统实际传输速率≥200Gb/s</w:t>
            </w:r>
            <w:r>
              <w:rPr>
                <w:rFonts w:hint="eastAsia" w:ascii="宋体" w:hAnsi="宋体" w:eastAsia="宋体" w:cs="宋体"/>
                <w:color w:val="auto"/>
                <w:sz w:val="21"/>
                <w:szCs w:val="21"/>
                <w:highlight w:val="none"/>
                <w:lang w:eastAsia="zh-CN"/>
              </w:rPr>
              <w:t>；</w:t>
            </w:r>
          </w:p>
        </w:tc>
      </w:tr>
      <w:tr w14:paraId="24FDB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3CE39C01">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1.9</w:t>
            </w:r>
          </w:p>
        </w:tc>
        <w:tc>
          <w:tcPr>
            <w:tcW w:w="7473" w:type="dxa"/>
            <w:shd w:val="clear" w:color="auto" w:fill="auto"/>
            <w:vAlign w:val="center"/>
          </w:tcPr>
          <w:p w14:paraId="7B604A2F">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color w:val="auto"/>
                <w:sz w:val="21"/>
                <w:szCs w:val="21"/>
                <w:highlight w:val="none"/>
              </w:rPr>
              <w:t>管理：配置≥1个独立的远程管理控制端口，支持远程监控图形界面、支持H5虚拟键盘、支持VNC功能；支持监控服务器内部主要部件的状态；支持带外获取主板、背板等板卡信息；支持RAID卡配置带外导入导出功能</w:t>
            </w:r>
            <w:r>
              <w:rPr>
                <w:rFonts w:hint="eastAsia" w:ascii="宋体" w:hAnsi="宋体" w:eastAsia="宋体" w:cs="宋体"/>
                <w:b w:val="0"/>
                <w:bCs w:val="0"/>
                <w:color w:val="auto"/>
                <w:sz w:val="21"/>
                <w:szCs w:val="21"/>
                <w:highlight w:val="none"/>
                <w:lang w:eastAsia="zh-CN"/>
              </w:rPr>
              <w:t>；</w:t>
            </w:r>
          </w:p>
        </w:tc>
      </w:tr>
      <w:tr w14:paraId="399E2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35B3021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1.10</w:t>
            </w:r>
          </w:p>
        </w:tc>
        <w:tc>
          <w:tcPr>
            <w:tcW w:w="7473" w:type="dxa"/>
            <w:shd w:val="clear" w:color="auto" w:fill="auto"/>
            <w:vAlign w:val="center"/>
          </w:tcPr>
          <w:p w14:paraId="09D4509A">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电源：满配冗余电源，支持n+n冗余</w:t>
            </w:r>
            <w:r>
              <w:rPr>
                <w:rFonts w:hint="eastAsia" w:ascii="宋体" w:hAnsi="宋体" w:eastAsia="宋体" w:cs="宋体"/>
                <w:color w:val="auto"/>
                <w:sz w:val="21"/>
                <w:szCs w:val="21"/>
                <w:highlight w:val="none"/>
                <w:lang w:eastAsia="zh-CN"/>
              </w:rPr>
              <w:t>；</w:t>
            </w:r>
          </w:p>
        </w:tc>
      </w:tr>
    </w:tbl>
    <w:p w14:paraId="0D8563F9">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36A6610A">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8）</w:t>
      </w:r>
      <w:r>
        <w:rPr>
          <w:rFonts w:hint="eastAsia" w:ascii="宋体" w:hAnsi="宋体" w:eastAsia="宋体" w:cs="宋体"/>
          <w:color w:val="auto"/>
          <w:sz w:val="21"/>
          <w:szCs w:val="21"/>
          <w:highlight w:val="none"/>
          <w:lang w:val="en-US" w:eastAsia="zh-CN"/>
        </w:rPr>
        <w:t>超融合节点</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473"/>
      </w:tblGrid>
      <w:tr w14:paraId="1C209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08B6FCDC">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73" w:type="dxa"/>
            <w:shd w:val="clear" w:color="auto" w:fill="auto"/>
            <w:vAlign w:val="center"/>
          </w:tcPr>
          <w:p w14:paraId="35483192">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24117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09156103">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73" w:type="dxa"/>
            <w:shd w:val="clear" w:color="auto" w:fill="auto"/>
            <w:vAlign w:val="center"/>
          </w:tcPr>
          <w:p w14:paraId="5524D168">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形态：2U机架式</w:t>
            </w:r>
            <w:r>
              <w:rPr>
                <w:rFonts w:hint="eastAsia" w:ascii="宋体" w:hAnsi="宋体" w:eastAsia="宋体" w:cs="宋体"/>
                <w:color w:val="auto"/>
                <w:sz w:val="21"/>
                <w:szCs w:val="21"/>
                <w:highlight w:val="none"/>
                <w:lang w:eastAsia="zh-Hans"/>
              </w:rPr>
              <w:t>服务器</w:t>
            </w:r>
            <w:r>
              <w:rPr>
                <w:rFonts w:hint="eastAsia" w:ascii="宋体" w:hAnsi="宋体" w:eastAsia="宋体" w:cs="宋体"/>
                <w:color w:val="auto"/>
                <w:sz w:val="21"/>
                <w:szCs w:val="21"/>
                <w:highlight w:val="none"/>
                <w:lang w:eastAsia="zh-CN"/>
              </w:rPr>
              <w:t>；</w:t>
            </w:r>
          </w:p>
        </w:tc>
      </w:tr>
      <w:tr w14:paraId="2E37B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3237300A">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w:t>
            </w:r>
          </w:p>
        </w:tc>
        <w:tc>
          <w:tcPr>
            <w:tcW w:w="7473" w:type="dxa"/>
            <w:shd w:val="clear" w:color="auto" w:fill="auto"/>
            <w:vAlign w:val="center"/>
          </w:tcPr>
          <w:p w14:paraId="15CEF909">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CPU：配置≥2 颗 </w:t>
            </w:r>
            <w:r>
              <w:rPr>
                <w:rFonts w:hint="eastAsia" w:ascii="宋体" w:hAnsi="宋体" w:cs="宋体"/>
                <w:b w:val="0"/>
                <w:bCs w:val="0"/>
                <w:color w:val="auto"/>
                <w:sz w:val="21"/>
                <w:szCs w:val="21"/>
                <w:highlight w:val="none"/>
                <w:lang w:val="en-US" w:eastAsia="zh-CN"/>
              </w:rPr>
              <w:t>X86处理器</w:t>
            </w:r>
            <w:r>
              <w:rPr>
                <w:rFonts w:hint="eastAsia" w:ascii="宋体" w:hAnsi="宋体" w:cs="宋体"/>
                <w:b w:val="0"/>
                <w:bCs w:val="0"/>
                <w:color w:val="auto"/>
                <w:sz w:val="21"/>
                <w:szCs w:val="21"/>
                <w:highlight w:val="none"/>
                <w:lang w:eastAsia="zh-CN"/>
              </w:rPr>
              <w:t>；</w:t>
            </w:r>
          </w:p>
          <w:p w14:paraId="71808EB9">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b w:val="0"/>
                <w:bCs w:val="0"/>
                <w:color w:val="auto"/>
                <w:sz w:val="21"/>
                <w:szCs w:val="21"/>
                <w:highlight w:val="none"/>
              </w:rPr>
              <w:t>单颗 CPU 物理核数≥32核，基准频率≥2.</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GHz</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最大睿频频率</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GHz</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缓存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160MB，TDP</w:t>
            </w:r>
            <w:r>
              <w:rPr>
                <w:rFonts w:hint="eastAsia" w:ascii="宋体" w:hAnsi="宋体" w:eastAsia="宋体" w:cs="宋体"/>
                <w:b w:val="0"/>
                <w:bCs w:val="0"/>
                <w:i w:val="0"/>
                <w:iCs w:val="0"/>
                <w:caps w:val="0"/>
                <w:color w:val="auto"/>
                <w:spacing w:val="0"/>
                <w:sz w:val="21"/>
                <w:szCs w:val="21"/>
                <w:highlight w:val="none"/>
              </w:rPr>
              <w:t>≤</w:t>
            </w:r>
            <w:r>
              <w:rPr>
                <w:rFonts w:hint="eastAsia" w:ascii="宋体" w:hAnsi="宋体" w:eastAsia="宋体" w:cs="宋体"/>
                <w:b w:val="0"/>
                <w:bCs w:val="0"/>
                <w:i w:val="0"/>
                <w:iCs w:val="0"/>
                <w:caps w:val="0"/>
                <w:color w:val="auto"/>
                <w:spacing w:val="0"/>
                <w:sz w:val="21"/>
                <w:szCs w:val="21"/>
                <w:highlight w:val="none"/>
                <w:lang w:val="en-US" w:eastAsia="zh-CN"/>
              </w:rPr>
              <w:t>270W</w:t>
            </w:r>
            <w:r>
              <w:rPr>
                <w:rFonts w:hint="eastAsia" w:ascii="宋体" w:hAnsi="宋体" w:eastAsia="宋体" w:cs="宋体"/>
                <w:b w:val="0"/>
                <w:bCs w:val="0"/>
                <w:color w:val="auto"/>
                <w:sz w:val="21"/>
                <w:szCs w:val="21"/>
                <w:highlight w:val="none"/>
              </w:rPr>
              <w:t>；</w:t>
            </w:r>
            <w:r>
              <w:rPr>
                <w:rFonts w:hint="eastAsia" w:ascii="宋体" w:hAnsi="宋体" w:cs="宋体"/>
                <w:b/>
                <w:bCs/>
                <w:i/>
                <w:iCs/>
                <w:caps w:val="0"/>
                <w:color w:val="auto"/>
                <w:spacing w:val="0"/>
                <w:sz w:val="21"/>
                <w:szCs w:val="21"/>
                <w:highlight w:val="none"/>
                <w:lang w:val="en-US" w:eastAsia="zh-CN"/>
              </w:rPr>
              <w:t>（提供</w:t>
            </w:r>
            <w:r>
              <w:rPr>
                <w:rFonts w:hint="eastAsia" w:ascii="宋体" w:hAnsi="宋体" w:cs="宋体"/>
                <w:b/>
                <w:bCs/>
                <w:i/>
                <w:iCs/>
                <w:color w:val="auto"/>
                <w:sz w:val="21"/>
                <w:szCs w:val="21"/>
                <w:highlight w:val="none"/>
              </w:rPr>
              <w:t>官网</w:t>
            </w:r>
            <w:r>
              <w:rPr>
                <w:rFonts w:hint="eastAsia" w:ascii="宋体" w:hAnsi="宋体" w:cs="宋体"/>
                <w:b/>
                <w:bCs/>
                <w:i/>
                <w:iCs/>
                <w:color w:val="auto"/>
                <w:sz w:val="21"/>
                <w:szCs w:val="21"/>
                <w:highlight w:val="none"/>
                <w:lang w:val="en-US" w:eastAsia="zh-CN"/>
              </w:rPr>
              <w:t>截图，如未提供按“其他”负偏离扣分</w:t>
            </w:r>
            <w:r>
              <w:rPr>
                <w:rFonts w:hint="eastAsia" w:ascii="宋体" w:hAnsi="宋体" w:cs="宋体"/>
                <w:b/>
                <w:bCs/>
                <w:i/>
                <w:iCs/>
                <w:caps w:val="0"/>
                <w:color w:val="auto"/>
                <w:spacing w:val="0"/>
                <w:sz w:val="21"/>
                <w:szCs w:val="21"/>
                <w:highlight w:val="none"/>
                <w:lang w:val="en-US" w:eastAsia="zh-CN"/>
              </w:rPr>
              <w:t>）</w:t>
            </w:r>
          </w:p>
        </w:tc>
      </w:tr>
      <w:tr w14:paraId="7EE7E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4FAD7489">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73" w:type="dxa"/>
            <w:shd w:val="clear" w:color="auto" w:fill="auto"/>
            <w:vAlign w:val="center"/>
          </w:tcPr>
          <w:p w14:paraId="36CC17C0">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内存：每</w:t>
            </w:r>
            <w:r>
              <w:rPr>
                <w:rFonts w:hint="eastAsia" w:ascii="宋体" w:hAnsi="宋体" w:eastAsia="宋体" w:cs="宋体"/>
                <w:color w:val="auto"/>
                <w:sz w:val="21"/>
                <w:szCs w:val="21"/>
                <w:highlight w:val="none"/>
                <w:lang w:eastAsia="zh-Hans"/>
              </w:rPr>
              <w:t>物理</w:t>
            </w:r>
            <w:r>
              <w:rPr>
                <w:rFonts w:hint="eastAsia" w:ascii="宋体" w:hAnsi="宋体" w:eastAsia="宋体" w:cs="宋体"/>
                <w:color w:val="auto"/>
                <w:sz w:val="21"/>
                <w:szCs w:val="21"/>
                <w:highlight w:val="none"/>
              </w:rPr>
              <w:t>核心配置≥</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GB</w:t>
            </w:r>
            <w:r>
              <w:rPr>
                <w:rFonts w:hint="eastAsia" w:ascii="宋体" w:hAnsi="宋体" w:eastAsia="宋体" w:cs="宋体"/>
                <w:color w:val="auto"/>
                <w:sz w:val="21"/>
                <w:szCs w:val="21"/>
                <w:highlight w:val="none"/>
                <w:lang w:val="en-US" w:eastAsia="zh-CN"/>
              </w:rPr>
              <w:t xml:space="preserve"> DDR5 </w:t>
            </w:r>
            <w:r>
              <w:rPr>
                <w:rFonts w:hint="default" w:ascii="宋体" w:hAnsi="宋体" w:cs="宋体"/>
                <w:color w:val="auto"/>
                <w:sz w:val="21"/>
                <w:szCs w:val="21"/>
                <w:highlight w:val="none"/>
                <w:lang w:val="en-US" w:eastAsia="zh-CN"/>
              </w:rPr>
              <w:t>5600MT/s</w:t>
            </w:r>
            <w:r>
              <w:rPr>
                <w:rFonts w:hint="eastAsia" w:ascii="宋体" w:hAnsi="宋体" w:eastAsia="宋体" w:cs="宋体"/>
                <w:color w:val="auto"/>
                <w:sz w:val="21"/>
                <w:szCs w:val="21"/>
                <w:highlight w:val="none"/>
              </w:rPr>
              <w:t>内存空间</w:t>
            </w:r>
            <w:r>
              <w:rPr>
                <w:rFonts w:hint="eastAsia" w:ascii="宋体" w:hAnsi="宋体" w:cs="宋体"/>
                <w:color w:val="auto"/>
                <w:sz w:val="21"/>
                <w:szCs w:val="21"/>
                <w:highlight w:val="none"/>
                <w:lang w:eastAsia="zh-CN"/>
              </w:rPr>
              <w:t>；</w:t>
            </w:r>
          </w:p>
        </w:tc>
      </w:tr>
      <w:tr w14:paraId="48459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16" w:type="dxa"/>
            <w:shd w:val="clear" w:color="auto" w:fill="auto"/>
            <w:vAlign w:val="center"/>
          </w:tcPr>
          <w:p w14:paraId="6C75736A">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.4</w:t>
            </w:r>
          </w:p>
        </w:tc>
        <w:tc>
          <w:tcPr>
            <w:tcW w:w="7473" w:type="dxa"/>
            <w:shd w:val="clear" w:color="auto" w:fill="auto"/>
            <w:vAlign w:val="center"/>
          </w:tcPr>
          <w:p w14:paraId="6E221A69">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硬盘：配置≥</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块</w:t>
            </w:r>
            <w:r>
              <w:rPr>
                <w:rFonts w:hint="eastAsia" w:ascii="宋体" w:hAnsi="宋体" w:eastAsia="宋体" w:cs="宋体"/>
                <w:color w:val="auto"/>
                <w:sz w:val="21"/>
                <w:szCs w:val="21"/>
                <w:highlight w:val="none"/>
                <w:lang w:val="en-US" w:eastAsia="zh-CN"/>
              </w:rPr>
              <w:t>48</w:t>
            </w:r>
            <w:r>
              <w:rPr>
                <w:rFonts w:hint="eastAsia" w:ascii="宋体" w:hAnsi="宋体" w:eastAsia="宋体" w:cs="宋体"/>
                <w:color w:val="auto"/>
                <w:sz w:val="21"/>
                <w:szCs w:val="21"/>
                <w:highlight w:val="none"/>
              </w:rPr>
              <w:t>0G SATA SSD</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块</w:t>
            </w:r>
            <w:r>
              <w:rPr>
                <w:rFonts w:hint="eastAsia" w:ascii="宋体" w:hAnsi="宋体" w:eastAsia="宋体" w:cs="宋体"/>
                <w:color w:val="auto"/>
                <w:sz w:val="21"/>
                <w:szCs w:val="21"/>
                <w:highlight w:val="none"/>
                <w:lang w:val="en-US" w:eastAsia="zh-CN"/>
              </w:rPr>
              <w:t>1.92T</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NVMe</w:t>
            </w:r>
            <w:r>
              <w:rPr>
                <w:rFonts w:hint="eastAsia" w:ascii="宋体" w:hAnsi="宋体" w:eastAsia="宋体" w:cs="宋体"/>
                <w:color w:val="auto"/>
                <w:sz w:val="21"/>
                <w:szCs w:val="21"/>
                <w:highlight w:val="none"/>
              </w:rPr>
              <w:t xml:space="preserve"> SSD</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rPr>
              <w:t>配置≥</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块</w:t>
            </w:r>
            <w:r>
              <w:rPr>
                <w:rFonts w:hint="eastAsia" w:ascii="宋体" w:hAnsi="宋体" w:eastAsia="宋体" w:cs="宋体"/>
                <w:color w:val="auto"/>
                <w:sz w:val="21"/>
                <w:szCs w:val="21"/>
                <w:highlight w:val="none"/>
                <w:lang w:val="en-US" w:eastAsia="zh-CN"/>
              </w:rPr>
              <w:t>8T</w:t>
            </w:r>
            <w:r>
              <w:rPr>
                <w:rFonts w:hint="eastAsia" w:ascii="宋体" w:hAnsi="宋体" w:eastAsia="宋体" w:cs="宋体"/>
                <w:color w:val="auto"/>
                <w:sz w:val="21"/>
                <w:szCs w:val="21"/>
                <w:highlight w:val="none"/>
              </w:rPr>
              <w:t xml:space="preserve"> SATA </w:t>
            </w:r>
            <w:r>
              <w:rPr>
                <w:rFonts w:hint="eastAsia" w:ascii="宋体" w:hAnsi="宋体" w:eastAsia="宋体" w:cs="宋体"/>
                <w:color w:val="auto"/>
                <w:sz w:val="21"/>
                <w:szCs w:val="21"/>
                <w:highlight w:val="none"/>
                <w:lang w:val="en-US"/>
              </w:rPr>
              <w:t>HDD</w:t>
            </w:r>
            <w:r>
              <w:rPr>
                <w:rFonts w:hint="eastAsia" w:ascii="宋体" w:hAnsi="宋体" w:cs="宋体"/>
                <w:color w:val="auto"/>
                <w:sz w:val="21"/>
                <w:szCs w:val="21"/>
                <w:highlight w:val="none"/>
                <w:lang w:val="en-US" w:eastAsia="zh-CN"/>
              </w:rPr>
              <w:t>；</w:t>
            </w:r>
          </w:p>
        </w:tc>
      </w:tr>
      <w:tr w14:paraId="4D8F5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3FE797D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1.5</w:t>
            </w:r>
          </w:p>
        </w:tc>
        <w:tc>
          <w:tcPr>
            <w:tcW w:w="7473" w:type="dxa"/>
            <w:shd w:val="clear" w:color="auto" w:fill="auto"/>
            <w:vAlign w:val="center"/>
          </w:tcPr>
          <w:p w14:paraId="3356331F">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RAID：配置≥1块4G RAID卡，支持RAID 0/1/5/6/10/50/60</w:t>
            </w:r>
            <w:r>
              <w:rPr>
                <w:rFonts w:hint="eastAsia" w:ascii="宋体" w:hAnsi="宋体" w:eastAsia="宋体" w:cs="宋体"/>
                <w:color w:val="auto"/>
                <w:sz w:val="21"/>
                <w:szCs w:val="21"/>
                <w:highlight w:val="none"/>
                <w:lang w:eastAsia="zh-CN"/>
              </w:rPr>
              <w:t>；</w:t>
            </w:r>
          </w:p>
        </w:tc>
      </w:tr>
      <w:tr w14:paraId="4DC16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16" w:type="dxa"/>
            <w:shd w:val="clear" w:color="auto" w:fill="auto"/>
            <w:vAlign w:val="center"/>
          </w:tcPr>
          <w:p w14:paraId="161CC770">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73" w:type="dxa"/>
            <w:shd w:val="clear" w:color="auto" w:fill="auto"/>
            <w:vAlign w:val="center"/>
          </w:tcPr>
          <w:p w14:paraId="71AE1902">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Hans"/>
              </w:rPr>
              <w:t>以太</w:t>
            </w:r>
            <w:r>
              <w:rPr>
                <w:rFonts w:hint="eastAsia" w:ascii="宋体" w:hAnsi="宋体" w:eastAsia="宋体" w:cs="宋体"/>
                <w:color w:val="auto"/>
                <w:sz w:val="21"/>
                <w:szCs w:val="21"/>
                <w:highlight w:val="none"/>
              </w:rPr>
              <w:t>网络：配置≥2个千兆网口，配置≥2个万兆网口（含模块）</w:t>
            </w:r>
            <w:r>
              <w:rPr>
                <w:rFonts w:hint="eastAsia" w:ascii="宋体" w:hAnsi="宋体" w:eastAsia="宋体" w:cs="宋体"/>
                <w:color w:val="auto"/>
                <w:sz w:val="21"/>
                <w:szCs w:val="21"/>
                <w:highlight w:val="none"/>
                <w:lang w:eastAsia="zh-CN"/>
              </w:rPr>
              <w:t>；</w:t>
            </w:r>
          </w:p>
        </w:tc>
      </w:tr>
      <w:tr w14:paraId="04D89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59E5303C">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73" w:type="dxa"/>
            <w:shd w:val="clear" w:color="auto" w:fill="auto"/>
            <w:vAlign w:val="center"/>
          </w:tcPr>
          <w:p w14:paraId="5AB2786A">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rPr>
              <w:t>管理：配置≥1个独立的远程管理控制端口，支持远程监控图形界面、支持H5虚拟键盘、支持VNC功能；支持监控服务器内部主要部件的状态；支持带外获取主板、背板等板卡信息；支持RAID卡配置带外导入导出功能</w:t>
            </w:r>
            <w:r>
              <w:rPr>
                <w:rFonts w:hint="eastAsia" w:ascii="宋体" w:hAnsi="宋体" w:eastAsia="宋体" w:cs="宋体"/>
                <w:b w:val="0"/>
                <w:bCs w:val="0"/>
                <w:color w:val="auto"/>
                <w:sz w:val="21"/>
                <w:szCs w:val="21"/>
                <w:highlight w:val="none"/>
                <w:lang w:eastAsia="zh-CN"/>
              </w:rPr>
              <w:t>；</w:t>
            </w:r>
          </w:p>
        </w:tc>
      </w:tr>
      <w:tr w14:paraId="6F93C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4A19B4E8">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73" w:type="dxa"/>
            <w:shd w:val="clear" w:color="auto" w:fill="auto"/>
            <w:vAlign w:val="center"/>
          </w:tcPr>
          <w:p w14:paraId="1F1272AC">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电源：满配冗余电源，支持n+n冗余</w:t>
            </w:r>
            <w:r>
              <w:rPr>
                <w:rFonts w:hint="eastAsia" w:ascii="宋体" w:hAnsi="宋体" w:eastAsia="宋体" w:cs="宋体"/>
                <w:color w:val="auto"/>
                <w:sz w:val="21"/>
                <w:szCs w:val="21"/>
                <w:highlight w:val="none"/>
                <w:lang w:eastAsia="zh-CN"/>
              </w:rPr>
              <w:t>；</w:t>
            </w:r>
          </w:p>
        </w:tc>
      </w:tr>
      <w:tr w14:paraId="4B372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3BFA516A">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w:t>
            </w:r>
          </w:p>
        </w:tc>
        <w:tc>
          <w:tcPr>
            <w:tcW w:w="7473" w:type="dxa"/>
            <w:shd w:val="clear" w:color="auto" w:fill="auto"/>
            <w:vAlign w:val="center"/>
          </w:tcPr>
          <w:p w14:paraId="758055A7">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授权要求：配置</w:t>
            </w:r>
            <w:r>
              <w:rPr>
                <w:rFonts w:hint="eastAsia" w:ascii="宋体" w:hAnsi="宋体" w:eastAsia="宋体" w:cs="宋体"/>
                <w:color w:val="auto"/>
                <w:sz w:val="21"/>
                <w:szCs w:val="21"/>
                <w:highlight w:val="none"/>
              </w:rPr>
              <w:t>基于服务器CPU颗数进行桌面云（计算、存储）虚拟化授权，此外本项目要求提供</w:t>
            </w:r>
            <w:r>
              <w:rPr>
                <w:rFonts w:hint="eastAsia" w:ascii="宋体" w:hAnsi="宋体" w:eastAsia="宋体" w:cs="宋体"/>
                <w:color w:val="auto"/>
                <w:sz w:val="21"/>
                <w:szCs w:val="21"/>
                <w:highlight w:val="none"/>
                <w:lang w:val="en-US" w:eastAsia="zh-CN"/>
              </w:rPr>
              <w:t>150</w:t>
            </w:r>
            <w:r>
              <w:rPr>
                <w:rFonts w:hint="eastAsia" w:ascii="宋体" w:hAnsi="宋体" w:eastAsia="宋体" w:cs="宋体"/>
                <w:color w:val="auto"/>
                <w:sz w:val="21"/>
                <w:szCs w:val="21"/>
                <w:highlight w:val="none"/>
              </w:rPr>
              <w:t>个VDI并发用户连接授权，支持发布专有桌面、还原桌面（包括池化桌面）、共享桌面、远程应用和TCI终端至少6种桌面资源，满足不同场景的应用需求。</w:t>
            </w:r>
          </w:p>
        </w:tc>
      </w:tr>
      <w:tr w14:paraId="65AE6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6" w:type="dxa"/>
            <w:shd w:val="clear" w:color="auto" w:fill="auto"/>
            <w:vAlign w:val="center"/>
          </w:tcPr>
          <w:p w14:paraId="27DEE79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1.10</w:t>
            </w:r>
          </w:p>
        </w:tc>
        <w:tc>
          <w:tcPr>
            <w:tcW w:w="7473" w:type="dxa"/>
            <w:shd w:val="clear" w:color="auto" w:fill="auto"/>
            <w:vAlign w:val="center"/>
          </w:tcPr>
          <w:p w14:paraId="296E7A31">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1软件要求：</w:t>
            </w:r>
          </w:p>
          <w:p w14:paraId="4B092D22">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为确保业务连续性，虚拟化平台需支持平滑滚动升级，支持群集不停机情况下的服务器逐台升级，升级时将自动迁移虚拟机至其他主机，不影响业务运行。为保障业务实时性，虚拟化平台非内核级更新支持业务不中断热升级，升级过程无需重启主机；</w:t>
            </w:r>
          </w:p>
          <w:p w14:paraId="23E714AE">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 支持热升级，升级期间对于已接入的用户桌面使用不会造成影响；</w:t>
            </w:r>
            <w:r>
              <w:rPr>
                <w:rFonts w:hint="eastAsia" w:ascii="宋体" w:hAnsi="宋体" w:eastAsia="宋体" w:cs="宋体"/>
                <w:b/>
                <w:bCs/>
                <w:i/>
                <w:iCs/>
                <w:color w:val="auto"/>
                <w:sz w:val="21"/>
                <w:szCs w:val="21"/>
                <w:highlight w:val="none"/>
              </w:rPr>
              <w:t>（提供相关证明材料</w:t>
            </w:r>
            <w:r>
              <w:rPr>
                <w:rFonts w:hint="eastAsia" w:ascii="宋体" w:hAnsi="宋体" w:cs="宋体"/>
                <w:b/>
                <w:bCs/>
                <w:i/>
                <w:iCs/>
                <w:color w:val="auto"/>
                <w:sz w:val="21"/>
                <w:szCs w:val="21"/>
                <w:highlight w:val="none"/>
                <w:lang w:eastAsia="zh-CN"/>
              </w:rPr>
              <w:t>，</w:t>
            </w:r>
            <w:r>
              <w:rPr>
                <w:rFonts w:hint="eastAsia" w:ascii="宋体" w:hAnsi="宋体" w:cs="宋体"/>
                <w:b/>
                <w:bCs/>
                <w:i/>
                <w:iCs/>
                <w:color w:val="auto"/>
                <w:sz w:val="21"/>
                <w:szCs w:val="21"/>
                <w:highlight w:val="none"/>
                <w:lang w:val="en-US" w:eastAsia="zh-CN"/>
              </w:rPr>
              <w:t>如未提供按“其他”负偏离扣分</w:t>
            </w:r>
            <w:r>
              <w:rPr>
                <w:rFonts w:hint="eastAsia" w:ascii="宋体" w:hAnsi="宋体" w:eastAsia="宋体" w:cs="宋体"/>
                <w:b/>
                <w:bCs/>
                <w:i/>
                <w:iCs/>
                <w:color w:val="auto"/>
                <w:kern w:val="0"/>
                <w:sz w:val="21"/>
                <w:szCs w:val="21"/>
                <w:highlight w:val="none"/>
                <w:lang w:val="en-US" w:eastAsia="zh-CN"/>
              </w:rPr>
              <w:t>）</w:t>
            </w:r>
          </w:p>
          <w:p w14:paraId="32407605">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 为保证平台平稳运行，避免业务部门因云平台资源不足或异常影响业务开展，平台应可依据虚拟机/服务器/集群当前的资源占用和调度情况，量化出每个虚拟机/服务器/集群的体验和风险的综合评分（评分越低，代表此虚拟机/服务器/集群的使用体验越差，越有可能发生风险问题），且支持查看评分趋势变化图，帮助管理员及时识别相关问题。并且给出处置建议引导管理员解决，如虚机配置不足提示扩容，服务器负载过高建议迁移部分虚机等；</w:t>
            </w:r>
            <w:r>
              <w:rPr>
                <w:rFonts w:hint="eastAsia" w:ascii="宋体" w:hAnsi="宋体" w:eastAsia="宋体" w:cs="宋体"/>
                <w:b/>
                <w:bCs/>
                <w:i/>
                <w:iCs/>
                <w:color w:val="auto"/>
                <w:kern w:val="0"/>
                <w:sz w:val="21"/>
                <w:szCs w:val="21"/>
                <w:highlight w:val="none"/>
              </w:rPr>
              <w:t>（提供功能界面截图</w:t>
            </w:r>
            <w:r>
              <w:rPr>
                <w:rFonts w:hint="eastAsia" w:ascii="宋体" w:hAnsi="宋体" w:cs="宋体"/>
                <w:b/>
                <w:bCs/>
                <w:i/>
                <w:iCs/>
                <w:color w:val="auto"/>
                <w:sz w:val="21"/>
                <w:szCs w:val="21"/>
                <w:highlight w:val="none"/>
                <w:lang w:eastAsia="zh-CN"/>
              </w:rPr>
              <w:t>，</w:t>
            </w:r>
            <w:r>
              <w:rPr>
                <w:rFonts w:hint="eastAsia" w:ascii="宋体" w:hAnsi="宋体" w:cs="宋体"/>
                <w:b/>
                <w:bCs/>
                <w:i/>
                <w:iCs/>
                <w:color w:val="auto"/>
                <w:sz w:val="21"/>
                <w:szCs w:val="21"/>
                <w:highlight w:val="none"/>
                <w:lang w:val="en-US" w:eastAsia="zh-CN"/>
              </w:rPr>
              <w:t>如未提供按“其他”负偏离扣分</w:t>
            </w:r>
            <w:r>
              <w:rPr>
                <w:rFonts w:hint="eastAsia" w:ascii="宋体" w:hAnsi="宋体" w:eastAsia="宋体" w:cs="宋体"/>
                <w:b/>
                <w:bCs/>
                <w:i/>
                <w:iCs/>
                <w:color w:val="auto"/>
                <w:kern w:val="0"/>
                <w:sz w:val="21"/>
                <w:szCs w:val="21"/>
                <w:highlight w:val="none"/>
              </w:rPr>
              <w:t>）</w:t>
            </w:r>
          </w:p>
          <w:p w14:paraId="12E1170B">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 为提高桌面云平台问题的处置效率，帮助管理员快速定位问题根因，降低管理员的运维负担。运维平台应可持续性检测并发现虚拟机、主机、集群相关的软硬件问题（如虚机卡慢问题），检测出的问题按照严重程度做分级，并支持结合内置AI智能诊断库，进行自动化问题诊断，可直接在平台上以图文形式直接展示问题分析说明、问题举证分析、问题处置建议，管理员根据处置建议操作即可；</w:t>
            </w:r>
            <w:r>
              <w:rPr>
                <w:rFonts w:hint="eastAsia" w:ascii="宋体" w:hAnsi="宋体" w:eastAsia="宋体" w:cs="宋体"/>
                <w:b/>
                <w:bCs/>
                <w:i/>
                <w:iCs/>
                <w:color w:val="auto"/>
                <w:kern w:val="0"/>
                <w:sz w:val="21"/>
                <w:szCs w:val="21"/>
                <w:highlight w:val="none"/>
                <w:lang w:val="en-US" w:eastAsia="zh-CN"/>
              </w:rPr>
              <w:t>（</w:t>
            </w:r>
            <w:r>
              <w:rPr>
                <w:rFonts w:hint="eastAsia" w:ascii="宋体" w:hAnsi="宋体" w:eastAsia="宋体" w:cs="宋体"/>
                <w:b/>
                <w:bCs/>
                <w:i/>
                <w:iCs/>
                <w:color w:val="auto"/>
                <w:sz w:val="21"/>
                <w:szCs w:val="21"/>
                <w:highlight w:val="none"/>
              </w:rPr>
              <w:t>提供相关证明材料</w:t>
            </w:r>
            <w:r>
              <w:rPr>
                <w:rFonts w:hint="eastAsia" w:ascii="宋体" w:hAnsi="宋体" w:cs="宋体"/>
                <w:b/>
                <w:bCs/>
                <w:i/>
                <w:iCs/>
                <w:color w:val="auto"/>
                <w:sz w:val="21"/>
                <w:szCs w:val="21"/>
                <w:highlight w:val="none"/>
                <w:lang w:eastAsia="zh-CN"/>
              </w:rPr>
              <w:t>，</w:t>
            </w:r>
            <w:r>
              <w:rPr>
                <w:rFonts w:hint="eastAsia" w:ascii="宋体" w:hAnsi="宋体" w:cs="宋体"/>
                <w:b/>
                <w:bCs/>
                <w:i/>
                <w:iCs/>
                <w:color w:val="auto"/>
                <w:sz w:val="21"/>
                <w:szCs w:val="21"/>
                <w:highlight w:val="none"/>
                <w:lang w:val="en-US" w:eastAsia="zh-CN"/>
              </w:rPr>
              <w:t>如未提供按“其他”负偏离扣分</w:t>
            </w:r>
            <w:r>
              <w:rPr>
                <w:rFonts w:hint="eastAsia" w:ascii="宋体" w:hAnsi="宋体" w:eastAsia="宋体" w:cs="宋体"/>
                <w:b/>
                <w:bCs/>
                <w:i/>
                <w:iCs/>
                <w:color w:val="auto"/>
                <w:kern w:val="0"/>
                <w:sz w:val="21"/>
                <w:szCs w:val="21"/>
                <w:highlight w:val="none"/>
                <w:lang w:val="en-US" w:eastAsia="zh-CN"/>
              </w:rPr>
              <w:t>）</w:t>
            </w:r>
          </w:p>
          <w:p w14:paraId="1C6D6842">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 为满足研发一类创新型用户的个性化诉求，并保证桌面使用软件满足公司合规要求，桌面云平台应提供软件商城功能，可以将通过公司审核的软件进行管理并发布给特定的用户（组）或虚拟机，用户仅可以通过桌面自带的桌面助手根据需求安装软件商城中已经发布的应用软件，其他来源的软件（如自行下载的）不能安装；</w:t>
            </w:r>
            <w:r>
              <w:rPr>
                <w:rFonts w:hint="eastAsia" w:ascii="宋体" w:hAnsi="宋体" w:eastAsia="宋体" w:cs="宋体"/>
                <w:b/>
                <w:bCs/>
                <w:i/>
                <w:iCs/>
                <w:caps w:val="0"/>
                <w:color w:val="auto"/>
                <w:spacing w:val="0"/>
                <w:kern w:val="2"/>
                <w:sz w:val="21"/>
                <w:szCs w:val="21"/>
                <w:highlight w:val="none"/>
                <w:lang w:val="en-US" w:eastAsia="zh-CN" w:bidi="ar-SA"/>
              </w:rPr>
              <w:t>（提供相关证明材料，如未提供按“其他”负偏离扣分）</w:t>
            </w:r>
          </w:p>
          <w:p w14:paraId="1395C156">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 具备应用知识图谱分析与排查能力，可基于内置深度学习模型输出应用体验评分，快速定位影响应用体验差的根因并能够给出应用体验优化处置建议，可以批量将处置方法推送到云桌面进行精准处理；</w:t>
            </w:r>
            <w:r>
              <w:rPr>
                <w:rFonts w:hint="eastAsia" w:ascii="宋体" w:hAnsi="宋体" w:eastAsia="宋体" w:cs="宋体"/>
                <w:b/>
                <w:bCs/>
                <w:i/>
                <w:iCs/>
                <w:caps w:val="0"/>
                <w:color w:val="auto"/>
                <w:spacing w:val="0"/>
                <w:kern w:val="2"/>
                <w:sz w:val="21"/>
                <w:szCs w:val="21"/>
                <w:highlight w:val="none"/>
                <w:lang w:val="en-US" w:eastAsia="zh-CN" w:bidi="ar-SA"/>
              </w:rPr>
              <w:t>（提供相关证明材料，如未提供按“其他”负偏离扣分）</w:t>
            </w:r>
          </w:p>
        </w:tc>
      </w:tr>
    </w:tbl>
    <w:p w14:paraId="23447150">
      <w:pPr>
        <w:keepNext w:val="0"/>
        <w:keepLines w:val="0"/>
        <w:pageBreakBefore w:val="0"/>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lang w:val="en-US" w:eastAsia="zh-CN"/>
        </w:rPr>
      </w:pPr>
    </w:p>
    <w:p w14:paraId="1087AED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共享存储</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0"/>
        <w:gridCol w:w="7489"/>
      </w:tblGrid>
      <w:tr w14:paraId="002D7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800" w:type="dxa"/>
            <w:shd w:val="clear" w:color="auto" w:fill="auto"/>
            <w:vAlign w:val="center"/>
          </w:tcPr>
          <w:p w14:paraId="09DE71C5">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89" w:type="dxa"/>
            <w:shd w:val="clear" w:color="auto" w:fill="auto"/>
            <w:vAlign w:val="center"/>
          </w:tcPr>
          <w:p w14:paraId="6FDE89FC">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5F115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08D18D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89" w:type="dxa"/>
            <w:shd w:val="clear" w:color="auto" w:fill="auto"/>
            <w:vAlign w:val="center"/>
          </w:tcPr>
          <w:p w14:paraId="073CD76E">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整体需求：</w:t>
            </w:r>
          </w:p>
          <w:p w14:paraId="1EB1E728">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1.存储系统容量：系统裸容量≥5.94PB，其中NVMe SSD裸容量≥0.18PB，HDD裸容量≥5.76PB；系统可用容量≥3.56PB，其中NVMe SSD可用容量≥0.11PB，HDD可用容量≥3.45PB</w:t>
            </w:r>
            <w:r>
              <w:rPr>
                <w:rFonts w:hint="eastAsia" w:ascii="宋体" w:hAnsi="宋体" w:cs="宋体"/>
                <w:b w:val="0"/>
                <w:bCs w:val="0"/>
                <w:color w:val="auto"/>
                <w:kern w:val="0"/>
                <w:sz w:val="21"/>
                <w:szCs w:val="21"/>
                <w:highlight w:val="none"/>
                <w:lang w:val="en-US" w:eastAsia="zh-CN"/>
              </w:rPr>
              <w:t>；</w:t>
            </w:r>
            <w:r>
              <w:rPr>
                <w:rFonts w:hint="eastAsia" w:ascii="宋体" w:hAnsi="宋体" w:eastAsia="宋体" w:cs="宋体"/>
                <w:b w:val="0"/>
                <w:bCs w:val="0"/>
                <w:color w:val="auto"/>
                <w:sz w:val="21"/>
                <w:szCs w:val="21"/>
                <w:highlight w:val="none"/>
              </w:rPr>
              <w:t>提供本系统全存储容量、全功能模板商业版软件licence</w:t>
            </w:r>
            <w:r>
              <w:rPr>
                <w:rFonts w:hint="eastAsia" w:ascii="宋体" w:hAnsi="宋体" w:cs="宋体"/>
                <w:b w:val="0"/>
                <w:bCs w:val="0"/>
                <w:color w:val="auto"/>
                <w:sz w:val="21"/>
                <w:szCs w:val="21"/>
                <w:highlight w:val="none"/>
                <w:lang w:eastAsia="zh-CN"/>
              </w:rPr>
              <w:t>。</w:t>
            </w:r>
            <w:r>
              <w:rPr>
                <w:rFonts w:hint="eastAsia" w:ascii="宋体" w:hAnsi="宋体" w:eastAsia="宋体" w:cs="宋体"/>
                <w:b/>
                <w:bCs/>
                <w:i/>
                <w:iCs/>
                <w:caps w:val="0"/>
                <w:color w:val="auto"/>
                <w:spacing w:val="0"/>
                <w:kern w:val="2"/>
                <w:sz w:val="21"/>
                <w:szCs w:val="21"/>
                <w:highlight w:val="none"/>
                <w:lang w:val="en-US" w:eastAsia="zh-CN" w:bidi="ar-SA"/>
              </w:rPr>
              <w:t>（供应商须提供承诺函，验收时若未达到容量指标，须免费更换设备，直至达标为止）</w:t>
            </w:r>
          </w:p>
          <w:p w14:paraId="271F7A71">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存储系统性能：</w:t>
            </w:r>
          </w:p>
          <w:p w14:paraId="2EBE3F32">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rPr>
              <w:t>(1)</w:t>
            </w:r>
            <w:r>
              <w:rPr>
                <w:rFonts w:hint="eastAsia" w:ascii="宋体" w:hAnsi="宋体" w:eastAsia="宋体" w:cs="宋体"/>
                <w:b w:val="0"/>
                <w:bCs w:val="0"/>
                <w:color w:val="auto"/>
                <w:sz w:val="21"/>
                <w:szCs w:val="21"/>
                <w:highlight w:val="none"/>
              </w:rPr>
              <w:t>全闪资源池</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聚合读带宽≥60GB/s，聚合写带宽≥64GB/s；单客户端单流读带宽≥12GB/s，单客户端单流写带宽≥9GB/s；IOPS≥85万</w:t>
            </w:r>
            <w:r>
              <w:rPr>
                <w:rFonts w:hint="eastAsia" w:ascii="宋体" w:hAnsi="宋体" w:cs="宋体"/>
                <w:b w:val="0"/>
                <w:bCs w:val="0"/>
                <w:color w:val="auto"/>
                <w:sz w:val="21"/>
                <w:szCs w:val="21"/>
                <w:highlight w:val="none"/>
                <w:lang w:eastAsia="zh-CN"/>
              </w:rPr>
              <w:t>；</w:t>
            </w:r>
          </w:p>
          <w:p w14:paraId="4CA8EF7F">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混闪资源池</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聚合读带宽≥32GB/s，聚合写带宽≥20GB/s；</w:t>
            </w:r>
          </w:p>
          <w:p w14:paraId="61CC4CF1">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单客户端单流读带宽≥12GB/s，单客户端单流写带宽≥8GB/s；IOPS≥60万</w:t>
            </w:r>
            <w:r>
              <w:rPr>
                <w:rFonts w:hint="eastAsia" w:ascii="宋体" w:hAnsi="宋体" w:cs="宋体"/>
                <w:b w:val="0"/>
                <w:bCs w:val="0"/>
                <w:color w:val="auto"/>
                <w:sz w:val="21"/>
                <w:szCs w:val="21"/>
                <w:highlight w:val="none"/>
                <w:lang w:eastAsia="zh-CN"/>
              </w:rPr>
              <w:t>；</w:t>
            </w:r>
          </w:p>
          <w:p w14:paraId="7D270B5F">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b/>
                <w:bCs/>
                <w:i/>
                <w:iCs/>
                <w:caps w:val="0"/>
                <w:color w:val="auto"/>
                <w:spacing w:val="0"/>
                <w:kern w:val="2"/>
                <w:sz w:val="21"/>
                <w:szCs w:val="21"/>
                <w:highlight w:val="none"/>
                <w:lang w:val="en-US" w:eastAsia="zh-CN" w:bidi="ar-SA"/>
              </w:rPr>
            </w:pPr>
            <w:r>
              <w:rPr>
                <w:rFonts w:hint="eastAsia" w:ascii="宋体" w:hAnsi="宋体" w:eastAsia="宋体" w:cs="宋体"/>
                <w:b/>
                <w:bCs/>
                <w:i/>
                <w:iCs/>
                <w:caps w:val="0"/>
                <w:color w:val="auto"/>
                <w:spacing w:val="0"/>
                <w:kern w:val="2"/>
                <w:sz w:val="21"/>
                <w:szCs w:val="21"/>
                <w:highlight w:val="none"/>
                <w:lang w:val="en-US" w:eastAsia="zh-CN" w:bidi="ar-SA"/>
              </w:rPr>
              <w:t>（供应商须提供承诺函，验收时若未达到性能指标，须免费更换设备，直至达标为止）</w:t>
            </w:r>
          </w:p>
          <w:p w14:paraId="74332E03">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系统架构：采用Scale-Out分布式集群存储架构，支持全局统一命名空间</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不接受IO节点+扩展柜或JBOD的模式</w:t>
            </w:r>
            <w:r>
              <w:rPr>
                <w:rFonts w:hint="eastAsia" w:ascii="宋体" w:hAnsi="宋体" w:eastAsia="宋体" w:cs="宋体"/>
                <w:b w:val="0"/>
                <w:bCs w:val="0"/>
                <w:color w:val="auto"/>
                <w:sz w:val="21"/>
                <w:szCs w:val="21"/>
                <w:highlight w:val="none"/>
              </w:rPr>
              <w:t>；</w:t>
            </w:r>
          </w:p>
          <w:p w14:paraId="400D2CEC">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自主可控：投标产品为软硬件一体机、非软件+硬件服务器组合模式，存储系统硬件和配套存储</w:t>
            </w:r>
            <w:r>
              <w:rPr>
                <w:rFonts w:hint="eastAsia" w:ascii="宋体" w:hAnsi="宋体" w:eastAsia="宋体" w:cs="宋体"/>
                <w:b w:val="0"/>
                <w:bCs w:val="0"/>
                <w:color w:val="auto"/>
                <w:sz w:val="21"/>
                <w:szCs w:val="21"/>
                <w:highlight w:val="none"/>
                <w:lang w:val="en-US" w:eastAsia="zh-CN"/>
              </w:rPr>
              <w:t>系统软件</w:t>
            </w:r>
            <w:r>
              <w:rPr>
                <w:rFonts w:hint="eastAsia" w:ascii="宋体" w:hAnsi="宋体" w:eastAsia="宋体" w:cs="宋体"/>
                <w:b w:val="0"/>
                <w:bCs w:val="0"/>
                <w:color w:val="auto"/>
                <w:sz w:val="21"/>
                <w:szCs w:val="21"/>
                <w:highlight w:val="none"/>
              </w:rPr>
              <w:t>为同一品牌</w:t>
            </w:r>
            <w:r>
              <w:rPr>
                <w:rFonts w:hint="eastAsia" w:ascii="宋体" w:hAnsi="宋体" w:cs="宋体"/>
                <w:b w:val="0"/>
                <w:bCs w:val="0"/>
                <w:color w:val="auto"/>
                <w:sz w:val="21"/>
                <w:szCs w:val="21"/>
                <w:highlight w:val="none"/>
                <w:lang w:eastAsia="zh-CN"/>
              </w:rPr>
              <w:t>。</w:t>
            </w:r>
          </w:p>
        </w:tc>
      </w:tr>
      <w:tr w14:paraId="00E5C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39088D92">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w:t>
            </w:r>
          </w:p>
        </w:tc>
        <w:tc>
          <w:tcPr>
            <w:tcW w:w="7489" w:type="dxa"/>
            <w:shd w:val="clear" w:color="auto" w:fill="auto"/>
            <w:vAlign w:val="center"/>
          </w:tcPr>
          <w:p w14:paraId="168EA75F">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系统配置：</w:t>
            </w:r>
          </w:p>
          <w:p w14:paraId="7F89FAF2">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1.CPU：系统共配置≥</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颗国产X86架构处理器，单颗CPU物理核数≥</w:t>
            </w:r>
            <w:r>
              <w:rPr>
                <w:rFonts w:hint="eastAsia" w:ascii="宋体" w:hAnsi="宋体" w:eastAsia="宋体" w:cs="宋体"/>
                <w:b w:val="0"/>
                <w:bCs w:val="0"/>
                <w:color w:val="auto"/>
                <w:sz w:val="21"/>
                <w:szCs w:val="21"/>
                <w:highlight w:val="none"/>
                <w:lang w:val="en-US" w:eastAsia="zh-CN"/>
              </w:rPr>
              <w:t>32</w:t>
            </w:r>
            <w:r>
              <w:rPr>
                <w:rFonts w:hint="eastAsia" w:ascii="宋体" w:hAnsi="宋体" w:eastAsia="宋体" w:cs="宋体"/>
                <w:b w:val="0"/>
                <w:bCs w:val="0"/>
                <w:color w:val="auto"/>
                <w:sz w:val="21"/>
                <w:szCs w:val="21"/>
                <w:highlight w:val="none"/>
              </w:rPr>
              <w:t>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基础频率≥</w:t>
            </w:r>
            <w:r>
              <w:rPr>
                <w:rFonts w:hint="eastAsia" w:ascii="宋体" w:hAnsi="宋体" w:eastAsia="宋体" w:cs="宋体"/>
                <w:b w:val="0"/>
                <w:bCs w:val="0"/>
                <w:color w:val="auto"/>
                <w:sz w:val="21"/>
                <w:szCs w:val="21"/>
                <w:highlight w:val="none"/>
                <w:lang w:val="en-US" w:eastAsia="zh-CN"/>
              </w:rPr>
              <w:t>2.9</w:t>
            </w:r>
            <w:r>
              <w:rPr>
                <w:rFonts w:hint="eastAsia" w:ascii="宋体" w:hAnsi="宋体" w:eastAsia="宋体" w:cs="宋体"/>
                <w:b w:val="0"/>
                <w:bCs w:val="0"/>
                <w:color w:val="auto"/>
                <w:sz w:val="21"/>
                <w:szCs w:val="21"/>
                <w:highlight w:val="none"/>
              </w:rPr>
              <w:t>GHz；</w:t>
            </w:r>
          </w:p>
          <w:p w14:paraId="276E986B">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2.缓存容量：每处理器核心配置≥</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DDR5</w:t>
            </w:r>
            <w:r>
              <w:rPr>
                <w:rFonts w:hint="eastAsia" w:ascii="宋体" w:hAnsi="宋体" w:eastAsia="宋体" w:cs="宋体"/>
                <w:b w:val="0"/>
                <w:bCs w:val="0"/>
                <w:color w:val="auto"/>
                <w:sz w:val="21"/>
                <w:szCs w:val="21"/>
                <w:highlight w:val="none"/>
              </w:rPr>
              <w:t>缓存容量；</w:t>
            </w:r>
          </w:p>
          <w:p w14:paraId="4E584C7A">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3.系统盘：单存储节点配置≥2个480GB SSD作为系统盘</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需支持RAID1</w:t>
            </w:r>
            <w:r>
              <w:rPr>
                <w:rFonts w:hint="eastAsia" w:ascii="宋体" w:hAnsi="宋体" w:eastAsia="宋体" w:cs="宋体"/>
                <w:b w:val="0"/>
                <w:bCs w:val="0"/>
                <w:color w:val="auto"/>
                <w:sz w:val="21"/>
                <w:szCs w:val="21"/>
                <w:highlight w:val="none"/>
              </w:rPr>
              <w:t>；</w:t>
            </w:r>
          </w:p>
          <w:p w14:paraId="01110414">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4.数据盘</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：单存储节点配置≥</w:t>
            </w: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个7.68TB NVMe SSD；</w:t>
            </w:r>
          </w:p>
          <w:p w14:paraId="15FC80C2">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.数据盘</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：单盘容量≤2</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TB；</w:t>
            </w:r>
          </w:p>
          <w:p w14:paraId="62FF08B7">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.以太网络：单存储节点配置≥2个千兆网口</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≥2个</w:t>
            </w:r>
            <w:r>
              <w:rPr>
                <w:rFonts w:hint="eastAsia" w:ascii="宋体" w:hAnsi="宋体" w:eastAsia="宋体" w:cs="宋体"/>
                <w:b w:val="0"/>
                <w:bCs w:val="0"/>
                <w:color w:val="auto"/>
                <w:sz w:val="21"/>
                <w:szCs w:val="21"/>
                <w:highlight w:val="none"/>
                <w:lang w:val="en-US" w:eastAsia="zh-CN"/>
              </w:rPr>
              <w:t>万</w:t>
            </w:r>
            <w:r>
              <w:rPr>
                <w:rFonts w:hint="eastAsia" w:ascii="宋体" w:hAnsi="宋体" w:eastAsia="宋体" w:cs="宋体"/>
                <w:b w:val="0"/>
                <w:bCs w:val="0"/>
                <w:color w:val="auto"/>
                <w:sz w:val="21"/>
                <w:szCs w:val="21"/>
                <w:highlight w:val="none"/>
              </w:rPr>
              <w:t>兆网口</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含光模块</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个千兆</w:t>
            </w:r>
            <w:r>
              <w:rPr>
                <w:rFonts w:hint="eastAsia" w:ascii="宋体" w:hAnsi="宋体" w:eastAsia="宋体" w:cs="宋体"/>
                <w:b w:val="0"/>
                <w:bCs w:val="0"/>
                <w:color w:val="auto"/>
                <w:sz w:val="21"/>
                <w:szCs w:val="21"/>
                <w:highlight w:val="none"/>
                <w:lang w:val="en-US" w:eastAsia="zh-CN"/>
              </w:rPr>
              <w:t>管理端口</w:t>
            </w:r>
            <w:r>
              <w:rPr>
                <w:rFonts w:hint="eastAsia" w:ascii="宋体" w:hAnsi="宋体" w:eastAsia="宋体" w:cs="宋体"/>
                <w:b w:val="0"/>
                <w:bCs w:val="0"/>
                <w:color w:val="auto"/>
                <w:sz w:val="21"/>
                <w:szCs w:val="21"/>
                <w:highlight w:val="none"/>
              </w:rPr>
              <w:t>；</w:t>
            </w:r>
          </w:p>
          <w:p w14:paraId="6FA441A9">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.IB网络：</w:t>
            </w:r>
            <w:r>
              <w:rPr>
                <w:rFonts w:hint="eastAsia" w:ascii="宋体" w:hAnsi="宋体" w:eastAsia="宋体" w:cs="宋体"/>
                <w:b w:val="0"/>
                <w:bCs w:val="0"/>
                <w:color w:val="auto"/>
                <w:sz w:val="21"/>
                <w:szCs w:val="21"/>
                <w:highlight w:val="none"/>
                <w:lang w:val="en-US" w:eastAsia="zh-CN"/>
              </w:rPr>
              <w:t>单存储</w:t>
            </w:r>
            <w:r>
              <w:rPr>
                <w:rFonts w:hint="eastAsia" w:ascii="宋体" w:hAnsi="宋体" w:eastAsia="宋体" w:cs="宋体"/>
                <w:b w:val="0"/>
                <w:bCs w:val="0"/>
                <w:color w:val="auto"/>
                <w:sz w:val="21"/>
                <w:szCs w:val="21"/>
                <w:highlight w:val="none"/>
              </w:rPr>
              <w:t>节点配置≥</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个</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00G</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IB网络端口；</w:t>
            </w:r>
          </w:p>
          <w:p w14:paraId="0F7FF7B0">
            <w:pPr>
              <w:rPr>
                <w:rFonts w:hint="default" w:eastAsia="宋体"/>
                <w:lang w:val="en-US" w:eastAsia="zh-CN"/>
              </w:rPr>
            </w:pPr>
            <w:r>
              <w:rPr>
                <w:rFonts w:hint="eastAsia" w:ascii="宋体" w:hAnsi="宋体" w:eastAsia="宋体" w:cs="宋体"/>
                <w:b/>
                <w:bCs/>
                <w:i/>
                <w:iCs/>
                <w:caps w:val="0"/>
                <w:color w:val="auto"/>
                <w:spacing w:val="0"/>
                <w:kern w:val="2"/>
                <w:sz w:val="21"/>
                <w:szCs w:val="21"/>
                <w:highlight w:val="none"/>
                <w:lang w:val="en-US" w:eastAsia="zh-CN" w:bidi="ar-SA"/>
              </w:rPr>
              <w:t>（以上系统配置供应商须提供承诺函，加盖供应商公章，如未提供按“▲”负偏离扣分）</w:t>
            </w:r>
          </w:p>
        </w:tc>
      </w:tr>
      <w:tr w14:paraId="43F83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F5144D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3</w:t>
            </w:r>
          </w:p>
        </w:tc>
        <w:tc>
          <w:tcPr>
            <w:tcW w:w="7489" w:type="dxa"/>
            <w:shd w:val="clear" w:color="auto" w:fill="auto"/>
            <w:vAlign w:val="center"/>
          </w:tcPr>
          <w:p w14:paraId="6EE7DE76">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存储协议：</w:t>
            </w:r>
          </w:p>
          <w:p w14:paraId="40FB0FC0">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1.支持包含但不限于POSIX、NFS、S3、ISCSI、NVMe-oF等多种访问协议；</w:t>
            </w:r>
          </w:p>
          <w:p w14:paraId="4621868D">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2.配置私有客户端，支持基于多种国产、非国产的操作系统部署存储软件，支持多种国产、非国产操作系统客户端挂载，且内存占用可≤4GB；</w:t>
            </w:r>
          </w:p>
        </w:tc>
      </w:tr>
      <w:tr w14:paraId="68594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02DB4B79">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4</w:t>
            </w:r>
          </w:p>
        </w:tc>
        <w:tc>
          <w:tcPr>
            <w:tcW w:w="7489" w:type="dxa"/>
            <w:shd w:val="clear" w:color="auto" w:fill="auto"/>
            <w:vAlign w:val="center"/>
          </w:tcPr>
          <w:p w14:paraId="19693DCD">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数据保护：</w:t>
            </w:r>
          </w:p>
          <w:p w14:paraId="1FCAF276">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1.采用N+M:b EC数据保护方式，支持动态EC，当节点故障时确保新数据可靠性不降级，当节点增加时候可调整EC配比提升空间利用率；</w:t>
            </w:r>
          </w:p>
          <w:p w14:paraId="64841DEF">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2.支持磁盘分组、节点分区等冗余机制，缩小故障域，近一步保障数据安全；</w:t>
            </w:r>
          </w:p>
          <w:p w14:paraId="1D1DC1BB">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3.支持固态盘寿命监控，可以在系统中显示每一块固态盘的寿命百分比，提前告警及隔离处理。当磨损度达到极限阈值时，自动将故障盘从系统中踢出；</w:t>
            </w:r>
          </w:p>
          <w:p w14:paraId="2162406D">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▲4.支持存储节点性能异常检测，可以自动检测对应的节点，触发告警并提供处理方案。</w:t>
            </w:r>
            <w:r>
              <w:rPr>
                <w:rFonts w:hint="eastAsia" w:ascii="宋体" w:hAnsi="宋体" w:eastAsia="宋体" w:cs="宋体"/>
                <w:b/>
                <w:bCs/>
                <w:i/>
                <w:iCs/>
                <w:caps w:val="0"/>
                <w:color w:val="auto"/>
                <w:spacing w:val="0"/>
                <w:kern w:val="2"/>
                <w:sz w:val="21"/>
                <w:szCs w:val="21"/>
                <w:highlight w:val="none"/>
                <w:lang w:val="en-US" w:eastAsia="zh-CN" w:bidi="ar-SA"/>
              </w:rPr>
              <w:t>（提供系统界面功能截图或第三方检测报告，如未提供按“▲”负偏离扣分）</w:t>
            </w:r>
          </w:p>
        </w:tc>
      </w:tr>
      <w:tr w14:paraId="63E88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3237DB2">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1.5</w:t>
            </w:r>
          </w:p>
        </w:tc>
        <w:tc>
          <w:tcPr>
            <w:tcW w:w="7489" w:type="dxa"/>
            <w:shd w:val="clear" w:color="auto" w:fill="auto"/>
            <w:vAlign w:val="center"/>
          </w:tcPr>
          <w:p w14:paraId="77956387">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性能优化：分布式存储支持设置缓存加速，支持IO聚合，将小块随机IO聚合为大块顺序IO，支持读、写缓存加速配置；</w:t>
            </w:r>
          </w:p>
        </w:tc>
      </w:tr>
      <w:tr w14:paraId="3ACE0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43DC734F">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489" w:type="dxa"/>
            <w:shd w:val="clear" w:color="auto" w:fill="auto"/>
            <w:vAlign w:val="center"/>
          </w:tcPr>
          <w:p w14:paraId="42942F73">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QoS</w:t>
            </w:r>
            <w:r>
              <w:rPr>
                <w:rFonts w:hint="eastAsia" w:ascii="宋体" w:hAnsi="宋体" w:eastAsia="宋体" w:cs="宋体"/>
                <w:color w:val="auto"/>
                <w:kern w:val="0"/>
                <w:sz w:val="21"/>
                <w:szCs w:val="21"/>
                <w:highlight w:val="none"/>
                <w:lang w:eastAsia="zh-CN"/>
              </w:rPr>
              <w:t>：支持文件系统/目录、用户/用户组，客户端维度设置QoS，可对读、写、读写 分别设置IOPS和带宽；</w:t>
            </w:r>
          </w:p>
        </w:tc>
      </w:tr>
      <w:tr w14:paraId="43807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4F1431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489" w:type="dxa"/>
            <w:shd w:val="clear" w:color="auto" w:fill="auto"/>
            <w:vAlign w:val="center"/>
          </w:tcPr>
          <w:p w14:paraId="7CFB952A">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分级存储</w:t>
            </w:r>
            <w:r>
              <w:rPr>
                <w:rFonts w:hint="eastAsia" w:ascii="宋体" w:hAnsi="宋体" w:eastAsia="宋体" w:cs="宋体"/>
                <w:b w:val="0"/>
                <w:bCs w:val="0"/>
                <w:color w:val="auto"/>
                <w:kern w:val="0"/>
                <w:sz w:val="21"/>
                <w:szCs w:val="21"/>
                <w:highlight w:val="none"/>
              </w:rPr>
              <w:t>：</w:t>
            </w:r>
          </w:p>
          <w:p w14:paraId="6A0541E7">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支持配置分级存储功能，实现数据放置在统一存储空间的不同的存储池介质中，支持包括SSD、HDD等，支持配置数据写入策略，可以根据文件名、文件属性设置策略，支持配置迁移策略和删除策略，可以根据文件名、文件大小、访问时间、修改时间、创建时间、元数据修改时间等设置数据迁移策略；</w:t>
            </w:r>
          </w:p>
          <w:p w14:paraId="6FB8AEE2">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存储自带支持分层容量统计。</w:t>
            </w:r>
          </w:p>
        </w:tc>
      </w:tr>
      <w:tr w14:paraId="6CF5F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00" w:type="dxa"/>
            <w:shd w:val="clear" w:color="auto" w:fill="auto"/>
            <w:vAlign w:val="center"/>
          </w:tcPr>
          <w:p w14:paraId="7616192F">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Hans" w:bidi="ar-SA"/>
              </w:rPr>
            </w:pPr>
            <w:r>
              <w:rPr>
                <w:rFonts w:hint="eastAsia" w:ascii="宋体" w:hAnsi="宋体" w:eastAsia="宋体" w:cs="宋体"/>
                <w:color w:val="auto"/>
                <w:kern w:val="0"/>
                <w:sz w:val="21"/>
                <w:szCs w:val="21"/>
                <w:highlight w:val="none"/>
                <w:lang w:val="en-US" w:eastAsia="zh-CN" w:bidi="ar-SA"/>
              </w:rPr>
              <w:t>▲</w:t>
            </w: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489" w:type="dxa"/>
            <w:shd w:val="clear" w:color="auto" w:fill="auto"/>
            <w:vAlign w:val="center"/>
          </w:tcPr>
          <w:p w14:paraId="2CB5C32C">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文件远程复制：</w:t>
            </w:r>
            <w:r>
              <w:rPr>
                <w:rFonts w:hint="eastAsia" w:ascii="宋体" w:hAnsi="宋体" w:eastAsia="宋体" w:cs="宋体"/>
                <w:color w:val="auto"/>
                <w:kern w:val="0"/>
                <w:sz w:val="21"/>
                <w:szCs w:val="21"/>
                <w:highlight w:val="none"/>
                <w:lang w:val="en-US" w:eastAsia="zh-CN"/>
              </w:rPr>
              <w:t>在多校区网络互联的前提下，系统能够</w:t>
            </w:r>
            <w:r>
              <w:rPr>
                <w:rFonts w:hint="eastAsia" w:ascii="宋体" w:hAnsi="宋体" w:eastAsia="宋体" w:cs="宋体"/>
                <w:color w:val="auto"/>
                <w:kern w:val="0"/>
                <w:sz w:val="21"/>
                <w:szCs w:val="21"/>
                <w:highlight w:val="none"/>
              </w:rPr>
              <w:t>支持</w:t>
            </w:r>
            <w:r>
              <w:rPr>
                <w:rFonts w:hint="eastAsia" w:ascii="宋体" w:hAnsi="宋体" w:eastAsia="宋体" w:cs="宋体"/>
                <w:color w:val="auto"/>
                <w:kern w:val="0"/>
                <w:sz w:val="21"/>
                <w:szCs w:val="21"/>
                <w:highlight w:val="none"/>
                <w:lang w:val="en-US" w:eastAsia="zh-CN"/>
              </w:rPr>
              <w:t>多套存储系统间可以</w:t>
            </w:r>
            <w:r>
              <w:rPr>
                <w:rFonts w:hint="eastAsia" w:ascii="宋体" w:hAnsi="宋体" w:eastAsia="宋体" w:cs="宋体"/>
                <w:color w:val="auto"/>
                <w:kern w:val="0"/>
                <w:sz w:val="21"/>
                <w:szCs w:val="21"/>
                <w:highlight w:val="none"/>
              </w:rPr>
              <w:t>周期性的自动完成数据备份或人工手动触发数据备份，通过 IP 链路传输指定目录内的数据，</w:t>
            </w:r>
            <w:r>
              <w:rPr>
                <w:rFonts w:hint="eastAsia" w:ascii="宋体" w:hAnsi="宋体" w:eastAsia="宋体" w:cs="宋体"/>
                <w:color w:val="auto"/>
                <w:kern w:val="0"/>
                <w:sz w:val="21"/>
                <w:szCs w:val="21"/>
                <w:highlight w:val="none"/>
                <w:lang w:val="en-US" w:eastAsia="zh-CN"/>
              </w:rPr>
              <w:t>实现</w:t>
            </w:r>
            <w:r>
              <w:rPr>
                <w:rFonts w:hint="eastAsia" w:ascii="宋体" w:hAnsi="宋体" w:eastAsia="宋体" w:cs="宋体"/>
                <w:color w:val="auto"/>
                <w:kern w:val="0"/>
                <w:sz w:val="21"/>
                <w:szCs w:val="21"/>
                <w:highlight w:val="none"/>
              </w:rPr>
              <w:t>在异地保存数据备份，支持全量同步和增量同步，支持断点续传；</w:t>
            </w:r>
            <w:r>
              <w:rPr>
                <w:rFonts w:hint="eastAsia" w:ascii="宋体" w:hAnsi="宋体" w:eastAsia="宋体" w:cs="宋体"/>
                <w:b/>
                <w:bCs/>
                <w:i/>
                <w:iCs/>
                <w:caps w:val="0"/>
                <w:color w:val="auto"/>
                <w:spacing w:val="0"/>
                <w:kern w:val="2"/>
                <w:sz w:val="21"/>
                <w:szCs w:val="21"/>
                <w:highlight w:val="none"/>
                <w:lang w:val="en-US" w:eastAsia="zh-CN" w:bidi="ar-SA"/>
              </w:rPr>
              <w:t>（提供系统界面功能截图或第三方检测报告，如未提供按“▲”负偏离扣分）</w:t>
            </w:r>
          </w:p>
        </w:tc>
      </w:tr>
      <w:tr w14:paraId="58C50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764F174">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1.9</w:t>
            </w:r>
          </w:p>
        </w:tc>
        <w:tc>
          <w:tcPr>
            <w:tcW w:w="7489" w:type="dxa"/>
            <w:shd w:val="clear" w:color="auto" w:fill="auto"/>
            <w:vAlign w:val="center"/>
          </w:tcPr>
          <w:p w14:paraId="54814A6B">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支持多种加速器直通存储：读写支持NVIDIA</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GPGPU架构国产AI计算卡</w:t>
            </w:r>
            <w:r>
              <w:rPr>
                <w:rFonts w:hint="eastAsia" w:ascii="宋体" w:hAnsi="宋体" w:eastAsia="宋体" w:cs="宋体"/>
                <w:color w:val="auto"/>
                <w:kern w:val="0"/>
                <w:sz w:val="21"/>
                <w:szCs w:val="21"/>
                <w:highlight w:val="none"/>
              </w:rPr>
              <w:t>等加速卡直连存储功能，支持将存储数据直接写入显存；</w:t>
            </w:r>
          </w:p>
        </w:tc>
      </w:tr>
      <w:tr w14:paraId="4ECAF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7856F23D">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rPr>
              <w:t>10</w:t>
            </w:r>
          </w:p>
        </w:tc>
        <w:tc>
          <w:tcPr>
            <w:tcW w:w="7489" w:type="dxa"/>
            <w:shd w:val="clear" w:color="auto" w:fill="auto"/>
            <w:vAlign w:val="center"/>
          </w:tcPr>
          <w:p w14:paraId="1C68202C">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管理功能：</w:t>
            </w:r>
          </w:p>
          <w:p w14:paraId="7241D55D">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rPr>
              <w:t>1.</w:t>
            </w:r>
            <w:r>
              <w:rPr>
                <w:rFonts w:hint="eastAsia" w:ascii="宋体" w:hAnsi="宋体" w:eastAsia="宋体" w:cs="宋体"/>
                <w:color w:val="auto"/>
                <w:kern w:val="0"/>
                <w:sz w:val="21"/>
                <w:szCs w:val="21"/>
                <w:highlight w:val="none"/>
                <w:lang w:val="en-US" w:eastAsia="zh-CN"/>
              </w:rPr>
              <w:t>多集群统一管理：在多校区网络互联的前提下，支持以图形界面的方式对多集群存储进行统一管理，需包含系统的健康状态、容量、性能情况，系统内节点的健康状态、节点内磁盘的健康状态等</w:t>
            </w:r>
            <w:r>
              <w:rPr>
                <w:rFonts w:hint="eastAsia" w:ascii="宋体" w:hAnsi="宋体" w:eastAsia="宋体" w:cs="宋体"/>
                <w:color w:val="auto"/>
                <w:kern w:val="0"/>
                <w:sz w:val="21"/>
                <w:szCs w:val="21"/>
                <w:highlight w:val="none"/>
              </w:rPr>
              <w:t>；</w:t>
            </w:r>
          </w:p>
          <w:p w14:paraId="2E7EF198">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2.支持大屏展示多集群信息、节点信息、存储容量使用趋势、集群告警、集群性能等信息；</w:t>
            </w:r>
          </w:p>
          <w:p w14:paraId="0F0D17DE">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rPr>
              <w:t>3.</w:t>
            </w:r>
            <w:r>
              <w:rPr>
                <w:rFonts w:hint="eastAsia" w:ascii="宋体" w:hAnsi="宋体" w:eastAsia="宋体" w:cs="宋体"/>
                <w:color w:val="auto"/>
                <w:kern w:val="0"/>
                <w:sz w:val="21"/>
                <w:szCs w:val="21"/>
                <w:highlight w:val="none"/>
              </w:rPr>
              <w:t>提供业务IO模型采集和分析工具，包括但不仅限于IO读写分布统计、IO块大小统计分析、IO顺序随机读写统计分析、文件读写操作类型统计分析、客户端带宽/IOPS统计分析，分析结果采用图形化界面展示，并支持导出和下载性能分析报告</w:t>
            </w:r>
            <w:r>
              <w:rPr>
                <w:rFonts w:hint="eastAsia" w:ascii="宋体" w:hAnsi="宋体" w:cs="宋体"/>
                <w:color w:val="auto"/>
                <w:kern w:val="0"/>
                <w:sz w:val="21"/>
                <w:szCs w:val="21"/>
                <w:highlight w:val="none"/>
                <w:lang w:eastAsia="zh-CN"/>
              </w:rPr>
              <w:t>。</w:t>
            </w:r>
            <w:r>
              <w:rPr>
                <w:rFonts w:hint="eastAsia" w:ascii="宋体" w:hAnsi="宋体" w:eastAsia="宋体" w:cs="宋体"/>
                <w:b/>
                <w:bCs/>
                <w:i/>
                <w:iCs/>
                <w:caps w:val="0"/>
                <w:color w:val="auto"/>
                <w:spacing w:val="0"/>
                <w:kern w:val="2"/>
                <w:sz w:val="21"/>
                <w:szCs w:val="21"/>
                <w:highlight w:val="none"/>
                <w:lang w:val="en-US" w:eastAsia="zh-CN" w:bidi="ar-SA"/>
              </w:rPr>
              <w:t>（提供系统界面功能截图或第三方检测报告，如未提供按“▲”负偏离扣分）</w:t>
            </w:r>
          </w:p>
        </w:tc>
      </w:tr>
    </w:tbl>
    <w:p w14:paraId="229390E0">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rPr>
      </w:pPr>
    </w:p>
    <w:p w14:paraId="7FFDA8DF">
      <w:pPr>
        <w:keepNext w:val="0"/>
        <w:keepLines w:val="0"/>
        <w:pageBreakBefore w:val="0"/>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网络系统</w:t>
      </w:r>
    </w:p>
    <w:p w14:paraId="1C73C4FA">
      <w:pPr>
        <w:keepNext w:val="0"/>
        <w:keepLines w:val="0"/>
        <w:pageBreakBefore w:val="0"/>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高速计算网络</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0"/>
        <w:gridCol w:w="7489"/>
      </w:tblGrid>
      <w:tr w14:paraId="17983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28652B13">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89" w:type="dxa"/>
            <w:shd w:val="clear" w:color="auto" w:fill="auto"/>
            <w:vAlign w:val="center"/>
          </w:tcPr>
          <w:p w14:paraId="024A39BE">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12ACC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6E5715F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89" w:type="dxa"/>
            <w:shd w:val="clear" w:color="auto" w:fill="auto"/>
            <w:vAlign w:val="center"/>
          </w:tcPr>
          <w:p w14:paraId="56C3697B">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配置≥32端口NDR IB高速内联交换机，单台提供≥64个400Gb/s IB网络端口，实现本次采购涉及的所有计算、存储设备之间端到端数据传输速率≥200Gb/s，设备数量以满足现场实际需求为准，投标文件中需明确标注设备数量与规格；</w:t>
            </w:r>
          </w:p>
        </w:tc>
      </w:tr>
      <w:tr w14:paraId="71240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288D0896">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1.2</w:t>
            </w:r>
          </w:p>
        </w:tc>
        <w:tc>
          <w:tcPr>
            <w:tcW w:w="7489" w:type="dxa"/>
            <w:shd w:val="clear" w:color="auto" w:fill="auto"/>
            <w:vAlign w:val="center"/>
          </w:tcPr>
          <w:p w14:paraId="70293011">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需配置配套模块、线缆，数量、长度以满足现场需求</w:t>
            </w:r>
            <w:r>
              <w:rPr>
                <w:rFonts w:hint="eastAsia" w:ascii="宋体" w:hAnsi="宋体" w:eastAsia="宋体" w:cs="宋体"/>
                <w:b w:val="0"/>
                <w:bCs w:val="0"/>
                <w:color w:val="auto"/>
                <w:sz w:val="21"/>
                <w:szCs w:val="21"/>
                <w:highlight w:val="none"/>
              </w:rPr>
              <w:t>为准，投标文件中需明确标注设备数量与规格。</w:t>
            </w:r>
          </w:p>
        </w:tc>
      </w:tr>
    </w:tbl>
    <w:p w14:paraId="525EC088">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24727AF4">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万兆业务网络</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3"/>
        <w:gridCol w:w="7506"/>
      </w:tblGrid>
      <w:tr w14:paraId="51459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2FFBFA0B">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506" w:type="dxa"/>
            <w:shd w:val="clear" w:color="auto" w:fill="auto"/>
            <w:vAlign w:val="center"/>
          </w:tcPr>
          <w:p w14:paraId="27FE3443">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061BD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56B72576">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506" w:type="dxa"/>
            <w:shd w:val="clear" w:color="auto" w:fill="auto"/>
            <w:vAlign w:val="center"/>
          </w:tcPr>
          <w:p w14:paraId="50EA4140">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配置万兆交换机，实现链路冗余，单台提供≥48口10G SFP+以太网端口，提供≥8个100G QSFP28以太网端口，设备数量以满足现场实际需求为准，投标文件中需明确标注设备数量与规格；</w:t>
            </w:r>
          </w:p>
        </w:tc>
      </w:tr>
      <w:tr w14:paraId="2886C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0D3EC602">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1.2</w:t>
            </w:r>
          </w:p>
        </w:tc>
        <w:tc>
          <w:tcPr>
            <w:tcW w:w="7506" w:type="dxa"/>
            <w:shd w:val="clear" w:color="auto" w:fill="auto"/>
            <w:vAlign w:val="center"/>
          </w:tcPr>
          <w:p w14:paraId="7189D6FA">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需配置配套模块、线缆，数量、长度以满足现场需求</w:t>
            </w:r>
            <w:r>
              <w:rPr>
                <w:rFonts w:hint="eastAsia" w:ascii="宋体" w:hAnsi="宋体" w:eastAsia="宋体" w:cs="宋体"/>
                <w:b w:val="0"/>
                <w:bCs w:val="0"/>
                <w:color w:val="auto"/>
                <w:sz w:val="21"/>
                <w:szCs w:val="21"/>
                <w:highlight w:val="none"/>
              </w:rPr>
              <w:t>为准，投标文件中需明确标注设备数量与规格。</w:t>
            </w:r>
          </w:p>
        </w:tc>
      </w:tr>
    </w:tbl>
    <w:p w14:paraId="2F84C8ED">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4B0D8F11">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千兆管理网络</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0"/>
        <w:gridCol w:w="7489"/>
      </w:tblGrid>
      <w:tr w14:paraId="47826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7A81F3D7">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89" w:type="dxa"/>
            <w:shd w:val="clear" w:color="auto" w:fill="auto"/>
            <w:vAlign w:val="center"/>
          </w:tcPr>
          <w:p w14:paraId="4CEA17B0">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2165E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FAF12E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89" w:type="dxa"/>
            <w:shd w:val="clear" w:color="auto" w:fill="auto"/>
            <w:vAlign w:val="center"/>
          </w:tcPr>
          <w:p w14:paraId="30909F6B">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配置千兆交换机，实现链路冗余，单台提供≥48个10/100/1000M 自适应电口，提供≥4个1G/10G SFP+光口，设备数量以满足现场实际需求为准，投标文件中需明确标注设备数量与规格；</w:t>
            </w:r>
          </w:p>
        </w:tc>
      </w:tr>
      <w:tr w14:paraId="24E12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757C2231">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1.2</w:t>
            </w:r>
          </w:p>
        </w:tc>
        <w:tc>
          <w:tcPr>
            <w:tcW w:w="7489" w:type="dxa"/>
            <w:shd w:val="clear" w:color="auto" w:fill="auto"/>
            <w:vAlign w:val="center"/>
          </w:tcPr>
          <w:p w14:paraId="21AB2B85">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需配置配套模块、线缆，数量、长度以满足现场需求</w:t>
            </w:r>
            <w:r>
              <w:rPr>
                <w:rFonts w:hint="eastAsia" w:ascii="宋体" w:hAnsi="宋体" w:eastAsia="宋体" w:cs="宋体"/>
                <w:b w:val="0"/>
                <w:bCs w:val="0"/>
                <w:color w:val="auto"/>
                <w:sz w:val="21"/>
                <w:szCs w:val="21"/>
                <w:highlight w:val="none"/>
              </w:rPr>
              <w:t>为准，投标文件中需明确标注设备数量与规格。</w:t>
            </w:r>
          </w:p>
        </w:tc>
      </w:tr>
    </w:tbl>
    <w:p w14:paraId="00B1F611">
      <w:pPr>
        <w:pStyle w:val="46"/>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jc w:val="both"/>
        <w:rPr>
          <w:rFonts w:hint="eastAsia" w:ascii="宋体" w:hAnsi="宋体" w:eastAsia="宋体" w:cs="宋体"/>
          <w:color w:val="auto"/>
          <w:sz w:val="21"/>
          <w:szCs w:val="21"/>
          <w:highlight w:val="none"/>
        </w:rPr>
      </w:pPr>
    </w:p>
    <w:p w14:paraId="40F63556">
      <w:pPr>
        <w:keepNext w:val="0"/>
        <w:keepLines w:val="0"/>
        <w:pageBreakBefore w:val="0"/>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集群调度管理系统</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3"/>
        <w:gridCol w:w="7506"/>
      </w:tblGrid>
      <w:tr w14:paraId="36EB2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09E54737">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506" w:type="dxa"/>
            <w:shd w:val="clear" w:color="auto" w:fill="auto"/>
            <w:vAlign w:val="center"/>
          </w:tcPr>
          <w:p w14:paraId="7BEB92AC">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16990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1DE6AE7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506" w:type="dxa"/>
            <w:shd w:val="clear" w:color="auto" w:fill="auto"/>
            <w:vAlign w:val="center"/>
          </w:tcPr>
          <w:p w14:paraId="41119438">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整体需求：</w:t>
            </w:r>
          </w:p>
          <w:p w14:paraId="67CBDD41">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kern w:val="0"/>
                <w:sz w:val="21"/>
                <w:szCs w:val="21"/>
                <w:highlight w:val="none"/>
                <w:lang w:val="en-US" w:eastAsia="zh-CN"/>
              </w:rPr>
              <w:t>.需与共享存储系统为同一品牌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或能够在集群调度管理系统中实现存储系统的存储配额、使用量监控、</w:t>
            </w:r>
            <w:r>
              <w:rPr>
                <w:rFonts w:hint="eastAsia" w:ascii="宋体" w:hAnsi="宋体" w:eastAsia="宋体" w:cs="宋体"/>
                <w:color w:val="auto"/>
                <w:kern w:val="0"/>
                <w:sz w:val="21"/>
                <w:szCs w:val="21"/>
                <w:highlight w:val="none"/>
                <w:lang w:val="en-US" w:eastAsia="zh-CN"/>
              </w:rPr>
              <w:t>IO性能查看</w:t>
            </w:r>
            <w:r>
              <w:rPr>
                <w:rFonts w:hint="eastAsia" w:ascii="宋体" w:hAnsi="宋体" w:cs="宋体"/>
                <w:color w:val="auto"/>
                <w:sz w:val="21"/>
                <w:szCs w:val="21"/>
                <w:highlight w:val="none"/>
                <w:lang w:val="en-US" w:eastAsia="zh-CN"/>
              </w:rPr>
              <w:t>；</w:t>
            </w:r>
            <w:r>
              <w:rPr>
                <w:rFonts w:hint="eastAsia" w:ascii="宋体" w:hAnsi="宋体" w:eastAsia="宋体" w:cs="宋体"/>
                <w:b/>
                <w:bCs/>
                <w:i/>
                <w:iCs/>
                <w:caps w:val="0"/>
                <w:color w:val="auto"/>
                <w:spacing w:val="0"/>
                <w:kern w:val="2"/>
                <w:sz w:val="21"/>
                <w:szCs w:val="21"/>
                <w:highlight w:val="none"/>
                <w:lang w:val="en-US" w:eastAsia="zh-CN" w:bidi="ar-SA"/>
              </w:rPr>
              <w:t>（提供功能界面截图，如未提供按“▲”负偏离扣分）</w:t>
            </w:r>
          </w:p>
          <w:p w14:paraId="5CFE86FF">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2.采用商业版集群调度管理软件，具有完全自主知识产权；</w:t>
            </w:r>
            <w:r>
              <w:rPr>
                <w:rFonts w:hint="eastAsia" w:ascii="宋体" w:hAnsi="宋体" w:eastAsia="宋体" w:cs="宋体"/>
                <w:b/>
                <w:bCs/>
                <w:i/>
                <w:iCs/>
                <w:caps w:val="0"/>
                <w:color w:val="auto"/>
                <w:spacing w:val="0"/>
                <w:kern w:val="2"/>
                <w:sz w:val="21"/>
                <w:szCs w:val="21"/>
                <w:highlight w:val="none"/>
                <w:lang w:val="en-US" w:eastAsia="zh-CN" w:bidi="ar-SA"/>
              </w:rPr>
              <w:t>（提供国家版权局颁发的计算机软件著作权登记证书，如未提供按“▲”负偏离扣分）</w:t>
            </w:r>
          </w:p>
          <w:p w14:paraId="68B096C2">
            <w:pPr>
              <w:pStyle w:val="46"/>
              <w:keepNext w:val="0"/>
              <w:keepLines w:val="0"/>
              <w:pageBreakBefore w:val="0"/>
              <w:kinsoku/>
              <w:wordWrap/>
              <w:overflowPunct/>
              <w:topLinePunct w:val="0"/>
              <w:autoSpaceDE/>
              <w:autoSpaceDN/>
              <w:bidi w:val="0"/>
              <w:adjustRightInd/>
              <w:snapToGrid/>
              <w:spacing w:after="0" w:line="400" w:lineRule="exact"/>
              <w:ind w:left="0" w:leftChars="0" w:firstLine="0" w:firstLineChars="0"/>
              <w:jc w:val="both"/>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kern w:val="0"/>
                <w:sz w:val="21"/>
                <w:szCs w:val="21"/>
                <w:highlight w:val="none"/>
                <w:lang w:val="en-US" w:eastAsia="zh-CN"/>
              </w:rPr>
              <w:t>3.提供本次采购集群中所有节点、GPU卡、存储系统的全功能模板商业版软件licence授权</w:t>
            </w:r>
            <w:r>
              <w:rPr>
                <w:rFonts w:hint="eastAsia" w:ascii="宋体" w:hAnsi="宋体" w:cs="宋体"/>
                <w:b w:val="0"/>
                <w:bCs w:val="0"/>
                <w:color w:val="auto"/>
                <w:kern w:val="0"/>
                <w:sz w:val="21"/>
                <w:szCs w:val="21"/>
                <w:highlight w:val="none"/>
                <w:lang w:val="en-US" w:eastAsia="zh-CN"/>
              </w:rPr>
              <w:t>。</w:t>
            </w:r>
            <w:r>
              <w:rPr>
                <w:rFonts w:hint="eastAsia" w:ascii="宋体" w:hAnsi="宋体" w:eastAsia="宋体" w:cs="宋体"/>
                <w:b/>
                <w:bCs/>
                <w:i/>
                <w:iCs/>
                <w:caps w:val="0"/>
                <w:color w:val="auto"/>
                <w:spacing w:val="0"/>
                <w:kern w:val="2"/>
                <w:sz w:val="21"/>
                <w:szCs w:val="21"/>
                <w:highlight w:val="none"/>
                <w:lang w:val="en-US" w:eastAsia="zh-CN" w:bidi="ar-SA"/>
              </w:rPr>
              <w:t>（供应商须提供承诺函，加盖供应商公章，如未提供按“▲”负偏离扣分）</w:t>
            </w:r>
          </w:p>
        </w:tc>
      </w:tr>
      <w:tr w14:paraId="0B718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4FD744AD">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w:t>
            </w:r>
          </w:p>
        </w:tc>
        <w:tc>
          <w:tcPr>
            <w:tcW w:w="7506" w:type="dxa"/>
            <w:shd w:val="clear" w:color="auto" w:fill="auto"/>
            <w:vAlign w:val="center"/>
          </w:tcPr>
          <w:p w14:paraId="0B2A5A3B">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统一应用平台：</w:t>
            </w:r>
          </w:p>
          <w:p w14:paraId="14FD5783">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none"/>
              </w:rPr>
              <w:t>1.提供计算服务运营能力，包括资源服务申请、资源审批、配额管理、数据管理、权限管理、分级管理、计费功能及集群自动化运维、集群运营状况分析等功能。可以实现科学计算、人工智能等业务形态融合与门户统一。</w:t>
            </w:r>
            <w:r>
              <w:rPr>
                <w:rFonts w:hint="eastAsia" w:ascii="宋体" w:hAnsi="宋体" w:eastAsia="宋体" w:cs="宋体"/>
                <w:b/>
                <w:bCs/>
                <w:i/>
                <w:iCs/>
                <w:caps w:val="0"/>
                <w:color w:val="auto"/>
                <w:spacing w:val="0"/>
                <w:kern w:val="2"/>
                <w:sz w:val="21"/>
                <w:szCs w:val="21"/>
                <w:highlight w:val="none"/>
                <w:lang w:val="en-US" w:eastAsia="zh-CN" w:bidi="ar-SA"/>
              </w:rPr>
              <w:t>（提供功能界面截图，如未提供按“其他”负偏离扣分）</w:t>
            </w:r>
          </w:p>
          <w:p w14:paraId="7F140818">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2.可对多种不同硬件平台进行融合管理与调度，可实现高性能计算与智能计算业务形态融合管理，可实现国产CPU与非国产CPU统一调度，可实现国产GPGPU加速卡与非国产GPGPU加速卡统一调度。</w:t>
            </w:r>
          </w:p>
          <w:p w14:paraId="6BEE0679">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供应商须提供标准化的门户API接口及配套开发文档，支持用户基于门户系统进行二次开发。系统须满足学校统一管理规范，支持将数据无缝对接至校级数据中台。在项目建设及质保期内，供应商需配合用户调整现有接口，以便满足二次开发或数据对接需求。</w:t>
            </w:r>
          </w:p>
          <w:p w14:paraId="4672C804">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.平台通过设定的角色分配相应的功能权限。角色分为普通用户、集群管理员、运维管理员。</w:t>
            </w:r>
          </w:p>
          <w:p w14:paraId="4C4E7AAF">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普通用户主要进行作业提交、资源申请、账号注册等功能；</w:t>
            </w:r>
          </w:p>
          <w:p w14:paraId="4137DB43">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集群管理员，负责管理资源、资源审批，管理系统中所有计算资源和作业；</w:t>
            </w:r>
          </w:p>
          <w:p w14:paraId="11B876A6">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运维管理员，负责系统集群基础环境、作业调度环境、业务环境运维，进行集群健康检查。</w:t>
            </w:r>
          </w:p>
          <w:p w14:paraId="489EF1EB">
            <w:pPr>
              <w:pStyle w:val="19"/>
              <w:keepNext w:val="0"/>
              <w:keepLines w:val="0"/>
              <w:pageBreakBefore w:val="0"/>
              <w:widowControl w:val="0"/>
              <w:kinsoku/>
              <w:wordWrap/>
              <w:overflowPunct/>
              <w:topLinePunct w:val="0"/>
              <w:autoSpaceDE/>
              <w:autoSpaceDN/>
              <w:bidi w:val="0"/>
              <w:adjustRightInd w:val="0"/>
              <w:snapToGrid w:val="0"/>
              <w:spacing w:line="400" w:lineRule="exact"/>
              <w:ind w:left="0" w:leftChars="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.支持团队管理，系统管理员可以创建团队，团队管理员可以管理团队内用户，对团队内用户进行邀请、移除，以及资源分配工作，并查看团队内成员的消费明细、作业信息；</w:t>
            </w:r>
            <w:r>
              <w:rPr>
                <w:rFonts w:hint="eastAsia" w:ascii="宋体" w:hAnsi="宋体" w:eastAsia="宋体" w:cs="宋体"/>
                <w:b/>
                <w:bCs/>
                <w:i/>
                <w:iCs/>
                <w:caps w:val="0"/>
                <w:color w:val="auto"/>
                <w:spacing w:val="0"/>
                <w:kern w:val="2"/>
                <w:sz w:val="21"/>
                <w:szCs w:val="21"/>
                <w:highlight w:val="none"/>
                <w:lang w:val="en-US" w:eastAsia="zh-CN" w:bidi="ar-SA"/>
              </w:rPr>
              <w:t>（提供功能界面截图，如未提供按“其他”负偏离扣分）</w:t>
            </w:r>
          </w:p>
          <w:p w14:paraId="38C09F64">
            <w:pPr>
              <w:pStyle w:val="19"/>
              <w:keepNext w:val="0"/>
              <w:keepLines w:val="0"/>
              <w:pageBreakBefore w:val="0"/>
              <w:widowControl w:val="0"/>
              <w:kinsoku/>
              <w:wordWrap/>
              <w:overflowPunct/>
              <w:topLinePunct w:val="0"/>
              <w:autoSpaceDE/>
              <w:autoSpaceDN/>
              <w:bidi w:val="0"/>
              <w:adjustRightInd w:val="0"/>
              <w:snapToGrid w:val="0"/>
              <w:spacing w:line="400" w:lineRule="exact"/>
              <w:ind w:left="0" w:leftChars="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kern w:val="0"/>
                <w:sz w:val="21"/>
                <w:szCs w:val="21"/>
                <w:highlight w:val="none"/>
                <w:lang w:val="en-US" w:eastAsia="zh-CN"/>
              </w:rPr>
              <w:t>支持多集群管理，实现多校区资源的统一纳管，提供集群接入和集群配置功能，实现平台管理员多集群统一运营管理，用户可申请不同集群资源进行任务提交；</w:t>
            </w:r>
            <w:r>
              <w:rPr>
                <w:rFonts w:hint="eastAsia" w:ascii="宋体" w:hAnsi="宋体" w:eastAsia="宋体" w:cs="宋体"/>
                <w:b/>
                <w:bCs/>
                <w:i/>
                <w:iCs/>
                <w:caps w:val="0"/>
                <w:color w:val="auto"/>
                <w:spacing w:val="0"/>
                <w:kern w:val="2"/>
                <w:sz w:val="21"/>
                <w:szCs w:val="21"/>
                <w:highlight w:val="none"/>
                <w:lang w:val="en-US" w:eastAsia="zh-CN" w:bidi="ar-SA"/>
              </w:rPr>
              <w:t>（提供功能界面截图，如未提供按“▲”负偏离扣分）</w:t>
            </w:r>
          </w:p>
          <w:p w14:paraId="7D6EC313">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.混合云：支持混合云算力管理方式，平台在用户体验一致的前提下可同时纳管本地算力资源与云端算力资源。用户可申请开通云端资源和本地资源，同时平台支持对云端/本地资源的授权、计费计量等管理。</w:t>
            </w:r>
          </w:p>
        </w:tc>
      </w:tr>
      <w:tr w14:paraId="56DA0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5207182D">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3</w:t>
            </w:r>
          </w:p>
        </w:tc>
        <w:tc>
          <w:tcPr>
            <w:tcW w:w="7506" w:type="dxa"/>
            <w:shd w:val="clear" w:color="auto" w:fill="auto"/>
            <w:vAlign w:val="center"/>
          </w:tcPr>
          <w:p w14:paraId="05063C45">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作业提交：</w:t>
            </w:r>
            <w:r>
              <w:rPr>
                <w:rFonts w:hint="eastAsia" w:ascii="宋体" w:hAnsi="宋体" w:eastAsia="宋体" w:cs="宋体"/>
                <w:color w:val="auto"/>
                <w:kern w:val="0"/>
                <w:sz w:val="21"/>
                <w:szCs w:val="21"/>
                <w:highlight w:val="none"/>
                <w:lang w:val="en-US" w:eastAsia="zh-CN" w:bidi="ar-SA"/>
              </w:rPr>
              <w:t>支持命令行提交、模板提交、图形提交等多种作业提交方式，方便满足同用户使用习惯；支持作业模板功能，用户可保存常用作业配置为模板，提高作业提交效率；支持作业参数的灵活配置，包括资源需求、运行时间、依赖关系等。支持自定义作业标签，方便用户维护统计。</w:t>
            </w:r>
          </w:p>
        </w:tc>
      </w:tr>
      <w:tr w14:paraId="77A21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06EBF812">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4</w:t>
            </w:r>
          </w:p>
        </w:tc>
        <w:tc>
          <w:tcPr>
            <w:tcW w:w="7506" w:type="dxa"/>
            <w:shd w:val="clear" w:color="auto" w:fill="auto"/>
            <w:vAlign w:val="center"/>
          </w:tcPr>
          <w:p w14:paraId="7782A116">
            <w:pPr>
              <w:keepNext w:val="0"/>
              <w:keepLines w:val="0"/>
              <w:pageBreakBefore w:val="0"/>
              <w:widowControl/>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bidi="ar-SA"/>
              </w:rPr>
              <w:t>自动化部署与运维工具：提供基于命令行的集群环境配置工具软件，实现一键配置所有节点的SSH无密码访问、RSH无密码访问、网络连通检测、IPMI配置、NFS配置、添加及删除用户、同步文件，实现有所有节点并行执行命令等功能，方便集群运维管理。</w:t>
            </w:r>
          </w:p>
        </w:tc>
      </w:tr>
      <w:tr w14:paraId="67901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4B5F73AA">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1.5</w:t>
            </w:r>
          </w:p>
        </w:tc>
        <w:tc>
          <w:tcPr>
            <w:tcW w:w="7506" w:type="dxa"/>
            <w:shd w:val="clear" w:color="auto" w:fill="auto"/>
            <w:vAlign w:val="center"/>
          </w:tcPr>
          <w:p w14:paraId="0A24391D">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人工智能训练平台：</w:t>
            </w:r>
          </w:p>
          <w:p w14:paraId="58559B95">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1.提供一站式开发环境服务，提供TensorFlow、PyTorch等开发框架，提供JupyterLab等开发工具，支持服务实例的暂停和重启，支持开发环境自定义；</w:t>
            </w:r>
          </w:p>
          <w:p w14:paraId="6BF4896D">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2.支持用户从AI社区、文件管理、共享中心、外部数据集仓库来源创建数据集，用户填写数据集信息、数据集名称和使用区域后，系统根据来源自动下载获取数据集文件。</w:t>
            </w:r>
          </w:p>
          <w:p w14:paraId="251806F7">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▲3.支持用户从AI社区、文件管理、共享中心、外部模型仓库来源创建模型，用户填写模型信息、模型名称和使用区域后，系统根据来源自动下载获取模型文件。</w:t>
            </w:r>
            <w:r>
              <w:rPr>
                <w:rFonts w:hint="eastAsia" w:ascii="宋体" w:hAnsi="宋体" w:cs="宋体"/>
                <w:b/>
                <w:bCs/>
                <w:i/>
                <w:iCs/>
                <w:caps w:val="0"/>
                <w:color w:val="auto"/>
                <w:spacing w:val="0"/>
                <w:sz w:val="21"/>
                <w:szCs w:val="21"/>
                <w:highlight w:val="none"/>
                <w:lang w:val="en-US" w:eastAsia="zh-CN"/>
              </w:rPr>
              <w:t>（</w:t>
            </w:r>
            <w:r>
              <w:rPr>
                <w:rFonts w:hint="eastAsia" w:ascii="宋体" w:hAnsi="宋体" w:eastAsia="宋体" w:cs="宋体"/>
                <w:b/>
                <w:bCs/>
                <w:i/>
                <w:iCs/>
                <w:color w:val="auto"/>
                <w:kern w:val="0"/>
                <w:sz w:val="21"/>
                <w:szCs w:val="21"/>
                <w:highlight w:val="none"/>
                <w:lang w:val="en-US" w:eastAsia="zh-CN" w:bidi="ar-SA"/>
              </w:rPr>
              <w:t>提供功能界面截图</w:t>
            </w:r>
            <w:r>
              <w:rPr>
                <w:rFonts w:hint="eastAsia" w:ascii="宋体" w:hAnsi="宋体" w:cs="宋体"/>
                <w:b/>
                <w:bCs/>
                <w:i/>
                <w:iCs/>
                <w:color w:val="auto"/>
                <w:sz w:val="21"/>
                <w:szCs w:val="21"/>
                <w:highlight w:val="none"/>
                <w:lang w:val="en-US" w:eastAsia="zh-CN"/>
              </w:rPr>
              <w:t>，如未提供按“</w:t>
            </w:r>
            <w:r>
              <w:rPr>
                <w:rFonts w:hint="eastAsia" w:ascii="宋体" w:hAnsi="宋体" w:eastAsia="宋体" w:cs="宋体"/>
                <w:b/>
                <w:bCs/>
                <w:i/>
                <w:iCs/>
                <w:color w:val="auto"/>
                <w:sz w:val="21"/>
                <w:szCs w:val="21"/>
                <w:highlight w:val="none"/>
              </w:rPr>
              <w:t>▲</w:t>
            </w:r>
            <w:r>
              <w:rPr>
                <w:rFonts w:hint="eastAsia" w:ascii="宋体" w:hAnsi="宋体" w:cs="宋体"/>
                <w:b/>
                <w:bCs/>
                <w:i/>
                <w:iCs/>
                <w:color w:val="auto"/>
                <w:sz w:val="21"/>
                <w:szCs w:val="21"/>
                <w:highlight w:val="none"/>
                <w:lang w:val="en-US" w:eastAsia="zh-CN"/>
              </w:rPr>
              <w:t>”负偏离扣分</w:t>
            </w:r>
            <w:r>
              <w:rPr>
                <w:rFonts w:hint="eastAsia" w:ascii="宋体" w:hAnsi="宋体" w:cs="宋体"/>
                <w:b/>
                <w:bCs/>
                <w:i/>
                <w:iCs/>
                <w:caps w:val="0"/>
                <w:color w:val="auto"/>
                <w:spacing w:val="0"/>
                <w:sz w:val="21"/>
                <w:szCs w:val="21"/>
                <w:highlight w:val="none"/>
                <w:lang w:val="en-US" w:eastAsia="zh-CN"/>
              </w:rPr>
              <w:t>）</w:t>
            </w:r>
          </w:p>
          <w:p w14:paraId="634F2A87">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4.支持 TensorFlow、PyTorch 主流训练框架，适配数据并行、模型并行混合训练模式，支持多机多卡算力集群调度；</w:t>
            </w:r>
          </w:p>
          <w:p w14:paraId="3163A9B0">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5.支持公有镜像管理，用户可以订阅平台公有的容器镜像资源进行使用；管理员可以向公有镜像库上传镜像资源；</w:t>
            </w:r>
          </w:p>
          <w:p w14:paraId="56AE4CEB">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6.支持私有镜像管理，将私有镜像分享至公有镜像库，供其他用户订阅和使用。支持本地镜像上传和自定义；</w:t>
            </w:r>
          </w:p>
          <w:p w14:paraId="2F7FAA92">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7.支持创建多容器实例任务，可通过页面对容器组提交批量执行脚本，以支持分布式训练或服务部署；</w:t>
            </w:r>
          </w:p>
          <w:p w14:paraId="6D2E3569">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8.支持配置容器环境变量和启动脚本，在容器运行时默认执行，避免资源闲置；</w:t>
            </w:r>
          </w:p>
          <w:p w14:paraId="2EB54BF4">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9.支持加速卡低使用率处理，实时监测 Notebook、容器实例任务的加速卡运行状态，当资源利用率低于预设配置阈值时，触发预设处理机制；</w:t>
            </w:r>
          </w:p>
          <w:p w14:paraId="49EE67F2">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▲10.支持多加速器兼容，支持在同一调度器中，同时管理、调度和监控业界主流NV</w:t>
            </w:r>
            <w:r>
              <w:rPr>
                <w:rFonts w:hint="default" w:ascii="宋体" w:hAnsi="宋体" w:cs="宋体"/>
                <w:b w:val="0"/>
                <w:bCs w:val="0"/>
                <w:color w:val="auto"/>
                <w:kern w:val="0"/>
                <w:sz w:val="21"/>
                <w:szCs w:val="21"/>
                <w:highlight w:val="none"/>
                <w:lang w:val="en-US" w:eastAsia="zh-CN"/>
              </w:rPr>
              <w:t>I</w:t>
            </w:r>
            <w:r>
              <w:rPr>
                <w:rFonts w:hint="eastAsia" w:ascii="宋体" w:hAnsi="宋体" w:eastAsia="宋体" w:cs="宋体"/>
                <w:b w:val="0"/>
                <w:bCs w:val="0"/>
                <w:color w:val="auto"/>
                <w:kern w:val="0"/>
                <w:sz w:val="21"/>
                <w:szCs w:val="21"/>
                <w:highlight w:val="none"/>
                <w:lang w:val="en-US" w:eastAsia="zh-CN"/>
              </w:rPr>
              <w:t>DIA GPU和国产加速器</w:t>
            </w:r>
            <w:r>
              <w:rPr>
                <w:rFonts w:hint="eastAsia" w:ascii="宋体" w:hAnsi="宋体" w:cs="宋体"/>
                <w:b w:val="0"/>
                <w:bCs w:val="0"/>
                <w:color w:val="auto"/>
                <w:kern w:val="0"/>
                <w:sz w:val="21"/>
                <w:szCs w:val="21"/>
                <w:highlight w:val="none"/>
                <w:lang w:val="en-US" w:eastAsia="zh-CN"/>
              </w:rPr>
              <w:t>。</w:t>
            </w:r>
            <w:r>
              <w:rPr>
                <w:rFonts w:hint="eastAsia" w:ascii="宋体" w:hAnsi="宋体" w:eastAsia="宋体" w:cs="宋体"/>
                <w:b/>
                <w:bCs/>
                <w:i/>
                <w:iCs/>
                <w:color w:val="auto"/>
                <w:kern w:val="0"/>
                <w:sz w:val="21"/>
                <w:szCs w:val="21"/>
                <w:highlight w:val="none"/>
                <w:lang w:val="en-US" w:eastAsia="zh-CN"/>
              </w:rPr>
              <w:t>（提供功能界面截图</w:t>
            </w:r>
            <w:r>
              <w:rPr>
                <w:rFonts w:hint="eastAsia" w:ascii="宋体" w:hAnsi="宋体" w:cs="宋体"/>
                <w:b/>
                <w:bCs/>
                <w:i/>
                <w:iCs/>
                <w:color w:val="auto"/>
                <w:sz w:val="21"/>
                <w:szCs w:val="21"/>
                <w:highlight w:val="none"/>
                <w:lang w:val="en-US" w:eastAsia="zh-CN"/>
              </w:rPr>
              <w:t>，如未提供按“</w:t>
            </w:r>
            <w:r>
              <w:rPr>
                <w:rFonts w:hint="eastAsia" w:ascii="宋体" w:hAnsi="宋体" w:eastAsia="宋体" w:cs="宋体"/>
                <w:b/>
                <w:bCs/>
                <w:i/>
                <w:iCs/>
                <w:color w:val="auto"/>
                <w:sz w:val="21"/>
                <w:szCs w:val="21"/>
                <w:highlight w:val="none"/>
              </w:rPr>
              <w:t>▲</w:t>
            </w:r>
            <w:r>
              <w:rPr>
                <w:rFonts w:hint="eastAsia" w:ascii="宋体" w:hAnsi="宋体" w:cs="宋体"/>
                <w:b/>
                <w:bCs/>
                <w:i/>
                <w:iCs/>
                <w:color w:val="auto"/>
                <w:sz w:val="21"/>
                <w:szCs w:val="21"/>
                <w:highlight w:val="none"/>
                <w:lang w:val="en-US" w:eastAsia="zh-CN"/>
              </w:rPr>
              <w:t>”负偏离扣分</w:t>
            </w:r>
            <w:r>
              <w:rPr>
                <w:rFonts w:hint="eastAsia" w:ascii="宋体" w:hAnsi="宋体" w:eastAsia="宋体" w:cs="宋体"/>
                <w:b/>
                <w:bCs/>
                <w:i/>
                <w:iCs/>
                <w:color w:val="auto"/>
                <w:kern w:val="0"/>
                <w:sz w:val="21"/>
                <w:szCs w:val="21"/>
                <w:highlight w:val="none"/>
                <w:lang w:val="en-US" w:eastAsia="zh-CN"/>
              </w:rPr>
              <w:t>）</w:t>
            </w:r>
          </w:p>
        </w:tc>
      </w:tr>
      <w:tr w14:paraId="6FF85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7DEC599A">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.6</w:t>
            </w:r>
          </w:p>
        </w:tc>
        <w:tc>
          <w:tcPr>
            <w:tcW w:w="7506" w:type="dxa"/>
            <w:shd w:val="clear" w:color="auto" w:fill="auto"/>
            <w:vAlign w:val="center"/>
          </w:tcPr>
          <w:p w14:paraId="3AF550AE">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大模型应用服务：</w:t>
            </w:r>
          </w:p>
          <w:p w14:paraId="25C057E9">
            <w:pPr>
              <w:pStyle w:val="46"/>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1.大模型对话服务：支持多轮对话，提供会话记录管理能力；支持对话重新生成、复制、删除等能力。</w:t>
            </w:r>
          </w:p>
          <w:p w14:paraId="7E2B6FC5">
            <w:pPr>
              <w:pStyle w:val="45"/>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2.知识库管理：提供个人知识库管理功能，支持解析Word、PPT、Excel、PDF、图片、网页等文件形式，用户可自定义解析模型、OCR模型、解析方法、文档语言等参数。</w:t>
            </w:r>
          </w:p>
          <w:p w14:paraId="741EFC42">
            <w:pPr>
              <w:pStyle w:val="1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bidi="ar-SA"/>
              </w:rPr>
              <w:t>3.智能体管理：支持基于拖拽式编程方式构建个人智能体，提供检索、生成回答、对话、问题分类、静态消息、搜索等多种工作流组件，支持可视化配置各模块具体参数；提供在线的对话式智能体试用能力，用户可获取智能体web端访问链接。</w:t>
            </w:r>
          </w:p>
        </w:tc>
      </w:tr>
      <w:tr w14:paraId="37E02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2A692697">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.7</w:t>
            </w:r>
          </w:p>
        </w:tc>
        <w:tc>
          <w:tcPr>
            <w:tcW w:w="7506" w:type="dxa"/>
            <w:shd w:val="clear" w:color="auto" w:fill="auto"/>
            <w:vAlign w:val="center"/>
          </w:tcPr>
          <w:p w14:paraId="5A73C6B8">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集群监控管理：</w:t>
            </w:r>
          </w:p>
          <w:p w14:paraId="44B737F3">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物理视图：提供直观的物理视图，真实还原设备的真实物理位置分布和位置关系。能够快速识别查看范围的资产是否存在告警，并且能够快速查看对应的告警内容，直观的展现各类设备的告警信息。提供服务器、交换机等资产的额详细状态监控视图，分类展示该节点的静态信息和运行状态。静态配置信息包括CPU型号、内存大小、管理IP、操作系统版本等，动态信息包括磁盘分区状态、网卡状态、进程状态、IPMI传感器状态、GPU状态等。</w:t>
            </w:r>
            <w:r>
              <w:rPr>
                <w:rFonts w:hint="eastAsia" w:ascii="宋体" w:hAnsi="宋体" w:eastAsia="宋体" w:cs="宋体"/>
                <w:b/>
                <w:bCs/>
                <w:i/>
                <w:iCs/>
                <w:color w:val="auto"/>
                <w:kern w:val="0"/>
                <w:sz w:val="21"/>
                <w:szCs w:val="21"/>
                <w:highlight w:val="none"/>
                <w:lang w:val="en-US" w:eastAsia="zh-CN"/>
              </w:rPr>
              <w:t>（提供功能界面截图</w:t>
            </w:r>
            <w:r>
              <w:rPr>
                <w:rFonts w:hint="eastAsia" w:ascii="宋体" w:hAnsi="宋体" w:cs="宋体"/>
                <w:b/>
                <w:bCs/>
                <w:i/>
                <w:iCs/>
                <w:color w:val="auto"/>
                <w:sz w:val="21"/>
                <w:szCs w:val="21"/>
                <w:highlight w:val="none"/>
                <w:lang w:val="en-US" w:eastAsia="zh-CN"/>
              </w:rPr>
              <w:t>，如未提供按“其他”负偏离扣分</w:t>
            </w:r>
            <w:r>
              <w:rPr>
                <w:rFonts w:hint="eastAsia" w:ascii="宋体" w:hAnsi="宋体" w:eastAsia="宋体" w:cs="宋体"/>
                <w:b/>
                <w:bCs/>
                <w:i/>
                <w:iCs/>
                <w:color w:val="auto"/>
                <w:kern w:val="0"/>
                <w:sz w:val="21"/>
                <w:szCs w:val="21"/>
                <w:highlight w:val="none"/>
                <w:lang w:val="en-US" w:eastAsia="zh-CN"/>
              </w:rPr>
              <w:t>）</w:t>
            </w:r>
          </w:p>
          <w:p w14:paraId="61A737E7">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w:t>
            </w:r>
            <w:r>
              <w:rPr>
                <w:rFonts w:hint="eastAsia" w:ascii="宋体" w:hAnsi="宋体" w:eastAsia="宋体" w:cs="宋体"/>
                <w:color w:val="auto"/>
                <w:kern w:val="0"/>
                <w:sz w:val="21"/>
                <w:szCs w:val="21"/>
                <w:highlight w:val="none"/>
                <w:lang w:eastAsia="zh-CN"/>
              </w:rPr>
              <w:t>2.大屏展示：提供存储监控、作业监控、集群监控等大屏仪表盘，直观展示集群运行情况、节点使用情况、作业状态、集群资产等信息。</w:t>
            </w:r>
            <w:r>
              <w:rPr>
                <w:rFonts w:hint="eastAsia" w:ascii="宋体" w:hAnsi="宋体" w:eastAsia="宋体" w:cs="宋体"/>
                <w:b/>
                <w:bCs/>
                <w:i/>
                <w:iCs/>
                <w:color w:val="auto"/>
                <w:kern w:val="0"/>
                <w:sz w:val="21"/>
                <w:szCs w:val="21"/>
                <w:highlight w:val="none"/>
                <w:lang w:val="en-US" w:eastAsia="zh-CN"/>
              </w:rPr>
              <w:t>（提供功能界面截图</w:t>
            </w:r>
            <w:r>
              <w:rPr>
                <w:rFonts w:hint="eastAsia" w:ascii="宋体" w:hAnsi="宋体" w:cs="宋体"/>
                <w:b/>
                <w:bCs/>
                <w:i/>
                <w:iCs/>
                <w:color w:val="auto"/>
                <w:sz w:val="21"/>
                <w:szCs w:val="21"/>
                <w:highlight w:val="none"/>
                <w:lang w:val="en-US" w:eastAsia="zh-CN"/>
              </w:rPr>
              <w:t>，如未提供按“</w:t>
            </w:r>
            <w:r>
              <w:rPr>
                <w:rFonts w:hint="eastAsia" w:ascii="宋体" w:hAnsi="宋体" w:eastAsia="宋体" w:cs="宋体"/>
                <w:b/>
                <w:bCs/>
                <w:i/>
                <w:iCs/>
                <w:color w:val="auto"/>
                <w:sz w:val="21"/>
                <w:szCs w:val="21"/>
                <w:highlight w:val="none"/>
              </w:rPr>
              <w:t>▲</w:t>
            </w:r>
            <w:r>
              <w:rPr>
                <w:rFonts w:hint="eastAsia" w:ascii="宋体" w:hAnsi="宋体" w:cs="宋体"/>
                <w:b/>
                <w:bCs/>
                <w:i/>
                <w:iCs/>
                <w:color w:val="auto"/>
                <w:sz w:val="21"/>
                <w:szCs w:val="21"/>
                <w:highlight w:val="none"/>
                <w:lang w:val="en-US" w:eastAsia="zh-CN"/>
              </w:rPr>
              <w:t>”负偏离扣分</w:t>
            </w:r>
            <w:r>
              <w:rPr>
                <w:rFonts w:hint="eastAsia" w:ascii="宋体" w:hAnsi="宋体" w:eastAsia="宋体" w:cs="宋体"/>
                <w:b/>
                <w:bCs/>
                <w:i/>
                <w:iCs/>
                <w:color w:val="auto"/>
                <w:kern w:val="0"/>
                <w:sz w:val="21"/>
                <w:szCs w:val="21"/>
                <w:highlight w:val="none"/>
                <w:lang w:val="en-US" w:eastAsia="zh-CN"/>
              </w:rPr>
              <w:t>）</w:t>
            </w:r>
          </w:p>
          <w:p w14:paraId="006851C5">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3.资产监控：支持查看所有资产监控信息，包括各种资产类型、管理IP、采集状态等信息，也可查看每个资产的详细信息，如机型、摆放位置、机器状态、序列号等。</w:t>
            </w:r>
          </w:p>
          <w:p w14:paraId="5B89114F">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4.调度视图：提供调度视图，支持查看Slurm服务信息以及Agent线程数、RPC线程数、未调度作业等待时间最大值、等待调度时间大于10分钟作业列表等调度系统相关核心指标。</w:t>
            </w:r>
          </w:p>
          <w:p w14:paraId="64B780AD">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5.网络视图：以拓扑形式，展示网络内的各种交换机—服务器之间的连接关系和运行状态，能够展示任意两台相连资产间的流量情况。支持查看资产的详细运行状态、日志、告警等信息。支持拓扑自发现、拓扑基线管理等能力。</w:t>
            </w:r>
          </w:p>
          <w:p w14:paraId="5A7BCD07">
            <w:pPr>
              <w:pStyle w:val="46"/>
              <w:keepNext w:val="0"/>
              <w:keepLines w:val="0"/>
              <w:pageBreakBefore w:val="0"/>
              <w:kinsoku/>
              <w:wordWrap/>
              <w:overflowPunct/>
              <w:topLinePunct w:val="0"/>
              <w:autoSpaceDE/>
              <w:autoSpaceDN/>
              <w:bidi w:val="0"/>
              <w:spacing w:after="0" w:line="400" w:lineRule="exact"/>
              <w:ind w:left="0" w:leftChars="0" w:firstLine="0" w:firstLine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6.存储视图：支持从存储集群到存储服务器的各层级监控，涵盖存储系统运行状态、存储用量，IOPS、数据等级等核心性能指标，支持多品牌存储系统统一展示。</w:t>
            </w:r>
            <w:r>
              <w:rPr>
                <w:rFonts w:hint="eastAsia" w:ascii="宋体" w:hAnsi="宋体" w:eastAsia="宋体" w:cs="宋体"/>
                <w:b/>
                <w:bCs/>
                <w:i/>
                <w:iCs/>
                <w:color w:val="auto"/>
                <w:kern w:val="0"/>
                <w:sz w:val="21"/>
                <w:szCs w:val="21"/>
                <w:highlight w:val="none"/>
                <w:lang w:eastAsia="zh-CN"/>
              </w:rPr>
              <w:t>（提供功能界面截图</w:t>
            </w:r>
            <w:r>
              <w:rPr>
                <w:rFonts w:hint="eastAsia" w:ascii="宋体" w:hAnsi="宋体" w:cs="宋体"/>
                <w:b/>
                <w:bCs/>
                <w:i/>
                <w:iCs/>
                <w:color w:val="auto"/>
                <w:sz w:val="21"/>
                <w:szCs w:val="21"/>
                <w:highlight w:val="none"/>
                <w:lang w:val="en-US" w:eastAsia="zh-CN"/>
              </w:rPr>
              <w:t>，如未提供按“</w:t>
            </w:r>
            <w:r>
              <w:rPr>
                <w:rFonts w:hint="eastAsia" w:ascii="宋体" w:hAnsi="宋体" w:eastAsia="宋体" w:cs="宋体"/>
                <w:b/>
                <w:bCs/>
                <w:i/>
                <w:iCs/>
                <w:color w:val="auto"/>
                <w:sz w:val="21"/>
                <w:szCs w:val="21"/>
                <w:highlight w:val="none"/>
              </w:rPr>
              <w:t>▲</w:t>
            </w:r>
            <w:r>
              <w:rPr>
                <w:rFonts w:hint="eastAsia" w:ascii="宋体" w:hAnsi="宋体" w:cs="宋体"/>
                <w:b/>
                <w:bCs/>
                <w:i/>
                <w:iCs/>
                <w:color w:val="auto"/>
                <w:sz w:val="21"/>
                <w:szCs w:val="21"/>
                <w:highlight w:val="none"/>
                <w:lang w:val="en-US" w:eastAsia="zh-CN"/>
              </w:rPr>
              <w:t>”负偏离扣分</w:t>
            </w:r>
            <w:r>
              <w:rPr>
                <w:rFonts w:hint="eastAsia" w:ascii="宋体" w:hAnsi="宋体" w:eastAsia="宋体" w:cs="宋体"/>
                <w:b/>
                <w:bCs/>
                <w:i/>
                <w:iCs/>
                <w:color w:val="auto"/>
                <w:kern w:val="0"/>
                <w:sz w:val="21"/>
                <w:szCs w:val="21"/>
                <w:highlight w:val="none"/>
                <w:lang w:eastAsia="zh-CN"/>
              </w:rPr>
              <w:t>）</w:t>
            </w:r>
          </w:p>
          <w:p w14:paraId="04A42CB0">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7.告警管理：支持自定义告警通知策略，在告警触发时，实现消息预警、邮件告警等通知方式。</w:t>
            </w:r>
          </w:p>
          <w:p w14:paraId="70EBC0D5">
            <w:pPr>
              <w:pStyle w:val="46"/>
              <w:keepNext w:val="0"/>
              <w:keepLines w:val="0"/>
              <w:pageBreakBefore w:val="0"/>
              <w:kinsoku/>
              <w:wordWrap/>
              <w:overflowPunct/>
              <w:topLinePunct w:val="0"/>
              <w:autoSpaceDE/>
              <w:autoSpaceDN/>
              <w:bidi w:val="0"/>
              <w:spacing w:after="0" w:line="400" w:lineRule="exact"/>
              <w:ind w:left="0" w:leftChars="0" w:firstLine="0" w:firstLineChars="0"/>
              <w:jc w:val="both"/>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8.健康检查：支持对服务器等资产进行检查，获取服务器带外、带内故障信息，支持针对故障进行快速隔离与诊断处理。</w:t>
            </w:r>
            <w:r>
              <w:rPr>
                <w:rFonts w:hint="eastAsia" w:ascii="宋体" w:hAnsi="宋体" w:eastAsia="宋体" w:cs="宋体"/>
                <w:b/>
                <w:bCs/>
                <w:i/>
                <w:iCs/>
                <w:color w:val="auto"/>
                <w:kern w:val="0"/>
                <w:sz w:val="21"/>
                <w:szCs w:val="21"/>
                <w:highlight w:val="none"/>
                <w:lang w:eastAsia="zh-CN"/>
              </w:rPr>
              <w:t>（提供功能界面截图</w:t>
            </w:r>
            <w:r>
              <w:rPr>
                <w:rFonts w:hint="eastAsia" w:ascii="宋体" w:hAnsi="宋体" w:cs="宋体"/>
                <w:b/>
                <w:bCs/>
                <w:i/>
                <w:iCs/>
                <w:color w:val="auto"/>
                <w:sz w:val="21"/>
                <w:szCs w:val="21"/>
                <w:highlight w:val="none"/>
                <w:lang w:val="en-US" w:eastAsia="zh-CN"/>
              </w:rPr>
              <w:t>，如未提供按“其他”负偏离扣分</w:t>
            </w:r>
            <w:r>
              <w:rPr>
                <w:rFonts w:hint="eastAsia" w:ascii="宋体" w:hAnsi="宋体" w:eastAsia="宋体" w:cs="宋体"/>
                <w:b/>
                <w:bCs/>
                <w:i/>
                <w:iCs/>
                <w:color w:val="auto"/>
                <w:kern w:val="0"/>
                <w:sz w:val="21"/>
                <w:szCs w:val="21"/>
                <w:highlight w:val="none"/>
                <w:lang w:eastAsia="zh-CN"/>
              </w:rPr>
              <w:t>）</w:t>
            </w:r>
          </w:p>
          <w:p w14:paraId="54D0A76C">
            <w:pPr>
              <w:pStyle w:val="46"/>
              <w:keepNext w:val="0"/>
              <w:keepLines w:val="0"/>
              <w:pageBreakBefore w:val="0"/>
              <w:kinsoku/>
              <w:wordWrap/>
              <w:overflowPunct/>
              <w:topLinePunct w:val="0"/>
              <w:autoSpaceDE/>
              <w:autoSpaceDN/>
              <w:bidi w:val="0"/>
              <w:spacing w:after="0" w:line="400" w:lineRule="exact"/>
              <w:ind w:left="0" w:leftChars="0" w:firstLine="0" w:firstLine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9.故障节点处理：支持筛选故障节点并进行统一管理，支持对故障节点批量执行自定义脚本进行快速处理，支持故障节点快速报修，支持联动自动化运维流程实现维修后节点返修上线。</w:t>
            </w:r>
          </w:p>
        </w:tc>
      </w:tr>
      <w:tr w14:paraId="4B7DE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3" w:type="dxa"/>
            <w:shd w:val="clear" w:color="auto" w:fill="auto"/>
            <w:vAlign w:val="center"/>
          </w:tcPr>
          <w:p w14:paraId="3BD8805E">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.8</w:t>
            </w:r>
          </w:p>
        </w:tc>
        <w:tc>
          <w:tcPr>
            <w:tcW w:w="7506" w:type="dxa"/>
            <w:shd w:val="clear" w:color="auto" w:fill="auto"/>
            <w:vAlign w:val="center"/>
          </w:tcPr>
          <w:p w14:paraId="19573BAE">
            <w:pPr>
              <w:pStyle w:val="19"/>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w:t>
            </w:r>
            <w:r>
              <w:rPr>
                <w:rFonts w:hint="eastAsia" w:ascii="宋体" w:hAnsi="宋体" w:eastAsia="宋体" w:cs="宋体"/>
                <w:b w:val="0"/>
                <w:bCs w:val="0"/>
                <w:color w:val="auto"/>
                <w:kern w:val="0"/>
                <w:sz w:val="21"/>
                <w:szCs w:val="21"/>
                <w:highlight w:val="none"/>
              </w:rPr>
              <w:t>资源计费</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支持查看不同集群、不同团队账户的账单；支持针对团队的账单查询、收支明细查询、消费明细查询等。其中消费明细支持查看共享机时、存储费、独占队列费等，支持查看团队作业运行时长所消费金额。收支明细支持查看团队账户交易类型，交易金额以及账户余额等。支持自定义时间段搜索账单，并导出账单。</w:t>
            </w:r>
            <w:r>
              <w:rPr>
                <w:rFonts w:hint="eastAsia" w:ascii="宋体" w:hAnsi="宋体" w:eastAsia="宋体" w:cs="宋体"/>
                <w:b/>
                <w:bCs/>
                <w:i/>
                <w:iCs/>
                <w:color w:val="auto"/>
                <w:kern w:val="0"/>
                <w:sz w:val="21"/>
                <w:szCs w:val="21"/>
                <w:highlight w:val="none"/>
              </w:rPr>
              <w:t>（提供功能界面截图</w:t>
            </w:r>
            <w:r>
              <w:rPr>
                <w:rFonts w:hint="eastAsia" w:ascii="宋体" w:hAnsi="宋体" w:cs="宋体"/>
                <w:b/>
                <w:bCs/>
                <w:i/>
                <w:iCs/>
                <w:color w:val="auto"/>
                <w:sz w:val="21"/>
                <w:szCs w:val="21"/>
                <w:highlight w:val="none"/>
                <w:lang w:val="en-US" w:eastAsia="zh-CN"/>
              </w:rPr>
              <w:t>，如未提供按“</w:t>
            </w:r>
            <w:r>
              <w:rPr>
                <w:rFonts w:hint="eastAsia" w:ascii="宋体" w:hAnsi="宋体" w:eastAsia="宋体" w:cs="宋体"/>
                <w:b/>
                <w:bCs/>
                <w:i/>
                <w:iCs/>
                <w:color w:val="auto"/>
                <w:sz w:val="21"/>
                <w:szCs w:val="21"/>
                <w:highlight w:val="none"/>
              </w:rPr>
              <w:t>▲</w:t>
            </w:r>
            <w:r>
              <w:rPr>
                <w:rFonts w:hint="eastAsia" w:ascii="宋体" w:hAnsi="宋体" w:cs="宋体"/>
                <w:b/>
                <w:bCs/>
                <w:i/>
                <w:iCs/>
                <w:color w:val="auto"/>
                <w:sz w:val="21"/>
                <w:szCs w:val="21"/>
                <w:highlight w:val="none"/>
                <w:lang w:val="en-US" w:eastAsia="zh-CN"/>
              </w:rPr>
              <w:t>”负偏离扣分</w:t>
            </w:r>
            <w:r>
              <w:rPr>
                <w:rFonts w:hint="eastAsia" w:ascii="宋体" w:hAnsi="宋体" w:eastAsia="宋体" w:cs="宋体"/>
                <w:b/>
                <w:bCs/>
                <w:i/>
                <w:iCs/>
                <w:color w:val="auto"/>
                <w:kern w:val="0"/>
                <w:sz w:val="21"/>
                <w:szCs w:val="21"/>
                <w:highlight w:val="none"/>
              </w:rPr>
              <w:t>）</w:t>
            </w:r>
          </w:p>
        </w:tc>
      </w:tr>
      <w:tr w14:paraId="1D25E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783" w:type="dxa"/>
            <w:shd w:val="clear" w:color="auto" w:fill="auto"/>
            <w:vAlign w:val="center"/>
          </w:tcPr>
          <w:p w14:paraId="44462F5D">
            <w:pPr>
              <w:keepNext w:val="0"/>
              <w:keepLines w:val="0"/>
              <w:pageBreakBefore w:val="0"/>
              <w:widowControl/>
              <w:kinsoku/>
              <w:wordWrap/>
              <w:overflowPunct/>
              <w:topLinePunct w:val="0"/>
              <w:autoSpaceDE/>
              <w:autoSpaceDN/>
              <w:bidi w:val="0"/>
              <w:adjustRightInd/>
              <w:snapToGrid/>
              <w:spacing w:line="400" w:lineRule="exact"/>
              <w:ind w:left="0" w:left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1.9</w:t>
            </w:r>
          </w:p>
        </w:tc>
        <w:tc>
          <w:tcPr>
            <w:tcW w:w="7506" w:type="dxa"/>
            <w:shd w:val="clear" w:color="auto" w:fill="auto"/>
            <w:vAlign w:val="center"/>
          </w:tcPr>
          <w:p w14:paraId="07E14813">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技术服务</w:t>
            </w:r>
            <w:r>
              <w:rPr>
                <w:rFonts w:hint="eastAsia" w:ascii="宋体" w:hAnsi="宋体" w:eastAsia="宋体" w:cs="宋体"/>
                <w:b/>
                <w:bCs/>
                <w:color w:val="auto"/>
                <w:kern w:val="0"/>
                <w:sz w:val="21"/>
                <w:szCs w:val="21"/>
                <w:highlight w:val="none"/>
                <w:lang w:eastAsia="zh-CN"/>
              </w:rPr>
              <w:t>：</w:t>
            </w:r>
          </w:p>
          <w:p w14:paraId="16FFEF6F">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1.集群系统实施部署：</w:t>
            </w:r>
          </w:p>
          <w:p w14:paraId="7E63ECA7">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供应商需提供集群系统原厂实施部署服务，完成对用户现有多集群的统一纳管部署。</w:t>
            </w:r>
          </w:p>
          <w:p w14:paraId="42240570">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1.1应用环境部署</w:t>
            </w:r>
          </w:p>
          <w:p w14:paraId="133AD73E">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提供应用部署服务，包括集群基础环境、AI计算环境及生信相关软件（如：Coding language，Plot，Mapping，SNP/Indel calling，Variant call format，Genotype phasing, imputation，Phylogenetic tree，Structure analysis，RAD-seq，SNP annotation等）、模块的安装调优部署；</w:t>
            </w:r>
          </w:p>
          <w:p w14:paraId="7753114D">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1.2集群性能调优</w:t>
            </w:r>
          </w:p>
          <w:p w14:paraId="6BB3DB71">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提供集群性能调优服务，包括对MPI、数学库、生信相关软件（如：Coding language，Plot，Mapping，SNP/Indel calling，Variant call format，Genotype phasing, imputation，Phylogenetic tree，Structure analysis，RAD-seq，SNP annotation等）等进行调优；</w:t>
            </w:r>
          </w:p>
          <w:p w14:paraId="0445DAF9">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1.3作业调度系统服务：</w:t>
            </w:r>
          </w:p>
          <w:p w14:paraId="1640F940">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1）提供队列设置、用户设置、用户导入等集群搭建服务；</w:t>
            </w:r>
          </w:p>
          <w:p w14:paraId="42CAAA04">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2）提供作业调度系统作业脚本设置、作业提交、作业查询等培训工作；</w:t>
            </w:r>
          </w:p>
          <w:p w14:paraId="14516735">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3）供应商需负责解决用户在使用集群调度系统过程中出现的软件功能问题、性能问题和相关技术故障；</w:t>
            </w:r>
          </w:p>
          <w:p w14:paraId="52718229">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4）在质保期内，提供集群调度软件免费升级服务；</w:t>
            </w:r>
          </w:p>
          <w:p w14:paraId="49700EFD">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2.运维管理：</w:t>
            </w:r>
          </w:p>
          <w:p w14:paraId="64EE8FEA">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2.1报表服务：按月提供用户、队列、节点、应用、作业规模等不同维度统计信息；按月提供用户、队列、集群等不同维度的分析报表，输出运维分析报告；</w:t>
            </w:r>
          </w:p>
          <w:p w14:paraId="03363BCC">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 异常原因分析：提供异常作业数据分析服务，对异常作业进行统计，定期输出异常作业统计及异常发生原因分析报告；</w:t>
            </w:r>
          </w:p>
          <w:p w14:paraId="6ED6F8F9">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3.巡检：</w:t>
            </w:r>
          </w:p>
          <w:p w14:paraId="36BBD46E">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按季度对全部计算节点进行健康度检查，筛选出存在故障的节点，进行处理或报修到售后。</w:t>
            </w:r>
          </w:p>
        </w:tc>
      </w:tr>
    </w:tbl>
    <w:p w14:paraId="68500DB0">
      <w:pPr>
        <w:pStyle w:val="46"/>
        <w:keepNext w:val="0"/>
        <w:keepLines w:val="0"/>
        <w:pageBreakBefore w:val="0"/>
        <w:kinsoku/>
        <w:wordWrap/>
        <w:overflowPunct/>
        <w:topLinePunct w:val="0"/>
        <w:autoSpaceDE/>
        <w:autoSpaceDN/>
        <w:bidi w:val="0"/>
        <w:spacing w:after="0" w:line="400" w:lineRule="exact"/>
        <w:ind w:left="0" w:leftChars="0"/>
        <w:jc w:val="both"/>
        <w:rPr>
          <w:rFonts w:hint="eastAsia" w:ascii="宋体" w:hAnsi="宋体" w:eastAsia="宋体" w:cs="宋体"/>
          <w:color w:val="auto"/>
          <w:sz w:val="21"/>
          <w:szCs w:val="21"/>
          <w:highlight w:val="none"/>
        </w:rPr>
      </w:pPr>
    </w:p>
    <w:p w14:paraId="300E3348">
      <w:pPr>
        <w:keepNext w:val="0"/>
        <w:keepLines w:val="0"/>
        <w:pageBreakBefore w:val="0"/>
        <w:numPr>
          <w:ilvl w:val="0"/>
          <w:numId w:val="0"/>
        </w:numPr>
        <w:kinsoku/>
        <w:wordWrap/>
        <w:overflowPunct/>
        <w:topLinePunct w:val="0"/>
        <w:autoSpaceDE/>
        <w:autoSpaceDN/>
        <w:bidi w:val="0"/>
        <w:adjustRightInd/>
        <w:snapToGrid/>
        <w:spacing w:line="400" w:lineRule="exact"/>
        <w:ind w:left="0" w:leftChars="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lang w:val="en-US" w:eastAsia="zh-CN" w:bidi="ar-SA"/>
        </w:rPr>
        <w:t>5.</w:t>
      </w:r>
      <w:r>
        <w:rPr>
          <w:rFonts w:hint="eastAsia" w:ascii="宋体" w:hAnsi="宋体" w:eastAsia="宋体" w:cs="宋体"/>
          <w:b/>
          <w:bCs/>
          <w:color w:val="auto"/>
          <w:sz w:val="21"/>
          <w:szCs w:val="21"/>
          <w:highlight w:val="none"/>
        </w:rPr>
        <w:t>集群</w:t>
      </w:r>
      <w:r>
        <w:rPr>
          <w:rFonts w:hint="eastAsia" w:ascii="宋体" w:hAnsi="宋体" w:eastAsia="宋体" w:cs="宋体"/>
          <w:b/>
          <w:bCs/>
          <w:color w:val="auto"/>
          <w:sz w:val="21"/>
          <w:szCs w:val="21"/>
          <w:highlight w:val="none"/>
          <w:lang w:val="en-US" w:eastAsia="zh-CN"/>
        </w:rPr>
        <w:t>防火墙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0"/>
        <w:gridCol w:w="7489"/>
      </w:tblGrid>
      <w:tr w14:paraId="72572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0E9CA2DE">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7489" w:type="dxa"/>
            <w:shd w:val="clear" w:color="auto" w:fill="auto"/>
            <w:vAlign w:val="center"/>
          </w:tcPr>
          <w:p w14:paraId="56DB4D4E">
            <w:pPr>
              <w:keepNext w:val="0"/>
              <w:keepLines w:val="0"/>
              <w:pageBreakBefore w:val="0"/>
              <w:widowControl/>
              <w:kinsoku/>
              <w:wordWrap/>
              <w:overflowPunct/>
              <w:topLinePunct w:val="0"/>
              <w:autoSpaceDE/>
              <w:autoSpaceDN/>
              <w:bidi w:val="0"/>
              <w:adjustRightInd/>
              <w:snapToGrid/>
              <w:spacing w:line="400" w:lineRule="exact"/>
              <w:ind w:left="0" w:leftChars="0"/>
              <w:jc w:val="both"/>
              <w:textAlignment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技术参数和性能要求</w:t>
            </w:r>
          </w:p>
        </w:tc>
      </w:tr>
      <w:tr w14:paraId="6F3AF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3A0A018E">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w:t>
            </w:r>
          </w:p>
        </w:tc>
        <w:tc>
          <w:tcPr>
            <w:tcW w:w="7489" w:type="dxa"/>
            <w:shd w:val="clear" w:color="auto" w:fill="auto"/>
            <w:vAlign w:val="center"/>
          </w:tcPr>
          <w:p w14:paraId="15F8661F">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zh-TW" w:eastAsia="zh-TW"/>
              </w:rPr>
              <w:t>网络层大包吞吐量</w:t>
            </w:r>
            <w:r>
              <w:rPr>
                <w:rFonts w:hint="eastAsia" w:ascii="宋体" w:hAnsi="宋体" w:eastAsia="宋体" w:cs="宋体"/>
                <w:color w:val="auto"/>
                <w:kern w:val="0"/>
                <w:sz w:val="21"/>
                <w:szCs w:val="21"/>
                <w:highlight w:val="none"/>
                <w:lang w:val="zh-TW" w:eastAsia="zh-CN"/>
              </w:rPr>
              <w:t>≥</w:t>
            </w:r>
            <w:r>
              <w:rPr>
                <w:rFonts w:hint="eastAsia" w:ascii="宋体" w:hAnsi="宋体" w:eastAsia="宋体" w:cs="宋体"/>
                <w:color w:val="auto"/>
                <w:kern w:val="0"/>
                <w:sz w:val="21"/>
                <w:szCs w:val="21"/>
                <w:highlight w:val="none"/>
                <w:lang w:val="zh-TW" w:eastAsia="zh-TW"/>
              </w:rPr>
              <w:t>18G，IPS吞吐量</w:t>
            </w:r>
            <w:r>
              <w:rPr>
                <w:rFonts w:hint="eastAsia" w:ascii="宋体" w:hAnsi="宋体" w:eastAsia="宋体" w:cs="宋体"/>
                <w:color w:val="auto"/>
                <w:kern w:val="0"/>
                <w:sz w:val="21"/>
                <w:szCs w:val="21"/>
                <w:highlight w:val="none"/>
                <w:lang w:val="zh-TW" w:eastAsia="zh-CN"/>
              </w:rPr>
              <w:t>≥</w:t>
            </w:r>
            <w:r>
              <w:rPr>
                <w:rFonts w:hint="eastAsia" w:ascii="宋体" w:hAnsi="宋体" w:eastAsia="宋体" w:cs="宋体"/>
                <w:color w:val="auto"/>
                <w:kern w:val="0"/>
                <w:sz w:val="21"/>
                <w:szCs w:val="21"/>
                <w:highlight w:val="none"/>
                <w:lang w:val="zh-TW" w:eastAsia="zh-TW"/>
              </w:rPr>
              <w:t>3.5G，最大并发连接数</w:t>
            </w:r>
            <w:r>
              <w:rPr>
                <w:rFonts w:hint="eastAsia" w:ascii="宋体" w:hAnsi="宋体" w:eastAsia="宋体" w:cs="宋体"/>
                <w:color w:val="auto"/>
                <w:kern w:val="0"/>
                <w:sz w:val="21"/>
                <w:szCs w:val="21"/>
                <w:highlight w:val="none"/>
                <w:lang w:val="zh-TW" w:eastAsia="zh-CN"/>
              </w:rPr>
              <w:t>≥</w:t>
            </w:r>
            <w:r>
              <w:rPr>
                <w:rFonts w:hint="eastAsia" w:ascii="宋体" w:hAnsi="宋体" w:eastAsia="宋体" w:cs="宋体"/>
                <w:color w:val="auto"/>
                <w:kern w:val="0"/>
                <w:sz w:val="21"/>
                <w:szCs w:val="21"/>
                <w:highlight w:val="none"/>
                <w:lang w:val="zh-TW" w:eastAsia="zh-TW"/>
              </w:rPr>
              <w:t>400万，最大新建连接数</w:t>
            </w:r>
            <w:r>
              <w:rPr>
                <w:rFonts w:hint="eastAsia" w:ascii="宋体" w:hAnsi="宋体" w:eastAsia="宋体" w:cs="宋体"/>
                <w:color w:val="auto"/>
                <w:kern w:val="0"/>
                <w:sz w:val="21"/>
                <w:szCs w:val="21"/>
                <w:highlight w:val="none"/>
                <w:lang w:val="zh-TW" w:eastAsia="zh-CN"/>
              </w:rPr>
              <w:t>≥</w:t>
            </w:r>
            <w:r>
              <w:rPr>
                <w:rFonts w:hint="eastAsia" w:ascii="宋体" w:hAnsi="宋体" w:eastAsia="宋体" w:cs="宋体"/>
                <w:color w:val="auto"/>
                <w:kern w:val="0"/>
                <w:sz w:val="21"/>
                <w:szCs w:val="21"/>
                <w:highlight w:val="none"/>
                <w:lang w:val="zh-TW" w:eastAsia="zh-TW"/>
              </w:rPr>
              <w:t>16万；IPSec  VPN吞吐量</w:t>
            </w:r>
            <w:r>
              <w:rPr>
                <w:rFonts w:hint="eastAsia" w:ascii="宋体" w:hAnsi="宋体" w:eastAsia="宋体" w:cs="宋体"/>
                <w:color w:val="auto"/>
                <w:kern w:val="0"/>
                <w:sz w:val="21"/>
                <w:szCs w:val="21"/>
                <w:highlight w:val="none"/>
                <w:lang w:val="zh-TW" w:eastAsia="zh-CN"/>
              </w:rPr>
              <w:t>≥</w:t>
            </w:r>
            <w:r>
              <w:rPr>
                <w:rFonts w:hint="eastAsia" w:ascii="宋体" w:hAnsi="宋体" w:eastAsia="宋体" w:cs="宋体"/>
                <w:color w:val="auto"/>
                <w:kern w:val="0"/>
                <w:sz w:val="21"/>
                <w:szCs w:val="21"/>
                <w:highlight w:val="none"/>
                <w:lang w:val="zh-TW" w:eastAsia="zh-TW"/>
              </w:rPr>
              <w:t>1G</w:t>
            </w:r>
            <w:r>
              <w:rPr>
                <w:rFonts w:hint="eastAsia" w:ascii="宋体" w:hAnsi="宋体" w:eastAsia="宋体" w:cs="宋体"/>
                <w:color w:val="auto"/>
                <w:kern w:val="0"/>
                <w:sz w:val="21"/>
                <w:szCs w:val="21"/>
                <w:highlight w:val="none"/>
                <w:lang w:val="zh-TW" w:eastAsia="zh-CN"/>
              </w:rPr>
              <w:t>；</w:t>
            </w:r>
          </w:p>
        </w:tc>
      </w:tr>
      <w:tr w14:paraId="55A29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25C55672">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rPr>
              <w:t>1.2</w:t>
            </w:r>
          </w:p>
        </w:tc>
        <w:tc>
          <w:tcPr>
            <w:tcW w:w="7489" w:type="dxa"/>
            <w:shd w:val="clear" w:color="auto" w:fill="auto"/>
            <w:vAlign w:val="center"/>
          </w:tcPr>
          <w:p w14:paraId="707143C0">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采用国产化芯片和操作系统，</w:t>
            </w:r>
            <w:r>
              <w:rPr>
                <w:rFonts w:hint="eastAsia" w:ascii="宋体" w:hAnsi="宋体" w:eastAsia="宋体" w:cs="宋体"/>
                <w:color w:val="auto"/>
                <w:kern w:val="0"/>
                <w:sz w:val="21"/>
                <w:szCs w:val="21"/>
                <w:highlight w:val="none"/>
                <w:lang w:val="zh-TW" w:eastAsia="zh-TW"/>
              </w:rPr>
              <w:t>规格：1U，内存大小：8G，硬盘容量：128G SSD，电源：冗余电源，接口：6千兆电口</w:t>
            </w:r>
            <w:r>
              <w:rPr>
                <w:rFonts w:hint="eastAsia" w:ascii="宋体" w:hAnsi="宋体" w:eastAsia="宋体" w:cs="宋体"/>
                <w:color w:val="auto"/>
                <w:kern w:val="0"/>
                <w:sz w:val="21"/>
                <w:szCs w:val="21"/>
                <w:highlight w:val="none"/>
                <w:lang w:val="zh-TW" w:eastAsia="zh-CN"/>
              </w:rPr>
              <w:t>；</w:t>
            </w:r>
          </w:p>
        </w:tc>
      </w:tr>
      <w:tr w14:paraId="39D2A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ECB3EB5">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7489" w:type="dxa"/>
            <w:shd w:val="clear" w:color="auto" w:fill="auto"/>
            <w:vAlign w:val="top"/>
          </w:tcPr>
          <w:p w14:paraId="07C38D59">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产品支持路由模式、透明模式、虚拟网线模式、旁路镜像模式等多种部署方式；</w:t>
            </w:r>
          </w:p>
        </w:tc>
      </w:tr>
      <w:tr w14:paraId="5AED2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D42BE37">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w:t>
            </w:r>
          </w:p>
        </w:tc>
        <w:tc>
          <w:tcPr>
            <w:tcW w:w="7489" w:type="dxa"/>
            <w:shd w:val="clear" w:color="auto" w:fill="auto"/>
            <w:vAlign w:val="top"/>
          </w:tcPr>
          <w:p w14:paraId="316720B1">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支持SD-WAN组网丢包优化功能，优化互联网场景下丢包严重的问题，改善实时类应用的业务访问体验，满足用户业务稳定访问需求。</w:t>
            </w:r>
          </w:p>
        </w:tc>
      </w:tr>
      <w:tr w14:paraId="02D14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4D906E4">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1.5</w:t>
            </w:r>
          </w:p>
        </w:tc>
        <w:tc>
          <w:tcPr>
            <w:tcW w:w="7489" w:type="dxa"/>
            <w:shd w:val="clear" w:color="auto" w:fill="auto"/>
            <w:vAlign w:val="top"/>
          </w:tcPr>
          <w:p w14:paraId="67FD6352">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产品支持链路连通性检查功能，支持基于3种以上协议对链路连通性进行探测，探测协议至少包括DNS解析、ARP探测、PING和BFD等方式；</w:t>
            </w:r>
          </w:p>
        </w:tc>
      </w:tr>
      <w:tr w14:paraId="13F3A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BB47066">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w:t>
            </w:r>
          </w:p>
        </w:tc>
        <w:tc>
          <w:tcPr>
            <w:tcW w:w="7489" w:type="dxa"/>
            <w:shd w:val="clear" w:color="auto" w:fill="auto"/>
            <w:vAlign w:val="top"/>
          </w:tcPr>
          <w:p w14:paraId="701EDAA9">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产品支持静态路由、策略路由和多播路由协议，并支持BGP、RIP、OSPF等动态路由协议；</w:t>
            </w:r>
          </w:p>
        </w:tc>
      </w:tr>
      <w:tr w14:paraId="24C25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2278D20">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1.7</w:t>
            </w:r>
          </w:p>
        </w:tc>
        <w:tc>
          <w:tcPr>
            <w:tcW w:w="7489" w:type="dxa"/>
            <w:shd w:val="clear" w:color="auto" w:fill="auto"/>
            <w:vAlign w:val="top"/>
          </w:tcPr>
          <w:p w14:paraId="1B3F81DD">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产品支持路由类型、协议类型、网络对象、国家地区等条件进行自动选路的策略路由，支持不少于3种的调度算法，至少包括带宽比例、加权流量、线路优先等</w:t>
            </w:r>
            <w:r>
              <w:rPr>
                <w:rFonts w:hint="eastAsia" w:ascii="宋体" w:hAnsi="宋体" w:eastAsia="宋体" w:cs="宋体"/>
                <w:color w:val="auto"/>
                <w:kern w:val="0"/>
                <w:sz w:val="21"/>
                <w:szCs w:val="21"/>
                <w:highlight w:val="none"/>
                <w:lang w:eastAsia="zh-CN"/>
              </w:rPr>
              <w:t>；</w:t>
            </w:r>
          </w:p>
        </w:tc>
      </w:tr>
      <w:tr w14:paraId="1B58D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1BD836C">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1.8</w:t>
            </w:r>
          </w:p>
        </w:tc>
        <w:tc>
          <w:tcPr>
            <w:tcW w:w="7489" w:type="dxa"/>
            <w:shd w:val="clear" w:color="auto" w:fill="auto"/>
            <w:vAlign w:val="top"/>
          </w:tcPr>
          <w:p w14:paraId="226317DF">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产品支持基于IMAP、FTP、RDP、VNC、SSH、TELNET、ORACLE、MYSQL、MSSQL等应用协议进行深度检测与防护；</w:t>
            </w:r>
          </w:p>
        </w:tc>
      </w:tr>
      <w:tr w14:paraId="0F225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21533A93">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1.9</w:t>
            </w:r>
          </w:p>
        </w:tc>
        <w:tc>
          <w:tcPr>
            <w:tcW w:w="7489" w:type="dxa"/>
            <w:shd w:val="clear" w:color="auto" w:fill="auto"/>
            <w:vAlign w:val="top"/>
          </w:tcPr>
          <w:p w14:paraId="201AC14C">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产品内置不低于15000种漏洞规则，同时支持在控制台界面通过漏洞ID、漏洞名称、危险等级、漏洞CVE标识、漏洞描述等条件查询漏洞特征信息，支持用户自定义IPS规则</w:t>
            </w:r>
            <w:r>
              <w:rPr>
                <w:rFonts w:hint="eastAsia" w:ascii="宋体" w:hAnsi="宋体" w:eastAsia="宋体" w:cs="宋体"/>
                <w:color w:val="auto"/>
                <w:kern w:val="0"/>
                <w:sz w:val="21"/>
                <w:szCs w:val="21"/>
                <w:highlight w:val="none"/>
                <w:lang w:eastAsia="zh-CN"/>
              </w:rPr>
              <w:t>；</w:t>
            </w:r>
          </w:p>
        </w:tc>
      </w:tr>
      <w:tr w14:paraId="4E19D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3080FC99">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1.10</w:t>
            </w:r>
          </w:p>
        </w:tc>
        <w:tc>
          <w:tcPr>
            <w:tcW w:w="7489" w:type="dxa"/>
            <w:shd w:val="clear" w:color="auto" w:fill="auto"/>
            <w:vAlign w:val="top"/>
          </w:tcPr>
          <w:p w14:paraId="1BD79596">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产品支持僵尸主机检测功能，可识别主机的异常外联行为；</w:t>
            </w:r>
          </w:p>
        </w:tc>
      </w:tr>
      <w:tr w14:paraId="7031C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4D7222A3">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1.11</w:t>
            </w:r>
          </w:p>
        </w:tc>
        <w:tc>
          <w:tcPr>
            <w:tcW w:w="7489" w:type="dxa"/>
            <w:shd w:val="clear" w:color="auto" w:fill="auto"/>
            <w:vAlign w:val="top"/>
          </w:tcPr>
          <w:p w14:paraId="31ED370A">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支持服务器漏洞防扫描功能，并对扫描源IP进行日志记录和联动封锁</w:t>
            </w:r>
            <w:r>
              <w:rPr>
                <w:rFonts w:hint="eastAsia" w:ascii="宋体" w:hAnsi="宋体" w:eastAsia="宋体" w:cs="宋体"/>
                <w:b w:val="0"/>
                <w:bCs w:val="0"/>
                <w:color w:val="auto"/>
                <w:kern w:val="0"/>
                <w:sz w:val="21"/>
                <w:szCs w:val="21"/>
                <w:highlight w:val="none"/>
                <w:lang w:eastAsia="zh-CN"/>
              </w:rPr>
              <w:t>；</w:t>
            </w:r>
          </w:p>
        </w:tc>
      </w:tr>
      <w:tr w14:paraId="4F25E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8E5B273">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1.12</w:t>
            </w:r>
          </w:p>
        </w:tc>
        <w:tc>
          <w:tcPr>
            <w:tcW w:w="7489" w:type="dxa"/>
            <w:shd w:val="clear" w:color="auto" w:fill="auto"/>
            <w:vAlign w:val="top"/>
          </w:tcPr>
          <w:p w14:paraId="092E3F3D">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产品支持多种安全日志存储方式，至少包括防火墙本机、日志服务器等不同方式，支持多条件的安全日志组合查询，查询条件包括但不限于日志类型、日志级别、生成时间</w:t>
            </w:r>
            <w:r>
              <w:rPr>
                <w:rFonts w:hint="eastAsia" w:ascii="宋体" w:hAnsi="宋体" w:eastAsia="宋体" w:cs="宋体"/>
                <w:b w:val="0"/>
                <w:bCs w:val="0"/>
                <w:color w:val="auto"/>
                <w:kern w:val="0"/>
                <w:sz w:val="21"/>
                <w:szCs w:val="21"/>
                <w:highlight w:val="none"/>
                <w:lang w:eastAsia="zh-CN"/>
              </w:rPr>
              <w:t>；</w:t>
            </w:r>
          </w:p>
        </w:tc>
      </w:tr>
      <w:tr w14:paraId="1565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E07A6DF">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1.13</w:t>
            </w:r>
          </w:p>
        </w:tc>
        <w:tc>
          <w:tcPr>
            <w:tcW w:w="7489" w:type="dxa"/>
            <w:shd w:val="clear" w:color="auto" w:fill="auto"/>
            <w:vAlign w:val="top"/>
          </w:tcPr>
          <w:p w14:paraId="78429F48">
            <w:pPr>
              <w:keepNext w:val="0"/>
              <w:keepLines w:val="0"/>
              <w:pageBreakBefore w:val="0"/>
              <w:kinsoku/>
              <w:wordWrap/>
              <w:overflowPunct/>
              <w:topLinePunct w:val="0"/>
              <w:autoSpaceDE/>
              <w:autoSpaceDN/>
              <w:bidi w:val="0"/>
              <w:adjustRightInd/>
              <w:snapToGrid/>
              <w:spacing w:line="400" w:lineRule="exact"/>
              <w:ind w:left="0" w:lef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产品支持3种以上的用户认证方式,包含但不限于单点登录、本地账号密码、外部账号密码认证；</w:t>
            </w:r>
          </w:p>
        </w:tc>
      </w:tr>
    </w:tbl>
    <w:p w14:paraId="2E486824">
      <w:pPr>
        <w:keepNext w:val="0"/>
        <w:keepLines w:val="0"/>
        <w:pageBreakBefore w:val="0"/>
        <w:kinsoku/>
        <w:wordWrap/>
        <w:overflowPunct/>
        <w:topLinePunct w:val="0"/>
        <w:autoSpaceDE/>
        <w:autoSpaceDN/>
        <w:bidi w:val="0"/>
        <w:spacing w:line="400" w:lineRule="exact"/>
        <w:ind w:left="0" w:leftChars="0"/>
        <w:jc w:val="both"/>
        <w:rPr>
          <w:rFonts w:hint="eastAsia" w:ascii="宋体" w:hAnsi="宋体" w:eastAsia="宋体" w:cs="宋体"/>
          <w:color w:val="auto"/>
          <w:kern w:val="0"/>
          <w:sz w:val="21"/>
          <w:szCs w:val="21"/>
          <w:highlight w:val="none"/>
        </w:rPr>
      </w:pPr>
    </w:p>
    <w:p w14:paraId="6AAB84D3">
      <w:pPr>
        <w:pStyle w:val="286"/>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三、服务要求</w:t>
      </w:r>
      <w:bookmarkEnd w:id="28"/>
      <w:bookmarkEnd w:id="29"/>
      <w:bookmarkEnd w:id="30"/>
    </w:p>
    <w:p w14:paraId="333F30F5">
      <w:pPr>
        <w:spacing w:line="360" w:lineRule="auto"/>
        <w:ind w:firstLine="420" w:firstLineChars="200"/>
        <w:rPr>
          <w:rFonts w:ascii="宋体" w:hAnsi="宋体" w:cs="宋体"/>
          <w:szCs w:val="21"/>
          <w:lang w:val="zh-CN"/>
        </w:rPr>
      </w:pPr>
      <w:bookmarkStart w:id="31" w:name="OLE_LINK40"/>
      <w:r>
        <w:rPr>
          <w:rFonts w:hint="eastAsia" w:ascii="宋体" w:hAnsi="宋体" w:cs="宋体"/>
          <w:szCs w:val="21"/>
        </w:rPr>
        <w:t>1、</w:t>
      </w:r>
      <w:r>
        <w:rPr>
          <w:rFonts w:hint="eastAsia" w:ascii="宋体" w:hAnsi="宋体" w:cs="宋体"/>
          <w:szCs w:val="21"/>
          <w:lang w:val="zh-CN"/>
        </w:rPr>
        <w:t>技术培训：供应商应为采购人提供人员培训，每年不少于4次的设备操作培训，培训人员数量不低于2人。</w:t>
      </w:r>
    </w:p>
    <w:p w14:paraId="69AE3A69">
      <w:pPr>
        <w:spacing w:line="360" w:lineRule="auto"/>
        <w:ind w:firstLine="420" w:firstLineChars="200"/>
        <w:rPr>
          <w:rFonts w:hint="eastAsia" w:ascii="宋体" w:hAnsi="宋体" w:eastAsia="宋体" w:cs="宋体"/>
          <w:szCs w:val="21"/>
          <w:lang w:val="zh-CN" w:eastAsia="zh-CN"/>
        </w:rPr>
      </w:pPr>
      <w:r>
        <w:rPr>
          <w:rFonts w:hint="eastAsia" w:ascii="宋体" w:hAnsi="宋体" w:cs="宋体"/>
          <w:szCs w:val="21"/>
        </w:rPr>
        <w:t>2、免费质保</w:t>
      </w:r>
      <w:r>
        <w:rPr>
          <w:rFonts w:hint="eastAsia" w:ascii="宋体" w:hAnsi="宋体" w:cs="宋体"/>
          <w:szCs w:val="21"/>
          <w:lang w:val="zh-CN"/>
        </w:rPr>
        <w:t>期：</w:t>
      </w:r>
      <w:r>
        <w:rPr>
          <w:rFonts w:hint="eastAsia" w:ascii="宋体" w:hAnsi="宋体" w:cs="宋体"/>
          <w:szCs w:val="21"/>
        </w:rPr>
        <w:t>免费质保期五年，自验收合格次日起算。质保期内发生任何设备损坏，所需要的维修费用（包括零部件费用、维修费用）均由供应商承担（人为操作不当造成的损坏除外）。</w:t>
      </w:r>
    </w:p>
    <w:p w14:paraId="63FF128E">
      <w:pPr>
        <w:spacing w:line="360" w:lineRule="auto"/>
        <w:ind w:firstLine="420" w:firstLineChars="200"/>
        <w:rPr>
          <w:rFonts w:hint="eastAsia" w:ascii="宋体" w:hAnsi="宋体" w:cs="宋体"/>
          <w:szCs w:val="21"/>
          <w:lang w:val="zh-CN"/>
        </w:rPr>
      </w:pPr>
      <w:r>
        <w:rPr>
          <w:rFonts w:hint="eastAsia" w:ascii="宋体" w:hAnsi="宋体" w:cs="宋体"/>
          <w:szCs w:val="21"/>
        </w:rPr>
        <w:t>3、</w:t>
      </w:r>
      <w:r>
        <w:rPr>
          <w:rFonts w:hint="eastAsia" w:ascii="宋体" w:hAnsi="宋体" w:cs="宋体"/>
          <w:szCs w:val="21"/>
          <w:lang w:val="zh-CN"/>
        </w:rPr>
        <w:t>售后技术服务要求：</w:t>
      </w:r>
      <w:bookmarkEnd w:id="31"/>
      <w:r>
        <w:rPr>
          <w:rFonts w:hint="eastAsia" w:ascii="宋体" w:hAnsi="宋体" w:cs="宋体"/>
          <w:szCs w:val="21"/>
          <w:lang w:val="zh-CN"/>
        </w:rPr>
        <w:t>接到故障通知后1小时内作出答复，一般问题2小时之内解决；若采购人有需求，12小时内到达现场解决；若遇重大问题在2-3天内解决。</w:t>
      </w:r>
    </w:p>
    <w:p w14:paraId="19B3D101">
      <w:pPr>
        <w:pStyle w:val="286"/>
        <w:numPr>
          <w:ilvl w:val="0"/>
          <w:numId w:val="0"/>
        </w:numPr>
        <w:spacing w:after="0" w:line="360" w:lineRule="auto"/>
        <w:ind w:firstLine="422" w:firstLineChars="200"/>
        <w:jc w:val="both"/>
        <w:outlineLvl w:val="9"/>
        <w:rPr>
          <w:rFonts w:hint="eastAsia" w:ascii="宋体" w:hAnsi="宋体" w:cs="宋体"/>
          <w:color w:val="000000" w:themeColor="text1"/>
          <w:sz w:val="21"/>
          <w:szCs w:val="21"/>
          <w:lang w:val="en-US" w:eastAsia="zh-CN"/>
          <w14:textFill>
            <w14:solidFill>
              <w14:schemeClr w14:val="tx1"/>
            </w14:solidFill>
          </w14:textFill>
        </w:rPr>
      </w:pPr>
    </w:p>
    <w:p w14:paraId="62D3A608">
      <w:pPr>
        <w:pStyle w:val="286"/>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四</w:t>
      </w:r>
      <w:r>
        <w:rPr>
          <w:rFonts w:hint="eastAsia" w:ascii="宋体" w:hAnsi="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安装</w:t>
      </w:r>
      <w:r>
        <w:rPr>
          <w:rFonts w:hint="eastAsia" w:ascii="宋体" w:hAnsi="宋体" w:cs="宋体"/>
          <w:color w:val="000000" w:themeColor="text1"/>
          <w:sz w:val="21"/>
          <w:szCs w:val="21"/>
          <w14:textFill>
            <w14:solidFill>
              <w14:schemeClr w14:val="tx1"/>
            </w14:solidFill>
          </w14:textFill>
        </w:rPr>
        <w:t>要求</w:t>
      </w:r>
    </w:p>
    <w:p w14:paraId="68D8B076">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1、按照国家现行行业规范标准进行安装，符合国家或行业质量检验评定标准，没有行业标准的产品，供应商应提供相关制造商标准。</w:t>
      </w:r>
    </w:p>
    <w:p w14:paraId="17085C50">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2、设备安装调试：设备到货后，供应商在接到通知的7个工作日内派人前往负责该设备的安装、调试和操作培训，直至达到各项验收指标合格。</w:t>
      </w:r>
    </w:p>
    <w:p w14:paraId="44AB1B5C">
      <w:pPr>
        <w:ind w:firstLine="420"/>
        <w:rPr>
          <w:rFonts w:hint="eastAsia" w:ascii="宋体" w:hAnsi="宋体" w:cs="宋体"/>
          <w:b w:val="0"/>
          <w:bCs w:val="0"/>
          <w:spacing w:val="0"/>
          <w:kern w:val="2"/>
          <w:szCs w:val="21"/>
          <w:highlight w:val="none"/>
        </w:rPr>
      </w:pPr>
    </w:p>
    <w:p w14:paraId="594787E3">
      <w:pPr>
        <w:pStyle w:val="22"/>
        <w:spacing w:line="360" w:lineRule="auto"/>
        <w:ind w:left="0" w:leftChars="0" w:firstLine="454"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kern w:val="0"/>
          <w:szCs w:val="21"/>
          <w:lang w:val="en-US" w:eastAsia="zh-CN"/>
          <w14:textFill>
            <w14:solidFill>
              <w14:schemeClr w14:val="tx1"/>
            </w14:solidFill>
          </w14:textFill>
        </w:rPr>
        <w:t>五</w:t>
      </w:r>
      <w:r>
        <w:rPr>
          <w:rFonts w:hint="eastAsia" w:ascii="宋体" w:hAnsi="宋体" w:cs="宋体"/>
          <w:b/>
          <w:bCs/>
          <w:color w:val="000000" w:themeColor="text1"/>
          <w:spacing w:val="8"/>
          <w:kern w:val="0"/>
          <w:szCs w:val="21"/>
          <w14:textFill>
            <w14:solidFill>
              <w14:schemeClr w14:val="tx1"/>
            </w14:solidFill>
          </w14:textFill>
        </w:rPr>
        <w:t>、</w:t>
      </w:r>
      <w:bookmarkStart w:id="32" w:name="OLE_LINK9"/>
      <w:r>
        <w:rPr>
          <w:rFonts w:hint="eastAsia" w:ascii="宋体" w:hAnsi="宋体" w:cs="宋体"/>
          <w:b/>
          <w:bCs/>
          <w:color w:val="000000" w:themeColor="text1"/>
          <w:spacing w:val="8"/>
          <w:kern w:val="0"/>
          <w:szCs w:val="21"/>
          <w14:textFill>
            <w14:solidFill>
              <w14:schemeClr w14:val="tx1"/>
            </w14:solidFill>
          </w14:textFill>
        </w:rPr>
        <w:t>报价要求</w:t>
      </w:r>
    </w:p>
    <w:p w14:paraId="1965AC82">
      <w:pPr>
        <w:spacing w:line="360" w:lineRule="auto"/>
        <w:ind w:firstLine="420" w:firstLineChars="20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报价应包含与本次采购项目有关的所有费用。包含但不限于人员、设备、验收、售后服务、伴随配套服务等所有含税费用。同时，还应包含支付给员工的工资和国家强制缴纳的各种社会保障资金，以及供应商认为需要的其他费用等。</w:t>
      </w:r>
    </w:p>
    <w:p w14:paraId="1E6B1151">
      <w:pPr>
        <w:spacing w:line="360" w:lineRule="auto"/>
        <w:ind w:firstLine="420" w:firstLineChars="200"/>
        <w:rPr>
          <w:rFonts w:ascii="宋体" w:hAnsi="宋体" w:cs="宋体"/>
          <w:szCs w:val="21"/>
          <w:lang w:val="zh-CN"/>
        </w:rPr>
      </w:pPr>
      <w:r>
        <w:rPr>
          <w:rFonts w:hint="eastAsia" w:ascii="宋体" w:hAnsi="宋体" w:cs="宋体"/>
          <w:szCs w:val="21"/>
        </w:rPr>
        <w:t>2、</w:t>
      </w:r>
      <w:r>
        <w:rPr>
          <w:rFonts w:hint="eastAsia" w:ascii="宋体" w:hAnsi="宋体" w:cs="宋体"/>
          <w:szCs w:val="21"/>
          <w:lang w:val="zh-CN"/>
        </w:rPr>
        <w:t>供应商的任何错漏、优惠、竞争性报价不得作为减轻责任、减少服务、增加收费、降低服务质量的理由。</w:t>
      </w:r>
    </w:p>
    <w:p w14:paraId="1A11D345">
      <w:pPr>
        <w:spacing w:line="360" w:lineRule="auto"/>
        <w:ind w:firstLine="420" w:firstLineChars="200"/>
        <w:rPr>
          <w:rFonts w:hint="eastAsia" w:ascii="宋体" w:hAnsi="宋体" w:cs="宋体"/>
          <w:szCs w:val="21"/>
          <w:lang w:val="zh-CN"/>
        </w:rPr>
      </w:pPr>
      <w:r>
        <w:rPr>
          <w:rFonts w:hint="eastAsia" w:ascii="宋体" w:hAnsi="宋体" w:cs="宋体"/>
          <w:szCs w:val="21"/>
        </w:rPr>
        <w:t>3、</w:t>
      </w:r>
      <w:r>
        <w:rPr>
          <w:rFonts w:hint="eastAsia" w:ascii="宋体" w:hAnsi="宋体" w:cs="宋体"/>
          <w:szCs w:val="21"/>
          <w:lang w:val="zh-CN"/>
        </w:rPr>
        <w:t>供应商报价除包含采购文件中列明的项目外还应包括保障服务正常运行应当具有的物资和服务，对服务正常运行应当具有的物资和服务理解不一致的以采购人理解为准。</w:t>
      </w:r>
    </w:p>
    <w:bookmarkEnd w:id="32"/>
    <w:p w14:paraId="38E2CF70">
      <w:pPr>
        <w:pStyle w:val="25"/>
        <w:spacing w:line="360" w:lineRule="auto"/>
        <w:ind w:firstLine="422" w:firstLineChars="200"/>
        <w:rPr>
          <w:rFonts w:hint="eastAsia" w:ascii="宋体" w:hAnsi="宋体" w:cs="宋体"/>
          <w:b/>
          <w:bCs/>
          <w:color w:val="000000" w:themeColor="text1"/>
          <w:szCs w:val="21"/>
          <w14:textFill>
            <w14:solidFill>
              <w14:schemeClr w14:val="tx1"/>
            </w14:solidFill>
          </w14:textFill>
        </w:rPr>
      </w:pPr>
    </w:p>
    <w:p w14:paraId="703CDF90">
      <w:pPr>
        <w:pStyle w:val="25"/>
        <w:spacing w:line="360" w:lineRule="auto"/>
        <w:ind w:firstLine="422"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六</w:t>
      </w:r>
      <w:r>
        <w:rPr>
          <w:rFonts w:hint="eastAsia" w:ascii="宋体" w:hAnsi="宋体" w:cs="宋体"/>
          <w:b/>
          <w:bCs/>
          <w:color w:val="000000" w:themeColor="text1"/>
          <w:szCs w:val="21"/>
          <w14:textFill>
            <w14:solidFill>
              <w14:schemeClr w14:val="tx1"/>
            </w14:solidFill>
          </w14:textFill>
        </w:rPr>
        <w:t>、交货期、交货方式及交货地点</w:t>
      </w:r>
    </w:p>
    <w:p w14:paraId="6A599C62">
      <w:pPr>
        <w:spacing w:line="360" w:lineRule="auto"/>
        <w:ind w:firstLine="420" w:firstLineChars="200"/>
        <w:rPr>
          <w:rFonts w:hint="eastAsia" w:ascii="宋体" w:hAnsi="宋体" w:cs="宋体"/>
          <w:szCs w:val="21"/>
          <w:lang w:val="zh-CN"/>
        </w:rPr>
      </w:pPr>
      <w:r>
        <w:rPr>
          <w:rFonts w:hint="eastAsia" w:ascii="宋体" w:hAnsi="宋体" w:cs="宋体"/>
          <w:szCs w:val="21"/>
          <w:lang w:val="zh-CN"/>
        </w:rPr>
        <w:t>1、 交货期：合同签订生效后，60天内全部设备、材料运抵现场，并安装、调试结束，验收合格，交付采购</w:t>
      </w:r>
      <w:r>
        <w:rPr>
          <w:rFonts w:hint="eastAsia" w:ascii="宋体" w:hAnsi="宋体" w:cs="宋体"/>
          <w:szCs w:val="21"/>
          <w:lang w:val="en-US" w:eastAsia="zh-CN"/>
        </w:rPr>
        <w:t>人</w:t>
      </w:r>
      <w:r>
        <w:rPr>
          <w:rFonts w:hint="eastAsia" w:ascii="宋体" w:hAnsi="宋体" w:cs="宋体"/>
          <w:szCs w:val="21"/>
          <w:lang w:val="zh-CN"/>
        </w:rPr>
        <w:t>使用。</w:t>
      </w:r>
    </w:p>
    <w:p w14:paraId="0AD14C39">
      <w:pPr>
        <w:spacing w:line="360" w:lineRule="auto"/>
        <w:ind w:firstLine="420" w:firstLineChars="200"/>
        <w:rPr>
          <w:rFonts w:hint="eastAsia" w:ascii="宋体" w:hAnsi="宋体" w:cs="宋体"/>
          <w:szCs w:val="21"/>
          <w:lang w:val="zh-CN"/>
        </w:rPr>
      </w:pPr>
      <w:r>
        <w:rPr>
          <w:rFonts w:hint="eastAsia" w:ascii="宋体" w:hAnsi="宋体" w:cs="宋体"/>
          <w:szCs w:val="21"/>
          <w:lang w:val="zh-CN"/>
        </w:rPr>
        <w:t>2、交货方式：供应商在采购人指定地点交货，并完成安装、调试。</w:t>
      </w:r>
    </w:p>
    <w:p w14:paraId="1A65DA69">
      <w:pPr>
        <w:spacing w:line="360" w:lineRule="auto"/>
        <w:ind w:firstLine="420" w:firstLineChars="200"/>
        <w:rPr>
          <w:rFonts w:hint="eastAsia" w:ascii="宋体" w:hAnsi="宋体" w:cs="宋体"/>
          <w:szCs w:val="21"/>
          <w:lang w:val="zh-CN"/>
        </w:rPr>
      </w:pPr>
      <w:r>
        <w:rPr>
          <w:rFonts w:hint="eastAsia" w:ascii="宋体" w:hAnsi="宋体" w:cs="宋体"/>
          <w:szCs w:val="21"/>
          <w:lang w:val="zh-CN"/>
        </w:rPr>
        <w:t>3、交货地点：南京医科大学指定地点。</w:t>
      </w:r>
    </w:p>
    <w:p w14:paraId="5078AE5B">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p>
    <w:p w14:paraId="40C5CC73">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lang w:val="en-US" w:eastAsia="zh-CN"/>
          <w14:textFill>
            <w14:solidFill>
              <w14:schemeClr w14:val="tx1"/>
            </w14:solidFill>
          </w14:textFill>
        </w:rPr>
        <w:t>七</w:t>
      </w:r>
      <w:r>
        <w:rPr>
          <w:rFonts w:hint="eastAsia" w:ascii="宋体" w:hAnsi="宋体" w:cs="宋体"/>
          <w:b/>
          <w:bCs/>
          <w:color w:val="000000" w:themeColor="text1"/>
          <w:spacing w:val="8"/>
          <w:kern w:val="0"/>
          <w:szCs w:val="21"/>
          <w14:textFill>
            <w14:solidFill>
              <w14:schemeClr w14:val="tx1"/>
            </w14:solidFill>
          </w14:textFill>
        </w:rPr>
        <w:t>、其他技术服务要求</w:t>
      </w:r>
    </w:p>
    <w:p w14:paraId="7F41271F">
      <w:pPr>
        <w:spacing w:line="360" w:lineRule="auto"/>
        <w:ind w:firstLine="420" w:firstLineChars="200"/>
        <w:rPr>
          <w:rFonts w:hint="eastAsia" w:ascii="宋体" w:hAnsi="宋体" w:cs="宋体"/>
          <w:szCs w:val="21"/>
          <w:lang w:val="zh-CN"/>
        </w:rPr>
      </w:pPr>
      <w:r>
        <w:rPr>
          <w:rFonts w:hint="eastAsia" w:ascii="宋体" w:hAnsi="宋体" w:cs="宋体"/>
          <w:szCs w:val="21"/>
          <w:lang w:val="zh-CN"/>
        </w:rPr>
        <w:t>1、投标人须保证本次投标产品系优质材料和先进工艺制成新出厂的产品，且完全与投标文件所述相符。</w:t>
      </w:r>
    </w:p>
    <w:p w14:paraId="0186DE2E">
      <w:pPr>
        <w:spacing w:line="360" w:lineRule="auto"/>
        <w:ind w:firstLine="420" w:firstLineChars="200"/>
        <w:rPr>
          <w:rFonts w:hint="eastAsia" w:ascii="宋体" w:hAnsi="宋体" w:cs="宋体"/>
          <w:szCs w:val="21"/>
          <w:lang w:val="zh-CN"/>
        </w:rPr>
      </w:pPr>
      <w:r>
        <w:rPr>
          <w:rFonts w:hint="eastAsia" w:ascii="宋体" w:hAnsi="宋体" w:cs="宋体"/>
          <w:szCs w:val="21"/>
          <w:lang w:val="zh-CN"/>
        </w:rPr>
        <w:t>2、交付使用前发生的产品硬件损坏和不合格，一律退换新品。在质保期开始的前三个月内，若发生产品损坏和性能不合格（非使用不当原因造成），除采购人同意修理之外，亦应退换新品。</w:t>
      </w:r>
    </w:p>
    <w:p w14:paraId="2E063F63">
      <w:pPr>
        <w:spacing w:line="360" w:lineRule="auto"/>
        <w:ind w:firstLine="420" w:firstLineChars="200"/>
        <w:rPr>
          <w:rFonts w:hint="eastAsia" w:ascii="宋体" w:hAnsi="宋体" w:cs="宋体"/>
          <w:szCs w:val="21"/>
          <w:lang w:val="zh-CN"/>
        </w:rPr>
      </w:pPr>
    </w:p>
    <w:p w14:paraId="2D589526">
      <w:pPr>
        <w:spacing w:line="360" w:lineRule="auto"/>
        <w:ind w:firstLine="422" w:firstLineChars="200"/>
        <w:rPr>
          <w:rFonts w:hint="default" w:ascii="宋体" w:hAnsi="宋体" w:cs="宋体"/>
          <w:b/>
          <w:color w:val="000000" w:themeColor="text1"/>
          <w:szCs w:val="21"/>
          <w:lang w:val="en-US" w:eastAsia="zh-CN"/>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八、履约保证金</w:t>
      </w:r>
    </w:p>
    <w:p w14:paraId="796C632C">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1、缴纳履约保证金</w:t>
      </w:r>
    </w:p>
    <w:p w14:paraId="767E8FD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p>
    <w:p w14:paraId="75E7FEFC">
      <w:pPr>
        <w:keepNext w:val="0"/>
        <w:keepLines w:val="0"/>
        <w:pageBreakBefore w:val="0"/>
        <w:widowControl w:val="0"/>
        <w:kinsoku/>
        <w:wordWrap/>
        <w:overflowPunct/>
        <w:topLinePunct w:val="0"/>
        <w:autoSpaceDE/>
        <w:autoSpaceDN/>
        <w:bidi w:val="0"/>
        <w:adjustRightInd/>
        <w:snapToGrid/>
        <w:spacing w:line="560" w:lineRule="exact"/>
        <w:ind w:firstLine="422" w:firstLineChars="200"/>
        <w:jc w:val="lef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南京医科大学指定账户信息具体如下：</w:t>
      </w:r>
    </w:p>
    <w:p w14:paraId="4EB8CBD4">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单位名称：南京医科大学</w:t>
      </w:r>
    </w:p>
    <w:p w14:paraId="512B50B4">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开 户 行：南京市工行汉中门支行                          </w:t>
      </w:r>
    </w:p>
    <w:p w14:paraId="26CC11CB">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账    号：4301010109001038622</w:t>
      </w:r>
    </w:p>
    <w:p w14:paraId="094222DF">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注：请在转账时备注“项目名称+履约保证金”字样。</w:t>
      </w:r>
    </w:p>
    <w:p w14:paraId="33F72383">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p>
    <w:p w14:paraId="5D96DC6E">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3、合同履行过程中，若经学校核实存在货物质量问题或中标供应商违约情形，学校有权在通知中标供应商后，从履约保证金中抵扣相应的补偿或赔偿款项。</w:t>
      </w:r>
    </w:p>
    <w:p w14:paraId="65E41BB9">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4、履约保证金退还流程</w:t>
      </w:r>
    </w:p>
    <w:p w14:paraId="2474D35F">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（1）自货物验收合格之日起12个月后，中标供应商可向学校出具货物最终验收单，并同步提交填写完整的《履约保证金退还申请单》。</w:t>
      </w:r>
    </w:p>
    <w:p w14:paraId="236B02AC">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（2）经最终用户签字确认，核实无质量问题且供应商无违约情形后，学校于确认完成后一个月</w:t>
      </w:r>
      <w:r>
        <w:rPr>
          <w:rFonts w:hint="eastAsia" w:ascii="宋体" w:hAnsi="宋体" w:eastAsia="宋体" w:cs="宋体"/>
          <w:sz w:val="21"/>
          <w:szCs w:val="21"/>
          <w:lang w:val="en-US" w:eastAsia="zh-CN"/>
        </w:rPr>
        <w:t>内，将履约保证金一次性无息退还中标供应商。</w:t>
      </w:r>
    </w:p>
    <w:p w14:paraId="7FF87EE3">
      <w:pPr>
        <w:spacing w:line="360" w:lineRule="auto"/>
        <w:ind w:firstLine="422" w:firstLineChars="200"/>
        <w:rPr>
          <w:rFonts w:hint="eastAsia" w:ascii="宋体" w:hAnsi="宋体" w:cs="宋体"/>
          <w:b/>
          <w:color w:val="000000" w:themeColor="text1"/>
          <w:szCs w:val="21"/>
          <w:lang w:val="en-US" w:eastAsia="zh-CN"/>
          <w14:textFill>
            <w14:solidFill>
              <w14:schemeClr w14:val="tx1"/>
            </w14:solidFill>
          </w14:textFill>
        </w:rPr>
      </w:pPr>
    </w:p>
    <w:p w14:paraId="40BA870B">
      <w:pPr>
        <w:spacing w:line="360" w:lineRule="auto"/>
        <w:ind w:firstLine="422"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九</w:t>
      </w:r>
      <w:r>
        <w:rPr>
          <w:rFonts w:hint="eastAsia" w:ascii="宋体" w:hAnsi="宋体" w:cs="宋体"/>
          <w:b/>
          <w:color w:val="000000" w:themeColor="text1"/>
          <w:szCs w:val="21"/>
          <w14:textFill>
            <w14:solidFill>
              <w14:schemeClr w14:val="tx1"/>
            </w14:solidFill>
          </w14:textFill>
        </w:rPr>
        <w:t>、</w:t>
      </w:r>
      <w:r>
        <w:rPr>
          <w:rFonts w:hint="eastAsia" w:ascii="宋体" w:hAnsi="宋体" w:cs="宋体"/>
          <w:b/>
          <w:bCs/>
          <w:color w:val="000000" w:themeColor="text1"/>
          <w:spacing w:val="8"/>
          <w:kern w:val="0"/>
          <w:szCs w:val="21"/>
          <w14:textFill>
            <w14:solidFill>
              <w14:schemeClr w14:val="tx1"/>
            </w14:solidFill>
          </w14:textFill>
        </w:rPr>
        <w:t>货款支付</w:t>
      </w:r>
    </w:p>
    <w:p w14:paraId="6D2713D3">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1、本合同项下所有款项均以人民币支付，</w:t>
      </w:r>
      <w:r>
        <w:rPr>
          <w:rFonts w:hint="eastAsia" w:ascii="宋体" w:hAnsi="宋体"/>
          <w:bCs/>
          <w:color w:val="000000" w:themeColor="text1"/>
          <w:szCs w:val="21"/>
          <w:lang w:val="en-US" w:eastAsia="zh-CN"/>
          <w14:textFill>
            <w14:solidFill>
              <w14:schemeClr w14:val="tx1"/>
            </w14:solidFill>
          </w14:textFill>
        </w:rPr>
        <w:t>供应商</w:t>
      </w:r>
      <w:r>
        <w:rPr>
          <w:rFonts w:hint="eastAsia" w:ascii="宋体" w:hAnsi="宋体"/>
          <w:bCs/>
          <w:color w:val="000000" w:themeColor="text1"/>
          <w:szCs w:val="21"/>
          <w14:textFill>
            <w14:solidFill>
              <w14:schemeClr w14:val="tx1"/>
            </w14:solidFill>
          </w14:textFill>
        </w:rPr>
        <w:t>向</w:t>
      </w:r>
      <w:r>
        <w:rPr>
          <w:rFonts w:hint="eastAsia" w:ascii="宋体" w:hAnsi="宋体"/>
          <w:bCs/>
          <w:color w:val="000000" w:themeColor="text1"/>
          <w:szCs w:val="21"/>
          <w:lang w:val="en-US" w:eastAsia="zh-CN"/>
          <w14:textFill>
            <w14:solidFill>
              <w14:schemeClr w14:val="tx1"/>
            </w14:solidFill>
          </w14:textFill>
        </w:rPr>
        <w:t>采购人</w:t>
      </w:r>
      <w:r>
        <w:rPr>
          <w:rFonts w:hint="eastAsia" w:ascii="宋体" w:hAnsi="宋体"/>
          <w:bCs/>
          <w:color w:val="000000" w:themeColor="text1"/>
          <w:szCs w:val="21"/>
          <w14:textFill>
            <w14:solidFill>
              <w14:schemeClr w14:val="tx1"/>
            </w14:solidFill>
          </w14:textFill>
        </w:rPr>
        <w:t>开具发票。</w:t>
      </w:r>
    </w:p>
    <w:p w14:paraId="241DFB40">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2、付款方式：合同签订后，货到现场并安装完毕后付至合同价的60%，验收合格后付至100%。</w:t>
      </w:r>
    </w:p>
    <w:p w14:paraId="3BEACCC0">
      <w:pPr>
        <w:pStyle w:val="2"/>
        <w:numPr>
          <w:ilvl w:val="0"/>
          <w:numId w:val="0"/>
        </w:numPr>
        <w:rPr>
          <w:rFonts w:hint="eastAsia" w:ascii="宋体" w:hAnsi="宋体" w:cs="宋体"/>
          <w:b/>
          <w:bCs/>
          <w:sz w:val="32"/>
          <w:szCs w:val="32"/>
        </w:rPr>
      </w:pPr>
      <w:r>
        <w:rPr>
          <w:rFonts w:hint="eastAsia"/>
        </w:rPr>
        <w:br w:type="page"/>
      </w:r>
      <w:bookmarkStart w:id="33" w:name="_Toc17697"/>
      <w:r>
        <w:rPr>
          <w:rFonts w:hint="eastAsia" w:ascii="Arial" w:cs="Arial"/>
          <w:lang w:val="en-US" w:eastAsia="zh-CN"/>
        </w:rPr>
        <w:t>第五章 合同主要条款及格式</w:t>
      </w:r>
      <w:bookmarkEnd w:id="22"/>
      <w:bookmarkEnd w:id="33"/>
    </w:p>
    <w:p w14:paraId="39BDB66B">
      <w:pPr>
        <w:jc w:val="center"/>
        <w:rPr>
          <w:rFonts w:hint="eastAsia" w:ascii="宋体" w:hAnsi="宋体" w:cs="宋体"/>
          <w:b/>
          <w:bCs/>
          <w:sz w:val="24"/>
          <w:u w:val="single"/>
        </w:rPr>
      </w:pPr>
      <w:r>
        <w:rPr>
          <w:rFonts w:hint="eastAsia" w:ascii="宋体" w:hAnsi="宋体" w:cs="宋体"/>
          <w:b/>
          <w:bCs/>
          <w:sz w:val="32"/>
          <w:szCs w:val="32"/>
          <w:lang w:eastAsia="zh-CN"/>
        </w:rPr>
        <w:t>南京医科大学高性能计算平台采购项目</w:t>
      </w:r>
      <w:r>
        <w:rPr>
          <w:rFonts w:hint="eastAsia" w:ascii="宋体" w:hAnsi="宋体" w:cs="宋体"/>
          <w:b/>
          <w:bCs/>
          <w:sz w:val="32"/>
          <w:szCs w:val="32"/>
        </w:rPr>
        <w:t xml:space="preserve">合同 </w:t>
      </w:r>
    </w:p>
    <w:p w14:paraId="773C90D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甲方：（买方）_________         乙方：（卖方）_________ </w:t>
      </w:r>
    </w:p>
    <w:p w14:paraId="2DF0732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w:t>
      </w:r>
      <w:r>
        <w:rPr>
          <w:rFonts w:hint="eastAsia" w:ascii="宋体" w:hAnsi="宋体" w:eastAsia="宋体" w:cs="宋体"/>
          <w:sz w:val="21"/>
          <w:szCs w:val="21"/>
          <w:u w:val="single"/>
        </w:rPr>
        <w:t xml:space="preserve">           </w:t>
      </w:r>
    </w:p>
    <w:p w14:paraId="24E0F3C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地址：</w:t>
      </w:r>
      <w:r>
        <w:rPr>
          <w:rFonts w:hint="eastAsia" w:ascii="宋体" w:hAnsi="宋体" w:eastAsia="宋体" w:cs="宋体"/>
          <w:sz w:val="21"/>
          <w:szCs w:val="21"/>
          <w:u w:val="single"/>
        </w:rPr>
        <w:t xml:space="preserve">                 </w:t>
      </w:r>
    </w:p>
    <w:p w14:paraId="64E2F1E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联系人：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联系人：</w:t>
      </w:r>
      <w:r>
        <w:rPr>
          <w:rFonts w:hint="eastAsia" w:ascii="宋体" w:hAnsi="宋体" w:eastAsia="宋体" w:cs="宋体"/>
          <w:sz w:val="21"/>
          <w:szCs w:val="21"/>
          <w:u w:val="single"/>
        </w:rPr>
        <w:t xml:space="preserve">                </w:t>
      </w:r>
    </w:p>
    <w:p w14:paraId="7A7DAB4C">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107C60B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甲、乙双方根据南京医科大学 </w:t>
      </w:r>
      <w:r>
        <w:rPr>
          <w:rFonts w:hint="eastAsia" w:ascii="宋体" w:hAnsi="宋体" w:eastAsia="宋体" w:cs="宋体"/>
          <w:sz w:val="21"/>
          <w:szCs w:val="21"/>
          <w:u w:val="single"/>
        </w:rPr>
        <w:t xml:space="preserve"> 南京医科大学高性能计算平台采购项目 </w:t>
      </w:r>
      <w:r>
        <w:rPr>
          <w:rFonts w:hint="eastAsia" w:ascii="宋体" w:hAnsi="宋体" w:eastAsia="宋体" w:cs="宋体"/>
          <w:sz w:val="21"/>
          <w:szCs w:val="21"/>
        </w:rPr>
        <w:t>公开招标的结果，本着自愿及平等互利的原则，就甲方向乙方购买本合同约定的货物事宜，签署本合同。</w:t>
      </w:r>
    </w:p>
    <w:p w14:paraId="39991A6E">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一、货物内容、数量及金额</w:t>
      </w:r>
    </w:p>
    <w:tbl>
      <w:tblPr>
        <w:tblStyle w:val="47"/>
        <w:tblW w:w="5007"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192"/>
        <w:gridCol w:w="726"/>
        <w:gridCol w:w="693"/>
        <w:gridCol w:w="1505"/>
        <w:gridCol w:w="661"/>
        <w:gridCol w:w="1400"/>
        <w:gridCol w:w="1351"/>
      </w:tblGrid>
      <w:tr w14:paraId="4B377F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447" w:type="pct"/>
            <w:tcBorders>
              <w:top w:val="single" w:color="auto" w:sz="12" w:space="0"/>
              <w:left w:val="single" w:color="auto" w:sz="12" w:space="0"/>
              <w:bottom w:val="single" w:color="auto" w:sz="4" w:space="0"/>
              <w:right w:val="single" w:color="auto" w:sz="4" w:space="0"/>
            </w:tcBorders>
            <w:shd w:val="pct10" w:color="auto" w:fill="FFFFFF"/>
            <w:vAlign w:val="center"/>
          </w:tcPr>
          <w:p w14:paraId="6ADAA7F5">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编号</w:t>
            </w:r>
          </w:p>
        </w:tc>
        <w:tc>
          <w:tcPr>
            <w:tcW w:w="721" w:type="pct"/>
            <w:tcBorders>
              <w:top w:val="single" w:color="auto" w:sz="12" w:space="0"/>
              <w:left w:val="single" w:color="auto" w:sz="4" w:space="0"/>
              <w:bottom w:val="single" w:color="auto" w:sz="4" w:space="0"/>
              <w:right w:val="single" w:color="auto" w:sz="4" w:space="0"/>
            </w:tcBorders>
            <w:shd w:val="pct10" w:color="auto" w:fill="FFFFFF"/>
            <w:vAlign w:val="center"/>
          </w:tcPr>
          <w:p w14:paraId="0D089650">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货物名称</w:t>
            </w:r>
          </w:p>
        </w:tc>
        <w:tc>
          <w:tcPr>
            <w:tcW w:w="439" w:type="pct"/>
            <w:tcBorders>
              <w:top w:val="single" w:color="auto" w:sz="12" w:space="0"/>
              <w:left w:val="single" w:color="auto" w:sz="4" w:space="0"/>
              <w:bottom w:val="single" w:color="auto" w:sz="4" w:space="0"/>
              <w:right w:val="single" w:color="auto" w:sz="4" w:space="0"/>
            </w:tcBorders>
            <w:shd w:val="pct10" w:color="auto" w:fill="FFFFFF"/>
            <w:vAlign w:val="center"/>
          </w:tcPr>
          <w:p w14:paraId="0CFAB386">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品牌</w:t>
            </w:r>
          </w:p>
        </w:tc>
        <w:tc>
          <w:tcPr>
            <w:tcW w:w="419" w:type="pct"/>
            <w:tcBorders>
              <w:top w:val="single" w:color="auto" w:sz="12" w:space="0"/>
              <w:left w:val="single" w:color="auto" w:sz="4" w:space="0"/>
              <w:bottom w:val="single" w:color="auto" w:sz="4" w:space="0"/>
              <w:right w:val="single" w:color="auto" w:sz="4" w:space="0"/>
            </w:tcBorders>
            <w:shd w:val="pct10" w:color="auto" w:fill="FFFFFF"/>
            <w:vAlign w:val="center"/>
          </w:tcPr>
          <w:p w14:paraId="25028B73">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型号</w:t>
            </w:r>
          </w:p>
        </w:tc>
        <w:tc>
          <w:tcPr>
            <w:tcW w:w="910" w:type="pct"/>
            <w:tcBorders>
              <w:top w:val="single" w:color="auto" w:sz="12" w:space="0"/>
              <w:left w:val="single" w:color="auto" w:sz="4" w:space="0"/>
              <w:bottom w:val="single" w:color="auto" w:sz="4" w:space="0"/>
              <w:right w:val="single" w:color="auto" w:sz="4" w:space="0"/>
            </w:tcBorders>
            <w:shd w:val="pct10" w:color="auto" w:fill="FFFFFF"/>
            <w:vAlign w:val="center"/>
          </w:tcPr>
          <w:p w14:paraId="4C9C3DBE">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制造商和国别</w:t>
            </w:r>
          </w:p>
        </w:tc>
        <w:tc>
          <w:tcPr>
            <w:tcW w:w="400" w:type="pct"/>
            <w:tcBorders>
              <w:top w:val="single" w:color="auto" w:sz="12" w:space="0"/>
              <w:left w:val="single" w:color="auto" w:sz="4" w:space="0"/>
              <w:bottom w:val="single" w:color="auto" w:sz="4" w:space="0"/>
              <w:right w:val="single" w:color="auto" w:sz="4" w:space="0"/>
            </w:tcBorders>
            <w:shd w:val="pct10" w:color="auto" w:fill="FFFFFF"/>
            <w:vAlign w:val="center"/>
          </w:tcPr>
          <w:p w14:paraId="5BD50871">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数量</w:t>
            </w:r>
          </w:p>
        </w:tc>
        <w:tc>
          <w:tcPr>
            <w:tcW w:w="847" w:type="pct"/>
            <w:tcBorders>
              <w:top w:val="single" w:color="auto" w:sz="12" w:space="0"/>
              <w:left w:val="single" w:color="auto" w:sz="4" w:space="0"/>
              <w:bottom w:val="single" w:color="auto" w:sz="4" w:space="0"/>
              <w:right w:val="single" w:color="auto" w:sz="4" w:space="0"/>
            </w:tcBorders>
            <w:shd w:val="pct10" w:color="auto" w:fill="FFFFFF"/>
            <w:vAlign w:val="center"/>
          </w:tcPr>
          <w:p w14:paraId="53AF1C8D">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单价（元）</w:t>
            </w:r>
          </w:p>
        </w:tc>
        <w:tc>
          <w:tcPr>
            <w:tcW w:w="813" w:type="pct"/>
            <w:tcBorders>
              <w:top w:val="single" w:color="auto" w:sz="12" w:space="0"/>
              <w:left w:val="single" w:color="auto" w:sz="4" w:space="0"/>
              <w:bottom w:val="single" w:color="auto" w:sz="4" w:space="0"/>
              <w:right w:val="single" w:color="auto" w:sz="12" w:space="0"/>
            </w:tcBorders>
            <w:shd w:val="pct10" w:color="auto" w:fill="FFFFFF"/>
            <w:vAlign w:val="center"/>
          </w:tcPr>
          <w:p w14:paraId="6340C593">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总价（元）</w:t>
            </w:r>
          </w:p>
        </w:tc>
      </w:tr>
      <w:tr w14:paraId="094E6AD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47" w:type="pct"/>
            <w:tcBorders>
              <w:top w:val="single" w:color="auto" w:sz="4" w:space="0"/>
              <w:left w:val="single" w:color="auto" w:sz="12" w:space="0"/>
              <w:bottom w:val="single" w:color="auto" w:sz="4" w:space="0"/>
              <w:right w:val="single" w:color="auto" w:sz="4" w:space="0"/>
            </w:tcBorders>
            <w:vAlign w:val="center"/>
          </w:tcPr>
          <w:p w14:paraId="1858E668">
            <w:pPr>
              <w:spacing w:line="600" w:lineRule="atLeast"/>
              <w:jc w:val="center"/>
              <w:rPr>
                <w:rFonts w:hint="eastAsia" w:ascii="宋体" w:hAnsi="宋体" w:eastAsia="宋体" w:cs="宋体"/>
                <w:b/>
                <w:sz w:val="21"/>
                <w:szCs w:val="21"/>
                <w:lang w:val="en-US" w:eastAsia="zh-CN"/>
              </w:rPr>
            </w:pPr>
            <w:r>
              <w:rPr>
                <w:rFonts w:hint="eastAsia" w:ascii="宋体" w:hAnsi="宋体" w:cs="宋体"/>
                <w:b/>
                <w:sz w:val="21"/>
                <w:szCs w:val="21"/>
                <w:lang w:val="en-US" w:eastAsia="zh-CN"/>
              </w:rPr>
              <w:t>1</w:t>
            </w:r>
          </w:p>
        </w:tc>
        <w:tc>
          <w:tcPr>
            <w:tcW w:w="721" w:type="pct"/>
            <w:tcBorders>
              <w:top w:val="single" w:color="auto" w:sz="4" w:space="0"/>
              <w:left w:val="single" w:color="auto" w:sz="4" w:space="0"/>
              <w:bottom w:val="single" w:color="auto" w:sz="4" w:space="0"/>
              <w:right w:val="single" w:color="auto" w:sz="4" w:space="0"/>
            </w:tcBorders>
            <w:vAlign w:val="center"/>
          </w:tcPr>
          <w:p w14:paraId="45523978">
            <w:pPr>
              <w:spacing w:line="600" w:lineRule="atLeast"/>
              <w:jc w:val="center"/>
              <w:rPr>
                <w:rFonts w:hint="eastAsia" w:ascii="宋体" w:hAnsi="宋体" w:eastAsia="宋体" w:cs="宋体"/>
                <w:sz w:val="21"/>
                <w:szCs w:val="21"/>
              </w:rPr>
            </w:pPr>
          </w:p>
        </w:tc>
        <w:tc>
          <w:tcPr>
            <w:tcW w:w="439" w:type="pct"/>
            <w:tcBorders>
              <w:top w:val="single" w:color="auto" w:sz="4" w:space="0"/>
              <w:left w:val="single" w:color="auto" w:sz="4" w:space="0"/>
              <w:bottom w:val="single" w:color="auto" w:sz="4" w:space="0"/>
              <w:right w:val="single" w:color="auto" w:sz="4" w:space="0"/>
            </w:tcBorders>
            <w:vAlign w:val="center"/>
          </w:tcPr>
          <w:p w14:paraId="71FBF383">
            <w:pPr>
              <w:jc w:val="center"/>
              <w:rPr>
                <w:rFonts w:hint="eastAsia" w:ascii="宋体" w:hAnsi="宋体" w:eastAsia="宋体" w:cs="宋体"/>
                <w:color w:val="000000"/>
                <w:sz w:val="21"/>
                <w:szCs w:val="21"/>
              </w:rPr>
            </w:pPr>
          </w:p>
        </w:tc>
        <w:tc>
          <w:tcPr>
            <w:tcW w:w="419" w:type="pct"/>
            <w:tcBorders>
              <w:top w:val="single" w:color="auto" w:sz="4" w:space="0"/>
              <w:left w:val="single" w:color="auto" w:sz="4" w:space="0"/>
              <w:bottom w:val="single" w:color="auto" w:sz="4" w:space="0"/>
              <w:right w:val="single" w:color="auto" w:sz="4" w:space="0"/>
            </w:tcBorders>
            <w:vAlign w:val="center"/>
          </w:tcPr>
          <w:p w14:paraId="22D850BF">
            <w:pPr>
              <w:spacing w:line="600" w:lineRule="atLeast"/>
              <w:ind w:firstLine="103" w:firstLineChars="49"/>
              <w:jc w:val="center"/>
              <w:rPr>
                <w:rFonts w:hint="eastAsia" w:ascii="宋体" w:hAnsi="宋体" w:eastAsia="宋体" w:cs="宋体"/>
                <w:b/>
                <w:sz w:val="21"/>
                <w:szCs w:val="21"/>
              </w:rPr>
            </w:pPr>
          </w:p>
        </w:tc>
        <w:tc>
          <w:tcPr>
            <w:tcW w:w="910" w:type="pct"/>
            <w:tcBorders>
              <w:top w:val="single" w:color="auto" w:sz="4" w:space="0"/>
              <w:left w:val="single" w:color="auto" w:sz="4" w:space="0"/>
              <w:bottom w:val="single" w:color="auto" w:sz="4" w:space="0"/>
              <w:right w:val="single" w:color="auto" w:sz="4" w:space="0"/>
            </w:tcBorders>
            <w:vAlign w:val="center"/>
          </w:tcPr>
          <w:p w14:paraId="55A28E4E">
            <w:pPr>
              <w:spacing w:line="240" w:lineRule="atLeast"/>
              <w:jc w:val="center"/>
              <w:rPr>
                <w:rFonts w:hint="eastAsia" w:ascii="宋体" w:hAnsi="宋体" w:eastAsia="宋体" w:cs="宋体"/>
                <w:b/>
                <w:sz w:val="21"/>
                <w:szCs w:val="21"/>
              </w:rPr>
            </w:pPr>
          </w:p>
        </w:tc>
        <w:tc>
          <w:tcPr>
            <w:tcW w:w="400" w:type="pct"/>
            <w:tcBorders>
              <w:top w:val="single" w:color="auto" w:sz="4" w:space="0"/>
              <w:left w:val="single" w:color="auto" w:sz="4" w:space="0"/>
              <w:bottom w:val="single" w:color="auto" w:sz="4" w:space="0"/>
              <w:right w:val="single" w:color="auto" w:sz="4" w:space="0"/>
            </w:tcBorders>
            <w:vAlign w:val="center"/>
          </w:tcPr>
          <w:p w14:paraId="329A9B13">
            <w:pPr>
              <w:jc w:val="center"/>
              <w:rPr>
                <w:rFonts w:hint="eastAsia" w:ascii="宋体" w:hAnsi="宋体" w:eastAsia="宋体" w:cs="宋体"/>
                <w:sz w:val="21"/>
                <w:szCs w:val="21"/>
              </w:rPr>
            </w:pPr>
          </w:p>
        </w:tc>
        <w:tc>
          <w:tcPr>
            <w:tcW w:w="847" w:type="pct"/>
            <w:tcBorders>
              <w:top w:val="single" w:color="auto" w:sz="4" w:space="0"/>
              <w:left w:val="single" w:color="auto" w:sz="4" w:space="0"/>
              <w:bottom w:val="single" w:color="auto" w:sz="4" w:space="0"/>
              <w:right w:val="single" w:color="auto" w:sz="4" w:space="0"/>
            </w:tcBorders>
            <w:vAlign w:val="center"/>
          </w:tcPr>
          <w:p w14:paraId="36ED2FFB">
            <w:pPr>
              <w:jc w:val="center"/>
              <w:rPr>
                <w:rFonts w:hint="eastAsia" w:ascii="宋体" w:hAnsi="宋体" w:eastAsia="宋体" w:cs="宋体"/>
                <w:sz w:val="21"/>
                <w:szCs w:val="21"/>
              </w:rPr>
            </w:pPr>
          </w:p>
        </w:tc>
        <w:tc>
          <w:tcPr>
            <w:tcW w:w="813" w:type="pct"/>
            <w:tcBorders>
              <w:top w:val="single" w:color="auto" w:sz="4" w:space="0"/>
              <w:left w:val="single" w:color="auto" w:sz="4" w:space="0"/>
              <w:bottom w:val="single" w:color="auto" w:sz="4" w:space="0"/>
              <w:right w:val="single" w:color="auto" w:sz="12" w:space="0"/>
            </w:tcBorders>
            <w:vAlign w:val="center"/>
          </w:tcPr>
          <w:p w14:paraId="66B4FE06">
            <w:pPr>
              <w:jc w:val="center"/>
              <w:rPr>
                <w:rFonts w:hint="eastAsia" w:ascii="宋体" w:hAnsi="宋体" w:eastAsia="宋体" w:cs="宋体"/>
                <w:sz w:val="21"/>
                <w:szCs w:val="21"/>
              </w:rPr>
            </w:pPr>
          </w:p>
        </w:tc>
      </w:tr>
      <w:tr w14:paraId="2B3C36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447" w:type="pct"/>
            <w:tcBorders>
              <w:top w:val="single" w:color="auto" w:sz="4" w:space="0"/>
              <w:left w:val="single" w:color="auto" w:sz="12" w:space="0"/>
              <w:bottom w:val="single" w:color="auto" w:sz="4" w:space="0"/>
              <w:right w:val="single" w:color="auto" w:sz="4" w:space="0"/>
            </w:tcBorders>
            <w:vAlign w:val="center"/>
          </w:tcPr>
          <w:p w14:paraId="66C1F685">
            <w:pPr>
              <w:spacing w:line="600" w:lineRule="atLeast"/>
              <w:jc w:val="center"/>
              <w:rPr>
                <w:rFonts w:hint="eastAsia" w:ascii="宋体" w:hAnsi="宋体" w:eastAsia="宋体" w:cs="宋体"/>
                <w:b/>
                <w:sz w:val="21"/>
                <w:szCs w:val="21"/>
              </w:rPr>
            </w:pPr>
            <w:r>
              <w:rPr>
                <w:rFonts w:hint="eastAsia" w:ascii="宋体" w:hAnsi="宋体" w:eastAsia="宋体" w:cs="宋体"/>
                <w:b/>
                <w:sz w:val="21"/>
                <w:szCs w:val="21"/>
              </w:rPr>
              <w:t>2</w:t>
            </w:r>
          </w:p>
        </w:tc>
        <w:tc>
          <w:tcPr>
            <w:tcW w:w="721" w:type="pct"/>
            <w:tcBorders>
              <w:top w:val="single" w:color="auto" w:sz="4" w:space="0"/>
              <w:left w:val="single" w:color="auto" w:sz="4" w:space="0"/>
              <w:bottom w:val="single" w:color="auto" w:sz="4" w:space="0"/>
              <w:right w:val="single" w:color="auto" w:sz="4" w:space="0"/>
            </w:tcBorders>
            <w:vAlign w:val="center"/>
          </w:tcPr>
          <w:p w14:paraId="5D1879F5">
            <w:pPr>
              <w:spacing w:line="600" w:lineRule="atLeast"/>
              <w:jc w:val="center"/>
              <w:rPr>
                <w:rFonts w:hint="eastAsia" w:ascii="宋体" w:hAnsi="宋体" w:eastAsia="宋体" w:cs="宋体"/>
                <w:sz w:val="21"/>
                <w:szCs w:val="21"/>
              </w:rPr>
            </w:pPr>
          </w:p>
        </w:tc>
        <w:tc>
          <w:tcPr>
            <w:tcW w:w="439" w:type="pct"/>
            <w:tcBorders>
              <w:top w:val="single" w:color="auto" w:sz="4" w:space="0"/>
              <w:left w:val="single" w:color="auto" w:sz="4" w:space="0"/>
              <w:bottom w:val="single" w:color="auto" w:sz="4" w:space="0"/>
              <w:right w:val="single" w:color="auto" w:sz="4" w:space="0"/>
            </w:tcBorders>
            <w:vAlign w:val="center"/>
          </w:tcPr>
          <w:p w14:paraId="499CFA45">
            <w:pPr>
              <w:jc w:val="center"/>
              <w:rPr>
                <w:rFonts w:hint="eastAsia" w:ascii="宋体" w:hAnsi="宋体" w:eastAsia="宋体" w:cs="宋体"/>
                <w:color w:val="000000"/>
                <w:sz w:val="21"/>
                <w:szCs w:val="21"/>
              </w:rPr>
            </w:pPr>
          </w:p>
        </w:tc>
        <w:tc>
          <w:tcPr>
            <w:tcW w:w="419" w:type="pct"/>
            <w:tcBorders>
              <w:top w:val="single" w:color="auto" w:sz="4" w:space="0"/>
              <w:left w:val="single" w:color="auto" w:sz="4" w:space="0"/>
              <w:bottom w:val="single" w:color="auto" w:sz="4" w:space="0"/>
              <w:right w:val="single" w:color="auto" w:sz="4" w:space="0"/>
            </w:tcBorders>
            <w:vAlign w:val="center"/>
          </w:tcPr>
          <w:p w14:paraId="0C1A0EF0">
            <w:pPr>
              <w:spacing w:line="600" w:lineRule="atLeast"/>
              <w:ind w:firstLine="103" w:firstLineChars="49"/>
              <w:jc w:val="center"/>
              <w:rPr>
                <w:rFonts w:hint="eastAsia" w:ascii="宋体" w:hAnsi="宋体" w:eastAsia="宋体" w:cs="宋体"/>
                <w:b/>
                <w:sz w:val="21"/>
                <w:szCs w:val="21"/>
              </w:rPr>
            </w:pPr>
          </w:p>
        </w:tc>
        <w:tc>
          <w:tcPr>
            <w:tcW w:w="910" w:type="pct"/>
            <w:tcBorders>
              <w:top w:val="single" w:color="auto" w:sz="4" w:space="0"/>
              <w:left w:val="single" w:color="auto" w:sz="4" w:space="0"/>
              <w:bottom w:val="single" w:color="auto" w:sz="4" w:space="0"/>
              <w:right w:val="single" w:color="auto" w:sz="4" w:space="0"/>
            </w:tcBorders>
            <w:vAlign w:val="center"/>
          </w:tcPr>
          <w:p w14:paraId="0FFFC8F7">
            <w:pPr>
              <w:spacing w:line="240" w:lineRule="atLeast"/>
              <w:jc w:val="center"/>
              <w:rPr>
                <w:rFonts w:hint="eastAsia" w:ascii="宋体" w:hAnsi="宋体" w:eastAsia="宋体" w:cs="宋体"/>
                <w:b/>
                <w:sz w:val="21"/>
                <w:szCs w:val="21"/>
              </w:rPr>
            </w:pPr>
          </w:p>
        </w:tc>
        <w:tc>
          <w:tcPr>
            <w:tcW w:w="400" w:type="pct"/>
            <w:tcBorders>
              <w:top w:val="single" w:color="auto" w:sz="4" w:space="0"/>
              <w:left w:val="single" w:color="auto" w:sz="4" w:space="0"/>
              <w:bottom w:val="single" w:color="auto" w:sz="4" w:space="0"/>
              <w:right w:val="single" w:color="auto" w:sz="4" w:space="0"/>
            </w:tcBorders>
            <w:vAlign w:val="center"/>
          </w:tcPr>
          <w:p w14:paraId="34F16D07">
            <w:pPr>
              <w:jc w:val="center"/>
              <w:rPr>
                <w:rFonts w:hint="eastAsia" w:ascii="宋体" w:hAnsi="宋体" w:eastAsia="宋体" w:cs="宋体"/>
                <w:sz w:val="21"/>
                <w:szCs w:val="21"/>
              </w:rPr>
            </w:pPr>
          </w:p>
        </w:tc>
        <w:tc>
          <w:tcPr>
            <w:tcW w:w="847" w:type="pct"/>
            <w:tcBorders>
              <w:top w:val="single" w:color="auto" w:sz="4" w:space="0"/>
              <w:left w:val="single" w:color="auto" w:sz="4" w:space="0"/>
              <w:bottom w:val="single" w:color="auto" w:sz="4" w:space="0"/>
              <w:right w:val="single" w:color="auto" w:sz="4" w:space="0"/>
            </w:tcBorders>
            <w:vAlign w:val="center"/>
          </w:tcPr>
          <w:p w14:paraId="763972A3">
            <w:pPr>
              <w:jc w:val="center"/>
              <w:rPr>
                <w:rFonts w:hint="eastAsia" w:ascii="宋体" w:hAnsi="宋体" w:eastAsia="宋体" w:cs="宋体"/>
                <w:sz w:val="21"/>
                <w:szCs w:val="21"/>
              </w:rPr>
            </w:pPr>
          </w:p>
        </w:tc>
        <w:tc>
          <w:tcPr>
            <w:tcW w:w="813" w:type="pct"/>
            <w:tcBorders>
              <w:top w:val="single" w:color="auto" w:sz="4" w:space="0"/>
              <w:left w:val="single" w:color="auto" w:sz="4" w:space="0"/>
              <w:bottom w:val="single" w:color="auto" w:sz="4" w:space="0"/>
              <w:right w:val="single" w:color="auto" w:sz="12" w:space="0"/>
            </w:tcBorders>
            <w:vAlign w:val="center"/>
          </w:tcPr>
          <w:p w14:paraId="377DF9DD">
            <w:pPr>
              <w:jc w:val="center"/>
              <w:rPr>
                <w:rFonts w:hint="eastAsia" w:ascii="宋体" w:hAnsi="宋体" w:eastAsia="宋体" w:cs="宋体"/>
                <w:sz w:val="21"/>
                <w:szCs w:val="21"/>
              </w:rPr>
            </w:pPr>
          </w:p>
        </w:tc>
      </w:tr>
      <w:tr w14:paraId="1CF48CD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000" w:type="pct"/>
            <w:gridSpan w:val="8"/>
            <w:tcBorders>
              <w:top w:val="single" w:color="auto" w:sz="4" w:space="0"/>
              <w:left w:val="single" w:color="auto" w:sz="12" w:space="0"/>
              <w:bottom w:val="single" w:color="auto" w:sz="4" w:space="0"/>
              <w:right w:val="single" w:color="auto" w:sz="12" w:space="0"/>
            </w:tcBorders>
            <w:vAlign w:val="center"/>
          </w:tcPr>
          <w:p w14:paraId="33F9EE02">
            <w:pPr>
              <w:spacing w:line="300" w:lineRule="exact"/>
              <w:rPr>
                <w:rFonts w:hint="eastAsia" w:ascii="宋体" w:hAnsi="宋体" w:eastAsia="宋体" w:cs="宋体"/>
                <w:color w:val="000000"/>
                <w:sz w:val="21"/>
                <w:szCs w:val="21"/>
              </w:rPr>
            </w:pPr>
            <w:r>
              <w:rPr>
                <w:rFonts w:hint="eastAsia" w:ascii="宋体" w:hAnsi="宋体" w:eastAsia="宋体" w:cs="宋体"/>
                <w:b/>
                <w:sz w:val="21"/>
                <w:szCs w:val="21"/>
              </w:rPr>
              <w:t xml:space="preserve">总价（人民币大写）：                 </w:t>
            </w:r>
            <w:r>
              <w:rPr>
                <w:rFonts w:hint="eastAsia" w:ascii="宋体" w:hAnsi="宋体" w:eastAsia="宋体" w:cs="宋体"/>
                <w:b/>
                <w:bCs w:val="0"/>
                <w:sz w:val="21"/>
                <w:szCs w:val="21"/>
              </w:rPr>
              <w:t xml:space="preserve">    合计（小写）：</w:t>
            </w:r>
          </w:p>
        </w:tc>
      </w:tr>
      <w:tr w14:paraId="7C2B72D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tcBorders>
              <w:top w:val="single" w:color="auto" w:sz="4" w:space="0"/>
              <w:left w:val="single" w:color="auto" w:sz="12" w:space="0"/>
              <w:bottom w:val="single" w:color="auto" w:sz="12" w:space="0"/>
              <w:right w:val="single" w:color="auto" w:sz="12" w:space="0"/>
            </w:tcBorders>
            <w:vAlign w:val="center"/>
          </w:tcPr>
          <w:p w14:paraId="5755A875">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说明：</w:t>
            </w:r>
          </w:p>
          <w:p w14:paraId="1C42F34F">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本合同总价款涵盖货物从设计、制造、包装、仓储、运输、安装直至验收合格之前的全部含税费用，以及保修期内备品备件相关的所有含税费用。乙方依约应提供的伴随服务及售后服务所涉费用，亦包含在本合同总价款内。</w:t>
            </w:r>
          </w:p>
          <w:p w14:paraId="6CC1B1EC">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此外，</w:t>
            </w:r>
          </w:p>
          <w:p w14:paraId="2F270A1F">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（1）若合同在履行过程中因国家政策调整，不在进口货物免税清单内，加征的关税亦包含在本合同总价款中。</w:t>
            </w:r>
          </w:p>
          <w:p w14:paraId="608281F0">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p>
          <w:p w14:paraId="2607B965">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以上两种情况，甲方按照采购合同约定的付款方式支付给委托的外贸公司后，甲方即完成向乙方付款义务，乙方不得再向甲方追索本项目款项。</w:t>
            </w:r>
          </w:p>
          <w:p w14:paraId="5CE9BB9E">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p>
          <w:p w14:paraId="01745D3D">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p>
        </w:tc>
      </w:tr>
    </w:tbl>
    <w:p w14:paraId="0F28E521">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二、结算方式</w:t>
      </w:r>
    </w:p>
    <w:p w14:paraId="54F72B3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2.1结算方式：</w:t>
      </w:r>
      <w:r>
        <w:rPr>
          <w:rFonts w:hint="eastAsia" w:ascii="宋体" w:hAnsi="宋体" w:eastAsia="宋体" w:cs="宋体"/>
          <w:kern w:val="0"/>
          <w:sz w:val="21"/>
          <w:szCs w:val="21"/>
          <w:highlight w:val="none"/>
        </w:rPr>
        <w:t>合同签订后，货到现场并安装完毕后付至合同价的60%，验收合格后付至100%。</w:t>
      </w:r>
    </w:p>
    <w:p w14:paraId="60DC3550">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2.2履约保证金（根据招标文件要求选用）</w:t>
      </w:r>
    </w:p>
    <w:p w14:paraId="010E3846">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2" w:char="00A3"/>
      </w:r>
      <w:r>
        <w:rPr>
          <w:rFonts w:hint="eastAsia" w:ascii="宋体" w:hAnsi="宋体" w:eastAsia="宋体" w:cs="宋体"/>
          <w:sz w:val="21"/>
          <w:szCs w:val="21"/>
          <w:highlight w:val="none"/>
        </w:rPr>
        <w:t>本项目不需要缴纳履约保证金。</w:t>
      </w:r>
    </w:p>
    <w:p w14:paraId="6D90720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2" w:char="0052"/>
      </w:r>
      <w:r>
        <w:rPr>
          <w:rFonts w:hint="eastAsia" w:ascii="宋体" w:hAnsi="宋体" w:eastAsia="宋体" w:cs="宋体"/>
          <w:sz w:val="21"/>
          <w:szCs w:val="21"/>
          <w:highlight w:val="none"/>
        </w:rPr>
        <w:t>本项目需要缴纳履约保证金，具体要求如下：</w:t>
      </w:r>
    </w:p>
    <w:p w14:paraId="39708E86">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（1）供应商中标后7个工作日内，将中标合同金额10%的履约保证金以银行对公转账形式支付至</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指定账户，并将加盖单位公章的银行回执单或网银截图递交至</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凭付款凭证及到款情况办理合同签订相关手续。</w:t>
      </w:r>
    </w:p>
    <w:p w14:paraId="08FBB99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南京医科大学指定账户信息具体如下：</w:t>
      </w:r>
    </w:p>
    <w:p w14:paraId="41E3EB3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单位名称：南京医科大学</w:t>
      </w:r>
    </w:p>
    <w:p w14:paraId="4946B730">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 户 行：南京市工行汉中门支行                          </w:t>
      </w:r>
    </w:p>
    <w:p w14:paraId="4CC8F1B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账    号：4301010109001038622</w:t>
      </w:r>
    </w:p>
    <w:p w14:paraId="1DD6851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注：请在转账时备注“项目名称+履约保证保金”字样。</w:t>
      </w:r>
    </w:p>
    <w:p w14:paraId="042C5BAF">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合同履行过程中，若经</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核实存在货物质量问题或</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违约情形，</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有权在通知</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后，从履约保证金中抵扣相应的补偿或赔偿款项。</w:t>
      </w:r>
    </w:p>
    <w:p w14:paraId="332439DF">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履约保证金退还流程</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自货物验收合格之日起12个月后，</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可向</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出具货物最终验收单，并同步提交填写完整的《履约保证金退还申请单》。经最终用户签字确认，核实无质量问题且</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无违约情形后，</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于确认完成后一个月内，将履约保证金一次性无息退还</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w:t>
      </w:r>
    </w:p>
    <w:p w14:paraId="7BFACB9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2.3当采购数量与实际使用数量不一致时，乙方应根据实际使用量供货，合同的最终结算金额按实际使用量乘以本合同约定的成交单价</w:t>
      </w:r>
      <w:r>
        <w:rPr>
          <w:rFonts w:hint="eastAsia" w:ascii="宋体" w:hAnsi="宋体" w:eastAsia="宋体" w:cs="宋体"/>
          <w:sz w:val="21"/>
          <w:szCs w:val="21"/>
        </w:rPr>
        <w:t>进行计算。</w:t>
      </w:r>
    </w:p>
    <w:p w14:paraId="3458AC8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2.4乙方指定账户信息：</w:t>
      </w:r>
    </w:p>
    <w:p w14:paraId="68310F0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开户行：</w:t>
      </w:r>
    </w:p>
    <w:p w14:paraId="1E44108A">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户名：</w:t>
      </w:r>
    </w:p>
    <w:p w14:paraId="24D70A7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账号：</w:t>
      </w:r>
    </w:p>
    <w:p w14:paraId="7D0C3C8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上述账户信息，如有变更，乙方应在变更前3日内书面通知甲方。否则，由此产生的后果由乙方承担。</w:t>
      </w:r>
    </w:p>
    <w:p w14:paraId="5C50490A">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三、交付方式、时间及地点</w:t>
      </w:r>
    </w:p>
    <w:p w14:paraId="156AA95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rPr>
        <w:t>1</w:t>
      </w:r>
      <w:r>
        <w:rPr>
          <w:rFonts w:hint="eastAsia" w:ascii="宋体" w:hAnsi="宋体" w:eastAsia="宋体" w:cs="宋体"/>
          <w:sz w:val="21"/>
          <w:szCs w:val="21"/>
          <w:lang w:val="zh-CN"/>
        </w:rPr>
        <w:t>）交货期：合同签订生效后，60天内全部设备、材料运抵现场，并安装、调试结束，验收合格，交付</w:t>
      </w:r>
      <w:r>
        <w:rPr>
          <w:rFonts w:hint="eastAsia" w:ascii="宋体" w:hAnsi="宋体" w:cs="宋体"/>
          <w:sz w:val="21"/>
          <w:szCs w:val="21"/>
          <w:lang w:val="en-US" w:eastAsia="zh-CN"/>
        </w:rPr>
        <w:t>甲方</w:t>
      </w:r>
      <w:r>
        <w:rPr>
          <w:rFonts w:hint="eastAsia" w:ascii="宋体" w:hAnsi="宋体" w:eastAsia="宋体" w:cs="宋体"/>
          <w:sz w:val="21"/>
          <w:szCs w:val="21"/>
          <w:lang w:val="zh-CN"/>
        </w:rPr>
        <w:t>使用。</w:t>
      </w:r>
    </w:p>
    <w:p w14:paraId="7DDDF4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zh-CN"/>
        </w:rPr>
        <w:t>）交货方式：</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lang w:val="zh-CN"/>
        </w:rPr>
        <w:t>在</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lang w:val="zh-CN"/>
        </w:rPr>
        <w:t>指定地点交货，并完成安装、调试。</w:t>
      </w:r>
    </w:p>
    <w:p w14:paraId="4FBEA0C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val="zh-CN"/>
        </w:rPr>
        <w:t>）交货地点</w:t>
      </w:r>
      <w:r>
        <w:rPr>
          <w:rFonts w:hint="eastAsia" w:ascii="宋体" w:hAnsi="宋体" w:eastAsia="宋体" w:cs="宋体"/>
          <w:b w:val="0"/>
          <w:bCs w:val="0"/>
          <w:sz w:val="21"/>
          <w:szCs w:val="21"/>
          <w:highlight w:val="none"/>
          <w:lang w:val="zh-CN"/>
        </w:rPr>
        <w:t>：南京医科大学指定地点。</w:t>
      </w:r>
    </w:p>
    <w:p w14:paraId="01106356">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四、货物包装、发运及运输</w:t>
      </w:r>
    </w:p>
    <w:p w14:paraId="5D2F161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 乙方应在货物发运前根据运输距离、防潮、防震、防锈和防破损装卸等要求进行相应的包装，以保证货物安全运达甲方指定地点。</w:t>
      </w:r>
    </w:p>
    <w:p w14:paraId="022A4908">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4.2 使用说明书、质量检验证明书、随配附件和工具以及清单一并附于货物内。</w:t>
      </w:r>
    </w:p>
    <w:p w14:paraId="56306760">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4.3 乙方在货物发运手续办理完毕后24小时内或货到甲方48小时前通知甲方，以准备接货。</w:t>
      </w:r>
    </w:p>
    <w:p w14:paraId="10FC3F2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4.4 货物在交付甲方前发生的风险均由乙方负责。</w:t>
      </w:r>
    </w:p>
    <w:p w14:paraId="766140F0">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五、质量保证及售后服务</w:t>
      </w:r>
    </w:p>
    <w:p w14:paraId="6C455A0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p>
    <w:p w14:paraId="6E49FD2C">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p>
    <w:p w14:paraId="0E2E4128">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5.3上述货物的质保期</w:t>
      </w:r>
      <w:r>
        <w:rPr>
          <w:rFonts w:hint="eastAsia" w:ascii="宋体" w:hAnsi="宋体" w:eastAsia="宋体" w:cs="宋体"/>
          <w:sz w:val="21"/>
          <w:szCs w:val="21"/>
          <w:u w:val="single"/>
        </w:rPr>
        <w:t xml:space="preserve">     </w:t>
      </w:r>
      <w:r>
        <w:rPr>
          <w:rFonts w:hint="eastAsia" w:ascii="宋体" w:hAnsi="宋体" w:eastAsia="宋体" w:cs="宋体"/>
          <w:sz w:val="21"/>
          <w:szCs w:val="21"/>
        </w:rPr>
        <w:t>年。（自交货验收合格次日起计算），因人为因素出现的故障不在免费保修范围内。</w:t>
      </w:r>
    </w:p>
    <w:p w14:paraId="6C99974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5.4在质保期内，如在使用过程中发生质量问题，乙方在接到甲方通知后在___小时内响应，并在___小时内赶到甲方现场，免费予以排除故障、修复或者更换零部件。如未及时维修的，甲方</w:t>
      </w:r>
      <w:r>
        <w:rPr>
          <w:rFonts w:hint="eastAsia" w:ascii="宋体" w:hAnsi="宋体" w:eastAsia="宋体" w:cs="宋体"/>
          <w:sz w:val="21"/>
          <w:szCs w:val="21"/>
          <w:highlight w:val="none"/>
        </w:rPr>
        <w:t>委托他人维修，维修费优先从履约保证金中直接扣除，履约保证金不足的，甲方有权向乙方追偿；甲方无需经乙方同意即可单方委托第三方维修，维修费用按实际发生额计算。</w:t>
      </w:r>
    </w:p>
    <w:p w14:paraId="4680AFE1">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5.5 在质保期内，乙方应对货物出现的质量及安全问题负责</w:t>
      </w:r>
      <w:r>
        <w:rPr>
          <w:rFonts w:hint="eastAsia" w:ascii="宋体" w:hAnsi="宋体" w:eastAsia="宋体" w:cs="宋体"/>
          <w:sz w:val="21"/>
          <w:szCs w:val="21"/>
        </w:rPr>
        <w:t>处理解决并承担一切费用。</w:t>
      </w:r>
    </w:p>
    <w:p w14:paraId="586852D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5.6 质保期满后，如设备出现故障，乙方在接到甲方通知后，仍应在上述时间内响应，派人赶到甲方现场，免费帮助甲方排除故障、修复或者更换零部件；若需购买零部件，乙方可酌情收取成本费，但需免收上门费、人工费等费用。</w:t>
      </w:r>
    </w:p>
    <w:p w14:paraId="5C609D44">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六、调试和验收</w:t>
      </w:r>
    </w:p>
    <w:p w14:paraId="42C2385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6.1 乙方交货前应对货物全面检查并对验收文件进行整理，列出清单提交甲方，检验的结果亦应随货物交甲方。</w:t>
      </w:r>
    </w:p>
    <w:p w14:paraId="55AE415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6.2 甲方对乙方提供的货物在使用前进行调试时，乙方需负责安装并培训甲方的使用操作人员，并协助甲方一起调试，直到符合技术要求。</w:t>
      </w:r>
    </w:p>
    <w:p w14:paraId="40D91C7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6.3 在安装、调试和验收过程中，如发现有漏件、缺件，乙方应无条件、无偿补齐，所发生的一切费用，视为已包含在投标时的投标报价中，且并不因此而影响交付甲方使用的时间。</w:t>
      </w:r>
    </w:p>
    <w:p w14:paraId="1CCB845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6.4 甲方对乙方提</w:t>
      </w:r>
      <w:r>
        <w:rPr>
          <w:rFonts w:hint="eastAsia" w:ascii="宋体" w:hAnsi="宋体" w:eastAsia="宋体" w:cs="宋体"/>
          <w:sz w:val="21"/>
          <w:szCs w:val="21"/>
          <w:highlight w:val="none"/>
        </w:rPr>
        <w:t>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p>
    <w:p w14:paraId="63669A9C">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6.5 设备、材料安装、调试结束，甲、乙双方派员共同验收，达到验收标准则验收合格。验收完毕后出具验收结果报告并经双方签字确认；</w:t>
      </w:r>
      <w:r>
        <w:rPr>
          <w:rFonts w:hint="eastAsia" w:ascii="宋体" w:hAnsi="宋体" w:eastAsia="宋体" w:cs="宋体"/>
          <w:sz w:val="21"/>
          <w:szCs w:val="21"/>
        </w:rPr>
        <w:t>验收相关费用由乙方承担。</w:t>
      </w:r>
    </w:p>
    <w:p w14:paraId="1D2EDFD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6E9B988A">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七、技术资料</w:t>
      </w:r>
    </w:p>
    <w:p w14:paraId="0EE99291">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1"/>
        </w:rPr>
      </w:pPr>
      <w:r>
        <w:rPr>
          <w:rFonts w:hint="eastAsia" w:ascii="宋体" w:hAnsi="宋体" w:eastAsia="宋体" w:cs="宋体"/>
          <w:sz w:val="21"/>
          <w:szCs w:val="21"/>
        </w:rPr>
        <w:t>7.1乙方应按招标文件规定的时间向甲方提供使用货物的有关技术资料。</w:t>
      </w:r>
    </w:p>
    <w:p w14:paraId="2503B03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7.2 未经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045DEC26">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八、知识产权</w:t>
      </w:r>
    </w:p>
    <w:p w14:paraId="1C9BBA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31AD81A2">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九、违约责任</w:t>
      </w:r>
    </w:p>
    <w:p w14:paraId="3A274F1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9.1 乙方履约的前提下，甲方无正当理由拒收货物的，甲方向乙方偿付拒收货款总值的万分之五违约金。甲方未按合同规定的时间和要求向乙方提供相关安装条件，乙方交付时间顺延。</w:t>
      </w:r>
    </w:p>
    <w:p w14:paraId="2A5EF90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9.2 乙方履约的前提下，甲方无故迟延支付货款的,甲方应按逾期付款总额每日万分之五向乙方支付违约金。</w:t>
      </w:r>
    </w:p>
    <w:p w14:paraId="69A87F0A">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4CF60AF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0E8F0B66">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4A0B3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09B98618">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1C6010B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9.8 乙方履行义务不符合合同约定时，甲方有权扣减总货款的10%作为违约金。</w:t>
      </w:r>
    </w:p>
    <w:p w14:paraId="3CC026B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p>
    <w:p w14:paraId="442F69BA">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十、不可抗力事件处理</w:t>
      </w:r>
    </w:p>
    <w:p w14:paraId="526C9FB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10.1 在合同有效期内，任何一方因不可抗力事件导致不能履行合同，则合同履行期可延长，其延长期与不可</w:t>
      </w:r>
      <w:r>
        <w:rPr>
          <w:rFonts w:hint="eastAsia" w:ascii="宋体" w:hAnsi="宋体" w:eastAsia="宋体" w:cs="宋体"/>
          <w:sz w:val="21"/>
          <w:szCs w:val="21"/>
        </w:rPr>
        <w:t>抗力影响期相同。</w:t>
      </w:r>
    </w:p>
    <w:p w14:paraId="41C282EF">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10.2 不可抗力事件发生后，应立即通知对方，并寄送有关权威机构出具的证明。</w:t>
      </w:r>
    </w:p>
    <w:p w14:paraId="02A4C9A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10.3 不可抗力事件延续30天以上，双方应通过友好协商，确定是否继续履行合同。</w:t>
      </w:r>
    </w:p>
    <w:p w14:paraId="11D347A9">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十一、诉讼</w:t>
      </w:r>
    </w:p>
    <w:p w14:paraId="1DED5E5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60ADF670">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十二、合同生效及其它</w:t>
      </w:r>
    </w:p>
    <w:p w14:paraId="3575888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12.1招投标文件、中标通知书作为合同的附件，与本合同具有同等法律效力。合同经双方法定代表人或授权委托代表人签字、盖章后生效。</w:t>
      </w:r>
    </w:p>
    <w:p w14:paraId="6469B70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12.2本合同未尽事宜，遵照《中华人民共和国民法典》有关条文执行。</w:t>
      </w:r>
    </w:p>
    <w:p w14:paraId="30FED0D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12.3 本合同正本一式</w:t>
      </w:r>
      <w:r>
        <w:rPr>
          <w:rFonts w:hint="eastAsia" w:ascii="宋体" w:hAnsi="宋体" w:eastAsia="宋体" w:cs="宋体"/>
          <w:sz w:val="21"/>
          <w:szCs w:val="21"/>
          <w:u w:val="single"/>
        </w:rPr>
        <w:t xml:space="preserve">     </w:t>
      </w:r>
      <w:r>
        <w:rPr>
          <w:rFonts w:hint="eastAsia" w:ascii="宋体" w:hAnsi="宋体" w:eastAsia="宋体" w:cs="宋体"/>
          <w:sz w:val="21"/>
          <w:szCs w:val="21"/>
        </w:rPr>
        <w:t>份，甲方</w:t>
      </w:r>
      <w:r>
        <w:rPr>
          <w:rFonts w:hint="eastAsia" w:ascii="宋体" w:hAnsi="宋体" w:eastAsia="宋体" w:cs="宋体"/>
          <w:sz w:val="21"/>
          <w:szCs w:val="21"/>
          <w:u w:val="single"/>
        </w:rPr>
        <w:t xml:space="preserve">     </w:t>
      </w:r>
      <w:r>
        <w:rPr>
          <w:rFonts w:hint="eastAsia" w:ascii="宋体" w:hAnsi="宋体" w:eastAsia="宋体" w:cs="宋体"/>
          <w:sz w:val="21"/>
          <w:szCs w:val="21"/>
        </w:rPr>
        <w:t>份，乙方</w:t>
      </w:r>
      <w:r>
        <w:rPr>
          <w:rFonts w:hint="eastAsia" w:ascii="宋体" w:hAnsi="宋体" w:eastAsia="宋体" w:cs="宋体"/>
          <w:sz w:val="21"/>
          <w:szCs w:val="21"/>
          <w:u w:val="single"/>
        </w:rPr>
        <w:t xml:space="preserve">    </w:t>
      </w:r>
      <w:r>
        <w:rPr>
          <w:rFonts w:hint="eastAsia" w:ascii="宋体" w:hAnsi="宋体" w:eastAsia="宋体" w:cs="宋体"/>
          <w:sz w:val="21"/>
          <w:szCs w:val="21"/>
        </w:rPr>
        <w:t>份，具有同等法律效力。</w:t>
      </w:r>
    </w:p>
    <w:p w14:paraId="09B2C6E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12.4 其他：</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24A8E47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（以下无正文，为签字盖章处） </w:t>
      </w:r>
    </w:p>
    <w:p w14:paraId="67D10320">
      <w:pPr>
        <w:pStyle w:val="25"/>
        <w:spacing w:before="120" w:after="120" w:line="300" w:lineRule="auto"/>
        <w:rPr>
          <w:rFonts w:hint="eastAsia" w:ascii="宋体" w:hAnsi="宋体" w:eastAsia="宋体" w:cs="宋体"/>
          <w:sz w:val="21"/>
          <w:szCs w:val="21"/>
        </w:rPr>
      </w:pPr>
      <w:r>
        <w:rPr>
          <w:rFonts w:hint="eastAsia" w:ascii="宋体" w:hAnsi="宋体" w:eastAsia="宋体" w:cs="宋体"/>
          <w:sz w:val="21"/>
          <w:szCs w:val="21"/>
        </w:rPr>
        <w:t>甲方： 南京医科大学（盖章）                 乙方： （盖章）</w:t>
      </w:r>
    </w:p>
    <w:p w14:paraId="185E8330">
      <w:pPr>
        <w:pStyle w:val="25"/>
        <w:spacing w:before="120" w:after="120" w:line="300" w:lineRule="auto"/>
        <w:rPr>
          <w:rFonts w:hint="eastAsia" w:ascii="宋体" w:hAnsi="宋体" w:eastAsia="宋体" w:cs="宋体"/>
          <w:sz w:val="21"/>
          <w:szCs w:val="21"/>
        </w:rPr>
      </w:pPr>
      <w:r>
        <w:rPr>
          <w:rFonts w:hint="eastAsia" w:ascii="宋体" w:hAnsi="宋体" w:eastAsia="宋体" w:cs="宋体"/>
          <w:sz w:val="21"/>
          <w:szCs w:val="21"/>
        </w:rPr>
        <w:t xml:space="preserve">地址：南京市江宁区龙眠大道101号            地址： </w:t>
      </w:r>
    </w:p>
    <w:p w14:paraId="05B0A1CA">
      <w:pPr>
        <w:pStyle w:val="25"/>
        <w:spacing w:before="120" w:after="120" w:line="300" w:lineRule="auto"/>
        <w:rPr>
          <w:rFonts w:hint="eastAsia" w:ascii="宋体" w:hAnsi="宋体" w:eastAsia="宋体" w:cs="宋体"/>
          <w:sz w:val="21"/>
          <w:szCs w:val="21"/>
        </w:rPr>
      </w:pPr>
      <w:r>
        <w:rPr>
          <w:rFonts w:hint="eastAsia" w:ascii="宋体" w:hAnsi="宋体" w:eastAsia="宋体" w:cs="宋体"/>
          <w:sz w:val="21"/>
          <w:szCs w:val="21"/>
        </w:rPr>
        <w:t>法定代表人/授权代表：（签字）               法定代表人/授权代表：（签字）</w:t>
      </w:r>
    </w:p>
    <w:p w14:paraId="2392D0B5">
      <w:pPr>
        <w:pStyle w:val="25"/>
        <w:spacing w:before="120" w:after="120" w:line="300" w:lineRule="auto"/>
        <w:rPr>
          <w:rFonts w:hint="eastAsia" w:ascii="宋体" w:hAnsi="宋体" w:eastAsia="宋体" w:cs="宋体"/>
          <w:sz w:val="21"/>
          <w:szCs w:val="21"/>
        </w:rPr>
      </w:pPr>
      <w:r>
        <w:rPr>
          <w:rFonts w:hint="eastAsia" w:ascii="宋体" w:hAnsi="宋体" w:eastAsia="宋体" w:cs="宋体"/>
          <w:sz w:val="21"/>
          <w:szCs w:val="21"/>
        </w:rPr>
        <w:t>签订日期：   年    月    日                 签订日期：   年    月    日</w:t>
      </w:r>
    </w:p>
    <w:p w14:paraId="5010572A">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br w:type="page"/>
      </w:r>
    </w:p>
    <w:p w14:paraId="70F0991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bCs/>
          <w:sz w:val="21"/>
          <w:szCs w:val="21"/>
          <w:lang w:val="zh-CN" w:eastAsia="zh-CN"/>
        </w:rPr>
      </w:pPr>
      <w:r>
        <w:rPr>
          <w:rFonts w:hint="eastAsia" w:ascii="宋体" w:hAnsi="宋体" w:eastAsia="宋体" w:cs="宋体"/>
          <w:b/>
          <w:bCs/>
          <w:sz w:val="21"/>
          <w:szCs w:val="21"/>
          <w:lang w:val="en-US" w:eastAsia="zh-CN"/>
        </w:rPr>
        <w:t>附件1：分项报价表</w:t>
      </w:r>
    </w:p>
    <w:tbl>
      <w:tblPr>
        <w:tblStyle w:val="47"/>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292"/>
        <w:gridCol w:w="773"/>
        <w:gridCol w:w="776"/>
        <w:gridCol w:w="773"/>
        <w:gridCol w:w="1294"/>
        <w:gridCol w:w="1299"/>
        <w:gridCol w:w="1294"/>
      </w:tblGrid>
      <w:tr w14:paraId="639E4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466" w:type="pct"/>
            <w:tcBorders>
              <w:top w:val="single" w:color="auto" w:sz="4" w:space="0"/>
              <w:left w:val="single" w:color="auto" w:sz="4" w:space="0"/>
              <w:bottom w:val="single" w:color="auto" w:sz="4" w:space="0"/>
              <w:right w:val="single" w:color="auto" w:sz="4" w:space="0"/>
            </w:tcBorders>
            <w:vAlign w:val="center"/>
          </w:tcPr>
          <w:p w14:paraId="27E9D823">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781" w:type="pct"/>
            <w:tcBorders>
              <w:top w:val="single" w:color="auto" w:sz="4" w:space="0"/>
              <w:left w:val="single" w:color="auto" w:sz="4" w:space="0"/>
              <w:bottom w:val="single" w:color="auto" w:sz="4" w:space="0"/>
              <w:right w:val="single" w:color="auto" w:sz="4" w:space="0"/>
            </w:tcBorders>
            <w:vAlign w:val="center"/>
          </w:tcPr>
          <w:p w14:paraId="0F92C26E">
            <w:pPr>
              <w:jc w:val="center"/>
              <w:rPr>
                <w:rFonts w:hint="eastAsia" w:ascii="宋体" w:hAnsi="宋体" w:eastAsia="宋体" w:cs="宋体"/>
                <w:sz w:val="21"/>
                <w:szCs w:val="21"/>
              </w:rPr>
            </w:pPr>
            <w:r>
              <w:rPr>
                <w:rFonts w:hint="eastAsia" w:ascii="宋体" w:hAnsi="宋体" w:eastAsia="宋体" w:cs="宋体"/>
                <w:sz w:val="21"/>
                <w:szCs w:val="21"/>
              </w:rPr>
              <w:t>标的名称</w:t>
            </w:r>
          </w:p>
        </w:tc>
        <w:tc>
          <w:tcPr>
            <w:tcW w:w="467" w:type="pct"/>
            <w:tcBorders>
              <w:top w:val="single" w:color="auto" w:sz="4" w:space="0"/>
              <w:left w:val="single" w:color="auto" w:sz="4" w:space="0"/>
              <w:bottom w:val="single" w:color="auto" w:sz="4" w:space="0"/>
              <w:right w:val="single" w:color="auto" w:sz="4" w:space="0"/>
            </w:tcBorders>
            <w:vAlign w:val="center"/>
          </w:tcPr>
          <w:p w14:paraId="00C305CE">
            <w:pPr>
              <w:jc w:val="center"/>
              <w:rPr>
                <w:rFonts w:hint="eastAsia" w:ascii="宋体" w:hAnsi="宋体" w:eastAsia="宋体" w:cs="宋体"/>
                <w:sz w:val="21"/>
                <w:szCs w:val="21"/>
              </w:rPr>
            </w:pPr>
            <w:r>
              <w:rPr>
                <w:rFonts w:hint="eastAsia" w:ascii="宋体" w:hAnsi="宋体" w:eastAsia="宋体" w:cs="宋体"/>
                <w:sz w:val="21"/>
                <w:szCs w:val="21"/>
              </w:rPr>
              <w:t>数量</w:t>
            </w:r>
          </w:p>
        </w:tc>
        <w:tc>
          <w:tcPr>
            <w:tcW w:w="469" w:type="pct"/>
            <w:tcBorders>
              <w:top w:val="single" w:color="auto" w:sz="4" w:space="0"/>
              <w:left w:val="single" w:color="auto" w:sz="4" w:space="0"/>
              <w:bottom w:val="single" w:color="auto" w:sz="4" w:space="0"/>
              <w:right w:val="single" w:color="auto" w:sz="4" w:space="0"/>
            </w:tcBorders>
            <w:vAlign w:val="center"/>
          </w:tcPr>
          <w:p w14:paraId="1987D328">
            <w:pPr>
              <w:jc w:val="center"/>
              <w:rPr>
                <w:rFonts w:hint="eastAsia" w:ascii="宋体" w:hAnsi="宋体" w:eastAsia="宋体" w:cs="宋体"/>
                <w:sz w:val="21"/>
                <w:szCs w:val="21"/>
              </w:rPr>
            </w:pPr>
            <w:r>
              <w:rPr>
                <w:rFonts w:hint="eastAsia" w:ascii="宋体" w:hAnsi="宋体" w:eastAsia="宋体" w:cs="宋体"/>
                <w:sz w:val="21"/>
                <w:szCs w:val="21"/>
              </w:rPr>
              <w:t>单位</w:t>
            </w:r>
          </w:p>
        </w:tc>
        <w:tc>
          <w:tcPr>
            <w:tcW w:w="467" w:type="pct"/>
            <w:tcBorders>
              <w:top w:val="single" w:color="auto" w:sz="4" w:space="0"/>
              <w:left w:val="single" w:color="auto" w:sz="4" w:space="0"/>
              <w:bottom w:val="single" w:color="auto" w:sz="4" w:space="0"/>
              <w:right w:val="single" w:color="auto" w:sz="4" w:space="0"/>
            </w:tcBorders>
            <w:vAlign w:val="center"/>
          </w:tcPr>
          <w:p w14:paraId="3CE52CCD">
            <w:pPr>
              <w:jc w:val="center"/>
              <w:rPr>
                <w:rFonts w:hint="eastAsia" w:ascii="宋体" w:hAnsi="宋体" w:eastAsia="宋体" w:cs="宋体"/>
                <w:sz w:val="21"/>
                <w:szCs w:val="21"/>
              </w:rPr>
            </w:pPr>
            <w:r>
              <w:rPr>
                <w:rFonts w:hint="eastAsia" w:ascii="宋体" w:hAnsi="宋体" w:eastAsia="宋体" w:cs="宋体"/>
                <w:sz w:val="21"/>
                <w:szCs w:val="21"/>
              </w:rPr>
              <w:t>品牌</w:t>
            </w:r>
          </w:p>
        </w:tc>
        <w:tc>
          <w:tcPr>
            <w:tcW w:w="782" w:type="pct"/>
            <w:tcBorders>
              <w:top w:val="single" w:color="auto" w:sz="4" w:space="0"/>
              <w:left w:val="single" w:color="auto" w:sz="4" w:space="0"/>
              <w:bottom w:val="single" w:color="auto" w:sz="4" w:space="0"/>
              <w:right w:val="single" w:color="auto" w:sz="4" w:space="0"/>
            </w:tcBorders>
            <w:vAlign w:val="center"/>
          </w:tcPr>
          <w:p w14:paraId="7CC0C2D8">
            <w:pPr>
              <w:jc w:val="center"/>
              <w:rPr>
                <w:rFonts w:hint="eastAsia" w:ascii="宋体" w:hAnsi="宋体" w:eastAsia="宋体" w:cs="宋体"/>
                <w:sz w:val="21"/>
                <w:szCs w:val="21"/>
              </w:rPr>
            </w:pPr>
            <w:r>
              <w:rPr>
                <w:rFonts w:hint="eastAsia" w:ascii="宋体" w:hAnsi="宋体" w:eastAsia="宋体" w:cs="宋体"/>
                <w:sz w:val="21"/>
                <w:szCs w:val="21"/>
              </w:rPr>
              <w:t>规格型号</w:t>
            </w:r>
          </w:p>
        </w:tc>
        <w:tc>
          <w:tcPr>
            <w:tcW w:w="782" w:type="pct"/>
            <w:tcBorders>
              <w:top w:val="single" w:color="auto" w:sz="4" w:space="0"/>
              <w:left w:val="single" w:color="auto" w:sz="4" w:space="0"/>
              <w:bottom w:val="single" w:color="auto" w:sz="4" w:space="0"/>
              <w:right w:val="single" w:color="auto" w:sz="4" w:space="0"/>
            </w:tcBorders>
            <w:vAlign w:val="center"/>
          </w:tcPr>
          <w:p w14:paraId="4B345E38">
            <w:pPr>
              <w:jc w:val="center"/>
              <w:rPr>
                <w:rFonts w:hint="eastAsia" w:ascii="宋体" w:hAnsi="宋体" w:eastAsia="宋体" w:cs="宋体"/>
                <w:sz w:val="21"/>
                <w:szCs w:val="21"/>
              </w:rPr>
            </w:pPr>
            <w:r>
              <w:rPr>
                <w:rFonts w:hint="eastAsia" w:ascii="宋体" w:hAnsi="宋体" w:eastAsia="宋体" w:cs="宋体"/>
                <w:sz w:val="21"/>
                <w:szCs w:val="21"/>
              </w:rPr>
              <w:t>单价</w:t>
            </w:r>
          </w:p>
          <w:p w14:paraId="3310E94B">
            <w:pPr>
              <w:jc w:val="center"/>
              <w:rPr>
                <w:rFonts w:hint="eastAsia" w:ascii="宋体" w:hAnsi="宋体" w:eastAsia="宋体" w:cs="宋体"/>
                <w:sz w:val="21"/>
                <w:szCs w:val="21"/>
              </w:rPr>
            </w:pPr>
            <w:r>
              <w:rPr>
                <w:rFonts w:hint="eastAsia" w:ascii="宋体" w:hAnsi="宋体" w:eastAsia="宋体" w:cs="宋体"/>
                <w:sz w:val="21"/>
                <w:szCs w:val="21"/>
              </w:rPr>
              <w:t>（万元）</w:t>
            </w:r>
          </w:p>
        </w:tc>
        <w:tc>
          <w:tcPr>
            <w:tcW w:w="782" w:type="pct"/>
            <w:tcBorders>
              <w:top w:val="single" w:color="auto" w:sz="4" w:space="0"/>
              <w:left w:val="single" w:color="auto" w:sz="4" w:space="0"/>
              <w:bottom w:val="single" w:color="auto" w:sz="4" w:space="0"/>
              <w:right w:val="single" w:color="auto" w:sz="4" w:space="0"/>
            </w:tcBorders>
            <w:vAlign w:val="center"/>
          </w:tcPr>
          <w:p w14:paraId="13C9D021">
            <w:pPr>
              <w:jc w:val="center"/>
              <w:rPr>
                <w:rFonts w:hint="eastAsia" w:ascii="宋体" w:hAnsi="宋体" w:eastAsia="宋体" w:cs="宋体"/>
                <w:sz w:val="21"/>
                <w:szCs w:val="21"/>
              </w:rPr>
            </w:pPr>
            <w:r>
              <w:rPr>
                <w:rFonts w:hint="eastAsia" w:ascii="宋体" w:hAnsi="宋体" w:eastAsia="宋体" w:cs="宋体"/>
                <w:sz w:val="21"/>
                <w:szCs w:val="21"/>
              </w:rPr>
              <w:t>总价</w:t>
            </w:r>
          </w:p>
          <w:p w14:paraId="2F684457">
            <w:pPr>
              <w:jc w:val="center"/>
              <w:rPr>
                <w:rFonts w:hint="eastAsia" w:ascii="宋体" w:hAnsi="宋体" w:eastAsia="宋体" w:cs="宋体"/>
                <w:sz w:val="21"/>
                <w:szCs w:val="21"/>
              </w:rPr>
            </w:pPr>
            <w:r>
              <w:rPr>
                <w:rFonts w:hint="eastAsia" w:ascii="宋体" w:hAnsi="宋体" w:eastAsia="宋体" w:cs="宋体"/>
                <w:sz w:val="21"/>
                <w:szCs w:val="21"/>
              </w:rPr>
              <w:t>（万元）</w:t>
            </w:r>
          </w:p>
        </w:tc>
      </w:tr>
      <w:tr w14:paraId="4202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66" w:type="pct"/>
            <w:tcBorders>
              <w:top w:val="single" w:color="auto" w:sz="4" w:space="0"/>
              <w:left w:val="single" w:color="auto" w:sz="4" w:space="0"/>
              <w:bottom w:val="single" w:color="auto" w:sz="4" w:space="0"/>
              <w:right w:val="single" w:color="auto" w:sz="4" w:space="0"/>
            </w:tcBorders>
            <w:vAlign w:val="center"/>
          </w:tcPr>
          <w:p w14:paraId="4DB1FC52">
            <w:pPr>
              <w:jc w:val="center"/>
              <w:rPr>
                <w:rFonts w:hint="eastAsia" w:ascii="宋体" w:hAnsi="宋体" w:eastAsia="宋体" w:cs="宋体"/>
                <w:sz w:val="21"/>
                <w:szCs w:val="21"/>
              </w:rPr>
            </w:pPr>
          </w:p>
        </w:tc>
        <w:tc>
          <w:tcPr>
            <w:tcW w:w="781" w:type="pct"/>
            <w:tcBorders>
              <w:top w:val="single" w:color="auto" w:sz="4" w:space="0"/>
              <w:left w:val="single" w:color="auto" w:sz="4" w:space="0"/>
              <w:bottom w:val="single" w:color="auto" w:sz="4" w:space="0"/>
              <w:right w:val="single" w:color="auto" w:sz="4" w:space="0"/>
            </w:tcBorders>
            <w:vAlign w:val="center"/>
          </w:tcPr>
          <w:p w14:paraId="7BE65DE9">
            <w:pPr>
              <w:jc w:val="center"/>
              <w:rPr>
                <w:rFonts w:hint="eastAsia" w:ascii="宋体" w:hAnsi="宋体" w:eastAsia="宋体" w:cs="宋体"/>
                <w:sz w:val="21"/>
                <w:szCs w:val="21"/>
              </w:rPr>
            </w:pPr>
          </w:p>
        </w:tc>
        <w:tc>
          <w:tcPr>
            <w:tcW w:w="467" w:type="pct"/>
            <w:tcBorders>
              <w:top w:val="single" w:color="auto" w:sz="4" w:space="0"/>
              <w:left w:val="single" w:color="auto" w:sz="4" w:space="0"/>
              <w:bottom w:val="single" w:color="auto" w:sz="4" w:space="0"/>
              <w:right w:val="single" w:color="auto" w:sz="4" w:space="0"/>
            </w:tcBorders>
            <w:vAlign w:val="center"/>
          </w:tcPr>
          <w:p w14:paraId="43D75B84">
            <w:pPr>
              <w:jc w:val="center"/>
              <w:rPr>
                <w:rFonts w:hint="eastAsia" w:ascii="宋体" w:hAnsi="宋体" w:eastAsia="宋体" w:cs="宋体"/>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2C75F354">
            <w:pPr>
              <w:jc w:val="center"/>
              <w:rPr>
                <w:rFonts w:hint="eastAsia" w:ascii="宋体" w:hAnsi="宋体" w:eastAsia="宋体" w:cs="宋体"/>
                <w:sz w:val="21"/>
                <w:szCs w:val="21"/>
              </w:rPr>
            </w:pPr>
          </w:p>
        </w:tc>
        <w:tc>
          <w:tcPr>
            <w:tcW w:w="467" w:type="pct"/>
            <w:tcBorders>
              <w:top w:val="single" w:color="auto" w:sz="4" w:space="0"/>
              <w:left w:val="single" w:color="auto" w:sz="4" w:space="0"/>
              <w:bottom w:val="single" w:color="auto" w:sz="4" w:space="0"/>
              <w:right w:val="single" w:color="auto" w:sz="4" w:space="0"/>
            </w:tcBorders>
            <w:vAlign w:val="center"/>
          </w:tcPr>
          <w:p w14:paraId="14E674D1">
            <w:pPr>
              <w:jc w:val="center"/>
              <w:rPr>
                <w:rFonts w:hint="eastAsia" w:ascii="宋体" w:hAnsi="宋体" w:eastAsia="宋体" w:cs="宋体"/>
                <w:sz w:val="21"/>
                <w:szCs w:val="21"/>
              </w:rPr>
            </w:pPr>
          </w:p>
        </w:tc>
        <w:tc>
          <w:tcPr>
            <w:tcW w:w="782" w:type="pct"/>
            <w:tcBorders>
              <w:top w:val="single" w:color="auto" w:sz="4" w:space="0"/>
              <w:left w:val="single" w:color="auto" w:sz="4" w:space="0"/>
              <w:bottom w:val="single" w:color="auto" w:sz="4" w:space="0"/>
              <w:right w:val="single" w:color="auto" w:sz="4" w:space="0"/>
            </w:tcBorders>
            <w:vAlign w:val="center"/>
          </w:tcPr>
          <w:p w14:paraId="08579F31">
            <w:pPr>
              <w:jc w:val="center"/>
              <w:rPr>
                <w:rFonts w:hint="eastAsia" w:ascii="宋体" w:hAnsi="宋体" w:eastAsia="宋体" w:cs="宋体"/>
                <w:sz w:val="21"/>
                <w:szCs w:val="21"/>
                <w:highlight w:val="green"/>
              </w:rPr>
            </w:pPr>
          </w:p>
        </w:tc>
        <w:tc>
          <w:tcPr>
            <w:tcW w:w="782" w:type="pct"/>
            <w:tcBorders>
              <w:top w:val="single" w:color="auto" w:sz="4" w:space="0"/>
              <w:left w:val="single" w:color="auto" w:sz="4" w:space="0"/>
              <w:bottom w:val="single" w:color="auto" w:sz="4" w:space="0"/>
              <w:right w:val="single" w:color="auto" w:sz="4" w:space="0"/>
            </w:tcBorders>
            <w:vAlign w:val="center"/>
          </w:tcPr>
          <w:p w14:paraId="769C8517">
            <w:pPr>
              <w:jc w:val="center"/>
              <w:rPr>
                <w:rFonts w:hint="eastAsia" w:ascii="宋体" w:hAnsi="宋体" w:eastAsia="宋体" w:cs="宋体"/>
                <w:sz w:val="21"/>
                <w:szCs w:val="21"/>
                <w:highlight w:val="green"/>
              </w:rPr>
            </w:pPr>
          </w:p>
        </w:tc>
        <w:tc>
          <w:tcPr>
            <w:tcW w:w="782" w:type="pct"/>
            <w:tcBorders>
              <w:top w:val="single" w:color="auto" w:sz="4" w:space="0"/>
              <w:left w:val="single" w:color="auto" w:sz="4" w:space="0"/>
              <w:bottom w:val="single" w:color="auto" w:sz="4" w:space="0"/>
              <w:right w:val="single" w:color="auto" w:sz="4" w:space="0"/>
            </w:tcBorders>
            <w:vAlign w:val="center"/>
          </w:tcPr>
          <w:p w14:paraId="15BF192F">
            <w:pPr>
              <w:jc w:val="center"/>
              <w:rPr>
                <w:rFonts w:hint="eastAsia" w:ascii="宋体" w:hAnsi="宋体" w:eastAsia="宋体" w:cs="宋体"/>
                <w:sz w:val="21"/>
                <w:szCs w:val="21"/>
                <w:highlight w:val="green"/>
              </w:rPr>
            </w:pPr>
          </w:p>
        </w:tc>
      </w:tr>
      <w:tr w14:paraId="7BC3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217" w:type="pct"/>
            <w:gridSpan w:val="7"/>
            <w:tcBorders>
              <w:top w:val="single" w:color="auto" w:sz="4" w:space="0"/>
              <w:left w:val="single" w:color="auto" w:sz="4" w:space="0"/>
              <w:bottom w:val="single" w:color="auto" w:sz="4" w:space="0"/>
              <w:right w:val="single" w:color="auto" w:sz="4" w:space="0"/>
            </w:tcBorders>
            <w:vAlign w:val="center"/>
          </w:tcPr>
          <w:p w14:paraId="2456171E">
            <w:pPr>
              <w:jc w:val="center"/>
              <w:rPr>
                <w:rFonts w:hint="eastAsia" w:ascii="宋体" w:hAnsi="宋体" w:eastAsia="宋体" w:cs="宋体"/>
                <w:sz w:val="21"/>
                <w:szCs w:val="21"/>
                <w:highlight w:val="green"/>
              </w:rPr>
            </w:pPr>
            <w:r>
              <w:rPr>
                <w:rFonts w:hint="eastAsia" w:ascii="宋体" w:hAnsi="宋体" w:eastAsia="宋体" w:cs="宋体"/>
                <w:sz w:val="21"/>
                <w:szCs w:val="21"/>
              </w:rPr>
              <w:t>合计</w:t>
            </w:r>
          </w:p>
        </w:tc>
        <w:tc>
          <w:tcPr>
            <w:tcW w:w="782" w:type="pct"/>
            <w:tcBorders>
              <w:top w:val="single" w:color="auto" w:sz="4" w:space="0"/>
              <w:left w:val="single" w:color="auto" w:sz="4" w:space="0"/>
              <w:bottom w:val="single" w:color="auto" w:sz="4" w:space="0"/>
              <w:right w:val="single" w:color="auto" w:sz="4" w:space="0"/>
            </w:tcBorders>
            <w:vAlign w:val="center"/>
          </w:tcPr>
          <w:p w14:paraId="1C40BC30">
            <w:pPr>
              <w:jc w:val="center"/>
              <w:rPr>
                <w:rFonts w:hint="eastAsia" w:ascii="宋体" w:hAnsi="宋体" w:eastAsia="宋体" w:cs="宋体"/>
                <w:sz w:val="21"/>
                <w:szCs w:val="21"/>
                <w:highlight w:val="green"/>
              </w:rPr>
            </w:pPr>
          </w:p>
        </w:tc>
      </w:tr>
    </w:tbl>
    <w:p w14:paraId="39569036">
      <w:pPr>
        <w:rPr>
          <w:rFonts w:hint="eastAsia" w:ascii="宋体" w:hAnsi="宋体" w:eastAsia="宋体" w:cs="宋体"/>
          <w:sz w:val="21"/>
          <w:szCs w:val="21"/>
        </w:rPr>
      </w:pPr>
    </w:p>
    <w:p w14:paraId="513F1F7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lang w:val="en-US" w:eastAsia="zh-CN"/>
        </w:rPr>
      </w:pPr>
    </w:p>
    <w:p w14:paraId="4DC97FD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lang w:val="en-US" w:eastAsia="zh-CN"/>
        </w:rPr>
      </w:pPr>
    </w:p>
    <w:p w14:paraId="7C43446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lang w:val="en-US" w:eastAsia="zh-CN"/>
        </w:rPr>
      </w:pPr>
    </w:p>
    <w:p w14:paraId="3C61261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lang w:val="en-US" w:eastAsia="zh-CN"/>
        </w:rPr>
      </w:pPr>
    </w:p>
    <w:p w14:paraId="5B210BD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附件2：货物配置清单</w:t>
      </w:r>
    </w:p>
    <w:p w14:paraId="2E0B55D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br w:type="page"/>
      </w:r>
    </w:p>
    <w:p w14:paraId="0B74C6B5">
      <w:pPr>
        <w:pStyle w:val="22"/>
        <w:ind w:left="0" w:leftChars="0"/>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附件3：履约保证金退还申请单</w:t>
      </w:r>
    </w:p>
    <w:p w14:paraId="7124F110">
      <w:pPr>
        <w:spacing w:line="480" w:lineRule="auto"/>
        <w:rPr>
          <w:rFonts w:hint="eastAsia" w:ascii="宋体" w:hAnsi="宋体" w:eastAsia="宋体" w:cs="宋体"/>
          <w:kern w:val="1"/>
          <w:sz w:val="21"/>
          <w:szCs w:val="21"/>
        </w:rPr>
      </w:pPr>
      <w:r>
        <w:rPr>
          <w:rFonts w:hint="eastAsia" w:ascii="宋体" w:hAnsi="宋体" w:eastAsia="宋体" w:cs="宋体"/>
          <w:kern w:val="1"/>
          <w:sz w:val="21"/>
          <w:szCs w:val="21"/>
        </w:rPr>
        <w:t xml:space="preserve">制表单位：                                               </w:t>
      </w:r>
    </w:p>
    <w:tbl>
      <w:tblPr>
        <w:tblStyle w:val="47"/>
        <w:tblW w:w="5000" w:type="pct"/>
        <w:tblInd w:w="0" w:type="dxa"/>
        <w:tblLayout w:type="autofit"/>
        <w:tblCellMar>
          <w:top w:w="0" w:type="dxa"/>
          <w:left w:w="108" w:type="dxa"/>
          <w:bottom w:w="0" w:type="dxa"/>
          <w:right w:w="108" w:type="dxa"/>
        </w:tblCellMar>
      </w:tblPr>
      <w:tblGrid>
        <w:gridCol w:w="2558"/>
        <w:gridCol w:w="5741"/>
      </w:tblGrid>
      <w:tr w14:paraId="37320520">
        <w:tblPrEx>
          <w:tblCellMar>
            <w:top w:w="0" w:type="dxa"/>
            <w:left w:w="108" w:type="dxa"/>
            <w:bottom w:w="0" w:type="dxa"/>
            <w:right w:w="108" w:type="dxa"/>
          </w:tblCellMar>
        </w:tblPrEx>
        <w:trPr>
          <w:trHeight w:val="759" w:hRule="atLeast"/>
        </w:trPr>
        <w:tc>
          <w:tcPr>
            <w:tcW w:w="5000" w:type="pct"/>
            <w:gridSpan w:val="2"/>
            <w:tcBorders>
              <w:top w:val="single" w:color="000000" w:sz="4" w:space="0"/>
              <w:left w:val="single" w:color="000000" w:sz="4" w:space="0"/>
              <w:bottom w:val="single" w:color="000000" w:sz="4" w:space="0"/>
              <w:right w:val="single" w:color="000000" w:sz="4" w:space="0"/>
            </w:tcBorders>
            <w:noWrap w:val="0"/>
            <w:vAlign w:val="center"/>
          </w:tcPr>
          <w:p w14:paraId="50303B62">
            <w:pPr>
              <w:jc w:val="center"/>
              <w:rPr>
                <w:rFonts w:hint="eastAsia" w:ascii="宋体" w:hAnsi="宋体" w:eastAsia="宋体" w:cs="宋体"/>
                <w:kern w:val="1"/>
                <w:sz w:val="21"/>
                <w:szCs w:val="21"/>
              </w:rPr>
            </w:pPr>
            <w:r>
              <w:rPr>
                <w:rFonts w:hint="eastAsia" w:ascii="宋体" w:hAnsi="宋体" w:eastAsia="宋体" w:cs="宋体"/>
                <w:kern w:val="1"/>
                <w:sz w:val="21"/>
                <w:szCs w:val="21"/>
              </w:rPr>
              <w:t>南京医科大学履约保证金退还申请单</w:t>
            </w:r>
          </w:p>
        </w:tc>
      </w:tr>
      <w:tr w14:paraId="77A68EE5">
        <w:tblPrEx>
          <w:tblCellMar>
            <w:top w:w="0" w:type="dxa"/>
            <w:left w:w="108" w:type="dxa"/>
            <w:bottom w:w="0" w:type="dxa"/>
            <w:right w:w="108" w:type="dxa"/>
          </w:tblCellMar>
        </w:tblPrEx>
        <w:trPr>
          <w:trHeight w:val="549" w:hRule="atLeast"/>
        </w:trPr>
        <w:tc>
          <w:tcPr>
            <w:tcW w:w="1541" w:type="pct"/>
            <w:tcBorders>
              <w:top w:val="single" w:color="000000" w:sz="4" w:space="0"/>
              <w:left w:val="single" w:color="000000" w:sz="4" w:space="0"/>
              <w:bottom w:val="single" w:color="000000" w:sz="4" w:space="0"/>
              <w:right w:val="single" w:color="000000" w:sz="4" w:space="0"/>
            </w:tcBorders>
            <w:noWrap w:val="0"/>
            <w:vAlign w:val="center"/>
          </w:tcPr>
          <w:p w14:paraId="380C255E">
            <w:pPr>
              <w:jc w:val="center"/>
              <w:rPr>
                <w:rFonts w:hint="eastAsia" w:ascii="宋体" w:hAnsi="宋体" w:eastAsia="宋体" w:cs="宋体"/>
                <w:kern w:val="1"/>
                <w:sz w:val="21"/>
                <w:szCs w:val="21"/>
              </w:rPr>
            </w:pPr>
            <w:r>
              <w:rPr>
                <w:rFonts w:hint="eastAsia" w:ascii="宋体" w:hAnsi="宋体" w:eastAsia="宋体" w:cs="宋体"/>
                <w:kern w:val="1"/>
                <w:sz w:val="21"/>
                <w:szCs w:val="21"/>
              </w:rPr>
              <w:t>采购项目</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541B5FC7">
            <w:pPr>
              <w:rPr>
                <w:rFonts w:hint="eastAsia" w:ascii="宋体" w:hAnsi="宋体" w:eastAsia="宋体" w:cs="宋体"/>
                <w:kern w:val="1"/>
                <w:sz w:val="21"/>
                <w:szCs w:val="21"/>
              </w:rPr>
            </w:pPr>
          </w:p>
        </w:tc>
      </w:tr>
      <w:tr w14:paraId="71F99EE3">
        <w:tblPrEx>
          <w:tblCellMar>
            <w:top w:w="0" w:type="dxa"/>
            <w:left w:w="108" w:type="dxa"/>
            <w:bottom w:w="0" w:type="dxa"/>
            <w:right w:w="108" w:type="dxa"/>
          </w:tblCellMar>
        </w:tblPrEx>
        <w:trPr>
          <w:trHeight w:val="630" w:hRule="atLeast"/>
        </w:trPr>
        <w:tc>
          <w:tcPr>
            <w:tcW w:w="1541" w:type="pct"/>
            <w:tcBorders>
              <w:top w:val="single" w:color="000000" w:sz="4" w:space="0"/>
              <w:left w:val="single" w:color="000000" w:sz="4" w:space="0"/>
              <w:bottom w:val="single" w:color="000000" w:sz="4" w:space="0"/>
              <w:right w:val="single" w:color="000000" w:sz="4" w:space="0"/>
            </w:tcBorders>
            <w:noWrap w:val="0"/>
            <w:vAlign w:val="center"/>
          </w:tcPr>
          <w:p w14:paraId="61A7AD2D">
            <w:pPr>
              <w:jc w:val="center"/>
              <w:rPr>
                <w:rFonts w:hint="eastAsia" w:ascii="宋体" w:hAnsi="宋体" w:eastAsia="宋体" w:cs="宋体"/>
                <w:kern w:val="1"/>
                <w:sz w:val="21"/>
                <w:szCs w:val="21"/>
              </w:rPr>
            </w:pPr>
            <w:r>
              <w:rPr>
                <w:rFonts w:hint="eastAsia" w:ascii="宋体" w:hAnsi="宋体" w:eastAsia="宋体" w:cs="宋体"/>
                <w:kern w:val="1"/>
                <w:sz w:val="21"/>
                <w:szCs w:val="21"/>
              </w:rPr>
              <w:t>合同编号</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00C2FC62">
            <w:pPr>
              <w:rPr>
                <w:rFonts w:hint="eastAsia" w:ascii="宋体" w:hAnsi="宋体" w:eastAsia="宋体" w:cs="宋体"/>
                <w:kern w:val="1"/>
                <w:sz w:val="21"/>
                <w:szCs w:val="21"/>
              </w:rPr>
            </w:pPr>
          </w:p>
        </w:tc>
      </w:tr>
      <w:tr w14:paraId="40AACE94">
        <w:tblPrEx>
          <w:tblCellMar>
            <w:top w:w="0" w:type="dxa"/>
            <w:left w:w="108" w:type="dxa"/>
            <w:bottom w:w="0" w:type="dxa"/>
            <w:right w:w="108" w:type="dxa"/>
          </w:tblCellMar>
        </w:tblPrEx>
        <w:trPr>
          <w:trHeight w:val="928" w:hRule="atLeast"/>
        </w:trPr>
        <w:tc>
          <w:tcPr>
            <w:tcW w:w="1541" w:type="pct"/>
            <w:vMerge w:val="restart"/>
            <w:tcBorders>
              <w:top w:val="single" w:color="000000" w:sz="4" w:space="0"/>
              <w:left w:val="single" w:color="000000" w:sz="4" w:space="0"/>
              <w:bottom w:val="single" w:color="000000" w:sz="4" w:space="0"/>
              <w:right w:val="single" w:color="000000" w:sz="4" w:space="0"/>
            </w:tcBorders>
            <w:noWrap w:val="0"/>
            <w:vAlign w:val="center"/>
          </w:tcPr>
          <w:p w14:paraId="65A69B97">
            <w:pPr>
              <w:jc w:val="center"/>
              <w:rPr>
                <w:rFonts w:hint="eastAsia" w:ascii="宋体" w:hAnsi="宋体" w:eastAsia="宋体" w:cs="宋体"/>
                <w:kern w:val="1"/>
                <w:sz w:val="21"/>
                <w:szCs w:val="21"/>
              </w:rPr>
            </w:pPr>
            <w:r>
              <w:rPr>
                <w:rFonts w:hint="eastAsia" w:ascii="宋体" w:hAnsi="宋体" w:eastAsia="宋体" w:cs="宋体"/>
                <w:kern w:val="1"/>
                <w:sz w:val="21"/>
                <w:szCs w:val="21"/>
              </w:rPr>
              <w:t>合同总货款</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5719750B">
            <w:pPr>
              <w:rPr>
                <w:rFonts w:hint="eastAsia" w:ascii="宋体" w:hAnsi="宋体" w:eastAsia="宋体" w:cs="宋体"/>
                <w:kern w:val="1"/>
                <w:sz w:val="21"/>
                <w:szCs w:val="21"/>
              </w:rPr>
            </w:pPr>
            <w:r>
              <w:rPr>
                <w:rFonts w:hint="eastAsia" w:ascii="宋体" w:hAnsi="宋体" w:eastAsia="宋体" w:cs="宋体"/>
                <w:kern w:val="1"/>
                <w:sz w:val="21"/>
                <w:szCs w:val="21"/>
              </w:rPr>
              <w:t>人民币：             元</w:t>
            </w:r>
          </w:p>
        </w:tc>
      </w:tr>
      <w:tr w14:paraId="086BDFA3">
        <w:tblPrEx>
          <w:tblCellMar>
            <w:top w:w="0" w:type="dxa"/>
            <w:left w:w="108" w:type="dxa"/>
            <w:bottom w:w="0" w:type="dxa"/>
            <w:right w:w="108" w:type="dxa"/>
          </w:tblCellMar>
        </w:tblPrEx>
        <w:trPr>
          <w:trHeight w:val="869" w:hRule="atLeast"/>
        </w:trPr>
        <w:tc>
          <w:tcPr>
            <w:tcW w:w="1541" w:type="pct"/>
            <w:tcBorders>
              <w:top w:val="single" w:color="000000" w:sz="4" w:space="0"/>
              <w:left w:val="single" w:color="000000" w:sz="4" w:space="0"/>
              <w:bottom w:val="single" w:color="000000" w:sz="4" w:space="0"/>
              <w:right w:val="single" w:color="000000" w:sz="4" w:space="0"/>
            </w:tcBorders>
            <w:noWrap w:val="0"/>
            <w:vAlign w:val="center"/>
          </w:tcPr>
          <w:p w14:paraId="4BB29CA6">
            <w:pPr>
              <w:jc w:val="center"/>
              <w:rPr>
                <w:rFonts w:hint="eastAsia" w:ascii="宋体" w:hAnsi="宋体" w:eastAsia="宋体" w:cs="宋体"/>
                <w:kern w:val="1"/>
                <w:sz w:val="21"/>
                <w:szCs w:val="21"/>
              </w:rPr>
            </w:pPr>
            <w:r>
              <w:rPr>
                <w:rFonts w:hint="eastAsia" w:ascii="宋体" w:hAnsi="宋体" w:eastAsia="宋体" w:cs="宋体"/>
                <w:kern w:val="1"/>
                <w:sz w:val="21"/>
                <w:szCs w:val="21"/>
              </w:rPr>
              <w:t>履约保证金金额</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2A1981DD">
            <w:pPr>
              <w:rPr>
                <w:rFonts w:hint="eastAsia" w:ascii="宋体" w:hAnsi="宋体" w:eastAsia="宋体" w:cs="宋体"/>
                <w:kern w:val="1"/>
                <w:sz w:val="21"/>
                <w:szCs w:val="21"/>
              </w:rPr>
            </w:pPr>
            <w:r>
              <w:rPr>
                <w:rFonts w:hint="eastAsia" w:ascii="宋体" w:hAnsi="宋体" w:eastAsia="宋体" w:cs="宋体"/>
                <w:kern w:val="1"/>
                <w:sz w:val="21"/>
                <w:szCs w:val="21"/>
              </w:rPr>
              <w:t>人民币：             元</w:t>
            </w:r>
          </w:p>
        </w:tc>
      </w:tr>
      <w:tr w14:paraId="2ADD4C3E">
        <w:tblPrEx>
          <w:tblCellMar>
            <w:top w:w="0" w:type="dxa"/>
            <w:left w:w="108" w:type="dxa"/>
            <w:bottom w:w="0" w:type="dxa"/>
            <w:right w:w="108" w:type="dxa"/>
          </w:tblCellMar>
        </w:tblPrEx>
        <w:trPr>
          <w:trHeight w:val="551" w:hRule="atLeast"/>
        </w:trPr>
        <w:tc>
          <w:tcPr>
            <w:tcW w:w="1541" w:type="pct"/>
            <w:tcBorders>
              <w:top w:val="single" w:color="000000" w:sz="4" w:space="0"/>
              <w:left w:val="single" w:color="000000" w:sz="4" w:space="0"/>
              <w:bottom w:val="single" w:color="000000" w:sz="4" w:space="0"/>
              <w:right w:val="single" w:color="000000" w:sz="4" w:space="0"/>
            </w:tcBorders>
            <w:noWrap w:val="0"/>
            <w:vAlign w:val="center"/>
          </w:tcPr>
          <w:p w14:paraId="763F76BC">
            <w:pPr>
              <w:jc w:val="center"/>
              <w:rPr>
                <w:rFonts w:hint="eastAsia" w:ascii="宋体" w:hAnsi="宋体" w:eastAsia="宋体" w:cs="宋体"/>
                <w:kern w:val="1"/>
                <w:sz w:val="21"/>
                <w:szCs w:val="21"/>
              </w:rPr>
            </w:pPr>
            <w:r>
              <w:rPr>
                <w:rFonts w:hint="eastAsia" w:ascii="宋体" w:hAnsi="宋体" w:eastAsia="宋体" w:cs="宋体"/>
                <w:kern w:val="1"/>
                <w:sz w:val="21"/>
                <w:szCs w:val="21"/>
              </w:rPr>
              <w:t>收款单位</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4E8F3FD9">
            <w:pPr>
              <w:rPr>
                <w:rFonts w:hint="eastAsia" w:ascii="宋体" w:hAnsi="宋体" w:eastAsia="宋体" w:cs="宋体"/>
                <w:kern w:val="1"/>
                <w:sz w:val="21"/>
                <w:szCs w:val="21"/>
              </w:rPr>
            </w:pPr>
          </w:p>
        </w:tc>
      </w:tr>
      <w:tr w14:paraId="4741C4AB">
        <w:tblPrEx>
          <w:tblCellMar>
            <w:top w:w="0" w:type="dxa"/>
            <w:left w:w="108" w:type="dxa"/>
            <w:bottom w:w="0" w:type="dxa"/>
            <w:right w:w="108" w:type="dxa"/>
          </w:tblCellMar>
        </w:tblPrEx>
        <w:trPr>
          <w:trHeight w:val="586" w:hRule="atLeast"/>
        </w:trPr>
        <w:tc>
          <w:tcPr>
            <w:tcW w:w="1541" w:type="pct"/>
            <w:vMerge w:val="restart"/>
            <w:tcBorders>
              <w:top w:val="single" w:color="000000" w:sz="4" w:space="0"/>
              <w:left w:val="single" w:color="000000" w:sz="4" w:space="0"/>
              <w:bottom w:val="single" w:color="000000" w:sz="4" w:space="0"/>
              <w:right w:val="single" w:color="000000" w:sz="4" w:space="0"/>
            </w:tcBorders>
            <w:noWrap w:val="0"/>
            <w:vAlign w:val="center"/>
          </w:tcPr>
          <w:p w14:paraId="2D2235D4">
            <w:pPr>
              <w:jc w:val="center"/>
              <w:rPr>
                <w:rFonts w:hint="eastAsia" w:ascii="宋体" w:hAnsi="宋体" w:eastAsia="宋体" w:cs="宋体"/>
                <w:kern w:val="1"/>
                <w:sz w:val="21"/>
                <w:szCs w:val="21"/>
              </w:rPr>
            </w:pPr>
            <w:r>
              <w:rPr>
                <w:rFonts w:hint="eastAsia" w:ascii="宋体" w:hAnsi="宋体" w:eastAsia="宋体" w:cs="宋体"/>
                <w:kern w:val="1"/>
                <w:sz w:val="21"/>
                <w:szCs w:val="21"/>
              </w:rPr>
              <w:t>开户行账号</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74562605">
            <w:pPr>
              <w:rPr>
                <w:rFonts w:hint="eastAsia" w:ascii="宋体" w:hAnsi="宋体" w:eastAsia="宋体" w:cs="宋体"/>
                <w:kern w:val="1"/>
                <w:sz w:val="21"/>
                <w:szCs w:val="21"/>
              </w:rPr>
            </w:pPr>
            <w:r>
              <w:rPr>
                <w:rFonts w:hint="eastAsia" w:ascii="宋体" w:hAnsi="宋体" w:eastAsia="宋体" w:cs="宋体"/>
                <w:kern w:val="1"/>
                <w:sz w:val="21"/>
                <w:szCs w:val="21"/>
              </w:rPr>
              <w:t xml:space="preserve">开户行： </w:t>
            </w:r>
          </w:p>
        </w:tc>
      </w:tr>
      <w:tr w14:paraId="1E182897">
        <w:tblPrEx>
          <w:tblCellMar>
            <w:top w:w="0" w:type="dxa"/>
            <w:left w:w="108" w:type="dxa"/>
            <w:bottom w:w="0" w:type="dxa"/>
            <w:right w:w="108" w:type="dxa"/>
          </w:tblCellMar>
        </w:tblPrEx>
        <w:trPr>
          <w:trHeight w:val="594" w:hRule="atLeast"/>
        </w:trPr>
        <w:tc>
          <w:tcPr>
            <w:tcW w:w="154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6D09BF">
            <w:pPr>
              <w:jc w:val="center"/>
              <w:rPr>
                <w:rFonts w:hint="eastAsia" w:ascii="宋体" w:hAnsi="宋体" w:eastAsia="宋体" w:cs="宋体"/>
                <w:kern w:val="1"/>
                <w:sz w:val="21"/>
                <w:szCs w:val="21"/>
              </w:rPr>
            </w:pP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7E11A23E">
            <w:pPr>
              <w:rPr>
                <w:rFonts w:hint="eastAsia" w:ascii="宋体" w:hAnsi="宋体" w:eastAsia="宋体" w:cs="宋体"/>
                <w:kern w:val="1"/>
                <w:sz w:val="21"/>
                <w:szCs w:val="21"/>
              </w:rPr>
            </w:pPr>
            <w:r>
              <w:rPr>
                <w:rFonts w:hint="eastAsia" w:ascii="宋体" w:hAnsi="宋体" w:eastAsia="宋体" w:cs="宋体"/>
                <w:kern w:val="1"/>
                <w:sz w:val="21"/>
                <w:szCs w:val="21"/>
              </w:rPr>
              <w:t>账  号：</w:t>
            </w:r>
          </w:p>
        </w:tc>
      </w:tr>
      <w:tr w14:paraId="510A1778">
        <w:tblPrEx>
          <w:tblCellMar>
            <w:top w:w="0" w:type="dxa"/>
            <w:left w:w="108" w:type="dxa"/>
            <w:bottom w:w="0" w:type="dxa"/>
            <w:right w:w="108" w:type="dxa"/>
          </w:tblCellMar>
        </w:tblPrEx>
        <w:trPr>
          <w:trHeight w:val="1488" w:hRule="atLeast"/>
        </w:trPr>
        <w:tc>
          <w:tcPr>
            <w:tcW w:w="1541" w:type="pct"/>
            <w:tcBorders>
              <w:top w:val="single" w:color="000000" w:sz="4" w:space="0"/>
              <w:left w:val="single" w:color="000000" w:sz="4" w:space="0"/>
              <w:bottom w:val="single" w:color="000000" w:sz="4" w:space="0"/>
              <w:right w:val="single" w:color="000000" w:sz="4" w:space="0"/>
            </w:tcBorders>
            <w:noWrap w:val="0"/>
            <w:vAlign w:val="center"/>
          </w:tcPr>
          <w:p w14:paraId="3544C6E8">
            <w:pPr>
              <w:jc w:val="center"/>
              <w:rPr>
                <w:rFonts w:hint="eastAsia" w:ascii="宋体" w:hAnsi="宋体" w:eastAsia="宋体" w:cs="宋体"/>
                <w:kern w:val="1"/>
                <w:sz w:val="21"/>
                <w:szCs w:val="21"/>
              </w:rPr>
            </w:pPr>
            <w:r>
              <w:rPr>
                <w:rFonts w:hint="eastAsia" w:ascii="宋体" w:hAnsi="宋体" w:eastAsia="宋体" w:cs="宋体"/>
                <w:kern w:val="1"/>
                <w:sz w:val="21"/>
                <w:szCs w:val="21"/>
              </w:rPr>
              <w:t>实验室（系）意见</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66C61BAF">
            <w:pPr>
              <w:rPr>
                <w:rFonts w:hint="eastAsia" w:ascii="宋体" w:hAnsi="宋体" w:eastAsia="宋体" w:cs="宋体"/>
                <w:kern w:val="1"/>
                <w:sz w:val="21"/>
                <w:szCs w:val="21"/>
              </w:rPr>
            </w:pPr>
            <w:r>
              <w:rPr>
                <w:rFonts w:hint="eastAsia" w:ascii="宋体" w:hAnsi="宋体" w:eastAsia="宋体" w:cs="宋体"/>
                <w:kern w:val="1"/>
                <w:sz w:val="21"/>
                <w:szCs w:val="21"/>
              </w:rPr>
              <w:t>自验收合格之日起，已正常使用满一年且无违约情况发生。</w:t>
            </w:r>
          </w:p>
          <w:p w14:paraId="05B99D09">
            <w:pPr>
              <w:rPr>
                <w:rFonts w:hint="eastAsia" w:ascii="宋体" w:hAnsi="宋体" w:eastAsia="宋体" w:cs="宋体"/>
                <w:kern w:val="1"/>
                <w:sz w:val="21"/>
                <w:szCs w:val="21"/>
              </w:rPr>
            </w:pPr>
          </w:p>
          <w:p w14:paraId="05753395">
            <w:pPr>
              <w:ind w:right="960" w:firstLine="315" w:firstLineChars="150"/>
              <w:jc w:val="center"/>
              <w:rPr>
                <w:rFonts w:hint="eastAsia" w:ascii="宋体" w:hAnsi="宋体" w:eastAsia="宋体" w:cs="宋体"/>
                <w:kern w:val="1"/>
                <w:sz w:val="21"/>
                <w:szCs w:val="21"/>
              </w:rPr>
            </w:pPr>
            <w:r>
              <w:rPr>
                <w:rFonts w:hint="eastAsia" w:ascii="宋体" w:hAnsi="宋体" w:eastAsia="宋体" w:cs="宋体"/>
                <w:kern w:val="1"/>
                <w:sz w:val="21"/>
                <w:szCs w:val="21"/>
              </w:rPr>
              <w:t xml:space="preserve">                           签名：</w:t>
            </w:r>
          </w:p>
        </w:tc>
      </w:tr>
      <w:tr w14:paraId="2BF18C54">
        <w:tblPrEx>
          <w:tblCellMar>
            <w:top w:w="0" w:type="dxa"/>
            <w:left w:w="108" w:type="dxa"/>
            <w:bottom w:w="0" w:type="dxa"/>
            <w:right w:w="108" w:type="dxa"/>
          </w:tblCellMar>
        </w:tblPrEx>
        <w:trPr>
          <w:trHeight w:val="1279" w:hRule="atLeast"/>
        </w:trPr>
        <w:tc>
          <w:tcPr>
            <w:tcW w:w="1541" w:type="pct"/>
            <w:tcBorders>
              <w:top w:val="single" w:color="000000" w:sz="4" w:space="0"/>
              <w:left w:val="single" w:color="000000" w:sz="4" w:space="0"/>
              <w:bottom w:val="single" w:color="000000" w:sz="4" w:space="0"/>
              <w:right w:val="single" w:color="000000" w:sz="4" w:space="0"/>
            </w:tcBorders>
            <w:noWrap w:val="0"/>
            <w:vAlign w:val="center"/>
          </w:tcPr>
          <w:p w14:paraId="278C9985">
            <w:pPr>
              <w:jc w:val="center"/>
              <w:rPr>
                <w:rFonts w:hint="eastAsia" w:ascii="宋体" w:hAnsi="宋体" w:eastAsia="宋体" w:cs="宋体"/>
                <w:kern w:val="1"/>
                <w:sz w:val="21"/>
                <w:szCs w:val="21"/>
              </w:rPr>
            </w:pPr>
            <w:r>
              <w:rPr>
                <w:rFonts w:hint="eastAsia" w:ascii="宋体" w:hAnsi="宋体" w:eastAsia="宋体" w:cs="宋体"/>
                <w:kern w:val="1"/>
                <w:sz w:val="21"/>
                <w:szCs w:val="21"/>
              </w:rPr>
              <w:t>物资保障科意见</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24C853B1">
            <w:pPr>
              <w:rPr>
                <w:rFonts w:hint="eastAsia" w:ascii="宋体" w:hAnsi="宋体" w:eastAsia="宋体" w:cs="宋体"/>
                <w:kern w:val="1"/>
                <w:sz w:val="21"/>
                <w:szCs w:val="21"/>
              </w:rPr>
            </w:pPr>
          </w:p>
        </w:tc>
      </w:tr>
      <w:tr w14:paraId="2C7FD6C7">
        <w:tblPrEx>
          <w:tblCellMar>
            <w:top w:w="0" w:type="dxa"/>
            <w:left w:w="108" w:type="dxa"/>
            <w:bottom w:w="0" w:type="dxa"/>
            <w:right w:w="108" w:type="dxa"/>
          </w:tblCellMar>
        </w:tblPrEx>
        <w:trPr>
          <w:trHeight w:val="1525" w:hRule="atLeast"/>
        </w:trPr>
        <w:tc>
          <w:tcPr>
            <w:tcW w:w="1541" w:type="pct"/>
            <w:tcBorders>
              <w:top w:val="single" w:color="000000" w:sz="4" w:space="0"/>
              <w:left w:val="single" w:color="000000" w:sz="4" w:space="0"/>
              <w:bottom w:val="single" w:color="000000" w:sz="4" w:space="0"/>
              <w:right w:val="single" w:color="000000" w:sz="4" w:space="0"/>
            </w:tcBorders>
            <w:noWrap w:val="0"/>
            <w:vAlign w:val="center"/>
          </w:tcPr>
          <w:p w14:paraId="1C88AE91">
            <w:pPr>
              <w:jc w:val="center"/>
              <w:rPr>
                <w:rFonts w:hint="eastAsia" w:ascii="宋体" w:hAnsi="宋体" w:eastAsia="宋体" w:cs="宋体"/>
                <w:kern w:val="1"/>
                <w:sz w:val="21"/>
                <w:szCs w:val="21"/>
              </w:rPr>
            </w:pPr>
            <w:r>
              <w:rPr>
                <w:rFonts w:hint="eastAsia" w:ascii="宋体" w:hAnsi="宋体" w:eastAsia="宋体" w:cs="宋体"/>
                <w:kern w:val="1"/>
                <w:sz w:val="21"/>
                <w:szCs w:val="21"/>
              </w:rPr>
              <w:t>资产与产业管理处意见</w:t>
            </w:r>
          </w:p>
        </w:tc>
        <w:tc>
          <w:tcPr>
            <w:tcW w:w="3458" w:type="pct"/>
            <w:tcBorders>
              <w:top w:val="single" w:color="000000" w:sz="4" w:space="0"/>
              <w:left w:val="single" w:color="000000" w:sz="4" w:space="0"/>
              <w:bottom w:val="single" w:color="000000" w:sz="4" w:space="0"/>
              <w:right w:val="single" w:color="000000" w:sz="4" w:space="0"/>
            </w:tcBorders>
            <w:noWrap w:val="0"/>
            <w:vAlign w:val="center"/>
          </w:tcPr>
          <w:p w14:paraId="77959906">
            <w:pPr>
              <w:rPr>
                <w:rFonts w:hint="eastAsia" w:ascii="宋体" w:hAnsi="宋体" w:eastAsia="宋体" w:cs="宋体"/>
                <w:kern w:val="1"/>
                <w:sz w:val="21"/>
                <w:szCs w:val="21"/>
              </w:rPr>
            </w:pPr>
          </w:p>
          <w:p w14:paraId="0B479B28">
            <w:pPr>
              <w:rPr>
                <w:rFonts w:hint="eastAsia" w:ascii="宋体" w:hAnsi="宋体" w:eastAsia="宋体" w:cs="宋体"/>
                <w:kern w:val="1"/>
                <w:sz w:val="21"/>
                <w:szCs w:val="21"/>
              </w:rPr>
            </w:pPr>
          </w:p>
          <w:p w14:paraId="2EDF8170">
            <w:pPr>
              <w:ind w:firstLine="3960"/>
              <w:rPr>
                <w:rFonts w:hint="eastAsia" w:ascii="宋体" w:hAnsi="宋体" w:eastAsia="宋体" w:cs="宋体"/>
                <w:kern w:val="1"/>
                <w:sz w:val="21"/>
                <w:szCs w:val="21"/>
              </w:rPr>
            </w:pPr>
          </w:p>
        </w:tc>
      </w:tr>
    </w:tbl>
    <w:p w14:paraId="1A0537BA">
      <w:pPr>
        <w:pStyle w:val="198"/>
        <w:ind w:firstLine="0"/>
        <w:rPr>
          <w:rFonts w:hint="eastAsia" w:ascii="宋体" w:hAnsi="宋体" w:eastAsia="宋体" w:cs="宋体"/>
          <w:sz w:val="21"/>
          <w:szCs w:val="21"/>
        </w:rPr>
      </w:pPr>
    </w:p>
    <w:p w14:paraId="7818B92D">
      <w:pPr>
        <w:pStyle w:val="198"/>
        <w:ind w:firstLine="0"/>
        <w:rPr>
          <w:rFonts w:hint="eastAsia" w:asciiTheme="minorEastAsia" w:hAnsiTheme="minorEastAsia" w:eastAsiaTheme="minorEastAsia"/>
          <w:sz w:val="28"/>
          <w:szCs w:val="28"/>
        </w:rPr>
      </w:pPr>
    </w:p>
    <w:p w14:paraId="0D99219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 w:cs="Times New Roman"/>
          <w:sz w:val="28"/>
          <w:szCs w:val="28"/>
          <w:lang w:val="en-US" w:eastAsia="zh-CN"/>
        </w:rPr>
      </w:pPr>
    </w:p>
    <w:p w14:paraId="7D9A1C2A">
      <w:pPr>
        <w:rPr>
          <w:rFonts w:ascii="Arial" w:hAnsi="Arial" w:cs="Arial"/>
        </w:rPr>
      </w:pPr>
      <w:r>
        <w:rPr>
          <w:rFonts w:ascii="Arial" w:hAnsi="Arial" w:cs="Arial"/>
        </w:rPr>
        <w:br w:type="page"/>
      </w:r>
    </w:p>
    <w:p w14:paraId="0CC74FF0">
      <w:pPr>
        <w:pStyle w:val="2"/>
        <w:numPr>
          <w:ilvl w:val="0"/>
          <w:numId w:val="0"/>
        </w:numPr>
        <w:rPr>
          <w:rFonts w:hint="eastAsia" w:ascii="Arial" w:cs="Arial"/>
          <w:lang w:val="en-US" w:eastAsia="zh-CN"/>
        </w:rPr>
      </w:pPr>
      <w:bookmarkStart w:id="34" w:name="_Toc29371"/>
      <w:r>
        <w:rPr>
          <w:rFonts w:hint="eastAsia" w:ascii="Arial" w:cs="Arial"/>
          <w:lang w:val="en-US" w:eastAsia="zh-CN"/>
        </w:rPr>
        <w:t>第六章 附件</w:t>
      </w:r>
      <w:bookmarkEnd w:id="34"/>
    </w:p>
    <w:p w14:paraId="55526335">
      <w:pPr>
        <w:widowControl/>
        <w:adjustRightInd w:val="0"/>
        <w:spacing w:line="240" w:lineRule="atLeast"/>
        <w:jc w:val="left"/>
        <w:rPr>
          <w:rFonts w:ascii="Arial" w:hAnsi="Arial" w:cs="Arial"/>
          <w:b/>
          <w:bCs/>
          <w:szCs w:val="21"/>
        </w:rPr>
      </w:pPr>
    </w:p>
    <w:p w14:paraId="54B4CADC">
      <w:pPr>
        <w:spacing w:line="440" w:lineRule="exact"/>
        <w:rPr>
          <w:rFonts w:ascii="Arial" w:hAnsi="Arial" w:eastAsia="黑体" w:cs="Arial"/>
          <w:sz w:val="20"/>
          <w:szCs w:val="20"/>
        </w:rPr>
      </w:pPr>
    </w:p>
    <w:p w14:paraId="36D73543">
      <w:pPr>
        <w:spacing w:line="440" w:lineRule="exact"/>
        <w:rPr>
          <w:rFonts w:ascii="Arial" w:hAnsi="Arial" w:eastAsia="黑体" w:cs="Arial"/>
          <w:sz w:val="20"/>
          <w:szCs w:val="20"/>
        </w:rPr>
      </w:pPr>
    </w:p>
    <w:bookmarkEnd w:id="0"/>
    <w:p w14:paraId="234A048B">
      <w:pPr>
        <w:jc w:val="center"/>
        <w:rPr>
          <w:rFonts w:hint="eastAsia" w:ascii="宋体" w:hAnsi="宋体" w:cs="宋体"/>
          <w:sz w:val="52"/>
          <w:szCs w:val="52"/>
        </w:rPr>
      </w:pPr>
      <w:r>
        <w:rPr>
          <w:rFonts w:hint="eastAsia" w:ascii="宋体" w:hAnsi="宋体" w:cs="宋体"/>
          <w:sz w:val="52"/>
          <w:szCs w:val="52"/>
        </w:rPr>
        <w:t>投标文件</w:t>
      </w:r>
    </w:p>
    <w:p w14:paraId="699D0423">
      <w:pPr>
        <w:rPr>
          <w:rFonts w:hint="eastAsia" w:ascii="宋体" w:hAnsi="宋体" w:cs="宋体"/>
          <w:sz w:val="36"/>
          <w:szCs w:val="36"/>
        </w:rPr>
      </w:pPr>
    </w:p>
    <w:p w14:paraId="47B4A308">
      <w:pPr>
        <w:rPr>
          <w:rFonts w:hint="eastAsia" w:ascii="宋体" w:hAnsi="宋体" w:cs="宋体"/>
          <w:sz w:val="36"/>
          <w:szCs w:val="36"/>
        </w:rPr>
      </w:pPr>
    </w:p>
    <w:p w14:paraId="77DF4E75">
      <w:pPr>
        <w:rPr>
          <w:rFonts w:hint="eastAsia" w:ascii="宋体" w:hAnsi="宋体" w:cs="宋体"/>
          <w:sz w:val="36"/>
          <w:szCs w:val="36"/>
        </w:rPr>
      </w:pPr>
    </w:p>
    <w:p w14:paraId="4CD1D591">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项目名称：</w:t>
      </w:r>
    </w:p>
    <w:p w14:paraId="14740758">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招标编号：</w:t>
      </w:r>
    </w:p>
    <w:p w14:paraId="3C877333">
      <w:pPr>
        <w:ind w:firstLine="720" w:firstLineChars="200"/>
        <w:jc w:val="both"/>
        <w:rPr>
          <w:rFonts w:hint="eastAsia" w:ascii="宋体" w:hAnsi="宋体" w:cs="宋体"/>
          <w:sz w:val="36"/>
          <w:szCs w:val="36"/>
          <w:u w:val="single"/>
        </w:rPr>
      </w:pPr>
      <w:r>
        <w:rPr>
          <w:rFonts w:hint="eastAsia" w:ascii="宋体" w:hAnsi="宋体" w:cs="宋体"/>
          <w:sz w:val="36"/>
          <w:szCs w:val="36"/>
        </w:rPr>
        <w:t>投标人</w:t>
      </w:r>
      <w:r>
        <w:rPr>
          <w:rFonts w:hint="eastAsia" w:ascii="宋体" w:hAnsi="宋体" w:cs="宋体"/>
          <w:sz w:val="36"/>
          <w:szCs w:val="36"/>
          <w:lang w:val="en-US" w:eastAsia="zh-CN"/>
        </w:rPr>
        <w:t>名称</w:t>
      </w:r>
      <w:r>
        <w:rPr>
          <w:rFonts w:hint="eastAsia" w:ascii="宋体" w:hAnsi="宋体" w:cs="宋体"/>
          <w:sz w:val="36"/>
          <w:szCs w:val="36"/>
        </w:rPr>
        <w:t>：（加盖电子公章）</w:t>
      </w:r>
    </w:p>
    <w:p w14:paraId="751F035A">
      <w:pPr>
        <w:widowControl/>
        <w:ind w:firstLine="720" w:firstLineChars="200"/>
        <w:jc w:val="left"/>
        <w:rPr>
          <w:rFonts w:hint="eastAsia" w:ascii="宋体" w:hAnsi="宋体" w:cs="宋体"/>
          <w:sz w:val="28"/>
          <w:szCs w:val="28"/>
        </w:rPr>
      </w:pPr>
      <w:r>
        <w:rPr>
          <w:rFonts w:hint="eastAsia" w:ascii="宋体" w:hAnsi="宋体" w:cs="宋体"/>
          <w:sz w:val="36"/>
          <w:szCs w:val="36"/>
          <w:lang w:val="en-US" w:eastAsia="zh-CN"/>
        </w:rPr>
        <w:t>日期：</w:t>
      </w:r>
    </w:p>
    <w:p w14:paraId="67B7FAA2">
      <w:pPr>
        <w:rPr>
          <w:rFonts w:eastAsia="黑体"/>
          <w:sz w:val="32"/>
          <w:szCs w:val="32"/>
        </w:rPr>
      </w:pPr>
      <w:r>
        <w:rPr>
          <w:rFonts w:eastAsia="黑体"/>
          <w:sz w:val="32"/>
          <w:szCs w:val="32"/>
        </w:rPr>
        <w:br w:type="page"/>
      </w:r>
    </w:p>
    <w:p w14:paraId="18170367">
      <w:pPr>
        <w:spacing w:before="317" w:beforeLines="100" w:after="317" w:afterLines="100"/>
        <w:jc w:val="center"/>
        <w:rPr>
          <w:rFonts w:eastAsia="黑体"/>
          <w:sz w:val="32"/>
          <w:szCs w:val="32"/>
        </w:rPr>
      </w:pPr>
      <w:r>
        <w:rPr>
          <w:rFonts w:eastAsia="黑体"/>
          <w:sz w:val="32"/>
          <w:szCs w:val="32"/>
        </w:rPr>
        <w:t>目录</w:t>
      </w:r>
    </w:p>
    <w:p w14:paraId="6D3FEBD8">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596B2AB5">
      <w:pPr>
        <w:spacing w:line="360" w:lineRule="auto"/>
        <w:rPr>
          <w:rFonts w:ascii="Arial" w:hAnsi="Arial" w:cs="Arial"/>
          <w:kern w:val="0"/>
          <w:szCs w:val="21"/>
        </w:rPr>
      </w:pPr>
      <w:r>
        <w:rPr>
          <w:rFonts w:ascii="Arial" w:hAnsi="Arial" w:cs="Arial"/>
        </w:rPr>
        <w:br w:type="page"/>
      </w:r>
      <w:r>
        <w:rPr>
          <w:rFonts w:ascii="Arial" w:hAnsi="Arial" w:cs="Arial"/>
          <w:b/>
          <w:bCs/>
          <w:kern w:val="0"/>
          <w:szCs w:val="21"/>
        </w:rPr>
        <w:t>附件一、投标申请及声明格式</w:t>
      </w:r>
    </w:p>
    <w:p w14:paraId="7F524ACD">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130C8DA4">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63A28718">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6D259E99">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57424F96">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25F41F03">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2、按招标要求，我们的投标总报价详见开标一览表。</w:t>
      </w:r>
    </w:p>
    <w:p w14:paraId="215670B0">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0C2DC511">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52EDC855">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24A9C122">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1CEBC0FF">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1B57C769">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1189D9A5">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706F41E4">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773FB572">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1F5ACE38">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hint="eastAsia" w:ascii="宋体" w:hAnsi="宋体" w:cs="宋体"/>
          <w:kern w:val="0"/>
          <w:szCs w:val="21"/>
        </w:rPr>
        <w:t>（加盖电子公章）</w:t>
      </w:r>
    </w:p>
    <w:p w14:paraId="79A5FB3A">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6FA3EBCF">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7E9A5B42">
      <w:pPr>
        <w:widowControl/>
        <w:shd w:val="clear" w:color="auto" w:fill="FFFFFF"/>
        <w:spacing w:line="360" w:lineRule="auto"/>
        <w:ind w:firstLine="720"/>
        <w:jc w:val="center"/>
        <w:rPr>
          <w:rFonts w:ascii="Arial" w:hAnsi="Arial" w:cs="Arial"/>
          <w:kern w:val="0"/>
          <w:sz w:val="36"/>
          <w:szCs w:val="36"/>
        </w:rPr>
      </w:pPr>
    </w:p>
    <w:p w14:paraId="59CD7B26">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hint="eastAsia" w:ascii="宋体" w:hAnsi="宋体" w:cs="宋体"/>
          <w:kern w:val="0"/>
          <w:szCs w:val="21"/>
        </w:rPr>
      </w:pPr>
    </w:p>
    <w:p w14:paraId="666364A6">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0E1913B1">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hint="eastAsia" w:ascii="宋体" w:hAnsi="宋体"/>
          <w:szCs w:val="21"/>
        </w:rPr>
      </w:pPr>
      <w:r>
        <w:rPr>
          <w:rFonts w:hint="eastAsia" w:ascii="宋体" w:hAnsi="宋体"/>
          <w:szCs w:val="21"/>
        </w:rPr>
        <w:t>被授权人身份证号码：</w:t>
      </w:r>
    </w:p>
    <w:p w14:paraId="66093FD8">
      <w:pPr>
        <w:spacing w:line="480" w:lineRule="exact"/>
        <w:ind w:firstLine="480"/>
        <w:rPr>
          <w:rFonts w:ascii="宋体" w:hAnsi="宋体"/>
          <w:szCs w:val="21"/>
          <w:u w:val="single"/>
        </w:rPr>
      </w:pPr>
      <w:r>
        <w:rPr>
          <w:rFonts w:hint="eastAsia" w:ascii="宋体" w:hAnsi="宋体"/>
          <w:szCs w:val="21"/>
        </w:rPr>
        <w:t>被授权人联系电话：           （手机）</w:t>
      </w:r>
    </w:p>
    <w:p w14:paraId="08459968">
      <w:pPr>
        <w:spacing w:line="480" w:lineRule="exact"/>
        <w:ind w:firstLine="480"/>
        <w:rPr>
          <w:rFonts w:hint="eastAsia" w:ascii="宋体" w:hAnsi="宋体"/>
          <w:szCs w:val="21"/>
          <w:u w:val="single"/>
        </w:rPr>
      </w:pPr>
      <w:r>
        <w:rPr>
          <w:rFonts w:hint="eastAsia" w:ascii="宋体" w:hAnsi="宋体"/>
          <w:szCs w:val="21"/>
        </w:rPr>
        <w:t>投标人名称：              （加盖电子公章）</w:t>
      </w:r>
    </w:p>
    <w:p w14:paraId="711ADF14">
      <w:pPr>
        <w:spacing w:line="480" w:lineRule="exact"/>
        <w:ind w:firstLine="480"/>
        <w:rPr>
          <w:rFonts w:ascii="宋体" w:hAnsi="宋体"/>
          <w:szCs w:val="21"/>
          <w:u w:val="single"/>
        </w:rPr>
      </w:pPr>
      <w:r>
        <w:rPr>
          <w:rFonts w:hint="eastAsia" w:ascii="宋体" w:hAnsi="宋体"/>
          <w:szCs w:val="21"/>
        </w:rPr>
        <w:t>单位地址：</w:t>
      </w:r>
    </w:p>
    <w:p w14:paraId="2EECFA3A">
      <w:pPr>
        <w:spacing w:line="480" w:lineRule="exact"/>
        <w:ind w:firstLine="480"/>
        <w:rPr>
          <w:rFonts w:hint="eastAsia" w:ascii="宋体" w:hAnsi="宋体"/>
          <w:szCs w:val="21"/>
        </w:rPr>
      </w:pPr>
      <w:r>
        <w:rPr>
          <w:rFonts w:hint="eastAsia" w:ascii="宋体" w:hAnsi="宋体"/>
          <w:szCs w:val="21"/>
        </w:rPr>
        <w:t>日    期：</w:t>
      </w:r>
    </w:p>
    <w:p w14:paraId="425395A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BA135D0">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29A26A3">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w:t>
      </w:r>
      <w:r>
        <w:rPr>
          <w:rFonts w:hint="eastAsia" w:ascii="Arial" w:hAnsi="Arial" w:cs="Arial"/>
          <w:b/>
          <w:bCs/>
          <w:kern w:val="0"/>
          <w:szCs w:val="21"/>
          <w:lang w:val="zh-CN"/>
        </w:rPr>
        <w:t>开标一览表</w:t>
      </w:r>
    </w:p>
    <w:p w14:paraId="3EC8E5ED">
      <w:pPr>
        <w:autoSpaceDE w:val="0"/>
        <w:autoSpaceDN w:val="0"/>
        <w:adjustRightInd w:val="0"/>
        <w:rPr>
          <w:rFonts w:ascii="Arial" w:hAnsi="Arial" w:cs="Arial"/>
          <w:b/>
          <w:bCs/>
          <w:lang w:val="zh-CN"/>
        </w:rPr>
      </w:pPr>
    </w:p>
    <w:p w14:paraId="3C297D1B">
      <w:pPr>
        <w:jc w:val="center"/>
        <w:rPr>
          <w:rFonts w:ascii="Arial" w:hAnsi="Arial" w:cs="Arial"/>
          <w:b/>
          <w:sz w:val="36"/>
          <w:szCs w:val="36"/>
        </w:rPr>
      </w:pPr>
      <w:r>
        <w:rPr>
          <w:rFonts w:ascii="Arial" w:hAnsi="Arial" w:cs="Arial"/>
          <w:b/>
          <w:sz w:val="36"/>
          <w:szCs w:val="36"/>
        </w:rPr>
        <w:t>开标一览表</w:t>
      </w:r>
      <w:r>
        <w:rPr>
          <w:rFonts w:hint="eastAsia" w:ascii="Arial" w:hAnsi="Arial" w:cs="Arial"/>
          <w:b/>
          <w:sz w:val="36"/>
          <w:szCs w:val="36"/>
        </w:rPr>
        <w:t>详见苏采云系统</w:t>
      </w:r>
    </w:p>
    <w:p w14:paraId="1EB13DA4">
      <w:pPr>
        <w:widowControl/>
        <w:shd w:val="clear" w:color="auto" w:fill="FFFFFF"/>
        <w:spacing w:line="360" w:lineRule="auto"/>
        <w:jc w:val="center"/>
        <w:rPr>
          <w:rFonts w:ascii="Arial" w:hAnsi="Arial" w:cs="Arial"/>
          <w:kern w:val="0"/>
          <w:sz w:val="24"/>
        </w:rPr>
      </w:pPr>
    </w:p>
    <w:p w14:paraId="40F5F346">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说明：本项目仅接受一个价格，不得填报有选择性报价方案。若有优惠条款须注明，但不得影响报价，影响产品整体功能。</w:t>
      </w:r>
    </w:p>
    <w:p w14:paraId="49EAC6AA">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4ED43C47">
      <w:pPr>
        <w:widowControl/>
        <w:shd w:val="clear" w:color="auto" w:fill="FFFFFF"/>
        <w:spacing w:line="360" w:lineRule="auto"/>
        <w:jc w:val="left"/>
        <w:rPr>
          <w:rFonts w:ascii="Arial" w:hAnsi="Arial" w:cs="Arial"/>
          <w:b/>
          <w:bCs/>
          <w:kern w:val="0"/>
          <w:szCs w:val="21"/>
          <w:lang w:val="zh-CN"/>
        </w:rPr>
      </w:pPr>
      <w:r>
        <w:rPr>
          <w:rFonts w:ascii="Arial" w:hAnsi="Arial" w:cs="Arial"/>
          <w:b/>
          <w:bCs/>
          <w:kern w:val="0"/>
          <w:szCs w:val="21"/>
          <w:lang w:val="zh-CN"/>
        </w:rPr>
        <w:t>附件四、分项报价表</w:t>
      </w:r>
    </w:p>
    <w:tbl>
      <w:tblPr>
        <w:tblStyle w:val="47"/>
        <w:tblW w:w="5395" w:type="pct"/>
        <w:tblInd w:w="-677" w:type="dxa"/>
        <w:tblLayout w:type="autofit"/>
        <w:tblCellMar>
          <w:top w:w="0" w:type="dxa"/>
          <w:left w:w="108" w:type="dxa"/>
          <w:bottom w:w="0" w:type="dxa"/>
          <w:right w:w="108" w:type="dxa"/>
        </w:tblCellMar>
      </w:tblPr>
      <w:tblGrid>
        <w:gridCol w:w="427"/>
        <w:gridCol w:w="1302"/>
        <w:gridCol w:w="609"/>
        <w:gridCol w:w="584"/>
        <w:gridCol w:w="686"/>
        <w:gridCol w:w="1369"/>
        <w:gridCol w:w="1228"/>
        <w:gridCol w:w="1392"/>
        <w:gridCol w:w="1358"/>
      </w:tblGrid>
      <w:tr w14:paraId="127C802D">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35C99">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序号</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F5D3E">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分项名称</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A7B3E">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数量</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20FDF">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单位</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A57B9">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品牌</w:t>
            </w: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B7FFF">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型号/规格</w:t>
            </w: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FDC8D">
            <w:pPr>
              <w:widowControl/>
              <w:jc w:val="center"/>
              <w:textAlignment w:val="center"/>
              <w:rPr>
                <w:rFonts w:hint="eastAsia" w:ascii="宋体" w:hAnsi="宋体" w:cs="宋体"/>
                <w:b/>
                <w:bCs/>
                <w:color w:val="000000"/>
                <w:sz w:val="21"/>
                <w:szCs w:val="21"/>
                <w:lang w:bidi="ar"/>
              </w:rPr>
            </w:pPr>
            <w:r>
              <w:rPr>
                <w:rFonts w:hint="eastAsia" w:ascii="宋体" w:hAnsi="宋体" w:eastAsia="宋体" w:cs="宋体"/>
                <w:b/>
                <w:bCs/>
                <w:color w:val="000000"/>
                <w:sz w:val="21"/>
                <w:szCs w:val="21"/>
                <w:lang w:bidi="ar"/>
              </w:rPr>
              <w:t>制造商和国别</w:t>
            </w: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B43C4">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单价（万元）</w:t>
            </w: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40E89">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总价（万元）</w:t>
            </w:r>
          </w:p>
        </w:tc>
      </w:tr>
      <w:tr w14:paraId="6E71106E">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67D35">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一</w:t>
            </w:r>
          </w:p>
        </w:tc>
        <w:tc>
          <w:tcPr>
            <w:tcW w:w="4767"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46FEEAF">
            <w:pPr>
              <w:widowControl/>
              <w:jc w:val="center"/>
              <w:textAlignment w:val="center"/>
              <w:rPr>
                <w:rFonts w:hint="eastAsia" w:ascii="宋体" w:hAnsi="宋体" w:cs="宋体"/>
                <w:b/>
                <w:bCs/>
                <w:color w:val="000000"/>
                <w:sz w:val="21"/>
                <w:szCs w:val="21"/>
                <w:lang w:bidi="ar"/>
              </w:rPr>
            </w:pPr>
            <w:r>
              <w:rPr>
                <w:rFonts w:hint="eastAsia" w:ascii="宋体" w:hAnsi="宋体" w:cs="宋体"/>
                <w:b/>
                <w:bCs/>
                <w:color w:val="000000"/>
                <w:sz w:val="21"/>
                <w:szCs w:val="21"/>
                <w:lang w:bidi="ar"/>
              </w:rPr>
              <w:t>计算系统</w:t>
            </w:r>
          </w:p>
        </w:tc>
      </w:tr>
      <w:tr w14:paraId="577E90BF">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5B4BD">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1</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7368A">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登录管理节点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95C52">
            <w:pPr>
              <w:widowControl/>
              <w:jc w:val="center"/>
              <w:textAlignment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bidi="ar"/>
              </w:rPr>
              <w:t>2</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9959F">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台</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1E19F">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C2462">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CAB89">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60059">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22815">
            <w:pPr>
              <w:widowControl/>
              <w:jc w:val="center"/>
              <w:textAlignment w:val="center"/>
              <w:rPr>
                <w:rFonts w:ascii="宋体" w:hAnsi="宋体" w:cs="宋体"/>
                <w:color w:val="000000"/>
                <w:sz w:val="21"/>
                <w:szCs w:val="21"/>
                <w:lang w:bidi="ar"/>
              </w:rPr>
            </w:pPr>
          </w:p>
        </w:tc>
      </w:tr>
      <w:tr w14:paraId="3AEA4B02">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64280">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2</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9D6A4">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通用计算节点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71EA1">
            <w:pPr>
              <w:widowControl/>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20</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A6FB1">
            <w:pPr>
              <w:widowControl/>
              <w:jc w:val="center"/>
              <w:textAlignment w:val="center"/>
              <w:rPr>
                <w:rFonts w:ascii="宋体" w:hAnsi="宋体" w:cs="宋体"/>
                <w:color w:val="000000"/>
                <w:sz w:val="21"/>
                <w:szCs w:val="21"/>
                <w:lang w:eastAsia="zh-Hans"/>
              </w:rPr>
            </w:pPr>
            <w:r>
              <w:rPr>
                <w:rFonts w:hint="eastAsia" w:ascii="宋体" w:hAnsi="宋体" w:cs="宋体"/>
                <w:color w:val="000000"/>
                <w:sz w:val="21"/>
                <w:szCs w:val="21"/>
                <w:lang w:eastAsia="zh-Hans"/>
              </w:rPr>
              <w:t>台</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46313">
            <w:pPr>
              <w:widowControl/>
              <w:jc w:val="center"/>
              <w:textAlignment w:val="center"/>
              <w:rPr>
                <w:rFonts w:ascii="宋体" w:hAnsi="宋体" w:cs="宋体"/>
                <w:color w:val="000000"/>
                <w:sz w:val="21"/>
                <w:szCs w:val="21"/>
                <w:lang w:eastAsia="zh-Hans"/>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254DC">
            <w:pPr>
              <w:widowControl/>
              <w:jc w:val="center"/>
              <w:textAlignment w:val="center"/>
              <w:rPr>
                <w:rFonts w:ascii="宋体" w:hAnsi="宋体" w:cs="宋体"/>
                <w:color w:val="000000"/>
                <w:sz w:val="21"/>
                <w:szCs w:val="21"/>
                <w:lang w:eastAsia="zh-Hans"/>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DBEC6">
            <w:pPr>
              <w:widowControl/>
              <w:jc w:val="center"/>
              <w:textAlignment w:val="center"/>
              <w:rPr>
                <w:rFonts w:ascii="宋体" w:hAnsi="宋体" w:cs="宋体"/>
                <w:color w:val="000000"/>
                <w:sz w:val="21"/>
                <w:szCs w:val="21"/>
                <w:lang w:eastAsia="zh-Hans"/>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DBB32">
            <w:pPr>
              <w:widowControl/>
              <w:jc w:val="center"/>
              <w:textAlignment w:val="center"/>
              <w:rPr>
                <w:rFonts w:ascii="宋体" w:hAnsi="宋体" w:cs="宋体"/>
                <w:color w:val="000000"/>
                <w:sz w:val="21"/>
                <w:szCs w:val="21"/>
                <w:lang w:eastAsia="zh-Hans"/>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B8AB6">
            <w:pPr>
              <w:widowControl/>
              <w:jc w:val="center"/>
              <w:textAlignment w:val="center"/>
              <w:rPr>
                <w:rFonts w:ascii="宋体" w:hAnsi="宋体" w:cs="宋体"/>
                <w:color w:val="000000"/>
                <w:sz w:val="21"/>
                <w:szCs w:val="21"/>
                <w:lang w:eastAsia="zh-Hans"/>
              </w:rPr>
            </w:pPr>
          </w:p>
        </w:tc>
      </w:tr>
      <w:tr w14:paraId="0ECC33CC">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88A3A">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3</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CB27D">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大内存计算节点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7539F">
            <w:pPr>
              <w:widowControl/>
              <w:jc w:val="center"/>
              <w:textAlignment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bidi="ar"/>
              </w:rPr>
              <w:t>3</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CB8C8">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台</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C6836">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F2D27">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79706">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7C9E8">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A2CD9">
            <w:pPr>
              <w:widowControl/>
              <w:jc w:val="center"/>
              <w:textAlignment w:val="center"/>
              <w:rPr>
                <w:rFonts w:ascii="宋体" w:hAnsi="宋体" w:cs="宋体"/>
                <w:color w:val="000000"/>
                <w:sz w:val="21"/>
                <w:szCs w:val="21"/>
                <w:lang w:bidi="ar"/>
              </w:rPr>
            </w:pPr>
          </w:p>
        </w:tc>
      </w:tr>
      <w:tr w14:paraId="683932EE">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2E5FF">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4</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487E0">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专用节点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65171">
            <w:pPr>
              <w:widowControl/>
              <w:jc w:val="center"/>
              <w:textAlignment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bidi="ar"/>
              </w:rPr>
              <w:t>3</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057E">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台</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6F279">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117BD">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86717">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CA32A">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CFE6A">
            <w:pPr>
              <w:widowControl/>
              <w:jc w:val="center"/>
              <w:textAlignment w:val="center"/>
              <w:rPr>
                <w:rFonts w:ascii="宋体" w:hAnsi="宋体" w:cs="宋体"/>
                <w:color w:val="000000"/>
                <w:sz w:val="21"/>
                <w:szCs w:val="21"/>
                <w:lang w:bidi="ar"/>
              </w:rPr>
            </w:pPr>
          </w:p>
        </w:tc>
      </w:tr>
      <w:tr w14:paraId="56DAAA82">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A73C4">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5</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73698">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GPU计算节点1</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01B13">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2</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D3F4A">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台</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D25F8">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E62EC">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2F450">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75097">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0ADBF">
            <w:pPr>
              <w:widowControl/>
              <w:jc w:val="center"/>
              <w:textAlignment w:val="center"/>
              <w:rPr>
                <w:rFonts w:ascii="宋体" w:hAnsi="宋体" w:cs="宋体"/>
                <w:color w:val="000000"/>
                <w:sz w:val="21"/>
                <w:szCs w:val="21"/>
                <w:lang w:bidi="ar"/>
              </w:rPr>
            </w:pPr>
          </w:p>
        </w:tc>
      </w:tr>
      <w:tr w14:paraId="03AB5ABC">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E2412">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6</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76630">
            <w:pPr>
              <w:widowControl/>
              <w:jc w:val="center"/>
              <w:textAlignment w:val="center"/>
              <w:rPr>
                <w:rFonts w:hint="eastAsia" w:ascii="宋体" w:hAnsi="宋体" w:eastAsia="宋体" w:cs="宋体"/>
                <w:color w:val="000000"/>
                <w:sz w:val="21"/>
                <w:szCs w:val="21"/>
                <w:lang w:eastAsia="zh-CN"/>
              </w:rPr>
            </w:pPr>
            <w:r>
              <w:rPr>
                <w:rFonts w:hint="eastAsia" w:ascii="宋体" w:hAnsi="宋体" w:cs="宋体"/>
                <w:color w:val="000000"/>
                <w:sz w:val="21"/>
                <w:szCs w:val="21"/>
                <w:lang w:bidi="ar"/>
              </w:rPr>
              <w:t>GPU计算节点2</w:t>
            </w:r>
            <w:r>
              <w:rPr>
                <w:rFonts w:hint="eastAsia" w:ascii="宋体" w:hAnsi="宋体" w:cs="宋体"/>
                <w:b/>
                <w:bCs/>
                <w:color w:val="000000"/>
                <w:sz w:val="21"/>
                <w:szCs w:val="21"/>
                <w:lang w:eastAsia="zh-CN" w:bidi="ar"/>
              </w:rPr>
              <w:t>（</w:t>
            </w:r>
            <w:r>
              <w:rPr>
                <w:rFonts w:hint="eastAsia" w:ascii="宋体" w:hAnsi="宋体" w:cs="宋体"/>
                <w:b/>
                <w:bCs/>
                <w:color w:val="000000"/>
                <w:sz w:val="21"/>
                <w:szCs w:val="21"/>
                <w:lang w:val="en-US" w:eastAsia="zh-CN" w:bidi="ar"/>
              </w:rPr>
              <w:t>核心产品</w:t>
            </w:r>
            <w:r>
              <w:rPr>
                <w:rFonts w:hint="eastAsia" w:ascii="宋体" w:hAnsi="宋体" w:cs="宋体"/>
                <w:b/>
                <w:bCs/>
                <w:color w:val="000000"/>
                <w:sz w:val="21"/>
                <w:szCs w:val="21"/>
                <w:lang w:eastAsia="zh-CN" w:bidi="ar"/>
              </w:rPr>
              <w:t>）</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551A3">
            <w:pPr>
              <w:widowControl/>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10</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6694D">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台</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F9A83">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113FB">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41FB9">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23515">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4AA53">
            <w:pPr>
              <w:widowControl/>
              <w:jc w:val="center"/>
              <w:textAlignment w:val="center"/>
              <w:rPr>
                <w:rFonts w:ascii="宋体" w:hAnsi="宋体" w:cs="宋体"/>
                <w:color w:val="000000"/>
                <w:sz w:val="21"/>
                <w:szCs w:val="21"/>
                <w:lang w:bidi="ar"/>
              </w:rPr>
            </w:pPr>
          </w:p>
        </w:tc>
      </w:tr>
      <w:tr w14:paraId="5E80DA5D">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63BED">
            <w:pPr>
              <w:widowControl/>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7</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3929D">
            <w:pPr>
              <w:widowControl/>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GPU计算节点3</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6167F">
            <w:pPr>
              <w:widowControl/>
              <w:jc w:val="center"/>
              <w:textAlignment w:val="center"/>
              <w:rPr>
                <w:rFonts w:hint="eastAsia" w:ascii="宋体" w:hAnsi="宋体" w:eastAsia="宋体" w:cs="宋体"/>
                <w:color w:val="000000"/>
                <w:sz w:val="21"/>
                <w:szCs w:val="21"/>
                <w:lang w:eastAsia="zh-CN" w:bidi="ar"/>
              </w:rPr>
            </w:pPr>
            <w:r>
              <w:rPr>
                <w:rFonts w:hint="eastAsia" w:ascii="宋体" w:hAnsi="宋体" w:cs="宋体"/>
                <w:color w:val="000000"/>
                <w:sz w:val="21"/>
                <w:szCs w:val="21"/>
                <w:lang w:val="en-US" w:eastAsia="zh-CN"/>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F6EAD">
            <w:pPr>
              <w:widowControl/>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台</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428E5">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61D84">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39E72">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E16ED">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4E8D3">
            <w:pPr>
              <w:widowControl/>
              <w:jc w:val="center"/>
              <w:textAlignment w:val="center"/>
              <w:rPr>
                <w:rFonts w:ascii="宋体" w:hAnsi="宋体" w:cs="宋体"/>
                <w:color w:val="000000"/>
                <w:sz w:val="21"/>
                <w:szCs w:val="21"/>
                <w:lang w:bidi="ar"/>
              </w:rPr>
            </w:pPr>
          </w:p>
        </w:tc>
      </w:tr>
      <w:tr w14:paraId="7705FEDF">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AA9EE">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8</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B7492">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超融合节点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357F0">
            <w:pPr>
              <w:widowControl/>
              <w:jc w:val="center"/>
              <w:textAlignment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bidi="ar"/>
              </w:rPr>
              <w:t>4</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F0246">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台</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A43FB">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F76EF">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67099">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55452">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E586B">
            <w:pPr>
              <w:widowControl/>
              <w:jc w:val="center"/>
              <w:textAlignment w:val="center"/>
              <w:rPr>
                <w:rFonts w:ascii="宋体" w:hAnsi="宋体" w:cs="宋体"/>
                <w:color w:val="000000"/>
                <w:sz w:val="21"/>
                <w:szCs w:val="21"/>
                <w:lang w:bidi="ar"/>
              </w:rPr>
            </w:pPr>
          </w:p>
        </w:tc>
      </w:tr>
      <w:tr w14:paraId="1DE4D8BD">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8E843">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二</w:t>
            </w:r>
          </w:p>
        </w:tc>
        <w:tc>
          <w:tcPr>
            <w:tcW w:w="4767"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781C6D1">
            <w:pPr>
              <w:widowControl/>
              <w:jc w:val="center"/>
              <w:textAlignment w:val="center"/>
              <w:rPr>
                <w:rFonts w:hint="eastAsia" w:ascii="宋体" w:hAnsi="宋体" w:cs="宋体"/>
                <w:b/>
                <w:bCs/>
                <w:color w:val="000000"/>
                <w:sz w:val="21"/>
                <w:szCs w:val="21"/>
                <w:lang w:bidi="ar"/>
              </w:rPr>
            </w:pPr>
            <w:r>
              <w:rPr>
                <w:rFonts w:hint="eastAsia" w:ascii="宋体" w:hAnsi="宋体" w:cs="宋体"/>
                <w:b/>
                <w:bCs/>
                <w:color w:val="000000"/>
                <w:sz w:val="21"/>
                <w:szCs w:val="21"/>
                <w:lang w:bidi="ar"/>
              </w:rPr>
              <w:t>存储系统</w:t>
            </w:r>
          </w:p>
        </w:tc>
      </w:tr>
      <w:tr w14:paraId="43DC3578">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4280A">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1</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CDFDA">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共享存储</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C0F8D">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2AB8F">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套</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C77A0">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CA6AB">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468F8">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17F08">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14A9B">
            <w:pPr>
              <w:widowControl/>
              <w:jc w:val="center"/>
              <w:textAlignment w:val="center"/>
              <w:rPr>
                <w:rFonts w:ascii="宋体" w:hAnsi="宋体" w:cs="宋体"/>
                <w:color w:val="000000"/>
                <w:sz w:val="21"/>
                <w:szCs w:val="21"/>
                <w:lang w:bidi="ar"/>
              </w:rPr>
            </w:pPr>
          </w:p>
        </w:tc>
      </w:tr>
      <w:tr w14:paraId="08267A45">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C1557">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三</w:t>
            </w:r>
          </w:p>
        </w:tc>
        <w:tc>
          <w:tcPr>
            <w:tcW w:w="139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F1F5D3">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网络系统</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B1C46">
            <w:pPr>
              <w:widowControl/>
              <w:jc w:val="center"/>
              <w:textAlignment w:val="center"/>
              <w:rPr>
                <w:rFonts w:ascii="宋体" w:hAnsi="宋体" w:cs="宋体"/>
                <w:b/>
                <w:bCs/>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CC934">
            <w:pPr>
              <w:widowControl/>
              <w:jc w:val="center"/>
              <w:textAlignment w:val="center"/>
              <w:rPr>
                <w:rFonts w:ascii="宋体" w:hAnsi="宋体" w:cs="宋体"/>
                <w:b/>
                <w:bCs/>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E44B6">
            <w:pPr>
              <w:widowControl/>
              <w:jc w:val="center"/>
              <w:textAlignment w:val="center"/>
              <w:rPr>
                <w:rFonts w:ascii="宋体" w:hAnsi="宋体" w:cs="宋体"/>
                <w:b/>
                <w:bCs/>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1634B">
            <w:pPr>
              <w:widowControl/>
              <w:jc w:val="center"/>
              <w:textAlignment w:val="center"/>
              <w:rPr>
                <w:rFonts w:ascii="宋体" w:hAnsi="宋体" w:cs="宋体"/>
                <w:b/>
                <w:bCs/>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D8AE8">
            <w:pPr>
              <w:widowControl/>
              <w:jc w:val="center"/>
              <w:textAlignment w:val="center"/>
              <w:rPr>
                <w:rFonts w:ascii="宋体" w:hAnsi="宋体" w:cs="宋体"/>
                <w:b/>
                <w:bCs/>
                <w:color w:val="000000"/>
                <w:sz w:val="21"/>
                <w:szCs w:val="21"/>
                <w:lang w:bidi="ar"/>
              </w:rPr>
            </w:pPr>
          </w:p>
        </w:tc>
      </w:tr>
      <w:tr w14:paraId="535C93CF">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4C505">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1</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23FF9">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高速计算网络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0638A">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43113">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套</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56954">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B5D01">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4447">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B64D7">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06D30">
            <w:pPr>
              <w:widowControl/>
              <w:jc w:val="center"/>
              <w:textAlignment w:val="center"/>
              <w:rPr>
                <w:rFonts w:ascii="宋体" w:hAnsi="宋体" w:cs="宋体"/>
                <w:color w:val="000000"/>
                <w:sz w:val="21"/>
                <w:szCs w:val="21"/>
                <w:lang w:bidi="ar"/>
              </w:rPr>
            </w:pPr>
          </w:p>
        </w:tc>
      </w:tr>
      <w:tr w14:paraId="2155355E">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DE8FB">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2</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BD924">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万兆业务网络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B913A">
            <w:pPr>
              <w:widowControl/>
              <w:jc w:val="center"/>
              <w:textAlignment w:val="center"/>
              <w:rPr>
                <w:rFonts w:ascii="宋体" w:hAnsi="宋体" w:cs="宋体"/>
                <w:color w:val="000000"/>
                <w:sz w:val="21"/>
                <w:szCs w:val="21"/>
              </w:rPr>
            </w:pPr>
            <w:r>
              <w:rPr>
                <w:rFonts w:hint="eastAsia" w:ascii="宋体" w:hAnsi="宋体" w:cs="宋体"/>
                <w:color w:val="000000"/>
                <w:sz w:val="21"/>
                <w:szCs w:val="21"/>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EADBD">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套</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91763">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B2C1F">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4E3A5">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88EED">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B509A">
            <w:pPr>
              <w:widowControl/>
              <w:jc w:val="center"/>
              <w:textAlignment w:val="center"/>
              <w:rPr>
                <w:rFonts w:ascii="宋体" w:hAnsi="宋体" w:cs="宋体"/>
                <w:color w:val="000000"/>
                <w:sz w:val="21"/>
                <w:szCs w:val="21"/>
                <w:lang w:bidi="ar"/>
              </w:rPr>
            </w:pPr>
          </w:p>
        </w:tc>
      </w:tr>
      <w:tr w14:paraId="7C555CB8">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F11DE">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3</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8DF78">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千兆管理网络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A96FE">
            <w:pPr>
              <w:widowControl/>
              <w:jc w:val="center"/>
              <w:textAlignment w:val="center"/>
              <w:rPr>
                <w:rFonts w:ascii="宋体" w:hAnsi="宋体" w:cs="宋体"/>
                <w:color w:val="000000"/>
                <w:sz w:val="21"/>
                <w:szCs w:val="21"/>
              </w:rPr>
            </w:pPr>
            <w:r>
              <w:rPr>
                <w:rFonts w:hint="eastAsia" w:ascii="宋体" w:hAnsi="宋体" w:cs="宋体"/>
                <w:color w:val="000000"/>
                <w:sz w:val="21"/>
                <w:szCs w:val="21"/>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11E3B">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套</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3E6E7">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46056">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ACE9B">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4974A">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477CA">
            <w:pPr>
              <w:widowControl/>
              <w:jc w:val="center"/>
              <w:textAlignment w:val="center"/>
              <w:rPr>
                <w:rFonts w:ascii="宋体" w:hAnsi="宋体" w:cs="宋体"/>
                <w:color w:val="000000"/>
                <w:sz w:val="21"/>
                <w:szCs w:val="21"/>
                <w:lang w:bidi="ar"/>
              </w:rPr>
            </w:pPr>
          </w:p>
        </w:tc>
      </w:tr>
      <w:tr w14:paraId="4C96AC1A">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8C597">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四</w:t>
            </w:r>
          </w:p>
        </w:tc>
        <w:tc>
          <w:tcPr>
            <w:tcW w:w="4767"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AA47530">
            <w:pPr>
              <w:widowControl/>
              <w:jc w:val="center"/>
              <w:textAlignment w:val="center"/>
              <w:rPr>
                <w:rFonts w:hint="eastAsia" w:ascii="宋体" w:hAnsi="宋体" w:cs="宋体"/>
                <w:b/>
                <w:bCs/>
                <w:color w:val="000000"/>
                <w:sz w:val="21"/>
                <w:szCs w:val="21"/>
                <w:lang w:bidi="ar"/>
              </w:rPr>
            </w:pPr>
            <w:r>
              <w:rPr>
                <w:rFonts w:hint="eastAsia" w:ascii="宋体" w:hAnsi="宋体" w:cs="宋体"/>
                <w:b/>
                <w:bCs/>
                <w:color w:val="000000"/>
                <w:sz w:val="21"/>
                <w:szCs w:val="21"/>
                <w:lang w:bidi="ar"/>
              </w:rPr>
              <w:t>集群调度管理系统</w:t>
            </w:r>
          </w:p>
        </w:tc>
      </w:tr>
      <w:tr w14:paraId="646D6CE7">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59FF9">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1</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5E9F5">
            <w:pPr>
              <w:widowControl/>
              <w:jc w:val="center"/>
              <w:textAlignment w:val="center"/>
              <w:rPr>
                <w:rFonts w:ascii="宋体" w:hAnsi="宋体" w:cs="宋体"/>
                <w:color w:val="000000"/>
                <w:sz w:val="21"/>
                <w:szCs w:val="21"/>
                <w:lang w:eastAsia="zh-Hans"/>
              </w:rPr>
            </w:pPr>
            <w:r>
              <w:rPr>
                <w:rFonts w:hint="eastAsia" w:ascii="宋体" w:hAnsi="宋体" w:cs="宋体"/>
                <w:color w:val="000000"/>
                <w:sz w:val="21"/>
                <w:szCs w:val="21"/>
                <w:lang w:bidi="ar"/>
              </w:rPr>
              <w:t>集群调度管理系统</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A5D55">
            <w:pPr>
              <w:widowControl/>
              <w:jc w:val="center"/>
              <w:textAlignment w:val="center"/>
              <w:rPr>
                <w:rFonts w:ascii="宋体" w:hAnsi="宋体" w:cs="宋体"/>
                <w:color w:val="000000"/>
                <w:sz w:val="21"/>
                <w:szCs w:val="21"/>
              </w:rPr>
            </w:pPr>
            <w:r>
              <w:rPr>
                <w:rFonts w:hint="eastAsia" w:ascii="宋体" w:hAnsi="宋体" w:cs="宋体"/>
                <w:color w:val="000000"/>
                <w:sz w:val="21"/>
                <w:szCs w:val="21"/>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37A84">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套</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E8103">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8BBBF">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4EB3F">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F502B">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39BA7">
            <w:pPr>
              <w:widowControl/>
              <w:jc w:val="center"/>
              <w:textAlignment w:val="center"/>
              <w:rPr>
                <w:rFonts w:ascii="宋体" w:hAnsi="宋体" w:cs="宋体"/>
                <w:color w:val="000000"/>
                <w:sz w:val="21"/>
                <w:szCs w:val="21"/>
                <w:lang w:bidi="ar"/>
              </w:rPr>
            </w:pPr>
          </w:p>
        </w:tc>
      </w:tr>
      <w:tr w14:paraId="334BB453">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4FAC1">
            <w:pPr>
              <w:widowControl/>
              <w:jc w:val="center"/>
              <w:textAlignment w:val="center"/>
              <w:rPr>
                <w:rFonts w:ascii="宋体" w:hAnsi="宋体" w:cs="宋体"/>
                <w:b/>
                <w:bCs/>
                <w:color w:val="000000"/>
                <w:sz w:val="21"/>
                <w:szCs w:val="21"/>
                <w:lang w:bidi="ar"/>
              </w:rPr>
            </w:pPr>
            <w:r>
              <w:rPr>
                <w:rFonts w:hint="eastAsia" w:ascii="宋体" w:hAnsi="宋体" w:cs="宋体"/>
                <w:b/>
                <w:bCs/>
                <w:color w:val="000000"/>
                <w:sz w:val="21"/>
                <w:szCs w:val="21"/>
                <w:lang w:bidi="ar"/>
              </w:rPr>
              <w:t>五</w:t>
            </w:r>
          </w:p>
        </w:tc>
        <w:tc>
          <w:tcPr>
            <w:tcW w:w="4767"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E21AFB6">
            <w:pPr>
              <w:widowControl/>
              <w:jc w:val="center"/>
              <w:textAlignment w:val="center"/>
              <w:rPr>
                <w:rFonts w:hint="eastAsia" w:ascii="宋体" w:hAnsi="宋体" w:cs="宋体"/>
                <w:b/>
                <w:bCs/>
                <w:color w:val="000000"/>
                <w:sz w:val="21"/>
                <w:szCs w:val="21"/>
                <w:lang w:bidi="ar"/>
              </w:rPr>
            </w:pPr>
            <w:r>
              <w:rPr>
                <w:rFonts w:hint="eastAsia" w:ascii="宋体" w:hAnsi="宋体" w:cs="宋体"/>
                <w:b/>
                <w:bCs/>
                <w:color w:val="000000"/>
                <w:sz w:val="21"/>
                <w:szCs w:val="21"/>
                <w:lang w:bidi="ar"/>
              </w:rPr>
              <w:t>集群防火墙</w:t>
            </w:r>
          </w:p>
        </w:tc>
      </w:tr>
      <w:tr w14:paraId="52AF9D51">
        <w:tblPrEx>
          <w:tblCellMar>
            <w:top w:w="0" w:type="dxa"/>
            <w:left w:w="108" w:type="dxa"/>
            <w:bottom w:w="0" w:type="dxa"/>
            <w:right w:w="108" w:type="dxa"/>
          </w:tblCellMar>
        </w:tblPrEx>
        <w:trPr>
          <w:trHeight w:val="403"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78FEC">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1</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E428B">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集群防火墙</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17F58">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D7B1F">
            <w:pPr>
              <w:widowControl/>
              <w:jc w:val="center"/>
              <w:textAlignment w:val="center"/>
              <w:rPr>
                <w:rFonts w:ascii="宋体" w:hAnsi="宋体" w:cs="宋体"/>
                <w:color w:val="000000"/>
                <w:sz w:val="21"/>
                <w:szCs w:val="21"/>
              </w:rPr>
            </w:pPr>
            <w:r>
              <w:rPr>
                <w:rFonts w:hint="eastAsia" w:ascii="宋体" w:hAnsi="宋体" w:cs="宋体"/>
                <w:color w:val="000000"/>
                <w:sz w:val="21"/>
                <w:szCs w:val="21"/>
                <w:lang w:bidi="ar"/>
              </w:rPr>
              <w:t>套</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0D874">
            <w:pPr>
              <w:widowControl/>
              <w:jc w:val="center"/>
              <w:textAlignment w:val="center"/>
              <w:rPr>
                <w:rFonts w:ascii="宋体" w:hAnsi="宋体" w:cs="宋体"/>
                <w:color w:val="000000"/>
                <w:sz w:val="21"/>
                <w:szCs w:val="21"/>
                <w:lang w:bidi="ar"/>
              </w:rPr>
            </w:pPr>
          </w:p>
        </w:tc>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315CC">
            <w:pPr>
              <w:widowControl/>
              <w:jc w:val="center"/>
              <w:textAlignment w:val="center"/>
              <w:rPr>
                <w:rFonts w:ascii="宋体" w:hAnsi="宋体" w:cs="宋体"/>
                <w:color w:val="000000"/>
                <w:sz w:val="21"/>
                <w:szCs w:val="21"/>
                <w:lang w:bidi="ar"/>
              </w:rPr>
            </w:pP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310F6">
            <w:pPr>
              <w:widowControl/>
              <w:jc w:val="center"/>
              <w:textAlignment w:val="center"/>
              <w:rPr>
                <w:rFonts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0DEE6">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EFA2D">
            <w:pPr>
              <w:widowControl/>
              <w:jc w:val="center"/>
              <w:textAlignment w:val="center"/>
              <w:rPr>
                <w:rFonts w:ascii="宋体" w:hAnsi="宋体" w:cs="宋体"/>
                <w:color w:val="000000"/>
                <w:sz w:val="21"/>
                <w:szCs w:val="21"/>
                <w:lang w:bidi="ar"/>
              </w:rPr>
            </w:pPr>
          </w:p>
        </w:tc>
      </w:tr>
      <w:tr w14:paraId="308E94C9">
        <w:tblPrEx>
          <w:tblCellMar>
            <w:top w:w="0" w:type="dxa"/>
            <w:left w:w="108" w:type="dxa"/>
            <w:bottom w:w="0" w:type="dxa"/>
            <w:right w:w="108" w:type="dxa"/>
          </w:tblCellMar>
        </w:tblPrEx>
        <w:trPr>
          <w:trHeight w:val="403" w:hRule="atLeast"/>
        </w:trPr>
        <w:tc>
          <w:tcPr>
            <w:tcW w:w="2775"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E05F20">
            <w:pPr>
              <w:widowControl/>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合计</w:t>
            </w:r>
          </w:p>
        </w:tc>
        <w:tc>
          <w:tcPr>
            <w:tcW w:w="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3F334">
            <w:pPr>
              <w:widowControl/>
              <w:jc w:val="center"/>
              <w:textAlignment w:val="center"/>
              <w:rPr>
                <w:rFonts w:hint="eastAsia" w:ascii="宋体" w:hAnsi="宋体" w:cs="宋体"/>
                <w:color w:val="000000"/>
                <w:sz w:val="21"/>
                <w:szCs w:val="21"/>
                <w:lang w:bidi="ar"/>
              </w:rPr>
            </w:pP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62D66">
            <w:pPr>
              <w:widowControl/>
              <w:jc w:val="center"/>
              <w:textAlignment w:val="center"/>
              <w:rPr>
                <w:rFonts w:ascii="宋体" w:hAnsi="宋体" w:cs="宋体"/>
                <w:color w:val="000000"/>
                <w:sz w:val="21"/>
                <w:szCs w:val="21"/>
                <w:lang w:bidi="ar"/>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37B62">
            <w:pPr>
              <w:widowControl/>
              <w:jc w:val="center"/>
              <w:textAlignment w:val="center"/>
              <w:rPr>
                <w:rFonts w:ascii="宋体" w:hAnsi="宋体" w:cs="宋体"/>
                <w:color w:val="000000"/>
                <w:sz w:val="21"/>
                <w:szCs w:val="21"/>
                <w:lang w:bidi="ar"/>
              </w:rPr>
            </w:pPr>
          </w:p>
        </w:tc>
      </w:tr>
    </w:tbl>
    <w:p w14:paraId="63B8857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787C4F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0" w:firstLineChars="0"/>
        <w:jc w:val="left"/>
        <w:textAlignment w:val="auto"/>
        <w:rPr>
          <w:rFonts w:ascii="Arial" w:hAnsi="Arial" w:cs="Arial"/>
          <w:b/>
          <w:bCs/>
          <w:kern w:val="0"/>
          <w:szCs w:val="21"/>
        </w:rPr>
      </w:pPr>
      <w:r>
        <w:rPr>
          <w:rFonts w:ascii="Arial" w:hAnsi="Arial" w:cs="Arial"/>
          <w:kern w:val="0"/>
          <w:szCs w:val="21"/>
        </w:rPr>
        <w:t>说明：</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66C58DC5">
      <w:pPr>
        <w:widowControl/>
        <w:jc w:val="left"/>
        <w:rPr>
          <w:rFonts w:ascii="Arial" w:hAnsi="Arial" w:cs="Arial"/>
          <w:kern w:val="0"/>
          <w:szCs w:val="21"/>
        </w:rPr>
      </w:pPr>
      <w:r>
        <w:rPr>
          <w:rFonts w:ascii="Arial" w:hAnsi="Arial" w:cs="Arial"/>
          <w:kern w:val="0"/>
          <w:szCs w:val="21"/>
        </w:rPr>
        <w:br w:type="page"/>
      </w:r>
    </w:p>
    <w:p w14:paraId="43DCAEF5">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技术条款偏离表</w:t>
      </w:r>
    </w:p>
    <w:p w14:paraId="0430D888">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60EF7F9E">
      <w:pPr>
        <w:keepNext w:val="0"/>
        <w:keepLines w:val="0"/>
        <w:pageBreakBefore w:val="0"/>
        <w:widowControl/>
        <w:shd w:val="clear" w:color="auto" w:fill="FFFFFF"/>
        <w:kinsoku/>
        <w:wordWrap/>
        <w:overflowPunct/>
        <w:topLinePunct w:val="0"/>
        <w:autoSpaceDE/>
        <w:autoSpaceDN/>
        <w:bidi w:val="0"/>
        <w:adjustRightInd/>
        <w:snapToGrid/>
        <w:spacing w:line="360" w:lineRule="auto"/>
        <w:ind w:left="0"/>
        <w:jc w:val="center"/>
        <w:textAlignment w:val="auto"/>
        <w:rPr>
          <w:rFonts w:ascii="Arial" w:hAnsi="Arial" w:cs="Arial"/>
          <w:b/>
          <w:kern w:val="0"/>
          <w:szCs w:val="21"/>
        </w:rPr>
      </w:pPr>
      <w:r>
        <w:rPr>
          <w:rFonts w:ascii="Arial" w:hAnsi="Arial" w:cs="Arial"/>
          <w:b/>
          <w:kern w:val="0"/>
          <w:sz w:val="36"/>
          <w:szCs w:val="36"/>
        </w:rPr>
        <w:t>技术条款偏离表</w:t>
      </w:r>
    </w:p>
    <w:p w14:paraId="5EFFC2AA">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4DBCDAD">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0"/>
        <w:gridCol w:w="1858"/>
        <w:gridCol w:w="2139"/>
        <w:gridCol w:w="2417"/>
        <w:gridCol w:w="1162"/>
      </w:tblGrid>
      <w:tr w14:paraId="7CF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4F6E1820">
            <w:pPr>
              <w:widowControl/>
              <w:spacing w:line="360" w:lineRule="auto"/>
              <w:jc w:val="center"/>
              <w:rPr>
                <w:rFonts w:ascii="Arial" w:hAnsi="Arial" w:cs="Arial"/>
                <w:b/>
                <w:kern w:val="0"/>
                <w:szCs w:val="21"/>
              </w:rPr>
            </w:pPr>
            <w:r>
              <w:rPr>
                <w:rFonts w:ascii="Arial" w:hAnsi="Arial" w:cs="Arial"/>
                <w:b/>
                <w:kern w:val="0"/>
                <w:szCs w:val="21"/>
              </w:rPr>
              <w:t>序号</w:t>
            </w:r>
          </w:p>
        </w:tc>
        <w:tc>
          <w:tcPr>
            <w:tcW w:w="1121" w:type="pct"/>
            <w:tcMar>
              <w:top w:w="0" w:type="dxa"/>
              <w:left w:w="10" w:type="dxa"/>
              <w:bottom w:w="0" w:type="dxa"/>
              <w:right w:w="10" w:type="dxa"/>
            </w:tcMar>
            <w:vAlign w:val="center"/>
          </w:tcPr>
          <w:p w14:paraId="4DA058E5">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290" w:type="pct"/>
            <w:tcMar>
              <w:top w:w="0" w:type="dxa"/>
              <w:left w:w="10" w:type="dxa"/>
              <w:bottom w:w="0" w:type="dxa"/>
              <w:right w:w="10" w:type="dxa"/>
            </w:tcMar>
            <w:vAlign w:val="center"/>
          </w:tcPr>
          <w:p w14:paraId="1B7F17CB">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1458" w:type="pct"/>
            <w:tcMar>
              <w:top w:w="0" w:type="dxa"/>
              <w:left w:w="10" w:type="dxa"/>
              <w:bottom w:w="0" w:type="dxa"/>
              <w:right w:w="10" w:type="dxa"/>
            </w:tcMar>
            <w:vAlign w:val="center"/>
          </w:tcPr>
          <w:p w14:paraId="75C08EF9">
            <w:pPr>
              <w:widowControl/>
              <w:spacing w:line="360" w:lineRule="auto"/>
              <w:jc w:val="center"/>
              <w:rPr>
                <w:rFonts w:ascii="Arial" w:hAnsi="Arial" w:cs="Arial"/>
                <w:b/>
                <w:kern w:val="0"/>
                <w:szCs w:val="21"/>
              </w:rPr>
            </w:pPr>
            <w:r>
              <w:rPr>
                <w:rFonts w:ascii="Arial" w:hAnsi="Arial" w:cs="Arial"/>
                <w:b/>
                <w:kern w:val="0"/>
                <w:szCs w:val="21"/>
              </w:rPr>
              <w:t>投标响应</w:t>
            </w:r>
          </w:p>
        </w:tc>
        <w:tc>
          <w:tcPr>
            <w:tcW w:w="701" w:type="pct"/>
            <w:tcMar>
              <w:top w:w="0" w:type="dxa"/>
              <w:left w:w="10" w:type="dxa"/>
              <w:bottom w:w="0" w:type="dxa"/>
              <w:right w:w="10" w:type="dxa"/>
            </w:tcMar>
            <w:vAlign w:val="center"/>
          </w:tcPr>
          <w:p w14:paraId="7739EA8D">
            <w:pPr>
              <w:widowControl/>
              <w:spacing w:line="360" w:lineRule="auto"/>
              <w:jc w:val="center"/>
              <w:rPr>
                <w:rFonts w:ascii="Arial" w:hAnsi="Arial" w:cs="Arial"/>
                <w:b/>
                <w:kern w:val="0"/>
                <w:szCs w:val="21"/>
              </w:rPr>
            </w:pPr>
            <w:r>
              <w:rPr>
                <w:rFonts w:ascii="Arial" w:hAnsi="Arial" w:cs="Arial"/>
                <w:b/>
                <w:kern w:val="0"/>
                <w:szCs w:val="21"/>
              </w:rPr>
              <w:t>偏离</w:t>
            </w:r>
          </w:p>
        </w:tc>
      </w:tr>
      <w:tr w14:paraId="0C39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9975936">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E46171B">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1F119E9">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97BD4D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EA103BC">
            <w:pPr>
              <w:widowControl/>
              <w:spacing w:line="360" w:lineRule="auto"/>
              <w:jc w:val="center"/>
              <w:rPr>
                <w:rFonts w:ascii="Arial" w:hAnsi="Arial" w:cs="Arial"/>
                <w:kern w:val="0"/>
                <w:szCs w:val="21"/>
              </w:rPr>
            </w:pPr>
            <w:r>
              <w:rPr>
                <w:rFonts w:ascii="Arial" w:hAnsi="Arial" w:cs="Arial"/>
                <w:kern w:val="0"/>
                <w:szCs w:val="21"/>
              </w:rPr>
              <w:t> </w:t>
            </w:r>
          </w:p>
        </w:tc>
      </w:tr>
      <w:tr w14:paraId="6220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58077ED">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4C85927E">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B51CBFB">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4C0B3EB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671C6D9">
            <w:pPr>
              <w:widowControl/>
              <w:spacing w:line="360" w:lineRule="auto"/>
              <w:jc w:val="center"/>
              <w:rPr>
                <w:rFonts w:ascii="Arial" w:hAnsi="Arial" w:cs="Arial"/>
                <w:kern w:val="0"/>
                <w:szCs w:val="21"/>
              </w:rPr>
            </w:pPr>
            <w:r>
              <w:rPr>
                <w:rFonts w:ascii="Arial" w:hAnsi="Arial" w:cs="Arial"/>
                <w:kern w:val="0"/>
                <w:szCs w:val="21"/>
              </w:rPr>
              <w:t> </w:t>
            </w:r>
          </w:p>
        </w:tc>
      </w:tr>
      <w:tr w14:paraId="52587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CD96A67">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BD3B1B6">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535540BF">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8A1D0FB">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42DAEEBF">
            <w:pPr>
              <w:widowControl/>
              <w:spacing w:line="360" w:lineRule="auto"/>
              <w:jc w:val="center"/>
              <w:rPr>
                <w:rFonts w:ascii="Arial" w:hAnsi="Arial" w:cs="Arial"/>
                <w:kern w:val="0"/>
                <w:szCs w:val="21"/>
              </w:rPr>
            </w:pPr>
            <w:r>
              <w:rPr>
                <w:rFonts w:ascii="Arial" w:hAnsi="Arial" w:cs="Arial"/>
                <w:kern w:val="0"/>
                <w:szCs w:val="21"/>
              </w:rPr>
              <w:t> </w:t>
            </w:r>
          </w:p>
        </w:tc>
      </w:tr>
      <w:tr w14:paraId="64CF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74D8D06">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6527E10A">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5F12FDF">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50C665C9">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663BBFCF">
            <w:pPr>
              <w:widowControl/>
              <w:spacing w:line="360" w:lineRule="auto"/>
              <w:jc w:val="center"/>
              <w:rPr>
                <w:rFonts w:ascii="Arial" w:hAnsi="Arial" w:cs="Arial"/>
                <w:kern w:val="0"/>
                <w:szCs w:val="21"/>
              </w:rPr>
            </w:pPr>
          </w:p>
        </w:tc>
      </w:tr>
      <w:tr w14:paraId="2FB2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8B73850">
            <w:pPr>
              <w:widowControl/>
              <w:spacing w:line="360" w:lineRule="auto"/>
              <w:jc w:val="center"/>
              <w:rPr>
                <w:rFonts w:hint="default" w:ascii="Arial" w:hAnsi="Arial" w:eastAsia="宋体" w:cs="Arial"/>
                <w:kern w:val="0"/>
                <w:szCs w:val="21"/>
                <w:lang w:val="en-US" w:eastAsia="zh-CN"/>
              </w:rPr>
            </w:pPr>
            <w:r>
              <w:rPr>
                <w:rFonts w:hint="eastAsia" w:ascii="Arial" w:hAnsi="Arial" w:cs="Arial"/>
                <w:kern w:val="0"/>
                <w:szCs w:val="21"/>
                <w:lang w:val="en-US" w:eastAsia="zh-CN"/>
              </w:rPr>
              <w:t>....</w:t>
            </w:r>
          </w:p>
        </w:tc>
        <w:tc>
          <w:tcPr>
            <w:tcW w:w="1121" w:type="pct"/>
            <w:tcMar>
              <w:top w:w="0" w:type="dxa"/>
              <w:left w:w="10" w:type="dxa"/>
              <w:bottom w:w="0" w:type="dxa"/>
              <w:right w:w="10" w:type="dxa"/>
            </w:tcMar>
            <w:vAlign w:val="center"/>
          </w:tcPr>
          <w:p w14:paraId="77F7FE6B">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7FE85943">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0FB54C10">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3933CADE">
            <w:pPr>
              <w:widowControl/>
              <w:spacing w:line="360" w:lineRule="auto"/>
              <w:jc w:val="center"/>
              <w:rPr>
                <w:rFonts w:ascii="Arial" w:hAnsi="Arial" w:cs="Arial"/>
                <w:kern w:val="0"/>
                <w:szCs w:val="21"/>
              </w:rPr>
            </w:pPr>
          </w:p>
        </w:tc>
      </w:tr>
      <w:tr w14:paraId="6996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73A9D070">
            <w:pPr>
              <w:widowControl/>
              <w:spacing w:line="360" w:lineRule="auto"/>
              <w:jc w:val="center"/>
              <w:rPr>
                <w:rFonts w:hint="default" w:ascii="Arial" w:hAnsi="Arial" w:eastAsia="宋体" w:cs="Arial"/>
                <w:kern w:val="0"/>
                <w:szCs w:val="21"/>
                <w:highlight w:val="none"/>
                <w:lang w:val="en-US" w:eastAsia="zh-CN"/>
              </w:rPr>
            </w:pPr>
            <w:r>
              <w:rPr>
                <w:rFonts w:hint="eastAsia" w:ascii="Arial" w:hAnsi="Arial" w:cs="Arial"/>
                <w:kern w:val="0"/>
                <w:szCs w:val="21"/>
                <w:highlight w:val="none"/>
                <w:lang w:val="en-US" w:eastAsia="zh-CN"/>
              </w:rPr>
              <w:t>....</w:t>
            </w:r>
          </w:p>
        </w:tc>
        <w:tc>
          <w:tcPr>
            <w:tcW w:w="2411" w:type="pct"/>
            <w:gridSpan w:val="2"/>
            <w:tcMar>
              <w:top w:w="0" w:type="dxa"/>
              <w:left w:w="10" w:type="dxa"/>
              <w:bottom w:w="0" w:type="dxa"/>
              <w:right w:w="10" w:type="dxa"/>
            </w:tcMar>
            <w:vAlign w:val="center"/>
          </w:tcPr>
          <w:p w14:paraId="40B467A5">
            <w:pPr>
              <w:widowControl/>
              <w:spacing w:line="360" w:lineRule="auto"/>
              <w:jc w:val="center"/>
              <w:rPr>
                <w:rFonts w:ascii="Arial" w:hAnsi="Arial" w:cs="Arial"/>
                <w:kern w:val="0"/>
                <w:szCs w:val="21"/>
                <w:highlight w:val="none"/>
              </w:rPr>
            </w:pPr>
            <w:r>
              <w:rPr>
                <w:rFonts w:hint="eastAsia" w:ascii="Arial" w:hAnsi="Arial" w:cs="Arial"/>
                <w:kern w:val="0"/>
                <w:szCs w:val="21"/>
                <w:highlight w:val="none"/>
              </w:rPr>
              <w:t>我单位承诺，其余普通条款</w:t>
            </w:r>
            <w:r>
              <w:rPr>
                <w:rFonts w:hint="eastAsia" w:ascii="Arial" w:hAnsi="Arial" w:cs="Arial"/>
                <w:kern w:val="0"/>
                <w:szCs w:val="21"/>
                <w:highlight w:val="none"/>
                <w:lang w:eastAsia="zh-CN"/>
              </w:rPr>
              <w:t>（</w:t>
            </w:r>
            <w:r>
              <w:rPr>
                <w:rFonts w:hint="eastAsia" w:ascii="Arial" w:hAnsi="Arial" w:cs="Arial"/>
                <w:kern w:val="0"/>
                <w:szCs w:val="21"/>
                <w:highlight w:val="none"/>
              </w:rPr>
              <w:t>除了要求证明材料的</w:t>
            </w:r>
            <w:r>
              <w:rPr>
                <w:rFonts w:hint="eastAsia" w:ascii="Arial" w:hAnsi="Arial" w:cs="Arial"/>
                <w:kern w:val="0"/>
                <w:szCs w:val="21"/>
                <w:highlight w:val="none"/>
                <w:lang w:eastAsia="zh-CN"/>
              </w:rPr>
              <w:t>）</w:t>
            </w:r>
            <w:r>
              <w:rPr>
                <w:rFonts w:hint="eastAsia" w:ascii="Arial" w:hAnsi="Arial" w:cs="Arial"/>
                <w:kern w:val="0"/>
                <w:szCs w:val="21"/>
                <w:highlight w:val="none"/>
              </w:rPr>
              <w:t>均满足采购文件要求，无偏离</w:t>
            </w:r>
          </w:p>
        </w:tc>
        <w:tc>
          <w:tcPr>
            <w:tcW w:w="1458" w:type="pct"/>
            <w:tcMar>
              <w:top w:w="0" w:type="dxa"/>
              <w:left w:w="10" w:type="dxa"/>
              <w:bottom w:w="0" w:type="dxa"/>
              <w:right w:w="10" w:type="dxa"/>
            </w:tcMar>
            <w:vAlign w:val="center"/>
          </w:tcPr>
          <w:p w14:paraId="63F8E8D3">
            <w:pPr>
              <w:widowControl/>
              <w:spacing w:line="360" w:lineRule="auto"/>
              <w:jc w:val="center"/>
              <w:rPr>
                <w:rFonts w:ascii="Arial" w:hAnsi="Arial" w:cs="Arial"/>
                <w:kern w:val="0"/>
                <w:szCs w:val="21"/>
                <w:highlight w:val="none"/>
              </w:rPr>
            </w:pPr>
            <w:r>
              <w:rPr>
                <w:rFonts w:hint="eastAsia" w:ascii="Arial" w:hAnsi="Arial" w:cs="Arial"/>
                <w:kern w:val="0"/>
                <w:szCs w:val="21"/>
                <w:highlight w:val="none"/>
              </w:rPr>
              <w:t>均满足采购文件要求，无偏离</w:t>
            </w:r>
          </w:p>
        </w:tc>
        <w:tc>
          <w:tcPr>
            <w:tcW w:w="701" w:type="pct"/>
            <w:tcMar>
              <w:top w:w="0" w:type="dxa"/>
              <w:left w:w="10" w:type="dxa"/>
              <w:bottom w:w="0" w:type="dxa"/>
              <w:right w:w="10" w:type="dxa"/>
            </w:tcMar>
            <w:vAlign w:val="center"/>
          </w:tcPr>
          <w:p w14:paraId="5F08D638">
            <w:pPr>
              <w:widowControl/>
              <w:spacing w:line="360" w:lineRule="auto"/>
              <w:jc w:val="center"/>
              <w:rPr>
                <w:rFonts w:ascii="Arial" w:hAnsi="Arial" w:cs="Arial"/>
                <w:kern w:val="0"/>
                <w:szCs w:val="21"/>
                <w:highlight w:val="none"/>
              </w:rPr>
            </w:pPr>
            <w:r>
              <w:rPr>
                <w:rFonts w:hint="eastAsia" w:ascii="Arial" w:hAnsi="Arial" w:cs="Arial"/>
                <w:kern w:val="0"/>
                <w:szCs w:val="21"/>
                <w:highlight w:val="none"/>
              </w:rPr>
              <w:t>无偏离</w:t>
            </w:r>
          </w:p>
        </w:tc>
      </w:tr>
    </w:tbl>
    <w:p w14:paraId="540848F0">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0C5F4108">
      <w:pPr>
        <w:widowControl/>
        <w:shd w:val="clear" w:color="auto" w:fill="FFFFFF"/>
        <w:spacing w:line="360" w:lineRule="auto"/>
        <w:jc w:val="left"/>
        <w:rPr>
          <w:rFonts w:hint="eastAsia" w:ascii="Arial" w:hAnsi="Arial" w:eastAsia="宋体" w:cs="Arial"/>
          <w:b/>
          <w:bCs/>
          <w:kern w:val="0"/>
          <w:szCs w:val="21"/>
          <w:lang w:val="en-US" w:eastAsia="zh-CN"/>
        </w:rPr>
      </w:pPr>
      <w:r>
        <w:rPr>
          <w:rFonts w:hint="eastAsia" w:ascii="Arial" w:hAnsi="Arial" w:cs="Arial"/>
          <w:b/>
          <w:bCs/>
          <w:kern w:val="0"/>
          <w:szCs w:val="21"/>
          <w:lang w:val="en-US" w:eastAsia="zh-CN"/>
        </w:rPr>
        <w:t>1、“★”“▲”的技术参数响应需提供支</w:t>
      </w:r>
      <w:r>
        <w:rPr>
          <w:rFonts w:hint="eastAsia" w:ascii="Arial" w:hAnsi="Arial" w:cs="Arial"/>
          <w:b/>
          <w:bCs/>
          <w:kern w:val="0"/>
          <w:szCs w:val="21"/>
          <w:highlight w:val="none"/>
          <w:lang w:val="en-US" w:eastAsia="zh-CN"/>
        </w:rPr>
        <w:t>撑资料（提供相关证明材料并加盖投标单位公章包括明确说明该技术内容的公开发行的产品彩页或产品说明书或第三方检测机构的检测报告，需求中有其他要求的仅从其要求。），如</w:t>
      </w:r>
      <w:r>
        <w:rPr>
          <w:rFonts w:hint="eastAsia" w:ascii="Arial" w:hAnsi="Arial" w:cs="Arial"/>
          <w:b/>
          <w:bCs/>
          <w:kern w:val="0"/>
          <w:szCs w:val="21"/>
          <w:lang w:val="en-US" w:eastAsia="zh-CN"/>
        </w:rPr>
        <w:t>未附有效支撑材料或者所附的支撑材料由评标委员会认为不能佐证技术指标的有效性的，则视为负偏离。）如文件中要求提供证明材料，建议采用箭头、标红或下划线等进行明显标注，方便评委查看。供应商须如实地在《技术条款偏离表》中标明满足与否，并对其真实性负责。在签订合同前，采购人有权要求供应商到用户现场验证，功能、性能需与技术要求一致，否则视为虚假应标，采购人有权追究其相应法律责任。</w:t>
      </w:r>
    </w:p>
    <w:p w14:paraId="5CE30071">
      <w:pPr>
        <w:widowControl/>
        <w:shd w:val="clear" w:color="auto" w:fill="FFFFFF"/>
        <w:spacing w:line="360" w:lineRule="auto"/>
        <w:jc w:val="left"/>
        <w:rPr>
          <w:rFonts w:ascii="Arial" w:hAnsi="Arial" w:cs="Arial"/>
          <w:kern w:val="0"/>
          <w:szCs w:val="21"/>
        </w:rPr>
      </w:pPr>
      <w:r>
        <w:rPr>
          <w:rFonts w:hint="eastAsia" w:ascii="Arial" w:hAnsi="Arial" w:cs="Arial"/>
          <w:kern w:val="0"/>
          <w:szCs w:val="21"/>
          <w:lang w:val="en-US" w:eastAsia="zh-CN"/>
        </w:rPr>
        <w:t>2</w:t>
      </w:r>
      <w:r>
        <w:rPr>
          <w:rFonts w:hint="eastAsia" w:ascii="Arial" w:hAnsi="Arial" w:cs="Arial"/>
          <w:kern w:val="0"/>
          <w:szCs w:val="21"/>
        </w:rPr>
        <w:t>、如果行数不够，请自行增加。</w:t>
      </w:r>
    </w:p>
    <w:p w14:paraId="0B94E66A">
      <w:pPr>
        <w:widowControl/>
        <w:shd w:val="clear" w:color="auto" w:fill="FFFFFF"/>
        <w:spacing w:line="360" w:lineRule="auto"/>
        <w:jc w:val="left"/>
        <w:rPr>
          <w:rFonts w:hint="eastAsia" w:ascii="Arial" w:hAnsi="Arial" w:cs="Arial"/>
          <w:kern w:val="0"/>
          <w:szCs w:val="21"/>
        </w:rPr>
      </w:pPr>
      <w:r>
        <w:rPr>
          <w:rFonts w:hint="eastAsia" w:ascii="Arial" w:hAnsi="Arial" w:cs="Arial"/>
          <w:kern w:val="0"/>
          <w:szCs w:val="21"/>
          <w:lang w:val="en-US" w:eastAsia="zh-CN"/>
        </w:rPr>
        <w:t>3</w:t>
      </w:r>
      <w:r>
        <w:rPr>
          <w:rFonts w:hint="eastAsia" w:ascii="Arial" w:hAnsi="Arial" w:cs="Arial"/>
          <w:kern w:val="0"/>
          <w:szCs w:val="21"/>
        </w:rPr>
        <w:t>、“偏离”栏应注明“无偏离”或“正偏离”或“负偏离”。</w:t>
      </w:r>
    </w:p>
    <w:p w14:paraId="6A58318B">
      <w:pPr>
        <w:widowControl/>
        <w:shd w:val="clear" w:color="auto" w:fill="FFFFFF"/>
        <w:spacing w:line="360" w:lineRule="auto"/>
        <w:jc w:val="left"/>
        <w:rPr>
          <w:rFonts w:ascii="Arial" w:hAnsi="Arial" w:cs="Arial"/>
          <w:kern w:val="0"/>
          <w:szCs w:val="21"/>
        </w:rPr>
      </w:pPr>
      <w:r>
        <w:rPr>
          <w:rFonts w:hint="eastAsia" w:ascii="Arial" w:hAnsi="Arial" w:cs="Arial"/>
          <w:kern w:val="0"/>
          <w:szCs w:val="21"/>
          <w:lang w:val="en-US" w:eastAsia="zh-CN"/>
        </w:rPr>
        <w:t>4</w:t>
      </w:r>
      <w:r>
        <w:rPr>
          <w:rFonts w:hint="eastAsia" w:ascii="Arial" w:hAnsi="Arial" w:cs="Arial"/>
          <w:kern w:val="0"/>
          <w:szCs w:val="21"/>
        </w:rPr>
        <w:t>、内容响应存在正偏离或无偏离或负偏离的，请在本表中列出。其余条款</w:t>
      </w:r>
      <w:r>
        <w:rPr>
          <w:rFonts w:hint="eastAsia" w:ascii="Arial" w:hAnsi="Arial" w:cs="Arial"/>
          <w:kern w:val="0"/>
          <w:szCs w:val="21"/>
          <w:lang w:eastAsia="zh-CN"/>
        </w:rPr>
        <w:t>（</w:t>
      </w:r>
      <w:r>
        <w:rPr>
          <w:rFonts w:hint="eastAsia" w:ascii="Arial" w:hAnsi="Arial" w:cs="Arial"/>
          <w:kern w:val="0"/>
          <w:szCs w:val="21"/>
        </w:rPr>
        <w:t>除了要求证明材料的</w:t>
      </w:r>
      <w:r>
        <w:rPr>
          <w:rFonts w:hint="eastAsia" w:ascii="Arial" w:hAnsi="Arial" w:cs="Arial"/>
          <w:kern w:val="0"/>
          <w:szCs w:val="21"/>
          <w:lang w:eastAsia="zh-CN"/>
        </w:rPr>
        <w:t>）</w:t>
      </w:r>
      <w:r>
        <w:rPr>
          <w:rFonts w:hint="eastAsia" w:ascii="Arial" w:hAnsi="Arial" w:cs="Arial"/>
          <w:kern w:val="0"/>
          <w:szCs w:val="21"/>
        </w:rPr>
        <w:t>未列出的，也视为响应</w:t>
      </w:r>
      <w:r>
        <w:rPr>
          <w:rFonts w:hint="eastAsia" w:ascii="Arial" w:hAnsi="Arial" w:cs="Arial"/>
          <w:kern w:val="0"/>
          <w:szCs w:val="21"/>
          <w:lang w:val="en-US" w:eastAsia="zh-CN"/>
        </w:rPr>
        <w:t>招标</w:t>
      </w:r>
      <w:r>
        <w:rPr>
          <w:rFonts w:hint="eastAsia" w:ascii="Arial" w:hAnsi="Arial" w:cs="Arial"/>
          <w:kern w:val="0"/>
          <w:szCs w:val="21"/>
        </w:rPr>
        <w:t>文件要求，无偏离。如果行数不够，请自行增加。</w:t>
      </w:r>
    </w:p>
    <w:p w14:paraId="35FC5939">
      <w:pPr>
        <w:widowControl/>
        <w:shd w:val="clear" w:color="auto" w:fill="FFFFFF"/>
        <w:spacing w:line="360" w:lineRule="auto"/>
        <w:jc w:val="left"/>
        <w:rPr>
          <w:rFonts w:ascii="Arial" w:hAnsi="Arial" w:cs="Arial"/>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r>
        <w:rPr>
          <w:rFonts w:ascii="Arial" w:hAnsi="Arial" w:cs="Arial"/>
          <w:kern w:val="0"/>
          <w:szCs w:val="21"/>
        </w:rPr>
        <w:t> </w:t>
      </w:r>
    </w:p>
    <w:p w14:paraId="2CF7A35E">
      <w:pPr>
        <w:rPr>
          <w:rFonts w:ascii="Arial" w:hAnsi="Arial" w:cs="Arial"/>
          <w:kern w:val="0"/>
          <w:szCs w:val="21"/>
        </w:rPr>
      </w:pPr>
      <w:r>
        <w:rPr>
          <w:rFonts w:ascii="Arial" w:hAnsi="Arial" w:cs="Arial"/>
          <w:kern w:val="0"/>
          <w:szCs w:val="21"/>
        </w:rPr>
        <w:br w:type="page"/>
      </w:r>
    </w:p>
    <w:p w14:paraId="334327D0">
      <w:pPr>
        <w:widowControl/>
        <w:shd w:val="clear" w:color="auto" w:fill="FFFFFF"/>
        <w:spacing w:line="360" w:lineRule="auto"/>
        <w:jc w:val="left"/>
        <w:rPr>
          <w:rFonts w:ascii="Arial" w:hAnsi="Arial" w:cs="Arial"/>
          <w:kern w:val="0"/>
          <w:szCs w:val="21"/>
        </w:rPr>
      </w:pPr>
      <w:r>
        <w:rPr>
          <w:rFonts w:ascii="Arial" w:hAnsi="Arial" w:cs="Arial"/>
          <w:b/>
          <w:bCs/>
          <w:kern w:val="0"/>
          <w:szCs w:val="21"/>
        </w:rPr>
        <w:t>附件六、商务条款偏离表格式</w:t>
      </w:r>
    </w:p>
    <w:p w14:paraId="325B282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6E207F50">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6FC118C5">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5DE02F62">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BB6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C869924">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52ADF26A">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76399B8E">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1B1188A1">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0AB34DA7">
            <w:pPr>
              <w:widowControl/>
              <w:spacing w:line="360" w:lineRule="auto"/>
              <w:jc w:val="center"/>
              <w:rPr>
                <w:rFonts w:ascii="Arial" w:hAnsi="Arial" w:cs="Arial"/>
                <w:b/>
                <w:kern w:val="0"/>
                <w:szCs w:val="21"/>
              </w:rPr>
            </w:pPr>
            <w:r>
              <w:rPr>
                <w:rFonts w:ascii="Arial" w:hAnsi="Arial" w:cs="Arial"/>
                <w:b/>
                <w:kern w:val="0"/>
                <w:szCs w:val="21"/>
              </w:rPr>
              <w:t>偏离</w:t>
            </w:r>
          </w:p>
        </w:tc>
      </w:tr>
      <w:tr w14:paraId="4718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9069B01">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1D754F48">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86F2F6F">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1C7B8A98">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4A80B7D1">
            <w:pPr>
              <w:widowControl/>
              <w:spacing w:line="360" w:lineRule="auto"/>
              <w:jc w:val="center"/>
              <w:rPr>
                <w:rFonts w:ascii="Arial" w:hAnsi="Arial" w:cs="Arial"/>
                <w:kern w:val="0"/>
                <w:szCs w:val="21"/>
              </w:rPr>
            </w:pPr>
            <w:r>
              <w:rPr>
                <w:rFonts w:ascii="Arial" w:hAnsi="Arial" w:cs="Arial"/>
                <w:kern w:val="0"/>
                <w:szCs w:val="21"/>
              </w:rPr>
              <w:t> </w:t>
            </w:r>
          </w:p>
        </w:tc>
      </w:tr>
      <w:tr w14:paraId="1448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DEBB0E">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DBAC47A">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110659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D165A00">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3D878D6A">
            <w:pPr>
              <w:widowControl/>
              <w:spacing w:line="360" w:lineRule="auto"/>
              <w:jc w:val="center"/>
              <w:rPr>
                <w:rFonts w:ascii="Arial" w:hAnsi="Arial" w:cs="Arial"/>
                <w:kern w:val="0"/>
                <w:szCs w:val="21"/>
              </w:rPr>
            </w:pPr>
            <w:r>
              <w:rPr>
                <w:rFonts w:ascii="Arial" w:hAnsi="Arial" w:cs="Arial"/>
                <w:kern w:val="0"/>
                <w:szCs w:val="21"/>
              </w:rPr>
              <w:t> </w:t>
            </w:r>
          </w:p>
        </w:tc>
      </w:tr>
      <w:tr w14:paraId="3D0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AEC363">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0A8A8310">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7ED2A4F8">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720FCC1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315238F">
            <w:pPr>
              <w:widowControl/>
              <w:spacing w:line="360" w:lineRule="auto"/>
              <w:jc w:val="center"/>
              <w:rPr>
                <w:rFonts w:ascii="Arial" w:hAnsi="Arial" w:cs="Arial"/>
                <w:kern w:val="0"/>
                <w:szCs w:val="21"/>
              </w:rPr>
            </w:pPr>
            <w:r>
              <w:rPr>
                <w:rFonts w:ascii="Arial" w:hAnsi="Arial" w:cs="Arial"/>
                <w:kern w:val="0"/>
                <w:szCs w:val="21"/>
              </w:rPr>
              <w:t> </w:t>
            </w:r>
          </w:p>
        </w:tc>
      </w:tr>
      <w:tr w14:paraId="17D7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2EE4228">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96CC4BB">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CC42FB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D67945D">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9B38A8E">
            <w:pPr>
              <w:widowControl/>
              <w:spacing w:line="360" w:lineRule="auto"/>
              <w:jc w:val="center"/>
              <w:rPr>
                <w:rFonts w:ascii="Arial" w:hAnsi="Arial" w:cs="Arial"/>
                <w:kern w:val="0"/>
                <w:szCs w:val="21"/>
              </w:rPr>
            </w:pPr>
            <w:r>
              <w:rPr>
                <w:rFonts w:ascii="Arial" w:hAnsi="Arial" w:cs="Arial"/>
                <w:kern w:val="0"/>
                <w:szCs w:val="21"/>
              </w:rPr>
              <w:t> </w:t>
            </w:r>
          </w:p>
        </w:tc>
      </w:tr>
      <w:tr w14:paraId="48DC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76E9FC">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0FB2769">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E23D032">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EF6DAF7">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F3B1689">
            <w:pPr>
              <w:widowControl/>
              <w:spacing w:line="360" w:lineRule="auto"/>
              <w:jc w:val="center"/>
              <w:rPr>
                <w:rFonts w:ascii="Arial" w:hAnsi="Arial" w:cs="Arial"/>
                <w:kern w:val="0"/>
                <w:szCs w:val="21"/>
              </w:rPr>
            </w:pPr>
            <w:r>
              <w:rPr>
                <w:rFonts w:ascii="Arial" w:hAnsi="Arial" w:cs="Arial"/>
                <w:kern w:val="0"/>
                <w:szCs w:val="21"/>
              </w:rPr>
              <w:t> </w:t>
            </w:r>
          </w:p>
        </w:tc>
      </w:tr>
      <w:tr w14:paraId="6BAE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D35086A">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06909C2F">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4C46A19">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2E2735AC">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3142D33D">
            <w:pPr>
              <w:widowControl/>
              <w:spacing w:line="360" w:lineRule="auto"/>
              <w:jc w:val="center"/>
              <w:rPr>
                <w:rFonts w:ascii="Arial" w:hAnsi="Arial" w:cs="Arial"/>
                <w:kern w:val="0"/>
                <w:szCs w:val="21"/>
              </w:rPr>
            </w:pPr>
          </w:p>
        </w:tc>
      </w:tr>
      <w:tr w14:paraId="6395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E8FA99">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3BE2942D">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E5B5EF5">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1256CA54">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269CAC98">
            <w:pPr>
              <w:widowControl/>
              <w:spacing w:line="360" w:lineRule="auto"/>
              <w:jc w:val="center"/>
              <w:rPr>
                <w:rFonts w:ascii="Arial" w:hAnsi="Arial" w:cs="Arial"/>
                <w:kern w:val="0"/>
                <w:szCs w:val="21"/>
              </w:rPr>
            </w:pPr>
          </w:p>
        </w:tc>
      </w:tr>
    </w:tbl>
    <w:p w14:paraId="0C876C6F">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257892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3336A605">
      <w:pPr>
        <w:widowControl/>
        <w:shd w:val="clear" w:color="auto" w:fill="FFFFFF"/>
        <w:spacing w:line="360" w:lineRule="auto"/>
        <w:jc w:val="left"/>
        <w:rPr>
          <w:rFonts w:hint="eastAsia" w:ascii="Arial" w:hAnsi="Arial" w:eastAsia="宋体" w:cs="Arial"/>
          <w:kern w:val="0"/>
          <w:szCs w:val="21"/>
          <w:lang w:val="en-US" w:eastAsia="zh-CN"/>
        </w:rPr>
      </w:pPr>
      <w:r>
        <w:rPr>
          <w:rFonts w:hint="eastAsia" w:ascii="Arial" w:hAnsi="Arial" w:cs="Arial"/>
          <w:kern w:val="0"/>
          <w:szCs w:val="21"/>
          <w:lang w:val="en-US" w:eastAsia="zh-CN"/>
        </w:rPr>
        <w:t>2、内容响应存在正偏离或无偏离或负偏离的，请在本表中列出。未列出的，也视为响应招标文件要求，无偏离。如果行数不够，请自行增加。</w:t>
      </w:r>
    </w:p>
    <w:p w14:paraId="528BCE67">
      <w:pPr>
        <w:widowControl/>
        <w:shd w:val="clear" w:color="auto" w:fill="FFFFFF"/>
        <w:spacing w:line="360" w:lineRule="auto"/>
        <w:jc w:val="left"/>
        <w:rPr>
          <w:rFonts w:ascii="Arial" w:hAnsi="Arial" w:cs="Arial"/>
          <w:kern w:val="0"/>
          <w:szCs w:val="21"/>
        </w:rPr>
      </w:pPr>
    </w:p>
    <w:p w14:paraId="7EC4C5AC">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F274FC9">
      <w:pPr>
        <w:widowControl/>
        <w:shd w:val="clear" w:color="auto" w:fill="FFFFFF"/>
        <w:spacing w:line="360" w:lineRule="auto"/>
        <w:jc w:val="left"/>
        <w:rPr>
          <w:rFonts w:ascii="Arial" w:hAnsi="Arial" w:cs="Arial"/>
          <w:kern w:val="0"/>
          <w:szCs w:val="21"/>
        </w:rPr>
      </w:pPr>
    </w:p>
    <w:p w14:paraId="1E058381">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5492B810">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BAC339A">
      <w:pPr>
        <w:widowControl/>
        <w:shd w:val="clear" w:color="auto" w:fill="FFFFFF"/>
        <w:spacing w:line="360" w:lineRule="auto"/>
        <w:jc w:val="left"/>
        <w:rPr>
          <w:rFonts w:ascii="Arial" w:hAnsi="Arial" w:cs="Arial"/>
          <w:kern w:val="0"/>
          <w:szCs w:val="21"/>
        </w:rPr>
      </w:pPr>
    </w:p>
    <w:p w14:paraId="3844631A">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329AB337">
      <w:pPr>
        <w:widowControl/>
        <w:shd w:val="clear" w:color="auto" w:fill="FFFFFF"/>
        <w:spacing w:line="360" w:lineRule="auto"/>
        <w:jc w:val="left"/>
        <w:rPr>
          <w:rFonts w:ascii="Arial" w:hAnsi="Arial" w:cs="Arial"/>
          <w:b/>
          <w:szCs w:val="21"/>
          <w:lang w:val="zh-CN"/>
        </w:rPr>
      </w:pPr>
    </w:p>
    <w:p w14:paraId="40F558C9">
      <w:pPr>
        <w:pStyle w:val="198"/>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方案应根据招标人对项目的要求、评标标准的要求及项目本身的特点编写。</w:t>
      </w:r>
    </w:p>
    <w:p w14:paraId="7706FD82">
      <w:pPr>
        <w:pStyle w:val="198"/>
        <w:snapToGrid w:val="0"/>
        <w:spacing w:before="0" w:after="0"/>
        <w:ind w:firstLine="420" w:firstLineChars="200"/>
        <w:rPr>
          <w:rFonts w:cs="Arial"/>
          <w:kern w:val="2"/>
          <w:sz w:val="21"/>
          <w:szCs w:val="21"/>
        </w:rPr>
      </w:pPr>
    </w:p>
    <w:p w14:paraId="0E119BAD">
      <w:pPr>
        <w:widowControl/>
        <w:shd w:val="clear" w:color="auto" w:fill="FFFFFF"/>
        <w:spacing w:line="360" w:lineRule="auto"/>
        <w:jc w:val="left"/>
        <w:rPr>
          <w:rFonts w:hint="eastAsia" w:ascii="Arial" w:hAnsi="Arial" w:eastAsia="宋体" w:cs="Arial"/>
          <w:b/>
          <w:bCs/>
          <w:kern w:val="0"/>
          <w:sz w:val="22"/>
          <w:szCs w:val="22"/>
          <w:lang w:eastAsia="zh-CN"/>
        </w:rPr>
      </w:pPr>
      <w:r>
        <w:rPr>
          <w:rFonts w:hint="eastAsia" w:ascii="Arial" w:hAnsi="Arial" w:cs="Arial"/>
          <w:b/>
          <w:bCs/>
          <w:kern w:val="0"/>
          <w:sz w:val="22"/>
          <w:szCs w:val="22"/>
        </w:rPr>
        <w:t>相关内容请在苏采云平台对应模块填写</w:t>
      </w:r>
      <w:r>
        <w:rPr>
          <w:rFonts w:hint="eastAsia" w:ascii="Arial" w:hAnsi="Arial" w:cs="Arial"/>
          <w:b/>
          <w:bCs/>
          <w:kern w:val="0"/>
          <w:sz w:val="22"/>
          <w:szCs w:val="22"/>
          <w:lang w:eastAsia="zh-CN"/>
        </w:rPr>
        <w:t>！</w:t>
      </w:r>
    </w:p>
    <w:p w14:paraId="40386F19">
      <w:pPr>
        <w:widowControl/>
        <w:shd w:val="clear" w:color="auto" w:fill="FFFFFF"/>
        <w:spacing w:line="360" w:lineRule="auto"/>
        <w:jc w:val="left"/>
        <w:rPr>
          <w:rFonts w:ascii="Arial" w:hAnsi="Arial" w:cs="Arial"/>
          <w:kern w:val="0"/>
          <w:szCs w:val="21"/>
        </w:rPr>
      </w:pPr>
    </w:p>
    <w:p w14:paraId="548DFAB6">
      <w:pPr>
        <w:widowControl/>
        <w:shd w:val="clear" w:color="auto" w:fill="FFFFFF"/>
        <w:spacing w:line="360" w:lineRule="auto"/>
        <w:jc w:val="left"/>
        <w:rPr>
          <w:rFonts w:ascii="Arial" w:hAnsi="Arial" w:cs="Arial"/>
          <w:kern w:val="0"/>
          <w:szCs w:val="21"/>
        </w:rPr>
      </w:pPr>
    </w:p>
    <w:p w14:paraId="65D8012A">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2AB19B6D">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7AA45F0A">
      <w:pPr>
        <w:widowControl/>
        <w:adjustRightInd w:val="0"/>
        <w:spacing w:line="460" w:lineRule="atLeast"/>
        <w:rPr>
          <w:rFonts w:ascii="Arial" w:hAnsi="Arial" w:cs="Arial"/>
          <w:b/>
          <w:bCs/>
          <w:kern w:val="0"/>
          <w:sz w:val="24"/>
        </w:rPr>
      </w:pPr>
    </w:p>
    <w:p w14:paraId="0EDEF68D">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拟参与本项目服务人员一览表</w:t>
      </w:r>
    </w:p>
    <w:p w14:paraId="1AA532B3">
      <w:pPr>
        <w:widowControl/>
        <w:adjustRightInd w:val="0"/>
        <w:jc w:val="center"/>
        <w:rPr>
          <w:rFonts w:ascii="Arial" w:hAnsi="Arial" w:cs="Arial"/>
          <w:b/>
          <w:bCs/>
          <w:kern w:val="0"/>
          <w:sz w:val="24"/>
        </w:rPr>
      </w:pPr>
    </w:p>
    <w:p w14:paraId="4E96CEB3">
      <w:pPr>
        <w:widowControl/>
        <w:adjustRightInd w:val="0"/>
        <w:rPr>
          <w:rFonts w:ascii="Arial" w:hAnsi="Arial" w:cs="Arial"/>
          <w:kern w:val="0"/>
          <w:szCs w:val="21"/>
        </w:rPr>
      </w:pPr>
      <w:r>
        <w:rPr>
          <w:rFonts w:ascii="Arial" w:hAnsi="Arial" w:cs="Arial"/>
          <w:kern w:val="0"/>
          <w:szCs w:val="21"/>
        </w:rPr>
        <w:t>项目名称：</w:t>
      </w:r>
      <w:r>
        <w:rPr>
          <w:rFonts w:hint="eastAsia" w:ascii="Arial" w:hAnsi="Arial" w:cs="Arial"/>
          <w:kern w:val="0"/>
          <w:szCs w:val="21"/>
          <w:lang w:val="en-US" w:eastAsia="zh-CN"/>
        </w:rPr>
        <w:t xml:space="preserve">                    </w:t>
      </w:r>
      <w:r>
        <w:rPr>
          <w:rFonts w:ascii="Arial" w:hAnsi="Arial" w:cs="Arial"/>
          <w:kern w:val="0"/>
          <w:szCs w:val="21"/>
        </w:rPr>
        <w:t>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ascii="Arial" w:hAnsi="Arial" w:cs="Arial"/>
                <w:b/>
                <w:bCs/>
                <w:kern w:val="0"/>
                <w:szCs w:val="21"/>
              </w:rPr>
            </w:pPr>
            <w:r>
              <w:rPr>
                <w:rFonts w:ascii="Arial" w:hAnsi="Arial" w:cs="Arial"/>
                <w:b/>
                <w:bCs/>
                <w:kern w:val="0"/>
                <w:szCs w:val="21"/>
              </w:rPr>
              <w:t>执业</w:t>
            </w:r>
          </w:p>
          <w:p w14:paraId="55D35E14">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ascii="Arial" w:hAnsi="Arial" w:cs="Arial"/>
                <w:b/>
                <w:bCs/>
                <w:kern w:val="0"/>
                <w:szCs w:val="21"/>
              </w:rPr>
            </w:pPr>
            <w:r>
              <w:rPr>
                <w:rFonts w:ascii="Arial" w:hAnsi="Arial" w:cs="Arial"/>
                <w:b/>
                <w:bCs/>
                <w:kern w:val="0"/>
                <w:szCs w:val="21"/>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ascii="Arial" w:hAnsi="Arial" w:cs="Arial"/>
                <w:kern w:val="0"/>
                <w:szCs w:val="21"/>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ascii="Arial" w:hAnsi="Arial" w:cs="Arial"/>
                <w:kern w:val="0"/>
                <w:szCs w:val="21"/>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ascii="Arial" w:hAnsi="Arial" w:cs="Arial"/>
                <w:kern w:val="0"/>
                <w:szCs w:val="21"/>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ascii="Arial" w:hAnsi="Arial" w:cs="Arial"/>
                <w:kern w:val="0"/>
                <w:szCs w:val="21"/>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ascii="Arial" w:hAnsi="Arial" w:cs="Arial"/>
                <w:kern w:val="0"/>
                <w:szCs w:val="21"/>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ascii="Arial" w:hAnsi="Arial" w:cs="Arial"/>
                <w:kern w:val="0"/>
                <w:szCs w:val="21"/>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ascii="Arial" w:hAnsi="Arial" w:cs="Arial"/>
                <w:kern w:val="0"/>
                <w:szCs w:val="21"/>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ascii="Arial" w:hAnsi="Arial" w:cs="Arial"/>
                <w:kern w:val="0"/>
                <w:szCs w:val="21"/>
              </w:rPr>
            </w:pPr>
          </w:p>
        </w:tc>
      </w:tr>
    </w:tbl>
    <w:p w14:paraId="1AB77746">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3B82C85">
      <w:pPr>
        <w:widowControl/>
        <w:adjustRightInd w:val="0"/>
        <w:rPr>
          <w:rFonts w:ascii="Arial" w:hAnsi="Arial" w:cs="Arial"/>
          <w:kern w:val="0"/>
          <w:szCs w:val="21"/>
        </w:rPr>
      </w:pPr>
    </w:p>
    <w:p w14:paraId="15E1CB95">
      <w:pPr>
        <w:widowControl/>
        <w:adjustRightInd w:val="0"/>
        <w:rPr>
          <w:rFonts w:ascii="Arial" w:hAnsi="Arial" w:cs="Arial"/>
          <w:b/>
          <w:bCs/>
          <w:kern w:val="0"/>
          <w:szCs w:val="21"/>
        </w:rPr>
      </w:pPr>
    </w:p>
    <w:p w14:paraId="124BE208">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042B0AA7">
      <w:pPr>
        <w:widowControl/>
        <w:adjustRightInd w:val="0"/>
        <w:spacing w:line="360" w:lineRule="auto"/>
        <w:jc w:val="center"/>
        <w:rPr>
          <w:rFonts w:ascii="Arial" w:hAnsi="Arial" w:cs="Arial"/>
          <w:b/>
          <w:bCs/>
          <w:kern w:val="0"/>
          <w:sz w:val="24"/>
        </w:rPr>
      </w:pPr>
    </w:p>
    <w:p w14:paraId="02444F8F">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ascii="Arial" w:hAnsi="Arial" w:cs="Arial"/>
                <w:kern w:val="0"/>
                <w:szCs w:val="21"/>
              </w:rPr>
            </w:pPr>
            <w:r>
              <w:rPr>
                <w:rFonts w:ascii="Arial" w:hAnsi="Arial" w:cs="Arial"/>
                <w:kern w:val="0"/>
                <w:szCs w:val="21"/>
              </w:rPr>
              <w:t>签约及服务</w:t>
            </w:r>
          </w:p>
          <w:p w14:paraId="5213F2A4">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ascii="Arial" w:hAnsi="Arial" w:cs="Arial"/>
                <w:kern w:val="0"/>
                <w:szCs w:val="21"/>
              </w:rPr>
            </w:pPr>
            <w:r>
              <w:rPr>
                <w:rFonts w:ascii="Arial" w:hAnsi="Arial" w:cs="Arial"/>
                <w:kern w:val="0"/>
                <w:szCs w:val="21"/>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ascii="Arial" w:hAnsi="Arial" w:cs="Arial"/>
                <w:kern w:val="0"/>
                <w:szCs w:val="21"/>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ascii="Arial" w:hAnsi="Arial" w:cs="Arial"/>
                <w:kern w:val="0"/>
                <w:szCs w:val="21"/>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ascii="Arial" w:hAnsi="Arial" w:cs="Arial"/>
                <w:kern w:val="0"/>
                <w:szCs w:val="21"/>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ascii="Arial" w:hAnsi="Arial" w:cs="Arial"/>
                <w:kern w:val="0"/>
                <w:szCs w:val="21"/>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ascii="Arial" w:hAnsi="Arial" w:cs="Arial"/>
                <w:kern w:val="0"/>
                <w:szCs w:val="21"/>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ascii="Arial" w:hAnsi="Arial" w:cs="Arial"/>
                <w:kern w:val="0"/>
                <w:szCs w:val="21"/>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ascii="Arial" w:hAnsi="Arial" w:cs="Arial"/>
                <w:kern w:val="0"/>
                <w:szCs w:val="21"/>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ascii="Arial" w:hAnsi="Arial" w:cs="Arial"/>
                <w:kern w:val="0"/>
                <w:szCs w:val="21"/>
              </w:rPr>
            </w:pPr>
          </w:p>
        </w:tc>
      </w:tr>
    </w:tbl>
    <w:p w14:paraId="550E382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2F5B705">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3DC2022E">
      <w:pPr>
        <w:spacing w:line="560" w:lineRule="exact"/>
        <w:ind w:firstLine="240"/>
        <w:jc w:val="center"/>
        <w:rPr>
          <w:rFonts w:hint="eastAsia" w:ascii="宋体" w:hAnsi="宋体"/>
          <w:b/>
          <w:sz w:val="24"/>
          <w:szCs w:val="21"/>
        </w:rPr>
      </w:pPr>
    </w:p>
    <w:p w14:paraId="05EFBDE3">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中小微企业声明函（货物类项目）</w:t>
      </w:r>
    </w:p>
    <w:p w14:paraId="6F74E894">
      <w:pPr>
        <w:spacing w:line="560" w:lineRule="exact"/>
        <w:ind w:firstLine="240"/>
        <w:jc w:val="center"/>
        <w:rPr>
          <w:rFonts w:hint="eastAsia" w:ascii="宋体" w:hAnsi="宋体"/>
          <w:b/>
          <w:sz w:val="24"/>
          <w:szCs w:val="21"/>
        </w:rPr>
      </w:pPr>
    </w:p>
    <w:p w14:paraId="6FF1EB76">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采购编号为</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采购编号</w:t>
      </w:r>
      <w:r>
        <w:rPr>
          <w:rFonts w:hint="eastAsia" w:ascii="宋体" w:hAnsi="宋体" w:eastAsia="宋体" w:cs="宋体"/>
          <w:sz w:val="21"/>
          <w:szCs w:val="21"/>
          <w:u w:val="single"/>
        </w:rPr>
        <w:t>）</w:t>
      </w:r>
      <w:r>
        <w:rPr>
          <w:rFonts w:hint="eastAsia" w:ascii="宋体" w:hAnsi="宋体" w:eastAsia="宋体" w:cs="宋体"/>
          <w:sz w:val="21"/>
          <w:szCs w:val="21"/>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项目</w:t>
      </w:r>
      <w:r>
        <w:rPr>
          <w:rFonts w:hint="eastAsia" w:ascii="宋体" w:hAnsi="宋体" w:eastAsia="宋体" w:cs="宋体"/>
          <w:sz w:val="21"/>
          <w:szCs w:val="21"/>
          <w:u w:val="none"/>
        </w:rPr>
        <w:t>（项目名称）</w:t>
      </w:r>
      <w:r>
        <w:rPr>
          <w:rFonts w:hint="eastAsia" w:ascii="宋体" w:hAnsi="宋体" w:eastAsia="宋体" w:cs="宋体"/>
          <w:sz w:val="21"/>
          <w:szCs w:val="21"/>
        </w:rPr>
        <w:t>的采购活动，提供的货物全部由符合政策要求的中小微企业制造。相关企业（含联合体中的中小微企业、签订采购包意向协议的中小微企业）的具体情况如下：</w:t>
      </w:r>
    </w:p>
    <w:p w14:paraId="0E12AB2B">
      <w:pPr>
        <w:spacing w:line="360" w:lineRule="auto"/>
        <w:ind w:firstLine="360"/>
        <w:rPr>
          <w:rFonts w:hint="eastAsia" w:ascii="宋体" w:hAnsi="宋体" w:eastAsia="宋体" w:cs="宋体"/>
          <w:i/>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（标的名称）</w:t>
      </w:r>
      <w:r>
        <w:rPr>
          <w:rFonts w:hint="eastAsia" w:ascii="宋体" w:hAnsi="宋体" w:eastAsia="宋体" w:cs="宋体"/>
          <w:i/>
          <w:sz w:val="21"/>
          <w:szCs w:val="21"/>
        </w:rPr>
        <w:t>，</w:t>
      </w:r>
      <w:r>
        <w:rPr>
          <w:rFonts w:hint="eastAsia" w:ascii="宋体" w:hAnsi="宋体" w:eastAsia="宋体" w:cs="宋体"/>
          <w:sz w:val="21"/>
          <w:szCs w:val="21"/>
        </w:rPr>
        <w:t>属于</w:t>
      </w:r>
      <w:r>
        <w:rPr>
          <w:rFonts w:hint="eastAsia" w:ascii="宋体" w:hAnsi="宋体" w:eastAsia="宋体" w:cs="宋体"/>
          <w:sz w:val="21"/>
          <w:szCs w:val="21"/>
          <w:u w:val="single"/>
        </w:rPr>
        <w:t>（供应商填写招标文件中明确的所属行业）</w:t>
      </w:r>
      <w:r>
        <w:rPr>
          <w:rFonts w:hint="eastAsia" w:ascii="宋体" w:hAnsi="宋体" w:eastAsia="宋体" w:cs="宋体"/>
          <w:sz w:val="21"/>
          <w:szCs w:val="21"/>
        </w:rPr>
        <w:t>行业；投标产品制造商为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 xml:space="preserve">中型企业 □小型企业 </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微型企业）；</w:t>
      </w:r>
    </w:p>
    <w:p w14:paraId="03313591">
      <w:pPr>
        <w:spacing w:line="360" w:lineRule="auto"/>
        <w:ind w:firstLine="360"/>
        <w:rPr>
          <w:rFonts w:hint="eastAsia" w:ascii="宋体" w:hAnsi="宋体" w:eastAsia="宋体" w:cs="宋体"/>
          <w:i/>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（标的名称）</w:t>
      </w:r>
      <w:r>
        <w:rPr>
          <w:rFonts w:hint="eastAsia" w:ascii="宋体" w:hAnsi="宋体" w:eastAsia="宋体" w:cs="宋体"/>
          <w:i/>
          <w:sz w:val="21"/>
          <w:szCs w:val="21"/>
        </w:rPr>
        <w:t>，</w:t>
      </w:r>
      <w:r>
        <w:rPr>
          <w:rFonts w:hint="eastAsia" w:ascii="宋体" w:hAnsi="宋体" w:eastAsia="宋体" w:cs="宋体"/>
          <w:sz w:val="21"/>
          <w:szCs w:val="21"/>
        </w:rPr>
        <w:t>属于</w:t>
      </w:r>
      <w:r>
        <w:rPr>
          <w:rFonts w:hint="eastAsia" w:ascii="宋体" w:hAnsi="宋体" w:eastAsia="宋体" w:cs="宋体"/>
          <w:sz w:val="21"/>
          <w:szCs w:val="21"/>
          <w:u w:val="single"/>
        </w:rPr>
        <w:t>（供应商填写招标文件中明确的所属行业）</w:t>
      </w:r>
      <w:r>
        <w:rPr>
          <w:rFonts w:hint="eastAsia" w:ascii="宋体" w:hAnsi="宋体" w:eastAsia="宋体" w:cs="宋体"/>
          <w:sz w:val="21"/>
          <w:szCs w:val="21"/>
        </w:rPr>
        <w:t>行业；投标产品制造商为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（□中型企业 □小型企业 □微型企业）；</w:t>
      </w:r>
    </w:p>
    <w:p w14:paraId="691B6BEA">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w:t>
      </w:r>
    </w:p>
    <w:p w14:paraId="28685CFA">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BEFE741">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7507AD40">
      <w:pPr>
        <w:spacing w:line="360" w:lineRule="auto"/>
        <w:ind w:right="180" w:firstLine="360"/>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企业名称（加盖CA电子公章）：</w:t>
      </w:r>
    </w:p>
    <w:p w14:paraId="1E8DB78A">
      <w:pPr>
        <w:spacing w:line="360" w:lineRule="auto"/>
        <w:ind w:right="480" w:firstLine="4560"/>
        <w:rPr>
          <w:rFonts w:hint="eastAsia" w:ascii="宋体" w:hAnsi="宋体" w:eastAsia="宋体" w:cs="宋体"/>
          <w:sz w:val="21"/>
          <w:szCs w:val="21"/>
        </w:rPr>
      </w:pPr>
      <w:r>
        <w:rPr>
          <w:rFonts w:hint="eastAsia" w:ascii="宋体" w:hAnsi="宋体" w:eastAsia="宋体" w:cs="宋体"/>
          <w:sz w:val="21"/>
          <w:szCs w:val="21"/>
        </w:rPr>
        <w:t>日  期：</w:t>
      </w:r>
      <w:r>
        <w:rPr>
          <w:rFonts w:hint="eastAsia" w:ascii="宋体" w:hAnsi="宋体" w:eastAsia="宋体" w:cs="宋体"/>
          <w:color w:val="000000"/>
          <w:sz w:val="21"/>
          <w:szCs w:val="21"/>
        </w:rPr>
        <w:t>___年____月____日</w:t>
      </w:r>
    </w:p>
    <w:p w14:paraId="3E269B19">
      <w:pPr>
        <w:spacing w:line="400" w:lineRule="exact"/>
        <w:rPr>
          <w:rFonts w:hint="eastAsia" w:ascii="宋体" w:hAnsi="宋体" w:eastAsia="宋体" w:cs="宋体"/>
          <w:sz w:val="21"/>
          <w:szCs w:val="21"/>
        </w:rPr>
      </w:pPr>
    </w:p>
    <w:p w14:paraId="2F83CB1D">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备注：</w:t>
      </w:r>
    </w:p>
    <w:p w14:paraId="067317C9">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1.从业人员、营业收入、资产总额填报上一年度数据，无上一年度数据的新成立企业可不填报。</w:t>
      </w:r>
    </w:p>
    <w:p w14:paraId="11995835">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2.专门面向中小微型企业采购的项目，供应商如不提供此声明函，则不能通过资格审查；非专门面向中小微型企业采购的项目，供应商如不提供此声明函，价格将不做相应扣除。</w:t>
      </w:r>
    </w:p>
    <w:p w14:paraId="235155E9">
      <w:pPr>
        <w:spacing w:line="400" w:lineRule="exact"/>
        <w:ind w:left="540" w:hanging="120"/>
        <w:rPr>
          <w:rFonts w:hint="eastAsia" w:ascii="宋体" w:hAnsi="宋体" w:eastAsia="宋体" w:cs="宋体"/>
          <w:sz w:val="21"/>
          <w:szCs w:val="21"/>
        </w:rPr>
      </w:pPr>
      <w:r>
        <w:rPr>
          <w:rFonts w:hint="eastAsia" w:ascii="宋体" w:hAnsi="宋体" w:eastAsia="宋体" w:cs="宋体"/>
          <w:sz w:val="21"/>
          <w:szCs w:val="21"/>
        </w:rPr>
        <w:t>3.供应商应对照《工业和信息化部、国家统计局、国家发展和改革委员会、</w:t>
      </w:r>
    </w:p>
    <w:p w14:paraId="71120604">
      <w:pPr>
        <w:rPr>
          <w:rFonts w:hint="eastAsia" w:ascii="宋体" w:hAnsi="宋体" w:cs="宋体"/>
          <w:kern w:val="0"/>
          <w:lang w:val="zh-CN"/>
        </w:rPr>
      </w:pPr>
      <w:r>
        <w:rPr>
          <w:rFonts w:hint="eastAsia" w:ascii="宋体" w:hAnsi="宋体" w:eastAsia="宋体" w:cs="宋体"/>
          <w:sz w:val="21"/>
          <w:szCs w:val="21"/>
        </w:rPr>
        <w:t>财政部关于印发中小企业划型标准规定的通知》(工信部联企业〔2011〕300号)《国家统计局关于印发〈统计上大中小微型企业划分办法（2017）〉的通知》（国统字〔2017〕213号）的规定，自行勾选制造商的企业规模类型。</w:t>
      </w:r>
    </w:p>
    <w:p w14:paraId="1B1D8C8E">
      <w:pPr>
        <w:pageBreakBefore w:val="0"/>
        <w:kinsoku/>
        <w:wordWrap/>
        <w:overflowPunct/>
        <w:topLinePunct w:val="0"/>
        <w:autoSpaceDE/>
        <w:autoSpaceDN/>
        <w:bidi w:val="0"/>
        <w:adjustRightInd/>
        <w:snapToGrid/>
        <w:textAlignment w:val="auto"/>
        <w:outlineLvl w:val="9"/>
        <w:rPr>
          <w:rFonts w:hint="eastAsia" w:ascii="宋体" w:hAnsi="宋体"/>
          <w:b/>
          <w:kern w:val="0"/>
        </w:rPr>
      </w:pPr>
      <w:r>
        <w:rPr>
          <w:rFonts w:hint="eastAsia" w:ascii="宋体" w:hAnsi="宋体"/>
          <w:b/>
          <w:kern w:val="0"/>
        </w:rPr>
        <w:br w:type="page"/>
      </w:r>
    </w:p>
    <w:p w14:paraId="57A5E359">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b/>
          <w:kern w:val="0"/>
        </w:rPr>
      </w:pPr>
      <w:r>
        <w:rPr>
          <w:rFonts w:hint="eastAsia" w:ascii="宋体" w:hAnsi="宋体"/>
          <w:b/>
          <w:kern w:val="0"/>
        </w:rPr>
        <w:t>附：中小企业划型标准规定</w:t>
      </w:r>
    </w:p>
    <w:p w14:paraId="120FBD47">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00DD0E82">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82502B">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4A4B48">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36B6EF">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4EE5A">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8D261">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7BAB5B">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698CE9">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4FB218">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70087B">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020E47">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CEAB174">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A68C21">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5A916D">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89C85C">
      <w:pPr>
        <w:keepNext w:val="0"/>
        <w:keepLines w:val="0"/>
        <w:pageBreakBefore w:val="0"/>
        <w:widowControl w:val="0"/>
        <w:kinsoku/>
        <w:wordWrap/>
        <w:overflowPunct/>
        <w:topLinePunct w:val="0"/>
        <w:autoSpaceDE/>
        <w:autoSpaceDN/>
        <w:bidi w:val="0"/>
        <w:adjustRightInd/>
        <w:snapToGrid/>
        <w:spacing w:line="400" w:lineRule="exact"/>
        <w:ind w:firstLine="422"/>
        <w:textAlignment w:val="auto"/>
        <w:outlineLvl w:val="9"/>
        <w:rPr>
          <w:rFonts w:hint="eastAsia"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3D82906">
      <w:pPr>
        <w:pageBreakBefore w:val="0"/>
        <w:widowControl/>
        <w:kinsoku/>
        <w:wordWrap/>
        <w:overflowPunct/>
        <w:topLinePunct w:val="0"/>
        <w:autoSpaceDE/>
        <w:autoSpaceDN/>
        <w:bidi w:val="0"/>
        <w:adjustRightInd/>
        <w:snapToGrid/>
        <w:jc w:val="left"/>
        <w:textAlignment w:val="auto"/>
        <w:outlineLvl w:val="9"/>
        <w:rPr>
          <w:rFonts w:ascii="Arial" w:hAnsi="Arial" w:cs="Arial"/>
          <w:snapToGrid w:val="0"/>
          <w:kern w:val="0"/>
          <w:szCs w:val="21"/>
        </w:rPr>
      </w:pPr>
    </w:p>
    <w:p w14:paraId="16AA761E">
      <w:pPr>
        <w:pageBreakBefore w:val="0"/>
        <w:kinsoku/>
        <w:wordWrap/>
        <w:overflowPunct/>
        <w:topLinePunct w:val="0"/>
        <w:autoSpaceDE/>
        <w:autoSpaceDN/>
        <w:bidi w:val="0"/>
        <w:adjustRightInd/>
        <w:snapToGrid/>
        <w:spacing w:line="360" w:lineRule="auto"/>
        <w:jc w:val="center"/>
        <w:textAlignment w:val="auto"/>
        <w:outlineLvl w:val="9"/>
        <w:rPr>
          <w:rFonts w:ascii="Arial" w:hAnsi="Arial" w:cs="Arial"/>
          <w:snapToGrid w:val="0"/>
          <w:kern w:val="0"/>
          <w:szCs w:val="21"/>
        </w:rPr>
      </w:pPr>
    </w:p>
    <w:p w14:paraId="24821373">
      <w:pPr>
        <w:spacing w:line="360" w:lineRule="auto"/>
        <w:jc w:val="center"/>
        <w:rPr>
          <w:rFonts w:ascii="Arial" w:hAnsi="Arial" w:cs="Arial"/>
          <w:b/>
          <w:bCs/>
          <w:sz w:val="28"/>
        </w:rPr>
      </w:pPr>
    </w:p>
    <w:p w14:paraId="2D30DF3F">
      <w:pPr>
        <w:rPr>
          <w:rFonts w:ascii="Arial" w:hAnsi="Arial" w:cs="Arial"/>
          <w:b/>
          <w:bCs/>
          <w:sz w:val="28"/>
        </w:rPr>
      </w:pPr>
      <w:r>
        <w:rPr>
          <w:rFonts w:ascii="Arial" w:hAnsi="Arial" w:cs="Arial"/>
          <w:b/>
          <w:bCs/>
          <w:sz w:val="28"/>
        </w:rPr>
        <w:br w:type="page"/>
      </w:r>
    </w:p>
    <w:p w14:paraId="1523242B">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关于符合本国产品标准的声明函</w:t>
      </w:r>
    </w:p>
    <w:p w14:paraId="3CB294F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 w:beforeAutospacing="0" w:after="15" w:afterAutospacing="0"/>
        <w:ind w:left="0" w:right="0" w:firstLine="420"/>
        <w:rPr>
          <w:rFonts w:hint="eastAsia" w:ascii="宋体" w:hAnsi="宋体" w:eastAsia="宋体" w:cs="宋体"/>
          <w:i w:val="0"/>
          <w:iCs w:val="0"/>
          <w:caps w:val="0"/>
          <w:color w:val="333333"/>
          <w:spacing w:val="0"/>
          <w:sz w:val="12"/>
          <w:szCs w:val="12"/>
        </w:rPr>
      </w:pPr>
    </w:p>
    <w:p w14:paraId="6B8D789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38D4930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1.</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（产品名称1）</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，生产厂为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（厂名）</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，厂址为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在中国境内完成。</w:t>
      </w:r>
    </w:p>
    <w:p w14:paraId="72309A7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（产品名称</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2</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，生产厂为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，厂址为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在中国境内完成。</w:t>
      </w:r>
    </w:p>
    <w:p w14:paraId="32EE604D">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p>
    <w:p w14:paraId="243576A8">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本公司（单位）对上述声明内容的真实性负责。如有虚假，愿承担相应法律责任。</w:t>
      </w:r>
    </w:p>
    <w:p w14:paraId="226CC9EC">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rPr>
          <w:rFonts w:hint="eastAsia" w:ascii="宋体" w:hAnsi="宋体" w:eastAsia="宋体" w:cs="宋体"/>
          <w:i w:val="0"/>
          <w:iCs w:val="0"/>
          <w:caps w:val="0"/>
          <w:color w:val="000000" w:themeColor="text1"/>
          <w:spacing w:val="0"/>
          <w:sz w:val="21"/>
          <w:szCs w:val="21"/>
          <w14:textFill>
            <w14:solidFill>
              <w14:schemeClr w14:val="tx1"/>
            </w14:solidFill>
          </w14:textFill>
        </w:rPr>
      </w:pPr>
    </w:p>
    <w:p w14:paraId="1249B5BF">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0"/>
        <w:jc w:val="right"/>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公司（单位）名称（</w:t>
      </w:r>
      <w:r>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t>加盖</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CA电子公章</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w:t>
      </w:r>
    </w:p>
    <w:p w14:paraId="00603F1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0"/>
        <w:jc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日期：　     年　  月　  日         </w:t>
      </w:r>
    </w:p>
    <w:p w14:paraId="4C75C818">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p>
    <w:p w14:paraId="68B1C3CC">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p>
    <w:p w14:paraId="619CEC9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_________________</w:t>
      </w:r>
    </w:p>
    <w:p w14:paraId="2562E580">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1.产品如有型号，请在“产品名称”栏一并填写。</w:t>
      </w:r>
    </w:p>
    <w:p w14:paraId="094A6542">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2.生产厂名与厂址应与生产厂营业执照载明的相关信息保持一致。</w:t>
      </w:r>
    </w:p>
    <w:p w14:paraId="6293C24B">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3.该产品的中国境内生产的组件成本占比相关要求实施前，“规定比例”栏可不填，下同。</w:t>
      </w:r>
    </w:p>
    <w:p w14:paraId="510A31D2">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4.该产品的关键组件要求实施前，“关键组件”栏可不填，下同。</w:t>
      </w:r>
    </w:p>
    <w:p w14:paraId="26759943">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5.该产品的关键工序要求实施前，“关键工序”栏可不填，下同。</w:t>
      </w:r>
    </w:p>
    <w:p w14:paraId="13CDC41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ascii="Arial" w:hAnsi="Arial" w:cs="Arial"/>
          <w:b/>
          <w:bCs/>
          <w:sz w:val="28"/>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”的地方无需填写。</w:t>
      </w:r>
    </w:p>
    <w:p w14:paraId="4C55792F">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Style w:val="50"/>
          <w:rFonts w:hint="eastAsia" w:ascii="宋体" w:hAnsi="宋体" w:eastAsia="宋体" w:cs="宋体"/>
          <w:sz w:val="21"/>
          <w:szCs w:val="21"/>
        </w:rPr>
      </w:pPr>
      <w:r>
        <w:rPr>
          <w:rFonts w:hint="eastAsia" w:ascii="宋体" w:hAnsi="宋体"/>
          <w:b/>
          <w:sz w:val="24"/>
          <w:szCs w:val="24"/>
        </w:rPr>
        <w:br w:type="page"/>
      </w:r>
      <w:r>
        <w:rPr>
          <w:rFonts w:hint="eastAsia" w:ascii="宋体" w:hAnsi="宋体" w:eastAsia="宋体" w:cs="Times New Roman"/>
          <w:b/>
          <w:sz w:val="24"/>
          <w:szCs w:val="21"/>
          <w:lang w:val="en-US" w:eastAsia="zh-CN"/>
        </w:rPr>
        <w:t>产品成本占比承诺函</w:t>
      </w:r>
    </w:p>
    <w:p w14:paraId="266BF12B">
      <w:pPr>
        <w:pStyle w:val="41"/>
        <w:shd w:val="clear" w:color="auto" w:fill="FFFFFF"/>
        <w:spacing w:before="30" w:beforeAutospacing="0" w:after="30" w:afterAutospacing="0"/>
        <w:rPr>
          <w:rStyle w:val="50"/>
          <w:rFonts w:hint="eastAsia" w:ascii="宋体" w:hAnsi="宋体" w:eastAsia="宋体" w:cs="宋体"/>
          <w:sz w:val="21"/>
          <w:szCs w:val="21"/>
        </w:rPr>
      </w:pPr>
    </w:p>
    <w:p w14:paraId="53CA2AF2">
      <w:pPr>
        <w:widowControl/>
        <w:spacing w:line="360" w:lineRule="auto"/>
        <w:ind w:firstLine="420" w:firstLineChars="20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我公司（单位）郑重承诺，我公司已阅读并理解《国务院办公厅关于在政府采购中实施本国产品标准及相关政策的通知》（国办发〔2025〕34号）的规定。据此承诺如下：</w:t>
      </w:r>
    </w:p>
    <w:p w14:paraId="3E8EB144">
      <w:pPr>
        <w:widowControl/>
        <w:spacing w:line="360" w:lineRule="auto"/>
        <w:ind w:firstLine="420" w:firstLineChars="200"/>
        <w:jc w:val="left"/>
        <w:rPr>
          <w:rFonts w:hint="eastAsia" w:ascii="宋体" w:hAnsi="宋体" w:eastAsia="宋体" w:cs="宋体"/>
          <w:spacing w:val="6"/>
          <w:sz w:val="21"/>
          <w:szCs w:val="21"/>
        </w:rPr>
      </w:pPr>
      <w:r>
        <w:rPr>
          <w:rFonts w:hint="eastAsia" w:ascii="宋体" w:hAnsi="宋体" w:eastAsia="宋体" w:cs="宋体"/>
          <w:color w:val="333333"/>
          <w:sz w:val="21"/>
          <w:szCs w:val="21"/>
          <w:shd w:val="clear" w:color="auto" w:fill="FFFFFF"/>
        </w:rPr>
        <w:t>为本采购项目或者采购包提供的符合本国产品标准的产品成本之和占提供的全部产品成本之和的比例为</w:t>
      </w:r>
      <w:r>
        <w:rPr>
          <w:rFonts w:hint="eastAsia" w:ascii="宋体" w:hAnsi="宋体" w:eastAsia="宋体" w:cs="宋体"/>
          <w:spacing w:val="6"/>
          <w:sz w:val="21"/>
          <w:szCs w:val="21"/>
        </w:rPr>
        <w:t>______%。</w:t>
      </w:r>
    </w:p>
    <w:p w14:paraId="36E05314">
      <w:pPr>
        <w:widowControl/>
        <w:spacing w:line="360" w:lineRule="auto"/>
        <w:ind w:firstLine="420" w:firstLineChars="200"/>
        <w:jc w:val="left"/>
        <w:rPr>
          <w:rFonts w:hint="eastAsia" w:ascii="宋体" w:hAnsi="宋体" w:eastAsia="宋体" w:cs="宋体"/>
          <w:color w:val="000000"/>
          <w:sz w:val="21"/>
          <w:szCs w:val="21"/>
        </w:rPr>
      </w:pPr>
    </w:p>
    <w:p w14:paraId="1A54119C">
      <w:pPr>
        <w:pStyle w:val="41"/>
        <w:shd w:val="clear" w:color="auto" w:fill="FFFFFF"/>
        <w:spacing w:before="0" w:beforeAutospacing="0" w:after="0" w:afterAutospacing="0" w:line="360" w:lineRule="auto"/>
        <w:jc w:val="right"/>
        <w:rPr>
          <w:rFonts w:hint="eastAsia" w:ascii="宋体" w:hAnsi="宋体" w:eastAsia="宋体" w:cs="宋体"/>
          <w:color w:val="333333"/>
          <w:sz w:val="21"/>
          <w:szCs w:val="21"/>
        </w:rPr>
      </w:pPr>
      <w:r>
        <w:rPr>
          <w:rFonts w:hint="eastAsia" w:ascii="宋体" w:hAnsi="宋体" w:eastAsia="宋体" w:cs="宋体"/>
          <w:color w:val="333333"/>
          <w:kern w:val="2"/>
          <w:sz w:val="21"/>
          <w:szCs w:val="21"/>
          <w:shd w:val="clear" w:color="auto" w:fill="FFFFFF"/>
          <w:lang w:val="en-US" w:eastAsia="zh-CN" w:bidi="ar-SA"/>
        </w:rPr>
        <w:t>供应商全称（加盖CA电子公章）：　  </w:t>
      </w:r>
      <w:r>
        <w:rPr>
          <w:rFonts w:hint="eastAsia" w:ascii="宋体" w:hAnsi="宋体" w:eastAsia="宋体" w:cs="宋体"/>
          <w:color w:val="333333"/>
          <w:sz w:val="21"/>
          <w:szCs w:val="21"/>
          <w:shd w:val="clear" w:color="auto" w:fill="FFFFFF"/>
        </w:rPr>
        <w:t>      </w:t>
      </w:r>
    </w:p>
    <w:p w14:paraId="5324631F">
      <w:pPr>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日期：　     年　  月　  日    </w:t>
      </w:r>
    </w:p>
    <w:p w14:paraId="01B97788">
      <w:pPr>
        <w:jc w:val="center"/>
        <w:rPr>
          <w:rFonts w:hint="eastAsia" w:ascii="宋体" w:hAnsi="宋体" w:eastAsia="宋体" w:cs="宋体"/>
          <w:color w:val="333333"/>
          <w:sz w:val="21"/>
          <w:szCs w:val="21"/>
          <w:shd w:val="clear" w:color="auto" w:fill="FFFFFF"/>
        </w:rPr>
      </w:pPr>
    </w:p>
    <w:p w14:paraId="16CAB1D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lang w:val="en-US" w:eastAsia="zh-CN"/>
        </w:rPr>
        <w:t>注：</w:t>
      </w:r>
      <w:r>
        <w:rPr>
          <w:rFonts w:hint="eastAsia" w:ascii="宋体" w:hAnsi="宋体" w:eastAsia="宋体" w:cs="宋体"/>
          <w:b/>
          <w:bCs/>
          <w:color w:val="333333"/>
          <w:sz w:val="21"/>
          <w:szCs w:val="21"/>
          <w:shd w:val="clear" w:color="auto" w:fill="FFFFFF"/>
        </w:rPr>
        <w:t>采购本国产品的支持政策</w:t>
      </w:r>
    </w:p>
    <w:p w14:paraId="32B8B54C">
      <w:pPr>
        <w:keepNext w:val="0"/>
        <w:keepLines w:val="0"/>
        <w:pageBreakBefore w:val="0"/>
        <w:widowControl/>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（1）本项目政府采购活动中既有本国产品又有非本国产品参与竞争的，依法对本国产品给予价格评审优惠，对本国产品的报价给予20%的价格扣除，用扣除后的价格参与评审。</w:t>
      </w:r>
    </w:p>
    <w:p w14:paraId="1198EBDD">
      <w:pPr>
        <w:keepNext w:val="0"/>
        <w:keepLines w:val="0"/>
        <w:pageBreakBefore w:val="0"/>
        <w:widowControl/>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37572EEF">
      <w:pPr>
        <w:keepNext w:val="0"/>
        <w:keepLines w:val="0"/>
        <w:pageBreakBefore w:val="0"/>
        <w:widowControl/>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（3）供应商需按照招标文件的要求提供《关于符合本国产品标准的声明函》（以下简称《声明函》），如不提供将不享受本国产品价格评审优惠。</w:t>
      </w:r>
    </w:p>
    <w:p w14:paraId="5F4B2011">
      <w:pPr>
        <w:keepNext w:val="0"/>
        <w:keepLines w:val="0"/>
        <w:pageBreakBefore w:val="0"/>
        <w:widowControl/>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（4）供应商需在《声明函》中逐一、准确填写产品名称、厂名、生产厂址三项信息（《声明函》中标注“/ ”的地方无需填写）。</w:t>
      </w:r>
    </w:p>
    <w:p w14:paraId="5768E75F">
      <w:pPr>
        <w:keepNext w:val="0"/>
        <w:keepLines w:val="0"/>
        <w:pageBreakBefore w:val="0"/>
        <w:widowControl/>
        <w:kinsoku/>
        <w:wordWrap/>
        <w:overflowPunct/>
        <w:topLinePunct w:val="0"/>
        <w:autoSpaceDE/>
        <w:autoSpaceDN/>
        <w:bidi w:val="0"/>
        <w:adjustRightInd/>
        <w:snapToGrid/>
        <w:spacing w:line="440" w:lineRule="exact"/>
        <w:ind w:firstLine="422" w:firstLineChars="200"/>
        <w:jc w:val="left"/>
        <w:textAlignment w:val="auto"/>
        <w:rPr>
          <w:rFonts w:ascii="Arial" w:hAnsi="Arial" w:cs="Arial"/>
          <w:b/>
          <w:bCs/>
          <w:sz w:val="28"/>
        </w:rPr>
      </w:pPr>
      <w:r>
        <w:rPr>
          <w:rFonts w:hint="eastAsia" w:ascii="宋体" w:hAnsi="宋体" w:eastAsia="宋体" w:cs="宋体"/>
          <w:b/>
          <w:bCs/>
          <w:color w:val="333333"/>
          <w:sz w:val="21"/>
          <w:szCs w:val="21"/>
          <w:shd w:val="clear" w:color="auto" w:fill="FFFFFF"/>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Arial" w:hAnsi="Arial" w:cs="Arial"/>
          <w:b/>
          <w:bCs/>
          <w:sz w:val="28"/>
        </w:rPr>
        <w:br w:type="page"/>
      </w:r>
    </w:p>
    <w:p w14:paraId="34C14731">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残疾人福利性单位声明函（货物类项目）</w:t>
      </w:r>
    </w:p>
    <w:p w14:paraId="1FA58878">
      <w:pPr>
        <w:spacing w:line="360" w:lineRule="auto"/>
        <w:jc w:val="center"/>
        <w:rPr>
          <w:rFonts w:hint="eastAsia" w:ascii="宋体" w:hAnsi="宋体"/>
          <w:b/>
          <w:sz w:val="24"/>
          <w:szCs w:val="24"/>
        </w:rPr>
      </w:pPr>
    </w:p>
    <w:p w14:paraId="7ECCE790">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rPr>
        <w:t>（单位名称）</w:t>
      </w:r>
      <w:r>
        <w:rPr>
          <w:rFonts w:hint="eastAsia" w:ascii="宋体" w:hAnsi="宋体" w:eastAsia="宋体" w:cs="宋体"/>
          <w:sz w:val="21"/>
          <w:szCs w:val="21"/>
        </w:rPr>
        <w:t>采购编号为</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采购编号</w:t>
      </w:r>
      <w:r>
        <w:rPr>
          <w:rFonts w:hint="eastAsia" w:ascii="宋体" w:hAnsi="宋体" w:eastAsia="宋体" w:cs="宋体"/>
          <w:sz w:val="21"/>
          <w:szCs w:val="21"/>
          <w:u w:val="single"/>
        </w:rPr>
        <w:t>）</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项目</w:t>
      </w:r>
      <w:r>
        <w:rPr>
          <w:rFonts w:hint="eastAsia" w:ascii="宋体" w:hAnsi="宋体" w:eastAsia="宋体" w:cs="宋体"/>
          <w:sz w:val="21"/>
          <w:szCs w:val="21"/>
          <w:u w:val="none"/>
        </w:rPr>
        <w:t>（项目名称）</w:t>
      </w:r>
      <w:r>
        <w:rPr>
          <w:rFonts w:hint="eastAsia" w:ascii="宋体" w:hAnsi="宋体" w:eastAsia="宋体" w:cs="宋体"/>
          <w:sz w:val="21"/>
          <w:szCs w:val="21"/>
        </w:rPr>
        <w:t>采购活动提供本单位制造的货物，或者提供其他残疾人福利性单位制造的货物（不包括使用非残疾人福利性单位注册商标的货物）。</w:t>
      </w:r>
    </w:p>
    <w:p w14:paraId="6FD339C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本单位对上述声明的真实性负责。如有虚假，将依法承担相应责任。</w:t>
      </w:r>
    </w:p>
    <w:p w14:paraId="29A99F55">
      <w:pPr>
        <w:spacing w:line="360" w:lineRule="auto"/>
        <w:ind w:firstLine="480"/>
        <w:rPr>
          <w:rFonts w:hint="eastAsia" w:ascii="宋体" w:hAnsi="宋体" w:eastAsia="宋体" w:cs="宋体"/>
          <w:sz w:val="21"/>
          <w:szCs w:val="21"/>
        </w:rPr>
      </w:pPr>
    </w:p>
    <w:p w14:paraId="1BF1899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备注：</w:t>
      </w:r>
    </w:p>
    <w:p w14:paraId="05964450">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1.专门面向中小微型企业采购的项目，供应商为残疾人福利性单位并提供本单位制造的货物，或者提供其他残疾人福利性单位制造的货物，必须提供此声明函，否则将不能通过资格审查。</w:t>
      </w:r>
    </w:p>
    <w:p w14:paraId="6B6C6F8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2. 非专门面向中小微型企业采购的项目，供应商如不提供此声明函，价格将不做相应扣除。</w:t>
      </w:r>
    </w:p>
    <w:p w14:paraId="37AB25E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3.中标/成交供应商为残疾人福利性单位的，此声明函将随中标/成交结果同时公告，接受社会监督。</w:t>
      </w:r>
    </w:p>
    <w:p w14:paraId="34D5295A">
      <w:pPr>
        <w:spacing w:line="360" w:lineRule="auto"/>
        <w:ind w:firstLine="624"/>
        <w:rPr>
          <w:rFonts w:hint="eastAsia" w:ascii="宋体" w:hAnsi="宋体" w:eastAsia="宋体" w:cs="宋体"/>
          <w:spacing w:val="6"/>
          <w:sz w:val="21"/>
          <w:szCs w:val="21"/>
        </w:rPr>
      </w:pPr>
    </w:p>
    <w:p w14:paraId="7A658935">
      <w:pPr>
        <w:tabs>
          <w:tab w:val="left" w:pos="4860"/>
        </w:tabs>
        <w:spacing w:line="360" w:lineRule="auto"/>
        <w:ind w:right="1559" w:firstLine="624"/>
        <w:jc w:val="center"/>
        <w:rPr>
          <w:rFonts w:hint="eastAsia" w:ascii="宋体" w:hAnsi="宋体" w:eastAsia="宋体" w:cs="宋体"/>
          <w:sz w:val="21"/>
          <w:szCs w:val="21"/>
        </w:rPr>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供应商全称（加盖CA电子公章）：</w:t>
      </w:r>
    </w:p>
    <w:p w14:paraId="59197D69">
      <w:pPr>
        <w:tabs>
          <w:tab w:val="left" w:pos="4860"/>
        </w:tabs>
        <w:spacing w:line="360" w:lineRule="auto"/>
        <w:ind w:right="1559" w:firstLine="480"/>
        <w:jc w:val="cente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  期：</w:t>
      </w:r>
      <w:r>
        <w:rPr>
          <w:rFonts w:hint="eastAsia" w:ascii="宋体" w:hAnsi="宋体" w:eastAsia="宋体" w:cs="宋体"/>
          <w:color w:val="000000"/>
          <w:sz w:val="21"/>
          <w:szCs w:val="21"/>
        </w:rPr>
        <w:t>___年____月____日</w:t>
      </w:r>
      <w:r>
        <w:rPr>
          <w:rFonts w:hint="eastAsia" w:ascii="宋体" w:hAnsi="宋体" w:eastAsia="宋体" w:cs="宋体"/>
          <w:i w:val="0"/>
          <w:iCs w:val="0"/>
          <w:caps w:val="0"/>
          <w:color w:val="auto"/>
          <w:spacing w:val="0"/>
          <w:sz w:val="21"/>
          <w:szCs w:val="21"/>
          <w:shd w:val="clear" w:color="auto" w:fill="FFFFFF"/>
        </w:rPr>
        <w:t> </w:t>
      </w:r>
    </w:p>
    <w:p w14:paraId="69125546">
      <w:pPr>
        <w:rPr>
          <w:rFonts w:ascii="Arial" w:hAnsi="Arial" w:cs="Arial"/>
          <w:b/>
          <w:bCs/>
        </w:rPr>
      </w:pPr>
      <w:r>
        <w:rPr>
          <w:rFonts w:ascii="Arial" w:hAnsi="Arial" w:cs="Arial"/>
          <w:b/>
          <w:bCs/>
        </w:rPr>
        <w:br w:type="page"/>
      </w:r>
    </w:p>
    <w:p w14:paraId="6EA541E8">
      <w:pPr>
        <w:spacing w:line="360" w:lineRule="auto"/>
        <w:rPr>
          <w:rFonts w:ascii="Arial" w:hAnsi="Arial" w:cs="Arial"/>
          <w:b/>
          <w:bCs/>
        </w:rPr>
      </w:pPr>
    </w:p>
    <w:p w14:paraId="54DE5412">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属于监狱企业的证明文件</w:t>
      </w:r>
    </w:p>
    <w:p w14:paraId="704C1ADE">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32AF98CE">
      <w:pPr>
        <w:spacing w:line="360" w:lineRule="auto"/>
        <w:rPr>
          <w:rFonts w:ascii="Arial" w:hAnsi="Arial" w:cs="Arial"/>
          <w:b/>
          <w:bCs/>
        </w:rPr>
      </w:pPr>
    </w:p>
    <w:p w14:paraId="1585EEE1">
      <w:pPr>
        <w:spacing w:line="360" w:lineRule="auto"/>
        <w:rPr>
          <w:rFonts w:ascii="Arial" w:hAnsi="Arial" w:cs="Arial"/>
          <w:b/>
          <w:bCs/>
        </w:rPr>
      </w:pPr>
    </w:p>
    <w:p w14:paraId="1141921E">
      <w:pPr>
        <w:spacing w:line="360" w:lineRule="auto"/>
        <w:rPr>
          <w:rFonts w:ascii="Arial" w:hAnsi="Arial" w:cs="Arial"/>
          <w:b/>
          <w:bCs/>
        </w:rPr>
      </w:pPr>
    </w:p>
    <w:p w14:paraId="1B8F3615">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节能产品认证证书</w:t>
      </w:r>
    </w:p>
    <w:p w14:paraId="601A8B69">
      <w:pPr>
        <w:spacing w:line="360" w:lineRule="auto"/>
        <w:rPr>
          <w:rFonts w:ascii="Arial" w:hAnsi="Arial" w:cs="Arial"/>
          <w:bCs/>
        </w:rPr>
      </w:pPr>
      <w:r>
        <w:rPr>
          <w:rFonts w:ascii="Arial" w:hAnsi="Arial" w:cs="Arial"/>
          <w:bCs/>
        </w:rPr>
        <w:t>（提供国家确定的认证机构出具的、处于有效期之内的产品认证证书）</w:t>
      </w:r>
    </w:p>
    <w:p w14:paraId="7563156E">
      <w:pPr>
        <w:spacing w:line="360" w:lineRule="auto"/>
        <w:rPr>
          <w:rFonts w:ascii="Arial" w:hAnsi="Arial" w:cs="Arial"/>
          <w:b/>
          <w:bCs/>
        </w:rPr>
      </w:pPr>
    </w:p>
    <w:p w14:paraId="753A1871">
      <w:pPr>
        <w:spacing w:line="360" w:lineRule="auto"/>
        <w:rPr>
          <w:rFonts w:ascii="Arial" w:hAnsi="Arial" w:cs="Arial"/>
          <w:b/>
          <w:bCs/>
        </w:rPr>
      </w:pPr>
    </w:p>
    <w:p w14:paraId="038768D9">
      <w:pPr>
        <w:spacing w:line="360" w:lineRule="auto"/>
        <w:jc w:val="center"/>
        <w:rPr>
          <w:rFonts w:ascii="Arial" w:hAnsi="Arial" w:cs="Arial"/>
          <w:b/>
          <w:bCs/>
          <w:sz w:val="28"/>
        </w:rPr>
      </w:pPr>
    </w:p>
    <w:p w14:paraId="4041A5FC">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环境标志产品认证证书</w:t>
      </w:r>
    </w:p>
    <w:p w14:paraId="31898EFD">
      <w:pPr>
        <w:spacing w:line="360" w:lineRule="auto"/>
        <w:rPr>
          <w:rFonts w:ascii="Arial" w:hAnsi="Arial" w:cs="Arial"/>
        </w:rPr>
      </w:pPr>
      <w:r>
        <w:rPr>
          <w:rFonts w:ascii="Arial" w:hAnsi="Arial" w:cs="Arial"/>
          <w:bCs/>
        </w:rPr>
        <w:t>（提供国家确定的认证机构出具的、处于有效期之内的产品认证证书）</w:t>
      </w:r>
    </w:p>
    <w:p w14:paraId="053F3C9B">
      <w:pPr>
        <w:spacing w:line="360" w:lineRule="auto"/>
        <w:rPr>
          <w:rFonts w:ascii="Arial" w:hAnsi="Arial" w:cs="Arial"/>
          <w:b/>
          <w:bCs/>
        </w:rPr>
      </w:pPr>
    </w:p>
    <w:p w14:paraId="6604BEBA">
      <w:pPr>
        <w:spacing w:line="360" w:lineRule="auto"/>
        <w:rPr>
          <w:rFonts w:ascii="Arial" w:hAnsi="Arial" w:cs="Arial"/>
          <w:b/>
          <w:bCs/>
        </w:rPr>
      </w:pPr>
    </w:p>
    <w:p w14:paraId="64D21D79">
      <w:pPr>
        <w:spacing w:line="360" w:lineRule="auto"/>
        <w:rPr>
          <w:rFonts w:ascii="Arial" w:hAnsi="Arial" w:cs="Arial"/>
          <w:b/>
          <w:bCs/>
        </w:rPr>
      </w:pPr>
    </w:p>
    <w:p w14:paraId="6BC191E8">
      <w:pPr>
        <w:spacing w:line="360" w:lineRule="auto"/>
        <w:rPr>
          <w:rFonts w:ascii="Arial" w:hAnsi="Arial" w:cs="Arial"/>
          <w:b/>
          <w:bCs/>
        </w:rPr>
      </w:pPr>
    </w:p>
    <w:p w14:paraId="7C076125">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进口产品转让技术、消化吸收再创新方案</w:t>
      </w:r>
    </w:p>
    <w:p w14:paraId="4226CFFD">
      <w:pPr>
        <w:spacing w:line="360" w:lineRule="auto"/>
        <w:rPr>
          <w:rFonts w:ascii="Arial" w:hAnsi="Arial" w:cs="Arial"/>
          <w:bCs/>
        </w:rPr>
      </w:pPr>
      <w:r>
        <w:rPr>
          <w:rFonts w:ascii="Arial" w:hAnsi="Arial" w:cs="Arial"/>
          <w:bCs/>
        </w:rPr>
        <w:t>（对于允许进口产品参加的项目）</w:t>
      </w:r>
    </w:p>
    <w:p w14:paraId="6605E703">
      <w:pPr>
        <w:spacing w:line="360" w:lineRule="auto"/>
        <w:rPr>
          <w:rFonts w:ascii="Arial" w:hAnsi="Arial" w:cs="Arial"/>
          <w:b/>
          <w:bCs/>
        </w:rPr>
      </w:pPr>
    </w:p>
    <w:p w14:paraId="0B7C5095">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3B2C2C96">
      <w:pPr>
        <w:spacing w:line="240" w:lineRule="atLeast"/>
        <w:jc w:val="center"/>
        <w:rPr>
          <w:rFonts w:ascii="Arial" w:hAnsi="Arial" w:eastAsia="黑体" w:cs="Arial"/>
          <w:sz w:val="28"/>
          <w:szCs w:val="36"/>
        </w:rPr>
      </w:pPr>
    </w:p>
    <w:p w14:paraId="28B742C5">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Times New Roman"/>
          <w:b/>
          <w:sz w:val="24"/>
          <w:szCs w:val="21"/>
        </w:rPr>
      </w:pPr>
      <w:r>
        <w:rPr>
          <w:rFonts w:hint="eastAsia" w:ascii="宋体" w:hAnsi="宋体" w:eastAsia="宋体" w:cs="Times New Roman"/>
          <w:b/>
          <w:sz w:val="24"/>
          <w:szCs w:val="21"/>
        </w:rPr>
        <w:t>无重大违法记录声明</w:t>
      </w:r>
    </w:p>
    <w:p w14:paraId="198955F6">
      <w:pPr>
        <w:spacing w:line="360" w:lineRule="auto"/>
        <w:rPr>
          <w:rFonts w:ascii="Arial" w:hAnsi="Arial" w:eastAsia="黑体" w:cs="Arial"/>
          <w:szCs w:val="21"/>
        </w:rPr>
      </w:pPr>
    </w:p>
    <w:p w14:paraId="44B38267">
      <w:pPr>
        <w:spacing w:line="360" w:lineRule="auto"/>
        <w:rPr>
          <w:rFonts w:ascii="Arial" w:hAnsi="Arial" w:cs="Arial"/>
          <w:szCs w:val="21"/>
        </w:rPr>
      </w:pPr>
      <w:r>
        <w:rPr>
          <w:rFonts w:ascii="Arial" w:hAnsi="Arial" w:cs="Arial"/>
          <w:szCs w:val="21"/>
        </w:rPr>
        <w:t>江苏省设备成套股份有限公司：</w:t>
      </w:r>
    </w:p>
    <w:p w14:paraId="359E808F">
      <w:pPr>
        <w:spacing w:line="360" w:lineRule="auto"/>
        <w:rPr>
          <w:rFonts w:ascii="Arial" w:hAnsi="Arial" w:cs="Arial"/>
        </w:rPr>
      </w:pPr>
    </w:p>
    <w:p w14:paraId="1CB6D14E">
      <w:pPr>
        <w:spacing w:line="360" w:lineRule="auto"/>
        <w:ind w:firstLine="336" w:firstLineChars="160"/>
        <w:rPr>
          <w:rFonts w:ascii="Arial" w:hAnsi="Arial" w:cs="Arial"/>
        </w:rPr>
      </w:pPr>
      <w:r>
        <w:rPr>
          <w:rFonts w:ascii="Arial" w:hAnsi="Arial" w:cs="Arial"/>
        </w:rPr>
        <w:t>我单位（供应商名称）郑重声明：</w:t>
      </w:r>
    </w:p>
    <w:p w14:paraId="2C8871A2">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w:t>
      </w:r>
      <w:r>
        <w:rPr>
          <w:rFonts w:hint="eastAsia" w:ascii="Arial" w:hAnsi="Arial" w:cs="Arial"/>
          <w:b/>
          <w:kern w:val="0"/>
          <w:szCs w:val="21"/>
        </w:rPr>
        <w:t>重大税收违法失信主体名单</w:t>
      </w:r>
      <w:r>
        <w:rPr>
          <w:rFonts w:ascii="Arial" w:hAnsi="Arial" w:cs="Arial"/>
          <w:b/>
          <w:kern w:val="0"/>
          <w:szCs w:val="21"/>
        </w:rPr>
        <w:t>、政府采购严重违法失信行为记录名单的供应商。</w:t>
      </w:r>
    </w:p>
    <w:p w14:paraId="097C1498">
      <w:pPr>
        <w:spacing w:line="360" w:lineRule="auto"/>
        <w:ind w:firstLine="420" w:firstLineChars="200"/>
        <w:rPr>
          <w:rFonts w:ascii="Arial" w:hAnsi="Arial" w:cs="Arial"/>
        </w:rPr>
      </w:pPr>
    </w:p>
    <w:p w14:paraId="782EBC4B">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ascii="Arial" w:hAnsi="Arial" w:cs="Arial"/>
        </w:rPr>
      </w:pPr>
    </w:p>
    <w:p w14:paraId="4F43BE54">
      <w:pPr>
        <w:spacing w:line="360" w:lineRule="auto"/>
        <w:ind w:firstLine="5103" w:firstLineChars="2430"/>
        <w:rPr>
          <w:rFonts w:ascii="Arial" w:hAnsi="Arial" w:cs="Arial"/>
        </w:rPr>
      </w:pPr>
      <w:r>
        <w:rPr>
          <w:rFonts w:ascii="Arial" w:hAnsi="Arial" w:cs="Arial"/>
        </w:rPr>
        <w:t>声明人：（</w:t>
      </w:r>
      <w:r>
        <w:rPr>
          <w:rFonts w:hint="eastAsia" w:ascii="宋体" w:hAnsi="宋体" w:cs="宋体"/>
          <w:kern w:val="0"/>
          <w:szCs w:val="21"/>
          <w:highlight w:val="none"/>
        </w:rPr>
        <w:t>加盖电子公章</w:t>
      </w:r>
      <w:r>
        <w:rPr>
          <w:rFonts w:ascii="Arial" w:hAnsi="Arial" w:cs="Arial"/>
        </w:rPr>
        <w:t>）</w:t>
      </w:r>
    </w:p>
    <w:p w14:paraId="135C385D">
      <w:pPr>
        <w:autoSpaceDE w:val="0"/>
        <w:autoSpaceDN w:val="0"/>
        <w:adjustRightInd w:val="0"/>
        <w:spacing w:line="360" w:lineRule="auto"/>
        <w:ind w:firstLine="5250" w:firstLineChars="2500"/>
        <w:rPr>
          <w:rFonts w:ascii="Arial" w:hAnsi="Arial" w:cs="Arial"/>
          <w:szCs w:val="21"/>
          <w:lang w:val="zh-CN"/>
        </w:rPr>
      </w:pPr>
      <w:r>
        <w:rPr>
          <w:rFonts w:ascii="Arial" w:hAnsi="Arial" w:cs="Arial"/>
          <w:szCs w:val="21"/>
          <w:lang w:val="zh-CN"/>
        </w:rPr>
        <w:t>日期：年月</w:t>
      </w:r>
    </w:p>
    <w:p w14:paraId="232AFCBF">
      <w:pPr>
        <w:autoSpaceDE w:val="0"/>
        <w:autoSpaceDN w:val="0"/>
        <w:adjustRightInd w:val="0"/>
        <w:spacing w:line="360" w:lineRule="auto"/>
        <w:ind w:firstLine="5250" w:firstLineChars="2500"/>
        <w:rPr>
          <w:rFonts w:ascii="Arial" w:hAnsi="Arial" w:cs="Arial"/>
          <w:szCs w:val="21"/>
          <w:lang w:val="zh-CN"/>
        </w:rPr>
      </w:pPr>
    </w:p>
    <w:p w14:paraId="5EA91B4A">
      <w:pPr>
        <w:autoSpaceDE w:val="0"/>
        <w:autoSpaceDN w:val="0"/>
        <w:adjustRightInd w:val="0"/>
        <w:spacing w:line="360" w:lineRule="auto"/>
        <w:rPr>
          <w:rFonts w:ascii="Arial" w:hAnsi="Arial" w:cs="Arial"/>
          <w:b/>
        </w:rPr>
      </w:pPr>
    </w:p>
    <w:p w14:paraId="74E983FD">
      <w:pPr>
        <w:autoSpaceDE w:val="0"/>
        <w:autoSpaceDN w:val="0"/>
        <w:adjustRightInd w:val="0"/>
        <w:spacing w:line="360" w:lineRule="auto"/>
        <w:rPr>
          <w:rFonts w:ascii="Arial" w:hAnsi="Arial" w:cs="Arial"/>
          <w:b/>
        </w:rPr>
      </w:pPr>
      <w:r>
        <w:rPr>
          <w:rFonts w:ascii="Arial" w:hAnsi="Arial" w:cs="Arial"/>
          <w:b/>
        </w:rPr>
        <w:t>附件十二、资格资信证明文件</w:t>
      </w:r>
    </w:p>
    <w:p w14:paraId="3D797B32">
      <w:pPr>
        <w:autoSpaceDE w:val="0"/>
        <w:autoSpaceDN w:val="0"/>
        <w:adjustRightInd w:val="0"/>
        <w:spacing w:line="360" w:lineRule="auto"/>
        <w:rPr>
          <w:rFonts w:ascii="Arial" w:hAnsi="Arial" w:cs="Arial"/>
          <w:b/>
        </w:rPr>
      </w:pPr>
    </w:p>
    <w:p w14:paraId="453D45F3">
      <w:pPr>
        <w:autoSpaceDE w:val="0"/>
        <w:autoSpaceDN w:val="0"/>
        <w:adjustRightInd w:val="0"/>
        <w:spacing w:line="360" w:lineRule="auto"/>
        <w:jc w:val="center"/>
        <w:rPr>
          <w:rFonts w:ascii="Arial" w:hAnsi="Arial" w:cs="Arial"/>
          <w:b/>
          <w:bCs w:val="0"/>
        </w:rPr>
      </w:pPr>
      <w:r>
        <w:rPr>
          <w:rFonts w:hint="eastAsia" w:ascii="Arial" w:hAnsi="Arial" w:cs="Arial"/>
          <w:b/>
          <w:bCs w:val="0"/>
        </w:rPr>
        <w:t>根据采购公告中</w:t>
      </w:r>
      <w:r>
        <w:rPr>
          <w:rFonts w:hint="eastAsia" w:ascii="Arial" w:hAnsi="Arial" w:cs="Arial"/>
          <w:b/>
          <w:bCs w:val="0"/>
          <w:lang w:eastAsia="zh-CN"/>
        </w:rPr>
        <w:t>“</w:t>
      </w:r>
      <w:r>
        <w:rPr>
          <w:rFonts w:hint="eastAsia" w:ascii="Arial" w:hAnsi="Arial" w:cs="Arial"/>
          <w:b/>
          <w:bCs w:val="0"/>
        </w:rPr>
        <w:t>二、申请人的资格要求</w:t>
      </w:r>
      <w:r>
        <w:rPr>
          <w:rFonts w:hint="eastAsia" w:ascii="Arial" w:hAnsi="Arial" w:cs="Arial"/>
          <w:b/>
          <w:bCs w:val="0"/>
          <w:lang w:eastAsia="zh-CN"/>
        </w:rPr>
        <w:t>”</w:t>
      </w:r>
      <w:r>
        <w:rPr>
          <w:rFonts w:hint="eastAsia" w:ascii="Arial" w:hAnsi="Arial" w:cs="Arial"/>
          <w:b/>
          <w:bCs w:val="0"/>
        </w:rPr>
        <w:t>在苏采云平台对应模块填写</w:t>
      </w:r>
    </w:p>
    <w:p w14:paraId="280FD8ED">
      <w:pPr>
        <w:autoSpaceDE w:val="0"/>
        <w:autoSpaceDN w:val="0"/>
        <w:adjustRightInd w:val="0"/>
        <w:spacing w:line="360" w:lineRule="auto"/>
        <w:rPr>
          <w:rFonts w:ascii="Arial" w:hAnsi="Arial" w:cs="Arial"/>
          <w:b/>
        </w:rPr>
      </w:pPr>
    </w:p>
    <w:p w14:paraId="38C5A94C">
      <w:pPr>
        <w:autoSpaceDE w:val="0"/>
        <w:autoSpaceDN w:val="0"/>
        <w:adjustRightInd w:val="0"/>
        <w:spacing w:line="360" w:lineRule="auto"/>
        <w:rPr>
          <w:rFonts w:ascii="Arial" w:hAnsi="Arial" w:cs="Arial"/>
          <w:b/>
        </w:rPr>
      </w:pPr>
    </w:p>
    <w:p w14:paraId="11FCABF8">
      <w:pPr>
        <w:autoSpaceDE w:val="0"/>
        <w:autoSpaceDN w:val="0"/>
        <w:adjustRightInd w:val="0"/>
        <w:spacing w:line="360" w:lineRule="auto"/>
        <w:rPr>
          <w:rFonts w:ascii="Arial" w:hAnsi="Arial" w:cs="Arial"/>
          <w:b/>
        </w:rPr>
      </w:pPr>
    </w:p>
    <w:p w14:paraId="20DA8849">
      <w:pPr>
        <w:rPr>
          <w:rFonts w:ascii="Arial" w:hAnsi="Arial" w:cs="Arial"/>
          <w:b/>
        </w:rPr>
      </w:pPr>
      <w:r>
        <w:rPr>
          <w:rFonts w:ascii="Arial" w:hAnsi="Arial" w:cs="Arial"/>
          <w:b/>
        </w:rPr>
        <w:t>附件十</w:t>
      </w:r>
      <w:r>
        <w:rPr>
          <w:rFonts w:hint="eastAsia" w:ascii="Arial" w:hAnsi="Arial" w:cs="Arial"/>
          <w:b/>
        </w:rPr>
        <w:t>三</w:t>
      </w:r>
      <w:r>
        <w:rPr>
          <w:rFonts w:ascii="Arial" w:hAnsi="Arial" w:cs="Arial"/>
          <w:b/>
        </w:rPr>
        <w:t>、其他</w:t>
      </w:r>
    </w:p>
    <w:p w14:paraId="75562AC4">
      <w:pPr>
        <w:autoSpaceDE w:val="0"/>
        <w:autoSpaceDN w:val="0"/>
        <w:adjustRightInd w:val="0"/>
        <w:spacing w:line="360" w:lineRule="auto"/>
        <w:jc w:val="center"/>
        <w:rPr>
          <w:rFonts w:hint="eastAsia" w:ascii="Arial" w:hAnsi="Arial" w:eastAsia="宋体" w:cs="Arial"/>
          <w:b/>
          <w:bCs w:val="0"/>
          <w:lang w:val="en-US" w:eastAsia="zh-CN"/>
        </w:rPr>
      </w:pPr>
    </w:p>
    <w:p w14:paraId="092FD555">
      <w:pPr>
        <w:autoSpaceDE w:val="0"/>
        <w:autoSpaceDN w:val="0"/>
        <w:adjustRightInd w:val="0"/>
        <w:spacing w:line="360" w:lineRule="auto"/>
        <w:jc w:val="center"/>
        <w:rPr>
          <w:rFonts w:hint="eastAsia" w:ascii="Arial" w:hAnsi="Arial" w:eastAsia="宋体" w:cs="Arial"/>
          <w:b/>
          <w:bCs w:val="0"/>
          <w:lang w:val="en-US" w:eastAsia="zh-CN"/>
        </w:rPr>
      </w:pPr>
      <w:r>
        <w:rPr>
          <w:rFonts w:hint="eastAsia" w:ascii="Arial" w:hAnsi="Arial" w:eastAsia="宋体" w:cs="Arial"/>
          <w:b/>
          <w:bCs w:val="0"/>
          <w:lang w:val="en-US" w:eastAsia="zh-CN"/>
        </w:rPr>
        <w:t>供应商需要补充的其他内容</w:t>
      </w:r>
    </w:p>
    <w:p w14:paraId="7F11536A">
      <w:pPr>
        <w:autoSpaceDE/>
        <w:autoSpaceDN/>
        <w:adjustRightInd/>
        <w:spacing w:line="240" w:lineRule="auto"/>
        <w:jc w:val="left"/>
        <w:rPr>
          <w:rFonts w:hint="eastAsia" w:ascii="Arial" w:hAnsi="Arial" w:eastAsia="宋体" w:cs="Arial"/>
          <w:b/>
          <w:bCs w:val="0"/>
          <w:lang w:val="en-US" w:eastAsia="zh-CN"/>
        </w:rPr>
      </w:pPr>
      <w:r>
        <w:rPr>
          <w:rFonts w:hint="eastAsia" w:ascii="Arial" w:hAnsi="Arial" w:eastAsia="宋体" w:cs="Arial"/>
          <w:b/>
          <w:bCs w:val="0"/>
          <w:lang w:val="en-US" w:eastAsia="zh-CN"/>
        </w:rPr>
        <w:br w:type="page"/>
      </w:r>
    </w:p>
    <w:p w14:paraId="53CE3D14">
      <w:pPr>
        <w:autoSpaceDE/>
        <w:autoSpaceDN/>
        <w:adjustRightInd w:val="0"/>
        <w:spacing w:line="360" w:lineRule="auto"/>
        <w:ind w:firstLine="0" w:firstLineChars="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承诺函</w:t>
      </w:r>
    </w:p>
    <w:bookmarkEnd w:id="1"/>
    <w:p w14:paraId="695CD429">
      <w:pPr>
        <w:spacing w:line="360" w:lineRule="auto"/>
        <w:ind w:firstLine="0" w:firstLineChars="0"/>
        <w:rPr>
          <w:rFonts w:hint="default"/>
          <w:lang w:val="en-US"/>
        </w:rPr>
      </w:pPr>
      <w:r>
        <w:rPr>
          <w:rFonts w:hint="eastAsia" w:ascii="宋体" w:hAnsi="宋体" w:cs="宋体"/>
          <w:b w:val="0"/>
          <w:bCs w:val="0"/>
          <w:color w:val="auto"/>
          <w:sz w:val="21"/>
          <w:szCs w:val="21"/>
          <w:highlight w:val="none"/>
          <w:lang w:val="en-US" w:eastAsia="zh-CN"/>
        </w:rPr>
        <w:t>我单位郑重承诺，</w:t>
      </w:r>
      <w:r>
        <w:rPr>
          <w:rFonts w:ascii="Arial" w:hAnsi="Arial" w:cs="Arial"/>
        </w:rPr>
        <w:t>参加</w:t>
      </w:r>
      <w:r>
        <w:rPr>
          <w:rFonts w:hint="eastAsia" w:ascii="宋体" w:hAnsi="宋体" w:eastAsia="宋体" w:cs="宋体"/>
          <w:spacing w:val="8"/>
          <w:kern w:val="0"/>
          <w:szCs w:val="21"/>
          <w:lang w:eastAsia="zh-CN"/>
        </w:rPr>
        <w:t>南京医科大学高性能计算平台采购项目</w:t>
      </w:r>
      <w:r>
        <w:rPr>
          <w:rFonts w:hint="eastAsia" w:ascii="宋体" w:hAnsi="宋体" w:cs="宋体"/>
          <w:spacing w:val="8"/>
          <w:kern w:val="0"/>
          <w:szCs w:val="21"/>
          <w:lang w:val="en-US" w:eastAsia="zh-CN"/>
        </w:rPr>
        <w:t>满足以下要求：</w:t>
      </w:r>
    </w:p>
    <w:p w14:paraId="41A1F6FE">
      <w:pPr>
        <w:numPr>
          <w:ilvl w:val="0"/>
          <w:numId w:val="0"/>
        </w:numPr>
        <w:spacing w:line="360" w:lineRule="auto"/>
        <w:ind w:firstLine="422" w:firstLineChars="200"/>
        <w:rPr>
          <w:rFonts w:hint="eastAsia" w:ascii="宋体" w:hAnsi="宋体" w:cs="宋体"/>
          <w:b/>
          <w:bCs/>
          <w:color w:val="auto"/>
          <w:sz w:val="21"/>
          <w:szCs w:val="21"/>
          <w:highlight w:val="none"/>
          <w:lang w:val="en-US" w:eastAsia="zh-CN"/>
        </w:rPr>
      </w:pPr>
      <w:r>
        <w:rPr>
          <w:rFonts w:hint="eastAsia" w:ascii="宋体" w:hAnsi="宋体" w:eastAsia="宋体" w:cs="宋体"/>
          <w:b/>
          <w:bCs/>
          <w:color w:val="auto"/>
          <w:kern w:val="2"/>
          <w:sz w:val="21"/>
          <w:szCs w:val="21"/>
          <w:lang w:val="en-US" w:eastAsia="zh-CN" w:bidi="ar-SA"/>
        </w:rPr>
        <w:t>1</w:t>
      </w:r>
      <w:r>
        <w:rPr>
          <w:rFonts w:hint="eastAsia" w:ascii="宋体" w:hAnsi="宋体" w:cs="宋体"/>
          <w:b/>
          <w:bCs/>
          <w:color w:val="auto"/>
          <w:kern w:val="2"/>
          <w:sz w:val="21"/>
          <w:szCs w:val="21"/>
          <w:lang w:val="en-US" w:eastAsia="zh-CN" w:bidi="ar-SA"/>
        </w:rPr>
        <w:t>.</w:t>
      </w:r>
      <w:r>
        <w:rPr>
          <w:rFonts w:hint="eastAsia" w:ascii="宋体" w:hAnsi="宋体" w:eastAsia="宋体" w:cs="宋体"/>
          <w:b/>
          <w:bCs/>
          <w:color w:val="auto"/>
          <w:sz w:val="21"/>
          <w:szCs w:val="21"/>
          <w:highlight w:val="none"/>
        </w:rPr>
        <w:t>共享存储</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容量满足以下要求：</w:t>
      </w:r>
    </w:p>
    <w:p w14:paraId="0870A189">
      <w:pPr>
        <w:numPr>
          <w:ilvl w:val="0"/>
          <w:numId w:val="0"/>
        </w:numPr>
        <w:spacing w:line="360" w:lineRule="auto"/>
        <w:ind w:firstLine="420" w:firstLineChars="200"/>
        <w:rPr>
          <w:rFonts w:hint="eastAsia" w:ascii="宋体" w:hAnsi="宋体" w:cs="宋体"/>
          <w:b w:val="0"/>
          <w:bCs w:val="0"/>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系统裸容量≥5.94PB，其中NVMe SSD裸容量≥0.18PB，HDD裸容量≥5.76PB；系统可用容量≥3.56PB，其中NVMe SSD可用容量≥0.11PB，HDD可用容量≥3.45PB</w:t>
      </w:r>
      <w:r>
        <w:rPr>
          <w:rFonts w:hint="eastAsia" w:ascii="宋体" w:hAnsi="宋体" w:cs="宋体"/>
          <w:b w:val="0"/>
          <w:bCs w:val="0"/>
          <w:color w:val="auto"/>
          <w:sz w:val="21"/>
          <w:szCs w:val="21"/>
          <w:highlight w:val="none"/>
          <w:lang w:val="en-US" w:eastAsia="zh-CN"/>
        </w:rPr>
        <w:t>。</w:t>
      </w:r>
    </w:p>
    <w:p w14:paraId="5C902DB4">
      <w:pPr>
        <w:numPr>
          <w:ilvl w:val="0"/>
          <w:numId w:val="0"/>
        </w:numPr>
        <w:spacing w:line="360" w:lineRule="auto"/>
        <w:ind w:firstLine="422" w:firstLineChars="200"/>
        <w:rPr>
          <w:rFonts w:hint="eastAsia" w:ascii="宋体" w:hAnsi="宋体" w:cs="宋体"/>
          <w:b/>
          <w:bCs/>
          <w:color w:val="auto"/>
          <w:sz w:val="21"/>
          <w:szCs w:val="21"/>
          <w:highlight w:val="none"/>
          <w:lang w:val="en-US" w:eastAsia="zh-CN"/>
        </w:rPr>
      </w:pPr>
      <w:r>
        <w:rPr>
          <w:rFonts w:hint="eastAsia" w:ascii="宋体" w:hAnsi="宋体" w:eastAsia="宋体" w:cs="宋体"/>
          <w:b/>
          <w:bCs/>
          <w:color w:val="auto"/>
          <w:kern w:val="2"/>
          <w:sz w:val="21"/>
          <w:szCs w:val="21"/>
          <w:lang w:val="en-US" w:eastAsia="zh-CN" w:bidi="ar-SA"/>
        </w:rPr>
        <w:t>2</w:t>
      </w:r>
      <w:r>
        <w:rPr>
          <w:rFonts w:hint="eastAsia" w:ascii="宋体" w:hAnsi="宋体" w:cs="宋体"/>
          <w:b/>
          <w:bCs/>
          <w:color w:val="auto"/>
          <w:kern w:val="2"/>
          <w:sz w:val="21"/>
          <w:szCs w:val="21"/>
          <w:lang w:val="en-US" w:eastAsia="zh-CN" w:bidi="ar-SA"/>
        </w:rPr>
        <w:t>.</w:t>
      </w:r>
      <w:r>
        <w:rPr>
          <w:rFonts w:hint="eastAsia" w:ascii="宋体" w:hAnsi="宋体" w:eastAsia="宋体" w:cs="宋体"/>
          <w:b/>
          <w:bCs/>
          <w:color w:val="auto"/>
          <w:sz w:val="21"/>
          <w:szCs w:val="21"/>
          <w:highlight w:val="none"/>
        </w:rPr>
        <w:t>共享存储</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存储系统性能满足以下要求：</w:t>
      </w:r>
    </w:p>
    <w:p w14:paraId="239B161C">
      <w:pPr>
        <w:pStyle w:val="46"/>
        <w:keepNext w:val="0"/>
        <w:keepLines w:val="0"/>
        <w:pageBreakBefore w:val="0"/>
        <w:kinsoku/>
        <w:wordWrap/>
        <w:overflowPunct/>
        <w:topLinePunct w:val="0"/>
        <w:autoSpaceDE/>
        <w:autoSpaceDN/>
        <w:bidi w:val="0"/>
        <w:adjustRightInd/>
        <w:snapToGrid/>
        <w:spacing w:after="0" w:line="360" w:lineRule="auto"/>
        <w:ind w:left="0" w:leftChars="0" w:firstLine="420" w:firstLineChars="2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rPr>
        <w:t>(1)</w:t>
      </w:r>
      <w:r>
        <w:rPr>
          <w:rFonts w:hint="eastAsia" w:ascii="宋体" w:hAnsi="宋体" w:eastAsia="宋体" w:cs="宋体"/>
          <w:b w:val="0"/>
          <w:bCs w:val="0"/>
          <w:color w:val="auto"/>
          <w:sz w:val="21"/>
          <w:szCs w:val="21"/>
          <w:highlight w:val="none"/>
        </w:rPr>
        <w:t>全闪资源池</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聚合读带宽≥60GB/s，聚合写带宽≥64GB/s；单客户端单流读带宽≥12GB/s，单客户端单流写带宽≥9GB/s；IOPS≥85万</w:t>
      </w:r>
      <w:r>
        <w:rPr>
          <w:rFonts w:hint="eastAsia" w:ascii="宋体" w:hAnsi="宋体" w:cs="宋体"/>
          <w:b w:val="0"/>
          <w:bCs w:val="0"/>
          <w:color w:val="auto"/>
          <w:sz w:val="21"/>
          <w:szCs w:val="21"/>
          <w:highlight w:val="none"/>
          <w:lang w:eastAsia="zh-CN"/>
        </w:rPr>
        <w:t>；</w:t>
      </w:r>
    </w:p>
    <w:p w14:paraId="66AFA0E7">
      <w:pPr>
        <w:pStyle w:val="46"/>
        <w:keepNext w:val="0"/>
        <w:keepLines w:val="0"/>
        <w:pageBreakBefore w:val="0"/>
        <w:kinsoku/>
        <w:wordWrap/>
        <w:overflowPunct/>
        <w:topLinePunct w:val="0"/>
        <w:autoSpaceDE/>
        <w:autoSpaceDN/>
        <w:bidi w:val="0"/>
        <w:adjustRightInd/>
        <w:snapToGrid/>
        <w:spacing w:after="0" w:line="360" w:lineRule="auto"/>
        <w:ind w:left="0" w:leftChars="0" w:firstLine="420" w:firstLineChars="20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混闪资源池</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聚合读带宽≥32GB/s，聚合写带宽≥20GB/s；单客户端单流读带宽≥12GB/s，单客户端单流写带宽≥8GB/s；IOPS≥60万</w:t>
      </w:r>
      <w:r>
        <w:rPr>
          <w:rFonts w:hint="eastAsia" w:ascii="宋体" w:hAnsi="宋体" w:cs="宋体"/>
          <w:b w:val="0"/>
          <w:bCs w:val="0"/>
          <w:color w:val="auto"/>
          <w:sz w:val="21"/>
          <w:szCs w:val="21"/>
          <w:highlight w:val="none"/>
          <w:lang w:eastAsia="zh-CN"/>
        </w:rPr>
        <w:t>。</w:t>
      </w:r>
    </w:p>
    <w:p w14:paraId="7574A54A">
      <w:pPr>
        <w:numPr>
          <w:ilvl w:val="0"/>
          <w:numId w:val="0"/>
        </w:numPr>
        <w:spacing w:line="360" w:lineRule="auto"/>
        <w:ind w:firstLine="422" w:firstLineChars="200"/>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共享存储</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系统配置</w:t>
      </w:r>
      <w:r>
        <w:rPr>
          <w:rFonts w:hint="eastAsia" w:ascii="宋体" w:hAnsi="宋体" w:cs="宋体"/>
          <w:b/>
          <w:bCs/>
          <w:color w:val="auto"/>
          <w:sz w:val="21"/>
          <w:szCs w:val="21"/>
          <w:highlight w:val="none"/>
          <w:lang w:val="en-US" w:eastAsia="zh-CN"/>
        </w:rPr>
        <w:t>满足以下要求：</w:t>
      </w:r>
    </w:p>
    <w:p w14:paraId="268BE02F">
      <w:pPr>
        <w:pStyle w:val="19"/>
        <w:keepNext w:val="0"/>
        <w:keepLines w:val="0"/>
        <w:pageBreakBefore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CPU：系统共配置≥</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颗国产X86架构处理器，单颗CPU物理核数≥</w:t>
      </w:r>
      <w:r>
        <w:rPr>
          <w:rFonts w:hint="eastAsia" w:ascii="宋体" w:hAnsi="宋体" w:eastAsia="宋体" w:cs="宋体"/>
          <w:b w:val="0"/>
          <w:bCs w:val="0"/>
          <w:color w:val="auto"/>
          <w:sz w:val="21"/>
          <w:szCs w:val="21"/>
          <w:highlight w:val="none"/>
          <w:lang w:val="en-US" w:eastAsia="zh-CN"/>
        </w:rPr>
        <w:t>32</w:t>
      </w:r>
      <w:r>
        <w:rPr>
          <w:rFonts w:hint="eastAsia" w:ascii="宋体" w:hAnsi="宋体" w:eastAsia="宋体" w:cs="宋体"/>
          <w:b w:val="0"/>
          <w:bCs w:val="0"/>
          <w:color w:val="auto"/>
          <w:sz w:val="21"/>
          <w:szCs w:val="21"/>
          <w:highlight w:val="none"/>
        </w:rPr>
        <w:t>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基础频率≥</w:t>
      </w:r>
      <w:r>
        <w:rPr>
          <w:rFonts w:hint="eastAsia" w:ascii="宋体" w:hAnsi="宋体" w:eastAsia="宋体" w:cs="宋体"/>
          <w:b w:val="0"/>
          <w:bCs w:val="0"/>
          <w:color w:val="auto"/>
          <w:sz w:val="21"/>
          <w:szCs w:val="21"/>
          <w:highlight w:val="none"/>
          <w:lang w:val="en-US" w:eastAsia="zh-CN"/>
        </w:rPr>
        <w:t>2.9</w:t>
      </w:r>
      <w:r>
        <w:rPr>
          <w:rFonts w:hint="eastAsia" w:ascii="宋体" w:hAnsi="宋体" w:eastAsia="宋体" w:cs="宋体"/>
          <w:b w:val="0"/>
          <w:bCs w:val="0"/>
          <w:color w:val="auto"/>
          <w:sz w:val="21"/>
          <w:szCs w:val="21"/>
          <w:highlight w:val="none"/>
        </w:rPr>
        <w:t>GHz；</w:t>
      </w:r>
    </w:p>
    <w:p w14:paraId="5F718F4D">
      <w:pPr>
        <w:pStyle w:val="19"/>
        <w:keepNext w:val="0"/>
        <w:keepLines w:val="0"/>
        <w:pageBreakBefore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缓存容量：每处理器核心配置≥</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GB</w:t>
      </w:r>
      <w:r>
        <w:rPr>
          <w:rFonts w:hint="eastAsia" w:ascii="宋体" w:hAnsi="宋体" w:eastAsia="宋体" w:cs="宋体"/>
          <w:b w:val="0"/>
          <w:bCs w:val="0"/>
          <w:color w:val="auto"/>
          <w:sz w:val="21"/>
          <w:szCs w:val="21"/>
          <w:highlight w:val="none"/>
          <w:lang w:val="en-US" w:eastAsia="zh-CN"/>
        </w:rPr>
        <w:t xml:space="preserve"> DDR5</w:t>
      </w:r>
      <w:r>
        <w:rPr>
          <w:rFonts w:hint="eastAsia" w:ascii="宋体" w:hAnsi="宋体" w:eastAsia="宋体" w:cs="宋体"/>
          <w:b w:val="0"/>
          <w:bCs w:val="0"/>
          <w:color w:val="auto"/>
          <w:sz w:val="21"/>
          <w:szCs w:val="21"/>
          <w:highlight w:val="none"/>
        </w:rPr>
        <w:t>缓存容量；</w:t>
      </w:r>
    </w:p>
    <w:p w14:paraId="3E90370C">
      <w:pPr>
        <w:pStyle w:val="19"/>
        <w:keepNext w:val="0"/>
        <w:keepLines w:val="0"/>
        <w:pageBreakBefore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系统盘：单存储节点配置≥2个480GB SSD作为系统盘</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需支持RAID1</w:t>
      </w:r>
      <w:r>
        <w:rPr>
          <w:rFonts w:hint="eastAsia" w:ascii="宋体" w:hAnsi="宋体" w:eastAsia="宋体" w:cs="宋体"/>
          <w:b w:val="0"/>
          <w:bCs w:val="0"/>
          <w:color w:val="auto"/>
          <w:sz w:val="21"/>
          <w:szCs w:val="21"/>
          <w:highlight w:val="none"/>
        </w:rPr>
        <w:t>；</w:t>
      </w:r>
    </w:p>
    <w:p w14:paraId="76F0F9AE">
      <w:pPr>
        <w:pStyle w:val="19"/>
        <w:keepNext w:val="0"/>
        <w:keepLines w:val="0"/>
        <w:pageBreakBefore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数据盘</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：单存储节点配置≥</w:t>
      </w: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个7.68TB NVMe SSD；</w:t>
      </w:r>
    </w:p>
    <w:p w14:paraId="5F19A455">
      <w:pPr>
        <w:pStyle w:val="19"/>
        <w:keepNext w:val="0"/>
        <w:keepLines w:val="0"/>
        <w:pageBreakBefore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数据盘</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：单盘容量≤2</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TB；</w:t>
      </w:r>
    </w:p>
    <w:p w14:paraId="26DECA96">
      <w:pPr>
        <w:pStyle w:val="19"/>
        <w:keepNext w:val="0"/>
        <w:keepLines w:val="0"/>
        <w:pageBreakBefore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以太网络：单存储节点配置≥2个千兆网口</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≥2个</w:t>
      </w:r>
      <w:r>
        <w:rPr>
          <w:rFonts w:hint="eastAsia" w:ascii="宋体" w:hAnsi="宋体" w:eastAsia="宋体" w:cs="宋体"/>
          <w:b w:val="0"/>
          <w:bCs w:val="0"/>
          <w:color w:val="auto"/>
          <w:sz w:val="21"/>
          <w:szCs w:val="21"/>
          <w:highlight w:val="none"/>
          <w:lang w:val="en-US" w:eastAsia="zh-CN"/>
        </w:rPr>
        <w:t>万</w:t>
      </w:r>
      <w:r>
        <w:rPr>
          <w:rFonts w:hint="eastAsia" w:ascii="宋体" w:hAnsi="宋体" w:eastAsia="宋体" w:cs="宋体"/>
          <w:b w:val="0"/>
          <w:bCs w:val="0"/>
          <w:color w:val="auto"/>
          <w:sz w:val="21"/>
          <w:szCs w:val="21"/>
          <w:highlight w:val="none"/>
        </w:rPr>
        <w:t>兆网口</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含光模块</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个千兆</w:t>
      </w:r>
      <w:r>
        <w:rPr>
          <w:rFonts w:hint="eastAsia" w:ascii="宋体" w:hAnsi="宋体" w:eastAsia="宋体" w:cs="宋体"/>
          <w:b w:val="0"/>
          <w:bCs w:val="0"/>
          <w:color w:val="auto"/>
          <w:sz w:val="21"/>
          <w:szCs w:val="21"/>
          <w:highlight w:val="none"/>
          <w:lang w:val="en-US" w:eastAsia="zh-CN"/>
        </w:rPr>
        <w:t>管理端口</w:t>
      </w:r>
      <w:r>
        <w:rPr>
          <w:rFonts w:hint="eastAsia" w:ascii="宋体" w:hAnsi="宋体" w:eastAsia="宋体" w:cs="宋体"/>
          <w:b w:val="0"/>
          <w:bCs w:val="0"/>
          <w:color w:val="auto"/>
          <w:sz w:val="21"/>
          <w:szCs w:val="21"/>
          <w:highlight w:val="none"/>
        </w:rPr>
        <w:t>；</w:t>
      </w:r>
    </w:p>
    <w:p w14:paraId="0AF1A05C">
      <w:pPr>
        <w:pStyle w:val="19"/>
        <w:keepNext w:val="0"/>
        <w:keepLines w:val="0"/>
        <w:pageBreakBefore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IB网络：</w:t>
      </w:r>
      <w:r>
        <w:rPr>
          <w:rFonts w:hint="eastAsia" w:ascii="宋体" w:hAnsi="宋体" w:eastAsia="宋体" w:cs="宋体"/>
          <w:b w:val="0"/>
          <w:bCs w:val="0"/>
          <w:color w:val="auto"/>
          <w:sz w:val="21"/>
          <w:szCs w:val="21"/>
          <w:highlight w:val="none"/>
          <w:lang w:val="en-US" w:eastAsia="zh-CN"/>
        </w:rPr>
        <w:t>单存储</w:t>
      </w:r>
      <w:r>
        <w:rPr>
          <w:rFonts w:hint="eastAsia" w:ascii="宋体" w:hAnsi="宋体" w:eastAsia="宋体" w:cs="宋体"/>
          <w:b w:val="0"/>
          <w:bCs w:val="0"/>
          <w:color w:val="auto"/>
          <w:sz w:val="21"/>
          <w:szCs w:val="21"/>
          <w:highlight w:val="none"/>
        </w:rPr>
        <w:t>节点配置≥</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个</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00G</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IB网络端口；</w:t>
      </w:r>
    </w:p>
    <w:p w14:paraId="78C69FE1">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22" w:firstLineChars="200"/>
        <w:jc w:val="both"/>
        <w:rPr>
          <w:rFonts w:hint="eastAsia" w:ascii="宋体" w:hAnsi="宋体" w:cs="宋体"/>
          <w:b/>
          <w:bCs/>
          <w:color w:val="auto"/>
          <w:sz w:val="21"/>
          <w:szCs w:val="21"/>
          <w:highlight w:val="none"/>
          <w:lang w:val="en-US" w:eastAsia="zh-CN"/>
        </w:rPr>
      </w:pPr>
      <w:bookmarkStart w:id="35" w:name="_GoBack"/>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集群调度管理系统</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kern w:val="0"/>
          <w:sz w:val="21"/>
          <w:szCs w:val="21"/>
          <w:highlight w:val="none"/>
          <w:lang w:val="en-US" w:eastAsia="zh-CN"/>
        </w:rPr>
        <w:t>整体需求</w:t>
      </w:r>
      <w:r>
        <w:rPr>
          <w:rFonts w:hint="eastAsia" w:ascii="宋体" w:hAnsi="宋体" w:cs="宋体"/>
          <w:b/>
          <w:bCs/>
          <w:color w:val="auto"/>
          <w:sz w:val="21"/>
          <w:szCs w:val="21"/>
          <w:highlight w:val="none"/>
          <w:lang w:val="en-US" w:eastAsia="zh-CN"/>
        </w:rPr>
        <w:t>满足以下要求：</w:t>
      </w:r>
    </w:p>
    <w:bookmarkEnd w:id="35"/>
    <w:p w14:paraId="7A5D5035">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20" w:firstLineChars="200"/>
        <w:jc w:val="both"/>
        <w:rPr>
          <w:rFonts w:hint="eastAsia" w:ascii="宋体" w:hAnsi="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提供本次采购集群中所有节点、GPU卡、存储系统的全功能模板商业版软件licence授权</w:t>
      </w:r>
      <w:r>
        <w:rPr>
          <w:rFonts w:hint="eastAsia" w:ascii="宋体" w:hAnsi="宋体" w:cs="宋体"/>
          <w:b w:val="0"/>
          <w:bCs w:val="0"/>
          <w:color w:val="auto"/>
          <w:kern w:val="0"/>
          <w:sz w:val="21"/>
          <w:szCs w:val="21"/>
          <w:highlight w:val="none"/>
          <w:lang w:val="en-US" w:eastAsia="zh-CN"/>
        </w:rPr>
        <w:t>。</w:t>
      </w:r>
    </w:p>
    <w:p w14:paraId="00EC1A72">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20" w:firstLineChars="200"/>
        <w:jc w:val="both"/>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w:t>
      </w:r>
    </w:p>
    <w:p w14:paraId="0D92BCC0">
      <w:pPr>
        <w:tabs>
          <w:tab w:val="left" w:pos="4860"/>
        </w:tabs>
        <w:spacing w:line="360" w:lineRule="auto"/>
        <w:ind w:right="1559" w:firstLine="624"/>
        <w:jc w:val="right"/>
        <w:rPr>
          <w:rFonts w:hint="eastAsia" w:ascii="宋体" w:hAnsi="宋体" w:eastAsia="宋体" w:cs="宋体"/>
          <w:sz w:val="21"/>
          <w:szCs w:val="21"/>
        </w:rPr>
      </w:pPr>
      <w:r>
        <w:rPr>
          <w:rFonts w:hint="eastAsia" w:ascii="宋体" w:hAnsi="宋体" w:cs="宋体"/>
          <w:sz w:val="21"/>
          <w:szCs w:val="21"/>
          <w:lang w:val="en-US" w:eastAsia="zh-CN"/>
        </w:rPr>
        <w:t xml:space="preserve">    </w:t>
      </w:r>
      <w:r>
        <w:rPr>
          <w:rFonts w:hint="eastAsia" w:ascii="宋体" w:hAnsi="宋体" w:eastAsia="宋体" w:cs="宋体"/>
          <w:sz w:val="21"/>
          <w:szCs w:val="21"/>
        </w:rPr>
        <w:t>供应商全称（加盖CA电子公章）：</w:t>
      </w:r>
    </w:p>
    <w:p w14:paraId="341668C9">
      <w:pPr>
        <w:tabs>
          <w:tab w:val="left" w:pos="4860"/>
        </w:tabs>
        <w:spacing w:line="360" w:lineRule="auto"/>
        <w:ind w:right="1559" w:firstLine="48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  期：</w:t>
      </w:r>
      <w:r>
        <w:rPr>
          <w:rFonts w:hint="eastAsia" w:ascii="宋体" w:hAnsi="宋体" w:eastAsia="宋体" w:cs="宋体"/>
          <w:color w:val="000000"/>
          <w:sz w:val="21"/>
          <w:szCs w:val="21"/>
        </w:rPr>
        <w:t>___年____月____日</w:t>
      </w:r>
      <w:r>
        <w:rPr>
          <w:rFonts w:hint="eastAsia" w:ascii="宋体" w:hAnsi="宋体" w:eastAsia="宋体" w:cs="宋体"/>
          <w:i w:val="0"/>
          <w:iCs w:val="0"/>
          <w:caps w:val="0"/>
          <w:color w:val="auto"/>
          <w:spacing w:val="0"/>
          <w:sz w:val="21"/>
          <w:szCs w:val="21"/>
          <w:shd w:val="clear" w:color="auto" w:fill="FFFFFF"/>
        </w:rPr>
        <w:t> </w:t>
      </w:r>
    </w:p>
    <w:p w14:paraId="7EE7EC60">
      <w:pPr>
        <w:spacing w:line="440" w:lineRule="exact"/>
        <w:rPr>
          <w:rFonts w:hint="eastAsia" w:ascii="宋体" w:hAnsi="宋体"/>
          <w:b/>
          <w:bCs/>
          <w:kern w:val="0"/>
          <w:szCs w:val="21"/>
        </w:rPr>
      </w:pPr>
      <w:r>
        <w:rPr>
          <w:rFonts w:hint="eastAsia" w:ascii="宋体" w:hAnsi="宋体"/>
          <w:b/>
          <w:bCs/>
          <w:kern w:val="0"/>
          <w:szCs w:val="21"/>
        </w:rPr>
        <w:t>注：如投标人认为该承诺函不满足招标文件中的承诺要求，应自行另制作一份承诺函增补。</w:t>
      </w:r>
    </w:p>
    <w:sectPr>
      <w:footerReference r:id="rId5" w:type="first"/>
      <w:headerReference r:id="rId3" w:type="default"/>
      <w:footerReference r:id="rId4" w:type="default"/>
      <w:pgSz w:w="11905" w:h="16838"/>
      <w:pgMar w:top="1440" w:right="1803" w:bottom="1440" w:left="1803" w:header="850" w:footer="992" w:gutter="0"/>
      <w:pgNumType w:fmt="decimal" w:start="1"/>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swiss"/>
    <w:pitch w:val="default"/>
    <w:sig w:usb0="00000000" w:usb1="00000000" w:usb2="00000000" w:usb3="00000000" w:csb0="2000019F" w:csb1="4F01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NLe">
    <w:altName w:val="Noto Serif SC"/>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Noto Serif SC"/>
    <w:panose1 w:val="00000000000000000000"/>
    <w:charset w:val="00"/>
    <w:family w:val="auto"/>
    <w:pitch w:val="default"/>
    <w:sig w:usb0="00000000" w:usb1="00000000" w:usb2="00000000" w:usb3="00000000" w:csb0="00040001" w:csb1="00000000"/>
  </w:font>
  <w:font w:name="TimesNewRomanPS-BoldMT">
    <w:altName w:val="PMingLiU-ExtB"/>
    <w:panose1 w:val="02020503050405090304"/>
    <w:charset w:val="00"/>
    <w:family w:val="roman"/>
    <w:pitch w:val="default"/>
    <w:sig w:usb0="00000000" w:usb1="00000000" w:usb2="00000001" w:usb3="00000000" w:csb0="400001BF" w:csb1="DFF70000"/>
  </w:font>
  <w:font w:name="PMingLiU-ExtB">
    <w:panose1 w:val="02020500000000000000"/>
    <w:charset w:val="88"/>
    <w:family w:val="auto"/>
    <w:pitch w:val="default"/>
    <w:sig w:usb0="8000002F" w:usb1="02000008" w:usb2="00000000" w:usb3="00000000" w:csb0="0010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57B85">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0CF40">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90CF40">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6027">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E0955">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A5E0955">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09C1">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japaneseCounting"/>
      <w:pStyle w:val="286"/>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64"/>
      <w:lvlText w:val="%1"/>
      <w:lvlJc w:val="left"/>
      <w:pPr>
        <w:ind w:left="425" w:hanging="425"/>
      </w:pPr>
      <w:rPr>
        <w:rFonts w:hint="eastAsia" w:ascii="Arial Unicode MS" w:hAnsi="Arial Unicode MS" w:eastAsia="微软雅黑"/>
        <w:b/>
        <w:i w:val="0"/>
        <w:lang w:val="en-US"/>
      </w:rPr>
    </w:lvl>
    <w:lvl w:ilvl="1" w:tentative="0">
      <w:start w:val="1"/>
      <w:numFmt w:val="decimal"/>
      <w:pStyle w:val="182"/>
      <w:isLgl/>
      <w:lvlText w:val="%1.%2"/>
      <w:lvlJc w:val="left"/>
      <w:pPr>
        <w:ind w:left="425" w:hanging="425"/>
      </w:pPr>
      <w:rPr>
        <w:rFonts w:hint="eastAsia" w:ascii="Arial Unicode MS" w:hAnsi="Arial Unicode MS" w:eastAsia="微软雅黑"/>
        <w:b/>
        <w:i w:val="0"/>
      </w:rPr>
    </w:lvl>
    <w:lvl w:ilvl="2" w:tentative="0">
      <w:start w:val="1"/>
      <w:numFmt w:val="decimal"/>
      <w:pStyle w:val="195"/>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0F9B"/>
    <w:rsid w:val="000C3C47"/>
    <w:rsid w:val="000D0A66"/>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2D4A"/>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6E8"/>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3D3"/>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134"/>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0972"/>
    <w:rsid w:val="00293A50"/>
    <w:rsid w:val="00293EC3"/>
    <w:rsid w:val="00295A7F"/>
    <w:rsid w:val="00296C36"/>
    <w:rsid w:val="0029719B"/>
    <w:rsid w:val="00297710"/>
    <w:rsid w:val="002A0D7F"/>
    <w:rsid w:val="002A3AF4"/>
    <w:rsid w:val="002A3F20"/>
    <w:rsid w:val="002A43E4"/>
    <w:rsid w:val="002A74F1"/>
    <w:rsid w:val="002A78A7"/>
    <w:rsid w:val="002A7B32"/>
    <w:rsid w:val="002B1F4F"/>
    <w:rsid w:val="002B23A4"/>
    <w:rsid w:val="002B458C"/>
    <w:rsid w:val="002B7B7D"/>
    <w:rsid w:val="002C0744"/>
    <w:rsid w:val="002C084A"/>
    <w:rsid w:val="002C24AF"/>
    <w:rsid w:val="002C4A64"/>
    <w:rsid w:val="002C607A"/>
    <w:rsid w:val="002C6711"/>
    <w:rsid w:val="002D03DF"/>
    <w:rsid w:val="002D10B1"/>
    <w:rsid w:val="002D116A"/>
    <w:rsid w:val="002D1BA7"/>
    <w:rsid w:val="002D2894"/>
    <w:rsid w:val="002D3A42"/>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0DA6"/>
    <w:rsid w:val="002F1718"/>
    <w:rsid w:val="002F365C"/>
    <w:rsid w:val="002F4462"/>
    <w:rsid w:val="002F5066"/>
    <w:rsid w:val="002F5701"/>
    <w:rsid w:val="002F5D82"/>
    <w:rsid w:val="002F6084"/>
    <w:rsid w:val="0030167A"/>
    <w:rsid w:val="00304E56"/>
    <w:rsid w:val="00305346"/>
    <w:rsid w:val="00306641"/>
    <w:rsid w:val="003071C6"/>
    <w:rsid w:val="00307810"/>
    <w:rsid w:val="00307815"/>
    <w:rsid w:val="003106F7"/>
    <w:rsid w:val="00310B78"/>
    <w:rsid w:val="003120B1"/>
    <w:rsid w:val="003129FD"/>
    <w:rsid w:val="00312B26"/>
    <w:rsid w:val="00313484"/>
    <w:rsid w:val="00313AEF"/>
    <w:rsid w:val="00313BF3"/>
    <w:rsid w:val="003141CA"/>
    <w:rsid w:val="003154A3"/>
    <w:rsid w:val="003158B6"/>
    <w:rsid w:val="003203E5"/>
    <w:rsid w:val="0032061A"/>
    <w:rsid w:val="003246D4"/>
    <w:rsid w:val="00326C8C"/>
    <w:rsid w:val="00327533"/>
    <w:rsid w:val="003279E3"/>
    <w:rsid w:val="003309C5"/>
    <w:rsid w:val="003335D3"/>
    <w:rsid w:val="00334124"/>
    <w:rsid w:val="003350AB"/>
    <w:rsid w:val="0033645E"/>
    <w:rsid w:val="00340850"/>
    <w:rsid w:val="00343AA6"/>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2F86"/>
    <w:rsid w:val="0047430A"/>
    <w:rsid w:val="0047504A"/>
    <w:rsid w:val="004755F3"/>
    <w:rsid w:val="00475609"/>
    <w:rsid w:val="00476ECA"/>
    <w:rsid w:val="00477B1A"/>
    <w:rsid w:val="00483480"/>
    <w:rsid w:val="00484798"/>
    <w:rsid w:val="00485414"/>
    <w:rsid w:val="00485BB3"/>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66F5"/>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550"/>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2EE6"/>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0BCE"/>
    <w:rsid w:val="00582092"/>
    <w:rsid w:val="00582D37"/>
    <w:rsid w:val="005852C9"/>
    <w:rsid w:val="00585A68"/>
    <w:rsid w:val="00586140"/>
    <w:rsid w:val="005868C9"/>
    <w:rsid w:val="00586A03"/>
    <w:rsid w:val="00586B6F"/>
    <w:rsid w:val="00586E84"/>
    <w:rsid w:val="005877F6"/>
    <w:rsid w:val="00591A3C"/>
    <w:rsid w:val="00592F71"/>
    <w:rsid w:val="00592FF1"/>
    <w:rsid w:val="00593C0D"/>
    <w:rsid w:val="0059416E"/>
    <w:rsid w:val="00595039"/>
    <w:rsid w:val="00596B43"/>
    <w:rsid w:val="005978F6"/>
    <w:rsid w:val="005A1804"/>
    <w:rsid w:val="005A1D5F"/>
    <w:rsid w:val="005A495B"/>
    <w:rsid w:val="005A56EA"/>
    <w:rsid w:val="005A5A91"/>
    <w:rsid w:val="005A61D7"/>
    <w:rsid w:val="005A704F"/>
    <w:rsid w:val="005A7208"/>
    <w:rsid w:val="005B1828"/>
    <w:rsid w:val="005B43AB"/>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775"/>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062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1A5"/>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1A1"/>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19F"/>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3FB8"/>
    <w:rsid w:val="00974BBF"/>
    <w:rsid w:val="00975864"/>
    <w:rsid w:val="00976444"/>
    <w:rsid w:val="00976721"/>
    <w:rsid w:val="00981166"/>
    <w:rsid w:val="009819B0"/>
    <w:rsid w:val="00985AC0"/>
    <w:rsid w:val="009867A9"/>
    <w:rsid w:val="00987D75"/>
    <w:rsid w:val="00990AA1"/>
    <w:rsid w:val="00990BEB"/>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18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5969"/>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77FEE"/>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9A3"/>
    <w:rsid w:val="00BB6E73"/>
    <w:rsid w:val="00BB7D4D"/>
    <w:rsid w:val="00BC0BCF"/>
    <w:rsid w:val="00BC1B7E"/>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3E76"/>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D33"/>
    <w:rsid w:val="00C10F9C"/>
    <w:rsid w:val="00C13769"/>
    <w:rsid w:val="00C13CD9"/>
    <w:rsid w:val="00C15D9F"/>
    <w:rsid w:val="00C17EE9"/>
    <w:rsid w:val="00C20199"/>
    <w:rsid w:val="00C21662"/>
    <w:rsid w:val="00C22E95"/>
    <w:rsid w:val="00C23A7A"/>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57F5"/>
    <w:rsid w:val="00CD66E1"/>
    <w:rsid w:val="00CD76FF"/>
    <w:rsid w:val="00CE03A7"/>
    <w:rsid w:val="00CE20D5"/>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8B4"/>
    <w:rsid w:val="00D7295D"/>
    <w:rsid w:val="00D76010"/>
    <w:rsid w:val="00D80DD9"/>
    <w:rsid w:val="00D82692"/>
    <w:rsid w:val="00D83EC3"/>
    <w:rsid w:val="00D90426"/>
    <w:rsid w:val="00D917F2"/>
    <w:rsid w:val="00D922E2"/>
    <w:rsid w:val="00D93039"/>
    <w:rsid w:val="00D9327D"/>
    <w:rsid w:val="00D93869"/>
    <w:rsid w:val="00D94B93"/>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B68D4"/>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47A2"/>
    <w:rsid w:val="00F05477"/>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24B"/>
    <w:rsid w:val="00F8455C"/>
    <w:rsid w:val="00F84879"/>
    <w:rsid w:val="00F8613C"/>
    <w:rsid w:val="00F8625A"/>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7D"/>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66364"/>
    <w:rsid w:val="011B5492"/>
    <w:rsid w:val="01214A1E"/>
    <w:rsid w:val="0132265F"/>
    <w:rsid w:val="0136557F"/>
    <w:rsid w:val="013B5608"/>
    <w:rsid w:val="014F1B49"/>
    <w:rsid w:val="015360F5"/>
    <w:rsid w:val="0161201C"/>
    <w:rsid w:val="01674AD8"/>
    <w:rsid w:val="017B15F7"/>
    <w:rsid w:val="018502B5"/>
    <w:rsid w:val="018B0123"/>
    <w:rsid w:val="019329D2"/>
    <w:rsid w:val="0194102D"/>
    <w:rsid w:val="019B2A51"/>
    <w:rsid w:val="01A549F3"/>
    <w:rsid w:val="01BB069A"/>
    <w:rsid w:val="01BB3CD7"/>
    <w:rsid w:val="01BD17FD"/>
    <w:rsid w:val="01CA09D6"/>
    <w:rsid w:val="01E4322D"/>
    <w:rsid w:val="01EE6DBE"/>
    <w:rsid w:val="01F80A87"/>
    <w:rsid w:val="020C008E"/>
    <w:rsid w:val="020E7F3F"/>
    <w:rsid w:val="021A6004"/>
    <w:rsid w:val="022C24DE"/>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75EF"/>
    <w:rsid w:val="030E2C59"/>
    <w:rsid w:val="031168BC"/>
    <w:rsid w:val="031621DF"/>
    <w:rsid w:val="03426C59"/>
    <w:rsid w:val="03433AF1"/>
    <w:rsid w:val="034D095E"/>
    <w:rsid w:val="03501AE4"/>
    <w:rsid w:val="035C652E"/>
    <w:rsid w:val="036068E4"/>
    <w:rsid w:val="03716722"/>
    <w:rsid w:val="03802C3C"/>
    <w:rsid w:val="039B623A"/>
    <w:rsid w:val="03A10CAA"/>
    <w:rsid w:val="03AA796C"/>
    <w:rsid w:val="03AC7D7B"/>
    <w:rsid w:val="03B31109"/>
    <w:rsid w:val="03B44AA5"/>
    <w:rsid w:val="03E8294D"/>
    <w:rsid w:val="03F10150"/>
    <w:rsid w:val="040020A7"/>
    <w:rsid w:val="0414147C"/>
    <w:rsid w:val="0419566F"/>
    <w:rsid w:val="041E1308"/>
    <w:rsid w:val="042747BE"/>
    <w:rsid w:val="043A5387"/>
    <w:rsid w:val="04473247"/>
    <w:rsid w:val="044D2B93"/>
    <w:rsid w:val="047A1C27"/>
    <w:rsid w:val="04833676"/>
    <w:rsid w:val="048A4669"/>
    <w:rsid w:val="04930DBB"/>
    <w:rsid w:val="04954308"/>
    <w:rsid w:val="049F77B2"/>
    <w:rsid w:val="04A1730E"/>
    <w:rsid w:val="04A2371F"/>
    <w:rsid w:val="04A53BA4"/>
    <w:rsid w:val="04AA1834"/>
    <w:rsid w:val="04D17C83"/>
    <w:rsid w:val="04E374DE"/>
    <w:rsid w:val="04FF00EB"/>
    <w:rsid w:val="050140F6"/>
    <w:rsid w:val="0501459E"/>
    <w:rsid w:val="0512745A"/>
    <w:rsid w:val="05131314"/>
    <w:rsid w:val="05175FCF"/>
    <w:rsid w:val="052263A0"/>
    <w:rsid w:val="054E23E8"/>
    <w:rsid w:val="05586075"/>
    <w:rsid w:val="055E50A5"/>
    <w:rsid w:val="055F11C8"/>
    <w:rsid w:val="05816FE5"/>
    <w:rsid w:val="058E5789"/>
    <w:rsid w:val="05942874"/>
    <w:rsid w:val="05974336"/>
    <w:rsid w:val="059C5E7A"/>
    <w:rsid w:val="059F3F35"/>
    <w:rsid w:val="05AB2DB2"/>
    <w:rsid w:val="05AF5900"/>
    <w:rsid w:val="05C127AF"/>
    <w:rsid w:val="05C342DE"/>
    <w:rsid w:val="05C542BE"/>
    <w:rsid w:val="05D44390"/>
    <w:rsid w:val="05D56659"/>
    <w:rsid w:val="05E530D0"/>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D2DD4"/>
    <w:rsid w:val="06D31947"/>
    <w:rsid w:val="06D67D46"/>
    <w:rsid w:val="06D70734"/>
    <w:rsid w:val="06D92562"/>
    <w:rsid w:val="06E760D7"/>
    <w:rsid w:val="06EA54F2"/>
    <w:rsid w:val="06EA54F3"/>
    <w:rsid w:val="06ED77B4"/>
    <w:rsid w:val="06F3181D"/>
    <w:rsid w:val="06F650AE"/>
    <w:rsid w:val="07075B45"/>
    <w:rsid w:val="070A76BD"/>
    <w:rsid w:val="071A149F"/>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F03CBF"/>
    <w:rsid w:val="07F42B67"/>
    <w:rsid w:val="07F70375"/>
    <w:rsid w:val="07F8578E"/>
    <w:rsid w:val="080D0CE3"/>
    <w:rsid w:val="08234384"/>
    <w:rsid w:val="082425D6"/>
    <w:rsid w:val="084C38DA"/>
    <w:rsid w:val="086626CB"/>
    <w:rsid w:val="087522BE"/>
    <w:rsid w:val="08790814"/>
    <w:rsid w:val="08817F9A"/>
    <w:rsid w:val="08933F38"/>
    <w:rsid w:val="089E56D2"/>
    <w:rsid w:val="08B44CE3"/>
    <w:rsid w:val="08B472FE"/>
    <w:rsid w:val="08B614BD"/>
    <w:rsid w:val="08B937A7"/>
    <w:rsid w:val="08C474E1"/>
    <w:rsid w:val="08CD671D"/>
    <w:rsid w:val="08D2311E"/>
    <w:rsid w:val="08D83875"/>
    <w:rsid w:val="08EA43A8"/>
    <w:rsid w:val="08EB1C9C"/>
    <w:rsid w:val="08F56067"/>
    <w:rsid w:val="08F56798"/>
    <w:rsid w:val="09072AF5"/>
    <w:rsid w:val="090D78C9"/>
    <w:rsid w:val="09101FB3"/>
    <w:rsid w:val="092403B3"/>
    <w:rsid w:val="09296C06"/>
    <w:rsid w:val="09320D22"/>
    <w:rsid w:val="09363D16"/>
    <w:rsid w:val="094264B3"/>
    <w:rsid w:val="09835B7C"/>
    <w:rsid w:val="09CA0506"/>
    <w:rsid w:val="09D5558C"/>
    <w:rsid w:val="09EA2B39"/>
    <w:rsid w:val="09F5019B"/>
    <w:rsid w:val="09F8752F"/>
    <w:rsid w:val="0A026946"/>
    <w:rsid w:val="0A0C2B4C"/>
    <w:rsid w:val="0A0D439F"/>
    <w:rsid w:val="0A0F0D09"/>
    <w:rsid w:val="0A112A27"/>
    <w:rsid w:val="0A1D4600"/>
    <w:rsid w:val="0A1F68B2"/>
    <w:rsid w:val="0A210F95"/>
    <w:rsid w:val="0A2836E0"/>
    <w:rsid w:val="0A29194C"/>
    <w:rsid w:val="0A2A37A7"/>
    <w:rsid w:val="0A593073"/>
    <w:rsid w:val="0A611922"/>
    <w:rsid w:val="0A690774"/>
    <w:rsid w:val="0A6F1B02"/>
    <w:rsid w:val="0A762E91"/>
    <w:rsid w:val="0A7B3CEB"/>
    <w:rsid w:val="0A8E5529"/>
    <w:rsid w:val="0AB44EF5"/>
    <w:rsid w:val="0ABD33E4"/>
    <w:rsid w:val="0AC159A6"/>
    <w:rsid w:val="0AC736EC"/>
    <w:rsid w:val="0AD41965"/>
    <w:rsid w:val="0AE34BB1"/>
    <w:rsid w:val="0AEC3153"/>
    <w:rsid w:val="0AED0B6E"/>
    <w:rsid w:val="0AF3003D"/>
    <w:rsid w:val="0AFB5144"/>
    <w:rsid w:val="0B27258E"/>
    <w:rsid w:val="0B2C354F"/>
    <w:rsid w:val="0B305355"/>
    <w:rsid w:val="0B3771AD"/>
    <w:rsid w:val="0B3C5E11"/>
    <w:rsid w:val="0B462EC8"/>
    <w:rsid w:val="0B493559"/>
    <w:rsid w:val="0B4B7099"/>
    <w:rsid w:val="0B53165C"/>
    <w:rsid w:val="0B747542"/>
    <w:rsid w:val="0B807D10"/>
    <w:rsid w:val="0B974E6D"/>
    <w:rsid w:val="0B9E1A60"/>
    <w:rsid w:val="0BA825A3"/>
    <w:rsid w:val="0BAD70EA"/>
    <w:rsid w:val="0BE60C5C"/>
    <w:rsid w:val="0C296CAE"/>
    <w:rsid w:val="0C365370"/>
    <w:rsid w:val="0C41127C"/>
    <w:rsid w:val="0C442C80"/>
    <w:rsid w:val="0C4B30F1"/>
    <w:rsid w:val="0C7376A8"/>
    <w:rsid w:val="0C801F53"/>
    <w:rsid w:val="0C8076E1"/>
    <w:rsid w:val="0C923562"/>
    <w:rsid w:val="0CA97841"/>
    <w:rsid w:val="0CF22F65"/>
    <w:rsid w:val="0CFD3771"/>
    <w:rsid w:val="0CFF0F1B"/>
    <w:rsid w:val="0D001BEA"/>
    <w:rsid w:val="0D0A7F77"/>
    <w:rsid w:val="0D167C75"/>
    <w:rsid w:val="0D200F78"/>
    <w:rsid w:val="0D33542E"/>
    <w:rsid w:val="0D42312A"/>
    <w:rsid w:val="0D455E22"/>
    <w:rsid w:val="0D4D0748"/>
    <w:rsid w:val="0D5F5515"/>
    <w:rsid w:val="0D6D057B"/>
    <w:rsid w:val="0D8943DC"/>
    <w:rsid w:val="0D8A04E4"/>
    <w:rsid w:val="0D932BB8"/>
    <w:rsid w:val="0D98461B"/>
    <w:rsid w:val="0D9C676A"/>
    <w:rsid w:val="0DB00467"/>
    <w:rsid w:val="0DB904D9"/>
    <w:rsid w:val="0DBB0918"/>
    <w:rsid w:val="0DC70662"/>
    <w:rsid w:val="0DC83A03"/>
    <w:rsid w:val="0DE04CD0"/>
    <w:rsid w:val="0DE25782"/>
    <w:rsid w:val="0DEE271A"/>
    <w:rsid w:val="0DF148E8"/>
    <w:rsid w:val="0E143F24"/>
    <w:rsid w:val="0E210D90"/>
    <w:rsid w:val="0E280BF1"/>
    <w:rsid w:val="0E2A2732"/>
    <w:rsid w:val="0E2F7B01"/>
    <w:rsid w:val="0E3966AF"/>
    <w:rsid w:val="0E4B5699"/>
    <w:rsid w:val="0E512E80"/>
    <w:rsid w:val="0E6C0832"/>
    <w:rsid w:val="0E6E1A32"/>
    <w:rsid w:val="0E7F7EE9"/>
    <w:rsid w:val="0E834E7D"/>
    <w:rsid w:val="0E8A0E0C"/>
    <w:rsid w:val="0E915BD0"/>
    <w:rsid w:val="0E940398"/>
    <w:rsid w:val="0EAA2F5B"/>
    <w:rsid w:val="0EBC7420"/>
    <w:rsid w:val="0ECD4128"/>
    <w:rsid w:val="0ED40186"/>
    <w:rsid w:val="0ED73668"/>
    <w:rsid w:val="0EE52393"/>
    <w:rsid w:val="0EEE1C53"/>
    <w:rsid w:val="0EF05635"/>
    <w:rsid w:val="0F0913A4"/>
    <w:rsid w:val="0F360DD3"/>
    <w:rsid w:val="0F6B1793"/>
    <w:rsid w:val="0F7B5DFB"/>
    <w:rsid w:val="0F7C2FDF"/>
    <w:rsid w:val="0F916077"/>
    <w:rsid w:val="0F953DB9"/>
    <w:rsid w:val="0FC55A86"/>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F5529"/>
    <w:rsid w:val="10EA1EE2"/>
    <w:rsid w:val="10F5099F"/>
    <w:rsid w:val="11046680"/>
    <w:rsid w:val="112C24FB"/>
    <w:rsid w:val="11332BDF"/>
    <w:rsid w:val="113B273E"/>
    <w:rsid w:val="11423CF0"/>
    <w:rsid w:val="1159255C"/>
    <w:rsid w:val="115A5A4D"/>
    <w:rsid w:val="115D038D"/>
    <w:rsid w:val="11627CCB"/>
    <w:rsid w:val="116741A8"/>
    <w:rsid w:val="11703D08"/>
    <w:rsid w:val="11785740"/>
    <w:rsid w:val="11887A9E"/>
    <w:rsid w:val="11906E7E"/>
    <w:rsid w:val="119B6101"/>
    <w:rsid w:val="119D5213"/>
    <w:rsid w:val="119E030F"/>
    <w:rsid w:val="11A37371"/>
    <w:rsid w:val="11A402E3"/>
    <w:rsid w:val="11A6405B"/>
    <w:rsid w:val="11AC3296"/>
    <w:rsid w:val="11B43285"/>
    <w:rsid w:val="11B63BD3"/>
    <w:rsid w:val="11BF3764"/>
    <w:rsid w:val="11BF5D6D"/>
    <w:rsid w:val="11D61938"/>
    <w:rsid w:val="11EE77B0"/>
    <w:rsid w:val="11EF6486"/>
    <w:rsid w:val="11F75962"/>
    <w:rsid w:val="11FC0451"/>
    <w:rsid w:val="120C4EB8"/>
    <w:rsid w:val="12100B1F"/>
    <w:rsid w:val="122D760A"/>
    <w:rsid w:val="12311F5A"/>
    <w:rsid w:val="12386C7D"/>
    <w:rsid w:val="12427601"/>
    <w:rsid w:val="12527D3F"/>
    <w:rsid w:val="125944FB"/>
    <w:rsid w:val="125F062A"/>
    <w:rsid w:val="12624EB7"/>
    <w:rsid w:val="126B2BAF"/>
    <w:rsid w:val="126E605B"/>
    <w:rsid w:val="127952CC"/>
    <w:rsid w:val="1282388F"/>
    <w:rsid w:val="12833A99"/>
    <w:rsid w:val="128572E6"/>
    <w:rsid w:val="128A0F8B"/>
    <w:rsid w:val="129139EE"/>
    <w:rsid w:val="1294676F"/>
    <w:rsid w:val="12B26461"/>
    <w:rsid w:val="12C07CCC"/>
    <w:rsid w:val="12CF75E2"/>
    <w:rsid w:val="12D228CA"/>
    <w:rsid w:val="12E06408"/>
    <w:rsid w:val="12E3308D"/>
    <w:rsid w:val="12F36759"/>
    <w:rsid w:val="1300045E"/>
    <w:rsid w:val="130A6921"/>
    <w:rsid w:val="13392CAD"/>
    <w:rsid w:val="133D024F"/>
    <w:rsid w:val="133D6D87"/>
    <w:rsid w:val="13436291"/>
    <w:rsid w:val="134F0723"/>
    <w:rsid w:val="1359758C"/>
    <w:rsid w:val="135D3CC0"/>
    <w:rsid w:val="135E2A54"/>
    <w:rsid w:val="13716BB4"/>
    <w:rsid w:val="13821EE1"/>
    <w:rsid w:val="13890B9C"/>
    <w:rsid w:val="138A52B7"/>
    <w:rsid w:val="139525D9"/>
    <w:rsid w:val="13963C5C"/>
    <w:rsid w:val="13AD487E"/>
    <w:rsid w:val="13CB4137"/>
    <w:rsid w:val="13CB5FFB"/>
    <w:rsid w:val="13D11AEC"/>
    <w:rsid w:val="13D42386"/>
    <w:rsid w:val="13D6674E"/>
    <w:rsid w:val="13F27FD8"/>
    <w:rsid w:val="13F53078"/>
    <w:rsid w:val="13FA3C10"/>
    <w:rsid w:val="141334FE"/>
    <w:rsid w:val="14197590"/>
    <w:rsid w:val="141C7AF8"/>
    <w:rsid w:val="142D5867"/>
    <w:rsid w:val="14311C3C"/>
    <w:rsid w:val="147B3F3C"/>
    <w:rsid w:val="147D18D0"/>
    <w:rsid w:val="147E6A69"/>
    <w:rsid w:val="148F7029"/>
    <w:rsid w:val="14902DA1"/>
    <w:rsid w:val="149E388B"/>
    <w:rsid w:val="14A05CEA"/>
    <w:rsid w:val="14AA450A"/>
    <w:rsid w:val="14B60A59"/>
    <w:rsid w:val="14B80E3B"/>
    <w:rsid w:val="14BA7BD0"/>
    <w:rsid w:val="14BE0DA8"/>
    <w:rsid w:val="14C10F31"/>
    <w:rsid w:val="14C81165"/>
    <w:rsid w:val="14DF2DE8"/>
    <w:rsid w:val="14E15BDA"/>
    <w:rsid w:val="14E20E88"/>
    <w:rsid w:val="14E71B9C"/>
    <w:rsid w:val="14ED24C4"/>
    <w:rsid w:val="14FE6E45"/>
    <w:rsid w:val="15030DD2"/>
    <w:rsid w:val="151246C1"/>
    <w:rsid w:val="15155054"/>
    <w:rsid w:val="15190BB8"/>
    <w:rsid w:val="151A266A"/>
    <w:rsid w:val="15300534"/>
    <w:rsid w:val="153D4CD7"/>
    <w:rsid w:val="15430081"/>
    <w:rsid w:val="1549179A"/>
    <w:rsid w:val="155855A0"/>
    <w:rsid w:val="15760A82"/>
    <w:rsid w:val="15885993"/>
    <w:rsid w:val="158A3C94"/>
    <w:rsid w:val="15943580"/>
    <w:rsid w:val="15993399"/>
    <w:rsid w:val="159F71E4"/>
    <w:rsid w:val="15DA54BE"/>
    <w:rsid w:val="15DE1A29"/>
    <w:rsid w:val="15F15AC1"/>
    <w:rsid w:val="16091932"/>
    <w:rsid w:val="160C2F38"/>
    <w:rsid w:val="16305FE2"/>
    <w:rsid w:val="16527642"/>
    <w:rsid w:val="166636FC"/>
    <w:rsid w:val="16883ABF"/>
    <w:rsid w:val="169D3553"/>
    <w:rsid w:val="16A90098"/>
    <w:rsid w:val="16AA3EEF"/>
    <w:rsid w:val="16AD19E8"/>
    <w:rsid w:val="16BB65F1"/>
    <w:rsid w:val="16C30E50"/>
    <w:rsid w:val="16DF70C3"/>
    <w:rsid w:val="16E13DB6"/>
    <w:rsid w:val="16E36A8E"/>
    <w:rsid w:val="16E6312D"/>
    <w:rsid w:val="16F71E02"/>
    <w:rsid w:val="170A0BE8"/>
    <w:rsid w:val="17147CB9"/>
    <w:rsid w:val="17174321"/>
    <w:rsid w:val="171B1048"/>
    <w:rsid w:val="17382C6C"/>
    <w:rsid w:val="174560C4"/>
    <w:rsid w:val="17664982"/>
    <w:rsid w:val="17832749"/>
    <w:rsid w:val="178F5592"/>
    <w:rsid w:val="1796736C"/>
    <w:rsid w:val="17975599"/>
    <w:rsid w:val="179901BE"/>
    <w:rsid w:val="17AC7EF2"/>
    <w:rsid w:val="17B2733D"/>
    <w:rsid w:val="17D32110"/>
    <w:rsid w:val="17EF333D"/>
    <w:rsid w:val="17F736BA"/>
    <w:rsid w:val="18094EF4"/>
    <w:rsid w:val="180B1C8C"/>
    <w:rsid w:val="18273A1C"/>
    <w:rsid w:val="183B40F7"/>
    <w:rsid w:val="1856228A"/>
    <w:rsid w:val="18584B75"/>
    <w:rsid w:val="18655549"/>
    <w:rsid w:val="18664548"/>
    <w:rsid w:val="186F636E"/>
    <w:rsid w:val="187266B8"/>
    <w:rsid w:val="18731F52"/>
    <w:rsid w:val="18794B9A"/>
    <w:rsid w:val="18846779"/>
    <w:rsid w:val="189A4AF4"/>
    <w:rsid w:val="189D5730"/>
    <w:rsid w:val="18A24E51"/>
    <w:rsid w:val="18A46A59"/>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D74B2"/>
    <w:rsid w:val="197B5636"/>
    <w:rsid w:val="19864E1F"/>
    <w:rsid w:val="198C7FDB"/>
    <w:rsid w:val="198D30EC"/>
    <w:rsid w:val="199926F8"/>
    <w:rsid w:val="19C159DC"/>
    <w:rsid w:val="19D43730"/>
    <w:rsid w:val="19EB3A5C"/>
    <w:rsid w:val="19EB4862"/>
    <w:rsid w:val="19F274CB"/>
    <w:rsid w:val="19F62F82"/>
    <w:rsid w:val="19F636A6"/>
    <w:rsid w:val="19FE4FDA"/>
    <w:rsid w:val="1A0056B3"/>
    <w:rsid w:val="1A045D94"/>
    <w:rsid w:val="1A134258"/>
    <w:rsid w:val="1A182150"/>
    <w:rsid w:val="1A1C5CE8"/>
    <w:rsid w:val="1A1F2E2D"/>
    <w:rsid w:val="1A200C49"/>
    <w:rsid w:val="1A2340A7"/>
    <w:rsid w:val="1A290333"/>
    <w:rsid w:val="1A2C7C12"/>
    <w:rsid w:val="1A382E26"/>
    <w:rsid w:val="1A3A5DAF"/>
    <w:rsid w:val="1A4C59BC"/>
    <w:rsid w:val="1A553926"/>
    <w:rsid w:val="1A564A70"/>
    <w:rsid w:val="1A5B175B"/>
    <w:rsid w:val="1A5C16D9"/>
    <w:rsid w:val="1A5C6D63"/>
    <w:rsid w:val="1A705206"/>
    <w:rsid w:val="1A7636B6"/>
    <w:rsid w:val="1A7B17BE"/>
    <w:rsid w:val="1A9C424D"/>
    <w:rsid w:val="1ABF7F3C"/>
    <w:rsid w:val="1AC77FED"/>
    <w:rsid w:val="1AC8028B"/>
    <w:rsid w:val="1AE133EF"/>
    <w:rsid w:val="1AEF4DAE"/>
    <w:rsid w:val="1AF5395E"/>
    <w:rsid w:val="1AF77FAB"/>
    <w:rsid w:val="1AFB020E"/>
    <w:rsid w:val="1AFC6661"/>
    <w:rsid w:val="1B1C713C"/>
    <w:rsid w:val="1B324BB2"/>
    <w:rsid w:val="1B46240B"/>
    <w:rsid w:val="1B492FF3"/>
    <w:rsid w:val="1B4950A4"/>
    <w:rsid w:val="1B556620"/>
    <w:rsid w:val="1B6D5BEA"/>
    <w:rsid w:val="1B703F63"/>
    <w:rsid w:val="1B734B45"/>
    <w:rsid w:val="1B862A01"/>
    <w:rsid w:val="1B924A70"/>
    <w:rsid w:val="1BA324C2"/>
    <w:rsid w:val="1BA61267"/>
    <w:rsid w:val="1BA710FC"/>
    <w:rsid w:val="1BAF2B44"/>
    <w:rsid w:val="1BB43819"/>
    <w:rsid w:val="1BD01CD5"/>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710F3"/>
    <w:rsid w:val="1CBC72F2"/>
    <w:rsid w:val="1CD565D5"/>
    <w:rsid w:val="1CD87093"/>
    <w:rsid w:val="1CDF6675"/>
    <w:rsid w:val="1CEF14EF"/>
    <w:rsid w:val="1CF43006"/>
    <w:rsid w:val="1CFE1CEE"/>
    <w:rsid w:val="1D077570"/>
    <w:rsid w:val="1D0A73B1"/>
    <w:rsid w:val="1D13456F"/>
    <w:rsid w:val="1D1A4F19"/>
    <w:rsid w:val="1D2A3966"/>
    <w:rsid w:val="1D325942"/>
    <w:rsid w:val="1D6545EF"/>
    <w:rsid w:val="1D672B1F"/>
    <w:rsid w:val="1D68660F"/>
    <w:rsid w:val="1D7C2114"/>
    <w:rsid w:val="1D81597C"/>
    <w:rsid w:val="1D856076"/>
    <w:rsid w:val="1D8B3670"/>
    <w:rsid w:val="1D8E2134"/>
    <w:rsid w:val="1D9F1323"/>
    <w:rsid w:val="1DA73124"/>
    <w:rsid w:val="1DAE0556"/>
    <w:rsid w:val="1DAF6046"/>
    <w:rsid w:val="1DB1270C"/>
    <w:rsid w:val="1DB25B36"/>
    <w:rsid w:val="1DB67C12"/>
    <w:rsid w:val="1DC55869"/>
    <w:rsid w:val="1DC615E1"/>
    <w:rsid w:val="1DD50B1E"/>
    <w:rsid w:val="1DD940C3"/>
    <w:rsid w:val="1DDF7150"/>
    <w:rsid w:val="1E036173"/>
    <w:rsid w:val="1E060554"/>
    <w:rsid w:val="1E0F6E32"/>
    <w:rsid w:val="1E1C1D60"/>
    <w:rsid w:val="1E29229C"/>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95587"/>
    <w:rsid w:val="1F06438B"/>
    <w:rsid w:val="1F0C725C"/>
    <w:rsid w:val="1F30765A"/>
    <w:rsid w:val="1F3507CD"/>
    <w:rsid w:val="1F494278"/>
    <w:rsid w:val="1F4C5B16"/>
    <w:rsid w:val="1F524DE1"/>
    <w:rsid w:val="1F544598"/>
    <w:rsid w:val="1F69585D"/>
    <w:rsid w:val="1F6B38B0"/>
    <w:rsid w:val="1F811C64"/>
    <w:rsid w:val="1FD0749B"/>
    <w:rsid w:val="1FE35ADC"/>
    <w:rsid w:val="1FE5567A"/>
    <w:rsid w:val="1FF02946"/>
    <w:rsid w:val="1FF2076E"/>
    <w:rsid w:val="1FF24910"/>
    <w:rsid w:val="1FF935A1"/>
    <w:rsid w:val="200E0021"/>
    <w:rsid w:val="201D72F1"/>
    <w:rsid w:val="203342AF"/>
    <w:rsid w:val="203A5CDB"/>
    <w:rsid w:val="203F40E9"/>
    <w:rsid w:val="20541126"/>
    <w:rsid w:val="205A5568"/>
    <w:rsid w:val="2061262B"/>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84D8F"/>
    <w:rsid w:val="20CB4F5C"/>
    <w:rsid w:val="20D91DD8"/>
    <w:rsid w:val="20DC598D"/>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724815"/>
    <w:rsid w:val="21823A71"/>
    <w:rsid w:val="218477E9"/>
    <w:rsid w:val="219F0AC7"/>
    <w:rsid w:val="21A665AD"/>
    <w:rsid w:val="21A734D8"/>
    <w:rsid w:val="21B33C19"/>
    <w:rsid w:val="21BB34D8"/>
    <w:rsid w:val="21D722C1"/>
    <w:rsid w:val="21DF24FF"/>
    <w:rsid w:val="21E14D78"/>
    <w:rsid w:val="21FD3792"/>
    <w:rsid w:val="220B121B"/>
    <w:rsid w:val="220F6359"/>
    <w:rsid w:val="22136A87"/>
    <w:rsid w:val="222C0C93"/>
    <w:rsid w:val="222F1E4B"/>
    <w:rsid w:val="22427CC5"/>
    <w:rsid w:val="224A3FC7"/>
    <w:rsid w:val="224B3D5F"/>
    <w:rsid w:val="2258252F"/>
    <w:rsid w:val="225E4F1E"/>
    <w:rsid w:val="22614DE4"/>
    <w:rsid w:val="22785BA0"/>
    <w:rsid w:val="228F63A9"/>
    <w:rsid w:val="22A177E6"/>
    <w:rsid w:val="22E6677E"/>
    <w:rsid w:val="22EA23F7"/>
    <w:rsid w:val="22EA7B20"/>
    <w:rsid w:val="22F17100"/>
    <w:rsid w:val="22FB48B7"/>
    <w:rsid w:val="231D3794"/>
    <w:rsid w:val="23216ED5"/>
    <w:rsid w:val="233236E3"/>
    <w:rsid w:val="23384D2F"/>
    <w:rsid w:val="233B768D"/>
    <w:rsid w:val="233E1B2D"/>
    <w:rsid w:val="234350AA"/>
    <w:rsid w:val="2346752C"/>
    <w:rsid w:val="23487548"/>
    <w:rsid w:val="23585DD8"/>
    <w:rsid w:val="235B4AD3"/>
    <w:rsid w:val="235D6544"/>
    <w:rsid w:val="237613B4"/>
    <w:rsid w:val="237D05D8"/>
    <w:rsid w:val="239B1C02"/>
    <w:rsid w:val="23AB3435"/>
    <w:rsid w:val="23AB3963"/>
    <w:rsid w:val="23AF49DD"/>
    <w:rsid w:val="23AF74F2"/>
    <w:rsid w:val="23B9580C"/>
    <w:rsid w:val="23BA793E"/>
    <w:rsid w:val="23D17044"/>
    <w:rsid w:val="23D172B3"/>
    <w:rsid w:val="23D841ED"/>
    <w:rsid w:val="23E40684"/>
    <w:rsid w:val="23EE40AF"/>
    <w:rsid w:val="23F23381"/>
    <w:rsid w:val="240972D9"/>
    <w:rsid w:val="2411563C"/>
    <w:rsid w:val="241E2177"/>
    <w:rsid w:val="242447AF"/>
    <w:rsid w:val="24334C53"/>
    <w:rsid w:val="24373239"/>
    <w:rsid w:val="243E06E8"/>
    <w:rsid w:val="24431BDE"/>
    <w:rsid w:val="245260B7"/>
    <w:rsid w:val="24771FAD"/>
    <w:rsid w:val="24823B61"/>
    <w:rsid w:val="24941BD4"/>
    <w:rsid w:val="24A15D95"/>
    <w:rsid w:val="24C41DFA"/>
    <w:rsid w:val="24CF3471"/>
    <w:rsid w:val="24D75451"/>
    <w:rsid w:val="24DC47FF"/>
    <w:rsid w:val="24DD7990"/>
    <w:rsid w:val="24F904EE"/>
    <w:rsid w:val="25005256"/>
    <w:rsid w:val="250439EF"/>
    <w:rsid w:val="252411C6"/>
    <w:rsid w:val="252C2672"/>
    <w:rsid w:val="25304F06"/>
    <w:rsid w:val="2557729C"/>
    <w:rsid w:val="255A6A4F"/>
    <w:rsid w:val="256F3379"/>
    <w:rsid w:val="257239B5"/>
    <w:rsid w:val="2573525C"/>
    <w:rsid w:val="2573603F"/>
    <w:rsid w:val="25781413"/>
    <w:rsid w:val="257A3E03"/>
    <w:rsid w:val="258C3DF5"/>
    <w:rsid w:val="25A36BFD"/>
    <w:rsid w:val="25B05051"/>
    <w:rsid w:val="25E1786F"/>
    <w:rsid w:val="25E83AD3"/>
    <w:rsid w:val="25EB11E1"/>
    <w:rsid w:val="25F252DE"/>
    <w:rsid w:val="25F453F1"/>
    <w:rsid w:val="25F574EA"/>
    <w:rsid w:val="260B280F"/>
    <w:rsid w:val="261C6242"/>
    <w:rsid w:val="263F3EBB"/>
    <w:rsid w:val="264D0AF2"/>
    <w:rsid w:val="26574DB8"/>
    <w:rsid w:val="26693330"/>
    <w:rsid w:val="266A3CEA"/>
    <w:rsid w:val="266E1364"/>
    <w:rsid w:val="26881A92"/>
    <w:rsid w:val="268E2249"/>
    <w:rsid w:val="269229A8"/>
    <w:rsid w:val="26A67D94"/>
    <w:rsid w:val="26C52C94"/>
    <w:rsid w:val="26D703BB"/>
    <w:rsid w:val="26E51871"/>
    <w:rsid w:val="26E56F7C"/>
    <w:rsid w:val="26E776E2"/>
    <w:rsid w:val="26EC52C4"/>
    <w:rsid w:val="26FD1062"/>
    <w:rsid w:val="270F5DA7"/>
    <w:rsid w:val="2712322F"/>
    <w:rsid w:val="27224B0F"/>
    <w:rsid w:val="272F1E9F"/>
    <w:rsid w:val="27313F6F"/>
    <w:rsid w:val="27363334"/>
    <w:rsid w:val="2742617D"/>
    <w:rsid w:val="274E1A68"/>
    <w:rsid w:val="2764417B"/>
    <w:rsid w:val="27795A37"/>
    <w:rsid w:val="278476CC"/>
    <w:rsid w:val="27B54BA0"/>
    <w:rsid w:val="27B55939"/>
    <w:rsid w:val="27D56FF1"/>
    <w:rsid w:val="27DA4607"/>
    <w:rsid w:val="27E965F8"/>
    <w:rsid w:val="27EE11CB"/>
    <w:rsid w:val="27F710A0"/>
    <w:rsid w:val="27FC457D"/>
    <w:rsid w:val="28025053"/>
    <w:rsid w:val="280653FC"/>
    <w:rsid w:val="280E2503"/>
    <w:rsid w:val="281F026C"/>
    <w:rsid w:val="282E0D0A"/>
    <w:rsid w:val="283659E1"/>
    <w:rsid w:val="284F7247"/>
    <w:rsid w:val="2851741F"/>
    <w:rsid w:val="2854115A"/>
    <w:rsid w:val="286744CD"/>
    <w:rsid w:val="287B2854"/>
    <w:rsid w:val="2887096F"/>
    <w:rsid w:val="28891A68"/>
    <w:rsid w:val="288C3EFB"/>
    <w:rsid w:val="28AD2EF5"/>
    <w:rsid w:val="28B0142C"/>
    <w:rsid w:val="28B02A2D"/>
    <w:rsid w:val="28B031C4"/>
    <w:rsid w:val="28B15A78"/>
    <w:rsid w:val="28B74948"/>
    <w:rsid w:val="28B813D8"/>
    <w:rsid w:val="28C05393"/>
    <w:rsid w:val="28C15F16"/>
    <w:rsid w:val="28C46D91"/>
    <w:rsid w:val="28C8217E"/>
    <w:rsid w:val="28D13A25"/>
    <w:rsid w:val="28D8259C"/>
    <w:rsid w:val="28DC615D"/>
    <w:rsid w:val="28DE402A"/>
    <w:rsid w:val="28E23AA6"/>
    <w:rsid w:val="28FC235B"/>
    <w:rsid w:val="291433AE"/>
    <w:rsid w:val="292274D8"/>
    <w:rsid w:val="293B7327"/>
    <w:rsid w:val="29432A42"/>
    <w:rsid w:val="2946101E"/>
    <w:rsid w:val="294D2BB7"/>
    <w:rsid w:val="294F62D4"/>
    <w:rsid w:val="2950363D"/>
    <w:rsid w:val="2957261A"/>
    <w:rsid w:val="29712D49"/>
    <w:rsid w:val="2976043F"/>
    <w:rsid w:val="297A24D3"/>
    <w:rsid w:val="29826D04"/>
    <w:rsid w:val="29834CA6"/>
    <w:rsid w:val="298429E5"/>
    <w:rsid w:val="299627B0"/>
    <w:rsid w:val="299C340E"/>
    <w:rsid w:val="29A1507A"/>
    <w:rsid w:val="29A20242"/>
    <w:rsid w:val="29A94291"/>
    <w:rsid w:val="29AA7F26"/>
    <w:rsid w:val="29C70BBB"/>
    <w:rsid w:val="29D250A3"/>
    <w:rsid w:val="29D97152"/>
    <w:rsid w:val="29DA563F"/>
    <w:rsid w:val="29EA6773"/>
    <w:rsid w:val="29F51284"/>
    <w:rsid w:val="2A0D0CC4"/>
    <w:rsid w:val="2A1757C0"/>
    <w:rsid w:val="2A2622F9"/>
    <w:rsid w:val="2A285241"/>
    <w:rsid w:val="2A2E7A7E"/>
    <w:rsid w:val="2A323B4A"/>
    <w:rsid w:val="2A411D8E"/>
    <w:rsid w:val="2A4735A8"/>
    <w:rsid w:val="2A596630"/>
    <w:rsid w:val="2A5F40B6"/>
    <w:rsid w:val="2A66617B"/>
    <w:rsid w:val="2A755953"/>
    <w:rsid w:val="2A7C3754"/>
    <w:rsid w:val="2A9456D6"/>
    <w:rsid w:val="2AAA2B75"/>
    <w:rsid w:val="2ACA2711"/>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AE2033"/>
    <w:rsid w:val="2BBB64FD"/>
    <w:rsid w:val="2BD22877"/>
    <w:rsid w:val="2BDC385F"/>
    <w:rsid w:val="2BEC2B5B"/>
    <w:rsid w:val="2BF24C23"/>
    <w:rsid w:val="2BF27A1C"/>
    <w:rsid w:val="2BFC6B25"/>
    <w:rsid w:val="2BFE35F4"/>
    <w:rsid w:val="2C291E13"/>
    <w:rsid w:val="2C421FD2"/>
    <w:rsid w:val="2C5119A3"/>
    <w:rsid w:val="2C60078B"/>
    <w:rsid w:val="2C6B4093"/>
    <w:rsid w:val="2C997AF3"/>
    <w:rsid w:val="2C997CDE"/>
    <w:rsid w:val="2C9C00DD"/>
    <w:rsid w:val="2C9E14E5"/>
    <w:rsid w:val="2CA62764"/>
    <w:rsid w:val="2CC67BBB"/>
    <w:rsid w:val="2CCA2E9C"/>
    <w:rsid w:val="2CD25FF8"/>
    <w:rsid w:val="2CE67F8C"/>
    <w:rsid w:val="2CF3392B"/>
    <w:rsid w:val="2CFC0B7C"/>
    <w:rsid w:val="2D006B18"/>
    <w:rsid w:val="2D0D68B9"/>
    <w:rsid w:val="2D297BC6"/>
    <w:rsid w:val="2D377655"/>
    <w:rsid w:val="2D391440"/>
    <w:rsid w:val="2D403484"/>
    <w:rsid w:val="2D44170C"/>
    <w:rsid w:val="2D651E34"/>
    <w:rsid w:val="2DAB5DC1"/>
    <w:rsid w:val="2DEE2D62"/>
    <w:rsid w:val="2DF14475"/>
    <w:rsid w:val="2DF83CAE"/>
    <w:rsid w:val="2E1036F7"/>
    <w:rsid w:val="2E2760CC"/>
    <w:rsid w:val="2E2F76FC"/>
    <w:rsid w:val="2E3507E9"/>
    <w:rsid w:val="2E3B3187"/>
    <w:rsid w:val="2E422DCC"/>
    <w:rsid w:val="2E424CB4"/>
    <w:rsid w:val="2E751378"/>
    <w:rsid w:val="2E754540"/>
    <w:rsid w:val="2E905186"/>
    <w:rsid w:val="2EA313FB"/>
    <w:rsid w:val="2EAF3631"/>
    <w:rsid w:val="2EC13E2B"/>
    <w:rsid w:val="2EC519AD"/>
    <w:rsid w:val="2ED2330B"/>
    <w:rsid w:val="2ED705EB"/>
    <w:rsid w:val="2EDC447A"/>
    <w:rsid w:val="2EDE45E5"/>
    <w:rsid w:val="2EE5733A"/>
    <w:rsid w:val="2EEE11AC"/>
    <w:rsid w:val="2EF22236"/>
    <w:rsid w:val="2EFC1307"/>
    <w:rsid w:val="2EFE35E8"/>
    <w:rsid w:val="2F0A451D"/>
    <w:rsid w:val="2F29621C"/>
    <w:rsid w:val="2F315682"/>
    <w:rsid w:val="2F4E6128"/>
    <w:rsid w:val="2F51009E"/>
    <w:rsid w:val="2F513423"/>
    <w:rsid w:val="2F593497"/>
    <w:rsid w:val="2F80221D"/>
    <w:rsid w:val="2F805A94"/>
    <w:rsid w:val="2FA6202F"/>
    <w:rsid w:val="2FBE1AB6"/>
    <w:rsid w:val="2FD57C04"/>
    <w:rsid w:val="2FDB47FA"/>
    <w:rsid w:val="2FEC4ED7"/>
    <w:rsid w:val="2FF71A70"/>
    <w:rsid w:val="2FFB4CA4"/>
    <w:rsid w:val="30222090"/>
    <w:rsid w:val="302C79CA"/>
    <w:rsid w:val="303F08C7"/>
    <w:rsid w:val="30412492"/>
    <w:rsid w:val="304704C5"/>
    <w:rsid w:val="305A4537"/>
    <w:rsid w:val="30615FED"/>
    <w:rsid w:val="306B04F2"/>
    <w:rsid w:val="30717AD3"/>
    <w:rsid w:val="3086532C"/>
    <w:rsid w:val="308F3CE9"/>
    <w:rsid w:val="30933F17"/>
    <w:rsid w:val="309713C6"/>
    <w:rsid w:val="30981D7F"/>
    <w:rsid w:val="309B5A24"/>
    <w:rsid w:val="30A232E4"/>
    <w:rsid w:val="30B11567"/>
    <w:rsid w:val="30C50C66"/>
    <w:rsid w:val="30DA5348"/>
    <w:rsid w:val="30ED1711"/>
    <w:rsid w:val="3103697D"/>
    <w:rsid w:val="310F3573"/>
    <w:rsid w:val="3115220C"/>
    <w:rsid w:val="31167200"/>
    <w:rsid w:val="312C69BA"/>
    <w:rsid w:val="31393DCB"/>
    <w:rsid w:val="313E79B5"/>
    <w:rsid w:val="31636DC3"/>
    <w:rsid w:val="316A224B"/>
    <w:rsid w:val="316D2854"/>
    <w:rsid w:val="316E5F97"/>
    <w:rsid w:val="31712EBC"/>
    <w:rsid w:val="31772EC7"/>
    <w:rsid w:val="317D5FB6"/>
    <w:rsid w:val="318C7F04"/>
    <w:rsid w:val="31930A3B"/>
    <w:rsid w:val="319C292D"/>
    <w:rsid w:val="319C5AA7"/>
    <w:rsid w:val="319E0453"/>
    <w:rsid w:val="319F465C"/>
    <w:rsid w:val="31C32FA3"/>
    <w:rsid w:val="31CD468B"/>
    <w:rsid w:val="31D13B19"/>
    <w:rsid w:val="31D2634F"/>
    <w:rsid w:val="31D91BE1"/>
    <w:rsid w:val="31E60856"/>
    <w:rsid w:val="31E721BD"/>
    <w:rsid w:val="31EA35E8"/>
    <w:rsid w:val="32075FF9"/>
    <w:rsid w:val="32124493"/>
    <w:rsid w:val="3218008E"/>
    <w:rsid w:val="322651B5"/>
    <w:rsid w:val="322C0610"/>
    <w:rsid w:val="322E1BFD"/>
    <w:rsid w:val="32303773"/>
    <w:rsid w:val="323A3E96"/>
    <w:rsid w:val="323E22F7"/>
    <w:rsid w:val="3252691D"/>
    <w:rsid w:val="326A3247"/>
    <w:rsid w:val="328A273D"/>
    <w:rsid w:val="328B4E7C"/>
    <w:rsid w:val="32994C8F"/>
    <w:rsid w:val="32A5173A"/>
    <w:rsid w:val="32A616A3"/>
    <w:rsid w:val="32BB148C"/>
    <w:rsid w:val="32BB6217"/>
    <w:rsid w:val="32CD74E8"/>
    <w:rsid w:val="32EE71B8"/>
    <w:rsid w:val="32F40F29"/>
    <w:rsid w:val="32FC18D5"/>
    <w:rsid w:val="33184235"/>
    <w:rsid w:val="33240DCE"/>
    <w:rsid w:val="33291ACF"/>
    <w:rsid w:val="332C1220"/>
    <w:rsid w:val="333C7F24"/>
    <w:rsid w:val="333D7CDA"/>
    <w:rsid w:val="33407A27"/>
    <w:rsid w:val="33425991"/>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2A5388"/>
    <w:rsid w:val="34476B80"/>
    <w:rsid w:val="34491953"/>
    <w:rsid w:val="344F1FA8"/>
    <w:rsid w:val="345614B9"/>
    <w:rsid w:val="345721E6"/>
    <w:rsid w:val="34621C0C"/>
    <w:rsid w:val="34751483"/>
    <w:rsid w:val="347A51A8"/>
    <w:rsid w:val="34825689"/>
    <w:rsid w:val="348778C5"/>
    <w:rsid w:val="34A118FF"/>
    <w:rsid w:val="34A20947"/>
    <w:rsid w:val="34A244D0"/>
    <w:rsid w:val="34A91197"/>
    <w:rsid w:val="34AD0D0B"/>
    <w:rsid w:val="34B44B7E"/>
    <w:rsid w:val="34B57235"/>
    <w:rsid w:val="34DC6C43"/>
    <w:rsid w:val="34E84C40"/>
    <w:rsid w:val="35056F41"/>
    <w:rsid w:val="350A4AD0"/>
    <w:rsid w:val="350F0702"/>
    <w:rsid w:val="35232B6D"/>
    <w:rsid w:val="35345E60"/>
    <w:rsid w:val="35417A73"/>
    <w:rsid w:val="355027C2"/>
    <w:rsid w:val="35537C83"/>
    <w:rsid w:val="3569521C"/>
    <w:rsid w:val="3573036E"/>
    <w:rsid w:val="35872663"/>
    <w:rsid w:val="358D1CC8"/>
    <w:rsid w:val="358D2CB9"/>
    <w:rsid w:val="35A4403C"/>
    <w:rsid w:val="35A873D1"/>
    <w:rsid w:val="35C76FEA"/>
    <w:rsid w:val="35D750B2"/>
    <w:rsid w:val="35EB719D"/>
    <w:rsid w:val="361121FD"/>
    <w:rsid w:val="36117392"/>
    <w:rsid w:val="36312097"/>
    <w:rsid w:val="363E6589"/>
    <w:rsid w:val="36427105"/>
    <w:rsid w:val="36460B81"/>
    <w:rsid w:val="36495886"/>
    <w:rsid w:val="364A0BAA"/>
    <w:rsid w:val="3656754F"/>
    <w:rsid w:val="36637A63"/>
    <w:rsid w:val="366C3D62"/>
    <w:rsid w:val="367F4F73"/>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979DD"/>
    <w:rsid w:val="371F5514"/>
    <w:rsid w:val="37236D14"/>
    <w:rsid w:val="37450207"/>
    <w:rsid w:val="374A1271"/>
    <w:rsid w:val="376806DB"/>
    <w:rsid w:val="37846EE5"/>
    <w:rsid w:val="37884A5C"/>
    <w:rsid w:val="37904CE2"/>
    <w:rsid w:val="379461DF"/>
    <w:rsid w:val="379C5527"/>
    <w:rsid w:val="379F25AA"/>
    <w:rsid w:val="37A95DA4"/>
    <w:rsid w:val="37B7331B"/>
    <w:rsid w:val="37BE432D"/>
    <w:rsid w:val="37C0269B"/>
    <w:rsid w:val="37C20289"/>
    <w:rsid w:val="37CC113C"/>
    <w:rsid w:val="37CF0675"/>
    <w:rsid w:val="37D50947"/>
    <w:rsid w:val="37DD3769"/>
    <w:rsid w:val="37EB7469"/>
    <w:rsid w:val="37FE4685"/>
    <w:rsid w:val="383046D1"/>
    <w:rsid w:val="38316343"/>
    <w:rsid w:val="38540962"/>
    <w:rsid w:val="38727B02"/>
    <w:rsid w:val="38812AD7"/>
    <w:rsid w:val="389F5CD8"/>
    <w:rsid w:val="38AA6BDA"/>
    <w:rsid w:val="38B279EB"/>
    <w:rsid w:val="38B82AF5"/>
    <w:rsid w:val="38C379DB"/>
    <w:rsid w:val="38C7204D"/>
    <w:rsid w:val="38EA6C83"/>
    <w:rsid w:val="392B1828"/>
    <w:rsid w:val="39415A8A"/>
    <w:rsid w:val="3942200C"/>
    <w:rsid w:val="394D58E5"/>
    <w:rsid w:val="39684010"/>
    <w:rsid w:val="398656D3"/>
    <w:rsid w:val="399027B5"/>
    <w:rsid w:val="39933B19"/>
    <w:rsid w:val="39A33CED"/>
    <w:rsid w:val="39A44A75"/>
    <w:rsid w:val="39B34CB8"/>
    <w:rsid w:val="39B63F14"/>
    <w:rsid w:val="39BB11C0"/>
    <w:rsid w:val="39BE1D8D"/>
    <w:rsid w:val="39C236BE"/>
    <w:rsid w:val="39C306DF"/>
    <w:rsid w:val="39E55B1B"/>
    <w:rsid w:val="39E66E3B"/>
    <w:rsid w:val="39ED5AEC"/>
    <w:rsid w:val="39F25C1A"/>
    <w:rsid w:val="39F33306"/>
    <w:rsid w:val="39FC665F"/>
    <w:rsid w:val="39FD5585"/>
    <w:rsid w:val="39FF3A59"/>
    <w:rsid w:val="3A0D241C"/>
    <w:rsid w:val="3A1A5808"/>
    <w:rsid w:val="3A1E30B1"/>
    <w:rsid w:val="3A200049"/>
    <w:rsid w:val="3A2B463D"/>
    <w:rsid w:val="3A386A14"/>
    <w:rsid w:val="3A3C0A2C"/>
    <w:rsid w:val="3A453174"/>
    <w:rsid w:val="3A4D5C6A"/>
    <w:rsid w:val="3A5133D0"/>
    <w:rsid w:val="3A52381C"/>
    <w:rsid w:val="3A53AC65"/>
    <w:rsid w:val="3A58654F"/>
    <w:rsid w:val="3A687E26"/>
    <w:rsid w:val="3A751F6D"/>
    <w:rsid w:val="3A7624AF"/>
    <w:rsid w:val="3A830B2E"/>
    <w:rsid w:val="3A8322BE"/>
    <w:rsid w:val="3AB331C1"/>
    <w:rsid w:val="3ABB3E24"/>
    <w:rsid w:val="3ABD57F2"/>
    <w:rsid w:val="3AC7029B"/>
    <w:rsid w:val="3AC7728A"/>
    <w:rsid w:val="3ACB380C"/>
    <w:rsid w:val="3ADB2271"/>
    <w:rsid w:val="3AE64634"/>
    <w:rsid w:val="3AF6205F"/>
    <w:rsid w:val="3B050D2B"/>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9E18B3"/>
    <w:rsid w:val="3BB54638"/>
    <w:rsid w:val="3BCB557E"/>
    <w:rsid w:val="3BD62991"/>
    <w:rsid w:val="3BD879DB"/>
    <w:rsid w:val="3BD95935"/>
    <w:rsid w:val="3BE55FE8"/>
    <w:rsid w:val="3BEE198D"/>
    <w:rsid w:val="3BF3499E"/>
    <w:rsid w:val="3BF34A5A"/>
    <w:rsid w:val="3BFD046C"/>
    <w:rsid w:val="3BFE376A"/>
    <w:rsid w:val="3C0331DD"/>
    <w:rsid w:val="3C0812EB"/>
    <w:rsid w:val="3C264489"/>
    <w:rsid w:val="3C2A50F0"/>
    <w:rsid w:val="3C2B11E4"/>
    <w:rsid w:val="3C302F20"/>
    <w:rsid w:val="3C3C0F95"/>
    <w:rsid w:val="3C40286C"/>
    <w:rsid w:val="3C410359"/>
    <w:rsid w:val="3C4373C4"/>
    <w:rsid w:val="3C6329C5"/>
    <w:rsid w:val="3C6F4FF8"/>
    <w:rsid w:val="3C7050E2"/>
    <w:rsid w:val="3C7E335B"/>
    <w:rsid w:val="3C9508B9"/>
    <w:rsid w:val="3CA94FAB"/>
    <w:rsid w:val="3CAD3C40"/>
    <w:rsid w:val="3CBC20D5"/>
    <w:rsid w:val="3CBE1861"/>
    <w:rsid w:val="3CC15468"/>
    <w:rsid w:val="3CC9460F"/>
    <w:rsid w:val="3CCB2319"/>
    <w:rsid w:val="3CD06F1D"/>
    <w:rsid w:val="3CD9405C"/>
    <w:rsid w:val="3CDB019A"/>
    <w:rsid w:val="3CE83CA8"/>
    <w:rsid w:val="3CEA65E2"/>
    <w:rsid w:val="3CF672F5"/>
    <w:rsid w:val="3D0A1433"/>
    <w:rsid w:val="3D11065F"/>
    <w:rsid w:val="3D2B261A"/>
    <w:rsid w:val="3D32517E"/>
    <w:rsid w:val="3D364DBF"/>
    <w:rsid w:val="3D4570A1"/>
    <w:rsid w:val="3D5B4B1B"/>
    <w:rsid w:val="3D6267D9"/>
    <w:rsid w:val="3D7778E1"/>
    <w:rsid w:val="3D7D0CF0"/>
    <w:rsid w:val="3DD0510F"/>
    <w:rsid w:val="3DD64A42"/>
    <w:rsid w:val="3DE45F8B"/>
    <w:rsid w:val="3DE9514C"/>
    <w:rsid w:val="3DFF7691"/>
    <w:rsid w:val="3E0E5257"/>
    <w:rsid w:val="3E21293C"/>
    <w:rsid w:val="3E281D09"/>
    <w:rsid w:val="3E414576"/>
    <w:rsid w:val="3E5B0DA3"/>
    <w:rsid w:val="3E6A644A"/>
    <w:rsid w:val="3E711D4C"/>
    <w:rsid w:val="3E7A3FF6"/>
    <w:rsid w:val="3E7F552E"/>
    <w:rsid w:val="3E861F2A"/>
    <w:rsid w:val="3E865C72"/>
    <w:rsid w:val="3E920965"/>
    <w:rsid w:val="3E92378D"/>
    <w:rsid w:val="3E97400C"/>
    <w:rsid w:val="3EBC63BD"/>
    <w:rsid w:val="3EC57D85"/>
    <w:rsid w:val="3ED81093"/>
    <w:rsid w:val="3EF76DEB"/>
    <w:rsid w:val="3F0B38BB"/>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3FF850BC"/>
    <w:rsid w:val="40063D93"/>
    <w:rsid w:val="400F586A"/>
    <w:rsid w:val="400F6AFF"/>
    <w:rsid w:val="40176108"/>
    <w:rsid w:val="40225FCC"/>
    <w:rsid w:val="402C43AB"/>
    <w:rsid w:val="402D0F85"/>
    <w:rsid w:val="4031573F"/>
    <w:rsid w:val="403645F3"/>
    <w:rsid w:val="403F4E27"/>
    <w:rsid w:val="40491F46"/>
    <w:rsid w:val="404C688B"/>
    <w:rsid w:val="40651646"/>
    <w:rsid w:val="408847A8"/>
    <w:rsid w:val="40A5340E"/>
    <w:rsid w:val="40A86353"/>
    <w:rsid w:val="40B41A41"/>
    <w:rsid w:val="40C7461D"/>
    <w:rsid w:val="40CA3AFC"/>
    <w:rsid w:val="40CC47B9"/>
    <w:rsid w:val="40D47A4A"/>
    <w:rsid w:val="40DA369D"/>
    <w:rsid w:val="40E41DEF"/>
    <w:rsid w:val="40F17FA1"/>
    <w:rsid w:val="40F2485A"/>
    <w:rsid w:val="40F410CA"/>
    <w:rsid w:val="40FC47E1"/>
    <w:rsid w:val="411C4B49"/>
    <w:rsid w:val="41345493"/>
    <w:rsid w:val="4138297C"/>
    <w:rsid w:val="41586871"/>
    <w:rsid w:val="415E0AA4"/>
    <w:rsid w:val="41610010"/>
    <w:rsid w:val="4186659F"/>
    <w:rsid w:val="418802C8"/>
    <w:rsid w:val="4188317F"/>
    <w:rsid w:val="41924FB9"/>
    <w:rsid w:val="41B34DF1"/>
    <w:rsid w:val="41B62002"/>
    <w:rsid w:val="41BB0480"/>
    <w:rsid w:val="41BF708C"/>
    <w:rsid w:val="41D46BCA"/>
    <w:rsid w:val="41D91E7D"/>
    <w:rsid w:val="41E47D13"/>
    <w:rsid w:val="42041BE8"/>
    <w:rsid w:val="42097713"/>
    <w:rsid w:val="420D42E6"/>
    <w:rsid w:val="421329F6"/>
    <w:rsid w:val="42186FAF"/>
    <w:rsid w:val="421A58D4"/>
    <w:rsid w:val="4226071D"/>
    <w:rsid w:val="423000FD"/>
    <w:rsid w:val="42436B6D"/>
    <w:rsid w:val="424C6F4F"/>
    <w:rsid w:val="424F1955"/>
    <w:rsid w:val="4260768D"/>
    <w:rsid w:val="42635B8E"/>
    <w:rsid w:val="4269685C"/>
    <w:rsid w:val="426D00FA"/>
    <w:rsid w:val="426E60B7"/>
    <w:rsid w:val="4278084D"/>
    <w:rsid w:val="427D17F0"/>
    <w:rsid w:val="427E41C7"/>
    <w:rsid w:val="427E7BC1"/>
    <w:rsid w:val="42804160"/>
    <w:rsid w:val="42851286"/>
    <w:rsid w:val="429B6A6B"/>
    <w:rsid w:val="42A908D1"/>
    <w:rsid w:val="42BB2A5D"/>
    <w:rsid w:val="42C51959"/>
    <w:rsid w:val="42CB6444"/>
    <w:rsid w:val="42CF6863"/>
    <w:rsid w:val="42F27836"/>
    <w:rsid w:val="430A6E5A"/>
    <w:rsid w:val="43122A4F"/>
    <w:rsid w:val="431C1B20"/>
    <w:rsid w:val="4323476C"/>
    <w:rsid w:val="4330416F"/>
    <w:rsid w:val="433E2AAC"/>
    <w:rsid w:val="434F7A62"/>
    <w:rsid w:val="435710A2"/>
    <w:rsid w:val="43657A8B"/>
    <w:rsid w:val="43670FED"/>
    <w:rsid w:val="436752A6"/>
    <w:rsid w:val="436E61ED"/>
    <w:rsid w:val="43784FA8"/>
    <w:rsid w:val="437E552F"/>
    <w:rsid w:val="43804E58"/>
    <w:rsid w:val="43843FDD"/>
    <w:rsid w:val="438C2802"/>
    <w:rsid w:val="439253D7"/>
    <w:rsid w:val="439F0E69"/>
    <w:rsid w:val="43CF5FD3"/>
    <w:rsid w:val="43D7406A"/>
    <w:rsid w:val="43DB1093"/>
    <w:rsid w:val="43DC5799"/>
    <w:rsid w:val="43EA1140"/>
    <w:rsid w:val="43EB3248"/>
    <w:rsid w:val="43F42B17"/>
    <w:rsid w:val="441A3D23"/>
    <w:rsid w:val="441E1F6C"/>
    <w:rsid w:val="44226CC2"/>
    <w:rsid w:val="44284DFE"/>
    <w:rsid w:val="44310E3A"/>
    <w:rsid w:val="44383138"/>
    <w:rsid w:val="443B29FC"/>
    <w:rsid w:val="443B4DCB"/>
    <w:rsid w:val="443D5D23"/>
    <w:rsid w:val="4464327A"/>
    <w:rsid w:val="446A3FBF"/>
    <w:rsid w:val="447F4114"/>
    <w:rsid w:val="44A26055"/>
    <w:rsid w:val="44C1636E"/>
    <w:rsid w:val="44CA076D"/>
    <w:rsid w:val="44CC2B81"/>
    <w:rsid w:val="44D8473A"/>
    <w:rsid w:val="44E37827"/>
    <w:rsid w:val="44E4666D"/>
    <w:rsid w:val="44E701A5"/>
    <w:rsid w:val="44E87F0C"/>
    <w:rsid w:val="45080D22"/>
    <w:rsid w:val="450C5A1B"/>
    <w:rsid w:val="450E74EC"/>
    <w:rsid w:val="45265484"/>
    <w:rsid w:val="452B40C5"/>
    <w:rsid w:val="452B429C"/>
    <w:rsid w:val="452C3E5B"/>
    <w:rsid w:val="452D74E0"/>
    <w:rsid w:val="45396AC7"/>
    <w:rsid w:val="453E5BB6"/>
    <w:rsid w:val="457C4123"/>
    <w:rsid w:val="45855844"/>
    <w:rsid w:val="458B69F6"/>
    <w:rsid w:val="458D5460"/>
    <w:rsid w:val="45A647C9"/>
    <w:rsid w:val="45C73FC5"/>
    <w:rsid w:val="45C943D0"/>
    <w:rsid w:val="45DA6D30"/>
    <w:rsid w:val="45DE14B8"/>
    <w:rsid w:val="45E36925"/>
    <w:rsid w:val="46073E25"/>
    <w:rsid w:val="461E71F2"/>
    <w:rsid w:val="463842DE"/>
    <w:rsid w:val="46386E53"/>
    <w:rsid w:val="4639036D"/>
    <w:rsid w:val="46393A2F"/>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6E841F3"/>
    <w:rsid w:val="47037361"/>
    <w:rsid w:val="470B23CA"/>
    <w:rsid w:val="470D19F1"/>
    <w:rsid w:val="471A1ED2"/>
    <w:rsid w:val="471E22EE"/>
    <w:rsid w:val="47227781"/>
    <w:rsid w:val="47227A3A"/>
    <w:rsid w:val="47260E83"/>
    <w:rsid w:val="472762D3"/>
    <w:rsid w:val="472D4D19"/>
    <w:rsid w:val="472E0159"/>
    <w:rsid w:val="4740402F"/>
    <w:rsid w:val="47454177"/>
    <w:rsid w:val="474B6530"/>
    <w:rsid w:val="474D4ED2"/>
    <w:rsid w:val="474F15D8"/>
    <w:rsid w:val="475278BE"/>
    <w:rsid w:val="4754049B"/>
    <w:rsid w:val="475E7C0D"/>
    <w:rsid w:val="476415D8"/>
    <w:rsid w:val="47701558"/>
    <w:rsid w:val="47710A73"/>
    <w:rsid w:val="477426A5"/>
    <w:rsid w:val="47857C94"/>
    <w:rsid w:val="47873BD6"/>
    <w:rsid w:val="47A83982"/>
    <w:rsid w:val="47B03AF7"/>
    <w:rsid w:val="47B2336A"/>
    <w:rsid w:val="47BA4F6E"/>
    <w:rsid w:val="47D7366E"/>
    <w:rsid w:val="47E12DA0"/>
    <w:rsid w:val="47E26E94"/>
    <w:rsid w:val="48057437"/>
    <w:rsid w:val="48084421"/>
    <w:rsid w:val="482427BB"/>
    <w:rsid w:val="482A083B"/>
    <w:rsid w:val="484F2050"/>
    <w:rsid w:val="486771FE"/>
    <w:rsid w:val="486C3D94"/>
    <w:rsid w:val="487814A5"/>
    <w:rsid w:val="489E1623"/>
    <w:rsid w:val="48A226AD"/>
    <w:rsid w:val="48A8494C"/>
    <w:rsid w:val="48B2699F"/>
    <w:rsid w:val="48B3438D"/>
    <w:rsid w:val="48B64853"/>
    <w:rsid w:val="48B67D8D"/>
    <w:rsid w:val="48BD345D"/>
    <w:rsid w:val="48C260C0"/>
    <w:rsid w:val="48C7608A"/>
    <w:rsid w:val="48FA020D"/>
    <w:rsid w:val="4902628A"/>
    <w:rsid w:val="490B2882"/>
    <w:rsid w:val="492412C0"/>
    <w:rsid w:val="493A38BD"/>
    <w:rsid w:val="49454B79"/>
    <w:rsid w:val="494E7D53"/>
    <w:rsid w:val="496355AF"/>
    <w:rsid w:val="496D4E83"/>
    <w:rsid w:val="49804BB7"/>
    <w:rsid w:val="49861AA1"/>
    <w:rsid w:val="4988006D"/>
    <w:rsid w:val="499646A6"/>
    <w:rsid w:val="499A6678"/>
    <w:rsid w:val="499F4D25"/>
    <w:rsid w:val="49B26E0D"/>
    <w:rsid w:val="49BB06FB"/>
    <w:rsid w:val="49BC2A68"/>
    <w:rsid w:val="49D7054F"/>
    <w:rsid w:val="49DC1BF0"/>
    <w:rsid w:val="49F04BCB"/>
    <w:rsid w:val="49F1437E"/>
    <w:rsid w:val="49F264F4"/>
    <w:rsid w:val="49FD451C"/>
    <w:rsid w:val="4A1452FF"/>
    <w:rsid w:val="4A1470AD"/>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D78A9"/>
    <w:rsid w:val="4B34383E"/>
    <w:rsid w:val="4B3F45FD"/>
    <w:rsid w:val="4B497EFB"/>
    <w:rsid w:val="4B635F8B"/>
    <w:rsid w:val="4B65032C"/>
    <w:rsid w:val="4B712A43"/>
    <w:rsid w:val="4B82202B"/>
    <w:rsid w:val="4B942E31"/>
    <w:rsid w:val="4B9502D0"/>
    <w:rsid w:val="4BA417A9"/>
    <w:rsid w:val="4BAE157A"/>
    <w:rsid w:val="4BBA1ED6"/>
    <w:rsid w:val="4BBE1692"/>
    <w:rsid w:val="4BCA0C2B"/>
    <w:rsid w:val="4BD65A7B"/>
    <w:rsid w:val="4BE84E2A"/>
    <w:rsid w:val="4BEA4569"/>
    <w:rsid w:val="4BFC604B"/>
    <w:rsid w:val="4C0575F5"/>
    <w:rsid w:val="4C0B49E3"/>
    <w:rsid w:val="4C107D48"/>
    <w:rsid w:val="4C180EC0"/>
    <w:rsid w:val="4C246520"/>
    <w:rsid w:val="4C333DA3"/>
    <w:rsid w:val="4C471D74"/>
    <w:rsid w:val="4C520360"/>
    <w:rsid w:val="4C696745"/>
    <w:rsid w:val="4C737423"/>
    <w:rsid w:val="4C83051A"/>
    <w:rsid w:val="4C885B30"/>
    <w:rsid w:val="4C955322"/>
    <w:rsid w:val="4C987A51"/>
    <w:rsid w:val="4C993ABE"/>
    <w:rsid w:val="4CAA2DCE"/>
    <w:rsid w:val="4CAA5AA7"/>
    <w:rsid w:val="4CB37051"/>
    <w:rsid w:val="4CB96EE9"/>
    <w:rsid w:val="4CCA6149"/>
    <w:rsid w:val="4CD66C96"/>
    <w:rsid w:val="4CDC5A3B"/>
    <w:rsid w:val="4CDF0E5D"/>
    <w:rsid w:val="4CE376D5"/>
    <w:rsid w:val="4D036D03"/>
    <w:rsid w:val="4D057778"/>
    <w:rsid w:val="4D08475C"/>
    <w:rsid w:val="4D0D3FCB"/>
    <w:rsid w:val="4D0E6DBB"/>
    <w:rsid w:val="4D12010F"/>
    <w:rsid w:val="4D181AF2"/>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D70B1D"/>
    <w:rsid w:val="4DE44FE8"/>
    <w:rsid w:val="4DE65204"/>
    <w:rsid w:val="4DF4626D"/>
    <w:rsid w:val="4DFC20A2"/>
    <w:rsid w:val="4DFF1B97"/>
    <w:rsid w:val="4E014414"/>
    <w:rsid w:val="4E020B1B"/>
    <w:rsid w:val="4E043535"/>
    <w:rsid w:val="4E1362FB"/>
    <w:rsid w:val="4E25360E"/>
    <w:rsid w:val="4E2719FC"/>
    <w:rsid w:val="4E5E12F1"/>
    <w:rsid w:val="4E62045F"/>
    <w:rsid w:val="4E6C2881"/>
    <w:rsid w:val="4E783F31"/>
    <w:rsid w:val="4E870795"/>
    <w:rsid w:val="4E9D1F36"/>
    <w:rsid w:val="4EA50C1B"/>
    <w:rsid w:val="4EAC689C"/>
    <w:rsid w:val="4EB25AA5"/>
    <w:rsid w:val="4ED96B17"/>
    <w:rsid w:val="4EDD2691"/>
    <w:rsid w:val="4EE96D5A"/>
    <w:rsid w:val="4EF911E3"/>
    <w:rsid w:val="4EF94046"/>
    <w:rsid w:val="4F0048E8"/>
    <w:rsid w:val="4F0C760F"/>
    <w:rsid w:val="4F15188C"/>
    <w:rsid w:val="4F1B712F"/>
    <w:rsid w:val="4F255836"/>
    <w:rsid w:val="4F29165C"/>
    <w:rsid w:val="4F3F24FD"/>
    <w:rsid w:val="4F4F67C3"/>
    <w:rsid w:val="4F580453"/>
    <w:rsid w:val="4F6178F6"/>
    <w:rsid w:val="4F647CAE"/>
    <w:rsid w:val="4F694BCC"/>
    <w:rsid w:val="4F711ED4"/>
    <w:rsid w:val="4F7F4759"/>
    <w:rsid w:val="4F8A3560"/>
    <w:rsid w:val="4F8A6E9D"/>
    <w:rsid w:val="4FA00EA1"/>
    <w:rsid w:val="4FA7410F"/>
    <w:rsid w:val="4FAB04B3"/>
    <w:rsid w:val="4FAC7D88"/>
    <w:rsid w:val="4FAD422B"/>
    <w:rsid w:val="4FB10DBD"/>
    <w:rsid w:val="4FD02150"/>
    <w:rsid w:val="4FD47514"/>
    <w:rsid w:val="4FDC31A9"/>
    <w:rsid w:val="4FE15CB0"/>
    <w:rsid w:val="4FF525AA"/>
    <w:rsid w:val="4FF60136"/>
    <w:rsid w:val="4FF63DCE"/>
    <w:rsid w:val="4FFF5D39"/>
    <w:rsid w:val="500A5543"/>
    <w:rsid w:val="500B5AAA"/>
    <w:rsid w:val="501516A2"/>
    <w:rsid w:val="501D01A2"/>
    <w:rsid w:val="501D19C7"/>
    <w:rsid w:val="502344EE"/>
    <w:rsid w:val="502F2E92"/>
    <w:rsid w:val="50372FFC"/>
    <w:rsid w:val="50381A05"/>
    <w:rsid w:val="503B6684"/>
    <w:rsid w:val="504305E6"/>
    <w:rsid w:val="50497753"/>
    <w:rsid w:val="504C6018"/>
    <w:rsid w:val="50500C93"/>
    <w:rsid w:val="505C17AE"/>
    <w:rsid w:val="50603DEC"/>
    <w:rsid w:val="506E1264"/>
    <w:rsid w:val="50717230"/>
    <w:rsid w:val="507408A5"/>
    <w:rsid w:val="50812D7E"/>
    <w:rsid w:val="508B7406"/>
    <w:rsid w:val="509F73B0"/>
    <w:rsid w:val="50B10CEB"/>
    <w:rsid w:val="50B26A6B"/>
    <w:rsid w:val="50B4221A"/>
    <w:rsid w:val="50BA2236"/>
    <w:rsid w:val="50C20F4E"/>
    <w:rsid w:val="50CA4969"/>
    <w:rsid w:val="50CE19FC"/>
    <w:rsid w:val="50D17AA6"/>
    <w:rsid w:val="50D40C4B"/>
    <w:rsid w:val="50D43A3A"/>
    <w:rsid w:val="50DB0910"/>
    <w:rsid w:val="50DB0924"/>
    <w:rsid w:val="50E46F54"/>
    <w:rsid w:val="5100482F"/>
    <w:rsid w:val="51070C7A"/>
    <w:rsid w:val="5144267E"/>
    <w:rsid w:val="514D07CA"/>
    <w:rsid w:val="51604849"/>
    <w:rsid w:val="51644DBE"/>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592449"/>
    <w:rsid w:val="527076ED"/>
    <w:rsid w:val="52727066"/>
    <w:rsid w:val="52783884"/>
    <w:rsid w:val="52887CA3"/>
    <w:rsid w:val="528D6949"/>
    <w:rsid w:val="52AC28BC"/>
    <w:rsid w:val="52B05067"/>
    <w:rsid w:val="52CC23E6"/>
    <w:rsid w:val="52D7787C"/>
    <w:rsid w:val="52E07238"/>
    <w:rsid w:val="52EA11D5"/>
    <w:rsid w:val="52F97788"/>
    <w:rsid w:val="530254EA"/>
    <w:rsid w:val="531D3476"/>
    <w:rsid w:val="5329120F"/>
    <w:rsid w:val="53355CDF"/>
    <w:rsid w:val="533C1545"/>
    <w:rsid w:val="536E3CD2"/>
    <w:rsid w:val="536F68C7"/>
    <w:rsid w:val="5382736B"/>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078A2"/>
    <w:rsid w:val="54125F57"/>
    <w:rsid w:val="54187343"/>
    <w:rsid w:val="541C31AF"/>
    <w:rsid w:val="541F4FCC"/>
    <w:rsid w:val="5420466B"/>
    <w:rsid w:val="542058E8"/>
    <w:rsid w:val="542F4AAF"/>
    <w:rsid w:val="5433414C"/>
    <w:rsid w:val="54442C85"/>
    <w:rsid w:val="54465F20"/>
    <w:rsid w:val="545D4199"/>
    <w:rsid w:val="547E0130"/>
    <w:rsid w:val="54810F9F"/>
    <w:rsid w:val="54831B18"/>
    <w:rsid w:val="5488054C"/>
    <w:rsid w:val="548D2A4E"/>
    <w:rsid w:val="54941F46"/>
    <w:rsid w:val="549502FD"/>
    <w:rsid w:val="549C03CB"/>
    <w:rsid w:val="54A05118"/>
    <w:rsid w:val="54A6749B"/>
    <w:rsid w:val="54AB09A6"/>
    <w:rsid w:val="54AF20D4"/>
    <w:rsid w:val="54B72A99"/>
    <w:rsid w:val="54B75430"/>
    <w:rsid w:val="54BC49A0"/>
    <w:rsid w:val="54C17E31"/>
    <w:rsid w:val="54CA2F2A"/>
    <w:rsid w:val="54CD4A28"/>
    <w:rsid w:val="54E8205E"/>
    <w:rsid w:val="54EA5134"/>
    <w:rsid w:val="54FE1085"/>
    <w:rsid w:val="55022976"/>
    <w:rsid w:val="55067F3A"/>
    <w:rsid w:val="550F3BDA"/>
    <w:rsid w:val="551408A9"/>
    <w:rsid w:val="55180399"/>
    <w:rsid w:val="551C096F"/>
    <w:rsid w:val="55240097"/>
    <w:rsid w:val="55280F4B"/>
    <w:rsid w:val="552C3D46"/>
    <w:rsid w:val="553614DC"/>
    <w:rsid w:val="55367C64"/>
    <w:rsid w:val="55483D0E"/>
    <w:rsid w:val="554D13EE"/>
    <w:rsid w:val="55546EF7"/>
    <w:rsid w:val="55582E57"/>
    <w:rsid w:val="556A01A2"/>
    <w:rsid w:val="559341A6"/>
    <w:rsid w:val="55C57ADE"/>
    <w:rsid w:val="55CD2CA6"/>
    <w:rsid w:val="55CE22F2"/>
    <w:rsid w:val="561072C2"/>
    <w:rsid w:val="56160365"/>
    <w:rsid w:val="561717F3"/>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D673B"/>
    <w:rsid w:val="583A7FA8"/>
    <w:rsid w:val="584E40D2"/>
    <w:rsid w:val="58544955"/>
    <w:rsid w:val="58566AE7"/>
    <w:rsid w:val="585962B5"/>
    <w:rsid w:val="585C4D9F"/>
    <w:rsid w:val="585F5B75"/>
    <w:rsid w:val="5875165E"/>
    <w:rsid w:val="587A4269"/>
    <w:rsid w:val="58825B29"/>
    <w:rsid w:val="589A5A5F"/>
    <w:rsid w:val="58A3441E"/>
    <w:rsid w:val="58B303D9"/>
    <w:rsid w:val="58B94375"/>
    <w:rsid w:val="58BA4A70"/>
    <w:rsid w:val="58C17CFE"/>
    <w:rsid w:val="58D0365B"/>
    <w:rsid w:val="58E46830"/>
    <w:rsid w:val="58EF1AD1"/>
    <w:rsid w:val="59017396"/>
    <w:rsid w:val="5902444F"/>
    <w:rsid w:val="591B5CBF"/>
    <w:rsid w:val="5927514C"/>
    <w:rsid w:val="59345076"/>
    <w:rsid w:val="59360753"/>
    <w:rsid w:val="593D15AA"/>
    <w:rsid w:val="594F610B"/>
    <w:rsid w:val="595125BE"/>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286BCC"/>
    <w:rsid w:val="5A3526A3"/>
    <w:rsid w:val="5A412E86"/>
    <w:rsid w:val="5A4E41C1"/>
    <w:rsid w:val="5A6210CC"/>
    <w:rsid w:val="5A621727"/>
    <w:rsid w:val="5A7348C9"/>
    <w:rsid w:val="5A7521D8"/>
    <w:rsid w:val="5A7E7218"/>
    <w:rsid w:val="5A9725BE"/>
    <w:rsid w:val="5AC76508"/>
    <w:rsid w:val="5ACC28C2"/>
    <w:rsid w:val="5AD45AFB"/>
    <w:rsid w:val="5AF86428"/>
    <w:rsid w:val="5AFC1624"/>
    <w:rsid w:val="5B01542B"/>
    <w:rsid w:val="5B0373F5"/>
    <w:rsid w:val="5B095493"/>
    <w:rsid w:val="5B115BA8"/>
    <w:rsid w:val="5B235AE9"/>
    <w:rsid w:val="5B246A53"/>
    <w:rsid w:val="5B2E51B4"/>
    <w:rsid w:val="5B416E74"/>
    <w:rsid w:val="5B437EA2"/>
    <w:rsid w:val="5B527A35"/>
    <w:rsid w:val="5B534ED1"/>
    <w:rsid w:val="5B5E1129"/>
    <w:rsid w:val="5B5E3B77"/>
    <w:rsid w:val="5B6074B8"/>
    <w:rsid w:val="5B73349D"/>
    <w:rsid w:val="5B8859A0"/>
    <w:rsid w:val="5B9F7743"/>
    <w:rsid w:val="5BB522B5"/>
    <w:rsid w:val="5BB94B97"/>
    <w:rsid w:val="5BB95F56"/>
    <w:rsid w:val="5BBA4618"/>
    <w:rsid w:val="5BC00E43"/>
    <w:rsid w:val="5BCD19A9"/>
    <w:rsid w:val="5BD448EE"/>
    <w:rsid w:val="5BE32D83"/>
    <w:rsid w:val="5BE82147"/>
    <w:rsid w:val="5BF84DDB"/>
    <w:rsid w:val="5C0C22DA"/>
    <w:rsid w:val="5C0F3B78"/>
    <w:rsid w:val="5C111338"/>
    <w:rsid w:val="5C3A6E47"/>
    <w:rsid w:val="5C466E0C"/>
    <w:rsid w:val="5C691941"/>
    <w:rsid w:val="5C7919DF"/>
    <w:rsid w:val="5C885591"/>
    <w:rsid w:val="5C903C36"/>
    <w:rsid w:val="5CAF2C65"/>
    <w:rsid w:val="5CB35D47"/>
    <w:rsid w:val="5CB52971"/>
    <w:rsid w:val="5CB54F34"/>
    <w:rsid w:val="5CC85C68"/>
    <w:rsid w:val="5CD050B5"/>
    <w:rsid w:val="5CEC3A93"/>
    <w:rsid w:val="5CEF405D"/>
    <w:rsid w:val="5CF60894"/>
    <w:rsid w:val="5CFE5040"/>
    <w:rsid w:val="5CFF599B"/>
    <w:rsid w:val="5D1341B2"/>
    <w:rsid w:val="5D251093"/>
    <w:rsid w:val="5D287B54"/>
    <w:rsid w:val="5D3047D1"/>
    <w:rsid w:val="5D4723BF"/>
    <w:rsid w:val="5D494018"/>
    <w:rsid w:val="5D541610"/>
    <w:rsid w:val="5D6B14A2"/>
    <w:rsid w:val="5D6F7055"/>
    <w:rsid w:val="5D9B0E6A"/>
    <w:rsid w:val="5D9E1AED"/>
    <w:rsid w:val="5D9E4E16"/>
    <w:rsid w:val="5D9E7178"/>
    <w:rsid w:val="5DB03139"/>
    <w:rsid w:val="5DB83D3A"/>
    <w:rsid w:val="5DBA0135"/>
    <w:rsid w:val="5DCD5DE5"/>
    <w:rsid w:val="5DD437EF"/>
    <w:rsid w:val="5DDB01B6"/>
    <w:rsid w:val="5DF16302"/>
    <w:rsid w:val="5DF94AE0"/>
    <w:rsid w:val="5DF954D4"/>
    <w:rsid w:val="5DFF4B46"/>
    <w:rsid w:val="5E06795D"/>
    <w:rsid w:val="5E09192A"/>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C33621"/>
    <w:rsid w:val="5EC43A2E"/>
    <w:rsid w:val="5ECB3525"/>
    <w:rsid w:val="5ED75BF1"/>
    <w:rsid w:val="5EF31C67"/>
    <w:rsid w:val="5EF4004E"/>
    <w:rsid w:val="5EFA106E"/>
    <w:rsid w:val="5EFF06CD"/>
    <w:rsid w:val="5EFF08E7"/>
    <w:rsid w:val="5F010576"/>
    <w:rsid w:val="5F0251FA"/>
    <w:rsid w:val="5F0D5D04"/>
    <w:rsid w:val="5F3062DF"/>
    <w:rsid w:val="5F366419"/>
    <w:rsid w:val="5F4475AE"/>
    <w:rsid w:val="5F4A6799"/>
    <w:rsid w:val="5F4C5207"/>
    <w:rsid w:val="5F6334E9"/>
    <w:rsid w:val="5F685A79"/>
    <w:rsid w:val="5F6C2424"/>
    <w:rsid w:val="5F864151"/>
    <w:rsid w:val="5F895ABF"/>
    <w:rsid w:val="5F946A7C"/>
    <w:rsid w:val="5F980362"/>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160E7E"/>
    <w:rsid w:val="61251748"/>
    <w:rsid w:val="61311E12"/>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E3D7B"/>
    <w:rsid w:val="62117133"/>
    <w:rsid w:val="62162FF2"/>
    <w:rsid w:val="62167684"/>
    <w:rsid w:val="621B5631"/>
    <w:rsid w:val="626B762E"/>
    <w:rsid w:val="626D5F91"/>
    <w:rsid w:val="627E7D9D"/>
    <w:rsid w:val="628232F6"/>
    <w:rsid w:val="628407FE"/>
    <w:rsid w:val="62880405"/>
    <w:rsid w:val="629073C4"/>
    <w:rsid w:val="62996318"/>
    <w:rsid w:val="629C7308"/>
    <w:rsid w:val="62AA6D2C"/>
    <w:rsid w:val="62B0179B"/>
    <w:rsid w:val="62CC094F"/>
    <w:rsid w:val="62EC0F65"/>
    <w:rsid w:val="62F10837"/>
    <w:rsid w:val="630334E9"/>
    <w:rsid w:val="6313173E"/>
    <w:rsid w:val="63242B23"/>
    <w:rsid w:val="634B51D7"/>
    <w:rsid w:val="63564BD4"/>
    <w:rsid w:val="635C73A1"/>
    <w:rsid w:val="63743838"/>
    <w:rsid w:val="637455EF"/>
    <w:rsid w:val="637509AF"/>
    <w:rsid w:val="638F4A5D"/>
    <w:rsid w:val="639859D5"/>
    <w:rsid w:val="63A1155A"/>
    <w:rsid w:val="63A23228"/>
    <w:rsid w:val="63AB5D44"/>
    <w:rsid w:val="63B04CF8"/>
    <w:rsid w:val="63BA7188"/>
    <w:rsid w:val="63C83C20"/>
    <w:rsid w:val="63DF59C2"/>
    <w:rsid w:val="63E6136F"/>
    <w:rsid w:val="63EA625B"/>
    <w:rsid w:val="63ED5BB1"/>
    <w:rsid w:val="63FC6F31"/>
    <w:rsid w:val="641B0AB8"/>
    <w:rsid w:val="642B2B02"/>
    <w:rsid w:val="642E4F72"/>
    <w:rsid w:val="64591E34"/>
    <w:rsid w:val="646469D4"/>
    <w:rsid w:val="646507D9"/>
    <w:rsid w:val="64756A23"/>
    <w:rsid w:val="647A419D"/>
    <w:rsid w:val="64813139"/>
    <w:rsid w:val="64846083"/>
    <w:rsid w:val="64851089"/>
    <w:rsid w:val="648D7E50"/>
    <w:rsid w:val="64947640"/>
    <w:rsid w:val="64970918"/>
    <w:rsid w:val="64983CC9"/>
    <w:rsid w:val="649A7A6D"/>
    <w:rsid w:val="64A73F2B"/>
    <w:rsid w:val="64AF414A"/>
    <w:rsid w:val="64B109D5"/>
    <w:rsid w:val="64D10534"/>
    <w:rsid w:val="64E43E7F"/>
    <w:rsid w:val="64EA5182"/>
    <w:rsid w:val="64FE5C71"/>
    <w:rsid w:val="64FF4F0B"/>
    <w:rsid w:val="65107E36"/>
    <w:rsid w:val="652C12F7"/>
    <w:rsid w:val="653B5A04"/>
    <w:rsid w:val="654E476E"/>
    <w:rsid w:val="654E74BF"/>
    <w:rsid w:val="65640A91"/>
    <w:rsid w:val="657A4758"/>
    <w:rsid w:val="657B11CD"/>
    <w:rsid w:val="65802AAD"/>
    <w:rsid w:val="6582705D"/>
    <w:rsid w:val="658A6BCD"/>
    <w:rsid w:val="65942372"/>
    <w:rsid w:val="659D0782"/>
    <w:rsid w:val="659D7C90"/>
    <w:rsid w:val="65A75FC0"/>
    <w:rsid w:val="65D04EEB"/>
    <w:rsid w:val="65D424B9"/>
    <w:rsid w:val="66001BA4"/>
    <w:rsid w:val="66014531"/>
    <w:rsid w:val="66025947"/>
    <w:rsid w:val="66067D9A"/>
    <w:rsid w:val="6619127A"/>
    <w:rsid w:val="6619367F"/>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E6CC3"/>
    <w:rsid w:val="67006172"/>
    <w:rsid w:val="6710278C"/>
    <w:rsid w:val="671D46C8"/>
    <w:rsid w:val="671F22A3"/>
    <w:rsid w:val="67291A35"/>
    <w:rsid w:val="672C31CA"/>
    <w:rsid w:val="672F1572"/>
    <w:rsid w:val="673669FF"/>
    <w:rsid w:val="67393CB7"/>
    <w:rsid w:val="673C164B"/>
    <w:rsid w:val="673C6439"/>
    <w:rsid w:val="674A015A"/>
    <w:rsid w:val="674D0272"/>
    <w:rsid w:val="676A0B2B"/>
    <w:rsid w:val="676C3006"/>
    <w:rsid w:val="67827A7F"/>
    <w:rsid w:val="67851192"/>
    <w:rsid w:val="67A667D3"/>
    <w:rsid w:val="67A74C82"/>
    <w:rsid w:val="67A95111"/>
    <w:rsid w:val="67B90A82"/>
    <w:rsid w:val="67BD1F65"/>
    <w:rsid w:val="67C365BF"/>
    <w:rsid w:val="67D8341E"/>
    <w:rsid w:val="67E46FF5"/>
    <w:rsid w:val="67ED6C16"/>
    <w:rsid w:val="680A6C82"/>
    <w:rsid w:val="68103152"/>
    <w:rsid w:val="681E0A45"/>
    <w:rsid w:val="6824034C"/>
    <w:rsid w:val="682664D1"/>
    <w:rsid w:val="68310259"/>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202B8"/>
    <w:rsid w:val="68B5096E"/>
    <w:rsid w:val="68B81BD2"/>
    <w:rsid w:val="68BE2C7A"/>
    <w:rsid w:val="68CC10BC"/>
    <w:rsid w:val="68D04C43"/>
    <w:rsid w:val="68D128E1"/>
    <w:rsid w:val="68DF5FC3"/>
    <w:rsid w:val="68E04998"/>
    <w:rsid w:val="68F44B09"/>
    <w:rsid w:val="68FA1B9A"/>
    <w:rsid w:val="69197DE4"/>
    <w:rsid w:val="69307272"/>
    <w:rsid w:val="694E046E"/>
    <w:rsid w:val="69652D27"/>
    <w:rsid w:val="69782D5D"/>
    <w:rsid w:val="69831701"/>
    <w:rsid w:val="69952A0C"/>
    <w:rsid w:val="699A1218"/>
    <w:rsid w:val="699B4BDB"/>
    <w:rsid w:val="69A51678"/>
    <w:rsid w:val="69BB329B"/>
    <w:rsid w:val="69BD4C61"/>
    <w:rsid w:val="69BFB06F"/>
    <w:rsid w:val="69C77525"/>
    <w:rsid w:val="69FC56C6"/>
    <w:rsid w:val="69FD3B6F"/>
    <w:rsid w:val="6A0065EF"/>
    <w:rsid w:val="6A112F7C"/>
    <w:rsid w:val="6A1F1C32"/>
    <w:rsid w:val="6A3011BF"/>
    <w:rsid w:val="6A445335"/>
    <w:rsid w:val="6A486BD3"/>
    <w:rsid w:val="6A576E16"/>
    <w:rsid w:val="6A594E5C"/>
    <w:rsid w:val="6A616283"/>
    <w:rsid w:val="6A641407"/>
    <w:rsid w:val="6A656882"/>
    <w:rsid w:val="6A7C4ACE"/>
    <w:rsid w:val="6A7F3555"/>
    <w:rsid w:val="6A841BD5"/>
    <w:rsid w:val="6A8B60FB"/>
    <w:rsid w:val="6A8D2838"/>
    <w:rsid w:val="6A9674BF"/>
    <w:rsid w:val="6A9A37E0"/>
    <w:rsid w:val="6AA27334"/>
    <w:rsid w:val="6AA604CA"/>
    <w:rsid w:val="6AB67B97"/>
    <w:rsid w:val="6ACE3652"/>
    <w:rsid w:val="6AD97D13"/>
    <w:rsid w:val="6ADB41F3"/>
    <w:rsid w:val="6ADD5CCB"/>
    <w:rsid w:val="6ADF0BB9"/>
    <w:rsid w:val="6AFB4F4A"/>
    <w:rsid w:val="6B11316E"/>
    <w:rsid w:val="6B12444F"/>
    <w:rsid w:val="6B1B6095"/>
    <w:rsid w:val="6B2A12A7"/>
    <w:rsid w:val="6B3426CD"/>
    <w:rsid w:val="6B3F5380"/>
    <w:rsid w:val="6B4533C9"/>
    <w:rsid w:val="6B574BF4"/>
    <w:rsid w:val="6B5C39DF"/>
    <w:rsid w:val="6B5E11EE"/>
    <w:rsid w:val="6B611EB1"/>
    <w:rsid w:val="6B6561C4"/>
    <w:rsid w:val="6B8626E8"/>
    <w:rsid w:val="6B921E65"/>
    <w:rsid w:val="6B961766"/>
    <w:rsid w:val="6B981494"/>
    <w:rsid w:val="6BA3123F"/>
    <w:rsid w:val="6BB6063D"/>
    <w:rsid w:val="6BC8334A"/>
    <w:rsid w:val="6BD61A98"/>
    <w:rsid w:val="6BF54B38"/>
    <w:rsid w:val="6BF77F96"/>
    <w:rsid w:val="6BFB5181"/>
    <w:rsid w:val="6BFE19E1"/>
    <w:rsid w:val="6C050A47"/>
    <w:rsid w:val="6C0B1A74"/>
    <w:rsid w:val="6C16659B"/>
    <w:rsid w:val="6C27235B"/>
    <w:rsid w:val="6C3311BD"/>
    <w:rsid w:val="6C3342D8"/>
    <w:rsid w:val="6C394A8B"/>
    <w:rsid w:val="6C420156"/>
    <w:rsid w:val="6C44161C"/>
    <w:rsid w:val="6C494D21"/>
    <w:rsid w:val="6C5142B7"/>
    <w:rsid w:val="6C5E4626"/>
    <w:rsid w:val="6C6658B0"/>
    <w:rsid w:val="6C7457E7"/>
    <w:rsid w:val="6C7D6E82"/>
    <w:rsid w:val="6C8311C3"/>
    <w:rsid w:val="6C8B0FF9"/>
    <w:rsid w:val="6C8C62B9"/>
    <w:rsid w:val="6C9A748E"/>
    <w:rsid w:val="6CA5691E"/>
    <w:rsid w:val="6CA67533"/>
    <w:rsid w:val="6CB32387"/>
    <w:rsid w:val="6CFC1EEB"/>
    <w:rsid w:val="6CFD2D93"/>
    <w:rsid w:val="6D0A227B"/>
    <w:rsid w:val="6D1B3C07"/>
    <w:rsid w:val="6D1E1E6D"/>
    <w:rsid w:val="6D290842"/>
    <w:rsid w:val="6D321190"/>
    <w:rsid w:val="6D34343E"/>
    <w:rsid w:val="6D3444D5"/>
    <w:rsid w:val="6D372F2F"/>
    <w:rsid w:val="6D4742BE"/>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627916"/>
    <w:rsid w:val="6E8555D0"/>
    <w:rsid w:val="6E876629"/>
    <w:rsid w:val="6E893B3A"/>
    <w:rsid w:val="6E906D9A"/>
    <w:rsid w:val="6E9A19C7"/>
    <w:rsid w:val="6E9F3EB4"/>
    <w:rsid w:val="6EA97E5C"/>
    <w:rsid w:val="6EDA7020"/>
    <w:rsid w:val="6EDF1C43"/>
    <w:rsid w:val="6EFF8CBD"/>
    <w:rsid w:val="6F08338C"/>
    <w:rsid w:val="6F1063C6"/>
    <w:rsid w:val="6F492FDA"/>
    <w:rsid w:val="6F4F00B9"/>
    <w:rsid w:val="6F561A7D"/>
    <w:rsid w:val="6F6005AE"/>
    <w:rsid w:val="6F7B7A25"/>
    <w:rsid w:val="6F997ED1"/>
    <w:rsid w:val="6FA629B9"/>
    <w:rsid w:val="6FB41CDF"/>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744B2B"/>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54026"/>
    <w:rsid w:val="717C2078"/>
    <w:rsid w:val="718176C8"/>
    <w:rsid w:val="718B2F22"/>
    <w:rsid w:val="71B51326"/>
    <w:rsid w:val="71BB1264"/>
    <w:rsid w:val="71C14470"/>
    <w:rsid w:val="71D23226"/>
    <w:rsid w:val="71DD01AD"/>
    <w:rsid w:val="71E01DDD"/>
    <w:rsid w:val="71EF3DD8"/>
    <w:rsid w:val="721C270E"/>
    <w:rsid w:val="721F290F"/>
    <w:rsid w:val="722E2B49"/>
    <w:rsid w:val="723D68AF"/>
    <w:rsid w:val="724721AC"/>
    <w:rsid w:val="724C0702"/>
    <w:rsid w:val="72563C24"/>
    <w:rsid w:val="726259F7"/>
    <w:rsid w:val="72705108"/>
    <w:rsid w:val="727150EE"/>
    <w:rsid w:val="729452D5"/>
    <w:rsid w:val="72992944"/>
    <w:rsid w:val="72B15531"/>
    <w:rsid w:val="72C03958"/>
    <w:rsid w:val="72D07765"/>
    <w:rsid w:val="72D30125"/>
    <w:rsid w:val="72E70F53"/>
    <w:rsid w:val="72F21DD2"/>
    <w:rsid w:val="72F657B0"/>
    <w:rsid w:val="72FC409A"/>
    <w:rsid w:val="7301385C"/>
    <w:rsid w:val="73032FC0"/>
    <w:rsid w:val="730F48D7"/>
    <w:rsid w:val="731F7C28"/>
    <w:rsid w:val="73253B84"/>
    <w:rsid w:val="733D0BED"/>
    <w:rsid w:val="73555EBD"/>
    <w:rsid w:val="735A34D3"/>
    <w:rsid w:val="7366546C"/>
    <w:rsid w:val="738707F8"/>
    <w:rsid w:val="738754CA"/>
    <w:rsid w:val="738A772C"/>
    <w:rsid w:val="738B6F89"/>
    <w:rsid w:val="738F72FB"/>
    <w:rsid w:val="73927111"/>
    <w:rsid w:val="739C7406"/>
    <w:rsid w:val="73C056D8"/>
    <w:rsid w:val="73C312B1"/>
    <w:rsid w:val="73C51294"/>
    <w:rsid w:val="73C757DE"/>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8D6E00"/>
    <w:rsid w:val="74B800CA"/>
    <w:rsid w:val="74BB61F3"/>
    <w:rsid w:val="74D06143"/>
    <w:rsid w:val="74D40FC4"/>
    <w:rsid w:val="74EE65C9"/>
    <w:rsid w:val="74F55B27"/>
    <w:rsid w:val="750000AA"/>
    <w:rsid w:val="75036D8F"/>
    <w:rsid w:val="7528638E"/>
    <w:rsid w:val="752F1C4C"/>
    <w:rsid w:val="753D165B"/>
    <w:rsid w:val="75511543"/>
    <w:rsid w:val="75556648"/>
    <w:rsid w:val="755D54FC"/>
    <w:rsid w:val="756B2471"/>
    <w:rsid w:val="75726F76"/>
    <w:rsid w:val="75805B4E"/>
    <w:rsid w:val="758D6086"/>
    <w:rsid w:val="758F1A33"/>
    <w:rsid w:val="759A5029"/>
    <w:rsid w:val="75A4107C"/>
    <w:rsid w:val="75B07B59"/>
    <w:rsid w:val="75C8596C"/>
    <w:rsid w:val="75E74A0A"/>
    <w:rsid w:val="75F0011F"/>
    <w:rsid w:val="75F8009A"/>
    <w:rsid w:val="75FF1C28"/>
    <w:rsid w:val="761E6A3A"/>
    <w:rsid w:val="76241D0C"/>
    <w:rsid w:val="76277FE4"/>
    <w:rsid w:val="762A1882"/>
    <w:rsid w:val="763653BA"/>
    <w:rsid w:val="763A138B"/>
    <w:rsid w:val="763A3819"/>
    <w:rsid w:val="7642064C"/>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13360D"/>
    <w:rsid w:val="771349E5"/>
    <w:rsid w:val="7714635C"/>
    <w:rsid w:val="771C30FA"/>
    <w:rsid w:val="77206134"/>
    <w:rsid w:val="77277675"/>
    <w:rsid w:val="772F3A61"/>
    <w:rsid w:val="773553A7"/>
    <w:rsid w:val="773A3D47"/>
    <w:rsid w:val="77580A66"/>
    <w:rsid w:val="776EF727"/>
    <w:rsid w:val="77737259"/>
    <w:rsid w:val="778D01FE"/>
    <w:rsid w:val="77A3436B"/>
    <w:rsid w:val="77AD1CF3"/>
    <w:rsid w:val="77B86288"/>
    <w:rsid w:val="77C76754"/>
    <w:rsid w:val="77F437B1"/>
    <w:rsid w:val="77F60AD9"/>
    <w:rsid w:val="77F9150C"/>
    <w:rsid w:val="780738D1"/>
    <w:rsid w:val="780F36D1"/>
    <w:rsid w:val="78140E63"/>
    <w:rsid w:val="782226C6"/>
    <w:rsid w:val="783D4AFF"/>
    <w:rsid w:val="784D30F3"/>
    <w:rsid w:val="78570929"/>
    <w:rsid w:val="78693C27"/>
    <w:rsid w:val="78700340"/>
    <w:rsid w:val="78747106"/>
    <w:rsid w:val="788A2C6A"/>
    <w:rsid w:val="7899313C"/>
    <w:rsid w:val="78A27DF6"/>
    <w:rsid w:val="78AD0D21"/>
    <w:rsid w:val="78AF42C1"/>
    <w:rsid w:val="78B5001F"/>
    <w:rsid w:val="78B65A67"/>
    <w:rsid w:val="78B73B4F"/>
    <w:rsid w:val="78B934ED"/>
    <w:rsid w:val="78C37C8A"/>
    <w:rsid w:val="78D77987"/>
    <w:rsid w:val="78DE2D7C"/>
    <w:rsid w:val="78FA1FA9"/>
    <w:rsid w:val="78FF6FF6"/>
    <w:rsid w:val="790E2D96"/>
    <w:rsid w:val="791B5CC7"/>
    <w:rsid w:val="7922596C"/>
    <w:rsid w:val="792F01A6"/>
    <w:rsid w:val="79330A4E"/>
    <w:rsid w:val="79382965"/>
    <w:rsid w:val="79483FF5"/>
    <w:rsid w:val="794C1894"/>
    <w:rsid w:val="795161CA"/>
    <w:rsid w:val="79820F11"/>
    <w:rsid w:val="79A22FB7"/>
    <w:rsid w:val="79A71D90"/>
    <w:rsid w:val="79A81252"/>
    <w:rsid w:val="79AC037E"/>
    <w:rsid w:val="79AE4579"/>
    <w:rsid w:val="79B4594A"/>
    <w:rsid w:val="79B978EA"/>
    <w:rsid w:val="79BC708D"/>
    <w:rsid w:val="79C2657C"/>
    <w:rsid w:val="79D20267"/>
    <w:rsid w:val="79EB1C7D"/>
    <w:rsid w:val="79FA5A10"/>
    <w:rsid w:val="79FE0C3B"/>
    <w:rsid w:val="7A187C44"/>
    <w:rsid w:val="7A1B476E"/>
    <w:rsid w:val="7A1F5BDD"/>
    <w:rsid w:val="7A241CE1"/>
    <w:rsid w:val="7A2B07AE"/>
    <w:rsid w:val="7A2B20CE"/>
    <w:rsid w:val="7A3373DA"/>
    <w:rsid w:val="7A50702E"/>
    <w:rsid w:val="7A654168"/>
    <w:rsid w:val="7A721A4A"/>
    <w:rsid w:val="7A85352B"/>
    <w:rsid w:val="7A9722EA"/>
    <w:rsid w:val="7A976D2A"/>
    <w:rsid w:val="7AA240DD"/>
    <w:rsid w:val="7AA274F5"/>
    <w:rsid w:val="7AA8721A"/>
    <w:rsid w:val="7ACA2BAC"/>
    <w:rsid w:val="7AF27BF0"/>
    <w:rsid w:val="7AF64429"/>
    <w:rsid w:val="7AFC5E1D"/>
    <w:rsid w:val="7B045492"/>
    <w:rsid w:val="7B1A6AB5"/>
    <w:rsid w:val="7B327BB5"/>
    <w:rsid w:val="7B33563C"/>
    <w:rsid w:val="7B397B96"/>
    <w:rsid w:val="7B4C0E94"/>
    <w:rsid w:val="7B4C1878"/>
    <w:rsid w:val="7B5737ED"/>
    <w:rsid w:val="7B576EF9"/>
    <w:rsid w:val="7B594633"/>
    <w:rsid w:val="7B596D6B"/>
    <w:rsid w:val="7B5C21FC"/>
    <w:rsid w:val="7B600D89"/>
    <w:rsid w:val="7B672C31"/>
    <w:rsid w:val="7B6D1672"/>
    <w:rsid w:val="7B6E497F"/>
    <w:rsid w:val="7B763FD0"/>
    <w:rsid w:val="7B7B048A"/>
    <w:rsid w:val="7B8D6D12"/>
    <w:rsid w:val="7B9147B3"/>
    <w:rsid w:val="7BAB0D70"/>
    <w:rsid w:val="7BAB15DB"/>
    <w:rsid w:val="7BAC1017"/>
    <w:rsid w:val="7BB06C82"/>
    <w:rsid w:val="7BC5015F"/>
    <w:rsid w:val="7BD953F2"/>
    <w:rsid w:val="7BDB40C8"/>
    <w:rsid w:val="7BE129E3"/>
    <w:rsid w:val="7BEE6EAE"/>
    <w:rsid w:val="7BFC639E"/>
    <w:rsid w:val="7C1060A4"/>
    <w:rsid w:val="7C212B16"/>
    <w:rsid w:val="7C2C55ED"/>
    <w:rsid w:val="7C344D27"/>
    <w:rsid w:val="7C5A34B2"/>
    <w:rsid w:val="7C5F7DAC"/>
    <w:rsid w:val="7C6034EF"/>
    <w:rsid w:val="7C605FFE"/>
    <w:rsid w:val="7C6929D9"/>
    <w:rsid w:val="7C8F3841"/>
    <w:rsid w:val="7C927737"/>
    <w:rsid w:val="7CA03619"/>
    <w:rsid w:val="7CCA16C9"/>
    <w:rsid w:val="7CCEDBAC"/>
    <w:rsid w:val="7CE055BA"/>
    <w:rsid w:val="7CE72D65"/>
    <w:rsid w:val="7CEB12A8"/>
    <w:rsid w:val="7CF12392"/>
    <w:rsid w:val="7CFC1051"/>
    <w:rsid w:val="7CFC64D9"/>
    <w:rsid w:val="7CFF4DE5"/>
    <w:rsid w:val="7D146269"/>
    <w:rsid w:val="7D15058B"/>
    <w:rsid w:val="7D157DA1"/>
    <w:rsid w:val="7D213138"/>
    <w:rsid w:val="7D2521B2"/>
    <w:rsid w:val="7D27783F"/>
    <w:rsid w:val="7D317598"/>
    <w:rsid w:val="7D3230DC"/>
    <w:rsid w:val="7D353F3A"/>
    <w:rsid w:val="7D364FB1"/>
    <w:rsid w:val="7D3B25EC"/>
    <w:rsid w:val="7D3D4761"/>
    <w:rsid w:val="7D4172EA"/>
    <w:rsid w:val="7D4A4A99"/>
    <w:rsid w:val="7D4D08D5"/>
    <w:rsid w:val="7D551F58"/>
    <w:rsid w:val="7D5611AF"/>
    <w:rsid w:val="7D6A282B"/>
    <w:rsid w:val="7D7405B4"/>
    <w:rsid w:val="7D8775BA"/>
    <w:rsid w:val="7D893333"/>
    <w:rsid w:val="7D8D7458"/>
    <w:rsid w:val="7D9046C1"/>
    <w:rsid w:val="7DB042A2"/>
    <w:rsid w:val="7DB859C6"/>
    <w:rsid w:val="7DDD0D5C"/>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5456A0"/>
    <w:rsid w:val="7F5C0130"/>
    <w:rsid w:val="7F79289E"/>
    <w:rsid w:val="7F814DD6"/>
    <w:rsid w:val="7F8B73C1"/>
    <w:rsid w:val="7F8F1F7C"/>
    <w:rsid w:val="7FA02BB5"/>
    <w:rsid w:val="7FA30658"/>
    <w:rsid w:val="7FA8445B"/>
    <w:rsid w:val="7FB36445"/>
    <w:rsid w:val="7FCA114D"/>
    <w:rsid w:val="7FD338C7"/>
    <w:rsid w:val="7FD422E4"/>
    <w:rsid w:val="7FD60385"/>
    <w:rsid w:val="7FE5681A"/>
    <w:rsid w:val="7FFB5FCD"/>
    <w:rsid w:val="BAF7FD1A"/>
    <w:rsid w:val="FDFF93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0"/>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8"/>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6"/>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4"/>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9"/>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4"/>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2"/>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2"/>
    <w:qFormat/>
    <w:uiPriority w:val="0"/>
    <w:rPr>
      <w:rFonts w:ascii="宋体"/>
      <w:sz w:val="18"/>
      <w:szCs w:val="18"/>
    </w:rPr>
  </w:style>
  <w:style w:type="paragraph" w:styleId="17">
    <w:name w:val="annotation text"/>
    <w:basedOn w:val="1"/>
    <w:link w:val="126"/>
    <w:qFormat/>
    <w:uiPriority w:val="0"/>
    <w:pPr>
      <w:jc w:val="left"/>
    </w:pPr>
  </w:style>
  <w:style w:type="paragraph" w:styleId="18">
    <w:name w:val="Body Text 3"/>
    <w:basedOn w:val="1"/>
    <w:link w:val="145"/>
    <w:qFormat/>
    <w:uiPriority w:val="0"/>
    <w:rPr>
      <w:rFonts w:ascii="宋体"/>
      <w:sz w:val="24"/>
      <w:szCs w:val="20"/>
    </w:rPr>
  </w:style>
  <w:style w:type="paragraph" w:styleId="19">
    <w:name w:val="Body Text"/>
    <w:basedOn w:val="1"/>
    <w:next w:val="1"/>
    <w:link w:val="133"/>
    <w:qFormat/>
    <w:uiPriority w:val="0"/>
    <w:pPr>
      <w:jc w:val="center"/>
    </w:pPr>
    <w:rPr>
      <w:rFonts w:eastAsia="幼圆"/>
      <w:b/>
      <w:bCs/>
      <w:sz w:val="44"/>
    </w:rPr>
  </w:style>
  <w:style w:type="paragraph" w:styleId="20">
    <w:name w:val="Body Text Indent"/>
    <w:basedOn w:val="1"/>
    <w:next w:val="1"/>
    <w:link w:val="89"/>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95"/>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03"/>
    <w:unhideWhenUsed/>
    <w:qFormat/>
    <w:uiPriority w:val="0"/>
  </w:style>
  <w:style w:type="paragraph" w:styleId="28">
    <w:name w:val="Body Text Indent 2"/>
    <w:basedOn w:val="1"/>
    <w:link w:val="125"/>
    <w:unhideWhenUsed/>
    <w:qFormat/>
    <w:uiPriority w:val="99"/>
    <w:pPr>
      <w:spacing w:line="420" w:lineRule="exact"/>
      <w:ind w:firstLine="525"/>
    </w:pPr>
    <w:rPr>
      <w:rFonts w:ascii="宋体"/>
      <w:kern w:val="0"/>
      <w:sz w:val="20"/>
      <w:szCs w:val="20"/>
    </w:rPr>
  </w:style>
  <w:style w:type="paragraph" w:styleId="29">
    <w:name w:val="Balloon Text"/>
    <w:basedOn w:val="1"/>
    <w:link w:val="148"/>
    <w:qFormat/>
    <w:uiPriority w:val="0"/>
    <w:rPr>
      <w:sz w:val="18"/>
      <w:szCs w:val="18"/>
    </w:rPr>
  </w:style>
  <w:style w:type="paragraph" w:styleId="30">
    <w:name w:val="footer"/>
    <w:basedOn w:val="1"/>
    <w:link w:val="138"/>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93"/>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1"/>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6"/>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8"/>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6"/>
    <w:qFormat/>
    <w:uiPriority w:val="0"/>
    <w:rPr>
      <w:b/>
      <w:bCs/>
    </w:rPr>
  </w:style>
  <w:style w:type="paragraph" w:styleId="45">
    <w:name w:val="Body Text First Indent"/>
    <w:basedOn w:val="19"/>
    <w:next w:val="19"/>
    <w:unhideWhenUsed/>
    <w:qFormat/>
    <w:uiPriority w:val="99"/>
    <w:pPr>
      <w:spacing w:line="400" w:lineRule="atLeast"/>
      <w:ind w:firstLine="426"/>
    </w:pPr>
    <w:rPr>
      <w:sz w:val="24"/>
      <w:szCs w:val="20"/>
    </w:rPr>
  </w:style>
  <w:style w:type="paragraph" w:styleId="46">
    <w:name w:val="Body Text First Indent 2"/>
    <w:basedOn w:val="20"/>
    <w:next w:val="45"/>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章正文"/>
    <w:basedOn w:val="1"/>
    <w:qFormat/>
    <w:locked/>
    <w:uiPriority w:val="0"/>
    <w:pPr>
      <w:spacing w:beforeLines="50" w:after="120" w:line="300" w:lineRule="auto"/>
      <w:ind w:firstLine="480"/>
    </w:pPr>
    <w:rPr>
      <w:rFonts w:ascii="Helvetica" w:hAnsi="Helvetica"/>
      <w:kern w:val="0"/>
    </w:rPr>
  </w:style>
  <w:style w:type="paragraph" w:customStyle="1" w:styleId="58">
    <w:name w:val="一级条标题"/>
    <w:basedOn w:val="59"/>
    <w:next w:val="60"/>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9">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60">
    <w:name w:val="段"/>
    <w:basedOn w:val="61"/>
    <w:next w:val="1"/>
    <w:qFormat/>
    <w:uiPriority w:val="0"/>
    <w:pPr>
      <w:widowControl/>
      <w:autoSpaceDE w:val="0"/>
      <w:autoSpaceDN w:val="0"/>
      <w:ind w:firstLine="200" w:firstLineChars="200"/>
    </w:pPr>
    <w:rPr>
      <w:rFonts w:hint="eastAsia" w:ascii="宋体"/>
    </w:rPr>
  </w:style>
  <w:style w:type="paragraph" w:customStyle="1" w:styleId="61">
    <w:name w:val="正文1"/>
    <w:next w:val="62"/>
    <w:qFormat/>
    <w:uiPriority w:val="0"/>
    <w:pPr>
      <w:widowControl w:val="0"/>
      <w:jc w:val="both"/>
    </w:pPr>
    <w:rPr>
      <w:rFonts w:ascii="Calibri" w:hAnsi="Calibri" w:eastAsia="宋体" w:cs="Times New Roman"/>
      <w:lang w:val="en-US" w:eastAsia="zh-CN" w:bidi="ar-SA"/>
    </w:rPr>
  </w:style>
  <w:style w:type="paragraph" w:customStyle="1" w:styleId="62">
    <w:name w:val="正文文本1"/>
    <w:basedOn w:val="63"/>
    <w:next w:val="58"/>
    <w:qFormat/>
    <w:uiPriority w:val="0"/>
    <w:rPr>
      <w:rFonts w:ascii="楷体_GB2312" w:hAnsi="Arial" w:eastAsia="楷体_GB2312"/>
      <w:sz w:val="28"/>
      <w:szCs w:val="28"/>
    </w:rPr>
  </w:style>
  <w:style w:type="paragraph" w:customStyle="1" w:styleId="63">
    <w:name w:val="正文111"/>
    <w:next w:val="6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
    <w:name w:val="正文文本缩进1"/>
    <w:basedOn w:val="65"/>
    <w:next w:val="68"/>
    <w:qFormat/>
    <w:uiPriority w:val="0"/>
    <w:pPr>
      <w:spacing w:after="120"/>
      <w:ind w:left="420"/>
    </w:pPr>
  </w:style>
  <w:style w:type="paragraph" w:customStyle="1" w:styleId="65">
    <w:name w:val="正文11"/>
    <w:next w:val="66"/>
    <w:qFormat/>
    <w:uiPriority w:val="0"/>
    <w:rPr>
      <w:rFonts w:ascii="Calibri" w:hAnsi="Calibri" w:eastAsia="宋体" w:cs="Calibri"/>
      <w:sz w:val="24"/>
      <w:szCs w:val="24"/>
      <w:lang w:val="en-US" w:eastAsia="zh-CN" w:bidi="ar-SA"/>
    </w:rPr>
  </w:style>
  <w:style w:type="paragraph" w:customStyle="1" w:styleId="66">
    <w:name w:val="文本块1"/>
    <w:basedOn w:val="63"/>
    <w:next w:val="67"/>
    <w:qFormat/>
    <w:uiPriority w:val="0"/>
    <w:pPr>
      <w:ind w:left="256" w:right="6" w:firstLine="624"/>
    </w:pPr>
    <w:rPr>
      <w:rFonts w:eastAsia="仿宋_GB2312"/>
      <w:sz w:val="28"/>
    </w:rPr>
  </w:style>
  <w:style w:type="paragraph" w:customStyle="1" w:styleId="67">
    <w:name w:val="标题 41"/>
    <w:basedOn w:val="65"/>
    <w:next w:val="65"/>
    <w:qFormat/>
    <w:uiPriority w:val="0"/>
    <w:pPr>
      <w:keepNext/>
      <w:keepLines/>
      <w:spacing w:before="280" w:after="290" w:line="376" w:lineRule="auto"/>
      <w:outlineLvl w:val="3"/>
    </w:pPr>
    <w:rPr>
      <w:rFonts w:ascii="Cambria" w:hAnsi="Cambria"/>
      <w:b/>
      <w:bCs/>
      <w:sz w:val="28"/>
      <w:szCs w:val="28"/>
    </w:rPr>
  </w:style>
  <w:style w:type="paragraph" w:customStyle="1" w:styleId="68">
    <w:name w:val="寄信人地址1"/>
    <w:basedOn w:val="1"/>
    <w:qFormat/>
    <w:uiPriority w:val="0"/>
    <w:rPr>
      <w:rFonts w:ascii="Arial" w:hAnsi="Arial"/>
    </w:rPr>
  </w:style>
  <w:style w:type="paragraph" w:customStyle="1" w:styleId="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0">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1">
    <w:name w:val="Body Text First Indent 21"/>
    <w:basedOn w:val="72"/>
    <w:qFormat/>
    <w:uiPriority w:val="0"/>
    <w:pPr>
      <w:ind w:firstLine="420"/>
    </w:pPr>
  </w:style>
  <w:style w:type="paragraph" w:customStyle="1" w:styleId="72">
    <w:name w:val="Body Text Indent1"/>
    <w:basedOn w:val="1"/>
    <w:qFormat/>
    <w:uiPriority w:val="0"/>
    <w:pPr>
      <w:ind w:left="420" w:leftChars="200"/>
    </w:pPr>
  </w:style>
  <w:style w:type="paragraph" w:styleId="73">
    <w:name w:val="List Paragraph"/>
    <w:basedOn w:val="1"/>
    <w:link w:val="253"/>
    <w:qFormat/>
    <w:uiPriority w:val="99"/>
    <w:pPr>
      <w:ind w:firstLine="420" w:firstLineChars="200"/>
    </w:pPr>
  </w:style>
  <w:style w:type="character" w:customStyle="1" w:styleId="74">
    <w:name w:val="明显强调1"/>
    <w:qFormat/>
    <w:uiPriority w:val="0"/>
    <w:rPr>
      <w:b/>
      <w:bCs/>
      <w:i/>
      <w:iCs/>
      <w:color w:val="4F81BD"/>
    </w:rPr>
  </w:style>
  <w:style w:type="character" w:customStyle="1" w:styleId="75">
    <w:name w:val="批注文字 Char2"/>
    <w:qFormat/>
    <w:uiPriority w:val="0"/>
    <w:rPr>
      <w:kern w:val="2"/>
      <w:sz w:val="21"/>
    </w:rPr>
  </w:style>
  <w:style w:type="character" w:customStyle="1" w:styleId="76">
    <w:name w:val="标题 3 Char_0"/>
    <w:link w:val="77"/>
    <w:qFormat/>
    <w:uiPriority w:val="0"/>
    <w:rPr>
      <w:b/>
      <w:bCs/>
      <w:sz w:val="32"/>
      <w:szCs w:val="32"/>
    </w:rPr>
  </w:style>
  <w:style w:type="paragraph" w:customStyle="1" w:styleId="77">
    <w:name w:val="标题 3_0"/>
    <w:basedOn w:val="78"/>
    <w:next w:val="78"/>
    <w:link w:val="76"/>
    <w:qFormat/>
    <w:uiPriority w:val="0"/>
    <w:pPr>
      <w:keepNext/>
      <w:keepLines/>
      <w:spacing w:before="260" w:after="260" w:line="416" w:lineRule="auto"/>
      <w:outlineLvl w:val="2"/>
    </w:pPr>
    <w:rPr>
      <w:b/>
      <w:bCs/>
      <w:kern w:val="0"/>
      <w:sz w:val="32"/>
      <w:szCs w:val="32"/>
    </w:rPr>
  </w:style>
  <w:style w:type="paragraph" w:customStyle="1" w:styleId="78">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标题 2 字符"/>
    <w:link w:val="3"/>
    <w:qFormat/>
    <w:uiPriority w:val="0"/>
    <w:rPr>
      <w:rFonts w:ascii="Cambria" w:hAnsi="Cambria"/>
      <w:b/>
      <w:bCs/>
      <w:kern w:val="2"/>
      <w:sz w:val="32"/>
      <w:szCs w:val="32"/>
    </w:rPr>
  </w:style>
  <w:style w:type="character" w:customStyle="1" w:styleId="80">
    <w:name w:val="正文文本 Char2"/>
    <w:semiHidden/>
    <w:qFormat/>
    <w:uiPriority w:val="99"/>
    <w:rPr>
      <w:rFonts w:ascii="Calibri" w:hAnsi="Calibri" w:eastAsia="宋体" w:cs="Times New Roman"/>
    </w:rPr>
  </w:style>
  <w:style w:type="character" w:customStyle="1" w:styleId="81">
    <w:name w:val="页脚 Char1"/>
    <w:semiHidden/>
    <w:qFormat/>
    <w:uiPriority w:val="99"/>
    <w:rPr>
      <w:rFonts w:ascii="Calibri" w:hAnsi="Calibri" w:eastAsia="宋体" w:cs="Times New Roman"/>
      <w:sz w:val="18"/>
      <w:szCs w:val="18"/>
    </w:rPr>
  </w:style>
  <w:style w:type="character" w:customStyle="1" w:styleId="82">
    <w:name w:val="明显引用 Char2"/>
    <w:qFormat/>
    <w:uiPriority w:val="99"/>
    <w:rPr>
      <w:b/>
      <w:bCs/>
      <w:i/>
      <w:iCs/>
      <w:color w:val="4F81BD"/>
      <w:kern w:val="2"/>
      <w:sz w:val="21"/>
      <w:szCs w:val="24"/>
    </w:rPr>
  </w:style>
  <w:style w:type="character" w:customStyle="1" w:styleId="83">
    <w:name w:val="引用 Char"/>
    <w:link w:val="84"/>
    <w:qFormat/>
    <w:uiPriority w:val="0"/>
    <w:rPr>
      <w:i/>
      <w:iCs/>
      <w:color w:val="000000"/>
    </w:rPr>
  </w:style>
  <w:style w:type="paragraph" w:customStyle="1" w:styleId="84">
    <w:name w:val="引用1"/>
    <w:basedOn w:val="1"/>
    <w:next w:val="1"/>
    <w:link w:val="83"/>
    <w:qFormat/>
    <w:uiPriority w:val="0"/>
    <w:rPr>
      <w:i/>
      <w:iCs/>
      <w:color w:val="000000"/>
      <w:kern w:val="0"/>
      <w:sz w:val="20"/>
      <w:szCs w:val="20"/>
    </w:rPr>
  </w:style>
  <w:style w:type="character" w:customStyle="1" w:styleId="85">
    <w:name w:val="标题 1 Char_0"/>
    <w:link w:val="86"/>
    <w:qFormat/>
    <w:uiPriority w:val="0"/>
    <w:rPr>
      <w:b/>
      <w:bCs/>
      <w:kern w:val="44"/>
      <w:sz w:val="44"/>
      <w:szCs w:val="44"/>
    </w:rPr>
  </w:style>
  <w:style w:type="paragraph" w:customStyle="1" w:styleId="86">
    <w:name w:val="标题 1_0"/>
    <w:basedOn w:val="78"/>
    <w:next w:val="78"/>
    <w:link w:val="85"/>
    <w:qFormat/>
    <w:uiPriority w:val="0"/>
    <w:pPr>
      <w:keepNext/>
      <w:keepLines/>
      <w:spacing w:before="340" w:after="330" w:line="578" w:lineRule="auto"/>
      <w:outlineLvl w:val="0"/>
    </w:pPr>
    <w:rPr>
      <w:b/>
      <w:bCs/>
      <w:kern w:val="44"/>
      <w:sz w:val="44"/>
      <w:szCs w:val="44"/>
    </w:rPr>
  </w:style>
  <w:style w:type="character" w:customStyle="1" w:styleId="87">
    <w:name w:val="正文文本缩进 3 Char1"/>
    <w:semiHidden/>
    <w:qFormat/>
    <w:uiPriority w:val="99"/>
    <w:rPr>
      <w:kern w:val="2"/>
      <w:sz w:val="16"/>
      <w:szCs w:val="16"/>
    </w:rPr>
  </w:style>
  <w:style w:type="character" w:customStyle="1" w:styleId="88">
    <w:name w:val="引用 Char1"/>
    <w:qFormat/>
    <w:uiPriority w:val="29"/>
    <w:rPr>
      <w:i/>
      <w:iCs/>
      <w:color w:val="000000"/>
      <w:kern w:val="2"/>
      <w:sz w:val="21"/>
    </w:rPr>
  </w:style>
  <w:style w:type="character" w:customStyle="1" w:styleId="89">
    <w:name w:val="正文文本缩进 字符"/>
    <w:link w:val="20"/>
    <w:qFormat/>
    <w:uiPriority w:val="0"/>
    <w:rPr>
      <w:kern w:val="2"/>
      <w:sz w:val="21"/>
      <w:szCs w:val="24"/>
    </w:rPr>
  </w:style>
  <w:style w:type="character" w:customStyle="1" w:styleId="90">
    <w:name w:val="font161"/>
    <w:qFormat/>
    <w:uiPriority w:val="0"/>
    <w:rPr>
      <w:b/>
      <w:sz w:val="32"/>
    </w:rPr>
  </w:style>
  <w:style w:type="character" w:customStyle="1" w:styleId="91">
    <w:name w:val="标题 4 Char_0"/>
    <w:link w:val="92"/>
    <w:qFormat/>
    <w:uiPriority w:val="0"/>
    <w:rPr>
      <w:rFonts w:ascii="Arial" w:hAnsi="Arial" w:eastAsia="黑体"/>
      <w:b/>
      <w:bCs/>
      <w:sz w:val="28"/>
      <w:szCs w:val="28"/>
    </w:rPr>
  </w:style>
  <w:style w:type="paragraph" w:customStyle="1" w:styleId="92">
    <w:name w:val="标题 4_0"/>
    <w:basedOn w:val="78"/>
    <w:next w:val="78"/>
    <w:link w:val="91"/>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3">
    <w:name w:val="页眉 字符"/>
    <w:link w:val="32"/>
    <w:qFormat/>
    <w:uiPriority w:val="0"/>
    <w:rPr>
      <w:kern w:val="2"/>
      <w:sz w:val="18"/>
      <w:szCs w:val="18"/>
    </w:rPr>
  </w:style>
  <w:style w:type="character" w:customStyle="1" w:styleId="94">
    <w:name w:val="标题 6 字符"/>
    <w:link w:val="7"/>
    <w:qFormat/>
    <w:uiPriority w:val="0"/>
    <w:rPr>
      <w:rFonts w:ascii="Cambria" w:hAnsi="Cambria"/>
      <w:b/>
      <w:bCs/>
      <w:kern w:val="2"/>
      <w:sz w:val="24"/>
      <w:szCs w:val="24"/>
    </w:rPr>
  </w:style>
  <w:style w:type="character" w:customStyle="1" w:styleId="95">
    <w:name w:val="纯文本 字符"/>
    <w:link w:val="25"/>
    <w:qFormat/>
    <w:uiPriority w:val="99"/>
    <w:rPr>
      <w:rFonts w:ascii="Ari"/>
      <w:lang w:val="en-US" w:eastAsia="zh-CN" w:bidi="ar-SA"/>
    </w:rPr>
  </w:style>
  <w:style w:type="character" w:customStyle="1" w:styleId="96">
    <w:name w:val="引用 Char2"/>
    <w:qFormat/>
    <w:uiPriority w:val="99"/>
    <w:rPr>
      <w:i/>
      <w:iCs/>
      <w:color w:val="000000"/>
      <w:kern w:val="2"/>
      <w:sz w:val="21"/>
      <w:szCs w:val="24"/>
    </w:rPr>
  </w:style>
  <w:style w:type="character" w:customStyle="1" w:styleId="97">
    <w:name w:val="rvts11"/>
    <w:qFormat/>
    <w:uiPriority w:val="0"/>
    <w:rPr>
      <w:rFonts w:hint="default" w:ascii="KNLe" w:hAnsi="KNLe"/>
      <w:sz w:val="24"/>
      <w:szCs w:val="24"/>
      <w:u w:val="single"/>
    </w:rPr>
  </w:style>
  <w:style w:type="character" w:customStyle="1" w:styleId="98">
    <w:name w:val="标题 字符"/>
    <w:link w:val="43"/>
    <w:qFormat/>
    <w:uiPriority w:val="0"/>
    <w:rPr>
      <w:rFonts w:ascii="Arial" w:hAnsi="Arial"/>
      <w:b/>
      <w:sz w:val="32"/>
    </w:rPr>
  </w:style>
  <w:style w:type="character" w:customStyle="1" w:styleId="99">
    <w:name w:val="标题5 Char Char"/>
    <w:link w:val="100"/>
    <w:qFormat/>
    <w:uiPriority w:val="0"/>
    <w:rPr>
      <w:rFonts w:ascii="Arial" w:hAnsi="Arial"/>
      <w:b/>
      <w:bCs/>
      <w:sz w:val="24"/>
      <w:szCs w:val="32"/>
    </w:rPr>
  </w:style>
  <w:style w:type="paragraph" w:customStyle="1" w:styleId="100">
    <w:name w:val="标题5"/>
    <w:basedOn w:val="4"/>
    <w:link w:val="99"/>
    <w:qFormat/>
    <w:uiPriority w:val="0"/>
    <w:pPr>
      <w:numPr>
        <w:ilvl w:val="0"/>
        <w:numId w:val="0"/>
      </w:numPr>
      <w:spacing w:line="413" w:lineRule="auto"/>
    </w:pPr>
    <w:rPr>
      <w:rFonts w:ascii="Arial" w:hAnsi="Arial"/>
      <w:kern w:val="0"/>
      <w:sz w:val="24"/>
    </w:rPr>
  </w:style>
  <w:style w:type="character" w:customStyle="1" w:styleId="101">
    <w:name w:val="副标题 Char2"/>
    <w:qFormat/>
    <w:uiPriority w:val="11"/>
    <w:rPr>
      <w:rFonts w:ascii="Cambria" w:hAnsi="Cambria" w:cs="Times New Roman"/>
      <w:b/>
      <w:bCs/>
      <w:kern w:val="28"/>
      <w:sz w:val="32"/>
      <w:szCs w:val="32"/>
    </w:rPr>
  </w:style>
  <w:style w:type="character" w:customStyle="1" w:styleId="102">
    <w:name w:val="文档结构图 字符"/>
    <w:link w:val="16"/>
    <w:qFormat/>
    <w:uiPriority w:val="0"/>
    <w:rPr>
      <w:rFonts w:ascii="宋体"/>
      <w:kern w:val="2"/>
      <w:sz w:val="18"/>
      <w:szCs w:val="18"/>
    </w:rPr>
  </w:style>
  <w:style w:type="character" w:customStyle="1" w:styleId="103">
    <w:name w:val="日期 字符"/>
    <w:link w:val="27"/>
    <w:qFormat/>
    <w:uiPriority w:val="0"/>
    <w:rPr>
      <w:kern w:val="2"/>
      <w:sz w:val="21"/>
      <w:szCs w:val="24"/>
    </w:rPr>
  </w:style>
  <w:style w:type="character" w:customStyle="1" w:styleId="104">
    <w:name w:val="批注主题 Char1"/>
    <w:qFormat/>
    <w:uiPriority w:val="0"/>
    <w:rPr>
      <w:b/>
      <w:bCs/>
      <w:kern w:val="2"/>
      <w:sz w:val="21"/>
      <w:szCs w:val="22"/>
    </w:rPr>
  </w:style>
  <w:style w:type="character" w:customStyle="1" w:styleId="105">
    <w:name w:val="font31"/>
    <w:qFormat/>
    <w:uiPriority w:val="0"/>
    <w:rPr>
      <w:rFonts w:hint="eastAsia" w:ascii="宋体" w:hAnsi="宋体" w:eastAsia="宋体" w:cs="宋体"/>
      <w:color w:val="000000"/>
      <w:sz w:val="20"/>
      <w:szCs w:val="20"/>
      <w:u w:val="none"/>
    </w:rPr>
  </w:style>
  <w:style w:type="character" w:customStyle="1" w:styleId="106">
    <w:name w:val="明显引用 Char"/>
    <w:link w:val="107"/>
    <w:qFormat/>
    <w:uiPriority w:val="0"/>
    <w:rPr>
      <w:b/>
      <w:bCs/>
      <w:i/>
      <w:iCs/>
      <w:color w:val="4F81BD"/>
    </w:rPr>
  </w:style>
  <w:style w:type="paragraph" w:customStyle="1" w:styleId="107">
    <w:name w:val="明显引用1"/>
    <w:basedOn w:val="1"/>
    <w:next w:val="1"/>
    <w:link w:val="106"/>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8">
    <w:name w:val="标题 5 字符"/>
    <w:link w:val="6"/>
    <w:qFormat/>
    <w:uiPriority w:val="0"/>
    <w:rPr>
      <w:b/>
      <w:bCs/>
      <w:kern w:val="2"/>
      <w:sz w:val="28"/>
      <w:szCs w:val="28"/>
    </w:rPr>
  </w:style>
  <w:style w:type="character" w:customStyle="1" w:styleId="109">
    <w:name w:val="日期 Char1"/>
    <w:qFormat/>
    <w:uiPriority w:val="0"/>
    <w:rPr>
      <w:rFonts w:ascii="Calibri" w:hAnsi="Calibri" w:eastAsia="宋体" w:cs="Times New Roman"/>
    </w:rPr>
  </w:style>
  <w:style w:type="character" w:customStyle="1" w:styleId="110">
    <w:name w:val="批注框文本 Char1"/>
    <w:qFormat/>
    <w:uiPriority w:val="0"/>
    <w:rPr>
      <w:kern w:val="2"/>
      <w:sz w:val="18"/>
      <w:szCs w:val="18"/>
    </w:rPr>
  </w:style>
  <w:style w:type="character" w:customStyle="1" w:styleId="111">
    <w:name w:val="标题 Char1"/>
    <w:qFormat/>
    <w:uiPriority w:val="10"/>
    <w:rPr>
      <w:rFonts w:ascii="Cambria" w:hAnsi="Cambria" w:eastAsia="宋体" w:cs="Times New Roman"/>
      <w:b/>
      <w:bCs/>
      <w:sz w:val="32"/>
      <w:szCs w:val="32"/>
    </w:rPr>
  </w:style>
  <w:style w:type="character" w:customStyle="1" w:styleId="112">
    <w:name w:val="标题 9 字符"/>
    <w:link w:val="10"/>
    <w:qFormat/>
    <w:uiPriority w:val="0"/>
    <w:rPr>
      <w:rFonts w:ascii="Cambria" w:hAnsi="Cambria"/>
      <w:kern w:val="2"/>
      <w:sz w:val="21"/>
      <w:szCs w:val="21"/>
    </w:rPr>
  </w:style>
  <w:style w:type="character" w:customStyle="1" w:styleId="113">
    <w:name w:val="不明显参考1"/>
    <w:qFormat/>
    <w:uiPriority w:val="0"/>
    <w:rPr>
      <w:smallCaps/>
      <w:color w:val="C0504D"/>
      <w:u w:val="single"/>
    </w:rPr>
  </w:style>
  <w:style w:type="character" w:customStyle="1" w:styleId="114">
    <w:name w:val="批注文字 Char1"/>
    <w:qFormat/>
    <w:uiPriority w:val="0"/>
    <w:rPr>
      <w:rFonts w:ascii="Calibri" w:hAnsi="Calibri" w:eastAsia="宋体" w:cs="Times New Roman"/>
    </w:rPr>
  </w:style>
  <w:style w:type="character" w:customStyle="1" w:styleId="115">
    <w:name w:val="标题 Char2"/>
    <w:qFormat/>
    <w:uiPriority w:val="10"/>
    <w:rPr>
      <w:rFonts w:ascii="Cambria" w:hAnsi="Cambria" w:cs="Times New Roman"/>
      <w:b/>
      <w:bCs/>
      <w:kern w:val="2"/>
      <w:sz w:val="32"/>
      <w:szCs w:val="32"/>
    </w:rPr>
  </w:style>
  <w:style w:type="character" w:customStyle="1" w:styleId="116">
    <w:name w:val="正文文本 3 Char1"/>
    <w:semiHidden/>
    <w:qFormat/>
    <w:uiPriority w:val="99"/>
    <w:rPr>
      <w:kern w:val="2"/>
      <w:sz w:val="16"/>
      <w:szCs w:val="16"/>
    </w:rPr>
  </w:style>
  <w:style w:type="character" w:customStyle="1" w:styleId="117">
    <w:name w:val="批注主题 Char2"/>
    <w:qFormat/>
    <w:uiPriority w:val="0"/>
    <w:rPr>
      <w:b/>
      <w:bCs/>
      <w:kern w:val="2"/>
      <w:sz w:val="21"/>
    </w:rPr>
  </w:style>
  <w:style w:type="character" w:customStyle="1" w:styleId="118">
    <w:name w:val="标题 3 字符"/>
    <w:link w:val="4"/>
    <w:qFormat/>
    <w:uiPriority w:val="0"/>
    <w:rPr>
      <w:b/>
      <w:bCs/>
      <w:kern w:val="2"/>
      <w:sz w:val="32"/>
      <w:szCs w:val="32"/>
    </w:rPr>
  </w:style>
  <w:style w:type="character" w:customStyle="1" w:styleId="119">
    <w:name w:val="正文文本 Char_0"/>
    <w:link w:val="120"/>
    <w:qFormat/>
    <w:uiPriority w:val="0"/>
    <w:rPr>
      <w:szCs w:val="24"/>
    </w:rPr>
  </w:style>
  <w:style w:type="paragraph" w:customStyle="1" w:styleId="120">
    <w:name w:val="正文文本_0"/>
    <w:basedOn w:val="78"/>
    <w:link w:val="119"/>
    <w:qFormat/>
    <w:uiPriority w:val="0"/>
    <w:pPr>
      <w:spacing w:after="120"/>
    </w:pPr>
    <w:rPr>
      <w:kern w:val="0"/>
      <w:sz w:val="20"/>
    </w:rPr>
  </w:style>
  <w:style w:type="character" w:customStyle="1" w:styleId="121">
    <w:name w:val="副标题 字符"/>
    <w:link w:val="35"/>
    <w:qFormat/>
    <w:uiPriority w:val="0"/>
    <w:rPr>
      <w:rFonts w:ascii="Cambria" w:hAnsi="Cambria"/>
      <w:b/>
      <w:bCs/>
      <w:kern w:val="28"/>
      <w:sz w:val="32"/>
      <w:szCs w:val="32"/>
    </w:rPr>
  </w:style>
  <w:style w:type="character" w:customStyle="1" w:styleId="122">
    <w:name w:val="bookmark"/>
    <w:basedOn w:val="49"/>
    <w:qFormat/>
    <w:uiPriority w:val="0"/>
  </w:style>
  <w:style w:type="character" w:customStyle="1" w:styleId="123">
    <w:name w:val="标题 5 Char_0"/>
    <w:link w:val="124"/>
    <w:qFormat/>
    <w:uiPriority w:val="0"/>
    <w:rPr>
      <w:rFonts w:ascii="Calibri" w:hAnsi="Calibri"/>
      <w:b/>
      <w:bCs/>
      <w:sz w:val="28"/>
      <w:szCs w:val="28"/>
    </w:rPr>
  </w:style>
  <w:style w:type="paragraph" w:customStyle="1" w:styleId="124">
    <w:name w:val="标题 5_0"/>
    <w:basedOn w:val="78"/>
    <w:next w:val="78"/>
    <w:link w:val="123"/>
    <w:qFormat/>
    <w:uiPriority w:val="0"/>
    <w:pPr>
      <w:keepNext/>
      <w:keepLines/>
      <w:spacing w:before="280" w:after="290" w:line="372" w:lineRule="auto"/>
      <w:outlineLvl w:val="4"/>
    </w:pPr>
    <w:rPr>
      <w:rFonts w:ascii="Calibri" w:hAnsi="Calibri"/>
      <w:b/>
      <w:bCs/>
      <w:kern w:val="0"/>
      <w:sz w:val="28"/>
      <w:szCs w:val="28"/>
    </w:rPr>
  </w:style>
  <w:style w:type="character" w:customStyle="1" w:styleId="125">
    <w:name w:val="正文文本缩进 2 字符"/>
    <w:link w:val="28"/>
    <w:qFormat/>
    <w:uiPriority w:val="99"/>
    <w:rPr>
      <w:rFonts w:ascii="宋体"/>
    </w:rPr>
  </w:style>
  <w:style w:type="character" w:customStyle="1" w:styleId="126">
    <w:name w:val="批注文字 字符"/>
    <w:link w:val="17"/>
    <w:qFormat/>
    <w:uiPriority w:val="0"/>
    <w:rPr>
      <w:kern w:val="2"/>
      <w:sz w:val="21"/>
      <w:szCs w:val="24"/>
    </w:rPr>
  </w:style>
  <w:style w:type="character" w:customStyle="1" w:styleId="127">
    <w:name w:val="font11"/>
    <w:qFormat/>
    <w:uiPriority w:val="0"/>
    <w:rPr>
      <w:rFonts w:hint="eastAsia" w:ascii="宋体" w:hAnsi="宋体" w:eastAsia="宋体" w:cs="宋体"/>
      <w:color w:val="000000"/>
      <w:sz w:val="20"/>
      <w:szCs w:val="20"/>
      <w:u w:val="none"/>
    </w:rPr>
  </w:style>
  <w:style w:type="character" w:customStyle="1" w:styleId="128">
    <w:name w:val="明显参考1"/>
    <w:qFormat/>
    <w:uiPriority w:val="0"/>
    <w:rPr>
      <w:b/>
      <w:bCs/>
      <w:smallCaps/>
      <w:color w:val="C0504D"/>
      <w:spacing w:val="5"/>
      <w:u w:val="single"/>
    </w:rPr>
  </w:style>
  <w:style w:type="character" w:customStyle="1" w:styleId="129">
    <w:name w:val="超链接_0"/>
    <w:qFormat/>
    <w:uiPriority w:val="99"/>
    <w:rPr>
      <w:rFonts w:ascii="Calibri" w:hAnsi="Calibri"/>
      <w:color w:val="0000FF"/>
      <w:u w:val="single"/>
    </w:rPr>
  </w:style>
  <w:style w:type="character" w:customStyle="1" w:styleId="130">
    <w:name w:val="文档结构图 Char2"/>
    <w:semiHidden/>
    <w:qFormat/>
    <w:uiPriority w:val="99"/>
    <w:rPr>
      <w:rFonts w:ascii="宋体" w:hAnsi="Calibri" w:eastAsia="宋体" w:cs="Times New Roman"/>
      <w:sz w:val="18"/>
      <w:szCs w:val="18"/>
    </w:rPr>
  </w:style>
  <w:style w:type="character" w:customStyle="1" w:styleId="131">
    <w:name w:val="textcontents"/>
    <w:qFormat/>
    <w:uiPriority w:val="0"/>
    <w:rPr>
      <w:rFonts w:cs="Times New Roman"/>
    </w:rPr>
  </w:style>
  <w:style w:type="character" w:customStyle="1" w:styleId="132">
    <w:name w:val="标题 1 Char"/>
    <w:qFormat/>
    <w:uiPriority w:val="0"/>
    <w:rPr>
      <w:b/>
      <w:bCs/>
      <w:kern w:val="44"/>
      <w:sz w:val="32"/>
      <w:szCs w:val="44"/>
    </w:rPr>
  </w:style>
  <w:style w:type="character" w:customStyle="1" w:styleId="133">
    <w:name w:val="正文文本 字符"/>
    <w:link w:val="19"/>
    <w:qFormat/>
    <w:uiPriority w:val="0"/>
    <w:rPr>
      <w:rFonts w:eastAsia="幼圆"/>
      <w:b/>
      <w:bCs/>
      <w:kern w:val="2"/>
      <w:sz w:val="44"/>
      <w:szCs w:val="24"/>
    </w:rPr>
  </w:style>
  <w:style w:type="character" w:customStyle="1" w:styleId="134">
    <w:name w:val="标题 8 字符"/>
    <w:link w:val="9"/>
    <w:qFormat/>
    <w:uiPriority w:val="0"/>
    <w:rPr>
      <w:rFonts w:ascii="Cambria" w:hAnsi="Cambria"/>
      <w:kern w:val="2"/>
      <w:sz w:val="24"/>
      <w:szCs w:val="2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批注主题 字符"/>
    <w:link w:val="44"/>
    <w:qFormat/>
    <w:uiPriority w:val="0"/>
    <w:rPr>
      <w:b/>
      <w:bCs/>
      <w:kern w:val="2"/>
      <w:sz w:val="21"/>
      <w:szCs w:val="24"/>
    </w:rPr>
  </w:style>
  <w:style w:type="character" w:customStyle="1" w:styleId="137">
    <w:name w:val="书籍标题1"/>
    <w:qFormat/>
    <w:uiPriority w:val="0"/>
    <w:rPr>
      <w:b/>
      <w:bCs/>
      <w:smallCaps/>
      <w:spacing w:val="5"/>
    </w:rPr>
  </w:style>
  <w:style w:type="character" w:customStyle="1" w:styleId="138">
    <w:name w:val="页脚 字符"/>
    <w:link w:val="30"/>
    <w:qFormat/>
    <w:uiPriority w:val="99"/>
    <w:rPr>
      <w:kern w:val="2"/>
      <w:sz w:val="18"/>
      <w:szCs w:val="18"/>
    </w:rPr>
  </w:style>
  <w:style w:type="character" w:customStyle="1" w:styleId="139">
    <w:name w:val="标题4 Char Char"/>
    <w:link w:val="140"/>
    <w:qFormat/>
    <w:uiPriority w:val="0"/>
    <w:rPr>
      <w:rFonts w:ascii="Arial" w:hAnsi="Arial"/>
      <w:b/>
      <w:bCs/>
      <w:sz w:val="24"/>
      <w:szCs w:val="32"/>
    </w:rPr>
  </w:style>
  <w:style w:type="paragraph" w:customStyle="1" w:styleId="140">
    <w:name w:val="标题4"/>
    <w:basedOn w:val="3"/>
    <w:next w:val="22"/>
    <w:link w:val="139"/>
    <w:qFormat/>
    <w:uiPriority w:val="0"/>
    <w:pPr>
      <w:numPr>
        <w:ilvl w:val="0"/>
        <w:numId w:val="0"/>
      </w:numPr>
      <w:spacing w:line="413" w:lineRule="auto"/>
    </w:pPr>
    <w:rPr>
      <w:rFonts w:ascii="Arial" w:hAnsi="Arial"/>
      <w:kern w:val="0"/>
      <w:sz w:val="24"/>
    </w:rPr>
  </w:style>
  <w:style w:type="character" w:customStyle="1" w:styleId="141">
    <w:name w:val="正文文本 Char1"/>
    <w:qFormat/>
    <w:uiPriority w:val="0"/>
    <w:rPr>
      <w:rFonts w:ascii="Calibri" w:hAnsi="Calibri" w:eastAsia="宋体" w:cs="Times New Roman"/>
    </w:rPr>
  </w:style>
  <w:style w:type="character" w:customStyle="1" w:styleId="142">
    <w:name w:val="明显引用 Char1"/>
    <w:qFormat/>
    <w:uiPriority w:val="30"/>
    <w:rPr>
      <w:b/>
      <w:bCs/>
      <w:i/>
      <w:iCs/>
      <w:color w:val="4F81BD"/>
      <w:kern w:val="2"/>
      <w:sz w:val="21"/>
    </w:rPr>
  </w:style>
  <w:style w:type="character" w:customStyle="1" w:styleId="143">
    <w:name w:val="页眉 Char1"/>
    <w:semiHidden/>
    <w:qFormat/>
    <w:uiPriority w:val="99"/>
    <w:rPr>
      <w:rFonts w:ascii="Calibri" w:hAnsi="Calibri" w:eastAsia="宋体" w:cs="Times New Roman"/>
      <w:sz w:val="18"/>
      <w:szCs w:val="18"/>
    </w:rPr>
  </w:style>
  <w:style w:type="character" w:customStyle="1" w:styleId="144">
    <w:name w:val="不明显强调1"/>
    <w:qFormat/>
    <w:uiPriority w:val="0"/>
    <w:rPr>
      <w:i/>
      <w:iCs/>
      <w:color w:val="808080"/>
    </w:rPr>
  </w:style>
  <w:style w:type="character" w:customStyle="1" w:styleId="145">
    <w:name w:val="正文文本 3 字符"/>
    <w:link w:val="18"/>
    <w:qFormat/>
    <w:uiPriority w:val="0"/>
    <w:rPr>
      <w:rFonts w:ascii="宋体"/>
      <w:kern w:val="2"/>
      <w:sz w:val="24"/>
    </w:rPr>
  </w:style>
  <w:style w:type="character" w:customStyle="1" w:styleId="146">
    <w:name w:val="正文文本缩进 3 字符"/>
    <w:link w:val="37"/>
    <w:qFormat/>
    <w:uiPriority w:val="0"/>
    <w:rPr>
      <w:kern w:val="2"/>
      <w:sz w:val="16"/>
    </w:rPr>
  </w:style>
  <w:style w:type="character" w:customStyle="1" w:styleId="147">
    <w:name w:val="font21"/>
    <w:qFormat/>
    <w:uiPriority w:val="0"/>
    <w:rPr>
      <w:rFonts w:hint="eastAsia" w:ascii="宋体" w:hAnsi="宋体" w:eastAsia="宋体" w:cs="宋体"/>
      <w:color w:val="000000"/>
      <w:sz w:val="20"/>
      <w:szCs w:val="20"/>
      <w:u w:val="none"/>
    </w:rPr>
  </w:style>
  <w:style w:type="character" w:customStyle="1" w:styleId="148">
    <w:name w:val="批注框文本 字符"/>
    <w:link w:val="29"/>
    <w:qFormat/>
    <w:uiPriority w:val="0"/>
    <w:rPr>
      <w:kern w:val="2"/>
      <w:sz w:val="18"/>
      <w:szCs w:val="18"/>
    </w:rPr>
  </w:style>
  <w:style w:type="character" w:customStyle="1" w:styleId="149">
    <w:name w:val="标题 7 字符"/>
    <w:link w:val="8"/>
    <w:qFormat/>
    <w:uiPriority w:val="0"/>
    <w:rPr>
      <w:b/>
      <w:bCs/>
      <w:kern w:val="2"/>
      <w:sz w:val="24"/>
      <w:szCs w:val="24"/>
    </w:rPr>
  </w:style>
  <w:style w:type="character" w:customStyle="1" w:styleId="150">
    <w:name w:val="标题 1 字符"/>
    <w:link w:val="2"/>
    <w:qFormat/>
    <w:uiPriority w:val="0"/>
    <w:rPr>
      <w:b/>
      <w:bCs/>
      <w:kern w:val="44"/>
      <w:sz w:val="32"/>
      <w:szCs w:val="44"/>
    </w:rPr>
  </w:style>
  <w:style w:type="character" w:customStyle="1" w:styleId="151">
    <w:name w:val="文档结构图 Char1"/>
    <w:qFormat/>
    <w:uiPriority w:val="0"/>
    <w:rPr>
      <w:rFonts w:ascii="宋体" w:hAnsi="Calibri" w:eastAsia="宋体" w:cs="Times New Roman"/>
      <w:sz w:val="18"/>
      <w:szCs w:val="18"/>
    </w:rPr>
  </w:style>
  <w:style w:type="character" w:customStyle="1" w:styleId="152">
    <w:name w:val="标题 2 Char_0"/>
    <w:link w:val="153"/>
    <w:qFormat/>
    <w:uiPriority w:val="0"/>
    <w:rPr>
      <w:rFonts w:ascii="Cambria" w:hAnsi="Cambria"/>
      <w:b/>
      <w:bCs/>
      <w:sz w:val="32"/>
      <w:szCs w:val="32"/>
    </w:rPr>
  </w:style>
  <w:style w:type="paragraph" w:customStyle="1" w:styleId="153">
    <w:name w:val="标题 2_0"/>
    <w:basedOn w:val="78"/>
    <w:next w:val="78"/>
    <w:link w:val="152"/>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4">
    <w:name w:val="日期 Char2"/>
    <w:semiHidden/>
    <w:qFormat/>
    <w:uiPriority w:val="99"/>
    <w:rPr>
      <w:rFonts w:ascii="Calibri" w:hAnsi="Calibri" w:eastAsia="宋体" w:cs="Times New Roman"/>
    </w:rPr>
  </w:style>
  <w:style w:type="character" w:customStyle="1" w:styleId="155">
    <w:name w:val="批注框文本 Char2"/>
    <w:semiHidden/>
    <w:qFormat/>
    <w:uiPriority w:val="99"/>
    <w:rPr>
      <w:rFonts w:ascii="Calibri" w:hAnsi="Calibri" w:eastAsia="宋体" w:cs="Times New Roman"/>
      <w:sz w:val="18"/>
      <w:szCs w:val="18"/>
    </w:rPr>
  </w:style>
  <w:style w:type="character" w:customStyle="1" w:styleId="156">
    <w:name w:val="标题 4 字符"/>
    <w:link w:val="5"/>
    <w:qFormat/>
    <w:uiPriority w:val="0"/>
    <w:rPr>
      <w:rFonts w:ascii="Cambria" w:hAnsi="Cambria"/>
      <w:b/>
      <w:bCs/>
      <w:kern w:val="2"/>
      <w:sz w:val="28"/>
      <w:szCs w:val="28"/>
    </w:rPr>
  </w:style>
  <w:style w:type="character" w:customStyle="1" w:styleId="157">
    <w:name w:val="列出段落 Char"/>
    <w:link w:val="158"/>
    <w:qFormat/>
    <w:locked/>
    <w:uiPriority w:val="34"/>
    <w:rPr>
      <w:kern w:val="2"/>
      <w:sz w:val="21"/>
      <w:szCs w:val="24"/>
    </w:rPr>
  </w:style>
  <w:style w:type="paragraph" w:customStyle="1" w:styleId="158">
    <w:name w:val="List Paragraph1"/>
    <w:basedOn w:val="1"/>
    <w:link w:val="157"/>
    <w:qFormat/>
    <w:uiPriority w:val="34"/>
    <w:pPr>
      <w:ind w:firstLine="420" w:firstLineChars="200"/>
    </w:pPr>
  </w:style>
  <w:style w:type="paragraph" w:customStyle="1" w:styleId="15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60">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1">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2">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3">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4">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5">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6">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7">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8">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9">
    <w:name w:val="目录 5_0"/>
    <w:basedOn w:val="78"/>
    <w:next w:val="78"/>
    <w:qFormat/>
    <w:uiPriority w:val="39"/>
    <w:pPr>
      <w:ind w:left="1680" w:leftChars="800"/>
    </w:pPr>
    <w:rPr>
      <w:rFonts w:ascii="Calibri" w:hAnsi="Calibri"/>
    </w:rPr>
  </w:style>
  <w:style w:type="paragraph" w:customStyle="1" w:styleId="170">
    <w:name w:val="修订1"/>
    <w:qFormat/>
    <w:uiPriority w:val="0"/>
    <w:rPr>
      <w:rFonts w:ascii="Times New Roman" w:hAnsi="Times New Roman" w:eastAsia="宋体" w:cs="Times New Roman"/>
      <w:kern w:val="2"/>
      <w:sz w:val="21"/>
      <w:szCs w:val="24"/>
      <w:lang w:val="en-US" w:eastAsia="zh-CN" w:bidi="ar-SA"/>
    </w:rPr>
  </w:style>
  <w:style w:type="paragraph" w:customStyle="1" w:styleId="171">
    <w:name w:val="标题 11"/>
    <w:basedOn w:val="61"/>
    <w:next w:val="61"/>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2">
    <w:name w:val="正文 + 行距: 固定值 20 磅"/>
    <w:basedOn w:val="1"/>
    <w:qFormat/>
    <w:uiPriority w:val="0"/>
    <w:pPr>
      <w:spacing w:line="400" w:lineRule="exact"/>
      <w:ind w:firstLine="716" w:firstLineChars="341"/>
    </w:pPr>
    <w:rPr>
      <w:rFonts w:ascii="Calibri" w:hAnsi="Calibri"/>
      <w:szCs w:val="22"/>
    </w:rPr>
  </w:style>
  <w:style w:type="paragraph" w:customStyle="1" w:styleId="173">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4">
    <w:name w:val="表格文字"/>
    <w:basedOn w:val="1"/>
    <w:link w:val="202"/>
    <w:qFormat/>
    <w:uiPriority w:val="0"/>
    <w:pPr>
      <w:adjustRightInd w:val="0"/>
      <w:spacing w:line="420" w:lineRule="atLeast"/>
      <w:jc w:val="left"/>
      <w:textAlignment w:val="baseline"/>
    </w:pPr>
    <w:rPr>
      <w:rFonts w:ascii="Calibri" w:hAnsi="Calibri"/>
      <w:kern w:val="0"/>
      <w:szCs w:val="22"/>
    </w:rPr>
  </w:style>
  <w:style w:type="paragraph" w:customStyle="1" w:styleId="175">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6">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7">
    <w:name w:val="表格"/>
    <w:basedOn w:val="1"/>
    <w:qFormat/>
    <w:uiPriority w:val="0"/>
    <w:pPr>
      <w:jc w:val="center"/>
      <w:textAlignment w:val="center"/>
    </w:pPr>
    <w:rPr>
      <w:rFonts w:ascii="华文细黑" w:hAnsi="华文细黑"/>
      <w:kern w:val="0"/>
      <w:szCs w:val="22"/>
    </w:rPr>
  </w:style>
  <w:style w:type="paragraph" w:customStyle="1" w:styleId="178">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9">
    <w:name w:val="列出段落2"/>
    <w:basedOn w:val="1"/>
    <w:qFormat/>
    <w:uiPriority w:val="34"/>
    <w:pPr>
      <w:ind w:firstLine="420" w:firstLineChars="200"/>
    </w:pPr>
  </w:style>
  <w:style w:type="paragraph" w:customStyle="1" w:styleId="180">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1">
    <w:name w:val="Char Char Char Char Char Char Char"/>
    <w:basedOn w:val="1"/>
    <w:qFormat/>
    <w:uiPriority w:val="0"/>
    <w:pPr>
      <w:adjustRightInd w:val="0"/>
      <w:spacing w:line="360" w:lineRule="auto"/>
    </w:pPr>
    <w:rPr>
      <w:kern w:val="0"/>
      <w:sz w:val="24"/>
      <w:szCs w:val="20"/>
    </w:rPr>
  </w:style>
  <w:style w:type="paragraph" w:customStyle="1" w:styleId="182">
    <w:name w:val="2方案格式2"/>
    <w:basedOn w:val="164"/>
    <w:qFormat/>
    <w:uiPriority w:val="0"/>
    <w:pPr>
      <w:numPr>
        <w:ilvl w:val="1"/>
      </w:numPr>
      <w:spacing w:before="50" w:after="50" w:line="240" w:lineRule="auto"/>
      <w:outlineLvl w:val="1"/>
    </w:pPr>
    <w:rPr>
      <w:sz w:val="44"/>
    </w:rPr>
  </w:style>
  <w:style w:type="paragraph" w:customStyle="1" w:styleId="183">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4">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目录 4_0"/>
    <w:basedOn w:val="78"/>
    <w:next w:val="78"/>
    <w:qFormat/>
    <w:uiPriority w:val="39"/>
    <w:pPr>
      <w:ind w:left="1260" w:leftChars="600"/>
    </w:pPr>
    <w:rPr>
      <w:rFonts w:ascii="Calibri" w:hAnsi="Calibri"/>
    </w:rPr>
  </w:style>
  <w:style w:type="paragraph" w:customStyle="1" w:styleId="186">
    <w:name w:val="目录 3_0"/>
    <w:basedOn w:val="78"/>
    <w:next w:val="78"/>
    <w:qFormat/>
    <w:uiPriority w:val="39"/>
    <w:pPr>
      <w:ind w:left="840" w:leftChars="400"/>
    </w:pPr>
    <w:rPr>
      <w:rFonts w:ascii="Calibri" w:hAnsi="Calibri"/>
    </w:rPr>
  </w:style>
  <w:style w:type="paragraph" w:customStyle="1" w:styleId="187">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8">
    <w:name w:val="1"/>
    <w:basedOn w:val="1"/>
    <w:next w:val="1"/>
    <w:qFormat/>
    <w:uiPriority w:val="0"/>
    <w:rPr>
      <w:rFonts w:ascii="Calibri" w:hAnsi="Calibri"/>
      <w:szCs w:val="22"/>
    </w:rPr>
  </w:style>
  <w:style w:type="paragraph" w:customStyle="1" w:styleId="189">
    <w:name w:val="Blockquote_0"/>
    <w:basedOn w:val="78"/>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90">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1">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2">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3">
    <w:name w:val="p0"/>
    <w:basedOn w:val="1"/>
    <w:qFormat/>
    <w:uiPriority w:val="0"/>
    <w:pPr>
      <w:widowControl/>
    </w:pPr>
    <w:rPr>
      <w:b/>
      <w:bCs/>
      <w:kern w:val="0"/>
      <w:sz w:val="24"/>
    </w:rPr>
  </w:style>
  <w:style w:type="paragraph" w:customStyle="1" w:styleId="194">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5">
    <w:name w:val="3方案格式3"/>
    <w:basedOn w:val="182"/>
    <w:qFormat/>
    <w:uiPriority w:val="0"/>
    <w:pPr>
      <w:numPr>
        <w:ilvl w:val="2"/>
      </w:numPr>
      <w:outlineLvl w:val="2"/>
    </w:pPr>
    <w:rPr>
      <w:sz w:val="32"/>
    </w:rPr>
  </w:style>
  <w:style w:type="paragraph" w:customStyle="1" w:styleId="196">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7">
    <w:name w:val="标题2"/>
    <w:basedOn w:val="3"/>
    <w:next w:val="19"/>
    <w:qFormat/>
    <w:uiPriority w:val="0"/>
    <w:pPr>
      <w:spacing w:before="156" w:after="156" w:line="360" w:lineRule="auto"/>
    </w:pPr>
    <w:rPr>
      <w:bCs w:val="0"/>
      <w:sz w:val="24"/>
    </w:rPr>
  </w:style>
  <w:style w:type="paragraph" w:customStyle="1" w:styleId="19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9">
    <w:name w:val="正文2"/>
    <w:qFormat/>
    <w:uiPriority w:val="0"/>
    <w:rPr>
      <w:rFonts w:ascii="Times New Roman" w:hAnsi="Times New Roman" w:eastAsia="微软雅黑" w:cs="Times New Roman"/>
      <w:sz w:val="24"/>
      <w:szCs w:val="24"/>
      <w:lang w:val="en-US" w:eastAsia="zh-CN" w:bidi="ar-SA"/>
    </w:rPr>
  </w:style>
  <w:style w:type="paragraph" w:customStyle="1" w:styleId="20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1">
    <w:name w:val="纯文本2"/>
    <w:basedOn w:val="1"/>
    <w:qFormat/>
    <w:uiPriority w:val="0"/>
    <w:pPr>
      <w:jc w:val="left"/>
    </w:pPr>
    <w:rPr>
      <w:rFonts w:hint="eastAsia" w:ascii="宋体" w:hAnsi="宋体" w:cs="Courier New"/>
      <w:kern w:val="1"/>
      <w:sz w:val="24"/>
      <w:szCs w:val="20"/>
      <w:lang w:bidi="hi-IN"/>
    </w:rPr>
  </w:style>
  <w:style w:type="character" w:customStyle="1" w:styleId="202">
    <w:name w:val="表格文字 字符"/>
    <w:link w:val="174"/>
    <w:qFormat/>
    <w:uiPriority w:val="0"/>
    <w:rPr>
      <w:rFonts w:ascii="Calibri" w:hAnsi="Calibri" w:eastAsia="宋体" w:cs="Times New Roman"/>
      <w:sz w:val="21"/>
      <w:szCs w:val="22"/>
    </w:rPr>
  </w:style>
  <w:style w:type="paragraph" w:customStyle="1" w:styleId="20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4">
    <w:name w:val="未处理的提及1"/>
    <w:basedOn w:val="49"/>
    <w:semiHidden/>
    <w:unhideWhenUsed/>
    <w:qFormat/>
    <w:uiPriority w:val="99"/>
    <w:rPr>
      <w:color w:val="605E5C"/>
      <w:shd w:val="clear" w:color="auto" w:fill="E1DFDD"/>
    </w:rPr>
  </w:style>
  <w:style w:type="paragraph" w:customStyle="1" w:styleId="205">
    <w:name w:val="_Style 3"/>
    <w:basedOn w:val="1"/>
    <w:qFormat/>
    <w:uiPriority w:val="99"/>
    <w:pPr>
      <w:ind w:firstLine="420" w:firstLineChars="200"/>
    </w:pPr>
    <w:rPr>
      <w:szCs w:val="22"/>
    </w:rPr>
  </w:style>
  <w:style w:type="table" w:customStyle="1" w:styleId="206">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7">
    <w:name w:val="批注文字 字符1"/>
    <w:qFormat/>
    <w:uiPriority w:val="99"/>
    <w:rPr>
      <w:sz w:val="24"/>
      <w:szCs w:val="22"/>
    </w:rPr>
  </w:style>
  <w:style w:type="character" w:customStyle="1" w:styleId="208">
    <w:name w:val="f141"/>
    <w:qFormat/>
    <w:uiPriority w:val="0"/>
    <w:rPr>
      <w:sz w:val="21"/>
      <w:szCs w:val="21"/>
    </w:rPr>
  </w:style>
  <w:style w:type="character" w:customStyle="1" w:styleId="209">
    <w:name w:val="p141"/>
    <w:qFormat/>
    <w:uiPriority w:val="0"/>
    <w:rPr>
      <w:sz w:val="21"/>
      <w:szCs w:val="21"/>
    </w:rPr>
  </w:style>
  <w:style w:type="character" w:customStyle="1" w:styleId="210">
    <w:name w:val="s10pv000000"/>
    <w:basedOn w:val="49"/>
    <w:qFormat/>
    <w:uiPriority w:val="0"/>
  </w:style>
  <w:style w:type="paragraph" w:customStyle="1" w:styleId="21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4">
    <w:name w:val="样式4"/>
    <w:basedOn w:val="1"/>
    <w:qFormat/>
    <w:uiPriority w:val="0"/>
    <w:pPr>
      <w:tabs>
        <w:tab w:val="left" w:pos="2328"/>
      </w:tabs>
      <w:ind w:left="2328" w:hanging="708"/>
    </w:pPr>
  </w:style>
  <w:style w:type="paragraph" w:customStyle="1" w:styleId="21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6">
    <w:name w:val="3 Char"/>
    <w:basedOn w:val="1"/>
    <w:qFormat/>
    <w:uiPriority w:val="0"/>
    <w:pPr>
      <w:widowControl/>
      <w:spacing w:line="400" w:lineRule="exact"/>
      <w:jc w:val="center"/>
    </w:pPr>
    <w:rPr>
      <w:rFonts w:ascii="Verdana" w:hAnsi="Verdana"/>
      <w:kern w:val="0"/>
      <w:szCs w:val="20"/>
      <w:lang w:eastAsia="en-US"/>
    </w:rPr>
  </w:style>
  <w:style w:type="paragraph" w:customStyle="1" w:styleId="21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2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4">
    <w:name w:val="默认段落字体 Para Char Char Char Char"/>
    <w:basedOn w:val="1"/>
    <w:qFormat/>
    <w:uiPriority w:val="0"/>
    <w:rPr>
      <w:szCs w:val="20"/>
    </w:rPr>
  </w:style>
  <w:style w:type="paragraph" w:customStyle="1" w:styleId="22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8">
    <w:name w:val="纯文本 Char1"/>
    <w:basedOn w:val="49"/>
    <w:qFormat/>
    <w:uiPriority w:val="0"/>
    <w:rPr>
      <w:rFonts w:ascii="宋体" w:hAnsi="Courier New" w:eastAsia="宋体" w:cs="Courier New"/>
      <w:szCs w:val="21"/>
    </w:rPr>
  </w:style>
  <w:style w:type="character" w:customStyle="1" w:styleId="229">
    <w:name w:val="HTML 预设格式 字符"/>
    <w:basedOn w:val="49"/>
    <w:link w:val="40"/>
    <w:qFormat/>
    <w:uiPriority w:val="99"/>
    <w:rPr>
      <w:rFonts w:ascii="宋体" w:hAnsi="宋体"/>
      <w:sz w:val="24"/>
      <w:szCs w:val="24"/>
    </w:rPr>
  </w:style>
  <w:style w:type="paragraph" w:customStyle="1" w:styleId="230">
    <w:name w:val="Char1 Char Char Char"/>
    <w:basedOn w:val="1"/>
    <w:qFormat/>
    <w:uiPriority w:val="0"/>
    <w:rPr>
      <w:szCs w:val="20"/>
    </w:rPr>
  </w:style>
  <w:style w:type="paragraph" w:customStyle="1" w:styleId="231">
    <w:name w:val="Char1"/>
    <w:basedOn w:val="1"/>
    <w:qFormat/>
    <w:uiPriority w:val="0"/>
    <w:pPr>
      <w:widowControl/>
      <w:spacing w:after="160" w:line="240" w:lineRule="exact"/>
      <w:jc w:val="left"/>
    </w:pPr>
    <w:rPr>
      <w:sz w:val="24"/>
    </w:rPr>
  </w:style>
  <w:style w:type="paragraph" w:customStyle="1" w:styleId="232">
    <w:name w:val="默认段落字体 Para Char"/>
    <w:basedOn w:val="1"/>
    <w:qFormat/>
    <w:uiPriority w:val="0"/>
  </w:style>
  <w:style w:type="paragraph" w:customStyle="1" w:styleId="23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5">
    <w:name w:val="Char Char2 Char"/>
    <w:basedOn w:val="1"/>
    <w:qFormat/>
    <w:uiPriority w:val="0"/>
    <w:rPr>
      <w:rFonts w:ascii="宋体" w:hAnsi="宋体"/>
      <w:b/>
      <w:sz w:val="28"/>
      <w:szCs w:val="28"/>
    </w:rPr>
  </w:style>
  <w:style w:type="character" w:customStyle="1" w:styleId="236">
    <w:name w:val="正文缩进 字符"/>
    <w:link w:val="14"/>
    <w:qFormat/>
    <w:uiPriority w:val="0"/>
    <w:rPr>
      <w:b/>
      <w:kern w:val="2"/>
      <w:sz w:val="24"/>
    </w:rPr>
  </w:style>
  <w:style w:type="paragraph" w:customStyle="1" w:styleId="237">
    <w:name w:val="Char Char Char"/>
    <w:basedOn w:val="1"/>
    <w:qFormat/>
    <w:uiPriority w:val="0"/>
    <w:rPr>
      <w:rFonts w:ascii="宋体" w:hAnsi="宋体"/>
      <w:b/>
      <w:sz w:val="28"/>
      <w:szCs w:val="28"/>
    </w:rPr>
  </w:style>
  <w:style w:type="paragraph" w:customStyle="1" w:styleId="238">
    <w:name w:val="Char2"/>
    <w:basedOn w:val="1"/>
    <w:qFormat/>
    <w:uiPriority w:val="0"/>
    <w:pPr>
      <w:widowControl/>
      <w:spacing w:after="160" w:line="240" w:lineRule="exact"/>
      <w:jc w:val="left"/>
    </w:pPr>
    <w:rPr>
      <w:szCs w:val="20"/>
    </w:rPr>
  </w:style>
  <w:style w:type="paragraph" w:customStyle="1" w:styleId="23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40">
    <w:name w:val="description5"/>
    <w:basedOn w:val="49"/>
    <w:qFormat/>
    <w:uiPriority w:val="0"/>
  </w:style>
  <w:style w:type="character" w:styleId="241">
    <w:name w:val="Placeholder Text"/>
    <w:semiHidden/>
    <w:qFormat/>
    <w:uiPriority w:val="99"/>
    <w:rPr>
      <w:color w:val="808080"/>
    </w:rPr>
  </w:style>
  <w:style w:type="paragraph" w:customStyle="1" w:styleId="242">
    <w:name w:val="Table Paragraph"/>
    <w:basedOn w:val="1"/>
    <w:qFormat/>
    <w:uiPriority w:val="1"/>
    <w:pPr>
      <w:autoSpaceDE w:val="0"/>
      <w:autoSpaceDN w:val="0"/>
      <w:adjustRightInd w:val="0"/>
      <w:jc w:val="left"/>
    </w:pPr>
    <w:rPr>
      <w:kern w:val="0"/>
      <w:sz w:val="24"/>
    </w:rPr>
  </w:style>
  <w:style w:type="character" w:customStyle="1" w:styleId="243">
    <w:name w:val="Char Char7"/>
    <w:qFormat/>
    <w:locked/>
    <w:uiPriority w:val="0"/>
    <w:rPr>
      <w:rFonts w:ascii="Tahoma" w:hAnsi="Tahoma" w:eastAsia="微软雅黑"/>
      <w:b/>
      <w:bCs/>
      <w:sz w:val="32"/>
      <w:szCs w:val="32"/>
      <w:lang w:val="en-US" w:eastAsia="zh-CN" w:bidi="ar-SA"/>
    </w:rPr>
  </w:style>
  <w:style w:type="character" w:customStyle="1" w:styleId="244">
    <w:name w:val="font01"/>
    <w:qFormat/>
    <w:uiPriority w:val="0"/>
    <w:rPr>
      <w:rFonts w:hint="eastAsia" w:ascii="宋体" w:hAnsi="宋体" w:eastAsia="宋体" w:cs="宋体"/>
      <w:color w:val="000000"/>
      <w:sz w:val="20"/>
      <w:szCs w:val="20"/>
      <w:u w:val="none"/>
    </w:rPr>
  </w:style>
  <w:style w:type="character" w:customStyle="1" w:styleId="245">
    <w:name w:val="font81"/>
    <w:qFormat/>
    <w:uiPriority w:val="0"/>
    <w:rPr>
      <w:rFonts w:hint="eastAsia" w:ascii="宋体" w:hAnsi="宋体" w:eastAsia="宋体" w:cs="宋体"/>
      <w:color w:val="000000"/>
      <w:sz w:val="22"/>
      <w:szCs w:val="22"/>
      <w:u w:val="none"/>
    </w:rPr>
  </w:style>
  <w:style w:type="character" w:customStyle="1" w:styleId="246">
    <w:name w:val="font71"/>
    <w:qFormat/>
    <w:uiPriority w:val="0"/>
    <w:rPr>
      <w:rFonts w:hint="eastAsia" w:ascii="宋体" w:hAnsi="宋体" w:eastAsia="宋体" w:cs="宋体"/>
      <w:color w:val="000000"/>
      <w:sz w:val="22"/>
      <w:szCs w:val="22"/>
      <w:u w:val="none"/>
    </w:rPr>
  </w:style>
  <w:style w:type="character" w:customStyle="1" w:styleId="247">
    <w:name w:val="font51"/>
    <w:qFormat/>
    <w:uiPriority w:val="0"/>
    <w:rPr>
      <w:rFonts w:hint="default" w:ascii="Calibri" w:hAnsi="Calibri" w:cs="Calibri"/>
      <w:color w:val="000000"/>
      <w:sz w:val="22"/>
      <w:szCs w:val="22"/>
      <w:u w:val="none"/>
    </w:rPr>
  </w:style>
  <w:style w:type="character" w:customStyle="1" w:styleId="248">
    <w:name w:val="font61"/>
    <w:qFormat/>
    <w:uiPriority w:val="0"/>
    <w:rPr>
      <w:rFonts w:hint="default" w:ascii="Calibri" w:hAnsi="Calibri" w:cs="Calibri"/>
      <w:color w:val="000000"/>
      <w:sz w:val="22"/>
      <w:szCs w:val="22"/>
      <w:u w:val="none"/>
    </w:rPr>
  </w:style>
  <w:style w:type="character" w:customStyle="1" w:styleId="249">
    <w:name w:val="font41"/>
    <w:qFormat/>
    <w:uiPriority w:val="0"/>
    <w:rPr>
      <w:rFonts w:hint="eastAsia" w:ascii="宋体" w:hAnsi="宋体" w:eastAsia="宋体" w:cs="宋体"/>
      <w:color w:val="000000"/>
      <w:sz w:val="22"/>
      <w:szCs w:val="22"/>
      <w:u w:val="none"/>
    </w:rPr>
  </w:style>
  <w:style w:type="character" w:customStyle="1" w:styleId="250">
    <w:name w:val="未处理的提及2"/>
    <w:basedOn w:val="49"/>
    <w:semiHidden/>
    <w:unhideWhenUsed/>
    <w:qFormat/>
    <w:uiPriority w:val="99"/>
    <w:rPr>
      <w:color w:val="605E5C"/>
      <w:shd w:val="clear" w:color="auto" w:fill="E1DFDD"/>
    </w:rPr>
  </w:style>
  <w:style w:type="character" w:customStyle="1" w:styleId="251">
    <w:name w:val="未处理的提及3"/>
    <w:basedOn w:val="49"/>
    <w:semiHidden/>
    <w:unhideWhenUsed/>
    <w:qFormat/>
    <w:uiPriority w:val="99"/>
    <w:rPr>
      <w:color w:val="605E5C"/>
      <w:shd w:val="clear" w:color="auto" w:fill="E1DFDD"/>
    </w:rPr>
  </w:style>
  <w:style w:type="paragraph" w:customStyle="1" w:styleId="252">
    <w:name w:val="_Style 234"/>
    <w:basedOn w:val="1"/>
    <w:next w:val="73"/>
    <w:qFormat/>
    <w:uiPriority w:val="34"/>
    <w:pPr>
      <w:spacing w:line="400" w:lineRule="exact"/>
      <w:ind w:left="420" w:firstLine="420" w:firstLineChars="200"/>
    </w:pPr>
    <w:rPr>
      <w:rFonts w:ascii="Calibri" w:hAnsi="Calibri"/>
    </w:rPr>
  </w:style>
  <w:style w:type="character" w:customStyle="1" w:styleId="253">
    <w:name w:val="列表段落 字符"/>
    <w:link w:val="73"/>
    <w:qFormat/>
    <w:locked/>
    <w:uiPriority w:val="99"/>
    <w:rPr>
      <w:kern w:val="2"/>
      <w:sz w:val="21"/>
      <w:szCs w:val="24"/>
    </w:rPr>
  </w:style>
  <w:style w:type="character" w:customStyle="1" w:styleId="254">
    <w:name w:val="彩色列表 - 强调文字颜色 1字符"/>
    <w:qFormat/>
    <w:uiPriority w:val="34"/>
    <w:rPr>
      <w:rFonts w:ascii="Calibri" w:hAnsi="Calibri"/>
      <w:kern w:val="2"/>
      <w:sz w:val="21"/>
      <w:szCs w:val="24"/>
    </w:rPr>
  </w:style>
  <w:style w:type="character" w:customStyle="1" w:styleId="255">
    <w:name w:val="批注主题 字符1"/>
    <w:basedOn w:val="207"/>
    <w:semiHidden/>
    <w:qFormat/>
    <w:uiPriority w:val="99"/>
    <w:rPr>
      <w:rFonts w:ascii="Calibri" w:hAnsi="Calibri" w:eastAsia="宋体" w:cs="Times New Roman"/>
      <w:b/>
      <w:bCs/>
      <w:sz w:val="24"/>
      <w:szCs w:val="24"/>
    </w:rPr>
  </w:style>
  <w:style w:type="character" w:customStyle="1" w:styleId="256">
    <w:name w:val="正文文本缩进 2 字符1"/>
    <w:basedOn w:val="49"/>
    <w:semiHidden/>
    <w:qFormat/>
    <w:uiPriority w:val="99"/>
    <w:rPr>
      <w:rFonts w:ascii="Calibri" w:hAnsi="Calibri" w:eastAsia="宋体" w:cs="Times New Roman"/>
      <w:szCs w:val="24"/>
    </w:rPr>
  </w:style>
  <w:style w:type="character" w:customStyle="1" w:styleId="257">
    <w:name w:val="标题 字符1"/>
    <w:basedOn w:val="49"/>
    <w:qFormat/>
    <w:uiPriority w:val="10"/>
    <w:rPr>
      <w:rFonts w:asciiTheme="majorHAnsi" w:hAnsiTheme="majorHAnsi" w:eastAsiaTheme="majorEastAsia" w:cstheme="majorBidi"/>
      <w:b/>
      <w:bCs/>
      <w:sz w:val="32"/>
      <w:szCs w:val="32"/>
    </w:rPr>
  </w:style>
  <w:style w:type="character" w:customStyle="1" w:styleId="258">
    <w:name w:val="正文文本缩进 字符1"/>
    <w:basedOn w:val="49"/>
    <w:semiHidden/>
    <w:qFormat/>
    <w:uiPriority w:val="99"/>
    <w:rPr>
      <w:rFonts w:ascii="Calibri" w:hAnsi="Calibri" w:eastAsia="宋体" w:cs="Times New Roman"/>
      <w:szCs w:val="24"/>
    </w:rPr>
  </w:style>
  <w:style w:type="character" w:customStyle="1" w:styleId="259">
    <w:name w:val="副标题 字符1"/>
    <w:basedOn w:val="49"/>
    <w:qFormat/>
    <w:uiPriority w:val="11"/>
    <w:rPr>
      <w:b/>
      <w:bCs/>
      <w:kern w:val="28"/>
      <w:sz w:val="32"/>
      <w:szCs w:val="32"/>
    </w:rPr>
  </w:style>
  <w:style w:type="character" w:customStyle="1" w:styleId="260">
    <w:name w:val="日期 字符1"/>
    <w:basedOn w:val="49"/>
    <w:semiHidden/>
    <w:qFormat/>
    <w:uiPriority w:val="99"/>
    <w:rPr>
      <w:rFonts w:ascii="Calibri" w:hAnsi="Calibri" w:eastAsia="宋体" w:cs="Times New Roman"/>
      <w:szCs w:val="24"/>
    </w:rPr>
  </w:style>
  <w:style w:type="paragraph" w:customStyle="1" w:styleId="261">
    <w:name w:val="修订2"/>
    <w:unhideWhenUsed/>
    <w:qFormat/>
    <w:uiPriority w:val="99"/>
    <w:rPr>
      <w:rFonts w:ascii="Calibri" w:hAnsi="Calibri" w:eastAsia="宋体" w:cs="Times New Roman"/>
      <w:kern w:val="2"/>
      <w:sz w:val="21"/>
      <w:szCs w:val="24"/>
      <w:lang w:val="en-US" w:eastAsia="zh-CN" w:bidi="ar-SA"/>
    </w:rPr>
  </w:style>
  <w:style w:type="character" w:customStyle="1" w:styleId="262">
    <w:name w:val="正文文本 字符1"/>
    <w:basedOn w:val="49"/>
    <w:semiHidden/>
    <w:qFormat/>
    <w:uiPriority w:val="99"/>
    <w:rPr>
      <w:rFonts w:ascii="Calibri" w:hAnsi="Calibri" w:eastAsia="宋体" w:cs="Times New Roman"/>
      <w:szCs w:val="24"/>
    </w:rPr>
  </w:style>
  <w:style w:type="character" w:customStyle="1" w:styleId="263">
    <w:name w:val="批注框文本 字符1"/>
    <w:basedOn w:val="49"/>
    <w:semiHidden/>
    <w:qFormat/>
    <w:uiPriority w:val="99"/>
    <w:rPr>
      <w:rFonts w:ascii="Calibri" w:hAnsi="Calibri" w:eastAsia="宋体" w:cs="Times New Roman"/>
      <w:sz w:val="18"/>
      <w:szCs w:val="18"/>
    </w:rPr>
  </w:style>
  <w:style w:type="paragraph" w:customStyle="1" w:styleId="26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5">
    <w:name w:val="纯文本 字符1"/>
    <w:basedOn w:val="49"/>
    <w:semiHidden/>
    <w:qFormat/>
    <w:uiPriority w:val="99"/>
    <w:rPr>
      <w:rFonts w:hAnsi="Courier New" w:cs="Courier New" w:asciiTheme="minorEastAsia"/>
      <w:szCs w:val="24"/>
    </w:rPr>
  </w:style>
  <w:style w:type="character" w:customStyle="1" w:styleId="266">
    <w:name w:val="文档结构图 字符1"/>
    <w:basedOn w:val="49"/>
    <w:semiHidden/>
    <w:qFormat/>
    <w:uiPriority w:val="99"/>
    <w:rPr>
      <w:rFonts w:ascii="Microsoft YaHei UI" w:hAnsi="Calibri" w:eastAsia="Microsoft YaHei UI" w:cs="Times New Roman"/>
      <w:sz w:val="18"/>
      <w:szCs w:val="18"/>
    </w:rPr>
  </w:style>
  <w:style w:type="character" w:customStyle="1" w:styleId="267">
    <w:name w:val="正文文本 3 字符1"/>
    <w:basedOn w:val="49"/>
    <w:semiHidden/>
    <w:qFormat/>
    <w:uiPriority w:val="99"/>
    <w:rPr>
      <w:rFonts w:ascii="Calibri" w:hAnsi="Calibri" w:eastAsia="宋体" w:cs="Times New Roman"/>
      <w:sz w:val="16"/>
      <w:szCs w:val="16"/>
    </w:rPr>
  </w:style>
  <w:style w:type="paragraph" w:customStyle="1" w:styleId="268">
    <w:name w:val="_Style 106"/>
    <w:basedOn w:val="1"/>
    <w:next w:val="73"/>
    <w:qFormat/>
    <w:uiPriority w:val="34"/>
    <w:pPr>
      <w:spacing w:line="400" w:lineRule="exact"/>
      <w:ind w:left="420" w:firstLine="420" w:firstLineChars="200"/>
    </w:pPr>
    <w:rPr>
      <w:rFonts w:ascii="Calibri" w:hAnsi="Calibri"/>
    </w:rPr>
  </w:style>
  <w:style w:type="character" w:customStyle="1" w:styleId="269">
    <w:name w:val="正文文本缩进 3 字符1"/>
    <w:basedOn w:val="49"/>
    <w:semiHidden/>
    <w:qFormat/>
    <w:uiPriority w:val="99"/>
    <w:rPr>
      <w:rFonts w:ascii="Calibri" w:hAnsi="Calibri" w:eastAsia="宋体" w:cs="Times New Roman"/>
      <w:sz w:val="16"/>
      <w:szCs w:val="16"/>
    </w:rPr>
  </w:style>
  <w:style w:type="character" w:customStyle="1" w:styleId="270">
    <w:name w:val="未处理的提及4"/>
    <w:basedOn w:val="49"/>
    <w:semiHidden/>
    <w:unhideWhenUsed/>
    <w:qFormat/>
    <w:uiPriority w:val="99"/>
    <w:rPr>
      <w:color w:val="605E5C"/>
      <w:shd w:val="clear" w:color="auto" w:fill="E1DFDD"/>
    </w:rPr>
  </w:style>
  <w:style w:type="character" w:customStyle="1" w:styleId="271">
    <w:name w:val="未处理的提及5"/>
    <w:basedOn w:val="49"/>
    <w:semiHidden/>
    <w:unhideWhenUsed/>
    <w:qFormat/>
    <w:uiPriority w:val="99"/>
    <w:rPr>
      <w:color w:val="605E5C"/>
      <w:shd w:val="clear" w:color="auto" w:fill="E1DFDD"/>
    </w:rPr>
  </w:style>
  <w:style w:type="character" w:customStyle="1" w:styleId="272">
    <w:name w:val="未处理的提及6"/>
    <w:basedOn w:val="49"/>
    <w:semiHidden/>
    <w:unhideWhenUsed/>
    <w:qFormat/>
    <w:uiPriority w:val="99"/>
    <w:rPr>
      <w:color w:val="605E5C"/>
      <w:shd w:val="clear" w:color="auto" w:fill="E1DFDD"/>
    </w:rPr>
  </w:style>
  <w:style w:type="character" w:customStyle="1" w:styleId="273">
    <w:name w:val="font101"/>
    <w:qFormat/>
    <w:uiPriority w:val="0"/>
    <w:rPr>
      <w:rFonts w:ascii="PingFangTC-light" w:hAnsi="PingFangTC-light" w:eastAsia="PingFangTC-light" w:cs="PingFangTC-light"/>
      <w:color w:val="FF0000"/>
      <w:sz w:val="22"/>
      <w:szCs w:val="22"/>
      <w:u w:val="none"/>
    </w:rPr>
  </w:style>
  <w:style w:type="character" w:customStyle="1" w:styleId="274">
    <w:name w:val="font112"/>
    <w:qFormat/>
    <w:uiPriority w:val="0"/>
    <w:rPr>
      <w:rFonts w:ascii="Calibri" w:hAnsi="Calibri" w:cs="Calibri"/>
      <w:color w:val="FF0000"/>
      <w:sz w:val="21"/>
      <w:szCs w:val="21"/>
      <w:u w:val="none"/>
    </w:rPr>
  </w:style>
  <w:style w:type="character" w:customStyle="1" w:styleId="275">
    <w:name w:val="font121"/>
    <w:qFormat/>
    <w:uiPriority w:val="0"/>
    <w:rPr>
      <w:rFonts w:hint="eastAsia" w:ascii="宋体" w:hAnsi="宋体" w:eastAsia="宋体" w:cs="宋体"/>
      <w:color w:val="000000"/>
      <w:sz w:val="20"/>
      <w:szCs w:val="20"/>
      <w:u w:val="none"/>
    </w:rPr>
  </w:style>
  <w:style w:type="character" w:customStyle="1" w:styleId="276">
    <w:name w:val="纯文本 Char"/>
    <w:qFormat/>
    <w:uiPriority w:val="0"/>
    <w:rPr>
      <w:rFonts w:ascii="宋体" w:hAnsi="Courier New" w:eastAsia="宋体" w:cs="Courier New"/>
      <w:szCs w:val="21"/>
    </w:rPr>
  </w:style>
  <w:style w:type="character" w:customStyle="1" w:styleId="277">
    <w:name w:val="NormalCharacter"/>
    <w:qFormat/>
    <w:uiPriority w:val="0"/>
    <w:rPr>
      <w:rFonts w:ascii="Times New Roman" w:hAnsi="Times New Roman" w:eastAsia="宋体" w:cs="Times New Roman"/>
      <w:kern w:val="2"/>
      <w:sz w:val="21"/>
      <w:szCs w:val="22"/>
      <w:lang w:val="en-US" w:eastAsia="zh-CN" w:bidi="ar-SA"/>
    </w:rPr>
  </w:style>
  <w:style w:type="paragraph" w:customStyle="1" w:styleId="27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9">
    <w:name w:val="列表段落1"/>
    <w:basedOn w:val="1"/>
    <w:qFormat/>
    <w:uiPriority w:val="99"/>
    <w:pPr>
      <w:ind w:firstLine="420" w:firstLineChars="200"/>
    </w:pPr>
    <w:rPr>
      <w:szCs w:val="20"/>
    </w:rPr>
  </w:style>
  <w:style w:type="character" w:customStyle="1" w:styleId="280">
    <w:name w:val="fontstyle31"/>
    <w:qFormat/>
    <w:uiPriority w:val="0"/>
    <w:rPr>
      <w:rFonts w:hint="default" w:ascii="TimesNewRomanPS-BoldMT" w:hAnsi="TimesNewRomanPS-BoldMT"/>
      <w:b/>
      <w:bCs/>
      <w:color w:val="000000"/>
      <w:sz w:val="22"/>
      <w:szCs w:val="22"/>
    </w:rPr>
  </w:style>
  <w:style w:type="paragraph" w:customStyle="1" w:styleId="281">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2">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3">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4">
    <w:name w:val="招标"/>
    <w:basedOn w:val="1"/>
    <w:qFormat/>
    <w:uiPriority w:val="0"/>
    <w:pPr>
      <w:spacing w:line="400" w:lineRule="exact"/>
      <w:ind w:firstLine="420" w:firstLineChars="200"/>
      <w:jc w:val="left"/>
    </w:pPr>
    <w:rPr>
      <w:rFonts w:ascii="宋体" w:hAnsi="宋体"/>
    </w:rPr>
  </w:style>
  <w:style w:type="paragraph" w:customStyle="1" w:styleId="285">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6">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91">
    <w:name w:val="_Style 32"/>
    <w:basedOn w:val="1"/>
    <w:next w:val="1"/>
    <w:qFormat/>
    <w:uiPriority w:val="0"/>
    <w:pPr>
      <w:spacing w:after="120" w:line="480" w:lineRule="exact"/>
      <w:ind w:left="420" w:leftChars="200" w:firstLine="420" w:firstLineChars="200"/>
    </w:pPr>
    <w:rPr>
      <w:rFonts w:asciiTheme="minorHAnsi" w:hAnsiTheme="minorHAnsi" w:cstheme="minorBidi"/>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70</Pages>
  <Words>17933</Words>
  <Characters>19003</Characters>
  <Lines>238</Lines>
  <Paragraphs>67</Paragraphs>
  <TotalTime>0</TotalTime>
  <ScaleCrop>false</ScaleCrop>
  <LinksUpToDate>false</LinksUpToDate>
  <CharactersWithSpaces>19119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2026-03-14T03:13:00Z</dcterms:created>
  <dc:creator>Lenovo User</dc:creator>
  <cp:lastModifiedBy>古南明</cp:lastModifiedBy>
  <cp:lastPrinted>2022-07-12T00:06:00Z</cp:lastPrinted>
  <dcterms:modified xsi:type="dcterms:W3CDTF">2026-09-29T03:59:25Z</dcterms:modified>
  <dc:title>公开招标文件</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5779328F248874E77AA9AF6A95079381_43</vt:lpwstr>
  </property>
  <property fmtid="{D5CDD505-2E9C-101B-9397-08002B2CF9AE}" pid="4" name="KSOTemplateDocerSaveRecord">
    <vt:lpwstr>eyJoZGlkIjoiMzI1ZTM3YmM5M2ZmZmZlMmVkMTMzNzRlMzg5OGU0YzgiLCJ1c2VySWQiOiI2MjA1NjI3NjEifQ==</vt:lpwstr>
  </property>
</Properties>
</file>