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828"/>
        <w:rPr>
          <w:rFonts w:ascii="宋体" w:hAnsi="宋体" w:cs="宋体"/>
          <w:color w:val="auto"/>
          <w:highlight w:val="none"/>
        </w:rPr>
      </w:pPr>
      <w:r>
        <w:rPr>
          <w:rFonts w:ascii="宋体" w:hAnsi="宋体" w:cs="宋体"/>
          <w:color w:val="auto"/>
          <w:highlight w:val="none"/>
        </w:rPr>
      </w:r>
      <w:r/>
    </w:p>
    <w:p>
      <w:pPr>
        <w:jc w:val="center"/>
        <w:spacing w:line="360" w:lineRule="auto"/>
        <w:rPr>
          <w:rFonts w:hint="eastAsia" w:ascii="宋体" w:hAnsi="宋体" w:cs="宋体"/>
          <w:b/>
          <w:color w:val="auto"/>
          <w:sz w:val="72"/>
          <w:szCs w:val="72"/>
          <w:highlight w:val="none"/>
        </w:rPr>
      </w:pPr>
      <w:r>
        <w:rPr>
          <w:rFonts w:hint="eastAsia" w:ascii="宋体" w:hAnsi="宋体" w:eastAsia="宋体" w:cs="宋体"/>
          <w:b/>
          <w:color w:val="auto"/>
          <w:sz w:val="72"/>
          <w:szCs w:val="72"/>
          <w:highlight w:val="none"/>
        </w:rPr>
        <w:t xml:space="preserve">苏 州 政 府 采 购</w:t>
      </w:r>
      <w:r/>
    </w:p>
    <w:p>
      <w:pPr>
        <w:jc w:val="center"/>
        <w:spacing w:line="360" w:lineRule="auto"/>
        <w:rPr>
          <w:rFonts w:hint="eastAsia" w:ascii="宋体" w:hAnsi="宋体" w:cs="宋体"/>
          <w:b/>
          <w:color w:val="auto"/>
          <w:sz w:val="72"/>
          <w:szCs w:val="72"/>
          <w:highlight w:val="none"/>
        </w:rPr>
      </w:pPr>
      <w:r>
        <w:rPr>
          <w:rFonts w:hint="eastAsia" w:ascii="宋体" w:hAnsi="宋体" w:eastAsia="宋体" w:cs="宋体"/>
          <w:b/>
          <w:color w:val="auto"/>
          <w:sz w:val="72"/>
          <w:szCs w:val="72"/>
          <w:highlight w:val="none"/>
        </w:rPr>
        <w:t xml:space="preserve">竞争性磋商文件</w:t>
      </w:r>
      <w:r/>
    </w:p>
    <w:p>
      <w:pPr>
        <w:jc w:val="left"/>
        <w:spacing w:line="480" w:lineRule="auto"/>
        <w:rPr>
          <w:rFonts w:hint="eastAsia" w:ascii="宋体" w:hAnsi="宋体" w:cs="宋体"/>
          <w:b/>
          <w:color w:val="auto"/>
          <w:sz w:val="32"/>
          <w:highlight w:val="none"/>
        </w:rPr>
      </w:pPr>
      <w:r>
        <w:rPr>
          <w:rFonts w:hint="eastAsia" w:ascii="宋体" w:hAnsi="宋体" w:cs="宋体"/>
          <w:b/>
          <w:color w:val="auto"/>
          <w:sz w:val="32"/>
          <w:highlight w:val="none"/>
        </w:rPr>
      </w:r>
      <w:r/>
    </w:p>
    <w:p>
      <w:pPr>
        <w:ind w:firstLine="321"/>
        <w:jc w:val="left"/>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项目编号：</w:t>
      </w:r>
      <w:r>
        <w:rPr>
          <w:rFonts w:hint="eastAsia" w:ascii="宋体" w:hAnsi="宋体" w:cs="宋体"/>
          <w:b/>
          <w:color w:val="auto"/>
          <w:sz w:val="32"/>
          <w:highlight w:val="none"/>
          <w:lang w:eastAsia="zh-CN"/>
        </w:rPr>
        <w:t xml:space="preserve">JSZC-320505-ZSYY-C2026-0005</w:t>
      </w:r>
      <w:r/>
    </w:p>
    <w:p>
      <w:pPr>
        <w:ind w:firstLine="321"/>
        <w:jc w:val="left"/>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采购单位：</w:t>
      </w:r>
      <w:r>
        <w:rPr>
          <w:rFonts w:hint="eastAsia" w:ascii="宋体" w:hAnsi="宋体" w:cs="宋体"/>
          <w:b/>
          <w:color w:val="auto"/>
          <w:sz w:val="32"/>
          <w:highlight w:val="none"/>
          <w:lang w:eastAsia="zh-CN"/>
        </w:rPr>
        <w:t xml:space="preserve">苏州高新区(虎丘区)东渚街道办事处</w:t>
      </w:r>
      <w:r/>
    </w:p>
    <w:p>
      <w:pPr>
        <w:ind w:firstLine="321"/>
        <w:jc w:val="left"/>
        <w:spacing w:line="360" w:lineRule="auto"/>
        <w:rPr>
          <w:rFonts w:hint="eastAsia" w:ascii="宋体" w:hAnsi="宋体" w:cs="宋体"/>
          <w:b/>
          <w:color w:val="auto"/>
          <w:sz w:val="32"/>
          <w:highlight w:val="none"/>
          <w:lang w:eastAsia="zh-CN"/>
        </w:rPr>
      </w:pPr>
      <w:r>
        <w:rPr>
          <w:rFonts w:hint="eastAsia" w:ascii="宋体" w:hAnsi="宋体" w:eastAsia="宋体" w:cs="宋体"/>
          <w:b/>
          <w:color w:val="auto"/>
          <w:sz w:val="32"/>
          <w:highlight w:val="none"/>
        </w:rPr>
        <w:t xml:space="preserve">项目名称：</w:t>
      </w:r>
      <w:r>
        <w:rPr>
          <w:rFonts w:hint="eastAsia" w:ascii="宋体" w:hAnsi="宋体" w:cs="宋体"/>
          <w:b/>
          <w:color w:val="auto"/>
          <w:sz w:val="32"/>
          <w:highlight w:val="none"/>
          <w:lang w:eastAsia="zh-CN"/>
        </w:rPr>
        <w:t xml:space="preserve">东渚街道2026-2027年度居家养老上门服务</w:t>
      </w:r>
      <w:r/>
    </w:p>
    <w:p>
      <w:pPr>
        <w:ind w:firstLine="321"/>
        <w:jc w:val="left"/>
        <w:spacing w:line="360" w:lineRule="auto"/>
        <w:rPr>
          <w:rFonts w:hint="eastAsia" w:ascii="宋体" w:hAnsi="宋体" w:cs="宋体"/>
          <w:b/>
          <w:color w:val="auto"/>
          <w:spacing w:val="20"/>
          <w:sz w:val="32"/>
          <w:highlight w:val="none"/>
        </w:rPr>
      </w:pPr>
      <w:r>
        <w:rPr>
          <w:rFonts w:hint="eastAsia" w:ascii="宋体" w:hAnsi="宋体" w:eastAsia="宋体" w:cs="宋体"/>
          <w:b/>
          <w:color w:val="auto"/>
          <w:sz w:val="32"/>
          <w:highlight w:val="none"/>
        </w:rPr>
        <w:t xml:space="preserve">项目类别：</w:t>
      </w:r>
      <w:r>
        <w:rPr>
          <w:rFonts w:hint="eastAsia" w:ascii="宋体" w:hAnsi="宋体" w:eastAsia="宋体" w:cs="宋体"/>
          <w:b/>
          <w:color w:val="auto"/>
          <w:spacing w:val="20"/>
          <w:sz w:val="32"/>
          <w:highlight w:val="none"/>
        </w:rPr>
        <w:t xml:space="preserve">服务类</w:t>
      </w:r>
      <w:r/>
    </w:p>
    <w:p>
      <w:pPr>
        <w:jc w:val="center"/>
        <w:rPr>
          <w:rFonts w:hint="eastAsia" w:ascii="宋体" w:hAnsi="宋体" w:cs="宋体"/>
          <w:b/>
          <w:color w:val="auto"/>
          <w:sz w:val="32"/>
          <w:highlight w:val="none"/>
        </w:rPr>
      </w:pPr>
      <w:r>
        <w:rPr>
          <w:rFonts w:hint="eastAsia" w:ascii="宋体" w:hAnsi="宋体" w:cs="宋体"/>
          <w:b/>
          <w:color w:val="auto"/>
          <w:sz w:val="32"/>
          <w:highlight w:val="none"/>
        </w:rPr>
      </w:r>
      <w:r/>
    </w:p>
    <w:p>
      <w:pPr>
        <w:ind w:firstLine="3534"/>
        <w:rPr>
          <w:rFonts w:hint="eastAsia" w:ascii="宋体" w:hAnsi="宋体" w:cs="宋体"/>
          <w:b/>
          <w:color w:val="auto"/>
          <w:sz w:val="32"/>
          <w:highlight w:val="none"/>
        </w:rPr>
      </w:pPr>
      <w:r>
        <w:rPr>
          <w:rFonts w:hint="eastAsia" w:ascii="宋体" w:hAnsi="宋体" w:cs="宋体"/>
          <w:b/>
          <w:color w:val="auto"/>
          <w:sz w:val="32"/>
          <w:highlight w:val="none"/>
        </w:rPr>
      </w:r>
      <w:r/>
    </w:p>
    <w:p>
      <w:pPr>
        <w:jc w:val="center"/>
        <w:spacing w:line="360" w:lineRule="auto"/>
        <w:rPr>
          <w:rFonts w:hint="eastAsia" w:ascii="宋体" w:hAnsi="宋体" w:cs="宋体"/>
          <w:b/>
          <w:color w:val="auto"/>
          <w:sz w:val="32"/>
          <w:highlight w:val="none"/>
        </w:rPr>
      </w:pPr>
      <w:r>
        <w:rPr>
          <w:rFonts w:hint="eastAsia" w:ascii="宋体" w:hAnsi="宋体" w:cs="宋体"/>
          <w:b/>
          <w:color w:val="auto"/>
          <w:sz w:val="32"/>
          <w:highlight w:val="none"/>
        </w:rPr>
      </w:r>
      <w:r/>
    </w:p>
    <w:p>
      <w:pPr>
        <w:pStyle w:val="828"/>
        <w:rPr>
          <w:rFonts w:hint="eastAsia" w:ascii="宋体" w:hAnsi="宋体" w:cs="宋体"/>
          <w:b/>
          <w:color w:val="auto"/>
          <w:sz w:val="32"/>
          <w:highlight w:val="none"/>
        </w:rPr>
      </w:pPr>
      <w:r>
        <w:rPr>
          <w:rFonts w:hint="eastAsia" w:ascii="宋体" w:hAnsi="宋体" w:cs="宋体"/>
          <w:b/>
          <w:color w:val="auto"/>
          <w:sz w:val="32"/>
          <w:highlight w:val="none"/>
        </w:rPr>
      </w:r>
      <w:r/>
    </w:p>
    <w:p>
      <w:pPr>
        <w:pStyle w:val="828"/>
        <w:rPr>
          <w:rFonts w:hint="eastAsia" w:ascii="宋体" w:hAnsi="宋体" w:cs="宋体"/>
          <w:b/>
          <w:color w:val="auto"/>
          <w:sz w:val="32"/>
          <w:highlight w:val="none"/>
        </w:rPr>
      </w:pPr>
      <w:r>
        <w:rPr>
          <w:rFonts w:hint="eastAsia" w:ascii="宋体" w:hAnsi="宋体" w:cs="宋体"/>
          <w:b/>
          <w:color w:val="auto"/>
          <w:sz w:val="32"/>
          <w:highlight w:val="none"/>
        </w:rPr>
      </w:r>
      <w:r/>
    </w:p>
    <w:p>
      <w:pPr>
        <w:pStyle w:val="828"/>
        <w:rPr>
          <w:rFonts w:hint="eastAsia" w:ascii="宋体" w:hAnsi="宋体" w:cs="宋体"/>
          <w:b/>
          <w:color w:val="auto"/>
          <w:sz w:val="32"/>
          <w:highlight w:val="none"/>
        </w:rPr>
      </w:pPr>
      <w:r>
        <w:rPr>
          <w:rFonts w:hint="eastAsia" w:ascii="宋体" w:hAnsi="宋体" w:cs="宋体"/>
          <w:b/>
          <w:color w:val="auto"/>
          <w:sz w:val="32"/>
          <w:highlight w:val="none"/>
        </w:rPr>
      </w:r>
      <w:r/>
    </w:p>
    <w:p>
      <w:pPr>
        <w:pStyle w:val="828"/>
        <w:rPr>
          <w:rFonts w:hint="eastAsia" w:ascii="宋体" w:hAnsi="宋体" w:cs="宋体"/>
          <w:b/>
          <w:color w:val="auto"/>
          <w:sz w:val="32"/>
          <w:highlight w:val="none"/>
        </w:rPr>
      </w:pPr>
      <w:r>
        <w:rPr>
          <w:rFonts w:hint="eastAsia" w:ascii="宋体" w:hAnsi="宋体" w:cs="宋体"/>
          <w:b/>
          <w:color w:val="auto"/>
          <w:sz w:val="32"/>
          <w:highlight w:val="none"/>
        </w:rPr>
      </w:r>
      <w:r/>
    </w:p>
    <w:p>
      <w:pPr>
        <w:pStyle w:val="828"/>
        <w:rPr>
          <w:rFonts w:hint="eastAsia" w:ascii="宋体" w:hAnsi="宋体" w:cs="宋体"/>
          <w:b/>
          <w:color w:val="auto"/>
          <w:sz w:val="32"/>
          <w:highlight w:val="none"/>
        </w:rPr>
      </w:pPr>
      <w:r>
        <w:rPr>
          <w:rFonts w:hint="eastAsia" w:ascii="宋体" w:hAnsi="宋体" w:cs="宋体"/>
          <w:b/>
          <w:color w:val="auto"/>
          <w:sz w:val="32"/>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cs="宋体"/>
          <w:b/>
          <w:color w:val="auto"/>
          <w:sz w:val="32"/>
          <w:highlight w:val="none"/>
          <w:lang w:eastAsia="zh-CN"/>
        </w:rPr>
        <w:t xml:space="preserve">苏州中苏御源工程咨询有限公司</w:t>
      </w:r>
      <w:r/>
    </w:p>
    <w:p>
      <w:pPr>
        <w:jc w:val="center"/>
        <w:spacing w:line="360" w:lineRule="auto"/>
        <w:rPr>
          <w:rFonts w:hint="eastAsia" w:ascii="宋体" w:hAnsi="宋体" w:cs="宋体"/>
          <w:b/>
          <w:color w:val="auto"/>
          <w:sz w:val="32"/>
          <w:highlight w:val="none"/>
        </w:rPr>
      </w:pPr>
      <w:r>
        <w:rPr>
          <w:rFonts w:hint="eastAsia" w:ascii="宋体" w:hAnsi="宋体" w:eastAsia="宋体" w:cs="宋体"/>
          <w:b/>
          <w:color w:val="auto"/>
          <w:sz w:val="32"/>
          <w:highlight w:val="none"/>
        </w:rPr>
        <w:t xml:space="preserve">二○二</w:t>
      </w:r>
      <w:r>
        <w:rPr>
          <w:rFonts w:hint="eastAsia" w:ascii="宋体" w:hAnsi="宋体" w:cs="宋体"/>
          <w:b/>
          <w:color w:val="auto"/>
          <w:sz w:val="32"/>
          <w:highlight w:val="none"/>
          <w:lang w:val="en-US" w:eastAsia="zh-CN"/>
        </w:rPr>
        <w:t xml:space="preserve">六</w:t>
      </w:r>
      <w:r>
        <w:rPr>
          <w:rFonts w:hint="eastAsia" w:ascii="宋体" w:hAnsi="宋体" w:eastAsia="宋体" w:cs="宋体"/>
          <w:b/>
          <w:color w:val="auto"/>
          <w:sz w:val="32"/>
          <w:highlight w:val="none"/>
        </w:rPr>
        <w:t xml:space="preserve">年</w:t>
      </w:r>
      <w:r>
        <w:rPr>
          <w:rFonts w:hint="eastAsia" w:ascii="宋体" w:hAnsi="宋体" w:cs="宋体"/>
          <w:b/>
          <w:color w:val="auto"/>
          <w:sz w:val="32"/>
          <w:highlight w:val="none"/>
          <w:lang w:val="en-US" w:eastAsia="zh-CN"/>
        </w:rPr>
        <w:t xml:space="preserve">八</w:t>
      </w:r>
      <w:r>
        <w:rPr>
          <w:rFonts w:hint="eastAsia" w:ascii="宋体" w:hAnsi="宋体" w:eastAsia="宋体" w:cs="宋体"/>
          <w:b/>
          <w:color w:val="auto"/>
          <w:sz w:val="32"/>
          <w:highlight w:val="none"/>
        </w:rPr>
        <w:t xml:space="preserve">月</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center"/>
        <w:tabs>
          <w:tab w:val="left" w:pos="315" w:leader="none"/>
          <w:tab w:val="center" w:pos="4153" w:leader="none"/>
        </w:tabs>
        <w:rPr>
          <w:rFonts w:hint="eastAsia" w:ascii="宋体" w:hAnsi="宋体" w:cs="宋体"/>
          <w:b/>
          <w:color w:val="auto"/>
          <w:sz w:val="52"/>
          <w:szCs w:val="52"/>
          <w:highlight w:val="none"/>
        </w:rPr>
        <w:sectPr>
          <w:headerReference w:type="even" r:id="rId9"/>
          <w:footerReference w:type="even" r:id="rId11"/>
          <w:footnotePr/>
          <w:endnotePr/>
          <w:type w:val="nextPage"/>
          <w:pgSz w:w="11906" w:h="16838" w:orient="portrait"/>
          <w:pgMar w:top="1043" w:right="1077" w:bottom="1043" w:left="1157" w:header="851" w:footer="992" w:gutter="0"/>
          <w:pgNumType w:start="1"/>
          <w:cols w:num="1" w:sep="0" w:space="1701" w:equalWidth="1"/>
          <w:docGrid w:linePitch="360"/>
          <w:titlePg/>
        </w:sectPr>
      </w:pPr>
      <w:r>
        <w:rPr>
          <w:rFonts w:hint="eastAsia" w:ascii="宋体" w:hAnsi="宋体" w:cs="宋体"/>
          <w:b/>
          <w:color w:val="auto"/>
          <w:sz w:val="52"/>
          <w:szCs w:val="52"/>
          <w:highlight w:val="none"/>
        </w:rPr>
      </w:r>
      <w:r/>
    </w:p>
    <w:p>
      <w:pPr>
        <w:jc w:val="center"/>
        <w:spacing w:line="360" w:lineRule="auto"/>
        <w:rPr>
          <w:rFonts w:hint="eastAsia" w:ascii="宋体" w:hAnsi="宋体" w:cs="宋体"/>
          <w:color w:val="auto"/>
          <w:sz w:val="44"/>
          <w:szCs w:val="44"/>
          <w:highlight w:val="none"/>
        </w:rPr>
      </w:pPr>
      <w:r>
        <w:rPr>
          <w:rFonts w:hint="eastAsia" w:ascii="宋体" w:hAnsi="宋体" w:eastAsia="宋体" w:cs="宋体"/>
          <w:color w:val="auto"/>
          <w:sz w:val="44"/>
          <w:szCs w:val="44"/>
          <w:highlight w:val="none"/>
        </w:rPr>
        <w:t xml:space="preserve">目    录</w:t>
      </w:r>
      <w:r/>
    </w:p>
    <w:p>
      <w:pPr>
        <w:pStyle w:val="769"/>
        <w:spacing w:line="360" w:lineRule="auto"/>
        <w:tabs>
          <w:tab w:val="right" w:pos="9209" w:leader="dot"/>
        </w:tabs>
        <w:rPr>
          <w:rStyle w:val="1020"/>
          <w:rFonts w:hint="eastAsia" w:ascii="宋体" w:hAnsi="宋体" w:cs="宋体"/>
          <w:b w:val="0"/>
          <w:bCs w:val="0"/>
          <w:color w:val="auto"/>
          <w:highlight w:val="none"/>
        </w:rPr>
      </w:pPr>
      <w:r>
        <w:rPr>
          <w:rFonts w:hint="eastAsia" w:ascii="宋体" w:hAnsi="宋体" w:cs="宋体"/>
          <w:b w:val="0"/>
          <w:bCs w:val="0"/>
          <w:color w:val="auto"/>
          <w:highlight w:val="none"/>
        </w:rPr>
      </w:r>
      <w:r/>
    </w:p>
    <w:p>
      <w:pPr>
        <w:pStyle w:val="769"/>
        <w:spacing w:line="360" w:lineRule="auto"/>
        <w:tabs>
          <w:tab w:val="right" w:pos="9209" w:leader="dot"/>
        </w:tabs>
        <w:rPr>
          <w:rFonts w:hint="eastAsia" w:ascii="宋体" w:hAnsi="宋体" w:cs="宋体"/>
          <w:color w:val="auto"/>
          <w:sz w:val="28"/>
          <w:szCs w:val="28"/>
          <w:highlight w:val="none"/>
        </w:rPr>
      </w:pPr>
      <w:r>
        <w:rPr>
          <w:rStyle w:val="1020"/>
          <w:rFonts w:hint="eastAsia" w:ascii="宋体" w:hAnsi="宋体" w:cs="宋体"/>
          <w:b w:val="0"/>
          <w:bCs w:val="0"/>
          <w:color w:val="auto"/>
          <w:highlight w:val="none"/>
        </w:rPr>
        <w:fldChar w:fldCharType="begin"/>
      </w:r>
      <w:r>
        <w:rPr>
          <w:rStyle w:val="1020"/>
          <w:rFonts w:hint="eastAsia" w:ascii="宋体" w:hAnsi="宋体" w:cs="宋体"/>
          <w:b w:val="0"/>
          <w:bCs w:val="0"/>
          <w:color w:val="auto"/>
          <w:sz w:val="28"/>
          <w:szCs w:val="28"/>
          <w:highlight w:val="none"/>
        </w:rPr>
        <w:instrText xml:space="preserve">TOC \o "1-1" \h \u </w:instrText>
      </w:r>
      <w:r>
        <w:rPr>
          <w:rStyle w:val="1020"/>
          <w:rFonts w:hint="eastAsia" w:ascii="宋体" w:hAnsi="宋体" w:cs="宋体"/>
          <w:b w:val="0"/>
          <w:bCs w:val="0"/>
          <w:color w:val="auto"/>
          <w:highlight w:val="none"/>
        </w:rPr>
        <w:fldChar w:fldCharType="separate"/>
      </w:r>
      <w:r>
        <w:rPr>
          <w:color w:val="auto"/>
          <w:highlight w:val="none"/>
        </w:rPr>
        <w:fldChar w:fldCharType="begin"/>
      </w:r>
      <w:r>
        <w:rPr>
          <w:color w:val="auto"/>
          <w:highlight w:val="none"/>
        </w:rPr>
        <w:instrText xml:space="preserve"> HYPERLINK \l "_Toc197425368" \o "#_Toc197425368" </w:instrText>
      </w:r>
      <w:r>
        <w:rPr>
          <w:color w:val="auto"/>
          <w:highlight w:val="none"/>
        </w:rPr>
        <w:fldChar w:fldCharType="separate"/>
      </w:r>
      <w:r>
        <w:rPr>
          <w:rStyle w:val="787"/>
          <w:rFonts w:hint="eastAsia" w:ascii="宋体" w:hAnsi="宋体" w:eastAsia="宋体" w:cs="宋体"/>
          <w:color w:val="auto"/>
          <w:sz w:val="28"/>
          <w:szCs w:val="28"/>
          <w:highlight w:val="none"/>
        </w:rPr>
        <w:t xml:space="preserve">第一章  磋商</w:t>
      </w:r>
      <w:r>
        <w:rPr>
          <w:rStyle w:val="787"/>
          <w:rFonts w:hint="eastAsia" w:ascii="宋体" w:hAnsi="宋体" w:cs="宋体"/>
          <w:color w:val="auto"/>
          <w:sz w:val="28"/>
          <w:szCs w:val="28"/>
          <w:highlight w:val="none"/>
          <w:lang w:val="en-US" w:eastAsia="zh-CN"/>
        </w:rPr>
        <w:t xml:space="preserve">公告</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w:instrText>
      </w:r>
      <w:r>
        <w:rPr>
          <w:rFonts w:ascii="宋体" w:hAnsi="宋体" w:cs="宋体"/>
          <w:color w:val="auto"/>
          <w:sz w:val="28"/>
          <w:szCs w:val="28"/>
          <w:highlight w:val="none"/>
        </w:rPr>
        <w:instrText xml:space="preserve">PAGEREF _Toc197425368 \h</w:instrText>
      </w:r>
      <w:r>
        <w:rPr>
          <w:rFonts w:hint="eastAsia" w:ascii="宋体" w:hAnsi="宋体" w:cs="宋体"/>
          <w:color w:val="auto"/>
          <w:sz w:val="28"/>
          <w:szCs w:val="28"/>
          <w:highlight w:val="none"/>
        </w:rPr>
        <w:instrText xml:space="preserve"> </w:instrText>
      </w:r>
      <w:r>
        <w:rPr>
          <w:rFonts w:hint="eastAsia" w:ascii="宋体" w:hAnsi="宋体" w:cs="宋体"/>
          <w:color w:val="auto"/>
          <w:sz w:val="28"/>
          <w:szCs w:val="28"/>
          <w:highlight w:val="none"/>
        </w:rPr>
        <w:fldChar w:fldCharType="separate"/>
      </w:r>
      <w:r>
        <w:rPr>
          <w:rFonts w:ascii="宋体" w:hAnsi="宋体" w:cs="宋体"/>
          <w:color w:val="auto"/>
          <w:sz w:val="28"/>
          <w:szCs w:val="28"/>
          <w:highlight w:val="none"/>
        </w:rPr>
        <w:t xml:space="preserve">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769"/>
        <w:spacing w:line="360" w:lineRule="auto"/>
        <w:tabs>
          <w:tab w:val="right" w:pos="920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"_Toc197425369" \o "#_Toc197425369" </w:instrText>
      </w:r>
      <w:r>
        <w:rPr>
          <w:color w:val="auto"/>
          <w:highlight w:val="none"/>
        </w:rPr>
        <w:fldChar w:fldCharType="separate"/>
      </w:r>
      <w:r>
        <w:rPr>
          <w:rStyle w:val="787"/>
          <w:rFonts w:hint="eastAsia" w:ascii="宋体" w:hAnsi="宋体" w:eastAsia="宋体" w:cs="宋体"/>
          <w:color w:val="auto"/>
          <w:sz w:val="28"/>
          <w:szCs w:val="28"/>
          <w:highlight w:val="none"/>
        </w:rPr>
        <w:t xml:space="preserve">第二章  磋商须知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w:instrText>
      </w:r>
      <w:r>
        <w:rPr>
          <w:rFonts w:ascii="宋体" w:hAnsi="宋体" w:cs="宋体"/>
          <w:color w:val="auto"/>
          <w:sz w:val="28"/>
          <w:szCs w:val="28"/>
          <w:highlight w:val="none"/>
        </w:rPr>
        <w:instrText xml:space="preserve">PAGEREF _Toc197425369 \h</w:instrText>
      </w:r>
      <w:r>
        <w:rPr>
          <w:rFonts w:hint="eastAsia" w:ascii="宋体" w:hAnsi="宋体" w:cs="宋体"/>
          <w:color w:val="auto"/>
          <w:sz w:val="28"/>
          <w:szCs w:val="28"/>
          <w:highlight w:val="none"/>
        </w:rPr>
        <w:instrText xml:space="preserve"> </w:instrText>
      </w:r>
      <w:r>
        <w:rPr>
          <w:rFonts w:hint="eastAsia" w:ascii="宋体" w:hAnsi="宋体" w:cs="宋体"/>
          <w:color w:val="auto"/>
          <w:sz w:val="28"/>
          <w:szCs w:val="28"/>
          <w:highlight w:val="none"/>
        </w:rPr>
        <w:fldChar w:fldCharType="separate"/>
      </w:r>
      <w:r>
        <w:rPr>
          <w:rFonts w:ascii="宋体" w:hAnsi="宋体" w:cs="宋体"/>
          <w:color w:val="auto"/>
          <w:sz w:val="28"/>
          <w:szCs w:val="28"/>
          <w:highlight w:val="none"/>
        </w:rPr>
        <w:t xml:space="preserve">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769"/>
        <w:spacing w:line="360" w:lineRule="auto"/>
        <w:tabs>
          <w:tab w:val="right" w:pos="920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"_Toc197425370" \o "#_Toc197425370" </w:instrText>
      </w:r>
      <w:r>
        <w:rPr>
          <w:color w:val="auto"/>
          <w:highlight w:val="none"/>
        </w:rPr>
        <w:fldChar w:fldCharType="separate"/>
      </w:r>
      <w:r>
        <w:rPr>
          <w:rStyle w:val="787"/>
          <w:rFonts w:hint="eastAsia" w:ascii="宋体" w:hAnsi="宋体" w:eastAsia="宋体" w:cs="宋体"/>
          <w:color w:val="auto"/>
          <w:sz w:val="28"/>
          <w:szCs w:val="28"/>
          <w:highlight w:val="none"/>
        </w:rPr>
        <w:t xml:space="preserve">第三章  磋商响应文件格式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w:instrText>
      </w:r>
      <w:r>
        <w:rPr>
          <w:rFonts w:ascii="宋体" w:hAnsi="宋体" w:cs="宋体"/>
          <w:color w:val="auto"/>
          <w:sz w:val="28"/>
          <w:szCs w:val="28"/>
          <w:highlight w:val="none"/>
        </w:rPr>
        <w:instrText xml:space="preserve">PAGEREF _Toc197425370 \h</w:instrText>
      </w:r>
      <w:r>
        <w:rPr>
          <w:rFonts w:hint="eastAsia" w:ascii="宋体" w:hAnsi="宋体" w:cs="宋体"/>
          <w:color w:val="auto"/>
          <w:sz w:val="28"/>
          <w:szCs w:val="28"/>
          <w:highlight w:val="none"/>
        </w:rPr>
        <w:instrText xml:space="preserve"> </w:instrText>
      </w:r>
      <w:r>
        <w:rPr>
          <w:rFonts w:hint="eastAsia" w:ascii="宋体" w:hAnsi="宋体" w:cs="宋体"/>
          <w:color w:val="auto"/>
          <w:sz w:val="28"/>
          <w:szCs w:val="28"/>
          <w:highlight w:val="none"/>
        </w:rPr>
        <w:fldChar w:fldCharType="separate"/>
      </w:r>
      <w:r>
        <w:rPr>
          <w:rFonts w:ascii="宋体" w:hAnsi="宋体" w:cs="宋体"/>
          <w:color w:val="auto"/>
          <w:sz w:val="28"/>
          <w:szCs w:val="28"/>
          <w:highlight w:val="none"/>
        </w:rPr>
        <w:t xml:space="preserve">21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769"/>
        <w:spacing w:line="360" w:lineRule="auto"/>
        <w:tabs>
          <w:tab w:val="right" w:pos="920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"_Toc197425371" \o "#_Toc197425371" </w:instrText>
      </w:r>
      <w:r>
        <w:rPr>
          <w:color w:val="auto"/>
          <w:highlight w:val="none"/>
        </w:rPr>
        <w:fldChar w:fldCharType="separate"/>
      </w:r>
      <w:r>
        <w:rPr>
          <w:rStyle w:val="787"/>
          <w:rFonts w:hint="eastAsia" w:ascii="宋体" w:hAnsi="宋体" w:eastAsia="宋体" w:cs="宋体"/>
          <w:color w:val="auto"/>
          <w:sz w:val="28"/>
          <w:szCs w:val="28"/>
          <w:highlight w:val="none"/>
        </w:rPr>
        <w:t xml:space="preserve">第四章  采购内容</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w:instrText>
      </w:r>
      <w:r>
        <w:rPr>
          <w:rFonts w:ascii="宋体" w:hAnsi="宋体" w:cs="宋体"/>
          <w:color w:val="auto"/>
          <w:sz w:val="28"/>
          <w:szCs w:val="28"/>
          <w:highlight w:val="none"/>
        </w:rPr>
        <w:instrText xml:space="preserve">PAGEREF _Toc197425371 \h</w:instrText>
      </w:r>
      <w:r>
        <w:rPr>
          <w:rFonts w:hint="eastAsia" w:ascii="宋体" w:hAnsi="宋体" w:cs="宋体"/>
          <w:color w:val="auto"/>
          <w:sz w:val="28"/>
          <w:szCs w:val="28"/>
          <w:highlight w:val="none"/>
        </w:rPr>
        <w:instrText xml:space="preserve"> </w:instrText>
      </w:r>
      <w:r>
        <w:rPr>
          <w:rFonts w:hint="eastAsia" w:ascii="宋体" w:hAnsi="宋体" w:cs="宋体"/>
          <w:color w:val="auto"/>
          <w:sz w:val="28"/>
          <w:szCs w:val="28"/>
          <w:highlight w:val="none"/>
        </w:rPr>
        <w:fldChar w:fldCharType="separate"/>
      </w:r>
      <w:r>
        <w:rPr>
          <w:rFonts w:ascii="宋体" w:hAnsi="宋体" w:cs="宋体"/>
          <w:color w:val="auto"/>
          <w:sz w:val="28"/>
          <w:szCs w:val="28"/>
          <w:highlight w:val="none"/>
        </w:rPr>
        <w:t xml:space="preserve">37</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769"/>
        <w:spacing w:line="360" w:lineRule="auto"/>
        <w:tabs>
          <w:tab w:val="right" w:pos="920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"_Toc197425372" \o "#_Toc197425372" </w:instrText>
      </w:r>
      <w:r>
        <w:rPr>
          <w:color w:val="auto"/>
          <w:highlight w:val="none"/>
        </w:rPr>
        <w:fldChar w:fldCharType="separate"/>
      </w:r>
      <w:r>
        <w:rPr>
          <w:rStyle w:val="787"/>
          <w:rFonts w:hint="eastAsia" w:ascii="宋体" w:hAnsi="宋体" w:eastAsia="宋体" w:cs="宋体"/>
          <w:color w:val="auto"/>
          <w:sz w:val="28"/>
          <w:szCs w:val="28"/>
          <w:highlight w:val="none"/>
        </w:rPr>
        <w:t xml:space="preserve">第五章  合同主要条款及格式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w:instrText>
      </w:r>
      <w:r>
        <w:rPr>
          <w:rFonts w:ascii="宋体" w:hAnsi="宋体" w:cs="宋体"/>
          <w:color w:val="auto"/>
          <w:sz w:val="28"/>
          <w:szCs w:val="28"/>
          <w:highlight w:val="none"/>
        </w:rPr>
        <w:instrText xml:space="preserve">PAGEREF _Toc197425372 \h</w:instrText>
      </w:r>
      <w:r>
        <w:rPr>
          <w:rFonts w:hint="eastAsia" w:ascii="宋体" w:hAnsi="宋体" w:cs="宋体"/>
          <w:color w:val="auto"/>
          <w:sz w:val="28"/>
          <w:szCs w:val="28"/>
          <w:highlight w:val="none"/>
        </w:rPr>
        <w:instrText xml:space="preserve"> </w:instrText>
      </w:r>
      <w:r>
        <w:rPr>
          <w:rFonts w:hint="eastAsia" w:ascii="宋体" w:hAnsi="宋体" w:cs="宋体"/>
          <w:color w:val="auto"/>
          <w:sz w:val="28"/>
          <w:szCs w:val="28"/>
          <w:highlight w:val="none"/>
        </w:rPr>
        <w:fldChar w:fldCharType="separate"/>
      </w:r>
      <w:r>
        <w:rPr>
          <w:rFonts w:ascii="宋体" w:hAnsi="宋体" w:cs="宋体"/>
          <w:color w:val="auto"/>
          <w:sz w:val="28"/>
          <w:szCs w:val="28"/>
          <w:highlight w:val="none"/>
        </w:rPr>
        <w:t xml:space="preserve">45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769"/>
        <w:spacing w:line="360" w:lineRule="auto"/>
        <w:tabs>
          <w:tab w:val="right" w:pos="920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"_Toc197425373" \o "#_Toc197425373" </w:instrText>
      </w:r>
      <w:r>
        <w:rPr>
          <w:color w:val="auto"/>
          <w:highlight w:val="none"/>
        </w:rPr>
        <w:fldChar w:fldCharType="separate"/>
      </w:r>
      <w:r>
        <w:rPr>
          <w:rStyle w:val="787"/>
          <w:rFonts w:hint="eastAsia" w:ascii="宋体" w:hAnsi="宋体" w:eastAsia="宋体" w:cs="宋体"/>
          <w:color w:val="auto"/>
          <w:sz w:val="28"/>
          <w:szCs w:val="28"/>
          <w:highlight w:val="none"/>
        </w:rPr>
        <w:t xml:space="preserve">第六章  评审办法及评分标准</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w:instrText>
      </w:r>
      <w:r>
        <w:rPr>
          <w:rFonts w:ascii="宋体" w:hAnsi="宋体" w:cs="宋体"/>
          <w:color w:val="auto"/>
          <w:sz w:val="28"/>
          <w:szCs w:val="28"/>
          <w:highlight w:val="none"/>
        </w:rPr>
        <w:instrText xml:space="preserve">PAGEREF _Toc197425373 \h</w:instrText>
      </w:r>
      <w:r>
        <w:rPr>
          <w:rFonts w:hint="eastAsia" w:ascii="宋体" w:hAnsi="宋体" w:cs="宋体"/>
          <w:color w:val="auto"/>
          <w:sz w:val="28"/>
          <w:szCs w:val="28"/>
          <w:highlight w:val="none"/>
        </w:rPr>
        <w:instrText xml:space="preserve"> </w:instrText>
      </w:r>
      <w:r>
        <w:rPr>
          <w:rFonts w:hint="eastAsia" w:ascii="宋体" w:hAnsi="宋体" w:cs="宋体"/>
          <w:color w:val="auto"/>
          <w:sz w:val="28"/>
          <w:szCs w:val="28"/>
          <w:highlight w:val="none"/>
        </w:rPr>
        <w:fldChar w:fldCharType="separate"/>
      </w:r>
      <w:r>
        <w:rPr>
          <w:rFonts w:ascii="宋体" w:hAnsi="宋体" w:cs="宋体"/>
          <w:color w:val="auto"/>
          <w:sz w:val="28"/>
          <w:szCs w:val="28"/>
          <w:highlight w:val="none"/>
        </w:rPr>
        <w:t xml:space="preserve">51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016"/>
        <w:jc w:val="both"/>
        <w:spacing w:line="360" w:lineRule="auto"/>
        <w:rPr>
          <w:rFonts w:hint="eastAsia" w:ascii="宋体" w:hAnsi="宋体" w:cs="宋体"/>
          <w:color w:val="auto"/>
          <w:highlight w:val="none"/>
        </w:rPr>
      </w:pPr>
      <w:r>
        <w:rPr>
          <w:rFonts w:hint="eastAsia" w:ascii="宋体" w:hAnsi="宋体" w:cs="宋体"/>
          <w:color w:val="auto"/>
          <w:sz w:val="28"/>
          <w:szCs w:val="28"/>
          <w:highlight w:val="none"/>
        </w:rPr>
        <w:fldChar w:fldCharType="end"/>
      </w:r>
      <w:r/>
    </w:p>
    <w:p>
      <w:pPr>
        <w:jc w:val="center"/>
        <w:spacing w:line="360" w:lineRule="auto"/>
        <w:rPr>
          <w:rFonts w:hint="eastAsia" w:ascii="宋体" w:hAnsi="宋体" w:eastAsia="宋体" w:cs="宋体"/>
          <w:color w:val="auto"/>
          <w:sz w:val="32"/>
          <w:szCs w:val="32"/>
          <w:highlight w:val="none"/>
        </w:rPr>
        <w:outlineLvl w:val="0"/>
      </w:pPr>
      <w:r>
        <w:rPr>
          <w:rFonts w:hint="eastAsia" w:ascii="宋体" w:hAnsi="宋体" w:cs="宋体"/>
          <w:color w:val="auto"/>
          <w:szCs w:val="21"/>
          <w:highlight w:val="none"/>
        </w:rPr>
        <w:br w:type="page" w:clear="all"/>
      </w:r>
      <w:bookmarkStart w:id="0" w:name="_Toc197425368"/>
      <w:r>
        <w:rPr>
          <w:rStyle w:val="1020"/>
          <w:rFonts w:hint="eastAsia" w:ascii="宋体" w:hAnsi="宋体" w:eastAsia="宋体" w:cs="宋体"/>
          <w:color w:val="auto"/>
          <w:sz w:val="32"/>
          <w:szCs w:val="32"/>
          <w:highlight w:val="none"/>
        </w:rPr>
        <w:t xml:space="preserve">第一章  磋商</w:t>
      </w:r>
      <w:bookmarkEnd w:id="0"/>
      <w:r>
        <w:rPr>
          <w:rStyle w:val="1020"/>
          <w:rFonts w:hint="eastAsia" w:ascii="宋体" w:hAnsi="宋体" w:cs="宋体"/>
          <w:color w:val="auto"/>
          <w:sz w:val="32"/>
          <w:szCs w:val="32"/>
          <w:highlight w:val="none"/>
          <w:lang w:val="en-US" w:eastAsia="zh-CN"/>
        </w:rPr>
        <w:t xml:space="preserve">公告</w:t>
      </w:r>
      <w:r/>
    </w:p>
    <w:p>
      <w:pPr>
        <w:ind w:firstLine="480"/>
        <w:spacing w:line="400" w:lineRule="exact"/>
        <w:rPr>
          <w:rFonts w:hint="eastAsia"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0"/>
        <w:spacing w:line="400" w:lineRule="exact"/>
        <w:rPr>
          <w:rFonts w:hint="eastAsia"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eastAsia="zh-CN"/>
        </w:rPr>
        <w:t xml:space="preserve">东渚街道2026-2027年度居家养老上门服务</w:t>
      </w:r>
      <w:r>
        <w:rPr>
          <w:rFonts w:hint="eastAsia" w:ascii="宋体" w:hAnsi="宋体" w:cs="宋体"/>
          <w:color w:val="auto"/>
          <w:sz w:val="24"/>
          <w:szCs w:val="24"/>
          <w:highlight w:val="none"/>
          <w:u w:val="none"/>
          <w:lang w:eastAsia="zh-CN"/>
        </w:rPr>
        <w:t xml:space="preserve">项目</w:t>
      </w:r>
      <w:r>
        <w:rPr>
          <w:rFonts w:hint="eastAsia" w:ascii="宋体" w:hAnsi="宋体" w:eastAsia="宋体" w:cs="宋体"/>
          <w:color w:val="auto"/>
          <w:sz w:val="24"/>
          <w:szCs w:val="24"/>
          <w:highlight w:val="none"/>
        </w:rPr>
        <w:t xml:space="preserve">的潜在供应商应在</w:t>
      </w:r>
      <w:r>
        <w:rPr>
          <w:rFonts w:hint="eastAsia" w:ascii="宋体" w:hAnsi="宋体" w:eastAsia="宋体" w:cs="宋体"/>
          <w:color w:val="auto"/>
          <w:sz w:val="24"/>
          <w:szCs w:val="24"/>
          <w:highlight w:val="none"/>
          <w:u w:val="single"/>
        </w:rPr>
        <w:t xml:space="preserve">苏采云</w:t>
      </w:r>
      <w:r>
        <w:rPr>
          <w:rFonts w:hint="eastAsia" w:ascii="宋体" w:hAnsi="宋体" w:eastAsia="宋体" w:cs="宋体"/>
          <w:color w:val="auto"/>
          <w:sz w:val="24"/>
          <w:szCs w:val="24"/>
          <w:highlight w:val="none"/>
        </w:rPr>
        <w:t xml:space="preserve">系统获取采购文件，并于</w:t>
      </w:r>
      <w:r>
        <w:rPr>
          <w:rFonts w:hint="eastAsia" w:ascii="宋体" w:hAnsi="宋体" w:eastAsia="宋体" w:cs="宋体"/>
          <w:color w:val="auto"/>
          <w:sz w:val="24"/>
          <w:szCs w:val="24"/>
          <w:highlight w:val="none"/>
          <w:lang w:val="en-US" w:eastAsia="zh-CN"/>
        </w:rPr>
        <w:t xml:space="preserve">2026</w:t>
      </w:r>
      <w:r>
        <w:rPr>
          <w:rFonts w:hint="eastAsia" w:ascii="宋体" w:hAnsi="宋体" w:eastAsia="宋体" w:cs="宋体"/>
          <w:color w:val="auto"/>
          <w:sz w:val="24"/>
          <w:szCs w:val="24"/>
          <w:highlight w:val="none"/>
        </w:rPr>
        <w:t xml:space="preserve">-09</w:t>
      </w:r>
      <w:r>
        <w:rPr>
          <w:rFonts w:hint="eastAsia" w:ascii="宋体" w:hAnsi="宋体" w:eastAsia="宋体" w:cs="宋体"/>
          <w:color w:val="auto"/>
          <w:sz w:val="24"/>
          <w:szCs w:val="24"/>
          <w:highlight w:val="none"/>
        </w:rPr>
        <w:t xml:space="preserve">-07</w:t>
      </w:r>
      <w:r>
        <w:rPr>
          <w:rFonts w:hint="eastAsia" w:ascii="宋体" w:hAnsi="宋体" w:eastAsia="宋体" w:cs="宋体"/>
          <w:color w:val="auto"/>
          <w:sz w:val="24"/>
          <w:szCs w:val="24"/>
          <w:highlight w:val="none"/>
        </w:rPr>
        <w:t xml:space="preserve"> 09:30</w:t>
      </w:r>
      <w:r>
        <w:rPr>
          <w:rFonts w:hint="eastAsia" w:ascii="宋体" w:hAnsi="宋体" w:eastAsia="宋体" w:cs="宋体"/>
          <w:bCs/>
          <w:color w:val="auto"/>
          <w:sz w:val="24"/>
          <w:szCs w:val="24"/>
          <w:highlight w:val="none"/>
        </w:rPr>
        <w:t xml:space="preserve">（北京时间）前提交响应文件</w:t>
      </w:r>
      <w:r>
        <w:rPr>
          <w:rFonts w:hint="eastAsia" w:ascii="宋体" w:hAnsi="宋体" w:eastAsia="宋体" w:cs="宋体"/>
          <w:color w:val="auto"/>
          <w:sz w:val="24"/>
          <w:szCs w:val="24"/>
          <w:highlight w:val="none"/>
        </w:rPr>
        <w:t xml:space="preserve">。</w:t>
      </w:r>
      <w:r/>
    </w:p>
    <w:p>
      <w:pPr>
        <w:ind w:firstLine="482"/>
        <w:spacing w:line="360" w:lineRule="auto"/>
        <w:rPr>
          <w:color w:val="auto"/>
          <w:highlight w:val="none"/>
        </w:rPr>
      </w:pPr>
      <w:r>
        <w:rPr>
          <w:color w:val="auto"/>
          <w:highlight w:val="none"/>
        </w:rPr>
      </w:r>
      <w:r/>
    </w:p>
    <w:p>
      <w:pPr>
        <w:ind w:firstLine="482"/>
        <w:spacing w:line="360" w:lineRule="auto"/>
        <w:rPr>
          <w:color w:val="auto"/>
          <w:highlight w:val="none"/>
        </w:rPr>
      </w:pPr>
      <w:r/>
      <w:bookmarkStart w:id="1" w:name="_Toc28359079"/>
      <w:r/>
      <w:bookmarkStart w:id="2" w:name="_Toc35393790"/>
      <w:r/>
      <w:bookmarkStart w:id="3" w:name="_Toc28359002"/>
      <w:r/>
      <w:bookmarkStart w:id="4" w:name="_Toc35393621"/>
      <w:r/>
      <w:bookmarkStart w:id="5" w:name="_Hlk24379207"/>
      <w:r>
        <w:rPr>
          <w:rFonts w:hint="eastAsia" w:ascii="宋体" w:hAnsi="宋体" w:eastAsia="宋体" w:cs="宋体"/>
          <w:b/>
          <w:color w:val="auto"/>
          <w:sz w:val="24"/>
          <w:szCs w:val="24"/>
          <w:highlight w:val="none"/>
        </w:rPr>
        <w:t xml:space="preserve">一、项目基本情况</w:t>
      </w:r>
      <w:bookmarkEnd w:id="1"/>
      <w:r/>
      <w:bookmarkEnd w:id="2"/>
      <w:r/>
      <w:bookmarkEnd w:id="3"/>
      <w:r/>
      <w:bookmarkEnd w:id="4"/>
      <w:r/>
      <w:bookmarkEnd w:id="5"/>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JSZC-320505-ZSYY-C2026-0005</w:t>
      </w:r>
      <w:r/>
    </w:p>
    <w:p>
      <w:pPr>
        <w:ind w:firstLine="480"/>
        <w:spacing w:line="360" w:lineRule="auto"/>
        <w:tabs>
          <w:tab w:val="left" w:pos="7088"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东渚街道2026-2027年度居家养老上门服务</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采购方式：竞争性磋商</w:t>
      </w:r>
      <w:r>
        <w:rPr>
          <w:color w:val="auto"/>
          <w:highlight w:val="none"/>
        </w:rPr>
        <w:tab/>
      </w:r>
      <w:r/>
    </w:p>
    <w:p>
      <w:pPr>
        <w:ind w:left="0" w:right="0" w:firstLine="480"/>
        <w:jc w:val="both"/>
        <w:spacing w:before="0"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人民币</w:t>
      </w:r>
      <w:r>
        <w:rPr>
          <w:rFonts w:hint="eastAsia" w:ascii="宋体" w:hAnsi="宋体" w:cs="宋体"/>
          <w:color w:val="auto"/>
          <w:sz w:val="24"/>
          <w:szCs w:val="24"/>
          <w:highlight w:val="none"/>
          <w:lang w:val="en-US" w:eastAsia="zh-CN"/>
        </w:rPr>
        <w:t xml:space="preserve">壹佰叁拾柒万壹仟陆佰元整</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1371600</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00元</w:t>
      </w:r>
      <w:r>
        <w:rPr>
          <w:rFonts w:hint="eastAsia" w:ascii="宋体" w:hAnsi="宋体" w:eastAsia="宋体" w:cs="宋体"/>
          <w:color w:val="auto"/>
          <w:sz w:val="24"/>
          <w:szCs w:val="24"/>
          <w:highlight w:val="none"/>
          <w:lang w:val="en-US" w:eastAsia="zh-CN"/>
        </w:rPr>
        <w:t xml:space="preserve">）</w:t>
      </w:r>
      <w:r/>
    </w:p>
    <w:p>
      <w:pPr>
        <w:ind w:left="0" w:right="0" w:firstLine="787"/>
        <w:jc w:val="both"/>
        <w:spacing w:before="0" w:after="0" w:line="360" w:lineRule="auto"/>
        <w:rPr>
          <w:rFonts w:hint="eastAsia" w:ascii="宋体" w:hAnsi="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最高限价：人民币</w:t>
      </w:r>
      <w:r>
        <w:rPr>
          <w:rFonts w:hint="eastAsia" w:ascii="宋体" w:hAnsi="宋体" w:cs="宋体"/>
          <w:color w:val="auto"/>
          <w:sz w:val="24"/>
          <w:szCs w:val="24"/>
          <w:highlight w:val="none"/>
          <w:lang w:val="en-US" w:eastAsia="zh-CN"/>
        </w:rPr>
        <w:t xml:space="preserve">壹佰叁拾柒万壹仟陆佰元整</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w:t>
      </w:r>
      <w:r>
        <w:rPr>
          <w:rFonts w:hint="eastAsia" w:ascii="宋体" w:hAnsi="宋体" w:cs="宋体"/>
          <w:color w:val="auto"/>
          <w:sz w:val="24"/>
          <w:szCs w:val="24"/>
          <w:highlight w:val="none"/>
          <w:lang w:val="en-US" w:eastAsia="zh-CN"/>
        </w:rPr>
        <w:t xml:space="preserve">1371600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00元</w:t>
      </w:r>
      <w:r>
        <w:rPr>
          <w:rFonts w:hint="eastAsia" w:ascii="宋体" w:hAnsi="宋体" w:eastAsia="宋体" w:cs="宋体"/>
          <w:color w:val="auto"/>
          <w:sz w:val="24"/>
          <w:szCs w:val="24"/>
          <w:highlight w:val="none"/>
        </w:rPr>
        <w:t xml:space="preserve">）</w:t>
      </w:r>
      <w:r/>
    </w:p>
    <w:p>
      <w:pPr>
        <w:ind w:firstLine="482"/>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采购需求：</w:t>
      </w:r>
      <w:r>
        <w:rPr>
          <w:rFonts w:hint="eastAsia" w:ascii="宋体" w:hAnsi="宋体" w:cs="宋体"/>
          <w:color w:val="auto"/>
          <w:sz w:val="24"/>
          <w:szCs w:val="24"/>
          <w:highlight w:val="none"/>
          <w:lang w:eastAsia="zh-CN"/>
        </w:rPr>
        <w:t xml:space="preserve">东渚街道2026-2027年度居家养老上门服务</w:t>
      </w:r>
      <w:r>
        <w:rPr>
          <w:rFonts w:hint="eastAsia" w:ascii="宋体" w:hAnsi="宋体" w:eastAsia="宋体" w:cs="宋体"/>
          <w:color w:val="auto"/>
          <w:sz w:val="24"/>
          <w:szCs w:val="24"/>
          <w:highlight w:val="none"/>
        </w:rPr>
        <w:t xml:space="preserve">，具体详见采购文件第四章。</w:t>
      </w:r>
      <w:r/>
    </w:p>
    <w:p>
      <w:pPr>
        <w:ind w:firstLine="482"/>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合同履行期限：</w:t>
      </w:r>
      <w:r>
        <w:rPr>
          <w:rFonts w:hint="eastAsia" w:ascii="宋体" w:hAnsi="宋体" w:cs="宋体"/>
          <w:color w:val="auto"/>
          <w:sz w:val="24"/>
          <w:szCs w:val="24"/>
          <w:highlight w:val="none"/>
          <w:lang w:val="en-US" w:eastAsia="zh-CN"/>
        </w:rPr>
        <w:t xml:space="preserve">6个月（具体实施时间以采购方通知为准），若合同服务期限内，苏州市出台新居家养老服务政策与合同内容冲突，以新政策为准，本合同解除</w:t>
      </w:r>
      <w:r>
        <w:rPr>
          <w:rFonts w:hint="eastAsia" w:ascii="宋体" w:hAnsi="宋体" w:eastAsia="宋体" w:cs="宋体"/>
          <w:color w:val="auto"/>
          <w:sz w:val="24"/>
          <w:szCs w:val="24"/>
          <w:highlight w:val="none"/>
        </w:rPr>
        <w:t xml:space="preserve">。</w:t>
      </w:r>
      <w:r/>
    </w:p>
    <w:p>
      <w:pPr>
        <w:numPr>
          <w:ilvl w:val="-1"/>
          <w:numId w:val="0"/>
        </w:numPr>
        <w:ind w:firstLine="482"/>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本项目（是/否）接受联合体：否</w:t>
      </w:r>
      <w:r/>
    </w:p>
    <w:p>
      <w:pPr>
        <w:ind w:firstLine="482"/>
        <w:spacing w:line="360" w:lineRule="auto"/>
        <w:rPr>
          <w:rFonts w:hint="eastAsia" w:ascii="宋体" w:hAnsi="宋体" w:cs="宋体"/>
          <w:b/>
          <w:color w:val="auto"/>
          <w:sz w:val="24"/>
          <w:szCs w:val="24"/>
          <w:highlight w:val="none"/>
        </w:rPr>
      </w:pPr>
      <w:r/>
      <w:bookmarkStart w:id="6" w:name="_Toc35393630"/>
      <w:r/>
      <w:bookmarkStart w:id="7" w:name="_Toc35393799"/>
      <w:r/>
      <w:bookmarkStart w:id="8" w:name="_Toc28359013"/>
      <w:r/>
      <w:bookmarkStart w:id="9" w:name="_Toc28359090"/>
      <w:r>
        <w:rPr>
          <w:rFonts w:hint="eastAsia" w:ascii="宋体" w:hAnsi="宋体" w:eastAsia="宋体" w:cs="宋体"/>
          <w:b/>
          <w:color w:val="auto"/>
          <w:sz w:val="24"/>
          <w:szCs w:val="24"/>
          <w:highlight w:val="none"/>
        </w:rPr>
        <w:t xml:space="preserve">二、申请人的资格要求：</w:t>
      </w:r>
      <w:bookmarkEnd w:id="6"/>
      <w:r/>
      <w:bookmarkEnd w:id="7"/>
      <w:r/>
      <w:bookmarkEnd w:id="8"/>
      <w:r/>
      <w:bookmarkEnd w:id="9"/>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bookmarkStart w:id="10" w:name="_Toc28359003"/>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bookmarkEnd w:id="10"/>
      <w:r/>
      <w:bookmarkStart w:id="11" w:name="_Toc28359091"/>
      <w:r/>
      <w:bookmarkStart w:id="12" w:name="_Toc28359014"/>
      <w:r/>
      <w:r/>
    </w:p>
    <w:p>
      <w:pPr>
        <w:ind w:firstLine="480"/>
        <w:spacing w:line="360" w:lineRule="auto"/>
        <w:rPr>
          <w:rFonts w:hint="eastAsia" w:ascii="宋体" w:hAnsi="宋体" w:cs="宋体"/>
          <w:color w:val="auto"/>
          <w:sz w:val="24"/>
          <w:szCs w:val="24"/>
          <w:highlight w:val="none"/>
        </w:rPr>
      </w:pPr>
      <w:r/>
      <w:bookmarkStart w:id="13" w:name="_Toc35393631"/>
      <w:r/>
      <w:bookmarkStart w:id="14" w:name="_Toc35393800"/>
      <w:r>
        <w:rPr>
          <w:rFonts w:hint="eastAsia" w:ascii="宋体" w:hAnsi="宋体" w:eastAsia="宋体" w:cs="宋体"/>
          <w:color w:val="auto"/>
          <w:sz w:val="24"/>
          <w:szCs w:val="24"/>
          <w:highlight w:val="none"/>
        </w:rPr>
        <w:t xml:space="preserve">（二）落实政府采购政策需满足的资格要求：</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1.根据《政府采购促进中小企业发展管理办法》的相关规定，本项目专门面向中小企业采购，</w:t>
      </w:r>
      <w:r>
        <w:rPr>
          <w:rFonts w:hint="eastAsia" w:ascii="宋体" w:hAnsi="宋体" w:eastAsia="宋体" w:cs="宋体"/>
          <w:b/>
          <w:bCs/>
          <w:color w:val="auto"/>
          <w:sz w:val="24"/>
          <w:szCs w:val="24"/>
          <w:highlight w:val="none"/>
        </w:rPr>
        <w:t xml:space="preserve">所属行业为</w:t>
      </w:r>
      <w:r>
        <w:rPr>
          <w:rFonts w:hint="eastAsia" w:ascii="宋体" w:hAnsi="宋体" w:eastAsia="宋体" w:cs="宋体"/>
          <w:b/>
          <w:bCs/>
          <w:color w:val="auto"/>
          <w:sz w:val="24"/>
          <w:szCs w:val="24"/>
          <w:highlight w:val="none"/>
          <w:u w:val="single"/>
        </w:rPr>
        <w:t xml:space="preserve">其他未列明行业</w:t>
      </w:r>
      <w:r>
        <w:rPr>
          <w:rFonts w:hint="eastAsia" w:ascii="宋体" w:hAnsi="宋体" w:eastAsia="宋体" w:cs="宋体"/>
          <w:color w:val="auto"/>
          <w:sz w:val="24"/>
          <w:szCs w:val="24"/>
          <w:highlight w:val="none"/>
        </w:rPr>
        <w:t xml:space="preserve">。供应商应提供《中小企业声明函》或《残疾人福利性单位声明函》或省级以上监狱管理局、戒毒管理局（含新疆生产建设兵团）出具的属于监狱企业的证明文件。</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1.未被“信用中国”或“中国政府采购网”网站列入失信被执行人、重大税收违法案件当事人名单、政府采购严重失信行为记录名单。</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auto"/>
          <w:sz w:val="24"/>
          <w:szCs w:val="24"/>
          <w:highlight w:val="none"/>
          <w:lang w:eastAsia="zh-CN"/>
        </w:rPr>
        <w:t xml:space="preserve">。</w:t>
      </w:r>
      <w:r/>
    </w:p>
    <w:p>
      <w:pPr>
        <w:ind w:firstLine="482"/>
        <w:spacing w:line="360" w:lineRule="auto"/>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三、获取采购文件</w:t>
      </w:r>
      <w:r/>
    </w:p>
    <w:p>
      <w:pPr>
        <w:ind w:firstLine="480"/>
        <w:spacing w:line="360" w:lineRule="auto"/>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时间：自磋商公告发布之日起5个工作日</w:t>
      </w:r>
      <w:r/>
    </w:p>
    <w:p>
      <w:pPr>
        <w:ind w:firstLine="480"/>
        <w:spacing w:line="360" w:lineRule="auto"/>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地点：苏采云系统</w:t>
      </w:r>
      <w:r/>
    </w:p>
    <w:p>
      <w:pPr>
        <w:ind w:firstLine="480"/>
        <w:spacing w:line="360" w:lineRule="auto"/>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方式：自行下载</w:t>
      </w:r>
      <w:r/>
    </w:p>
    <w:p>
      <w:pPr>
        <w:ind w:firstLine="480"/>
        <w:spacing w:line="360" w:lineRule="auto"/>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售价：0.00元</w:t>
      </w:r>
      <w:r/>
    </w:p>
    <w:p>
      <w:pPr>
        <w:ind w:firstLine="482"/>
        <w:spacing w:line="360" w:lineRule="auto"/>
        <w:widowControl/>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四、响应文件提交</w:t>
      </w:r>
      <w:r/>
    </w:p>
    <w:p>
      <w:pPr>
        <w:ind w:firstLine="480"/>
        <w:spacing w:line="360" w:lineRule="auto"/>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 xml:space="preserve">截止时间：</w:t>
      </w:r>
      <w:r>
        <w:rPr>
          <w:rFonts w:ascii="仿宋" w:hAnsi="仿宋" w:eastAsia="仿宋" w:cs="仿宋"/>
          <w:color w:val="auto"/>
          <w:sz w:val="28"/>
          <w:highlight w:val="none"/>
        </w:rPr>
        <w:t xml:space="preserve">202</w:t>
      </w:r>
      <w:r>
        <w:rPr>
          <w:rFonts w:hint="eastAsia" w:ascii="仿宋" w:hAnsi="仿宋" w:eastAsia="仿宋" w:cs="仿宋"/>
          <w:color w:val="auto"/>
          <w:sz w:val="28"/>
          <w:highlight w:val="none"/>
          <w:lang w:val="en-US" w:eastAsia="zh-CN"/>
        </w:rPr>
        <w:t xml:space="preserve">6</w:t>
      </w:r>
      <w:r>
        <w:rPr>
          <w:rFonts w:ascii="仿宋" w:hAnsi="仿宋" w:eastAsia="仿宋" w:cs="仿宋"/>
          <w:color w:val="auto"/>
          <w:sz w:val="28"/>
          <w:highlight w:val="none"/>
        </w:rPr>
        <w:t xml:space="preserve">-</w:t>
      </w:r>
      <w:r>
        <w:rPr>
          <w:rFonts w:hint="eastAsia" w:ascii="仿宋" w:hAnsi="仿宋" w:eastAsia="仿宋" w:cs="仿宋"/>
          <w:color w:val="auto"/>
          <w:sz w:val="28"/>
          <w:highlight w:val="none"/>
          <w:lang w:val="en-US" w:eastAsia="zh-CN"/>
        </w:rPr>
        <w:t xml:space="preserve">09</w:t>
      </w:r>
      <w:r>
        <w:rPr>
          <w:rFonts w:ascii="仿宋" w:hAnsi="仿宋" w:eastAsia="仿宋" w:cs="仿宋"/>
          <w:color w:val="auto"/>
          <w:sz w:val="28"/>
          <w:highlight w:val="none"/>
        </w:rPr>
        <w:t xml:space="preserve">-07</w:t>
      </w:r>
      <w:r>
        <w:rPr>
          <w:rFonts w:ascii="仿宋" w:hAnsi="仿宋" w:eastAsia="仿宋" w:cs="仿宋"/>
          <w:color w:val="auto"/>
          <w:sz w:val="28"/>
          <w:highlight w:val="none"/>
        </w:rPr>
        <w:t xml:space="preserve"> 09:30</w:t>
      </w:r>
      <w:r>
        <w:rPr>
          <w:rFonts w:hint="eastAsia" w:ascii="宋体" w:hAnsi="宋体" w:eastAsia="宋体" w:cs="宋体"/>
          <w:color w:val="auto"/>
          <w:sz w:val="24"/>
          <w:szCs w:val="24"/>
          <w:highlight w:val="none"/>
        </w:rPr>
        <w:t xml:space="preserve">（北京时间）</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地点：苏采云系统 </w:t>
      </w:r>
      <w:r/>
    </w:p>
    <w:p>
      <w:pPr>
        <w:ind w:firstLine="482"/>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五、开启</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ascii="仿宋" w:hAnsi="仿宋" w:eastAsia="仿宋" w:cs="仿宋"/>
          <w:color w:val="auto"/>
          <w:sz w:val="28"/>
          <w:highlight w:val="none"/>
        </w:rPr>
        <w:t xml:space="preserve">202</w:t>
      </w:r>
      <w:r>
        <w:rPr>
          <w:rFonts w:hint="eastAsia" w:ascii="仿宋" w:hAnsi="仿宋" w:eastAsia="仿宋" w:cs="仿宋"/>
          <w:color w:val="auto"/>
          <w:sz w:val="28"/>
          <w:highlight w:val="none"/>
          <w:lang w:val="en-US" w:eastAsia="zh-CN"/>
        </w:rPr>
        <w:t xml:space="preserve">6</w:t>
      </w:r>
      <w:r>
        <w:rPr>
          <w:rFonts w:ascii="仿宋" w:hAnsi="仿宋" w:eastAsia="仿宋" w:cs="仿宋"/>
          <w:color w:val="auto"/>
          <w:sz w:val="28"/>
          <w:highlight w:val="none"/>
        </w:rPr>
        <w:t xml:space="preserve">-</w:t>
      </w:r>
      <w:r>
        <w:rPr>
          <w:rFonts w:hint="eastAsia" w:ascii="仿宋" w:hAnsi="仿宋" w:eastAsia="仿宋" w:cs="仿宋"/>
          <w:color w:val="auto"/>
          <w:sz w:val="28"/>
          <w:highlight w:val="none"/>
          <w:lang w:val="en-US" w:eastAsia="zh-CN"/>
        </w:rPr>
        <w:t xml:space="preserve">09</w:t>
      </w:r>
      <w:r>
        <w:rPr>
          <w:rFonts w:ascii="仿宋" w:hAnsi="仿宋" w:eastAsia="仿宋" w:cs="仿宋"/>
          <w:color w:val="auto"/>
          <w:sz w:val="28"/>
          <w:highlight w:val="none"/>
        </w:rPr>
        <w:t xml:space="preserve">-07</w:t>
      </w:r>
      <w:r>
        <w:rPr>
          <w:rFonts w:ascii="仿宋" w:hAnsi="仿宋" w:eastAsia="仿宋" w:cs="仿宋"/>
          <w:color w:val="auto"/>
          <w:sz w:val="28"/>
          <w:highlight w:val="none"/>
        </w:rPr>
        <w:t xml:space="preserve"> 09:30</w:t>
      </w:r>
      <w:r>
        <w:rPr>
          <w:rFonts w:hint="eastAsia" w:ascii="宋体" w:hAnsi="宋体" w:eastAsia="宋体" w:cs="宋体"/>
          <w:color w:val="auto"/>
          <w:sz w:val="24"/>
          <w:szCs w:val="24"/>
          <w:highlight w:val="none"/>
        </w:rPr>
        <w:t xml:space="preserve">（北京时间）</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地点：</w:t>
      </w:r>
      <w:bookmarkEnd w:id="11"/>
      <w:r/>
      <w:bookmarkEnd w:id="12"/>
      <w:r/>
      <w:bookmarkEnd w:id="13"/>
      <w:r/>
      <w:bookmarkEnd w:id="14"/>
      <w:r>
        <w:rPr>
          <w:rFonts w:hint="eastAsia" w:ascii="宋体" w:hAnsi="宋体" w:eastAsia="宋体" w:cs="宋体"/>
          <w:color w:val="auto"/>
          <w:sz w:val="24"/>
          <w:szCs w:val="24"/>
          <w:highlight w:val="none"/>
        </w:rPr>
        <w:t xml:space="preserve">苏州市市辖区政府采购不见面虚拟开标室</w:t>
      </w:r>
      <w:r/>
    </w:p>
    <w:p>
      <w:pPr>
        <w:ind w:firstLine="482"/>
        <w:spacing w:line="360" w:lineRule="auto"/>
        <w:rPr>
          <w:rFonts w:hint="eastAsia" w:ascii="宋体" w:hAnsi="宋体" w:cs="宋体"/>
          <w:b/>
          <w:color w:val="auto"/>
          <w:sz w:val="24"/>
          <w:szCs w:val="24"/>
          <w:highlight w:val="none"/>
        </w:rPr>
      </w:pPr>
      <w:r>
        <w:rPr>
          <w:rFonts w:hint="eastAsia" w:ascii="宋体" w:hAnsi="宋体" w:eastAsia="宋体" w:cs="宋体"/>
          <w:b/>
          <w:bCs/>
          <w:color w:val="auto"/>
          <w:sz w:val="24"/>
          <w:szCs w:val="24"/>
          <w:highlight w:val="none"/>
        </w:rPr>
        <w:t xml:space="preserve">六、公告期限</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自本公告发布之日起3个工作日。</w:t>
      </w:r>
      <w:r/>
    </w:p>
    <w:p>
      <w:pPr>
        <w:ind w:firstLine="482"/>
        <w:spacing w:line="360" w:lineRule="auto"/>
        <w:rPr>
          <w:rFonts w:hint="eastAsia" w:ascii="宋体" w:hAnsi="宋体" w:cs="宋体"/>
          <w:b/>
          <w:color w:val="auto"/>
          <w:sz w:val="24"/>
          <w:szCs w:val="24"/>
          <w:highlight w:val="none"/>
        </w:rPr>
      </w:pPr>
      <w:r/>
      <w:bookmarkStart w:id="15" w:name="_Toc35393804"/>
      <w:r/>
      <w:bookmarkStart w:id="16" w:name="_Toc35393635"/>
      <w:r>
        <w:rPr>
          <w:rFonts w:hint="eastAsia" w:ascii="宋体" w:hAnsi="宋体" w:eastAsia="宋体" w:cs="宋体"/>
          <w:b/>
          <w:bCs/>
          <w:color w:val="auto"/>
          <w:sz w:val="24"/>
          <w:szCs w:val="24"/>
          <w:highlight w:val="none"/>
        </w:rPr>
        <w:t xml:space="preserve">七</w:t>
      </w:r>
      <w:r>
        <w:rPr>
          <w:rFonts w:hint="eastAsia" w:ascii="宋体" w:hAnsi="宋体" w:eastAsia="宋体" w:cs="宋体"/>
          <w:b/>
          <w:color w:val="auto"/>
          <w:sz w:val="24"/>
          <w:szCs w:val="24"/>
          <w:highlight w:val="none"/>
        </w:rPr>
        <w:t xml:space="preserve">、其他补充事宜</w:t>
      </w:r>
      <w:bookmarkEnd w:id="15"/>
      <w:r/>
      <w:bookmarkEnd w:id="16"/>
      <w:r/>
      <w:r/>
    </w:p>
    <w:p>
      <w:pPr>
        <w:ind w:firstLine="480"/>
        <w:spacing w:line="360" w:lineRule="auto"/>
        <w:widowControl/>
        <w:rPr>
          <w:rFonts w:hint="eastAsia" w:ascii="宋体" w:hAnsi="宋体" w:cs="宋体"/>
          <w:color w:val="auto"/>
          <w:sz w:val="24"/>
          <w:szCs w:val="24"/>
          <w:highlight w:val="none"/>
        </w:rPr>
      </w:pPr>
      <w:r/>
      <w:bookmarkStart w:id="17" w:name="_Toc35393805"/>
      <w:r/>
      <w:bookmarkStart w:id="18" w:name="_Toc28359095"/>
      <w:r/>
      <w:bookmarkStart w:id="19" w:name="_Toc35393636"/>
      <w:r/>
      <w:bookmarkStart w:id="20" w:name="_Toc28359018"/>
      <w:r>
        <w:rPr>
          <w:rFonts w:hint="eastAsia" w:ascii="宋体" w:hAnsi="宋体" w:eastAsia="宋体" w:cs="宋体"/>
          <w:color w:val="auto"/>
          <w:sz w:val="24"/>
          <w:szCs w:val="24"/>
          <w:highlight w:val="none"/>
        </w:rPr>
        <w:t xml:space="preserve">1、CA办理</w:t>
      </w:r>
      <w:r/>
    </w:p>
    <w:p>
      <w:pPr>
        <w:ind w:firstLine="480"/>
        <w:spacing w:line="360" w:lineRule="auto"/>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供应商通过“苏采云”政府采购交易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Style w:val="744"/>
          <w:rFonts w:ascii="仿宋" w:hAnsi="仿宋" w:eastAsia="仿宋" w:cs="仿宋"/>
          <w:i w:val="0"/>
          <w:iCs w:val="0"/>
          <w:caps w:val="0"/>
          <w:color w:val="auto"/>
          <w:spacing w:val="0"/>
          <w:sz w:val="24"/>
          <w:szCs w:val="24"/>
          <w:highlight w:val="none"/>
          <w:shd w:val="clear" w:color="auto" w:fill="ffffff"/>
        </w:rPr>
        <w:t xml:space="preserve">苏州现场办理地址：苏州高新区邓尉路105号狮山科技馆1楼服务大厅，咨询电话：0512-</w:t>
      </w:r>
      <w:r>
        <w:rPr>
          <w:rStyle w:val="744"/>
          <w:rFonts w:hint="eastAsia" w:ascii="仿宋" w:hAnsi="仿宋" w:eastAsia="仿宋" w:cs="仿宋"/>
          <w:i w:val="0"/>
          <w:iCs w:val="0"/>
          <w:caps w:val="0"/>
          <w:color w:val="auto"/>
          <w:spacing w:val="0"/>
          <w:sz w:val="24"/>
          <w:szCs w:val="24"/>
          <w:highlight w:val="none"/>
          <w:shd w:val="clear" w:color="auto" w:fill="ffffff"/>
        </w:rPr>
        <w:t xml:space="preserve">65737699</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2、依法获取采购文件</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供应商插入CA证书登陆“苏采云”系统后选择具体项目，点击“我要参与”并签章提交《供应商确认函》，确认参与后自行免费下载采购文件，提交《供应商确认函》日期视同为依法获取采购文件日期。供应商须打印、保留《供应商确认函》，质疑时《供应商确认函》与质疑函一并提交。未依照招标（采购）公告要求提交《供应商确认函》的供应商，视为未参与该项政府采购活动，不具备对该政府采购项目提出质疑的法定权利，但因供应商资格条件或获取招标（采购）文件时间设定不符合有关法律法规规定等原因使供应商权益受损的除外。</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更正（补充）公告及附件的获取：项目的招标（采购）文件的更正、补充（澄清）通知作为招标（采购）文件的组成部分，对响应单位起约束作用，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3、电子投标（响应）准备</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供应商在“苏采云”系统中操作成功参与项目后，必须在“已参与项目”界面中下载电子招标（采购）文件并导入政府采购客户端工具后方可进行投标（响应）文件制作和提交（具体详见《苏采云系统供应商操作手册》，网址链接https：//czju.suzhou.gov.cn/zfcg/html/content/20231220161910031.shtml）。</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4、线上参加开标（开启）会方式：</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响应）文件，如在系统规定的解密时间（投标/响应文件提交截止时间后30分钟）内未能完成解密的视为放弃投标。</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请供应商确保电脑、系统及其他设备（视频输入输出设备等）无误，且开标直至项目结束始终保持系统在线状态，并按要求在规定时间内进行响应。在评审过程中系统如有特殊情况，工作人员会及时通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5、在系统操作过程中如有疑问，请按以下方式联系：</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注册咨询：0512-69820854；</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CA技术咨询电话：400-608-6099；</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签章使用问题：025-83633811、025-83633812、15380932027、15371015030；</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系统使用指导与咨询：联系电话：0512-69820854；智能客服：登录苏采云系统后，联系系统右下方智能客服图标进行咨询。</w:t>
      </w:r>
      <w:r/>
    </w:p>
    <w:p>
      <w:pPr>
        <w:ind w:firstLine="480"/>
        <w:spacing w:line="360" w:lineRule="auto"/>
        <w:rPr>
          <w:rFonts w:hint="eastAsia" w:ascii="宋体" w:hAnsi="宋体" w:cs="宋体"/>
          <w:bCs/>
          <w:color w:val="auto"/>
          <w:sz w:val="24"/>
          <w:szCs w:val="24"/>
          <w:highlight w:val="none"/>
        </w:rPr>
      </w:pPr>
      <w:r>
        <w:rPr>
          <w:rFonts w:hint="eastAsia" w:ascii="宋体" w:hAnsi="宋体" w:eastAsia="宋体" w:cs="宋体"/>
          <w:color w:val="auto"/>
          <w:sz w:val="24"/>
          <w:szCs w:val="24"/>
          <w:highlight w:val="none"/>
        </w:rPr>
        <w:t xml:space="preserve">6、考虑到熟悉“苏采云”系统、办理CA证书都需要一定的时间，请提早准备以免耽误招（投）标采购活动。</w:t>
      </w:r>
      <w:r/>
    </w:p>
    <w:p>
      <w:pPr>
        <w:ind w:firstLine="480"/>
        <w:spacing w:line="360" w:lineRule="auto"/>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7、拒绝下述供应商参加本次采购活动：</w:t>
      </w:r>
      <w:r/>
    </w:p>
    <w:p>
      <w:pPr>
        <w:ind w:firstLine="480"/>
        <w:spacing w:line="360" w:lineRule="auto"/>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（1）单位负责人为同一人或者存在直接控股、管理关系的不同供应商，不得参加同一合同项下的政府采购活动。</w:t>
      </w:r>
      <w:r/>
    </w:p>
    <w:p>
      <w:pPr>
        <w:ind w:firstLine="480"/>
        <w:spacing w:line="360" w:lineRule="auto"/>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（2）为采购项目提供整体设计、规范编制或者项目管理、监理、检测等服务的供应商，不得再参加该采购项目的其他采购活动。</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8、本公告同时在中国政府采购网、江苏政府采购网、苏州市政府采购网上发布。</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9、本项目获取采购文件截止日期之后下载的采购文件，视为非有效方式且不作为供应商权益受到损害的证明材料和依据。</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10、本项目不收取磋商保证金。</w:t>
      </w:r>
      <w:r/>
    </w:p>
    <w:p>
      <w:pPr>
        <w:ind w:firstLine="482"/>
        <w:spacing w:line="360" w:lineRule="auto"/>
        <w:rPr>
          <w:rFonts w:hint="eastAsia" w:ascii="宋体" w:hAnsi="宋体" w:cs="宋体"/>
          <w:color w:val="auto"/>
          <w:sz w:val="24"/>
          <w:szCs w:val="24"/>
          <w:highlight w:val="none"/>
        </w:rPr>
      </w:pPr>
      <w:r>
        <w:rPr>
          <w:rFonts w:hint="eastAsia" w:ascii="宋体" w:hAnsi="宋体" w:eastAsia="宋体" w:cs="宋体"/>
          <w:b/>
          <w:bCs/>
          <w:color w:val="auto"/>
          <w:sz w:val="24"/>
          <w:szCs w:val="24"/>
          <w:highlight w:val="none"/>
        </w:rPr>
        <w:t xml:space="preserve">11、不同磋商响应单位的响应文件“机器码一致”，响应文件将被拒绝。</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12、本项目支持政府采购合同信用融资。</w:t>
      </w:r>
      <w:r/>
    </w:p>
    <w:p>
      <w:pPr>
        <w:ind w:firstLine="482"/>
        <w:spacing w:line="360" w:lineRule="auto"/>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八、凡对本次采购提出询问，请按以下方式联系。</w:t>
      </w:r>
      <w:bookmarkEnd w:id="17"/>
      <w:r/>
      <w:bookmarkEnd w:id="18"/>
      <w:r/>
      <w:bookmarkEnd w:id="19"/>
      <w:r/>
      <w:bookmarkEnd w:id="20"/>
      <w:r/>
      <w:r/>
    </w:p>
    <w:p>
      <w:pPr>
        <w:ind w:firstLine="84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84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zh-CN"/>
        </w:rPr>
        <w:t xml:space="preserve">名    称：</w:t>
      </w:r>
      <w:r>
        <w:rPr>
          <w:rFonts w:hint="eastAsia" w:ascii="宋体" w:hAnsi="宋体" w:cs="宋体"/>
          <w:color w:val="auto"/>
          <w:sz w:val="24"/>
          <w:szCs w:val="24"/>
          <w:highlight w:val="none"/>
          <w:lang w:val="zh-CN"/>
        </w:rPr>
        <w:t xml:space="preserve">苏州高新区(虎丘区)东渚街道办事处</w:t>
      </w:r>
      <w:r/>
    </w:p>
    <w:p>
      <w:pPr>
        <w:ind w:firstLine="839"/>
        <w:spacing w:line="360" w:lineRule="auto"/>
        <w:rPr>
          <w:rFonts w:hint="eastAsia" w:ascii="宋体" w:hAnsi="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地    址：</w:t>
      </w:r>
      <w:r>
        <w:rPr>
          <w:rFonts w:hint="eastAsia" w:ascii="宋体" w:hAnsi="宋体" w:cs="宋体"/>
          <w:color w:val="auto"/>
          <w:sz w:val="24"/>
          <w:szCs w:val="24"/>
          <w:highlight w:val="none"/>
          <w:lang w:val="zh-CN"/>
        </w:rPr>
        <w:t xml:space="preserve">苏州高新区科技城培源路3号</w:t>
      </w:r>
      <w:r/>
    </w:p>
    <w:p>
      <w:pPr>
        <w:ind w:firstLine="839"/>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联 系 人：</w:t>
      </w:r>
      <w:r>
        <w:rPr>
          <w:rFonts w:hint="eastAsia" w:ascii="宋体" w:hAnsi="宋体" w:cs="宋体"/>
          <w:color w:val="auto"/>
          <w:sz w:val="24"/>
          <w:szCs w:val="24"/>
          <w:highlight w:val="none"/>
          <w:lang w:val="en-US" w:eastAsia="zh-CN"/>
        </w:rPr>
        <w:t xml:space="preserve">徐工</w:t>
      </w:r>
      <w:r/>
    </w:p>
    <w:p>
      <w:pPr>
        <w:ind w:firstLine="84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联系电话：</w:t>
      </w:r>
      <w:r>
        <w:rPr>
          <w:rFonts w:hint="eastAsia" w:ascii="宋体" w:hAnsi="宋体" w:cs="宋体"/>
          <w:color w:val="auto"/>
          <w:sz w:val="24"/>
          <w:szCs w:val="24"/>
          <w:highlight w:val="none"/>
          <w:lang w:val="en-US" w:eastAsia="zh-CN"/>
        </w:rPr>
        <w:t xml:space="preserve">0512-</w:t>
      </w:r>
      <w:r>
        <w:rPr>
          <w:rFonts w:hint="eastAsia" w:ascii="宋体" w:hAnsi="宋体" w:eastAsia="宋体" w:cs="宋体"/>
          <w:color w:val="auto"/>
          <w:sz w:val="24"/>
          <w:szCs w:val="24"/>
          <w:highlight w:val="none"/>
          <w:lang w:val="zh-CN"/>
        </w:rPr>
        <w:t xml:space="preserve">66891715</w:t>
      </w:r>
      <w:r/>
    </w:p>
    <w:p>
      <w:pPr>
        <w:ind w:firstLine="84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8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苏州中苏御源工程咨询有限公司</w:t>
      </w:r>
      <w:r/>
    </w:p>
    <w:p>
      <w:pPr>
        <w:ind w:firstLine="84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地    址：苏州高新区鹿山路369号4幢3楼</w:t>
      </w:r>
      <w:r/>
    </w:p>
    <w:p>
      <w:pPr>
        <w:ind w:firstLine="84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 系 人：李欢欢、邹智宇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丁苏苏</w:t>
      </w:r>
      <w:r/>
    </w:p>
    <w:p>
      <w:pPr>
        <w:ind w:firstLine="84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联系方式：0512-65583189</w:t>
      </w:r>
      <w:r/>
    </w:p>
    <w:p>
      <w:pPr>
        <w:ind w:firstLine="84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84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项目联系人：李欢欢、邹智宇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丁苏苏</w:t>
      </w:r>
      <w:r/>
    </w:p>
    <w:p>
      <w:pPr>
        <w:ind w:firstLine="84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电话：0512-65583189</w:t>
      </w:r>
      <w:r/>
    </w:p>
    <w:p>
      <w:pPr>
        <w:jc w:val="center"/>
        <w:spacing w:line="360" w:lineRule="auto"/>
        <w:tabs>
          <w:tab w:val="left" w:pos="8930" w:leader="none"/>
          <w:tab w:val="left" w:pos="9306" w:leader="none"/>
        </w:tabs>
        <w:rPr>
          <w:rFonts w:hint="eastAsia" w:ascii="宋体" w:hAnsi="宋体" w:cs="宋体"/>
          <w:color w:val="auto"/>
          <w:sz w:val="32"/>
          <w:szCs w:val="32"/>
          <w:highlight w:val="none"/>
        </w:rPr>
        <w:outlineLvl w:val="0"/>
      </w:pPr>
      <w:r>
        <w:rPr>
          <w:rFonts w:hint="eastAsia" w:ascii="宋体" w:hAnsi="宋体" w:cs="宋体"/>
          <w:b/>
          <w:bCs/>
          <w:color w:val="auto"/>
          <w:sz w:val="24"/>
          <w:szCs w:val="24"/>
          <w:highlight w:val="none"/>
        </w:rPr>
        <w:br w:type="page" w:clear="all"/>
      </w:r>
      <w:bookmarkStart w:id="21" w:name="_Toc197425369"/>
      <w:r>
        <w:rPr>
          <w:rStyle w:val="1020"/>
          <w:rFonts w:hint="eastAsia" w:ascii="宋体" w:hAnsi="宋体" w:eastAsia="宋体" w:cs="宋体"/>
          <w:color w:val="auto"/>
          <w:sz w:val="32"/>
          <w:szCs w:val="32"/>
          <w:highlight w:val="none"/>
        </w:rPr>
        <w:t xml:space="preserve">第二章  磋商须知</w:t>
      </w:r>
      <w:bookmarkEnd w:id="21"/>
      <w:r/>
      <w:r/>
    </w:p>
    <w:p>
      <w:pPr>
        <w:ind w:firstLine="482"/>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1.说明</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1.1本采购文件仅适用于</w:t>
      </w:r>
      <w:r>
        <w:rPr>
          <w:rFonts w:hint="eastAsia" w:ascii="宋体" w:hAnsi="宋体" w:cs="宋体"/>
          <w:color w:val="auto"/>
          <w:sz w:val="24"/>
          <w:szCs w:val="24"/>
          <w:highlight w:val="none"/>
          <w:lang w:eastAsia="zh-CN"/>
        </w:rPr>
        <w:t xml:space="preserve">苏州中苏御源工程咨询有限公司</w:t>
      </w:r>
      <w:r>
        <w:rPr>
          <w:rFonts w:hint="eastAsia" w:ascii="宋体" w:hAnsi="宋体" w:eastAsia="宋体" w:cs="宋体"/>
          <w:color w:val="auto"/>
          <w:sz w:val="24"/>
          <w:szCs w:val="24"/>
          <w:highlight w:val="none"/>
        </w:rPr>
        <w:t xml:space="preserve">组织的采购活动。</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1.2本次采购活动及因本次采购产生的合同受中国法律制约和保护。</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1.3本采购文件的解释权属于</w:t>
      </w:r>
      <w:r>
        <w:rPr>
          <w:rFonts w:hint="eastAsia" w:ascii="宋体" w:hAnsi="宋体" w:cs="宋体"/>
          <w:color w:val="auto"/>
          <w:sz w:val="24"/>
          <w:szCs w:val="24"/>
          <w:highlight w:val="none"/>
          <w:lang w:eastAsia="zh-CN"/>
        </w:rPr>
        <w:t xml:space="preserve">苏州中苏御源工程咨询有限公司</w:t>
      </w:r>
      <w:r>
        <w:rPr>
          <w:rFonts w:hint="eastAsia" w:ascii="宋体" w:hAnsi="宋体" w:eastAsia="宋体" w:cs="宋体"/>
          <w:color w:val="auto"/>
          <w:sz w:val="24"/>
          <w:szCs w:val="24"/>
          <w:highlight w:val="none"/>
        </w:rPr>
        <w:t xml:space="preserve">。</w:t>
      </w:r>
      <w:r/>
    </w:p>
    <w:p>
      <w:pPr>
        <w:ind w:firstLine="482"/>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2.词语释义</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2.1采购单位：依法进行政府采购的国家机关、事业单位、团体组织。</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2.2供应商：响应磋商并且符合采购文件规定资格条件和参加磋商竞争的法人、其他组织或者自然人。</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2.3响应：供应商根据采购单位发布的采购文件，编制磋商响应文件并按规定参与磋商的行为。</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2.4合同：采供双方根据采购文件和成交的磋商响应文件及成交通知书规定的内容签署的以书面形式所达成的协议，包括所有的附件、附录和构成协议的所有文件。</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2.5甲方（采购方）：合同中明确规定的实际购买货物和服务的法人或其他组织和自然人。</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2.6乙方（供应商）：合同中规定的向采购方提供货物和服务的法人或其他组织和自然人。</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2.7货物：系指乙方按采购文件规定，应向甲方提供的一切设备、备品、备件、工具、手册及其它有关技术资料和材料。</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2.8服务：系指本次采购文件规定乙方应承担的与提供货物和服务有关的辅助服务，比如运输、保险、安装、调试、提供技术援助、培训、配合措施、维修响应及合同中规定乙方应承担的其它义务。</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2.9知识产权：指专利权、商标权、著作权等无形财产专有权的统称。</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2.10天：日历天。</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2.11交货地点：合同中明确约定的乙方提交的货物和服务最终到达地点。</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2.12合同价款：根据合同规定，乙方在正确的履行合同义务后甲方应支付乙方的价款。</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2.13产地：货物开采、生长、生产、最终制造、加工或提供服务的来源地。</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2.14不可抗力：不能预见、不能避免并且不能克服的客观情况。</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2.15实质响应：满足有关本次采购标的、数量、质量、价款或者报酬、履行期限、履行地点和方式、违约责任和解决争议方法等要求。</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2.16进口产品：通过中国海关报关验放进入中国境内且产自关境外的产品。</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2.17书面形式：指书面文字、合同书、信件和传真等可以有形地表现所载内容的形式。</w:t>
      </w:r>
      <w:r/>
    </w:p>
    <w:p>
      <w:pPr>
        <w:ind w:firstLine="482"/>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3.合格供应商的一般条件</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3.1具有独立承担民事责任的能力；</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3.2具有良好的商业信誉和健全的财务会计制度；</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3.3具有履行合同所必需的设备和专业技术能力；</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3.4有依法缴纳税收和社会保障资金的良好记录；</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3.5参加政府采购活动前三年内，在经营活动中没有重大违法记录；</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3.6法律、行政法规规定的其他条件。</w:t>
      </w:r>
      <w:r/>
    </w:p>
    <w:p>
      <w:pPr>
        <w:ind w:firstLine="482"/>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4.供应商代表</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4.1指全权代表供应商参加磋商采购活动并签署磋商响应文件的人，如果磋商供应商代表不是法人代表，须持有《法人代表授权委托书》（详见附件格式）。</w:t>
      </w:r>
      <w:r/>
    </w:p>
    <w:p>
      <w:pPr>
        <w:ind w:firstLine="482"/>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5.磋商费用</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5.1无论磋商过程中的做法和结果如何，磋商供应商自行承担所有与参加磋商有关的全部费用。</w:t>
      </w:r>
      <w:r/>
    </w:p>
    <w:p>
      <w:pPr>
        <w:ind w:firstLine="482"/>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6.联合体响应</w:t>
      </w:r>
      <w:r/>
    </w:p>
    <w:p>
      <w:pPr>
        <w:ind w:firstLine="482"/>
        <w:spacing w:line="360" w:lineRule="auto"/>
        <w:rPr>
          <w:rFonts w:hint="eastAsia" w:ascii="宋体" w:hAnsi="宋体" w:cs="宋体"/>
          <w:b/>
          <w:bCs/>
          <w:color w:val="auto"/>
          <w:spacing w:val="-1"/>
          <w:sz w:val="24"/>
          <w:szCs w:val="24"/>
          <w:highlight w:val="none"/>
        </w:rPr>
      </w:pPr>
      <w:r>
        <w:rPr>
          <w:rFonts w:hint="eastAsia" w:ascii="宋体" w:hAnsi="宋体" w:eastAsia="宋体" w:cs="宋体"/>
          <w:b/>
          <w:bCs/>
          <w:color w:val="auto"/>
          <w:sz w:val="24"/>
          <w:szCs w:val="24"/>
          <w:highlight w:val="none"/>
        </w:rPr>
        <w:t xml:space="preserve">本项目不接受联合体响应。</w:t>
      </w:r>
      <w:r/>
    </w:p>
    <w:p>
      <w:pPr>
        <w:ind w:firstLine="476"/>
        <w:spacing w:line="360" w:lineRule="auto"/>
        <w:rPr>
          <w:rFonts w:hint="eastAsia" w:ascii="宋体" w:hAnsi="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6.1联合体各方应当向采购人提交联合体协议书，载明联合体各方承担的工作和义务，明确小微企业（残疾人福利性单位、监狱企业）的合同份额占到合同总金额的比例（如涉及），否则响应无效。</w:t>
      </w:r>
      <w:r/>
    </w:p>
    <w:p>
      <w:pPr>
        <w:ind w:firstLine="476"/>
        <w:spacing w:line="360" w:lineRule="auto"/>
        <w:rPr>
          <w:rFonts w:hint="eastAsia" w:ascii="宋体" w:hAnsi="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6.2联合体中有同类资质的供应商按照联合体分工承担相同工作的，应当按照资质等级较低的供应商确定资质等级。</w:t>
      </w:r>
      <w:r/>
    </w:p>
    <w:p>
      <w:pPr>
        <w:ind w:firstLine="476"/>
        <w:spacing w:line="360" w:lineRule="auto"/>
        <w:rPr>
          <w:rFonts w:hint="eastAsia" w:ascii="宋体" w:hAnsi="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6.3联合体各方不得再单独参加或者与其他供应商另外组成联合体参加同一合同项下的政府采购活动，否则各相关响应均无效。</w:t>
      </w:r>
      <w:r/>
    </w:p>
    <w:p>
      <w:pPr>
        <w:ind w:firstLine="476"/>
        <w:spacing w:line="360" w:lineRule="auto"/>
        <w:rPr>
          <w:rFonts w:hint="eastAsia" w:ascii="宋体" w:hAnsi="宋体" w:cs="宋体"/>
          <w:b/>
          <w:bCs/>
          <w:color w:val="auto"/>
          <w:sz w:val="24"/>
          <w:szCs w:val="24"/>
          <w:highlight w:val="none"/>
        </w:rPr>
      </w:pPr>
      <w:r>
        <w:rPr>
          <w:rFonts w:hint="eastAsia" w:ascii="宋体" w:hAnsi="宋体" w:eastAsia="宋体" w:cs="宋体"/>
          <w:color w:val="auto"/>
          <w:spacing w:val="-1"/>
          <w:sz w:val="24"/>
          <w:szCs w:val="24"/>
          <w:highlight w:val="none"/>
        </w:rPr>
        <w:t xml:space="preserve">6.4联合体各方应当共同与采购人签订采购合同，就采购合同约定的事项对采购人承担连带责任。</w:t>
      </w:r>
      <w:r/>
    </w:p>
    <w:p>
      <w:pPr>
        <w:ind w:firstLine="482"/>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7.采购文件及采购文件的澄清或修改</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7.1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7.2提交首次响应文件截止之日前，采购代理机构有权在出于实际需要的情况下，以“更正（补充）公告”的形式在原公告发布媒体上对已发出的采购文件进行必要的澄清或者修改。澄清或者修改的内容作为采购文件的组成部分，对所有供应商具有约束力。为保证供应商有足够时间修正响应文件，或出于其他合理原因，采购代理机构可依法顺延提交首次响应文件截止之日。</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7.3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p>
    <w:p>
      <w:pPr>
        <w:ind w:firstLine="482"/>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8.采购文件提疑</w:t>
      </w:r>
      <w:r/>
    </w:p>
    <w:p>
      <w:pPr>
        <w:ind w:firstLine="480"/>
        <w:spacing w:line="360" w:lineRule="auto"/>
        <w:tabs>
          <w:tab w:val="left" w:pos="8930" w:leader="none"/>
          <w:tab w:val="left" w:pos="9306" w:leader="none"/>
        </w:tabs>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8.1询问：</w:t>
      </w:r>
      <w:r>
        <w:rPr>
          <w:rFonts w:hint="eastAsia" w:ascii="宋体" w:hAnsi="宋体" w:eastAsia="宋体" w:cs="宋体"/>
          <w:color w:val="auto"/>
          <w:sz w:val="24"/>
          <w:szCs w:val="24"/>
          <w:highlight w:val="none"/>
        </w:rPr>
        <w:t xml:space="preserve">供应商在收到采购文件后，若有问题需要询问，应于下载采购文件后在“苏采云”里及时提出，采购代理机构将予以解答。</w:t>
      </w:r>
      <w:r/>
    </w:p>
    <w:p>
      <w:pPr>
        <w:ind w:firstLine="480"/>
        <w:spacing w:line="360" w:lineRule="auto"/>
        <w:tabs>
          <w:tab w:val="left" w:pos="8930" w:leader="none"/>
          <w:tab w:val="left" w:pos="9306" w:leader="none"/>
        </w:tabs>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8.2质疑：</w:t>
      </w:r>
      <w:r/>
    </w:p>
    <w:p>
      <w:pPr>
        <w:ind w:firstLine="480"/>
        <w:spacing w:line="360" w:lineRule="auto"/>
        <w:tabs>
          <w:tab w:val="left" w:pos="8930" w:leader="none"/>
          <w:tab w:val="left" w:pos="9306" w:leader="none"/>
        </w:tabs>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8.2.1供应商认为采购文件、采购过程或中标、成交结果使自己的权益受到损害的，可以在知道或者应知其权益受到损害之日起7个工作日内，以书面形式向采购人、采购代理机构提出质疑。采购代理机构应当在收到响应单位书面质疑后7个工作日内作出答复，但不说明来源，并以书面形式通知质疑供应商和与质疑事项有关的供应商，但答复的内容不得涉及商业秘密。</w:t>
      </w:r>
      <w:r/>
    </w:p>
    <w:p>
      <w:pPr>
        <w:ind w:firstLine="480"/>
        <w:spacing w:line="360" w:lineRule="auto"/>
        <w:tabs>
          <w:tab w:val="left" w:pos="8930" w:leader="none"/>
          <w:tab w:val="left" w:pos="9306" w:leader="none"/>
        </w:tabs>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8.2.2根据《政府采购质疑和投诉办法》（财政部第94号令）第十一条规定，提出质疑的供应商应当是参与所质疑项目采购活动的供应商。因此凡是对采购文件提出质疑的供应商，必须是依法获取采购文件，</w:t>
      </w:r>
      <w:r>
        <w:rPr>
          <w:rFonts w:hint="eastAsia" w:ascii="宋体" w:hAnsi="宋体" w:eastAsia="宋体" w:cs="宋体"/>
          <w:color w:val="auto"/>
          <w:sz w:val="24"/>
          <w:szCs w:val="24"/>
          <w:highlight w:val="none"/>
        </w:rPr>
        <w:t xml:space="preserve">请将合法获取采购文件的证明材料（即</w:t>
      </w:r>
      <w:r>
        <w:rPr>
          <w:rFonts w:hint="eastAsia" w:ascii="宋体" w:hAnsi="宋体" w:eastAsia="宋体" w:cs="宋体"/>
          <w:b/>
          <w:color w:val="auto"/>
          <w:sz w:val="24"/>
          <w:szCs w:val="24"/>
          <w:highlight w:val="none"/>
        </w:rPr>
        <w:t xml:space="preserve">《投标供应商确认函》</w:t>
      </w:r>
      <w:r>
        <w:rPr>
          <w:rFonts w:hint="eastAsia" w:ascii="宋体" w:hAnsi="宋体" w:eastAsia="宋体" w:cs="宋体"/>
          <w:color w:val="auto"/>
          <w:sz w:val="24"/>
          <w:szCs w:val="24"/>
          <w:highlight w:val="none"/>
        </w:rPr>
        <w:t xml:space="preserve">）与质疑函一起递交，否则不予受理。</w:t>
      </w:r>
      <w:r/>
    </w:p>
    <w:p>
      <w:pPr>
        <w:ind w:firstLine="480"/>
        <w:spacing w:line="360" w:lineRule="auto"/>
        <w:tabs>
          <w:tab w:val="left" w:pos="8930" w:leader="none"/>
          <w:tab w:val="left" w:pos="9306" w:leader="none"/>
        </w:tabs>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8.2.3本次采购文件要求供应商在法定质疑期内一次性提出针对同一采购程序环节的质疑。</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8.2.</w:t>
      </w:r>
      <w:r>
        <w:rPr>
          <w:rFonts w:hint="eastAsia" w:ascii="宋体" w:hAnsi="宋体" w:eastAsia="宋体" w:cs="宋体"/>
          <w:color w:val="auto"/>
          <w:sz w:val="24"/>
          <w:szCs w:val="24"/>
          <w:highlight w:val="none"/>
        </w:rPr>
        <w:t xml:space="preserve">4供应商提出质疑应当提交质疑函和必要的证明材料。质疑函应当包括下列内容：</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8.2.</w:t>
      </w:r>
      <w:r>
        <w:rPr>
          <w:rFonts w:hint="eastAsia" w:ascii="宋体" w:hAnsi="宋体" w:eastAsia="宋体" w:cs="宋体"/>
          <w:color w:val="auto"/>
          <w:sz w:val="24"/>
          <w:szCs w:val="24"/>
          <w:highlight w:val="none"/>
        </w:rPr>
        <w:t xml:space="preserve">4.1供应商的姓名或者名称（以营业执照副本复印件为准）、地址、邮编、联系人及联系电话；</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cs="宋体"/>
          <w:bCs/>
          <w:color w:val="auto"/>
          <w:sz w:val="24"/>
          <w:szCs w:val="24"/>
          <w:highlight w:val="none"/>
        </w:rPr>
        <w:t xml:space="preserve">2.</w:t>
      </w:r>
      <w:r>
        <w:rPr>
          <w:rFonts w:hint="eastAsia" w:ascii="宋体" w:hAnsi="宋体" w:eastAsia="宋体" w:cs="宋体"/>
          <w:color w:val="auto"/>
          <w:sz w:val="24"/>
          <w:szCs w:val="24"/>
          <w:highlight w:val="none"/>
        </w:rPr>
        <w:t xml:space="preserve">4.2质疑项目的名称、编号；</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cs="宋体"/>
          <w:bCs/>
          <w:color w:val="auto"/>
          <w:sz w:val="24"/>
          <w:szCs w:val="24"/>
          <w:highlight w:val="none"/>
        </w:rPr>
        <w:t xml:space="preserve">2.</w:t>
      </w:r>
      <w:r>
        <w:rPr>
          <w:rFonts w:hint="eastAsia" w:ascii="宋体" w:hAnsi="宋体" w:eastAsia="宋体" w:cs="宋体"/>
          <w:color w:val="auto"/>
          <w:sz w:val="24"/>
          <w:szCs w:val="24"/>
          <w:highlight w:val="none"/>
        </w:rPr>
        <w:t xml:space="preserve">4.3具体、明确的质疑事项和与质疑事项相关的请求；</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cs="宋体"/>
          <w:bCs/>
          <w:color w:val="auto"/>
          <w:sz w:val="24"/>
          <w:szCs w:val="24"/>
          <w:highlight w:val="none"/>
        </w:rPr>
        <w:t xml:space="preserve">2.</w:t>
      </w:r>
      <w:r>
        <w:rPr>
          <w:rFonts w:hint="eastAsia" w:ascii="宋体" w:hAnsi="宋体" w:eastAsia="宋体" w:cs="宋体"/>
          <w:color w:val="auto"/>
          <w:sz w:val="24"/>
          <w:szCs w:val="24"/>
          <w:highlight w:val="none"/>
        </w:rPr>
        <w:t xml:space="preserve">4.4事实依据；</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cs="宋体"/>
          <w:bCs/>
          <w:color w:val="auto"/>
          <w:sz w:val="24"/>
          <w:szCs w:val="24"/>
          <w:highlight w:val="none"/>
        </w:rPr>
        <w:t xml:space="preserve">2.</w:t>
      </w:r>
      <w:r>
        <w:rPr>
          <w:rFonts w:hint="eastAsia" w:ascii="宋体" w:hAnsi="宋体" w:eastAsia="宋体" w:cs="宋体"/>
          <w:color w:val="auto"/>
          <w:sz w:val="24"/>
          <w:szCs w:val="24"/>
          <w:highlight w:val="none"/>
        </w:rPr>
        <w:t xml:space="preserve">4.5必要的法律依据；</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cs="宋体"/>
          <w:bCs/>
          <w:color w:val="auto"/>
          <w:sz w:val="24"/>
          <w:szCs w:val="24"/>
          <w:highlight w:val="none"/>
        </w:rPr>
        <w:t xml:space="preserve">2.</w:t>
      </w:r>
      <w:r>
        <w:rPr>
          <w:rFonts w:hint="eastAsia" w:ascii="宋体" w:hAnsi="宋体" w:eastAsia="宋体" w:cs="宋体"/>
          <w:color w:val="auto"/>
          <w:sz w:val="24"/>
          <w:szCs w:val="24"/>
          <w:highlight w:val="none"/>
        </w:rPr>
        <w:t xml:space="preserve">4.6提出质疑的日期；</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cs="宋体"/>
          <w:bCs/>
          <w:color w:val="auto"/>
          <w:sz w:val="24"/>
          <w:szCs w:val="24"/>
          <w:highlight w:val="none"/>
        </w:rPr>
        <w:t xml:space="preserve">2.</w:t>
      </w:r>
      <w:r>
        <w:rPr>
          <w:rFonts w:hint="eastAsia" w:ascii="宋体" w:hAnsi="宋体" w:cs="宋体"/>
          <w:color w:val="auto"/>
          <w:sz w:val="24"/>
          <w:szCs w:val="24"/>
          <w:highlight w:val="none"/>
        </w:rPr>
        <w:t xml:space="preserve">4.7</w:t>
      </w:r>
      <w:r>
        <w:rPr>
          <w:rFonts w:hint="eastAsia" w:ascii="宋体" w:hAnsi="宋体" w:eastAsia="宋体" w:cs="宋体"/>
          <w:bCs/>
          <w:color w:val="auto"/>
          <w:sz w:val="24"/>
          <w:szCs w:val="24"/>
          <w:highlight w:val="none"/>
        </w:rPr>
        <w:t xml:space="preserve">供应商参加投标确认函</w:t>
      </w:r>
      <w:r>
        <w:rPr>
          <w:rFonts w:hint="eastAsia" w:ascii="宋体" w:hAnsi="宋体" w:eastAsia="宋体" w:cs="宋体"/>
          <w:color w:val="auto"/>
          <w:sz w:val="24"/>
          <w:szCs w:val="24"/>
          <w:highlight w:val="none"/>
        </w:rPr>
        <w:t xml:space="preserve">。</w:t>
      </w:r>
      <w:r/>
    </w:p>
    <w:p>
      <w:pPr>
        <w:ind w:firstLine="480"/>
        <w:spacing w:line="360" w:lineRule="auto"/>
        <w:tabs>
          <w:tab w:val="left" w:pos="8930" w:leader="none"/>
          <w:tab w:val="left" w:pos="9306" w:leader="none"/>
        </w:tabs>
        <w:rPr>
          <w:rFonts w:hint="eastAsia" w:ascii="宋体" w:hAnsi="宋体" w:cs="宋体"/>
          <w:bCs/>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cs="宋体"/>
          <w:bCs/>
          <w:color w:val="auto"/>
          <w:sz w:val="24"/>
          <w:szCs w:val="24"/>
          <w:highlight w:val="none"/>
        </w:rPr>
        <w:t xml:space="preserve">2.</w:t>
      </w:r>
      <w:r>
        <w:rPr>
          <w:rFonts w:hint="eastAsia" w:ascii="宋体" w:hAnsi="宋体" w:eastAsia="宋体" w:cs="宋体"/>
          <w:color w:val="auto"/>
          <w:sz w:val="24"/>
          <w:szCs w:val="24"/>
          <w:highlight w:val="none"/>
        </w:rPr>
        <w:t xml:space="preserve">4.8接收质疑函的方式：书面形式（当场送达或邮寄方式）。</w:t>
      </w:r>
      <w:r/>
    </w:p>
    <w:p>
      <w:pPr>
        <w:ind w:firstLine="480"/>
        <w:spacing w:line="360" w:lineRule="auto"/>
        <w:tabs>
          <w:tab w:val="left" w:pos="8930" w:leader="none"/>
          <w:tab w:val="left" w:pos="9306" w:leader="none"/>
        </w:tabs>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联系方式详见采购公告。</w:t>
      </w:r>
      <w:r/>
    </w:p>
    <w:p>
      <w:pPr>
        <w:pStyle w:val="754"/>
        <w:ind w:left="0" w:firstLine="482"/>
        <w:spacing w:line="360" w:lineRule="auto"/>
        <w:rPr>
          <w:rFonts w:hint="eastAsia" w:ascii="宋体" w:hAnsi="宋体" w:cs="宋体"/>
          <w:b/>
          <w:color w:val="auto"/>
          <w:sz w:val="24"/>
          <w:szCs w:val="24"/>
          <w:highlight w:val="none"/>
        </w:rPr>
        <w:outlineLvl w:val="9"/>
      </w:pPr>
      <w:r/>
      <w:bookmarkStart w:id="22" w:name="_Toc31942"/>
      <w:r>
        <w:rPr>
          <w:rFonts w:hint="eastAsia" w:ascii="宋体" w:hAnsi="宋体" w:eastAsia="宋体" w:cs="宋体"/>
          <w:b/>
          <w:color w:val="auto"/>
          <w:sz w:val="24"/>
          <w:szCs w:val="24"/>
          <w:highlight w:val="none"/>
        </w:rPr>
        <w:t xml:space="preserve">9.勘察现场</w:t>
      </w:r>
      <w:bookmarkEnd w:id="22"/>
      <w:r/>
      <w:r/>
    </w:p>
    <w:p>
      <w:pPr>
        <w:pStyle w:val="754"/>
        <w:ind w:left="0" w:firstLine="482"/>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9.1本项目不组织统一勘察现场。</w:t>
      </w:r>
      <w:r/>
    </w:p>
    <w:p>
      <w:pPr>
        <w:pStyle w:val="754"/>
        <w:ind w:left="0"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9.2根据自身需要，磋商供应商可在磋商响应文件递交之日前对有关现场和周围环境进行勘察，以获取编制响应文件和签署合同所需的信息。勘察现场所发生的费用由磋商供应商自己承担。</w:t>
      </w:r>
      <w:r/>
    </w:p>
    <w:p>
      <w:pPr>
        <w:pStyle w:val="754"/>
        <w:ind w:left="0"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9.3采购单位向磋商供应商提供的有关现场的资料和数据（如有），是采购单位现有的并认为能使磋商供应商可利用的资料。采购单位对磋商供应商由此而做出的推论、理解和结论概不负责。</w:t>
      </w:r>
      <w:r/>
    </w:p>
    <w:p>
      <w:pPr>
        <w:pStyle w:val="754"/>
        <w:ind w:left="0"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9.4经采购单位允许，磋商供应商可为勘察目的进入采购单位的项目现场，但磋商供应商不得因此使采购单位承担有关的责任和蒙受损失。磋商供应商应承担勘察现场的责任和风险。</w:t>
      </w:r>
      <w:r/>
    </w:p>
    <w:p>
      <w:pPr>
        <w:ind w:firstLine="480"/>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eastAsia="宋体" w:cs="宋体"/>
          <w:color w:val="auto"/>
          <w:sz w:val="24"/>
          <w:szCs w:val="24"/>
          <w:highlight w:val="none"/>
        </w:rPr>
        <w:t xml:space="preserve">9.5磋商供应商应在现场勘察时，熟悉现场及周围交通道路等情况，以获得一切可能影响其磋商的直接资料。磋商供应商成交后，不得以不完全了解现场情况为理由而向采购单位提出任何索赔的要求，对此采购单位不承担任何责任并将不作任何答复与考虑。</w:t>
      </w:r>
      <w:r/>
    </w:p>
    <w:p>
      <w:pPr>
        <w:ind w:firstLine="482"/>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10.提示与要求</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10.1磋商供应商应仔细阅读采购文件的所有内容，按采购文件的要求提供（上传）响应文件，并保证所提供的全部资料的真实性，以使其对采购文件作出实质性响应，否则，其磋商响应文件可能被拒绝。</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10.2无论是否递交（上传）磋商响应文件，供应商都应将采购文件及以后的所有通知、文件等视为保密文件。</w:t>
      </w:r>
      <w:r/>
    </w:p>
    <w:p>
      <w:pPr>
        <w:ind w:firstLine="482"/>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11.响应文件计量单位和使用文字</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11.1响应文件中所使用的计量单位，除采购文件中有特殊要求外，均应使用中华人民共和国法定计量单位。</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11.2响应文件应使用中文编制，响应文件中必须使用其他文字的，必须附有中文译本。对于未附有中文译本和中文译本不准确的响应文件可能引起的对供应商不利的后果，采购单位概不负责。</w:t>
      </w:r>
      <w:r/>
    </w:p>
    <w:p>
      <w:pPr>
        <w:ind w:firstLine="482"/>
        <w:spacing w:line="360" w:lineRule="auto"/>
        <w:tabs>
          <w:tab w:val="left" w:pos="753" w:leader="none"/>
        </w:tabs>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12.响应文件组成（部分格式见第三章）</w:t>
      </w:r>
      <w:r/>
    </w:p>
    <w:p>
      <w:pPr>
        <w:ind w:firstLine="482"/>
        <w:jc w:val="left"/>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12.1响应文件报价部分：</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12.1.1开标一览表（第一次），具体按照“苏采云”系统要求填报；</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12.1.2磋商报价明细表；</w:t>
      </w:r>
      <w:r/>
    </w:p>
    <w:p>
      <w:pPr>
        <w:ind w:firstLine="482"/>
        <w:jc w:val="left"/>
        <w:spacing w:line="360" w:lineRule="auto"/>
        <w:tabs>
          <w:tab w:val="left" w:pos="0" w:leader="none"/>
        </w:tabs>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12.2资格审查文件：</w:t>
      </w:r>
      <w:r/>
    </w:p>
    <w:p>
      <w:pPr>
        <w:ind w:firstLine="480"/>
        <w:jc w:val="left"/>
        <w:spacing w:line="360" w:lineRule="auto"/>
        <w:rPr>
          <w:rFonts w:hint="eastAsia" w:ascii="宋体" w:hAnsi="宋体" w:cs="宋体"/>
          <w:b/>
          <w:bCs/>
          <w:color w:val="auto"/>
          <w:sz w:val="24"/>
          <w:szCs w:val="24"/>
          <w:highlight w:val="none"/>
        </w:rPr>
      </w:pPr>
      <w:r>
        <w:rPr>
          <w:rFonts w:hint="eastAsia" w:ascii="宋体" w:hAnsi="宋体" w:eastAsia="宋体" w:cs="宋体"/>
          <w:color w:val="auto"/>
          <w:sz w:val="24"/>
          <w:szCs w:val="24"/>
          <w:highlight w:val="none"/>
        </w:rPr>
        <w:t xml:space="preserve">12.2.1具有独立承担民事责任的能力证明。需提供包括法人或者其他组织的营业执照等证明文件，自然人的身份证明；</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12.2.2具有良好的商业信誉和健全的财务会计制度证明。</w:t>
      </w:r>
      <w:r>
        <w:rPr>
          <w:rFonts w:hint="eastAsia" w:ascii="宋体" w:hAnsi="宋体" w:eastAsia="宋体" w:cs="宋体"/>
          <w:bCs/>
          <w:color w:val="auto"/>
          <w:sz w:val="24"/>
          <w:highlight w:val="none"/>
        </w:rPr>
        <w:t xml:space="preserve">包括但不限于最近一期的审计报告或财务报表，其他组织、自然人及成立未满一年的法人应提供银行出具的资信证明；</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12.2.3具有履行合同所必需的设备和专业技术能力。需提供证明材料或承诺函；</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12.2.4有依法缴纳税收和社会保障资金的良好记录。需提供如税务登记证（如有）和合理期限内依法缴纳税收的凭据，社会保险登记证（如有）和合理期限内依法缴纳社会保险的凭据（专用收据或社会保险缴纳清单）。注：依法免税或不需要缴纳社会保障资金的供应商，应提供相应证明资料证明其依法免税或不需要缴纳社会保障资金，否则不予认可</w:t>
      </w:r>
      <w:r>
        <w:rPr>
          <w:rFonts w:hint="eastAsia" w:ascii="宋体" w:hAnsi="宋体" w:eastAsia="宋体" w:cs="宋体"/>
          <w:color w:val="auto"/>
          <w:spacing w:val="-1"/>
          <w:sz w:val="24"/>
          <w:szCs w:val="24"/>
          <w:highlight w:val="none"/>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12.2.5参加政府采购活动前3年内在经营活动中没有重大违法记录。需提供参加政府采购活动前3年内在经营活动中没有重大违法记录的书面声明；</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12.2.6法律、行政法规规定的其他条件；</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12.2.7根据《政府采购促进中小企业发展管理办法》的相关规定，</w:t>
      </w:r>
      <w:r>
        <w:rPr>
          <w:rFonts w:hint="eastAsia" w:ascii="宋体" w:hAnsi="宋体" w:eastAsia="宋体" w:cs="宋体"/>
          <w:b/>
          <w:bCs/>
          <w:color w:val="auto"/>
          <w:sz w:val="24"/>
          <w:szCs w:val="24"/>
          <w:highlight w:val="none"/>
        </w:rPr>
        <w:t xml:space="preserve">本项目专门面向中小企业采购，</w:t>
      </w:r>
      <w:r>
        <w:rPr>
          <w:rFonts w:hint="eastAsia" w:ascii="宋体" w:hAnsi="宋体" w:eastAsia="宋体" w:cs="宋体"/>
          <w:b/>
          <w:bCs/>
          <w:color w:val="auto"/>
          <w:sz w:val="24"/>
          <w:szCs w:val="24"/>
          <w:highlight w:val="none"/>
        </w:rPr>
        <w:t xml:space="preserve">所属行业为</w:t>
      </w:r>
      <w:r>
        <w:rPr>
          <w:rFonts w:hint="eastAsia" w:ascii="宋体" w:hAnsi="宋体" w:eastAsia="宋体" w:cs="宋体"/>
          <w:b/>
          <w:bCs/>
          <w:color w:val="auto"/>
          <w:sz w:val="24"/>
          <w:szCs w:val="24"/>
          <w:highlight w:val="none"/>
          <w:u w:val="single"/>
        </w:rPr>
        <w:t xml:space="preserve">其他未列明行业</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供应商应提供《中小企业声明函》或《残疾人福利性单位声明函》或省级以上监狱管理局、戒毒管理局（含新疆生产建设兵团）出具的属于监狱企业的证明文件；</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12.2.8其他有关资格证明的文件（如有）。</w:t>
      </w:r>
      <w:r/>
    </w:p>
    <w:p>
      <w:pPr>
        <w:pStyle w:val="748"/>
        <w:ind w:firstLine="482"/>
        <w:spacing w:after="0" w:line="360" w:lineRule="auto"/>
        <w:rPr>
          <w:rFonts w:hint="eastAsia" w:ascii="宋体" w:hAnsi="宋体" w:cs="宋体"/>
          <w:color w:val="auto"/>
          <w:sz w:val="24"/>
          <w:highlight w:val="none"/>
        </w:rPr>
      </w:pPr>
      <w:r>
        <w:rPr>
          <w:rFonts w:hint="eastAsia" w:ascii="宋体" w:hAnsi="宋体" w:eastAsia="宋体" w:cs="宋体"/>
          <w:b/>
          <w:color w:val="auto"/>
          <w:sz w:val="24"/>
          <w:highlight w:val="none"/>
        </w:rPr>
        <w:t xml:space="preserve">12.3符合性审查文件：</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12.3.1磋商响应单位法定代表人身份证复印件；</w:t>
      </w:r>
      <w:r/>
    </w:p>
    <w:p>
      <w:pPr>
        <w:ind w:firstLine="480"/>
        <w:jc w:val="left"/>
        <w:spacing w:line="360" w:lineRule="auto"/>
        <w:rPr>
          <w:rFonts w:hint="eastAsia" w:ascii="宋体" w:hAnsi="宋体" w:cs="宋体"/>
          <w:b/>
          <w:bCs/>
          <w:color w:val="auto"/>
          <w:sz w:val="24"/>
          <w:szCs w:val="24"/>
          <w:highlight w:val="none"/>
        </w:rPr>
      </w:pPr>
      <w:r>
        <w:rPr>
          <w:rFonts w:hint="eastAsia" w:ascii="宋体" w:hAnsi="宋体" w:eastAsia="宋体" w:cs="宋体"/>
          <w:color w:val="auto"/>
          <w:sz w:val="24"/>
          <w:szCs w:val="24"/>
          <w:highlight w:val="none"/>
        </w:rPr>
        <w:t xml:space="preserve">12.3.2法定代表人授权委托书、代理人身份证复印件（如有授权）；</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12.3.3磋商响应函；</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12.3.4关于资格文件的声明函；</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12.3.5磋商响应单位基本情况表；</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12.3.6投入本项目人员配备一览表；</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12.3.7</w:t>
      </w:r>
      <w:r>
        <w:rPr>
          <w:rFonts w:hint="eastAsia" w:ascii="宋体" w:hAnsi="宋体" w:eastAsia="宋体" w:cs="宋体"/>
          <w:color w:val="auto"/>
          <w:sz w:val="24"/>
          <w:szCs w:val="24"/>
          <w:highlight w:val="none"/>
          <w:lang w:val="zh-CN"/>
        </w:rPr>
        <w:t xml:space="preserve">投标（响应）保证承诺书；</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12.3.8</w:t>
      </w:r>
      <w:r>
        <w:rPr>
          <w:rFonts w:hint="eastAsia" w:ascii="宋体" w:hAnsi="宋体" w:eastAsia="宋体" w:cs="宋体"/>
          <w:color w:val="auto"/>
          <w:spacing w:val="-1"/>
          <w:sz w:val="24"/>
          <w:szCs w:val="24"/>
          <w:highlight w:val="none"/>
        </w:rPr>
        <w:t xml:space="preserve">服务要求偏离表、商务条款偏离表</w:t>
      </w:r>
      <w:r>
        <w:rPr>
          <w:rFonts w:hint="eastAsia" w:ascii="宋体" w:hAnsi="宋体" w:eastAsia="宋体" w:cs="宋体"/>
          <w:color w:val="auto"/>
          <w:sz w:val="24"/>
          <w:szCs w:val="24"/>
          <w:highlight w:val="none"/>
          <w:lang w:val="zh-CN"/>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12.3.9</w:t>
      </w:r>
      <w:r>
        <w:rPr>
          <w:rFonts w:hint="eastAsia" w:ascii="宋体" w:hAnsi="宋体" w:eastAsia="宋体" w:cs="宋体"/>
          <w:color w:val="auto"/>
          <w:spacing w:val="-1"/>
          <w:sz w:val="24"/>
          <w:szCs w:val="24"/>
          <w:highlight w:val="none"/>
        </w:rPr>
        <w:t xml:space="preserve">响应单位与其他单位存在控股、管理关系情况表；</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12.3.10其他有关符合性证明的文件（如有）。</w:t>
      </w:r>
      <w:r/>
    </w:p>
    <w:p>
      <w:pPr>
        <w:pStyle w:val="1015"/>
        <w:ind w:left="0" w:firstLine="482"/>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12.4综合评审文件：</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12.4.1实施方案；</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12.4.2评分标准中所涉及到的其他材料等；</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12.4.3其他需供应商对本次响应的详细说明。</w:t>
      </w:r>
      <w:r/>
    </w:p>
    <w:p>
      <w:pPr>
        <w:ind w:firstLine="482"/>
        <w:jc w:val="left"/>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注：（1）以上12.2为资格审查要求提供的材料，是作为对供应商资格审查、质疑身份认定的依据，响应供应商必须提供并加盖电子公章。否则，磋商响应文件将被认定为不符合资格审查要求。</w:t>
      </w:r>
      <w:r/>
    </w:p>
    <w:p>
      <w:pPr>
        <w:ind w:firstLine="482"/>
        <w:jc w:val="left"/>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（2）以上12.3为符合性审查须提供的资料，响应供应商必须提供并加盖电子公章。否则，磋商响应文件将被认定为未实质性响应。</w:t>
      </w:r>
      <w:r/>
    </w:p>
    <w:p>
      <w:pPr>
        <w:ind w:firstLine="482"/>
        <w:jc w:val="left"/>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（3）制作电子响应文件时必须与响应文件制作软件目录一一对应，将相关资料上传至相应模块。</w:t>
      </w:r>
      <w:r/>
    </w:p>
    <w:p>
      <w:pPr>
        <w:ind w:firstLine="482"/>
        <w:jc w:val="left"/>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4）磋商响应文件编制要求：本项目采用电子招投标形式，请使用“政府采购一体化平台”工具制作电子响应文件，操作方法详见《苏采云系统供应商操作手册》。电子响应文件制作完成后请于响应文件网上提交截止时间前上传成功，否则视为放弃参加该采购项目。</w:t>
      </w:r>
      <w:r/>
    </w:p>
    <w:p>
      <w:pPr>
        <w:ind w:firstLine="482"/>
        <w:jc w:val="left"/>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5）磋商过程中如有问题采购代理机构工作人员会及时通过报名时在投标确认函模块留存的手机号与供应商联系。此号码在响应文件递交截止之前可修改，以投标确认函保存的最新号码为准，请供应商确保该手机号磋商当日通讯畅通，否则导致的对供应商不利的后果由供应商自行承担。</w:t>
      </w:r>
      <w:r/>
    </w:p>
    <w:p>
      <w:pPr>
        <w:ind w:firstLine="482"/>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13.报价（编制）要求的说明</w:t>
      </w:r>
      <w:r/>
    </w:p>
    <w:p>
      <w:pPr>
        <w:ind w:firstLine="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13.1除非合同中另有规定，响应报价包括合同期间发生的全部费用，</w:t>
      </w:r>
      <w:r>
        <w:rPr>
          <w:rFonts w:hint="eastAsia" w:ascii="宋体" w:hAnsi="宋体" w:eastAsia="宋体" w:cs="宋体"/>
          <w:color w:val="auto"/>
          <w:sz w:val="24"/>
          <w:szCs w:val="24"/>
          <w:highlight w:val="none"/>
          <w:lang w:eastAsia="zh-CN"/>
        </w:rPr>
        <w:t xml:space="preserve">人工成本（含社保、高温费、加班费）、餐费、耗材、通讯、服装、胸卡、办公设备、巡检器材、各种税费、保险、劳保、维护、利润、税金、医疗费、安全费、卫生费、福利费、教育费、住房公积金、保险费、劳保用品费、培训费、</w:t>
      </w:r>
      <w:r>
        <w:rPr>
          <w:rFonts w:hint="eastAsia" w:ascii="宋体" w:hAnsi="宋体" w:cs="宋体"/>
          <w:color w:val="auto"/>
          <w:sz w:val="24"/>
          <w:szCs w:val="24"/>
          <w:highlight w:val="none"/>
          <w:lang w:val="en-US" w:eastAsia="zh-CN"/>
        </w:rPr>
        <w:t xml:space="preserve">代理服务费、</w:t>
      </w:r>
      <w:r>
        <w:rPr>
          <w:rFonts w:hint="eastAsia" w:ascii="宋体" w:hAnsi="宋体" w:eastAsia="宋体" w:cs="宋体"/>
          <w:color w:val="auto"/>
          <w:sz w:val="24"/>
          <w:szCs w:val="24"/>
          <w:highlight w:val="none"/>
          <w:lang w:eastAsia="zh-CN"/>
        </w:rPr>
        <w:t xml:space="preserve">政策性文件规定及合同包含的所有风险、责任等各项应有费用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磋商二次报价为最终报价，除非因特殊原因并经买卖双方协商同意，磋商供应商不得再要求追加任何费用。同时，除非合同条款中另有规定，否则，磋商供应商所报价格在合同实施期间不因市场变化因素而变动。</w:t>
      </w:r>
      <w:r/>
    </w:p>
    <w:p>
      <w:pPr>
        <w:pStyle w:val="727"/>
        <w:numPr>
          <w:ilvl w:val="0"/>
          <w:numId w:val="0"/>
        </w:num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13.2磋商供应商应对采购文件内所要采购的全部内容进行报价，只投其中部分内容者，其响应文件将被拒绝。但如果采购文件要求分标段响应的，则供应商可以有选择地只投其中一个或几个标段，也可以投全部标段，但各标段应分别计算填写单价和总价。本次采购不分标段。</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13.3一项内容只允许一个报价，采购单位不接受任何有选择性的报价。</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13.4磋商响应文件报价中的单价和总价全部采用人民币表示，除非合同的特殊条款另有规定。</w:t>
      </w:r>
      <w:r/>
    </w:p>
    <w:p>
      <w:pPr>
        <w:ind w:firstLine="482"/>
        <w:spacing w:line="360" w:lineRule="auto"/>
        <w:tabs>
          <w:tab w:val="left" w:pos="8930" w:leader="none"/>
          <w:tab w:val="left" w:pos="9306" w:leader="none"/>
        </w:tabs>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14.保证金</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根据《关于做好政府采购支持企业发展有关事项的通知》（苏财购【2020】52号）相关规定，本项目无须缴纳磋商保证金。</w:t>
      </w:r>
      <w:r/>
    </w:p>
    <w:p>
      <w:pPr>
        <w:ind w:firstLine="482"/>
        <w:spacing w:line="360" w:lineRule="auto"/>
        <w:tabs>
          <w:tab w:val="left" w:pos="8930" w:leader="none"/>
          <w:tab w:val="left" w:pos="9306" w:leader="none"/>
        </w:tabs>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15.响应文件的有效期</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15.1自磋商响应文件递交（上传）截止之日起</w:t>
      </w:r>
      <w:r>
        <w:rPr>
          <w:rFonts w:hint="eastAsia" w:ascii="宋体" w:hAnsi="宋体" w:cs="宋体"/>
          <w:color w:val="auto"/>
          <w:sz w:val="24"/>
          <w:szCs w:val="24"/>
          <w:highlight w:val="none"/>
          <w:u w:val="single"/>
        </w:rPr>
        <w:t xml:space="preserve">90</w:t>
      </w:r>
      <w:r>
        <w:rPr>
          <w:rFonts w:hint="eastAsia" w:ascii="宋体" w:hAnsi="宋体" w:eastAsia="宋体" w:cs="宋体"/>
          <w:color w:val="auto"/>
          <w:sz w:val="24"/>
          <w:szCs w:val="24"/>
          <w:highlight w:val="none"/>
        </w:rPr>
        <w:t xml:space="preserve">天内，磋商响应文件应保持有效。有效期短于这个规定期限的响应，将被拒绝。</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15.2在特殊情况下，采购单位可与供应商协商延长磋商响应文件的有效期。这种要求和答复都应以书面形式进行。同意延长有效期的供应商不能修改磋商响应文件。拒绝接受延期要求的供应商的响应将被拒绝。</w:t>
      </w:r>
      <w:r/>
    </w:p>
    <w:p>
      <w:pPr>
        <w:ind w:firstLine="482"/>
        <w:spacing w:line="360" w:lineRule="auto"/>
        <w:tabs>
          <w:tab w:val="left" w:pos="8930" w:leader="none"/>
          <w:tab w:val="left" w:pos="9306" w:leader="none"/>
        </w:tabs>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16.截止时间</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16.1响应文件必须在递交（上传）截止时间前上传系统。</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16.2采购单位推迟磋商截止时间时，应以网上公告形式，通知所有供应商。在这种情况下，采购单位和供应商的权利和义务将受到新的截止期的约束。</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16.3在递交（上传）截止时间以后递交（上传）的磋商响应文件，采购单位将拒绝接收。</w:t>
      </w:r>
      <w:r/>
    </w:p>
    <w:p>
      <w:pPr>
        <w:ind w:firstLine="482"/>
        <w:spacing w:line="360" w:lineRule="auto"/>
        <w:tabs>
          <w:tab w:val="left" w:pos="8930" w:leader="none"/>
          <w:tab w:val="left" w:pos="9306"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17.</w:t>
      </w:r>
      <w:r>
        <w:rPr>
          <w:rFonts w:hint="eastAsia" w:ascii="宋体" w:hAnsi="宋体" w:eastAsia="宋体" w:cs="宋体"/>
          <w:b/>
          <w:bCs/>
          <w:color w:val="auto"/>
          <w:sz w:val="24"/>
          <w:szCs w:val="24"/>
          <w:highlight w:val="none"/>
        </w:rPr>
        <w:t xml:space="preserve">电子投标（响应）文件的编制与提交</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17.1电子投标（响应）文件制作：本项目为网上招投标项目，请供应商插入CA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17.2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17.3</w:t>
      </w:r>
      <w:r>
        <w:rPr>
          <w:rFonts w:hint="eastAsia" w:ascii="宋体" w:hAnsi="宋体" w:eastAsia="宋体" w:cs="宋体"/>
          <w:b/>
          <w:bCs/>
          <w:color w:val="auto"/>
          <w:sz w:val="24"/>
          <w:szCs w:val="24"/>
          <w:highlight w:val="none"/>
        </w:rPr>
        <w:t xml:space="preserve">响应文件未按照采购文件要求加盖CA电子公章的，响应无效</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17.4联合体投标：如招标（采购）公告中允许联合体投标（响应），联合体的投标（响应）文件制作上传操作如下：</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第一步：在投标（响应）文件中上传联合体投标（响应）协议书。</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第二步：在投标（响应）文件中，由联合体中的牵头人制作投标（响应）文件。</w:t>
      </w:r>
      <w:r/>
    </w:p>
    <w:p>
      <w:pPr>
        <w:ind w:firstLine="482"/>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17.5响应文件开启、评标（评审）</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17.5.1线上参加（观看）开标（开启）会方式：登录“苏采云”系统，点击“开标大厅”，选择对应项目，点击进入不见面开标系统。</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17.5.2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17.5.3</w:t>
      </w:r>
      <w:r>
        <w:rPr>
          <w:rFonts w:hint="eastAsia" w:ascii="宋体" w:hAnsi="宋体" w:eastAsia="宋体" w:cs="宋体"/>
          <w:b/>
          <w:bCs/>
          <w:color w:val="auto"/>
          <w:sz w:val="24"/>
          <w:szCs w:val="24"/>
          <w:highlight w:val="none"/>
        </w:rPr>
        <w:t xml:space="preserve">供应商在“苏采云”系统规定的时间内未成功解密电子响应文件的，响应无效</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17.6响应文件的修改和撤回</w:t>
      </w:r>
      <w:r/>
    </w:p>
    <w:p>
      <w:pPr>
        <w:ind w:firstLine="480"/>
        <w:spacing w:line="360" w:lineRule="auto"/>
        <w:rPr>
          <w:rFonts w:hint="eastAsia" w:ascii="宋体" w:hAnsi="宋体" w:cs="宋体"/>
          <w:b/>
          <w:color w:val="auto"/>
          <w:sz w:val="24"/>
          <w:szCs w:val="24"/>
          <w:highlight w:val="none"/>
        </w:rPr>
      </w:pPr>
      <w:r>
        <w:rPr>
          <w:rFonts w:hint="eastAsia" w:ascii="宋体" w:hAnsi="宋体" w:eastAsia="宋体" w:cs="宋体"/>
          <w:color w:val="auto"/>
          <w:sz w:val="24"/>
          <w:szCs w:val="24"/>
          <w:highlight w:val="none"/>
        </w:rPr>
        <w:t xml:space="preserve">17.6.1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firstLine="482"/>
        <w:spacing w:line="360" w:lineRule="auto"/>
        <w:tabs>
          <w:tab w:val="left" w:pos="753" w:leader="none"/>
        </w:tabs>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18.磋商程序说明</w:t>
      </w:r>
      <w:r/>
    </w:p>
    <w:p>
      <w:pPr>
        <w:pStyle w:val="766"/>
        <w:ind w:firstLine="480"/>
        <w:jc w:val="both"/>
        <w:spacing w:line="360" w:lineRule="auto"/>
        <w:tabs>
          <w:tab w:val="left" w:pos="0" w:leader="none"/>
        </w:tabs>
        <w:rPr>
          <w:rFonts w:hint="eastAsia" w:ascii="宋体" w:hAnsi="宋体" w:cs="宋体"/>
          <w:color w:val="auto"/>
          <w:szCs w:val="24"/>
          <w:highlight w:val="none"/>
        </w:rPr>
      </w:pPr>
      <w:r>
        <w:rPr>
          <w:rFonts w:hint="eastAsia" w:ascii="宋体" w:hAnsi="宋体" w:eastAsia="宋体" w:cs="宋体"/>
          <w:color w:val="auto"/>
          <w:szCs w:val="24"/>
          <w:highlight w:val="none"/>
        </w:rPr>
        <w:t xml:space="preserve">18.1采购代理机构按本须知规定的时间、地点主持磋商采购活动。</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18.2供应商通过“苏采云”系统在线参与磋商活动。供应商应当按照《苏采云系统供应商操作手册》规定在“苏采云”系统规定的时间内对响应文件进行解密。在磋商响应文件网上递交截止时间止成功解密的磋商供应商少于三家，则本次采购失败。</w:t>
      </w:r>
      <w:r/>
    </w:p>
    <w:p>
      <w:pPr>
        <w:pStyle w:val="766"/>
        <w:ind w:firstLine="480"/>
        <w:jc w:val="both"/>
        <w:spacing w:line="360" w:lineRule="auto"/>
        <w:tabs>
          <w:tab w:val="left" w:pos="0" w:leader="none"/>
        </w:tabs>
        <w:rPr>
          <w:rFonts w:hint="eastAsia" w:ascii="宋体" w:hAnsi="宋体" w:cs="宋体"/>
          <w:color w:val="auto"/>
          <w:szCs w:val="24"/>
          <w:highlight w:val="none"/>
        </w:rPr>
      </w:pPr>
      <w:r>
        <w:rPr>
          <w:rFonts w:hint="eastAsia" w:ascii="宋体" w:hAnsi="宋体" w:eastAsia="宋体" w:cs="宋体"/>
          <w:color w:val="auto"/>
          <w:szCs w:val="24"/>
          <w:highlight w:val="none"/>
        </w:rPr>
        <w:t xml:space="preserve">18.3由磋商小组审查供应商解密的响应文件。</w:t>
      </w:r>
      <w:r/>
    </w:p>
    <w:p>
      <w:pPr>
        <w:pStyle w:val="766"/>
        <w:ind w:firstLine="480"/>
        <w:jc w:val="both"/>
        <w:spacing w:line="360" w:lineRule="auto"/>
        <w:tabs>
          <w:tab w:val="left" w:pos="0" w:leader="none"/>
        </w:tabs>
        <w:rPr>
          <w:rFonts w:hint="eastAsia" w:ascii="宋体" w:hAnsi="宋体" w:cs="宋体"/>
          <w:color w:val="auto"/>
          <w:szCs w:val="24"/>
          <w:highlight w:val="none"/>
        </w:rPr>
      </w:pPr>
      <w:r>
        <w:rPr>
          <w:rFonts w:hint="eastAsia" w:ascii="宋体" w:hAnsi="宋体" w:eastAsia="宋体" w:cs="宋体"/>
          <w:color w:val="auto"/>
          <w:szCs w:val="24"/>
          <w:highlight w:val="none"/>
        </w:rPr>
        <w:t xml:space="preserve">18.4资格审查</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18.4.1采购项目开标结束后，由磋商小组按采购文件的资格条件进行资格性审查，未通过资格性审查的响应无效。</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18.4.2根据政府采购法及相关法规，以及《关于印发苏州市市级政府采购信用记录查询和使用工作试行办法的通知》（苏财购（2017）11号）、《层转《财政部关于〈中华人民共和国政府采购法实施条例〉第十九条第一款“较大数额罚款”具体适用问题的意见》的通知》（苏财购〔2022〕4号）规定，将对供应商进行信用查询。凡经确认不符合政府采购相关法律法规规定的，将拒绝其参与政府采购活动。</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查询时间：响应文件递交截止时间。</w:t>
      </w:r>
      <w:r/>
    </w:p>
    <w:p>
      <w:pPr>
        <w:ind w:firstLine="482"/>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查询渠道：“苏采云”。</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信用记录使用规则：</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（一）政府采购严重违法记录，即供应商被全国各级财政部门列入“政府采购严重违法失信行为记录名单”，且在处罚有效期内的。</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（二）财政部门与法院、工商、税务等部门联合惩戒的失信信息，包括：</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（1）被列入失信被执行人名单；</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（2）被列入重大税收违法案件当事人名单；</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如是接受联合体的项目，两个以上的自然人、法人或者其他组织组成一个联合体，以一个供应商的身份共同参加政府采购活动的，联合体成员其中一名成员存在失信信息的，视同联合体存在失信信息。</w:t>
      </w:r>
      <w:r/>
    </w:p>
    <w:p>
      <w:pPr>
        <w:pStyle w:val="766"/>
        <w:ind w:firstLine="480"/>
        <w:jc w:val="both"/>
        <w:spacing w:line="360" w:lineRule="auto"/>
        <w:tabs>
          <w:tab w:val="left" w:pos="0" w:leader="none"/>
        </w:tabs>
        <w:rPr>
          <w:rFonts w:hint="eastAsia" w:ascii="宋体" w:hAnsi="宋体" w:cs="宋体"/>
          <w:color w:val="auto"/>
          <w:szCs w:val="24"/>
          <w:highlight w:val="none"/>
        </w:rPr>
      </w:pPr>
      <w:r>
        <w:rPr>
          <w:rFonts w:hint="eastAsia" w:ascii="宋体" w:hAnsi="宋体" w:eastAsia="宋体" w:cs="宋体"/>
          <w:color w:val="auto"/>
          <w:szCs w:val="24"/>
          <w:highlight w:val="none"/>
        </w:rPr>
        <w:t xml:space="preserve">18.5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766"/>
        <w:ind w:firstLine="480"/>
        <w:jc w:val="both"/>
        <w:spacing w:line="360" w:lineRule="auto"/>
        <w:tabs>
          <w:tab w:val="left" w:pos="0" w:leader="none"/>
        </w:tabs>
        <w:rPr>
          <w:rFonts w:hint="eastAsia" w:ascii="宋体" w:hAnsi="宋体" w:cs="宋体"/>
          <w:color w:val="auto"/>
          <w:szCs w:val="24"/>
          <w:highlight w:val="none"/>
        </w:rPr>
      </w:pPr>
      <w:r>
        <w:rPr>
          <w:rFonts w:hint="eastAsia" w:ascii="宋体" w:hAnsi="宋体" w:eastAsia="宋体" w:cs="宋体"/>
          <w:color w:val="auto"/>
          <w:szCs w:val="24"/>
          <w:highlight w:val="none"/>
        </w:rPr>
        <w:t xml:space="preserve">18.6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80"/>
        <w:spacing w:line="360" w:lineRule="auto"/>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w:t>
      </w:r>
      <w:r>
        <w:rPr>
          <w:rFonts w:hint="eastAsia" w:ascii="宋体" w:hAnsi="宋体" w:eastAsia="宋体" w:cs="宋体"/>
          <w:b/>
          <w:color w:val="auto"/>
          <w:sz w:val="24"/>
          <w:szCs w:val="24"/>
          <w:highlight w:val="none"/>
        </w:rPr>
        <w:t xml:space="preserve">如因供应商自身原因未在规定时间内提交澄清确认资料的，导致的不利后果由供应商自行承担。</w:t>
      </w:r>
      <w:r/>
    </w:p>
    <w:p>
      <w:pPr>
        <w:pStyle w:val="766"/>
        <w:ind w:firstLine="480"/>
        <w:jc w:val="both"/>
        <w:spacing w:line="360" w:lineRule="auto"/>
        <w:tabs>
          <w:tab w:val="left" w:pos="0" w:leader="none"/>
        </w:tabs>
        <w:rPr>
          <w:rFonts w:hint="eastAsia" w:ascii="宋体" w:hAnsi="宋体" w:cs="宋体"/>
          <w:color w:val="auto"/>
          <w:szCs w:val="24"/>
          <w:highlight w:val="none"/>
        </w:rPr>
      </w:pPr>
      <w:r>
        <w:rPr>
          <w:rFonts w:hint="eastAsia" w:ascii="宋体" w:hAnsi="宋体" w:eastAsia="宋体" w:cs="宋体"/>
          <w:color w:val="auto"/>
          <w:szCs w:val="24"/>
          <w:highlight w:val="none"/>
        </w:rPr>
        <w:t xml:space="preserve">18.7对于通过资格审查和符合性审查的供应商，磋商小组所有成员集中与单一供应商分别进行磋商，并给予所有参加磋商的供应商平等的磋商机会。</w:t>
      </w:r>
      <w:r>
        <w:rPr>
          <w:rFonts w:hint="eastAsia" w:ascii="宋体" w:hAnsi="宋体" w:eastAsia="宋体" w:cs="宋体"/>
          <w:b/>
          <w:bCs/>
          <w:color w:val="auto"/>
          <w:szCs w:val="24"/>
          <w:highlight w:val="none"/>
        </w:rPr>
        <w:t xml:space="preserve">磋商小组通过“苏采云”系统向供应商发布“磋商函”，供应商应当按照要求在“苏采云”系统提交“磋商响应函”并加盖CA电子公章。</w:t>
      </w:r>
      <w:r/>
    </w:p>
    <w:p>
      <w:pPr>
        <w:pStyle w:val="766"/>
        <w:ind w:firstLine="480"/>
        <w:jc w:val="both"/>
        <w:spacing w:line="360" w:lineRule="auto"/>
        <w:tabs>
          <w:tab w:val="left" w:pos="0" w:leader="none"/>
        </w:tabs>
        <w:rPr>
          <w:rFonts w:hint="eastAsia" w:ascii="宋体" w:hAnsi="宋体" w:cs="宋体"/>
          <w:color w:val="auto"/>
          <w:szCs w:val="24"/>
          <w:highlight w:val="none"/>
        </w:rPr>
      </w:pPr>
      <w:r>
        <w:rPr>
          <w:rFonts w:hint="eastAsia" w:ascii="宋体" w:hAnsi="宋体" w:eastAsia="宋体" w:cs="宋体"/>
          <w:color w:val="auto"/>
          <w:szCs w:val="24"/>
          <w:highlight w:val="none"/>
        </w:rPr>
        <w:t xml:space="preserve">18.8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766"/>
        <w:ind w:firstLine="480"/>
        <w:jc w:val="both"/>
        <w:spacing w:line="360" w:lineRule="auto"/>
        <w:tabs>
          <w:tab w:val="left" w:pos="0" w:leader="none"/>
        </w:tabs>
        <w:rPr>
          <w:rFonts w:hint="eastAsia" w:ascii="宋体" w:hAnsi="宋体" w:cs="宋体"/>
          <w:color w:val="auto"/>
          <w:szCs w:val="24"/>
          <w:highlight w:val="none"/>
        </w:rPr>
      </w:pPr>
      <w:r>
        <w:rPr>
          <w:rFonts w:hint="eastAsia" w:ascii="宋体" w:hAnsi="宋体" w:eastAsia="宋体" w:cs="宋体"/>
          <w:color w:val="auto"/>
          <w:szCs w:val="24"/>
          <w:highlight w:val="none"/>
        </w:rPr>
        <w:t xml:space="preserve">18.9供应商应当按照采购文件的变动情况和磋商小组的要求，各供应商应及时关注【评审】环节等待询标澄清进行回复。</w:t>
      </w:r>
      <w:r/>
    </w:p>
    <w:p>
      <w:pPr>
        <w:pStyle w:val="766"/>
        <w:ind w:firstLine="480"/>
        <w:jc w:val="both"/>
        <w:spacing w:line="360" w:lineRule="auto"/>
        <w:tabs>
          <w:tab w:val="left" w:pos="0" w:leader="none"/>
        </w:tabs>
        <w:rPr>
          <w:rFonts w:hint="eastAsia" w:ascii="宋体" w:hAnsi="宋体" w:cs="宋体"/>
          <w:color w:val="auto"/>
          <w:szCs w:val="24"/>
          <w:highlight w:val="none"/>
        </w:rPr>
      </w:pPr>
      <w:r>
        <w:rPr>
          <w:rFonts w:hint="eastAsia" w:ascii="宋体" w:hAnsi="宋体" w:eastAsia="宋体" w:cs="宋体"/>
          <w:color w:val="auto"/>
          <w:szCs w:val="24"/>
          <w:highlight w:val="none"/>
        </w:rPr>
        <w:t xml:space="preserve">18.10磋商结束后，</w:t>
      </w:r>
      <w:r>
        <w:rPr>
          <w:rFonts w:hint="eastAsia" w:ascii="宋体" w:hAnsi="宋体" w:eastAsia="宋体" w:cs="宋体"/>
          <w:b/>
          <w:bCs/>
          <w:color w:val="auto"/>
          <w:szCs w:val="24"/>
          <w:highlight w:val="none"/>
        </w:rPr>
        <w:t xml:space="preserve">磋商小组将在“苏采云”系统向所有实质性响应的供应商发布“最后报价要求函”及“最终报价表”，要求所有实质性响应的供应商在规定时间内提交最后报价</w:t>
      </w:r>
      <w:r>
        <w:rPr>
          <w:rFonts w:hint="eastAsia" w:ascii="宋体" w:hAnsi="宋体" w:eastAsia="宋体" w:cs="宋体"/>
          <w:color w:val="auto"/>
          <w:szCs w:val="24"/>
          <w:highlight w:val="none"/>
        </w:rPr>
        <w:t xml:space="preserve">。因供应商自身原因导致线上报价失败的后果由供应商自行承担。</w:t>
      </w:r>
      <w:r>
        <w:rPr>
          <w:rStyle w:val="1048"/>
          <w:rFonts w:hint="eastAsia" w:ascii="宋体" w:hAnsi="宋体" w:eastAsia="宋体" w:cs="宋体"/>
          <w:color w:val="auto"/>
          <w:szCs w:val="24"/>
          <w:highlight w:val="none"/>
        </w:rPr>
        <w:t xml:space="preserve">提交最后报价的供应商不得少于3家。</w:t>
      </w:r>
      <w:r/>
    </w:p>
    <w:p>
      <w:pPr>
        <w:pStyle w:val="766"/>
        <w:ind w:firstLine="480"/>
        <w:jc w:val="both"/>
        <w:spacing w:line="360" w:lineRule="auto"/>
        <w:tabs>
          <w:tab w:val="left" w:pos="0" w:leader="none"/>
        </w:tabs>
        <w:rPr>
          <w:rFonts w:hint="eastAsia" w:ascii="宋体" w:hAnsi="宋体" w:cs="宋体"/>
          <w:color w:val="auto"/>
          <w:szCs w:val="24"/>
          <w:highlight w:val="none"/>
        </w:rPr>
      </w:pPr>
      <w:r>
        <w:rPr>
          <w:rFonts w:hint="eastAsia" w:ascii="宋体" w:hAnsi="宋体" w:eastAsia="宋体" w:cs="宋体"/>
          <w:color w:val="auto"/>
          <w:szCs w:val="24"/>
          <w:highlight w:val="none"/>
        </w:rPr>
        <w:t xml:space="preserve">18.11磋商小组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供应商不能证明其报价合理性的，磋商小组应当将其响应文件按无效处理。</w:t>
      </w:r>
      <w:r/>
    </w:p>
    <w:p>
      <w:pPr>
        <w:pStyle w:val="766"/>
        <w:ind w:firstLine="480"/>
        <w:jc w:val="both"/>
        <w:spacing w:line="360" w:lineRule="auto"/>
        <w:tabs>
          <w:tab w:val="left" w:pos="0" w:leader="none"/>
        </w:tabs>
        <w:rPr>
          <w:rFonts w:hint="eastAsia" w:ascii="宋体" w:hAnsi="宋体" w:cs="宋体"/>
          <w:color w:val="auto"/>
          <w:szCs w:val="24"/>
          <w:highlight w:val="none"/>
        </w:rPr>
      </w:pPr>
      <w:r>
        <w:rPr>
          <w:rFonts w:hint="eastAsia" w:ascii="宋体" w:hAnsi="宋体" w:eastAsia="宋体" w:cs="宋体"/>
          <w:color w:val="auto"/>
          <w:szCs w:val="24"/>
          <w:highlight w:val="none"/>
        </w:rPr>
        <w:t xml:space="preserve">18.12经磋商确定最终采购需求和提交最后报价的供应商后，由磋商小组采用综合评分法对提交最后报价的供应商的响应文件和最后报价进行综合评分。</w:t>
      </w:r>
      <w:r/>
    </w:p>
    <w:p>
      <w:pPr>
        <w:pStyle w:val="766"/>
        <w:ind w:firstLine="480"/>
        <w:jc w:val="both"/>
        <w:spacing w:line="360" w:lineRule="auto"/>
        <w:tabs>
          <w:tab w:val="left" w:pos="0" w:leader="none"/>
        </w:tabs>
        <w:rPr>
          <w:rFonts w:hint="eastAsia" w:ascii="宋体" w:hAnsi="宋体" w:cs="宋体"/>
          <w:color w:val="auto"/>
          <w:szCs w:val="24"/>
          <w:highlight w:val="none"/>
        </w:rPr>
      </w:pPr>
      <w:r>
        <w:rPr>
          <w:rFonts w:hint="eastAsia" w:ascii="宋体" w:hAnsi="宋体" w:eastAsia="宋体" w:cs="宋体"/>
          <w:color w:val="auto"/>
          <w:szCs w:val="24"/>
          <w:highlight w:val="none"/>
        </w:rPr>
        <w:t xml:space="preserve">18.13磋商小组根据磋商成交原则确定成交供应商，并将结果通知所有参加磋商的供应商。</w:t>
      </w:r>
      <w:r/>
    </w:p>
    <w:p>
      <w:pPr>
        <w:pStyle w:val="766"/>
        <w:ind w:firstLine="480"/>
        <w:jc w:val="both"/>
        <w:spacing w:line="360" w:lineRule="auto"/>
        <w:tabs>
          <w:tab w:val="left" w:pos="0" w:leader="none"/>
        </w:tabs>
        <w:rPr>
          <w:rFonts w:hint="eastAsia" w:ascii="宋体" w:hAnsi="宋体" w:cs="宋体"/>
          <w:color w:val="auto"/>
          <w:szCs w:val="24"/>
          <w:highlight w:val="none"/>
        </w:rPr>
      </w:pPr>
      <w:r>
        <w:rPr>
          <w:rFonts w:hint="eastAsia" w:ascii="宋体" w:hAnsi="宋体" w:eastAsia="宋体" w:cs="宋体"/>
          <w:color w:val="auto"/>
          <w:szCs w:val="24"/>
          <w:highlight w:val="none"/>
        </w:rPr>
        <w:t xml:space="preserve">18.14如磋商过程中出现本采购文件未尽事宜，由磋商小组根据政府采购有关法律、法规讨论决定。</w:t>
      </w:r>
      <w:r/>
    </w:p>
    <w:p>
      <w:pPr>
        <w:ind w:firstLine="482"/>
        <w:spacing w:line="360" w:lineRule="auto"/>
        <w:widowControl/>
        <w:rPr>
          <w:rFonts w:hint="eastAsia" w:ascii="宋体" w:hAnsi="宋体" w:cs="宋体"/>
          <w:color w:val="auto"/>
          <w:sz w:val="24"/>
          <w:szCs w:val="24"/>
          <w:highlight w:val="none"/>
        </w:rPr>
      </w:pPr>
      <w:r>
        <w:rPr>
          <w:rFonts w:hint="eastAsia" w:ascii="宋体" w:hAnsi="宋体" w:eastAsia="宋体" w:cs="宋体"/>
          <w:b/>
          <w:bCs/>
          <w:color w:val="auto"/>
          <w:sz w:val="24"/>
          <w:szCs w:val="24"/>
          <w:highlight w:val="none"/>
        </w:rPr>
        <w:t xml:space="preserve">注：如不同投标（响应）文件制作机器码一致，则投标（响应）无效。</w:t>
      </w:r>
      <w:r/>
    </w:p>
    <w:p>
      <w:pPr>
        <w:ind w:firstLine="482"/>
        <w:spacing w:line="360" w:lineRule="auto"/>
        <w:tabs>
          <w:tab w:val="left" w:pos="753" w:leader="none"/>
        </w:tabs>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18.15本项目采用线上二次报价：</w:t>
      </w:r>
      <w:r/>
    </w:p>
    <w:p>
      <w:pPr>
        <w:ind w:firstLine="480"/>
        <w:spacing w:line="360" w:lineRule="auto"/>
        <w:tabs>
          <w:tab w:val="left" w:pos="753"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登录苏采云系统，评审组长发起最后报价，开标大厅会显示“立即报价”界面，点击【确认报价】提交流程至签</w:t>
      </w:r>
      <w:r>
        <w:rPr>
          <w:rFonts w:hint="eastAsia" w:ascii="宋体" w:hAnsi="宋体" w:eastAsia="宋体" w:cs="宋体"/>
          <w:bCs/>
          <w:color w:val="auto"/>
          <w:sz w:val="24"/>
          <w:szCs w:val="24"/>
          <w:highlight w:val="none"/>
        </w:rPr>
        <w:t xml:space="preserve">章环节，供应商点击签章按钮，签章完成后可进行提交。</w:t>
      </w:r>
      <w:r>
        <w:rPr>
          <w:rFonts w:hint="eastAsia" w:ascii="宋体" w:hAnsi="宋体" w:eastAsia="宋体" w:cs="宋体"/>
          <w:b/>
          <w:color w:val="auto"/>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cs="宋体"/>
          <w:b/>
          <w:color w:val="auto"/>
          <w:sz w:val="24"/>
          <w:szCs w:val="24"/>
          <w:highlight w:val="none"/>
        </w:rPr>
      </w:pPr>
      <w:r>
        <w:rPr>
          <w:rFonts w:hint="eastAsia" w:ascii="宋体" w:hAnsi="宋体" w:eastAsia="宋体" w:cs="宋体"/>
          <w:b/>
          <w:bCs/>
          <w:color w:val="auto"/>
          <w:sz w:val="24"/>
          <w:szCs w:val="24"/>
          <w:highlight w:val="none"/>
        </w:rPr>
        <w:t xml:space="preserve">进入项目评审流程后，建议各供应商法定代表人或授权委托人始终保持通讯顺畅，时</w:t>
      </w:r>
      <w:r>
        <w:rPr>
          <w:rFonts w:hint="eastAsia" w:ascii="宋体" w:hAnsi="宋体" w:eastAsia="宋体" w:cs="宋体"/>
          <w:b/>
          <w:color w:val="auto"/>
          <w:sz w:val="24"/>
          <w:szCs w:val="24"/>
          <w:highlight w:val="none"/>
        </w:rPr>
        <w:t xml:space="preserve">刻关注不见面开标大厅，不离开不见面开标大厅。</w:t>
      </w:r>
      <w:r/>
    </w:p>
    <w:p>
      <w:pPr>
        <w:ind w:firstLine="482"/>
        <w:spacing w:line="360" w:lineRule="auto"/>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关于二次报价的具体操作流程，各供应商请详细阅读《操作手册》。</w:t>
      </w:r>
      <w:r/>
    </w:p>
    <w:p>
      <w:pPr>
        <w:ind w:firstLine="482"/>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19.磋商小组</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19.1采购代理机构负责组织评审工作；磋商小组由相关专家及采购人代表组成，负责具体评审事务，并独立履行法律、法规规定的职责。</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19.2采购人员及相关人员与参加采购活动的供应商存在下列利害关系之一的，应当回避：</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（一）参加采购活动前三年内，与供应商存在劳动关系，或者担任过供应商的董事、监事，或者是供应商的控股股东或实际控制人；</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（二）与供应商的法定代表人或者负责人有夫妻、直系血亲、三代以内旁系血亲或者近姻亲关系；</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（三）与供应商有其他可能影响政府采购活动公平、公正进行的关系。</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采购人员及相关人员发现本人与参加采购活动的供应商有利害关系的，应当主动提出回避。采购人或者采购代理机构发现磋商小组与参加采购活动的供应商有利害关系的，应当要求其回避。</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19.3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19.4磋商小组成员应当按照客观、公正、审慎的原则，根据采购文件规定的评审程序、评审方法和评审标准进行独立评审。</w:t>
      </w:r>
      <w:r/>
    </w:p>
    <w:p>
      <w:pPr>
        <w:ind w:firstLine="482"/>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20.项目的终止</w:t>
      </w:r>
      <w:r/>
    </w:p>
    <w:p>
      <w:pPr>
        <w:ind w:firstLine="480"/>
        <w:spacing w:line="360" w:lineRule="auto"/>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20.1出现下列情形之一的，将终止竞争性磋商采购活动：</w:t>
      </w:r>
      <w:r/>
    </w:p>
    <w:p>
      <w:pPr>
        <w:ind w:firstLine="480"/>
        <w:spacing w:line="360" w:lineRule="auto"/>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20.1.1因情况变化，不再符合规定的竞争性磋商采购方式适用情形的；</w:t>
      </w:r>
      <w:r/>
    </w:p>
    <w:p>
      <w:pPr>
        <w:ind w:firstLine="480"/>
        <w:spacing w:line="360" w:lineRule="auto"/>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20.1.2出现影响采购公正的违法、违规行为的；</w:t>
      </w:r>
      <w:r/>
    </w:p>
    <w:p>
      <w:pPr>
        <w:ind w:firstLine="480"/>
        <w:spacing w:line="360" w:lineRule="auto"/>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20.1.3在采购过程中符合要求的供应商或者报价未超过采购预算的供应商不足3家的；</w:t>
      </w:r>
      <w:r/>
    </w:p>
    <w:p>
      <w:pPr>
        <w:ind w:firstLine="480"/>
        <w:spacing w:line="360" w:lineRule="auto"/>
        <w:tabs>
          <w:tab w:val="left" w:pos="753" w:leader="none"/>
        </w:tabs>
        <w:rPr>
          <w:rFonts w:hint="eastAsia" w:ascii="宋体" w:hAnsi="宋体" w:cs="宋体"/>
          <w:color w:val="auto"/>
          <w:sz w:val="24"/>
          <w:szCs w:val="24"/>
          <w:highlight w:val="none"/>
        </w:rPr>
      </w:pPr>
      <w:r>
        <w:rPr>
          <w:rFonts w:hint="eastAsia" w:ascii="宋体" w:hAnsi="宋体" w:eastAsia="宋体" w:cs="宋体"/>
          <w:bCs/>
          <w:color w:val="auto"/>
          <w:sz w:val="24"/>
          <w:szCs w:val="24"/>
          <w:highlight w:val="none"/>
        </w:rPr>
        <w:t xml:space="preserve">20.1.4在采购活动中因重大变故，采购任务取消的。</w:t>
      </w:r>
      <w:r/>
    </w:p>
    <w:p>
      <w:pPr>
        <w:ind w:firstLine="482"/>
        <w:spacing w:line="360" w:lineRule="auto"/>
        <w:tabs>
          <w:tab w:val="left" w:pos="8930" w:leader="none"/>
          <w:tab w:val="left" w:pos="9306" w:leader="none"/>
        </w:tabs>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21.评审内容的保密</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21.1磋商开始后，直到宣布授予成交单位合同为止，凡属于审查、澄清、评价和比较磋商响应文件的所有资料，有关授予合同的信息都不应向磋商供应商或与评审无关的其他人泄露。</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21.2在磋商响应文件的审查、澄清、评价和比较以及授予合同的过程中，磋商供应商对采购单位和磋商小组施加影响的任何行为，都将取消其成交资格。</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21.3在评审期间，采购单位将通过指定联络人与磋商供应商进行联系。</w:t>
      </w:r>
      <w:r/>
    </w:p>
    <w:p>
      <w:pPr>
        <w:ind w:firstLine="482"/>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22.磋商说明</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22.1不符合供应商资格要求的响应文件将被拒绝；</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22.2响应文件签署不符合要求的，响应文件将被拒绝；</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22.3任意一次磋商报价超过采购预算的，不能成交；</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22.4不实质性响应采购文件的不能成交；</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22.5</w:t>
      </w:r>
      <w:r>
        <w:rPr>
          <w:rFonts w:hint="eastAsia" w:ascii="宋体" w:hAnsi="宋体" w:eastAsia="宋体" w:cs="宋体"/>
          <w:bCs/>
          <w:color w:val="auto"/>
          <w:sz w:val="24"/>
          <w:szCs w:val="24"/>
          <w:highlight w:val="none"/>
        </w:rPr>
        <w:t xml:space="preserve">在采购过程中符合要求的供应商或者报价未超过采购预算的供应商不足3家的；</w:t>
      </w:r>
      <w:r/>
    </w:p>
    <w:p>
      <w:pPr>
        <w:ind w:firstLine="480"/>
        <w:spacing w:line="360" w:lineRule="auto"/>
        <w:tabs>
          <w:tab w:val="left" w:pos="8930" w:leader="none"/>
          <w:tab w:val="left" w:pos="9306" w:leader="none"/>
        </w:tabs>
        <w:rPr>
          <w:rFonts w:hint="eastAsia" w:ascii="宋体" w:hAnsi="宋体" w:cs="宋体"/>
          <w:b/>
          <w:color w:val="auto"/>
          <w:sz w:val="24"/>
          <w:szCs w:val="24"/>
          <w:highlight w:val="none"/>
        </w:rPr>
      </w:pPr>
      <w:r>
        <w:rPr>
          <w:rFonts w:hint="eastAsia" w:ascii="宋体" w:hAnsi="宋体" w:eastAsia="宋体" w:cs="宋体"/>
          <w:color w:val="auto"/>
          <w:sz w:val="24"/>
          <w:szCs w:val="24"/>
          <w:highlight w:val="none"/>
        </w:rPr>
        <w:t xml:space="preserve">22.6供应商根据磋商情况进行承诺说明并填写承诺函、填写最后报价（未填写单价的，最终合同单价按最后报价比第一次报价同比例下（上）浮）。</w:t>
      </w:r>
      <w:r/>
    </w:p>
    <w:p>
      <w:pPr>
        <w:ind w:firstLine="482"/>
        <w:spacing w:line="360" w:lineRule="auto"/>
        <w:tabs>
          <w:tab w:val="left" w:pos="8930" w:leader="none"/>
          <w:tab w:val="left" w:pos="9306" w:leader="none"/>
        </w:tabs>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23.成交单位的确认</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23.1磋商小组根据磋商供应商资格审查情况，对其响应文件进行评价和比较，按照评审办法和标准进行评审，并按采购单位的委托向采购单位推荐成交候选单位。</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23.2</w:t>
      </w:r>
      <w:r>
        <w:rPr>
          <w:rFonts w:hint="eastAsia" w:ascii="宋体" w:hAnsi="宋体" w:eastAsia="宋体" w:cs="宋体"/>
          <w:color w:val="auto"/>
          <w:sz w:val="24"/>
          <w:szCs w:val="24"/>
          <w:highlight w:val="none"/>
        </w:rPr>
        <w:t xml:space="preserve">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23.3</w:t>
      </w:r>
      <w:r>
        <w:rPr>
          <w:rFonts w:hint="eastAsia" w:ascii="宋体" w:hAnsi="宋体" w:eastAsia="宋体" w:cs="宋体"/>
          <w:bCs/>
          <w:color w:val="auto"/>
          <w:sz w:val="24"/>
          <w:szCs w:val="24"/>
          <w:highlight w:val="none"/>
        </w:rPr>
        <w:t xml:space="preserve">由采购人授权评审委员会在候选供应商名单中直接确定成交供应商。</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23.4如因质疑或投诉改变成交结果的，则采购人可以按照评审报告推荐的成交候选人名单排序，确定下一候选人为成交人或者重新开展政府采购活动。</w:t>
      </w:r>
      <w:r/>
    </w:p>
    <w:p>
      <w:pPr>
        <w:ind w:firstLine="482"/>
        <w:spacing w:line="360" w:lineRule="auto"/>
        <w:tabs>
          <w:tab w:val="left" w:pos="8930" w:leader="none"/>
          <w:tab w:val="left" w:pos="9306" w:leader="none"/>
        </w:tabs>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24.合同授予标准</w:t>
      </w:r>
      <w:r/>
    </w:p>
    <w:p>
      <w:pPr>
        <w:ind w:firstLine="480"/>
        <w:spacing w:line="360" w:lineRule="auto"/>
        <w:tabs>
          <w:tab w:val="left" w:pos="8930" w:leader="none"/>
          <w:tab w:val="left" w:pos="9306" w:leader="none"/>
        </w:tabs>
        <w:rPr>
          <w:rFonts w:hint="eastAsia" w:ascii="宋体" w:hAnsi="宋体" w:cs="宋体"/>
          <w:b/>
          <w:color w:val="auto"/>
          <w:sz w:val="24"/>
          <w:szCs w:val="24"/>
          <w:highlight w:val="none"/>
        </w:rPr>
      </w:pPr>
      <w:r>
        <w:rPr>
          <w:rFonts w:hint="eastAsia" w:ascii="宋体" w:hAnsi="宋体" w:eastAsia="宋体" w:cs="宋体"/>
          <w:color w:val="auto"/>
          <w:sz w:val="24"/>
          <w:szCs w:val="24"/>
          <w:highlight w:val="none"/>
        </w:rPr>
        <w:t xml:space="preserve">24.1采购单位将把合同授予其磋商响应文件在实质上响应采购文件要求和按本须知规定评选出的供应商。确定为成交的供应商必须具有实施本合同的能力和资源。</w:t>
      </w:r>
      <w:r/>
    </w:p>
    <w:p>
      <w:pPr>
        <w:ind w:firstLine="482"/>
        <w:spacing w:line="360" w:lineRule="auto"/>
        <w:tabs>
          <w:tab w:val="left" w:pos="8930" w:leader="none"/>
          <w:tab w:val="left" w:pos="9306" w:leader="none"/>
        </w:tabs>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25.成交通知书</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25.1采购人或采购代理机构根据相关规定发布成交公告，成交公告发出的同时应当向成交供应商发出《成交通知书》</w:t>
      </w:r>
      <w:bookmarkStart w:id="23" w:name="_Hlk132389804"/>
      <w:r/>
      <w:bookmarkStart w:id="24" w:name="_Hlk132385599"/>
      <w:r/>
      <w:bookmarkStart w:id="25" w:name="_Hlk132385577"/>
      <w:r>
        <w:rPr>
          <w:rFonts w:hint="eastAsia" w:ascii="宋体" w:hAnsi="宋体" w:eastAsia="宋体" w:cs="宋体"/>
          <w:color w:val="auto"/>
          <w:sz w:val="24"/>
          <w:szCs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23"/>
      <w:r/>
      <w:bookmarkEnd w:id="24"/>
      <w:r/>
      <w:bookmarkEnd w:id="25"/>
      <w:r>
        <w:rPr>
          <w:rFonts w:hint="eastAsia" w:ascii="宋体" w:hAnsi="宋体" w:eastAsia="宋体" w:cs="宋体"/>
          <w:color w:val="auto"/>
          <w:sz w:val="24"/>
          <w:szCs w:val="24"/>
          <w:highlight w:val="none"/>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25.2成交通知书发出后，采购人不得违法改变成交结果，成交供应商无正当理由不得放弃成交。</w:t>
      </w:r>
      <w:r/>
    </w:p>
    <w:p>
      <w:pPr>
        <w:ind w:firstLine="482"/>
        <w:spacing w:line="360" w:lineRule="auto"/>
        <w:tabs>
          <w:tab w:val="left" w:pos="8930" w:leader="none"/>
          <w:tab w:val="left" w:pos="9306"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26.</w:t>
      </w:r>
      <w:r>
        <w:rPr>
          <w:rFonts w:hint="eastAsia" w:ascii="宋体" w:hAnsi="宋体" w:eastAsia="宋体" w:cs="宋体"/>
          <w:b/>
          <w:color w:val="auto"/>
          <w:sz w:val="24"/>
          <w:szCs w:val="24"/>
          <w:highlight w:val="none"/>
        </w:rPr>
        <w:t xml:space="preserve">代理服务费</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26.1成交单位须按以下的规定按其预算金额计算并支付服务费，该费用应在领取成交通知书时</w:t>
      </w:r>
      <w:r>
        <w:rPr>
          <w:rFonts w:hint="eastAsia" w:ascii="宋体" w:hAnsi="宋体" w:eastAsia="宋体" w:cs="宋体"/>
          <w:color w:val="auto"/>
          <w:sz w:val="24"/>
          <w:szCs w:val="24"/>
          <w:highlight w:val="none"/>
          <w:lang w:val="zh-CN"/>
        </w:rPr>
        <w:t xml:space="preserve">一次性</w:t>
      </w:r>
      <w:r>
        <w:rPr>
          <w:rFonts w:hint="eastAsia" w:ascii="宋体" w:hAnsi="宋体" w:eastAsia="宋体" w:cs="宋体"/>
          <w:color w:val="auto"/>
          <w:sz w:val="24"/>
          <w:szCs w:val="24"/>
          <w:highlight w:val="none"/>
        </w:rPr>
        <w:t xml:space="preserve">付清：</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zh-CN"/>
        </w:rPr>
        <w:t xml:space="preserve">以项目预算金额作为代理服务费的计算基数，按照以下差额定率累进法计算方法确定政府采购代理服务费金额：</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zh-CN"/>
        </w:rPr>
        <w:t xml:space="preserve">预算金额：100万元以下部分按预算金额的1.5%收取；</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zh-CN"/>
        </w:rPr>
        <w:t xml:space="preserve">预算金额：100万元（含）~500万元以下部分按预算金额的1.1%收取；</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zh-CN"/>
        </w:rPr>
        <w:t xml:space="preserve">预算金额：500万元（含）~1000万元以下部分按预算金额的0.8%收取；</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zh-CN"/>
        </w:rPr>
        <w:t xml:space="preserve">预算金额：1000万元（含）~5000万元以下部分按预算金额的0.5%收取；</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预算金额：5000万元（含）以上部分按预算金额的0.25%收取；领取成交通知书时向招标代理机构一次性付清。</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注：本项目采购预算已包含代理服务费，代理服务费为人民币19087.60元。</w:t>
      </w:r>
      <w:r/>
    </w:p>
    <w:p>
      <w:pPr>
        <w:ind w:firstLine="482"/>
        <w:spacing w:line="360" w:lineRule="auto"/>
        <w:tabs>
          <w:tab w:val="left" w:pos="8930" w:leader="none"/>
          <w:tab w:val="left" w:pos="9306"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27.履约保证金</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无</w:t>
      </w:r>
      <w:r/>
    </w:p>
    <w:p>
      <w:pPr>
        <w:ind w:firstLine="482"/>
        <w:spacing w:line="360" w:lineRule="auto"/>
        <w:tabs>
          <w:tab w:val="left" w:pos="8930" w:leader="none"/>
          <w:tab w:val="left" w:pos="9306" w:leader="none"/>
        </w:tabs>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28.未尽事宜</w:t>
      </w:r>
      <w:r/>
    </w:p>
    <w:p>
      <w:pPr>
        <w:ind w:firstLine="482"/>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按《中华人民共和国政府采购法》及其他有关的法律法规的规定执行。</w:t>
      </w:r>
      <w:r/>
    </w:p>
    <w:p>
      <w:pPr>
        <w:jc w:val="center"/>
        <w:spacing w:line="360" w:lineRule="auto"/>
        <w:tabs>
          <w:tab w:val="left" w:pos="8930" w:leader="none"/>
          <w:tab w:val="left" w:pos="9306" w:leader="none"/>
        </w:tabs>
        <w:rPr>
          <w:rFonts w:hint="eastAsia" w:ascii="宋体" w:hAnsi="宋体" w:cs="宋体"/>
          <w:b/>
          <w:bCs/>
          <w:color w:val="auto"/>
          <w:sz w:val="32"/>
          <w:szCs w:val="32"/>
          <w:highlight w:val="none"/>
        </w:rPr>
        <w:outlineLvl w:val="0"/>
      </w:pPr>
      <w:r>
        <w:rPr>
          <w:rFonts w:hint="eastAsia" w:ascii="宋体" w:hAnsi="宋体" w:cs="宋体"/>
          <w:color w:val="auto"/>
          <w:sz w:val="24"/>
          <w:szCs w:val="24"/>
          <w:highlight w:val="none"/>
        </w:rPr>
        <w:br w:type="page" w:clear="all"/>
      </w:r>
      <w:bookmarkStart w:id="26" w:name="_Toc197425370"/>
      <w:r>
        <w:rPr>
          <w:rFonts w:hint="eastAsia" w:ascii="宋体" w:hAnsi="宋体" w:eastAsia="宋体" w:cs="宋体"/>
          <w:b/>
          <w:bCs/>
          <w:color w:val="auto"/>
          <w:sz w:val="32"/>
          <w:szCs w:val="32"/>
          <w:highlight w:val="none"/>
        </w:rPr>
        <w:t xml:space="preserve">第三章  磋商响应文件格式</w:t>
      </w:r>
      <w:bookmarkEnd w:id="26"/>
      <w:r/>
      <w:r/>
    </w:p>
    <w:p>
      <w:pPr>
        <w:jc w:val="left"/>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2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对本章所有的格式，磋商供应商可根据自身情况进行补充和修改，但补充和修改不得造成与本格式内容有实质性的违背。</w:t>
      </w:r>
      <w:r/>
    </w:p>
    <w:p>
      <w:pPr>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spacing w:line="360" w:lineRule="auto"/>
        <w:rPr>
          <w:rFonts w:hint="eastAsia" w:ascii="宋体" w:hAnsi="宋体" w:cs="宋体"/>
          <w:b/>
          <w:bCs/>
          <w:color w:val="auto"/>
          <w:sz w:val="24"/>
          <w:szCs w:val="24"/>
          <w:highlight w:val="none"/>
        </w:rPr>
        <w:outlineLvl w:val="9"/>
      </w:pPr>
      <w:r>
        <w:rPr>
          <w:rFonts w:hint="eastAsia" w:ascii="宋体" w:hAnsi="宋体" w:cs="宋体"/>
          <w:color w:val="auto"/>
          <w:szCs w:val="21"/>
          <w:highlight w:val="none"/>
        </w:rPr>
        <w:br w:type="page" w:clear="all"/>
      </w:r>
      <w:r>
        <w:rPr>
          <w:rFonts w:hint="eastAsia" w:ascii="宋体" w:hAnsi="宋体" w:eastAsia="宋体" w:cs="宋体"/>
          <w:b/>
          <w:bCs/>
          <w:color w:val="auto"/>
          <w:sz w:val="24"/>
          <w:szCs w:val="24"/>
          <w:highlight w:val="none"/>
        </w:rPr>
        <w:t xml:space="preserve">1、（供应商）法定代表人授权委托书</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480"/>
        <w:jc w:val="center"/>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法定代表人授权委托书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本授权委托书声明：我</w:t>
      </w:r>
      <w:r>
        <w:rPr>
          <w:rFonts w:ascii="宋体" w:hAnsi="宋体" w:cs="宋体"/>
          <w:color w:val="auto"/>
          <w:sz w:val="24"/>
          <w:highlight w:val="none"/>
          <w:u w:val="single"/>
        </w:rPr>
        <w:t xml:space="preserve">           </w:t>
      </w:r>
      <w:r>
        <w:rPr>
          <w:rFonts w:hint="eastAsia" w:ascii="宋体" w:hAnsi="宋体" w:eastAsia="宋体" w:cs="宋体"/>
          <w:color w:val="auto"/>
          <w:sz w:val="24"/>
          <w:highlight w:val="none"/>
        </w:rPr>
        <w:t xml:space="preserve">（姓名）系</w:t>
      </w:r>
      <w:r>
        <w:rPr>
          <w:rFonts w:ascii="宋体" w:hAnsi="宋体" w:cs="宋体"/>
          <w:color w:val="auto"/>
          <w:sz w:val="24"/>
          <w:highlight w:val="none"/>
          <w:u w:val="single"/>
        </w:rPr>
        <w:t xml:space="preserve">     </w:t>
      </w:r>
      <w:r>
        <w:rPr>
          <w:rFonts w:hint="eastAsia" w:ascii="宋体" w:hAnsi="宋体" w:eastAsia="宋体" w:cs="宋体"/>
          <w:color w:val="auto"/>
          <w:sz w:val="24"/>
          <w:highlight w:val="none"/>
          <w:u w:val="single"/>
        </w:rPr>
        <w:t xml:space="preserve">（供应商名称）  </w:t>
      </w:r>
      <w:r>
        <w:rPr>
          <w:rFonts w:hint="eastAsia" w:ascii="宋体" w:hAnsi="宋体" w:eastAsia="宋体" w:cs="宋体"/>
          <w:color w:val="auto"/>
          <w:sz w:val="24"/>
          <w:highlight w:val="none"/>
        </w:rPr>
        <w:t xml:space="preserve">的法定代表人，现授权委托</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hint="eastAsia" w:ascii="宋体" w:hAnsi="宋体" w:eastAsia="宋体" w:cs="宋体"/>
          <w:color w:val="auto"/>
          <w:sz w:val="24"/>
          <w:highlight w:val="none"/>
          <w:u w:val="single"/>
        </w:rPr>
        <w:t xml:space="preserve">（姓名）</w:t>
      </w:r>
      <w:r>
        <w:rPr>
          <w:rFonts w:hint="eastAsia" w:ascii="宋体" w:hAnsi="宋体" w:eastAsia="宋体" w:cs="宋体"/>
          <w:color w:val="auto"/>
          <w:sz w:val="24"/>
          <w:highlight w:val="none"/>
        </w:rPr>
        <w:t xml:space="preserve">为我公司授权代表（即代理人），以本公司的名义参加</w:t>
      </w:r>
      <w:r>
        <w:rPr>
          <w:rFonts w:hint="eastAsia" w:ascii="宋体" w:hAnsi="宋体" w:eastAsia="宋体" w:cs="宋体"/>
          <w:color w:val="auto"/>
          <w:sz w:val="24"/>
          <w:highlight w:val="none"/>
          <w:u w:val="single"/>
        </w:rPr>
        <w:t xml:space="preserve">       （采购代理机构）      </w:t>
      </w:r>
      <w:r>
        <w:rPr>
          <w:rFonts w:hint="eastAsia" w:ascii="宋体" w:hAnsi="宋体" w:eastAsia="宋体" w:cs="宋体"/>
          <w:color w:val="auto"/>
          <w:sz w:val="24"/>
          <w:highlight w:val="none"/>
        </w:rPr>
        <w:t xml:space="preserve">组织实施的编号为</w:t>
      </w:r>
      <w:r>
        <w:rPr>
          <w:rFonts w:ascii="宋体" w:hAnsi="宋体" w:cs="宋体"/>
          <w:color w:val="auto"/>
          <w:sz w:val="24"/>
          <w:highlight w:val="none"/>
          <w:u w:val="single"/>
        </w:rPr>
        <w:t xml:space="preserve">    </w:t>
      </w:r>
      <w:r>
        <w:rPr>
          <w:rFonts w:hint="eastAsia" w:ascii="宋体" w:hAnsi="宋体" w:eastAsia="宋体" w:cs="宋体"/>
          <w:color w:val="auto"/>
          <w:sz w:val="24"/>
          <w:highlight w:val="none"/>
          <w:u w:val="single"/>
        </w:rPr>
        <w:t xml:space="preserve">（采购编号）</w:t>
      </w:r>
      <w:r>
        <w:rPr>
          <w:rFonts w:ascii="宋体" w:hAnsi="宋体" w:cs="宋体"/>
          <w:color w:val="auto"/>
          <w:sz w:val="24"/>
          <w:highlight w:val="none"/>
          <w:u w:val="single"/>
        </w:rPr>
        <w:t xml:space="preserve">       </w:t>
      </w:r>
      <w:r>
        <w:rPr>
          <w:rFonts w:hint="eastAsia" w:ascii="宋体" w:hAnsi="宋体" w:eastAsia="宋体" w:cs="宋体"/>
          <w:color w:val="auto"/>
          <w:sz w:val="24"/>
          <w:highlight w:val="none"/>
        </w:rPr>
        <w:t xml:space="preserve">号的磋商活动。授权代表在磋商活动过程中所签署的一切文件和处理与这有关的一切事务，我均予以承认。</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授权代表无转委托权。特此委托。</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供应商：（公章）</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法定代表人：（签字或盖章）</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代理人：（签字或盖章）</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日期：      年  </w:t>
      </w:r>
      <w:r>
        <w:rPr>
          <w:rFonts w:ascii="宋体" w:hAnsi="宋体" w:cs="宋体"/>
          <w:color w:val="auto"/>
          <w:sz w:val="24"/>
          <w:highlight w:val="none"/>
        </w:rPr>
        <w:t xml:space="preserve"> </w:t>
      </w:r>
      <w:r>
        <w:rPr>
          <w:rFonts w:hint="eastAsia" w:ascii="宋体" w:hAnsi="宋体" w:eastAsia="宋体" w:cs="宋体"/>
          <w:color w:val="auto"/>
          <w:sz w:val="24"/>
          <w:highlight w:val="none"/>
        </w:rPr>
        <w:t xml:space="preserve"> 月  </w:t>
      </w:r>
      <w:r>
        <w:rPr>
          <w:rFonts w:ascii="宋体" w:hAnsi="宋体" w:cs="宋体"/>
          <w:color w:val="auto"/>
          <w:sz w:val="24"/>
          <w:highlight w:val="none"/>
        </w:rPr>
        <w:t xml:space="preserve">  </w:t>
      </w:r>
      <w:r>
        <w:rPr>
          <w:rFonts w:hint="eastAsia" w:ascii="宋体" w:hAnsi="宋体" w:eastAsia="宋体" w:cs="宋体"/>
          <w:color w:val="auto"/>
          <w:sz w:val="24"/>
          <w:highlight w:val="none"/>
        </w:rPr>
        <w:t xml:space="preserve">日</w:t>
      </w:r>
      <w:r/>
    </w:p>
    <w:p>
      <w:pPr>
        <w:jc w:val="left"/>
        <w:rPr>
          <w:rFonts w:hint="eastAsia" w:ascii="宋体" w:hAnsi="宋体" w:cs="宋体"/>
          <w:b/>
          <w:bCs/>
          <w:color w:val="auto"/>
          <w:sz w:val="24"/>
          <w:szCs w:val="24"/>
          <w:highlight w:val="none"/>
        </w:rPr>
        <w:outlineLvl w:val="9"/>
      </w:pPr>
      <w:r>
        <w:rPr>
          <w:rFonts w:hint="eastAsia" w:ascii="宋体" w:hAnsi="宋体" w:cs="宋体"/>
          <w:b/>
          <w:bCs/>
          <w:color w:val="auto"/>
          <w:szCs w:val="21"/>
          <w:highlight w:val="none"/>
        </w:rPr>
        <w:br w:type="page" w:clear="all"/>
      </w:r>
      <w:r>
        <w:rPr>
          <w:rFonts w:hint="eastAsia" w:ascii="宋体" w:hAnsi="宋体" w:eastAsia="宋体" w:cs="宋体"/>
          <w:b/>
          <w:bCs/>
          <w:color w:val="auto"/>
          <w:sz w:val="24"/>
          <w:szCs w:val="24"/>
          <w:highlight w:val="none"/>
        </w:rPr>
        <w:t xml:space="preserve">2、磋商响应函</w:t>
      </w:r>
      <w:r/>
    </w:p>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center"/>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磋商响应函</w:t>
      </w:r>
      <w:r/>
    </w:p>
    <w:p>
      <w:pPr>
        <w:ind w:firstLine="480"/>
        <w:spacing w:line="360" w:lineRule="auto"/>
        <w:rPr>
          <w:rFonts w:hint="eastAsia" w:ascii="宋体" w:hAnsi="宋体" w:cs="宋体"/>
          <w:color w:val="auto"/>
          <w:sz w:val="24"/>
          <w:highlight w:val="none"/>
          <w:u w:val="single"/>
        </w:rPr>
      </w:pPr>
      <w:r>
        <w:rPr>
          <w:rFonts w:hint="eastAsia" w:ascii="宋体" w:hAnsi="宋体" w:eastAsia="宋体" w:cs="宋体"/>
          <w:color w:val="auto"/>
          <w:sz w:val="24"/>
          <w:highlight w:val="none"/>
          <w:u w:val="single"/>
        </w:rPr>
        <w:t xml:space="preserve">   （采购代理机构）    ：</w:t>
      </w:r>
      <w:r/>
    </w:p>
    <w:p>
      <w:pPr>
        <w:pStyle w:val="760"/>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我们收到贵公司</w:t>
      </w:r>
      <w:r>
        <w:rPr>
          <w:rFonts w:hint="eastAsia" w:ascii="宋体" w:hAnsi="宋体" w:eastAsia="宋体" w:cs="宋体"/>
          <w:color w:val="auto"/>
          <w:sz w:val="24"/>
          <w:szCs w:val="24"/>
          <w:highlight w:val="none"/>
          <w:u w:val="single"/>
        </w:rPr>
        <w:t xml:space="preserve">   （采购编号） </w:t>
      </w:r>
      <w:r>
        <w:rPr>
          <w:rFonts w:hint="eastAsia" w:ascii="宋体" w:hAnsi="宋体" w:eastAsia="宋体" w:cs="宋体"/>
          <w:color w:val="auto"/>
          <w:sz w:val="24"/>
          <w:szCs w:val="24"/>
          <w:highlight w:val="none"/>
        </w:rPr>
        <w:t xml:space="preserve">号采购文件，经仔细阅读和研究，我们决定参加磋商活动。</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1、我们愿意按照采购文件的一切要求，完成该项目的全部内容。</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2、如果我们的磋商响应文件被接受，我们将严格履行采购文件中规定的每一项要求，按期、按质、按量履行合同的义务。</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3、我们已详细阅读全部采购文件，包括更正公告（如有），对采购文件及更正公告（如有）无任何异议。我们完全理解并同意放弃对这方面有不明及误解的权力。</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4、我们同意按采购文件中的规定，本响应文件的有效期限自提交响应文件截止时间之日起</w:t>
      </w:r>
      <w:r>
        <w:rPr>
          <w:rFonts w:hint="eastAsia" w:ascii="宋体" w:hAnsi="宋体" w:cs="宋体"/>
          <w:color w:val="auto"/>
          <w:sz w:val="24"/>
          <w:highlight w:val="none"/>
          <w:u w:val="single"/>
        </w:rPr>
        <w:t xml:space="preserve"> 90 </w:t>
      </w:r>
      <w:r>
        <w:rPr>
          <w:rFonts w:hint="eastAsia" w:ascii="宋体" w:hAnsi="宋体" w:eastAsia="宋体" w:cs="宋体"/>
          <w:color w:val="auto"/>
          <w:sz w:val="24"/>
          <w:highlight w:val="none"/>
        </w:rPr>
        <w:t xml:space="preserve">天。</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5、我们愿意提供采购人在采购文件中要求的所有资料。</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6、我们愿意遵守采购文件中所列的收费标准。</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7、我们承诺该响应文件在磋商开始后的全过程中保持有效，不作任何更改和变动。</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8、我们承诺我公司符合竞争性磋商采购公告中“申请人的资格要求”的要求，若与真实情况不符，本公司愿意承担由此而产生的一切后果。</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9、所有有关采购文件的函电，请按下列地址联系：</w:t>
      </w:r>
      <w:r/>
    </w:p>
    <w:p>
      <w:pPr>
        <w:pStyle w:val="760"/>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单位：                             联系人：</w:t>
      </w:r>
      <w:r/>
    </w:p>
    <w:p>
      <w:pPr>
        <w:pStyle w:val="760"/>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地址：                             邮政编码：</w:t>
      </w:r>
      <w:r/>
    </w:p>
    <w:p>
      <w:pPr>
        <w:pStyle w:val="760"/>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联系电话：                         传真：</w:t>
      </w:r>
      <w:r/>
    </w:p>
    <w:p>
      <w:pPr>
        <w:pStyle w:val="760"/>
        <w:ind w:left="340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6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供应商：（公章）</w:t>
      </w:r>
      <w:r/>
    </w:p>
    <w:p>
      <w:pPr>
        <w:pStyle w:val="76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760"/>
        <w:spacing w:line="360" w:lineRule="auto"/>
        <w:rPr>
          <w:rFonts w:hint="eastAsia" w:ascii="宋体" w:hAnsi="宋体" w:cs="宋体"/>
          <w:b/>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spacing w:line="360" w:lineRule="auto"/>
        <w:rPr>
          <w:rFonts w:hint="eastAsia" w:ascii="宋体" w:hAnsi="宋体" w:cs="宋体"/>
          <w:b/>
          <w:bCs/>
          <w:color w:val="auto"/>
          <w:sz w:val="24"/>
          <w:szCs w:val="24"/>
          <w:highlight w:val="none"/>
        </w:rPr>
      </w:pPr>
      <w:r>
        <w:rPr>
          <w:rFonts w:hint="eastAsia" w:ascii="宋体" w:hAnsi="宋体" w:cs="宋体"/>
          <w:color w:val="auto"/>
          <w:sz w:val="24"/>
          <w:szCs w:val="24"/>
          <w:highlight w:val="none"/>
        </w:rPr>
        <w:br w:type="page" w:clear="all"/>
      </w:r>
      <w:r>
        <w:rPr>
          <w:rFonts w:hint="eastAsia" w:ascii="宋体" w:hAnsi="宋体" w:eastAsia="宋体" w:cs="宋体"/>
          <w:b/>
          <w:bCs/>
          <w:color w:val="auto"/>
          <w:sz w:val="24"/>
          <w:szCs w:val="24"/>
          <w:highlight w:val="none"/>
        </w:rPr>
        <w:t xml:space="preserve">3、开标一览表（第一次）</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795"/>
        <w:spacing w:line="360" w:lineRule="auto"/>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具体按“苏采云”系统填报</w:t>
      </w:r>
      <w:r/>
    </w:p>
    <w:tbl>
      <w:tblPr>
        <w:tblStyle w:val="720"/>
        <w:tblW w:w="9089"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11"/>
        <w:gridCol w:w="4978"/>
      </w:tblGrid>
      <w:tr>
        <w:trPr>
          <w:trHeight w:val="577"/>
        </w:trPr>
        <w:tc>
          <w:tcPr>
            <w:tcW w:w="4111" w:type="dxa"/>
            <w:vAlign w:val="center"/>
            <w:textDirection w:val="lrTb"/>
            <w:noWrap w:val="false"/>
          </w:tcPr>
          <w:p>
            <w:pPr>
              <w:jc w:val="center"/>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en-US" w:bidi="ar-SA"/>
              </w:rPr>
              <w:t xml:space="preserve">项目名称</w:t>
            </w:r>
            <w:r/>
          </w:p>
        </w:tc>
        <w:tc>
          <w:tcPr>
            <w:tcW w:w="4978" w:type="dxa"/>
            <w:vAlign w:val="center"/>
            <w:textDirection w:val="lrTb"/>
            <w:noWrap w:val="false"/>
          </w:tcPr>
          <w:p>
            <w:pPr>
              <w:jc w:val="center"/>
              <w:widowControl w:val="off"/>
              <w:rPr>
                <w:rFonts w:ascii="宋体" w:hAnsi="宋体" w:eastAsia="宋体" w:cs="宋体"/>
                <w:b/>
                <w:color w:val="auto"/>
                <w:sz w:val="24"/>
                <w:szCs w:val="24"/>
                <w:highlight w:val="none"/>
              </w:rPr>
            </w:pPr>
            <w:r>
              <w:rPr>
                <w:rFonts w:hint="eastAsia" w:ascii="Times New Roman" w:hAnsi="宋体" w:eastAsia="宋体" w:cs="Times New Roman"/>
                <w:b/>
                <w:color w:val="auto"/>
                <w:sz w:val="24"/>
                <w:szCs w:val="24"/>
                <w:highlight w:val="none"/>
                <w:lang w:val="en-US" w:eastAsia="en-US" w:bidi="ar-SA"/>
              </w:rPr>
              <w:t xml:space="preserve">响应报价（元）</w:t>
            </w:r>
            <w:r/>
          </w:p>
        </w:tc>
      </w:tr>
      <w:tr>
        <w:trPr>
          <w:trHeight w:val="979"/>
        </w:trPr>
        <w:tc>
          <w:tcPr>
            <w:tcW w:w="4111" w:type="dxa"/>
            <w:vAlign w:val="center"/>
            <w:textDirection w:val="lrTb"/>
            <w:noWrap w:val="false"/>
          </w:tcPr>
          <w:p>
            <w:pPr>
              <w:jc w:val="center"/>
              <w:widowControl w:val="off"/>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东渚街道2026-2027年度居家养老上门服务</w:t>
            </w:r>
            <w:r/>
          </w:p>
        </w:tc>
        <w:tc>
          <w:tcPr>
            <w:tcW w:w="4978" w:type="dxa"/>
            <w:vAlign w:val="center"/>
            <w:textDirection w:val="lrTb"/>
            <w:noWrap w:val="false"/>
          </w:tcPr>
          <w:p>
            <w:pPr>
              <w:pStyle w:val="1068"/>
              <w:jc w:val="both"/>
              <w:widowControl w:val="off"/>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en-US" w:bidi="ar-SA"/>
              </w:rPr>
              <w:t xml:space="preserve">人民币（大写）：</w:t>
            </w:r>
            <w:r/>
          </w:p>
          <w:p>
            <w:pPr>
              <w:pStyle w:val="1069"/>
              <w:jc w:val="left"/>
              <w:widowControl w:val="off"/>
              <w:rPr>
                <w:rFonts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lang w:val="en-US" w:eastAsia="en-US" w:bidi="ar-SA"/>
              </w:rPr>
              <w:t xml:space="preserve">人民币（小写）：</w:t>
            </w:r>
            <w:r>
              <w:rPr>
                <w:rFonts w:ascii="Arial" w:hAnsi="Arial" w:eastAsia="宋体" w:cs="Arial"/>
                <w:bCs/>
                <w:color w:val="auto"/>
                <w:sz w:val="24"/>
                <w:szCs w:val="24"/>
                <w:highlight w:val="none"/>
                <w:lang w:val="en-US" w:eastAsia="en-US" w:bidi="ar-SA"/>
              </w:rPr>
              <w:t xml:space="preserve">¥</w:t>
            </w:r>
            <w:r/>
          </w:p>
        </w:tc>
      </w:tr>
    </w:tbl>
    <w:p>
      <w:pPr>
        <w:pStyle w:val="828"/>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numPr>
          <w:ilvl w:val="0"/>
          <w:numId w:val="1"/>
        </w:numPr>
        <w:jc w:val="left"/>
        <w:spacing w:line="360" w:lineRule="auto"/>
        <w:rPr>
          <w:rFonts w:hint="eastAsia" w:ascii="宋体" w:hAnsi="宋体" w:cs="宋体"/>
          <w:b/>
          <w:color w:val="auto"/>
          <w:sz w:val="24"/>
          <w:highlight w:val="none"/>
          <w:lang w:val="en-US" w:eastAsia="zh-CN"/>
        </w:rPr>
        <w:outlineLvl w:val="9"/>
      </w:pPr>
      <w:r>
        <w:rPr>
          <w:rFonts w:hint="eastAsia" w:ascii="宋体" w:hAnsi="宋体" w:cs="宋体"/>
          <w:color w:val="auto"/>
          <w:szCs w:val="21"/>
          <w:highlight w:val="none"/>
        </w:rPr>
        <w:br w:type="page" w:clear="all"/>
      </w:r>
      <w:r>
        <w:rPr>
          <w:rFonts w:hint="eastAsia" w:ascii="宋体" w:hAnsi="宋体" w:eastAsia="宋体" w:cs="宋体"/>
          <w:b/>
          <w:bCs/>
          <w:color w:val="auto"/>
          <w:sz w:val="24"/>
          <w:szCs w:val="24"/>
          <w:highlight w:val="none"/>
        </w:rPr>
        <w:t xml:space="preserve">磋商报价明细表</w:t>
      </w:r>
      <w:r/>
    </w:p>
    <w:tbl>
      <w:tblPr>
        <w:tblStyle w:val="743"/>
        <w:tblW w:w="518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3"/>
        <w:gridCol w:w="2112"/>
        <w:gridCol w:w="897"/>
        <w:gridCol w:w="1326"/>
        <w:gridCol w:w="945"/>
        <w:gridCol w:w="1269"/>
        <w:gridCol w:w="1178"/>
        <w:gridCol w:w="1477"/>
      </w:tblGrid>
      <w:tr>
        <w:trPr>
          <w:jc w:val="center"/>
          <w:trHeight w:val="836"/>
        </w:trPr>
        <w:tc>
          <w:tcPr>
            <w:tcW w:w="518" w:type="dxa"/>
            <w:vAlign w:val="center"/>
            <w:textDirection w:val="lrTb"/>
            <w:noWrap w:val="false"/>
          </w:tcPr>
          <w:p>
            <w:pPr>
              <w:pStyle w:val="1028"/>
              <w:ind w:left="0" w:firstLine="0"/>
              <w:jc w:val="center"/>
              <w:spacing w:after="0" w:line="360" w:lineRule="auto"/>
              <w:rPr>
                <w:rFonts w:hint="eastAsia" w:cs="宋体" w:asciiTheme="minorEastAsia" w:hAnsiTheme="minorEastAsia" w:eastAsiaTheme="minorEastAsia"/>
                <w:b/>
                <w:bCs/>
                <w:color w:val="auto"/>
                <w:sz w:val="24"/>
                <w:szCs w:val="24"/>
                <w:highlight w:val="none"/>
                <w:vertAlign w:val="baseline"/>
                <w:lang w:val="en-US" w:eastAsia="zh-CN"/>
              </w:rPr>
            </w:pPr>
            <w:r>
              <w:rPr>
                <w:rFonts w:hint="eastAsia" w:cs="宋体" w:asciiTheme="minorEastAsia" w:hAnsiTheme="minorEastAsia"/>
                <w:b/>
                <w:bCs/>
                <w:color w:val="auto"/>
                <w:sz w:val="24"/>
                <w:szCs w:val="24"/>
                <w:highlight w:val="none"/>
                <w:vertAlign w:val="baseline"/>
                <w:lang w:val="en-US" w:eastAsia="zh-CN"/>
              </w:rPr>
              <w:t xml:space="preserve">序号</w:t>
            </w:r>
            <w:r/>
          </w:p>
        </w:tc>
        <w:tc>
          <w:tcPr>
            <w:tcW w:w="1908" w:type="dxa"/>
            <w:vAlign w:val="center"/>
            <w:textDirection w:val="lrTb"/>
            <w:noWrap w:val="false"/>
          </w:tcPr>
          <w:p>
            <w:pPr>
              <w:pStyle w:val="1028"/>
              <w:ind w:left="0" w:firstLine="0"/>
              <w:jc w:val="center"/>
              <w:spacing w:after="0" w:line="360" w:lineRule="auto"/>
              <w:rPr>
                <w:rFonts w:hint="eastAsia" w:cs="宋体" w:asciiTheme="minorEastAsia" w:hAnsiTheme="minorEastAsia" w:eastAsiaTheme="minorEastAsia"/>
                <w:b/>
                <w:bCs/>
                <w:color w:val="auto"/>
                <w:sz w:val="24"/>
                <w:szCs w:val="24"/>
                <w:highlight w:val="none"/>
                <w:vertAlign w:val="baseline"/>
                <w:lang w:val="en-US" w:eastAsia="zh-CN"/>
              </w:rPr>
            </w:pPr>
            <w:r>
              <w:rPr>
                <w:rFonts w:hint="eastAsia" w:cs="宋体" w:asciiTheme="minorEastAsia" w:hAnsiTheme="minorEastAsia"/>
                <w:b/>
                <w:bCs/>
                <w:color w:val="auto"/>
                <w:sz w:val="24"/>
                <w:szCs w:val="24"/>
                <w:highlight w:val="none"/>
                <w:vertAlign w:val="baseline"/>
                <w:lang w:val="en-US" w:eastAsia="zh-CN"/>
              </w:rPr>
              <w:t xml:space="preserve">服务对象</w:t>
            </w:r>
            <w:r/>
          </w:p>
        </w:tc>
        <w:tc>
          <w:tcPr>
            <w:tcW w:w="810" w:type="dxa"/>
            <w:vAlign w:val="center"/>
            <w:textDirection w:val="lrTb"/>
            <w:noWrap w:val="false"/>
          </w:tcPr>
          <w:p>
            <w:pPr>
              <w:pStyle w:val="1028"/>
              <w:ind w:left="0" w:firstLine="0"/>
              <w:jc w:val="center"/>
              <w:spacing w:after="0" w:line="360" w:lineRule="auto"/>
              <w:rPr>
                <w:rFonts w:hint="eastAsia" w:cs="宋体" w:asciiTheme="minorEastAsia" w:hAnsiTheme="minorEastAsia" w:eastAsiaTheme="minorEastAsia"/>
                <w:b/>
                <w:bCs/>
                <w:color w:val="auto"/>
                <w:sz w:val="24"/>
                <w:szCs w:val="24"/>
                <w:highlight w:val="none"/>
                <w:vertAlign w:val="baseline"/>
                <w:lang w:val="en-US" w:eastAsia="zh-CN"/>
              </w:rPr>
            </w:pPr>
            <w:r>
              <w:rPr>
                <w:rFonts w:hint="eastAsia" w:cs="宋体" w:asciiTheme="minorEastAsia" w:hAnsiTheme="minorEastAsia"/>
                <w:b/>
                <w:bCs/>
                <w:color w:val="auto"/>
                <w:sz w:val="24"/>
                <w:szCs w:val="24"/>
                <w:highlight w:val="none"/>
                <w:vertAlign w:val="baseline"/>
                <w:lang w:val="en-US" w:eastAsia="zh-CN"/>
              </w:rPr>
              <w:t xml:space="preserve">预计户数</w:t>
            </w:r>
            <w:r/>
          </w:p>
        </w:tc>
        <w:tc>
          <w:tcPr>
            <w:tcW w:w="1198" w:type="dxa"/>
            <w:vAlign w:val="center"/>
            <w:textDirection w:val="lrTb"/>
            <w:noWrap w:val="false"/>
          </w:tcPr>
          <w:p>
            <w:pPr>
              <w:pStyle w:val="1028"/>
              <w:ind w:left="0" w:firstLine="0"/>
              <w:jc w:val="center"/>
              <w:spacing w:after="0" w:line="360" w:lineRule="auto"/>
              <w:rPr>
                <w:rFonts w:hint="eastAsia" w:cs="宋体" w:asciiTheme="minorEastAsia" w:hAnsiTheme="minorEastAsia" w:eastAsiaTheme="minorEastAsia"/>
                <w:b/>
                <w:bCs/>
                <w:color w:val="auto"/>
                <w:sz w:val="24"/>
                <w:szCs w:val="24"/>
                <w:highlight w:val="none"/>
                <w:vertAlign w:val="baseline"/>
                <w:lang w:val="en-US" w:eastAsia="zh-CN"/>
              </w:rPr>
            </w:pPr>
            <w:r>
              <w:rPr>
                <w:rFonts w:hint="eastAsia" w:cs="宋体" w:asciiTheme="minorEastAsia" w:hAnsiTheme="minorEastAsia"/>
                <w:b/>
                <w:bCs/>
                <w:color w:val="auto"/>
                <w:sz w:val="24"/>
                <w:szCs w:val="24"/>
                <w:highlight w:val="none"/>
                <w:vertAlign w:val="baseline"/>
                <w:lang w:val="en-US" w:eastAsia="zh-CN"/>
              </w:rPr>
              <w:t xml:space="preserve">服务标准（小时/月）</w:t>
            </w:r>
            <w:r/>
          </w:p>
        </w:tc>
        <w:tc>
          <w:tcPr>
            <w:tcW w:w="854" w:type="dxa"/>
            <w:vAlign w:val="center"/>
            <w:textDirection w:val="lrTb"/>
            <w:noWrap w:val="false"/>
          </w:tcPr>
          <w:p>
            <w:pPr>
              <w:pStyle w:val="1028"/>
              <w:ind w:left="0" w:firstLine="0"/>
              <w:jc w:val="center"/>
              <w:spacing w:after="0" w:line="360" w:lineRule="auto"/>
              <w:rPr>
                <w:rFonts w:hint="eastAsia" w:cs="宋体" w:asciiTheme="minorEastAsia" w:hAnsiTheme="minorEastAsia" w:eastAsiaTheme="minorEastAsia"/>
                <w:b/>
                <w:bCs/>
                <w:color w:val="auto"/>
                <w:sz w:val="24"/>
                <w:szCs w:val="24"/>
                <w:highlight w:val="none"/>
                <w:vertAlign w:val="baseline"/>
                <w:lang w:val="en-US" w:eastAsia="zh-CN"/>
              </w:rPr>
            </w:pPr>
            <w:r>
              <w:rPr>
                <w:rFonts w:hint="eastAsia" w:cs="宋体" w:asciiTheme="minorEastAsia" w:hAnsiTheme="minorEastAsia"/>
                <w:b/>
                <w:bCs/>
                <w:color w:val="auto"/>
                <w:sz w:val="24"/>
                <w:szCs w:val="24"/>
                <w:highlight w:val="none"/>
                <w:vertAlign w:val="baseline"/>
                <w:lang w:val="en-US" w:eastAsia="zh-CN"/>
              </w:rPr>
              <w:t xml:space="preserve">服务时长（月）</w:t>
            </w:r>
            <w:r/>
          </w:p>
        </w:tc>
        <w:tc>
          <w:tcPr>
            <w:tcW w:w="1146" w:type="dxa"/>
            <w:vAlign w:val="center"/>
            <w:textDirection w:val="lrTb"/>
            <w:noWrap w:val="false"/>
          </w:tcPr>
          <w:p>
            <w:pPr>
              <w:pStyle w:val="1028"/>
              <w:ind w:left="0" w:firstLine="0"/>
              <w:jc w:val="center"/>
              <w:spacing w:after="0" w:line="360" w:lineRule="auto"/>
              <w:rPr>
                <w:rFonts w:hint="eastAsia" w:cs="宋体" w:asciiTheme="minorEastAsia" w:hAnsiTheme="minorEastAsia"/>
                <w:b/>
                <w:bCs/>
                <w:color w:val="auto"/>
                <w:sz w:val="24"/>
                <w:szCs w:val="24"/>
                <w:highlight w:val="none"/>
                <w:vertAlign w:val="baseline"/>
                <w:lang w:val="en-US" w:eastAsia="zh-CN"/>
              </w:rPr>
            </w:pPr>
            <w:r>
              <w:rPr>
                <w:rFonts w:hint="eastAsia" w:cs="宋体" w:asciiTheme="minorEastAsia" w:hAnsiTheme="minorEastAsia"/>
                <w:b/>
                <w:bCs/>
                <w:color w:val="auto"/>
                <w:sz w:val="24"/>
                <w:szCs w:val="24"/>
                <w:highlight w:val="none"/>
                <w:vertAlign w:val="baseline"/>
                <w:lang w:val="en-US" w:eastAsia="zh-CN"/>
              </w:rPr>
              <w:t xml:space="preserve">数量</w:t>
            </w:r>
            <w:r/>
          </w:p>
          <w:p>
            <w:pPr>
              <w:pStyle w:val="1028"/>
              <w:ind w:left="0" w:firstLine="0"/>
              <w:jc w:val="center"/>
              <w:spacing w:after="0" w:line="360" w:lineRule="auto"/>
              <w:rPr>
                <w:rFonts w:hint="eastAsia" w:cs="宋体" w:asciiTheme="minorEastAsia" w:hAnsiTheme="minorEastAsia" w:eastAsiaTheme="minorEastAsia"/>
                <w:b/>
                <w:bCs/>
                <w:color w:val="auto"/>
                <w:sz w:val="24"/>
                <w:szCs w:val="24"/>
                <w:highlight w:val="none"/>
                <w:vertAlign w:val="baseline"/>
                <w:lang w:val="en-US" w:eastAsia="zh-CN"/>
              </w:rPr>
            </w:pPr>
            <w:r>
              <w:rPr>
                <w:rFonts w:hint="eastAsia" w:cs="宋体" w:asciiTheme="minorEastAsia" w:hAnsiTheme="minorEastAsia"/>
                <w:b/>
                <w:bCs/>
                <w:color w:val="auto"/>
                <w:sz w:val="24"/>
                <w:szCs w:val="24"/>
                <w:highlight w:val="none"/>
                <w:vertAlign w:val="baseline"/>
                <w:lang w:val="en-US" w:eastAsia="zh-CN"/>
              </w:rPr>
              <w:t xml:space="preserve">（小时）</w:t>
            </w:r>
            <w:r/>
          </w:p>
        </w:tc>
        <w:tc>
          <w:tcPr>
            <w:tcW w:w="1064" w:type="dxa"/>
            <w:vAlign w:val="center"/>
            <w:textDirection w:val="lrTb"/>
            <w:noWrap w:val="false"/>
          </w:tcPr>
          <w:p>
            <w:pPr>
              <w:pStyle w:val="1028"/>
              <w:ind w:left="0" w:firstLine="0"/>
              <w:jc w:val="center"/>
              <w:spacing w:after="0" w:line="360" w:lineRule="auto"/>
              <w:rPr>
                <w:rFonts w:hint="eastAsia" w:cs="宋体" w:asciiTheme="minorEastAsia" w:hAnsiTheme="minorEastAsia" w:eastAsiaTheme="minorEastAsia"/>
                <w:b/>
                <w:bCs/>
                <w:color w:val="auto"/>
                <w:sz w:val="24"/>
                <w:szCs w:val="24"/>
                <w:highlight w:val="none"/>
                <w:vertAlign w:val="baseline"/>
                <w:lang w:val="en-US" w:eastAsia="zh-CN"/>
              </w:rPr>
            </w:pPr>
            <w:r>
              <w:rPr>
                <w:rFonts w:hint="eastAsia" w:cs="宋体" w:asciiTheme="minorEastAsia" w:hAnsiTheme="minorEastAsia"/>
                <w:b/>
                <w:bCs/>
                <w:color w:val="auto"/>
                <w:sz w:val="24"/>
                <w:szCs w:val="24"/>
                <w:highlight w:val="none"/>
                <w:vertAlign w:val="baseline"/>
                <w:lang w:val="en-US" w:eastAsia="zh-CN"/>
              </w:rPr>
              <w:t xml:space="preserve">单价（元/小时）</w:t>
            </w:r>
            <w:r/>
          </w:p>
        </w:tc>
        <w:tc>
          <w:tcPr>
            <w:tcW w:w="1334" w:type="dxa"/>
            <w:vAlign w:val="center"/>
            <w:textDirection w:val="lrTb"/>
            <w:noWrap w:val="false"/>
          </w:tcPr>
          <w:p>
            <w:pPr>
              <w:pStyle w:val="1028"/>
              <w:ind w:left="0" w:firstLine="0"/>
              <w:jc w:val="center"/>
              <w:spacing w:after="0" w:line="360" w:lineRule="auto"/>
              <w:rPr>
                <w:rFonts w:hint="eastAsia" w:cs="宋体" w:asciiTheme="minorEastAsia" w:hAnsiTheme="minorEastAsia" w:eastAsiaTheme="minorEastAsia"/>
                <w:b/>
                <w:bCs/>
                <w:color w:val="auto"/>
                <w:sz w:val="24"/>
                <w:szCs w:val="24"/>
                <w:highlight w:val="none"/>
                <w:vertAlign w:val="baseline"/>
                <w:lang w:val="en-US" w:eastAsia="zh-CN"/>
              </w:rPr>
            </w:pPr>
            <w:r>
              <w:rPr>
                <w:rFonts w:hint="eastAsia" w:cs="宋体" w:asciiTheme="minorEastAsia" w:hAnsiTheme="minorEastAsia"/>
                <w:b/>
                <w:bCs/>
                <w:color w:val="auto"/>
                <w:sz w:val="24"/>
                <w:szCs w:val="24"/>
                <w:highlight w:val="none"/>
                <w:vertAlign w:val="baseline"/>
                <w:lang w:val="en-US" w:eastAsia="zh-CN"/>
              </w:rPr>
              <w:t xml:space="preserve">总价（元）</w:t>
            </w:r>
            <w:r/>
          </w:p>
        </w:tc>
      </w:tr>
      <w:tr>
        <w:trPr>
          <w:jc w:val="center"/>
        </w:trPr>
        <w:tc>
          <w:tcPr>
            <w:tcW w:w="518" w:type="dxa"/>
            <w:vAlign w:val="center"/>
            <w:textDirection w:val="lrTb"/>
            <w:noWrap w:val="false"/>
          </w:tcPr>
          <w:p>
            <w:pPr>
              <w:pStyle w:val="1028"/>
              <w:ind w:left="0" w:firstLine="0"/>
              <w:jc w:val="center"/>
              <w:spacing w:after="0" w:line="360" w:lineRule="auto"/>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1</w:t>
            </w:r>
            <w:r/>
          </w:p>
        </w:tc>
        <w:tc>
          <w:tcPr>
            <w:tcW w:w="1908" w:type="dxa"/>
            <w:vAlign w:val="center"/>
            <w:textDirection w:val="lrTb"/>
            <w:noWrap w:val="false"/>
          </w:tcPr>
          <w:p>
            <w:pPr>
              <w:pStyle w:val="1028"/>
              <w:ind w:left="0" w:firstLine="0"/>
              <w:jc w:val="both"/>
              <w:spacing w:after="0" w:line="360" w:lineRule="auto"/>
              <w:rPr>
                <w:rFonts w:hint="eastAsia" w:ascii="宋体" w:hAnsi="宋体" w:eastAsia="宋体" w:cs="宋体"/>
                <w:b w:val="0"/>
                <w:bCs w:val="0"/>
                <w:color w:val="auto"/>
                <w:sz w:val="21"/>
                <w:szCs w:val="21"/>
                <w:highlight w:val="none"/>
                <w:vertAlign w:val="baseline"/>
                <w:lang w:val="en-US"/>
              </w:rPr>
            </w:pPr>
            <w:r>
              <w:rPr>
                <w:rFonts w:hint="eastAsia" w:ascii="宋体" w:hAnsi="宋体" w:eastAsia="宋体" w:cs="宋体"/>
                <w:b w:val="0"/>
                <w:bCs w:val="0"/>
                <w:color w:val="auto"/>
                <w:sz w:val="21"/>
                <w:szCs w:val="21"/>
                <w:highlight w:val="none"/>
                <w:lang w:val="en-US" w:eastAsia="zh-CN"/>
              </w:rPr>
              <w:t xml:space="preserve">政府援助对象（介助）</w:t>
            </w:r>
            <w:r/>
          </w:p>
        </w:tc>
        <w:tc>
          <w:tcPr>
            <w:tcW w:w="810" w:type="dxa"/>
            <w:vAlign w:val="center"/>
            <w:textDirection w:val="lrTb"/>
            <w:noWrap w:val="false"/>
          </w:tcPr>
          <w:p>
            <w:pPr>
              <w:pStyle w:val="1028"/>
              <w:ind w:left="0" w:firstLine="0"/>
              <w:jc w:val="center"/>
              <w:spacing w:after="0" w:line="360" w:lineRule="auto"/>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5</w:t>
            </w:r>
            <w:r/>
          </w:p>
        </w:tc>
        <w:tc>
          <w:tcPr>
            <w:tcW w:w="1198" w:type="dxa"/>
            <w:vAlign w:val="center"/>
            <w:textDirection w:val="lrTb"/>
            <w:noWrap w:val="false"/>
          </w:tcPr>
          <w:p>
            <w:pPr>
              <w:pStyle w:val="1028"/>
              <w:ind w:left="0" w:firstLine="0"/>
              <w:jc w:val="center"/>
              <w:spacing w:after="0" w:line="360" w:lineRule="auto"/>
              <w:rPr>
                <w:rFonts w:hint="default"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36</w:t>
            </w:r>
            <w:r/>
          </w:p>
        </w:tc>
        <w:tc>
          <w:tcPr>
            <w:tcW w:w="854" w:type="dxa"/>
            <w:vAlign w:val="center"/>
            <w:textDirection w:val="lrTb"/>
            <w:noWrap w:val="false"/>
          </w:tcPr>
          <w:p>
            <w:pPr>
              <w:pStyle w:val="1028"/>
              <w:ind w:left="0" w:firstLine="0"/>
              <w:jc w:val="center"/>
              <w:spacing w:after="0" w:line="360" w:lineRule="auto"/>
              <w:rPr>
                <w:rFonts w:hint="default"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6</w:t>
            </w:r>
            <w:r/>
          </w:p>
        </w:tc>
        <w:tc>
          <w:tcPr>
            <w:tcW w:w="1146" w:type="dxa"/>
            <w:vAlign w:val="center"/>
            <w:textDirection w:val="lrTb"/>
            <w:noWrap w:val="false"/>
          </w:tcPr>
          <w:p>
            <w:pPr>
              <w:pStyle w:val="1028"/>
              <w:ind w:left="0" w:firstLine="0"/>
              <w:jc w:val="center"/>
              <w:spacing w:after="0" w:line="360" w:lineRule="auto"/>
              <w:rPr>
                <w:rFonts w:hint="default"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1080</w:t>
            </w:r>
            <w:r/>
          </w:p>
        </w:tc>
        <w:tc>
          <w:tcPr>
            <w:tcW w:w="1064" w:type="dxa"/>
            <w:vAlign w:val="center"/>
            <w:textDirection w:val="lrTb"/>
            <w:noWrap w:val="false"/>
          </w:tcPr>
          <w:p>
            <w:pPr>
              <w:pStyle w:val="1028"/>
              <w:ind w:left="0" w:firstLine="0"/>
              <w:jc w:val="center"/>
              <w:spacing w:after="0" w:line="360" w:lineRule="auto"/>
              <w:rPr>
                <w:rFonts w:hint="default"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30</w:t>
            </w:r>
            <w:r/>
          </w:p>
        </w:tc>
        <w:tc>
          <w:tcPr>
            <w:tcW w:w="1334" w:type="dxa"/>
            <w:vAlign w:val="center"/>
            <w:textDirection w:val="lrTb"/>
            <w:noWrap w:val="false"/>
          </w:tcPr>
          <w:p>
            <w:pPr>
              <w:pStyle w:val="1028"/>
              <w:ind w:left="0" w:firstLine="0"/>
              <w:jc w:val="center"/>
              <w:spacing w:after="0" w:line="360" w:lineRule="auto"/>
              <w:rPr>
                <w:rFonts w:hint="default"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32400</w:t>
            </w:r>
            <w:r/>
          </w:p>
        </w:tc>
      </w:tr>
      <w:tr>
        <w:trPr>
          <w:jc w:val="center"/>
        </w:trPr>
        <w:tc>
          <w:tcPr>
            <w:tcW w:w="518" w:type="dxa"/>
            <w:vAlign w:val="center"/>
            <w:textDirection w:val="lrTb"/>
            <w:noWrap w:val="false"/>
          </w:tcPr>
          <w:p>
            <w:pPr>
              <w:pStyle w:val="1028"/>
              <w:ind w:left="0" w:firstLine="0"/>
              <w:jc w:val="center"/>
              <w:spacing w:after="0" w:line="360" w:lineRule="auto"/>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2</w:t>
            </w:r>
            <w:r/>
          </w:p>
        </w:tc>
        <w:tc>
          <w:tcPr>
            <w:tcW w:w="1908" w:type="dxa"/>
            <w:vAlign w:val="center"/>
            <w:textDirection w:val="lrTb"/>
            <w:noWrap w:val="false"/>
          </w:tcPr>
          <w:p>
            <w:pPr>
              <w:pStyle w:val="1028"/>
              <w:ind w:left="0" w:firstLine="0"/>
              <w:jc w:val="both"/>
              <w:spacing w:after="0" w:line="360" w:lineRule="auto"/>
              <w:rPr>
                <w:rFonts w:hint="eastAsia" w:ascii="宋体" w:hAnsi="宋体" w:eastAsia="宋体" w:cs="宋体"/>
                <w:b w:val="0"/>
                <w:bCs w:val="0"/>
                <w:color w:val="auto"/>
                <w:sz w:val="21"/>
                <w:szCs w:val="21"/>
                <w:highlight w:val="none"/>
                <w:vertAlign w:val="baseline"/>
                <w:lang w:val="en-US"/>
              </w:rPr>
            </w:pPr>
            <w:r>
              <w:rPr>
                <w:rFonts w:hint="eastAsia" w:ascii="宋体" w:hAnsi="宋体" w:eastAsia="宋体" w:cs="宋体"/>
                <w:b w:val="0"/>
                <w:bCs w:val="0"/>
                <w:color w:val="auto"/>
                <w:sz w:val="21"/>
                <w:szCs w:val="21"/>
                <w:highlight w:val="none"/>
                <w:lang w:val="en-US" w:eastAsia="zh-CN"/>
              </w:rPr>
              <w:t xml:space="preserve">政府援助对象（介护）</w:t>
            </w:r>
            <w:r/>
          </w:p>
        </w:tc>
        <w:tc>
          <w:tcPr>
            <w:tcW w:w="810" w:type="dxa"/>
            <w:vAlign w:val="center"/>
            <w:textDirection w:val="lrTb"/>
            <w:noWrap w:val="false"/>
          </w:tcPr>
          <w:p>
            <w:pPr>
              <w:pStyle w:val="1028"/>
              <w:ind w:left="0" w:firstLine="0"/>
              <w:jc w:val="center"/>
              <w:spacing w:after="0" w:line="360" w:lineRule="auto"/>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5</w:t>
            </w:r>
            <w:r/>
          </w:p>
        </w:tc>
        <w:tc>
          <w:tcPr>
            <w:tcW w:w="1198" w:type="dxa"/>
            <w:vAlign w:val="center"/>
            <w:textDirection w:val="lrTb"/>
            <w:noWrap w:val="false"/>
          </w:tcPr>
          <w:p>
            <w:pPr>
              <w:pStyle w:val="1028"/>
              <w:ind w:left="0" w:firstLine="0"/>
              <w:jc w:val="center"/>
              <w:spacing w:after="0" w:line="360" w:lineRule="auto"/>
              <w:rPr>
                <w:rFonts w:hint="default"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48</w:t>
            </w:r>
            <w:r/>
          </w:p>
        </w:tc>
        <w:tc>
          <w:tcPr>
            <w:tcW w:w="854" w:type="dxa"/>
            <w:vAlign w:val="center"/>
            <w:textDirection w:val="lrTb"/>
            <w:noWrap w:val="false"/>
          </w:tcPr>
          <w:p>
            <w:pPr>
              <w:pStyle w:val="1028"/>
              <w:ind w:left="0" w:firstLine="0"/>
              <w:jc w:val="center"/>
              <w:spacing w:after="0" w:line="360" w:lineRule="auto"/>
              <w:rPr>
                <w:rFonts w:hint="default"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6</w:t>
            </w:r>
            <w:r/>
          </w:p>
        </w:tc>
        <w:tc>
          <w:tcPr>
            <w:tcW w:w="1146" w:type="dxa"/>
            <w:vAlign w:val="center"/>
            <w:textDirection w:val="lrTb"/>
            <w:noWrap w:val="false"/>
          </w:tcPr>
          <w:p>
            <w:pPr>
              <w:pStyle w:val="1028"/>
              <w:ind w:left="0" w:firstLine="0"/>
              <w:jc w:val="center"/>
              <w:spacing w:after="0" w:line="360" w:lineRule="auto"/>
              <w:rPr>
                <w:rFonts w:hint="default"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1440</w:t>
            </w:r>
            <w:r/>
          </w:p>
        </w:tc>
        <w:tc>
          <w:tcPr>
            <w:tcW w:w="1064" w:type="dxa"/>
            <w:vAlign w:val="center"/>
            <w:textDirection w:val="lrTb"/>
            <w:noWrap w:val="false"/>
          </w:tcPr>
          <w:p>
            <w:pPr>
              <w:pStyle w:val="1028"/>
              <w:ind w:left="0" w:firstLine="0"/>
              <w:jc w:val="center"/>
              <w:spacing w:after="0" w:line="360" w:lineRule="auto"/>
              <w:rPr>
                <w:rFonts w:hint="default"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30</w:t>
            </w:r>
            <w:r/>
          </w:p>
        </w:tc>
        <w:tc>
          <w:tcPr>
            <w:tcW w:w="1334" w:type="dxa"/>
            <w:vAlign w:val="center"/>
            <w:textDirection w:val="lrTb"/>
            <w:noWrap w:val="false"/>
          </w:tcPr>
          <w:p>
            <w:pPr>
              <w:pStyle w:val="1028"/>
              <w:ind w:left="0" w:firstLine="0"/>
              <w:jc w:val="center"/>
              <w:spacing w:after="0" w:line="360" w:lineRule="auto"/>
              <w:rPr>
                <w:rFonts w:hint="default"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43200</w:t>
            </w:r>
            <w:r/>
          </w:p>
        </w:tc>
      </w:tr>
      <w:tr>
        <w:trPr>
          <w:jc w:val="center"/>
        </w:trPr>
        <w:tc>
          <w:tcPr>
            <w:tcW w:w="518" w:type="dxa"/>
            <w:vAlign w:val="center"/>
            <w:textDirection w:val="lrTb"/>
            <w:noWrap w:val="false"/>
          </w:tcPr>
          <w:p>
            <w:pPr>
              <w:pStyle w:val="1028"/>
              <w:ind w:left="0" w:firstLine="0"/>
              <w:jc w:val="center"/>
              <w:spacing w:after="0" w:line="360" w:lineRule="auto"/>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3</w:t>
            </w:r>
            <w:r/>
          </w:p>
        </w:tc>
        <w:tc>
          <w:tcPr>
            <w:tcW w:w="1908" w:type="dxa"/>
            <w:vAlign w:val="center"/>
            <w:textDirection w:val="lrTb"/>
            <w:noWrap w:val="false"/>
          </w:tcPr>
          <w:p>
            <w:pPr>
              <w:pStyle w:val="1028"/>
              <w:ind w:left="0" w:firstLine="0"/>
              <w:jc w:val="both"/>
              <w:spacing w:after="0" w:line="360" w:lineRule="auto"/>
              <w:rPr>
                <w:rFonts w:hint="eastAsia" w:ascii="宋体" w:hAnsi="宋体" w:eastAsia="宋体" w:cs="宋体"/>
                <w:b w:val="0"/>
                <w:bCs w:val="0"/>
                <w:color w:val="auto"/>
                <w:sz w:val="21"/>
                <w:szCs w:val="21"/>
                <w:highlight w:val="none"/>
                <w:vertAlign w:val="baseline"/>
                <w:lang w:val="en-US"/>
              </w:rPr>
            </w:pPr>
            <w:r>
              <w:rPr>
                <w:rFonts w:hint="eastAsia" w:ascii="宋体" w:hAnsi="宋体" w:eastAsia="宋体" w:cs="宋体"/>
                <w:b w:val="0"/>
                <w:bCs w:val="0"/>
                <w:color w:val="auto"/>
                <w:sz w:val="21"/>
                <w:szCs w:val="21"/>
                <w:highlight w:val="none"/>
                <w:lang w:val="en-US" w:eastAsia="zh-CN"/>
              </w:rPr>
              <w:t xml:space="preserve">80周岁及以上的老年人和70周岁及以上的计划生育特别扶助对象</w:t>
            </w:r>
            <w:r/>
          </w:p>
        </w:tc>
        <w:tc>
          <w:tcPr>
            <w:tcW w:w="810" w:type="dxa"/>
            <w:vAlign w:val="center"/>
            <w:textDirection w:val="lrTb"/>
            <w:noWrap w:val="false"/>
          </w:tcPr>
          <w:p>
            <w:pPr>
              <w:pStyle w:val="1028"/>
              <w:ind w:left="0" w:firstLine="0"/>
              <w:jc w:val="center"/>
              <w:spacing w:after="0" w:line="360" w:lineRule="auto"/>
              <w:rPr>
                <w:rFonts w:hint="default"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1200</w:t>
            </w:r>
            <w:r/>
          </w:p>
        </w:tc>
        <w:tc>
          <w:tcPr>
            <w:tcW w:w="1198" w:type="dxa"/>
            <w:vAlign w:val="center"/>
            <w:textDirection w:val="lrTb"/>
            <w:noWrap w:val="false"/>
          </w:tcPr>
          <w:p>
            <w:pPr>
              <w:pStyle w:val="1028"/>
              <w:ind w:left="0" w:firstLine="0"/>
              <w:jc w:val="center"/>
              <w:spacing w:after="0" w:line="360" w:lineRule="auto"/>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6</w:t>
            </w:r>
            <w:r/>
          </w:p>
        </w:tc>
        <w:tc>
          <w:tcPr>
            <w:tcW w:w="854" w:type="dxa"/>
            <w:vAlign w:val="center"/>
            <w:textDirection w:val="lrTb"/>
            <w:noWrap w:val="false"/>
          </w:tcPr>
          <w:p>
            <w:pPr>
              <w:pStyle w:val="1028"/>
              <w:ind w:left="0" w:firstLine="0"/>
              <w:jc w:val="center"/>
              <w:spacing w:after="0" w:line="360" w:lineRule="auto"/>
              <w:rPr>
                <w:rFonts w:hint="default"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6</w:t>
            </w:r>
            <w:r/>
          </w:p>
        </w:tc>
        <w:tc>
          <w:tcPr>
            <w:tcW w:w="1146" w:type="dxa"/>
            <w:vAlign w:val="center"/>
            <w:textDirection w:val="lrTb"/>
            <w:noWrap w:val="false"/>
          </w:tcPr>
          <w:p>
            <w:pPr>
              <w:pStyle w:val="1028"/>
              <w:ind w:left="0" w:firstLine="0"/>
              <w:jc w:val="center"/>
              <w:spacing w:after="0" w:line="360" w:lineRule="auto"/>
              <w:rPr>
                <w:rFonts w:hint="default"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43200</w:t>
            </w:r>
            <w:r/>
          </w:p>
        </w:tc>
        <w:tc>
          <w:tcPr>
            <w:tcW w:w="1064" w:type="dxa"/>
            <w:vAlign w:val="center"/>
            <w:textDirection w:val="lrTb"/>
            <w:noWrap w:val="false"/>
          </w:tcPr>
          <w:p>
            <w:pPr>
              <w:pStyle w:val="1028"/>
              <w:ind w:left="0" w:firstLine="0"/>
              <w:jc w:val="center"/>
              <w:spacing w:after="0" w:line="360" w:lineRule="auto"/>
              <w:rPr>
                <w:rFonts w:hint="default"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30</w:t>
            </w:r>
            <w:r/>
          </w:p>
        </w:tc>
        <w:tc>
          <w:tcPr>
            <w:tcW w:w="1334" w:type="dxa"/>
            <w:vAlign w:val="center"/>
            <w:textDirection w:val="lrTb"/>
            <w:noWrap w:val="false"/>
          </w:tcPr>
          <w:p>
            <w:pPr>
              <w:pStyle w:val="1028"/>
              <w:ind w:left="0" w:firstLine="0"/>
              <w:jc w:val="center"/>
              <w:spacing w:after="0" w:line="360" w:lineRule="auto"/>
              <w:rPr>
                <w:rFonts w:hint="default"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1296000</w:t>
            </w:r>
            <w:r/>
          </w:p>
        </w:tc>
      </w:tr>
      <w:tr>
        <w:trPr>
          <w:jc w:val="center"/>
        </w:trPr>
        <w:tc>
          <w:tcPr>
            <w:gridSpan w:val="7"/>
            <w:tcW w:w="7498" w:type="dxa"/>
            <w:vAlign w:val="center"/>
            <w:textDirection w:val="lrTb"/>
            <w:noWrap w:val="false"/>
          </w:tcPr>
          <w:p>
            <w:pPr>
              <w:pStyle w:val="1028"/>
              <w:ind w:left="0" w:firstLine="0"/>
              <w:jc w:val="center"/>
              <w:spacing w:after="0" w:line="360" w:lineRule="auto"/>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合计</w:t>
            </w:r>
            <w:r/>
          </w:p>
        </w:tc>
        <w:tc>
          <w:tcPr>
            <w:tcW w:w="1334" w:type="dxa"/>
            <w:vAlign w:val="center"/>
            <w:textDirection w:val="lrTb"/>
            <w:noWrap w:val="false"/>
          </w:tcPr>
          <w:p>
            <w:pPr>
              <w:pStyle w:val="1028"/>
              <w:ind w:left="0" w:firstLine="0"/>
              <w:jc w:val="center"/>
              <w:spacing w:after="0" w:line="360" w:lineRule="auto"/>
              <w:rPr>
                <w:rFonts w:hint="default"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1371600</w:t>
            </w:r>
            <w:r/>
          </w:p>
        </w:tc>
      </w:tr>
    </w:tbl>
    <w:p>
      <w:pPr>
        <w:jc w:val="both"/>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r>
      <w:r/>
    </w:p>
    <w:p>
      <w:pPr>
        <w:ind w:firstLine="480"/>
        <w:spacing w:line="360" w:lineRule="auto"/>
        <w:rPr>
          <w:rFonts w:hint="eastAsia" w:ascii="宋体" w:hAnsi="宋体" w:cs="宋体"/>
          <w:color w:val="auto"/>
          <w:sz w:val="24"/>
          <w:highlight w:val="none"/>
        </w:rPr>
      </w:pPr>
      <w:r>
        <w:rPr>
          <w:rFonts w:ascii="宋体" w:hAnsi="宋体" w:eastAsia="宋体" w:cs="宋体"/>
          <w:color w:val="auto"/>
          <w:sz w:val="24"/>
          <w:highlight w:val="none"/>
        </w:rPr>
        <w:t xml:space="preserve">供应商：（盖章）</w:t>
      </w:r>
      <w:r/>
    </w:p>
    <w:p>
      <w:pPr>
        <w:ind w:firstLine="480"/>
        <w:spacing w:line="360" w:lineRule="auto"/>
        <w:rPr>
          <w:rFonts w:hint="eastAsia" w:ascii="宋体" w:hAnsi="宋体" w:cs="宋体"/>
          <w:color w:val="auto"/>
          <w:sz w:val="24"/>
          <w:highlight w:val="none"/>
        </w:rPr>
      </w:pPr>
      <w:r>
        <w:rPr>
          <w:rFonts w:ascii="宋体" w:hAnsi="宋体" w:eastAsia="宋体" w:cs="宋体"/>
          <w:color w:val="auto"/>
          <w:sz w:val="24"/>
          <w:highlight w:val="none"/>
        </w:rPr>
        <w:t xml:space="preserve">法定代表人或代理人：（签字或盖章）</w:t>
      </w:r>
      <w:r/>
    </w:p>
    <w:p>
      <w:pPr>
        <w:ind w:firstLine="480"/>
        <w:spacing w:line="360" w:lineRule="auto"/>
        <w:rPr>
          <w:rFonts w:hint="eastAsia" w:ascii="宋体" w:hAnsi="宋体" w:cs="宋体"/>
          <w:color w:val="auto"/>
          <w:sz w:val="24"/>
          <w:highlight w:val="none"/>
        </w:rPr>
      </w:pPr>
      <w:r>
        <w:rPr>
          <w:rFonts w:ascii="宋体" w:hAnsi="宋体" w:eastAsia="宋体" w:cs="宋体"/>
          <w:color w:val="auto"/>
          <w:sz w:val="24"/>
          <w:highlight w:val="none"/>
        </w:rPr>
        <w:t xml:space="preserve">日期：      年    月    日</w:t>
      </w:r>
      <w:r/>
    </w:p>
    <w:p>
      <w:pPr>
        <w:ind w:firstLine="422"/>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注：</w:t>
      </w:r>
      <w:r>
        <w:rPr>
          <w:rFonts w:hint="eastAsia" w:ascii="宋体" w:hAnsi="宋体" w:eastAsia="宋体" w:cs="Times New Roman"/>
          <w:b w:val="0"/>
          <w:bCs w:val="0"/>
          <w:color w:val="auto"/>
          <w:sz w:val="24"/>
          <w:szCs w:val="24"/>
          <w:highlight w:val="none"/>
          <w:lang w:val="en-US" w:eastAsia="zh-CN"/>
        </w:rPr>
        <w:t xml:space="preserve">1、本项目为固定单价项目，即不再进行价格竞争。响应单位根据上述表格中的单价及预估服务户数进行报价，未按上述单价及预估服务户数进行报价的作无效标处理。</w:t>
      </w:r>
      <w:r>
        <w:rPr>
          <w:rFonts w:hint="eastAsia" w:ascii="宋体" w:hAnsi="宋体" w:cs="Times New Roman"/>
          <w:b w:val="0"/>
          <w:bCs w:val="0"/>
          <w:color w:val="auto"/>
          <w:sz w:val="24"/>
          <w:szCs w:val="24"/>
          <w:highlight w:val="none"/>
          <w:u w:val="single"/>
          <w:lang w:val="en-US" w:eastAsia="zh-CN"/>
        </w:rPr>
        <w:t xml:space="preserve">（即上表中数据不作修改，响应单位签字盖章提交即可）</w:t>
      </w:r>
      <w:r/>
    </w:p>
    <w:p>
      <w:pPr>
        <w:ind w:firstLine="420"/>
        <w:spacing w:line="360" w:lineRule="auto"/>
        <w:rPr>
          <w:rFonts w:hint="eastAsia" w:ascii="宋体" w:hAnsi="宋体" w:cs="宋体"/>
          <w:b w:val="0"/>
          <w:bCs w:val="0"/>
          <w:color w:val="auto"/>
          <w:sz w:val="24"/>
          <w:szCs w:val="24"/>
          <w:highlight w:val="none"/>
        </w:rPr>
      </w:pPr>
      <w:r>
        <w:rPr>
          <w:rFonts w:hint="eastAsia" w:ascii="宋体" w:hAnsi="宋体" w:eastAsia="宋体" w:cs="Times New Roman"/>
          <w:b w:val="0"/>
          <w:bCs w:val="0"/>
          <w:color w:val="auto"/>
          <w:sz w:val="24"/>
          <w:szCs w:val="24"/>
          <w:highlight w:val="none"/>
          <w:lang w:val="en-US" w:eastAsia="zh-CN"/>
        </w:rPr>
        <w:t xml:space="preserve">2、本项目的服务单价按照《苏州市居家养老服务体系建设实施意见》（苏府办【2013】196号）文件的要求随苏州市最低工资标准的增长幅度实行自然增长机制，根据《关于进一步提速增效，提升老年人社区居家养老服务水平的通知》苏高新社〔2021〕127号，苏州市高新区（虎丘区）现行的养老援助补助价格按30元每小时执行，如有最新政策则按最新政策执行。</w:t>
      </w:r>
      <w:r>
        <w:rPr>
          <w:rFonts w:hint="eastAsia" w:ascii="宋体" w:hAnsi="宋体"/>
          <w:b w:val="0"/>
          <w:bCs w:val="0"/>
          <w:color w:val="auto"/>
          <w:sz w:val="24"/>
          <w:szCs w:val="24"/>
          <w:highlight w:val="none"/>
          <w:lang w:val="en-US" w:eastAsia="zh-CN"/>
        </w:rPr>
        <w:t xml:space="preserve">采购人最终支付的费用按实际服务人数、时间以及政策规定的服务单价结算。</w:t>
      </w:r>
      <w:r/>
    </w:p>
    <w:p>
      <w:pPr>
        <w:ind w:firstLine="480"/>
        <w:spacing w:line="360"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Times New Roman"/>
          <w:b w:val="0"/>
          <w:bCs w:val="0"/>
          <w:color w:val="auto"/>
          <w:sz w:val="24"/>
          <w:szCs w:val="24"/>
          <w:highlight w:val="none"/>
          <w:lang w:val="en-US" w:eastAsia="zh-CN"/>
        </w:rPr>
        <w:t xml:space="preserve">3、本表中的报价为综合报价应包括</w:t>
      </w:r>
      <w:r>
        <w:rPr>
          <w:rFonts w:hint="eastAsia" w:ascii="宋体" w:hAnsi="宋体" w:eastAsia="宋体" w:cs="Times New Roman"/>
          <w:color w:val="auto"/>
          <w:sz w:val="24"/>
          <w:szCs w:val="24"/>
          <w:highlight w:val="none"/>
          <w:lang w:val="en-US" w:eastAsia="zh-CN"/>
        </w:rPr>
        <w:t xml:space="preserve">合</w:t>
      </w:r>
      <w:r>
        <w:rPr>
          <w:rFonts w:hint="eastAsia" w:ascii="宋体" w:hAnsi="宋体" w:eastAsia="宋体" w:cs="宋体"/>
          <w:color w:val="auto"/>
          <w:sz w:val="24"/>
          <w:szCs w:val="24"/>
          <w:highlight w:val="none"/>
        </w:rPr>
        <w:t xml:space="preserve">同期间发生的全部费用，</w:t>
      </w:r>
      <w:r>
        <w:rPr>
          <w:rFonts w:hint="eastAsia" w:ascii="宋体" w:hAnsi="宋体" w:eastAsia="宋体" w:cs="宋体"/>
          <w:color w:val="auto"/>
          <w:sz w:val="24"/>
          <w:szCs w:val="24"/>
          <w:highlight w:val="none"/>
          <w:lang w:eastAsia="zh-CN"/>
        </w:rPr>
        <w:t xml:space="preserve">人工成本（含社保、高温费、加班费）、餐费、耗材、通讯、服装、胸卡、办公设备、巡检器材、各种税费、保险、劳保、维护、利润、税金、医疗费、安全费、卫生费、福利费、教育费、住房公积金、保险费、劳保用品费、培训费、</w:t>
      </w:r>
      <w:r>
        <w:rPr>
          <w:rFonts w:hint="eastAsia" w:ascii="宋体" w:hAnsi="宋体" w:cs="宋体"/>
          <w:color w:val="auto"/>
          <w:sz w:val="24"/>
          <w:szCs w:val="24"/>
          <w:highlight w:val="none"/>
          <w:lang w:val="en-US" w:eastAsia="zh-CN"/>
        </w:rPr>
        <w:t xml:space="preserve">代理服务费、</w:t>
      </w:r>
      <w:r>
        <w:rPr>
          <w:rFonts w:hint="eastAsia" w:ascii="宋体" w:hAnsi="宋体" w:eastAsia="宋体" w:cs="宋体"/>
          <w:color w:val="auto"/>
          <w:sz w:val="24"/>
          <w:szCs w:val="24"/>
          <w:highlight w:val="none"/>
          <w:lang w:eastAsia="zh-CN"/>
        </w:rPr>
        <w:t xml:space="preserve">政策性文件规定及合同包含的所有风险、责任等各项应有费用</w:t>
      </w:r>
      <w:r>
        <w:rPr>
          <w:rFonts w:hint="eastAsia" w:ascii="宋体" w:hAnsi="宋体" w:eastAsia="宋体" w:cs="宋体"/>
          <w:color w:val="auto"/>
          <w:sz w:val="24"/>
          <w:szCs w:val="24"/>
          <w:highlight w:val="none"/>
          <w:lang w:eastAsia="zh-CN"/>
        </w:rPr>
        <w:t xml:space="preserve">。</w:t>
      </w:r>
      <w:r>
        <w:rPr>
          <w:rFonts w:hint="eastAsia" w:ascii="宋体" w:hAnsi="宋体" w:cs="宋体"/>
          <w:b/>
          <w:bCs/>
          <w:color w:val="auto"/>
          <w:sz w:val="24"/>
          <w:szCs w:val="24"/>
          <w:highlight w:val="none"/>
        </w:rPr>
        <w:t xml:space="preserve">同时，除非合同条款中另有规定，否则，响应供应商所报价格在合同实施期间不因市场变化因素而变动。</w:t>
      </w:r>
      <w:r/>
    </w:p>
    <w:p>
      <w:pPr>
        <w:rPr>
          <w:rFonts w:hint="eastAsia" w:ascii="宋体" w:hAnsi="宋体" w:cs="宋体"/>
          <w:b/>
          <w:color w:val="auto"/>
          <w:sz w:val="24"/>
          <w:highlight w:val="none"/>
        </w:rPr>
      </w:pPr>
      <w:r>
        <w:rPr>
          <w:rFonts w:hint="eastAsia" w:ascii="宋体" w:hAnsi="宋体" w:cs="宋体"/>
          <w:b/>
          <w:bCs/>
          <w:color w:val="auto"/>
          <w:sz w:val="24"/>
          <w:szCs w:val="24"/>
          <w:highlight w:val="none"/>
          <w:lang w:val="en-US" w:eastAsia="zh-CN"/>
        </w:rPr>
        <w:t xml:space="preserve">  </w:t>
      </w:r>
      <w:r/>
    </w:p>
    <w:p>
      <w:pPr>
        <w:rPr>
          <w:rFonts w:hint="eastAsia" w:ascii="宋体" w:hAnsi="宋体" w:cs="宋体"/>
          <w:b/>
          <w:color w:val="auto"/>
          <w:sz w:val="24"/>
          <w:szCs w:val="24"/>
          <w:highlight w:val="none"/>
        </w:rPr>
      </w:pPr>
      <w:r>
        <w:rPr>
          <w:rFonts w:hint="eastAsia" w:ascii="宋体" w:hAnsi="宋体" w:eastAsia="宋体" w:cs="宋体"/>
          <w:b/>
          <w:bCs/>
          <w:color w:val="auto"/>
          <w:sz w:val="24"/>
          <w:szCs w:val="24"/>
          <w:highlight w:val="none"/>
        </w:rPr>
        <w:t xml:space="preserve">5、</w:t>
      </w:r>
      <w:r>
        <w:rPr>
          <w:rFonts w:hint="eastAsia" w:ascii="宋体" w:hAnsi="宋体" w:eastAsia="宋体" w:cs="宋体"/>
          <w:b/>
          <w:color w:val="auto"/>
          <w:sz w:val="24"/>
          <w:szCs w:val="24"/>
          <w:highlight w:val="none"/>
        </w:rPr>
        <w:t xml:space="preserve">服务要求偏离表</w:t>
      </w:r>
      <w:r/>
    </w:p>
    <w:p>
      <w:pPr>
        <w:jc w:val="center"/>
        <w:spacing w:line="360" w:lineRule="auto"/>
        <w:rPr>
          <w:rStyle w:val="1055"/>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360" w:lineRule="auto"/>
        <w:rPr>
          <w:rStyle w:val="1055"/>
          <w:rFonts w:hint="eastAsia" w:ascii="宋体" w:hAnsi="宋体" w:cs="宋体"/>
          <w:b/>
          <w:color w:val="auto"/>
          <w:sz w:val="24"/>
          <w:highlight w:val="none"/>
        </w:rPr>
      </w:pPr>
      <w:r>
        <w:rPr>
          <w:rStyle w:val="1055"/>
          <w:rFonts w:ascii="宋体" w:hAnsi="宋体" w:eastAsia="宋体" w:cs="宋体"/>
          <w:b/>
          <w:color w:val="auto"/>
          <w:sz w:val="24"/>
          <w:highlight w:val="none"/>
        </w:rPr>
        <w:t xml:space="preserve">服务要求偏离表</w:t>
      </w:r>
      <w:r/>
    </w:p>
    <w:tbl>
      <w:tblPr>
        <w:tblStyle w:val="720"/>
        <w:tblW w:w="9144"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28"/>
        <w:gridCol w:w="1800"/>
        <w:gridCol w:w="1620"/>
        <w:gridCol w:w="1440"/>
        <w:gridCol w:w="1699"/>
        <w:gridCol w:w="1757"/>
      </w:tblGrid>
      <w:tr>
        <w:trPr>
          <w:jc w:val="center"/>
        </w:trPr>
        <w:tc>
          <w:tcPr>
            <w:tcW w:w="828" w:type="dxa"/>
            <w:vAlign w:val="center"/>
            <w:textDirection w:val="lrTb"/>
            <w:noWrap w:val="false"/>
          </w:tcPr>
          <w:p>
            <w:pPr>
              <w:jc w:val="center"/>
              <w:spacing w:before="240" w:after="240"/>
              <w:widowControl w:val="off"/>
              <w:rPr>
                <w:rStyle w:val="1055"/>
                <w:rFonts w:hint="eastAsia" w:ascii="宋体" w:hAnsi="宋体" w:eastAsia="宋体" w:cs="宋体"/>
                <w:color w:val="auto"/>
                <w:sz w:val="24"/>
                <w:szCs w:val="22"/>
                <w:highlight w:val="none"/>
              </w:rPr>
            </w:pPr>
            <w:r>
              <w:rPr>
                <w:rStyle w:val="1055"/>
                <w:rFonts w:ascii="宋体" w:hAnsi="宋体" w:eastAsia="宋体" w:cs="宋体"/>
                <w:color w:val="auto"/>
                <w:sz w:val="24"/>
                <w:szCs w:val="22"/>
                <w:highlight w:val="none"/>
                <w:lang w:val="en-US" w:eastAsia="en-US" w:bidi="ar-SA"/>
              </w:rPr>
              <w:t xml:space="preserve">序号</w:t>
            </w:r>
            <w:r/>
          </w:p>
        </w:tc>
        <w:tc>
          <w:tcPr>
            <w:tcW w:w="1800" w:type="dxa"/>
            <w:vAlign w:val="center"/>
            <w:textDirection w:val="lrTb"/>
            <w:noWrap w:val="false"/>
          </w:tcPr>
          <w:p>
            <w:pPr>
              <w:jc w:val="center"/>
              <w:widowControl w:val="off"/>
              <w:rPr>
                <w:rStyle w:val="1055"/>
                <w:rFonts w:hint="eastAsia" w:ascii="宋体" w:hAnsi="宋体" w:eastAsia="宋体" w:cs="宋体"/>
                <w:color w:val="auto"/>
                <w:sz w:val="24"/>
                <w:szCs w:val="22"/>
                <w:highlight w:val="none"/>
              </w:rPr>
            </w:pPr>
            <w:r>
              <w:rPr>
                <w:rStyle w:val="1055"/>
                <w:rFonts w:ascii="宋体" w:hAnsi="宋体" w:eastAsia="宋体" w:cs="宋体"/>
                <w:color w:val="auto"/>
                <w:sz w:val="24"/>
                <w:szCs w:val="22"/>
                <w:highlight w:val="none"/>
                <w:lang w:val="en-US" w:eastAsia="en-US" w:bidi="ar-SA"/>
              </w:rPr>
              <w:t xml:space="preserve">项目名称</w:t>
            </w:r>
            <w:r/>
          </w:p>
        </w:tc>
        <w:tc>
          <w:tcPr>
            <w:tcW w:w="1620" w:type="dxa"/>
            <w:vAlign w:val="center"/>
            <w:textDirection w:val="lrTb"/>
            <w:noWrap w:val="false"/>
          </w:tcPr>
          <w:p>
            <w:pPr>
              <w:jc w:val="center"/>
              <w:widowControl w:val="off"/>
              <w:rPr>
                <w:rStyle w:val="1055"/>
                <w:rFonts w:hint="eastAsia" w:ascii="宋体" w:hAnsi="宋体" w:eastAsia="宋体" w:cs="宋体"/>
                <w:color w:val="auto"/>
                <w:sz w:val="24"/>
                <w:szCs w:val="22"/>
                <w:highlight w:val="none"/>
              </w:rPr>
            </w:pPr>
            <w:r>
              <w:rPr>
                <w:rStyle w:val="1055"/>
                <w:rFonts w:ascii="宋体" w:hAnsi="宋体" w:eastAsia="宋体" w:cs="宋体"/>
                <w:color w:val="auto"/>
                <w:sz w:val="24"/>
                <w:szCs w:val="22"/>
                <w:highlight w:val="none"/>
                <w:lang w:val="en-US" w:eastAsia="en-US" w:bidi="ar-SA"/>
              </w:rPr>
              <w:t xml:space="preserve">采购要求</w:t>
            </w:r>
            <w:r/>
          </w:p>
        </w:tc>
        <w:tc>
          <w:tcPr>
            <w:tcW w:w="1440" w:type="dxa"/>
            <w:vAlign w:val="center"/>
            <w:textDirection w:val="lrTb"/>
            <w:noWrap w:val="false"/>
          </w:tcPr>
          <w:p>
            <w:pPr>
              <w:jc w:val="center"/>
              <w:widowControl w:val="off"/>
              <w:rPr>
                <w:rStyle w:val="1055"/>
                <w:rFonts w:hint="eastAsia" w:ascii="宋体" w:hAnsi="宋体" w:eastAsia="宋体" w:cs="宋体"/>
                <w:color w:val="auto"/>
                <w:sz w:val="24"/>
                <w:szCs w:val="22"/>
                <w:highlight w:val="none"/>
              </w:rPr>
            </w:pPr>
            <w:r>
              <w:rPr>
                <w:rStyle w:val="1055"/>
                <w:rFonts w:ascii="宋体" w:hAnsi="宋体" w:eastAsia="宋体" w:cs="宋体"/>
                <w:color w:val="auto"/>
                <w:sz w:val="24"/>
                <w:szCs w:val="22"/>
                <w:highlight w:val="none"/>
                <w:lang w:val="en-US" w:eastAsia="en-US" w:bidi="ar-SA"/>
              </w:rPr>
              <w:t xml:space="preserve">响应要求</w:t>
            </w:r>
            <w:r/>
          </w:p>
        </w:tc>
        <w:tc>
          <w:tcPr>
            <w:tcW w:w="1699" w:type="dxa"/>
            <w:vAlign w:val="center"/>
            <w:textDirection w:val="lrTb"/>
            <w:noWrap w:val="false"/>
          </w:tcPr>
          <w:p>
            <w:pPr>
              <w:jc w:val="center"/>
              <w:widowControl w:val="off"/>
              <w:rPr>
                <w:rStyle w:val="1055"/>
                <w:rFonts w:hint="eastAsia" w:ascii="宋体" w:hAnsi="宋体" w:eastAsia="宋体" w:cs="宋体"/>
                <w:color w:val="auto"/>
                <w:sz w:val="24"/>
                <w:szCs w:val="22"/>
                <w:highlight w:val="none"/>
              </w:rPr>
            </w:pPr>
            <w:r>
              <w:rPr>
                <w:rStyle w:val="1055"/>
                <w:rFonts w:ascii="宋体" w:hAnsi="宋体" w:eastAsia="宋体" w:cs="宋体"/>
                <w:color w:val="auto"/>
                <w:sz w:val="24"/>
                <w:szCs w:val="22"/>
                <w:highlight w:val="none"/>
                <w:lang w:val="en-US" w:eastAsia="en-US" w:bidi="ar-SA"/>
              </w:rPr>
              <w:t xml:space="preserve">偏离/响应</w:t>
            </w:r>
            <w:r/>
          </w:p>
        </w:tc>
        <w:tc>
          <w:tcPr>
            <w:tcW w:w="1757" w:type="dxa"/>
            <w:vAlign w:val="center"/>
            <w:textDirection w:val="lrTb"/>
            <w:noWrap w:val="false"/>
          </w:tcPr>
          <w:p>
            <w:pPr>
              <w:jc w:val="center"/>
              <w:widowControl w:val="off"/>
              <w:rPr>
                <w:rStyle w:val="1055"/>
                <w:rFonts w:hint="eastAsia" w:ascii="宋体" w:hAnsi="宋体" w:eastAsia="宋体" w:cs="宋体"/>
                <w:color w:val="auto"/>
                <w:sz w:val="24"/>
                <w:szCs w:val="22"/>
                <w:highlight w:val="none"/>
              </w:rPr>
            </w:pPr>
            <w:r>
              <w:rPr>
                <w:rStyle w:val="1055"/>
                <w:rFonts w:ascii="宋体" w:hAnsi="宋体" w:eastAsia="宋体" w:cs="宋体"/>
                <w:color w:val="auto"/>
                <w:sz w:val="24"/>
                <w:szCs w:val="22"/>
                <w:highlight w:val="none"/>
                <w:lang w:val="en-US" w:eastAsia="en-US" w:bidi="ar-SA"/>
              </w:rPr>
              <w:t xml:space="preserve">说明</w:t>
            </w:r>
            <w:r/>
          </w:p>
        </w:tc>
      </w:tr>
      <w:tr>
        <w:trPr>
          <w:jc w:val="center"/>
        </w:trPr>
        <w:tc>
          <w:tcPr>
            <w:tcW w:w="828" w:type="dxa"/>
            <w:vAlign w:val="center"/>
            <w:textDirection w:val="lrTb"/>
            <w:noWrap w:val="false"/>
          </w:tcPr>
          <w:p>
            <w:pPr>
              <w:jc w:val="center"/>
              <w:spacing w:before="240" w:after="240"/>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800" w:type="dxa"/>
            <w:vAlign w:val="center"/>
            <w:textDirection w:val="lrTb"/>
            <w:noWrap w:val="false"/>
          </w:tcPr>
          <w:p>
            <w:pPr>
              <w:jc w:val="center"/>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20" w:type="dxa"/>
            <w:vAlign w:val="center"/>
            <w:textDirection w:val="lrTb"/>
            <w:noWrap w:val="false"/>
          </w:tcPr>
          <w:p>
            <w:pPr>
              <w:jc w:val="center"/>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440" w:type="dxa"/>
            <w:vAlign w:val="center"/>
            <w:textDirection w:val="lrTb"/>
            <w:noWrap w:val="false"/>
          </w:tcPr>
          <w:p>
            <w:pPr>
              <w:jc w:val="center"/>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99" w:type="dxa"/>
            <w:vAlign w:val="center"/>
            <w:textDirection w:val="lrTb"/>
            <w:noWrap w:val="false"/>
          </w:tcPr>
          <w:p>
            <w:pPr>
              <w:jc w:val="center"/>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57" w:type="dxa"/>
            <w:vAlign w:val="center"/>
            <w:textDirection w:val="lrTb"/>
            <w:noWrap w:val="false"/>
          </w:tcPr>
          <w:p>
            <w:pPr>
              <w:jc w:val="center"/>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Pr>
        <w:tc>
          <w:tcPr>
            <w:tcW w:w="828" w:type="dxa"/>
            <w:vAlign w:val="center"/>
            <w:textDirection w:val="lrTb"/>
            <w:noWrap w:val="false"/>
          </w:tcPr>
          <w:p>
            <w:pPr>
              <w:jc w:val="center"/>
              <w:spacing w:before="240" w:after="240"/>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800" w:type="dxa"/>
            <w:vAlign w:val="center"/>
            <w:textDirection w:val="lrTb"/>
            <w:noWrap w:val="false"/>
          </w:tcPr>
          <w:p>
            <w:pPr>
              <w:jc w:val="center"/>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20" w:type="dxa"/>
            <w:vAlign w:val="center"/>
            <w:textDirection w:val="lrTb"/>
            <w:noWrap w:val="false"/>
          </w:tcPr>
          <w:p>
            <w:pPr>
              <w:jc w:val="center"/>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440" w:type="dxa"/>
            <w:vAlign w:val="center"/>
            <w:textDirection w:val="lrTb"/>
            <w:noWrap w:val="false"/>
          </w:tcPr>
          <w:p>
            <w:pPr>
              <w:jc w:val="center"/>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99" w:type="dxa"/>
            <w:vAlign w:val="center"/>
            <w:textDirection w:val="lrTb"/>
            <w:noWrap w:val="false"/>
          </w:tcPr>
          <w:p>
            <w:pPr>
              <w:jc w:val="center"/>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57" w:type="dxa"/>
            <w:vAlign w:val="center"/>
            <w:textDirection w:val="lrTb"/>
            <w:noWrap w:val="false"/>
          </w:tcPr>
          <w:p>
            <w:pPr>
              <w:jc w:val="center"/>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Pr>
        <w:tc>
          <w:tcPr>
            <w:tcW w:w="828" w:type="dxa"/>
            <w:vAlign w:val="center"/>
            <w:textDirection w:val="lrTb"/>
            <w:noWrap w:val="false"/>
          </w:tcPr>
          <w:p>
            <w:pPr>
              <w:jc w:val="center"/>
              <w:spacing w:before="240" w:after="240"/>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800" w:type="dxa"/>
            <w:vAlign w:val="center"/>
            <w:textDirection w:val="lrTb"/>
            <w:noWrap w:val="false"/>
          </w:tcPr>
          <w:p>
            <w:pPr>
              <w:jc w:val="center"/>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20" w:type="dxa"/>
            <w:vAlign w:val="center"/>
            <w:textDirection w:val="lrTb"/>
            <w:noWrap w:val="false"/>
          </w:tcPr>
          <w:p>
            <w:pPr>
              <w:jc w:val="center"/>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440" w:type="dxa"/>
            <w:vAlign w:val="center"/>
            <w:textDirection w:val="lrTb"/>
            <w:noWrap w:val="false"/>
          </w:tcPr>
          <w:p>
            <w:pPr>
              <w:jc w:val="center"/>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99" w:type="dxa"/>
            <w:vAlign w:val="center"/>
            <w:textDirection w:val="lrTb"/>
            <w:noWrap w:val="false"/>
          </w:tcPr>
          <w:p>
            <w:pPr>
              <w:jc w:val="center"/>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57" w:type="dxa"/>
            <w:vAlign w:val="center"/>
            <w:textDirection w:val="lrTb"/>
            <w:noWrap w:val="false"/>
          </w:tcPr>
          <w:p>
            <w:pPr>
              <w:jc w:val="center"/>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Pr>
        <w:tc>
          <w:tcPr>
            <w:tcW w:w="828" w:type="dxa"/>
            <w:vAlign w:val="center"/>
            <w:textDirection w:val="lrTb"/>
            <w:noWrap w:val="false"/>
          </w:tcPr>
          <w:p>
            <w:pPr>
              <w:jc w:val="center"/>
              <w:spacing w:before="240" w:after="240"/>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800" w:type="dxa"/>
            <w:vAlign w:val="center"/>
            <w:textDirection w:val="lrTb"/>
            <w:noWrap w:val="false"/>
          </w:tcPr>
          <w:p>
            <w:pPr>
              <w:jc w:val="center"/>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20" w:type="dxa"/>
            <w:vAlign w:val="center"/>
            <w:textDirection w:val="lrTb"/>
            <w:noWrap w:val="false"/>
          </w:tcPr>
          <w:p>
            <w:pPr>
              <w:jc w:val="center"/>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440" w:type="dxa"/>
            <w:vAlign w:val="center"/>
            <w:textDirection w:val="lrTb"/>
            <w:noWrap w:val="false"/>
          </w:tcPr>
          <w:p>
            <w:pPr>
              <w:jc w:val="center"/>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99" w:type="dxa"/>
            <w:vAlign w:val="center"/>
            <w:textDirection w:val="lrTb"/>
            <w:noWrap w:val="false"/>
          </w:tcPr>
          <w:p>
            <w:pPr>
              <w:jc w:val="center"/>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57" w:type="dxa"/>
            <w:vAlign w:val="center"/>
            <w:textDirection w:val="lrTb"/>
            <w:noWrap w:val="false"/>
          </w:tcPr>
          <w:p>
            <w:pPr>
              <w:jc w:val="center"/>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Pr>
        <w:tc>
          <w:tcPr>
            <w:tcW w:w="828" w:type="dxa"/>
            <w:vAlign w:val="center"/>
            <w:textDirection w:val="lrTb"/>
            <w:noWrap w:val="false"/>
          </w:tcPr>
          <w:p>
            <w:pPr>
              <w:jc w:val="center"/>
              <w:spacing w:before="240" w:after="240"/>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800" w:type="dxa"/>
            <w:vAlign w:val="center"/>
            <w:textDirection w:val="lrTb"/>
            <w:noWrap w:val="false"/>
          </w:tcPr>
          <w:p>
            <w:pPr>
              <w:jc w:val="center"/>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20" w:type="dxa"/>
            <w:vAlign w:val="center"/>
            <w:textDirection w:val="lrTb"/>
            <w:noWrap w:val="false"/>
          </w:tcPr>
          <w:p>
            <w:pPr>
              <w:jc w:val="center"/>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440" w:type="dxa"/>
            <w:vAlign w:val="center"/>
            <w:textDirection w:val="lrTb"/>
            <w:noWrap w:val="false"/>
          </w:tcPr>
          <w:p>
            <w:pPr>
              <w:jc w:val="center"/>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99" w:type="dxa"/>
            <w:vAlign w:val="center"/>
            <w:textDirection w:val="lrTb"/>
            <w:noWrap w:val="false"/>
          </w:tcPr>
          <w:p>
            <w:pPr>
              <w:jc w:val="center"/>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57" w:type="dxa"/>
            <w:vAlign w:val="center"/>
            <w:textDirection w:val="lrTb"/>
            <w:noWrap w:val="false"/>
          </w:tcPr>
          <w:p>
            <w:pPr>
              <w:jc w:val="center"/>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Pr>
        <w:tc>
          <w:tcPr>
            <w:tcW w:w="828" w:type="dxa"/>
            <w:vAlign w:val="center"/>
            <w:textDirection w:val="lrTb"/>
            <w:noWrap w:val="false"/>
          </w:tcPr>
          <w:p>
            <w:pPr>
              <w:jc w:val="center"/>
              <w:spacing w:before="240" w:after="240"/>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800" w:type="dxa"/>
            <w:vAlign w:val="center"/>
            <w:textDirection w:val="lrTb"/>
            <w:noWrap w:val="false"/>
          </w:tcPr>
          <w:p>
            <w:pPr>
              <w:jc w:val="center"/>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20" w:type="dxa"/>
            <w:vAlign w:val="center"/>
            <w:textDirection w:val="lrTb"/>
            <w:noWrap w:val="false"/>
          </w:tcPr>
          <w:p>
            <w:pPr>
              <w:jc w:val="center"/>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440" w:type="dxa"/>
            <w:vAlign w:val="center"/>
            <w:textDirection w:val="lrTb"/>
            <w:noWrap w:val="false"/>
          </w:tcPr>
          <w:p>
            <w:pPr>
              <w:jc w:val="center"/>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99" w:type="dxa"/>
            <w:vAlign w:val="center"/>
            <w:textDirection w:val="lrTb"/>
            <w:noWrap w:val="false"/>
          </w:tcPr>
          <w:p>
            <w:pPr>
              <w:jc w:val="center"/>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57" w:type="dxa"/>
            <w:vAlign w:val="center"/>
            <w:textDirection w:val="lrTb"/>
            <w:noWrap w:val="false"/>
          </w:tcPr>
          <w:p>
            <w:pPr>
              <w:jc w:val="center"/>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Pr>
        <w:tc>
          <w:tcPr>
            <w:tcW w:w="828" w:type="dxa"/>
            <w:vAlign w:val="center"/>
            <w:textDirection w:val="lrTb"/>
            <w:noWrap w:val="false"/>
          </w:tcPr>
          <w:p>
            <w:pPr>
              <w:jc w:val="center"/>
              <w:spacing w:before="240" w:after="240"/>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800" w:type="dxa"/>
            <w:vAlign w:val="center"/>
            <w:textDirection w:val="lrTb"/>
            <w:noWrap w:val="false"/>
          </w:tcPr>
          <w:p>
            <w:pPr>
              <w:jc w:val="center"/>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20" w:type="dxa"/>
            <w:vAlign w:val="center"/>
            <w:textDirection w:val="lrTb"/>
            <w:noWrap w:val="false"/>
          </w:tcPr>
          <w:p>
            <w:pPr>
              <w:jc w:val="center"/>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440" w:type="dxa"/>
            <w:vAlign w:val="center"/>
            <w:textDirection w:val="lrTb"/>
            <w:noWrap w:val="false"/>
          </w:tcPr>
          <w:p>
            <w:pPr>
              <w:jc w:val="center"/>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99" w:type="dxa"/>
            <w:vAlign w:val="center"/>
            <w:textDirection w:val="lrTb"/>
            <w:noWrap w:val="false"/>
          </w:tcPr>
          <w:p>
            <w:pPr>
              <w:jc w:val="center"/>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57" w:type="dxa"/>
            <w:vAlign w:val="center"/>
            <w:textDirection w:val="lrTb"/>
            <w:noWrap w:val="false"/>
          </w:tcPr>
          <w:p>
            <w:pPr>
              <w:jc w:val="center"/>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Pr>
        <w:tc>
          <w:tcPr>
            <w:tcW w:w="828" w:type="dxa"/>
            <w:vAlign w:val="center"/>
            <w:textDirection w:val="lrTb"/>
            <w:noWrap w:val="false"/>
          </w:tcPr>
          <w:p>
            <w:pPr>
              <w:jc w:val="center"/>
              <w:spacing w:before="240" w:after="240"/>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800" w:type="dxa"/>
            <w:vAlign w:val="center"/>
            <w:textDirection w:val="lrTb"/>
            <w:noWrap w:val="false"/>
          </w:tcPr>
          <w:p>
            <w:pPr>
              <w:jc w:val="center"/>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20" w:type="dxa"/>
            <w:vAlign w:val="center"/>
            <w:textDirection w:val="lrTb"/>
            <w:noWrap w:val="false"/>
          </w:tcPr>
          <w:p>
            <w:pPr>
              <w:jc w:val="center"/>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440" w:type="dxa"/>
            <w:vAlign w:val="center"/>
            <w:textDirection w:val="lrTb"/>
            <w:noWrap w:val="false"/>
          </w:tcPr>
          <w:p>
            <w:pPr>
              <w:jc w:val="center"/>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99" w:type="dxa"/>
            <w:vAlign w:val="center"/>
            <w:textDirection w:val="lrTb"/>
            <w:noWrap w:val="false"/>
          </w:tcPr>
          <w:p>
            <w:pPr>
              <w:jc w:val="center"/>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57" w:type="dxa"/>
            <w:vAlign w:val="center"/>
            <w:textDirection w:val="lrTb"/>
            <w:noWrap w:val="false"/>
          </w:tcPr>
          <w:p>
            <w:pPr>
              <w:jc w:val="center"/>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bl>
    <w:p>
      <w:pPr>
        <w:ind w:firstLine="482"/>
        <w:rPr>
          <w:rStyle w:val="1055"/>
          <w:rFonts w:hint="eastAsia" w:ascii="宋体" w:hAnsi="宋体" w:cs="宋体"/>
          <w:b/>
          <w:color w:val="auto"/>
          <w:sz w:val="24"/>
          <w:highlight w:val="none"/>
        </w:rPr>
      </w:pPr>
      <w:r>
        <w:rPr>
          <w:rStyle w:val="1055"/>
          <w:rFonts w:ascii="宋体" w:hAnsi="宋体" w:eastAsia="宋体" w:cs="宋体"/>
          <w:b/>
          <w:color w:val="auto"/>
          <w:sz w:val="24"/>
          <w:highlight w:val="none"/>
        </w:rPr>
        <w:t xml:space="preserve">注：1</w:t>
      </w:r>
      <w:r>
        <w:rPr>
          <w:rStyle w:val="1055"/>
          <w:rFonts w:hint="eastAsia" w:ascii="宋体" w:hAnsi="宋体" w:cs="宋体"/>
          <w:b/>
          <w:color w:val="auto"/>
          <w:sz w:val="24"/>
          <w:highlight w:val="none"/>
        </w:rPr>
        <w:t xml:space="preserve">.</w:t>
      </w:r>
      <w:r>
        <w:rPr>
          <w:rStyle w:val="1055"/>
          <w:rFonts w:ascii="宋体" w:hAnsi="宋体" w:eastAsia="宋体" w:cs="宋体"/>
          <w:b/>
          <w:color w:val="auto"/>
          <w:sz w:val="24"/>
          <w:highlight w:val="none"/>
        </w:rPr>
        <w:t xml:space="preserve">响应人应对照磋商文件服务要求等要求，所</w:t>
      </w:r>
      <w:r>
        <w:rPr>
          <w:rStyle w:val="1055"/>
          <w:rFonts w:hint="eastAsia" w:ascii="宋体" w:hAnsi="宋体" w:eastAsia="宋体" w:cs="宋体"/>
          <w:b/>
          <w:color w:val="auto"/>
          <w:sz w:val="24"/>
          <w:highlight w:val="none"/>
        </w:rPr>
        <w:t xml:space="preserve">响应</w:t>
      </w:r>
      <w:r>
        <w:rPr>
          <w:rStyle w:val="1055"/>
          <w:rFonts w:ascii="宋体" w:hAnsi="宋体" w:eastAsia="宋体" w:cs="宋体"/>
          <w:b/>
          <w:color w:val="auto"/>
          <w:sz w:val="24"/>
          <w:highlight w:val="none"/>
        </w:rPr>
        <w:t xml:space="preserve">标的物与磋商文件的规定有偏离的，应在此表中申明与服务要求条文的偏差和例外。</w:t>
      </w:r>
      <w:r/>
    </w:p>
    <w:p>
      <w:pPr>
        <w:ind w:firstLine="482"/>
        <w:rPr>
          <w:rStyle w:val="1055"/>
          <w:rFonts w:hint="eastAsia" w:ascii="宋体" w:hAnsi="宋体" w:cs="宋体"/>
          <w:color w:val="auto"/>
          <w:sz w:val="24"/>
          <w:highlight w:val="none"/>
        </w:rPr>
      </w:pPr>
      <w:r>
        <w:rPr>
          <w:rStyle w:val="1055"/>
          <w:rFonts w:ascii="宋体" w:hAnsi="宋体" w:cs="宋体"/>
          <w:b/>
          <w:color w:val="auto"/>
          <w:sz w:val="24"/>
          <w:highlight w:val="none"/>
        </w:rPr>
        <w:t xml:space="preserve">2</w:t>
      </w:r>
      <w:r>
        <w:rPr>
          <w:rStyle w:val="1055"/>
          <w:rFonts w:hint="eastAsia" w:ascii="宋体" w:hAnsi="宋体" w:cs="宋体"/>
          <w:b/>
          <w:color w:val="auto"/>
          <w:sz w:val="24"/>
          <w:highlight w:val="none"/>
        </w:rPr>
        <w:t xml:space="preserve">.</w:t>
      </w:r>
      <w:r>
        <w:rPr>
          <w:rStyle w:val="1055"/>
          <w:rFonts w:ascii="宋体" w:hAnsi="宋体" w:eastAsia="宋体" w:cs="宋体"/>
          <w:b/>
          <w:color w:val="auto"/>
          <w:sz w:val="24"/>
          <w:highlight w:val="none"/>
        </w:rPr>
        <w:t xml:space="preserve">未在上表中说明的，如在响应文件其他内容中已有文字说明的，则以已有文字说明为准，否则，将被认为完全响应磋商文件的规定。但该表不作为响应人对所投服务关于服务要求等详细描述和说明的替代。</w:t>
      </w:r>
      <w:r/>
    </w:p>
    <w:p>
      <w:pPr>
        <w:rPr>
          <w:rStyle w:val="1055"/>
          <w:rFonts w:hint="eastAsia" w:ascii="宋体" w:hAnsi="宋体" w:cs="宋体"/>
          <w:color w:val="auto"/>
          <w:sz w:val="24"/>
          <w:highlight w:val="none"/>
        </w:rPr>
      </w:pPr>
      <w:r>
        <w:rPr>
          <w:rFonts w:hint="eastAsia" w:ascii="宋体" w:hAnsi="宋体" w:cs="宋体"/>
          <w:color w:val="auto"/>
          <w:sz w:val="24"/>
          <w:highlight w:val="none"/>
        </w:rPr>
      </w:r>
      <w:r/>
    </w:p>
    <w:p>
      <w:pPr>
        <w:pStyle w:val="844"/>
        <w:ind w:firstLine="420"/>
        <w:rPr>
          <w:rFonts w:hint="eastAsia" w:ascii="宋体" w:hAnsi="宋体" w:cs="宋体"/>
          <w:color w:val="auto"/>
          <w:highlight w:val="none"/>
        </w:rPr>
      </w:pPr>
      <w:r>
        <w:rPr>
          <w:rFonts w:hint="eastAsia" w:ascii="宋体" w:hAnsi="宋体" w:cs="宋体"/>
          <w:color w:val="auto"/>
          <w:highlight w:val="none"/>
        </w:rPr>
      </w:r>
      <w:r/>
    </w:p>
    <w:p>
      <w:pPr>
        <w:spacing w:line="360" w:lineRule="auto"/>
        <w:rPr>
          <w:rStyle w:val="1055"/>
          <w:rFonts w:hint="eastAsia" w:ascii="宋体" w:hAnsi="宋体" w:cs="宋体"/>
          <w:color w:val="auto"/>
          <w:sz w:val="24"/>
          <w:highlight w:val="none"/>
        </w:rPr>
      </w:pPr>
      <w:r>
        <w:rPr>
          <w:rStyle w:val="1055"/>
          <w:rFonts w:ascii="宋体" w:hAnsi="宋体" w:eastAsia="宋体" w:cs="宋体"/>
          <w:color w:val="auto"/>
          <w:sz w:val="24"/>
          <w:highlight w:val="none"/>
        </w:rPr>
        <w:t xml:space="preserve">供应商：（盖章）</w:t>
      </w:r>
      <w:r/>
    </w:p>
    <w:p>
      <w:pPr>
        <w:spacing w:line="360" w:lineRule="auto"/>
        <w:rPr>
          <w:rStyle w:val="1055"/>
          <w:rFonts w:hint="eastAsia" w:ascii="宋体" w:hAnsi="宋体" w:cs="宋体"/>
          <w:color w:val="auto"/>
          <w:sz w:val="24"/>
          <w:highlight w:val="none"/>
        </w:rPr>
      </w:pPr>
      <w:r>
        <w:rPr>
          <w:rStyle w:val="1055"/>
          <w:rFonts w:ascii="宋体" w:hAnsi="宋体" w:eastAsia="宋体" w:cs="宋体"/>
          <w:color w:val="auto"/>
          <w:sz w:val="24"/>
          <w:highlight w:val="none"/>
        </w:rPr>
        <w:t xml:space="preserve">法定代表人或代理人：（签字或盖章）</w:t>
      </w:r>
      <w:r/>
    </w:p>
    <w:p>
      <w:pPr>
        <w:spacing w:line="360" w:lineRule="auto"/>
        <w:rPr>
          <w:rStyle w:val="1055"/>
          <w:rFonts w:hint="eastAsia" w:ascii="宋体" w:hAnsi="宋体" w:cs="宋体"/>
          <w:color w:val="auto"/>
          <w:sz w:val="24"/>
          <w:highlight w:val="none"/>
        </w:rPr>
      </w:pPr>
      <w:r>
        <w:rPr>
          <w:rStyle w:val="1055"/>
          <w:rFonts w:ascii="宋体" w:hAnsi="宋体" w:eastAsia="宋体" w:cs="宋体"/>
          <w:color w:val="auto"/>
          <w:sz w:val="24"/>
          <w:highlight w:val="none"/>
        </w:rPr>
        <w:t xml:space="preserve">日期：      年    月    日</w:t>
      </w:r>
      <w:r/>
    </w:p>
    <w:p>
      <w:pPr>
        <w:spacing w:line="400" w:lineRule="exact"/>
        <w:rPr>
          <w:rFonts w:hint="eastAsia" w:ascii="宋体" w:hAnsi="宋体" w:cs="宋体"/>
          <w:b/>
          <w:color w:val="auto"/>
          <w:sz w:val="24"/>
          <w:szCs w:val="24"/>
          <w:highlight w:val="none"/>
        </w:rPr>
      </w:pPr>
      <w:r>
        <w:rPr>
          <w:rFonts w:hint="eastAsia" w:ascii="宋体" w:hAnsi="宋体" w:cs="宋体"/>
          <w:color w:val="auto"/>
          <w:szCs w:val="21"/>
          <w:highlight w:val="none"/>
        </w:rPr>
        <w:br w:type="page" w:clear="all"/>
      </w:r>
      <w:r>
        <w:rPr>
          <w:rFonts w:hint="eastAsia" w:ascii="宋体" w:hAnsi="宋体" w:eastAsia="宋体" w:cs="宋体"/>
          <w:b/>
          <w:color w:val="auto"/>
          <w:sz w:val="24"/>
          <w:szCs w:val="24"/>
          <w:highlight w:val="none"/>
        </w:rPr>
        <w:t xml:space="preserve">6、商务条款偏离表</w:t>
      </w:r>
      <w:r/>
    </w:p>
    <w:p>
      <w:pPr>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1057"/>
        <w:ind w:firstLine="0"/>
        <w:jc w:val="center"/>
        <w:widowControl w:val="off"/>
        <w:rPr>
          <w:rStyle w:val="1055"/>
          <w:rFonts w:hint="eastAsia" w:ascii="宋体" w:hAnsi="宋体" w:cs="宋体"/>
          <w:b/>
          <w:color w:val="auto"/>
          <w:highlight w:val="none"/>
        </w:rPr>
      </w:pPr>
      <w:r>
        <w:rPr>
          <w:rStyle w:val="1055"/>
          <w:rFonts w:ascii="宋体" w:hAnsi="宋体" w:eastAsia="宋体" w:cs="宋体"/>
          <w:b/>
          <w:color w:val="auto"/>
          <w:highlight w:val="none"/>
        </w:rPr>
        <w:t xml:space="preserve">商务条款偏离表</w:t>
      </w:r>
      <w:r/>
    </w:p>
    <w:tbl>
      <w:tblPr>
        <w:tblStyle w:val="720"/>
        <w:tblW w:w="852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8"/>
        <w:gridCol w:w="1920"/>
        <w:gridCol w:w="2400"/>
        <w:gridCol w:w="2400"/>
        <w:gridCol w:w="1097"/>
      </w:tblGrid>
      <w:tr>
        <w:trPr>
          <w:jc w:val="center"/>
        </w:trPr>
        <w:tc>
          <w:tcPr>
            <w:tcW w:w="708" w:type="dxa"/>
            <w:vAlign w:val="center"/>
            <w:textDirection w:val="lrTb"/>
            <w:noWrap w:val="false"/>
          </w:tcPr>
          <w:p>
            <w:pPr>
              <w:jc w:val="center"/>
              <w:spacing w:before="240" w:after="240"/>
              <w:widowControl w:val="off"/>
              <w:rPr>
                <w:rStyle w:val="1055"/>
                <w:rFonts w:hint="eastAsia" w:ascii="宋体" w:hAnsi="宋体" w:eastAsia="宋体" w:cs="宋体"/>
                <w:color w:val="auto"/>
                <w:sz w:val="24"/>
                <w:szCs w:val="22"/>
                <w:highlight w:val="none"/>
              </w:rPr>
            </w:pPr>
            <w:r>
              <w:rPr>
                <w:rStyle w:val="1055"/>
                <w:rFonts w:ascii="宋体" w:hAnsi="宋体" w:eastAsia="宋体" w:cs="宋体"/>
                <w:color w:val="auto"/>
                <w:sz w:val="24"/>
                <w:szCs w:val="22"/>
                <w:highlight w:val="none"/>
                <w:lang w:val="en-US" w:eastAsia="en-US" w:bidi="ar-SA"/>
              </w:rPr>
              <w:t xml:space="preserve">序号</w:t>
            </w:r>
            <w:r/>
          </w:p>
        </w:tc>
        <w:tc>
          <w:tcPr>
            <w:tcW w:w="1920" w:type="dxa"/>
            <w:vAlign w:val="center"/>
            <w:textDirection w:val="lrTb"/>
            <w:noWrap w:val="false"/>
          </w:tcPr>
          <w:p>
            <w:pPr>
              <w:jc w:val="center"/>
              <w:spacing w:before="240" w:after="240"/>
              <w:widowControl w:val="off"/>
              <w:rPr>
                <w:rStyle w:val="1055"/>
                <w:rFonts w:hint="eastAsia" w:ascii="宋体" w:hAnsi="宋体" w:eastAsia="宋体" w:cs="宋体"/>
                <w:color w:val="auto"/>
                <w:sz w:val="24"/>
                <w:szCs w:val="22"/>
                <w:highlight w:val="none"/>
              </w:rPr>
            </w:pPr>
            <w:r>
              <w:rPr>
                <w:rStyle w:val="1055"/>
                <w:rFonts w:ascii="宋体" w:hAnsi="宋体" w:eastAsia="宋体" w:cs="宋体"/>
                <w:color w:val="auto"/>
                <w:sz w:val="24"/>
                <w:szCs w:val="22"/>
                <w:highlight w:val="none"/>
                <w:lang w:val="en-US" w:eastAsia="en-US" w:bidi="ar-SA"/>
              </w:rPr>
              <w:t xml:space="preserve">磋商文件条目号</w:t>
            </w:r>
            <w:r/>
          </w:p>
        </w:tc>
        <w:tc>
          <w:tcPr>
            <w:tcW w:w="2400" w:type="dxa"/>
            <w:vAlign w:val="center"/>
            <w:textDirection w:val="lrTb"/>
            <w:noWrap w:val="false"/>
          </w:tcPr>
          <w:p>
            <w:pPr>
              <w:jc w:val="center"/>
              <w:spacing w:before="240" w:after="240"/>
              <w:widowControl w:val="off"/>
              <w:rPr>
                <w:rStyle w:val="1055"/>
                <w:rFonts w:hint="eastAsia" w:ascii="宋体" w:hAnsi="宋体" w:eastAsia="宋体" w:cs="宋体"/>
                <w:color w:val="auto"/>
                <w:sz w:val="24"/>
                <w:szCs w:val="22"/>
                <w:highlight w:val="none"/>
              </w:rPr>
            </w:pPr>
            <w:r>
              <w:rPr>
                <w:rStyle w:val="1055"/>
                <w:rFonts w:ascii="宋体" w:hAnsi="宋体" w:eastAsia="宋体" w:cs="宋体"/>
                <w:color w:val="auto"/>
                <w:sz w:val="24"/>
                <w:szCs w:val="22"/>
                <w:highlight w:val="none"/>
                <w:lang w:val="en-US" w:eastAsia="en-US" w:bidi="ar-SA"/>
              </w:rPr>
              <w:t xml:space="preserve">磋商文件的商务条款</w:t>
            </w:r>
            <w:r/>
          </w:p>
        </w:tc>
        <w:tc>
          <w:tcPr>
            <w:tcW w:w="2400" w:type="dxa"/>
            <w:vAlign w:val="center"/>
            <w:textDirection w:val="lrTb"/>
            <w:noWrap w:val="false"/>
          </w:tcPr>
          <w:p>
            <w:pPr>
              <w:jc w:val="center"/>
              <w:spacing w:before="240" w:after="240"/>
              <w:widowControl w:val="off"/>
              <w:rPr>
                <w:rStyle w:val="1055"/>
                <w:rFonts w:hint="eastAsia" w:ascii="宋体" w:hAnsi="宋体" w:eastAsia="宋体" w:cs="宋体"/>
                <w:color w:val="auto"/>
                <w:sz w:val="24"/>
                <w:szCs w:val="22"/>
                <w:highlight w:val="none"/>
              </w:rPr>
            </w:pPr>
            <w:r>
              <w:rPr>
                <w:rStyle w:val="1055"/>
                <w:rFonts w:ascii="宋体" w:hAnsi="宋体" w:eastAsia="宋体" w:cs="宋体"/>
                <w:color w:val="auto"/>
                <w:sz w:val="24"/>
                <w:szCs w:val="22"/>
                <w:highlight w:val="none"/>
                <w:lang w:val="en-US" w:eastAsia="en-US" w:bidi="ar-SA"/>
              </w:rPr>
              <w:t xml:space="preserve">响应文件的商务条款</w:t>
            </w:r>
            <w:r/>
          </w:p>
        </w:tc>
        <w:tc>
          <w:tcPr>
            <w:tcW w:w="1097" w:type="dxa"/>
            <w:vAlign w:val="center"/>
            <w:textDirection w:val="lrTb"/>
            <w:noWrap w:val="false"/>
          </w:tcPr>
          <w:p>
            <w:pPr>
              <w:jc w:val="center"/>
              <w:spacing w:before="240" w:after="240"/>
              <w:widowControl w:val="off"/>
              <w:rPr>
                <w:rStyle w:val="1055"/>
                <w:rFonts w:hint="eastAsia" w:ascii="宋体" w:hAnsi="宋体" w:eastAsia="宋体" w:cs="宋体"/>
                <w:color w:val="auto"/>
                <w:sz w:val="24"/>
                <w:szCs w:val="22"/>
                <w:highlight w:val="none"/>
              </w:rPr>
            </w:pPr>
            <w:r>
              <w:rPr>
                <w:rStyle w:val="1055"/>
                <w:rFonts w:ascii="宋体" w:hAnsi="宋体" w:eastAsia="宋体" w:cs="宋体"/>
                <w:color w:val="auto"/>
                <w:sz w:val="24"/>
                <w:szCs w:val="22"/>
                <w:highlight w:val="none"/>
                <w:lang w:val="en-US" w:eastAsia="en-US" w:bidi="ar-SA"/>
              </w:rPr>
              <w:t xml:space="preserve">说明</w:t>
            </w:r>
            <w:r/>
          </w:p>
        </w:tc>
      </w:tr>
      <w:tr>
        <w:trPr>
          <w:jc w:val="center"/>
        </w:trPr>
        <w:tc>
          <w:tcPr>
            <w:tcW w:w="708" w:type="dxa"/>
            <w:vAlign w:val="center"/>
            <w:textDirection w:val="lrTb"/>
            <w:noWrap w:val="false"/>
          </w:tcPr>
          <w:p>
            <w:pPr>
              <w:jc w:val="center"/>
              <w:spacing w:before="240" w:after="240"/>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920" w:type="dxa"/>
            <w:vAlign w:val="center"/>
            <w:textDirection w:val="lrTb"/>
            <w:noWrap w:val="false"/>
          </w:tcPr>
          <w:p>
            <w:pPr>
              <w:jc w:val="center"/>
              <w:spacing w:before="240" w:after="240"/>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097" w:type="dxa"/>
            <w:vAlign w:val="center"/>
            <w:textDirection w:val="lrTb"/>
            <w:noWrap w:val="false"/>
          </w:tcPr>
          <w:p>
            <w:pPr>
              <w:jc w:val="center"/>
              <w:spacing w:before="240" w:after="240"/>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Pr>
        <w:tc>
          <w:tcPr>
            <w:tcW w:w="708" w:type="dxa"/>
            <w:vAlign w:val="center"/>
            <w:textDirection w:val="lrTb"/>
            <w:noWrap w:val="false"/>
          </w:tcPr>
          <w:p>
            <w:pPr>
              <w:jc w:val="center"/>
              <w:spacing w:before="240" w:after="240"/>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920" w:type="dxa"/>
            <w:vAlign w:val="center"/>
            <w:textDirection w:val="lrTb"/>
            <w:noWrap w:val="false"/>
          </w:tcPr>
          <w:p>
            <w:pPr>
              <w:jc w:val="center"/>
              <w:spacing w:before="240" w:after="240"/>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097" w:type="dxa"/>
            <w:vAlign w:val="center"/>
            <w:textDirection w:val="lrTb"/>
            <w:noWrap w:val="false"/>
          </w:tcPr>
          <w:p>
            <w:pPr>
              <w:jc w:val="center"/>
              <w:spacing w:before="240" w:after="240"/>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Pr>
        <w:tc>
          <w:tcPr>
            <w:tcW w:w="708" w:type="dxa"/>
            <w:vAlign w:val="center"/>
            <w:textDirection w:val="lrTb"/>
            <w:noWrap w:val="false"/>
          </w:tcPr>
          <w:p>
            <w:pPr>
              <w:jc w:val="center"/>
              <w:spacing w:before="240" w:after="240"/>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920" w:type="dxa"/>
            <w:vAlign w:val="center"/>
            <w:textDirection w:val="lrTb"/>
            <w:noWrap w:val="false"/>
          </w:tcPr>
          <w:p>
            <w:pPr>
              <w:jc w:val="center"/>
              <w:spacing w:before="240" w:after="240"/>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097" w:type="dxa"/>
            <w:vAlign w:val="center"/>
            <w:textDirection w:val="lrTb"/>
            <w:noWrap w:val="false"/>
          </w:tcPr>
          <w:p>
            <w:pPr>
              <w:jc w:val="center"/>
              <w:spacing w:before="240" w:after="240"/>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Pr>
        <w:tc>
          <w:tcPr>
            <w:tcW w:w="708" w:type="dxa"/>
            <w:vAlign w:val="center"/>
            <w:textDirection w:val="lrTb"/>
            <w:noWrap w:val="false"/>
          </w:tcPr>
          <w:p>
            <w:pPr>
              <w:jc w:val="center"/>
              <w:spacing w:before="240" w:after="240"/>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920" w:type="dxa"/>
            <w:vAlign w:val="center"/>
            <w:textDirection w:val="lrTb"/>
            <w:noWrap w:val="false"/>
          </w:tcPr>
          <w:p>
            <w:pPr>
              <w:jc w:val="center"/>
              <w:spacing w:before="240" w:after="240"/>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097" w:type="dxa"/>
            <w:vAlign w:val="center"/>
            <w:textDirection w:val="lrTb"/>
            <w:noWrap w:val="false"/>
          </w:tcPr>
          <w:p>
            <w:pPr>
              <w:jc w:val="center"/>
              <w:spacing w:before="240" w:after="240"/>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Pr>
        <w:tc>
          <w:tcPr>
            <w:tcW w:w="708" w:type="dxa"/>
            <w:vAlign w:val="center"/>
            <w:textDirection w:val="lrTb"/>
            <w:noWrap w:val="false"/>
          </w:tcPr>
          <w:p>
            <w:pPr>
              <w:jc w:val="center"/>
              <w:spacing w:before="240" w:after="240"/>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920" w:type="dxa"/>
            <w:vAlign w:val="center"/>
            <w:textDirection w:val="lrTb"/>
            <w:noWrap w:val="false"/>
          </w:tcPr>
          <w:p>
            <w:pPr>
              <w:jc w:val="center"/>
              <w:spacing w:before="240" w:after="240"/>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097" w:type="dxa"/>
            <w:vAlign w:val="center"/>
            <w:textDirection w:val="lrTb"/>
            <w:noWrap w:val="false"/>
          </w:tcPr>
          <w:p>
            <w:pPr>
              <w:jc w:val="center"/>
              <w:spacing w:before="240" w:after="240"/>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Pr>
        <w:tc>
          <w:tcPr>
            <w:tcW w:w="708" w:type="dxa"/>
            <w:vAlign w:val="center"/>
            <w:textDirection w:val="lrTb"/>
            <w:noWrap w:val="false"/>
          </w:tcPr>
          <w:p>
            <w:pPr>
              <w:jc w:val="center"/>
              <w:spacing w:before="240" w:after="240"/>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920" w:type="dxa"/>
            <w:vAlign w:val="center"/>
            <w:textDirection w:val="lrTb"/>
            <w:noWrap w:val="false"/>
          </w:tcPr>
          <w:p>
            <w:pPr>
              <w:jc w:val="center"/>
              <w:spacing w:before="240" w:after="240"/>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097" w:type="dxa"/>
            <w:vAlign w:val="center"/>
            <w:textDirection w:val="lrTb"/>
            <w:noWrap w:val="false"/>
          </w:tcPr>
          <w:p>
            <w:pPr>
              <w:jc w:val="center"/>
              <w:spacing w:before="240" w:after="240"/>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Pr>
        <w:tc>
          <w:tcPr>
            <w:tcW w:w="708" w:type="dxa"/>
            <w:vAlign w:val="center"/>
            <w:textDirection w:val="lrTb"/>
            <w:noWrap w:val="false"/>
          </w:tcPr>
          <w:p>
            <w:pPr>
              <w:jc w:val="center"/>
              <w:spacing w:before="240" w:after="240"/>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920" w:type="dxa"/>
            <w:vAlign w:val="center"/>
            <w:textDirection w:val="lrTb"/>
            <w:noWrap w:val="false"/>
          </w:tcPr>
          <w:p>
            <w:pPr>
              <w:jc w:val="center"/>
              <w:spacing w:before="240" w:after="240"/>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097" w:type="dxa"/>
            <w:vAlign w:val="center"/>
            <w:textDirection w:val="lrTb"/>
            <w:noWrap w:val="false"/>
          </w:tcPr>
          <w:p>
            <w:pPr>
              <w:jc w:val="center"/>
              <w:spacing w:before="240" w:after="240"/>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Pr>
        <w:tc>
          <w:tcPr>
            <w:tcW w:w="708" w:type="dxa"/>
            <w:vAlign w:val="center"/>
            <w:textDirection w:val="lrTb"/>
            <w:noWrap w:val="false"/>
          </w:tcPr>
          <w:p>
            <w:pPr>
              <w:jc w:val="center"/>
              <w:spacing w:before="240" w:after="240"/>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920" w:type="dxa"/>
            <w:vAlign w:val="center"/>
            <w:textDirection w:val="lrTb"/>
            <w:noWrap w:val="false"/>
          </w:tcPr>
          <w:p>
            <w:pPr>
              <w:jc w:val="center"/>
              <w:spacing w:before="240" w:after="240"/>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097" w:type="dxa"/>
            <w:vAlign w:val="center"/>
            <w:textDirection w:val="lrTb"/>
            <w:noWrap w:val="false"/>
          </w:tcPr>
          <w:p>
            <w:pPr>
              <w:jc w:val="center"/>
              <w:spacing w:before="240" w:after="240"/>
              <w:widowControl w:val="off"/>
              <w:rPr>
                <w:rStyle w:val="105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bl>
    <w:p>
      <w:pPr>
        <w:pStyle w:val="1057"/>
        <w:spacing w:line="240" w:lineRule="auto"/>
        <w:widowControl w:val="off"/>
        <w:rPr>
          <w:rStyle w:val="1055"/>
          <w:rFonts w:hint="eastAsia" w:ascii="宋体" w:hAnsi="宋体" w:cs="宋体"/>
          <w:b/>
          <w:color w:val="auto"/>
          <w:highlight w:val="none"/>
        </w:rPr>
      </w:pPr>
      <w:r>
        <w:rPr>
          <w:rStyle w:val="1055"/>
          <w:rFonts w:ascii="宋体" w:hAnsi="宋体" w:eastAsia="宋体" w:cs="宋体"/>
          <w:b/>
          <w:color w:val="auto"/>
          <w:highlight w:val="none"/>
        </w:rPr>
        <w:t xml:space="preserve">注：响应人的响应文件与磋商文件规定的有偏离的，应在此表中说明。未在上表中说明的，如在响应文件其他内容中已有文字说明的，则以已有文字说明为准，否则，将被认为完全响应磋商文件的规定。但该表不作为响应人对所</w:t>
      </w:r>
      <w:r>
        <w:rPr>
          <w:rStyle w:val="1055"/>
          <w:rFonts w:hint="eastAsia" w:ascii="宋体" w:hAnsi="宋体" w:eastAsia="宋体" w:cs="宋体"/>
          <w:b/>
          <w:color w:val="auto"/>
          <w:highlight w:val="none"/>
        </w:rPr>
        <w:t xml:space="preserve">响应</w:t>
      </w:r>
      <w:r>
        <w:rPr>
          <w:rStyle w:val="1055"/>
          <w:rFonts w:ascii="宋体" w:hAnsi="宋体" w:eastAsia="宋体" w:cs="宋体"/>
          <w:b/>
          <w:color w:val="auto"/>
          <w:highlight w:val="none"/>
        </w:rPr>
        <w:t xml:space="preserve">的物关于商务条款等详细描述和说明的替代。</w:t>
      </w:r>
      <w:r/>
    </w:p>
    <w:p>
      <w:pPr>
        <w:ind w:firstLine="480"/>
        <w:spacing w:line="360" w:lineRule="auto"/>
        <w:rPr>
          <w:rStyle w:val="1055"/>
          <w:rFonts w:hint="eastAsia" w:ascii="宋体" w:hAnsi="宋体" w:cs="宋体"/>
          <w:color w:val="auto"/>
          <w:sz w:val="24"/>
          <w:highlight w:val="none"/>
        </w:rPr>
      </w:pPr>
      <w:r>
        <w:rPr>
          <w:rFonts w:hint="eastAsia" w:ascii="宋体" w:hAnsi="宋体" w:cs="宋体"/>
          <w:color w:val="auto"/>
          <w:sz w:val="24"/>
          <w:highlight w:val="none"/>
        </w:rPr>
      </w:r>
      <w:r/>
    </w:p>
    <w:p>
      <w:pPr>
        <w:pStyle w:val="1057"/>
        <w:widowControl w:val="off"/>
        <w:rPr>
          <w:rStyle w:val="1055"/>
          <w:rFonts w:hint="eastAsia" w:ascii="宋体" w:hAnsi="宋体" w:cs="宋体"/>
          <w:color w:val="auto"/>
          <w:highlight w:val="none"/>
        </w:rPr>
      </w:pPr>
      <w:r>
        <w:rPr>
          <w:rStyle w:val="1055"/>
          <w:rFonts w:ascii="宋体" w:hAnsi="宋体" w:eastAsia="宋体" w:cs="宋体"/>
          <w:color w:val="auto"/>
          <w:highlight w:val="none"/>
        </w:rPr>
        <w:t xml:space="preserve">供应商：（盖章）</w:t>
      </w:r>
      <w:r/>
    </w:p>
    <w:p>
      <w:pPr>
        <w:pStyle w:val="1057"/>
        <w:widowControl w:val="off"/>
        <w:rPr>
          <w:rStyle w:val="1055"/>
          <w:rFonts w:hint="eastAsia" w:ascii="宋体" w:hAnsi="宋体" w:cs="宋体"/>
          <w:color w:val="auto"/>
          <w:highlight w:val="none"/>
        </w:rPr>
      </w:pPr>
      <w:r>
        <w:rPr>
          <w:rStyle w:val="1055"/>
          <w:rFonts w:ascii="宋体" w:hAnsi="宋体" w:eastAsia="宋体" w:cs="宋体"/>
          <w:color w:val="auto"/>
          <w:highlight w:val="none"/>
        </w:rPr>
        <w:t xml:space="preserve">法定代表人或代理人：（签字或盖章）</w:t>
      </w:r>
      <w:r/>
    </w:p>
    <w:p>
      <w:pPr>
        <w:pStyle w:val="1057"/>
        <w:widowControl w:val="off"/>
        <w:rPr>
          <w:rFonts w:hint="eastAsia" w:ascii="宋体" w:hAnsi="宋体" w:cs="宋体"/>
          <w:color w:val="auto"/>
          <w:highlight w:val="none"/>
        </w:rPr>
      </w:pPr>
      <w:r>
        <w:rPr>
          <w:rStyle w:val="1055"/>
          <w:rFonts w:ascii="宋体" w:hAnsi="宋体" w:eastAsia="宋体" w:cs="宋体"/>
          <w:color w:val="auto"/>
          <w:highlight w:val="none"/>
        </w:rPr>
        <w:t xml:space="preserve">日期：      年    月    日</w:t>
      </w:r>
      <w:r/>
    </w:p>
    <w:p>
      <w:pPr>
        <w:spacing w:line="360" w:lineRule="auto"/>
        <w:rPr>
          <w:rFonts w:hint="eastAsia" w:ascii="宋体" w:hAnsi="宋体" w:cs="宋体"/>
          <w:b/>
          <w:bCs/>
          <w:color w:val="auto"/>
          <w:sz w:val="24"/>
          <w:szCs w:val="24"/>
          <w:highlight w:val="none"/>
        </w:rPr>
      </w:pPr>
      <w:r>
        <w:rPr>
          <w:rFonts w:hint="eastAsia" w:ascii="宋体" w:hAnsi="宋体" w:cs="宋体"/>
          <w:b/>
          <w:color w:val="auto"/>
          <w:szCs w:val="21"/>
          <w:highlight w:val="none"/>
        </w:rPr>
        <w:br w:type="page" w:clear="all"/>
      </w:r>
      <w:r>
        <w:rPr>
          <w:rFonts w:hint="eastAsia" w:ascii="宋体" w:hAnsi="宋体" w:eastAsia="宋体" w:cs="宋体"/>
          <w:b/>
          <w:bCs/>
          <w:color w:val="auto"/>
          <w:sz w:val="24"/>
          <w:szCs w:val="24"/>
          <w:highlight w:val="none"/>
        </w:rPr>
        <w:t xml:space="preserve">7、投入本项目人员配备一览表</w:t>
      </w:r>
      <w:r/>
    </w:p>
    <w:p>
      <w:pPr>
        <w:jc w:val="center"/>
        <w:spacing w:line="360" w:lineRule="auto"/>
        <w:rPr>
          <w:rFonts w:hint="eastAsia" w:ascii="宋体" w:hAnsi="宋体" w:cs="宋体"/>
          <w:b/>
          <w:color w:val="auto"/>
          <w:spacing w:val="-1"/>
          <w:sz w:val="24"/>
          <w:szCs w:val="24"/>
          <w:highlight w:val="none"/>
        </w:rPr>
      </w:pPr>
      <w:r>
        <w:rPr>
          <w:rFonts w:hint="eastAsia" w:ascii="宋体" w:hAnsi="宋体" w:cs="宋体"/>
          <w:b/>
          <w:color w:val="auto"/>
          <w:spacing w:val="-1"/>
          <w:sz w:val="24"/>
          <w:szCs w:val="24"/>
          <w:highlight w:val="none"/>
        </w:rPr>
      </w:r>
      <w:r/>
    </w:p>
    <w:p>
      <w:pPr>
        <w:jc w:val="center"/>
        <w:spacing w:line="360" w:lineRule="auto"/>
        <w:rPr>
          <w:rFonts w:hint="eastAsia" w:ascii="宋体" w:hAnsi="宋体" w:cs="宋体"/>
          <w:b/>
          <w:color w:val="auto"/>
          <w:spacing w:val="-1"/>
          <w:sz w:val="24"/>
          <w:szCs w:val="24"/>
          <w:highlight w:val="none"/>
        </w:rPr>
      </w:pPr>
      <w:r>
        <w:rPr>
          <w:rFonts w:hint="eastAsia" w:ascii="宋体" w:hAnsi="宋体" w:eastAsia="宋体" w:cs="宋体"/>
          <w:b/>
          <w:color w:val="auto"/>
          <w:spacing w:val="-1"/>
          <w:sz w:val="24"/>
          <w:szCs w:val="24"/>
          <w:highlight w:val="none"/>
        </w:rPr>
        <w:t xml:space="preserve">投入本项目人员配备一览表</w:t>
      </w:r>
      <w:r/>
    </w:p>
    <w:tbl>
      <w:tblPr>
        <w:tblStyle w:val="720"/>
        <w:tblW w:w="925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05"/>
        <w:gridCol w:w="1361"/>
        <w:gridCol w:w="1304"/>
        <w:gridCol w:w="850"/>
        <w:gridCol w:w="737"/>
        <w:gridCol w:w="907"/>
        <w:gridCol w:w="1361"/>
        <w:gridCol w:w="1237"/>
        <w:gridCol w:w="889"/>
      </w:tblGrid>
      <w:tr>
        <w:trPr>
          <w:jc w:val="center"/>
          <w:trHeight w:val="891"/>
        </w:trPr>
        <w:tc>
          <w:tcPr>
            <w:tcW w:w="605"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en-US" w:bidi="ar-SA"/>
              </w:rPr>
              <w:t xml:space="preserve">序</w:t>
            </w:r>
            <w:r>
              <w:rPr>
                <w:rFonts w:hint="eastAsia" w:ascii="宋体" w:hAnsi="宋体" w:eastAsia="宋体" w:cs="宋体"/>
                <w:color w:val="auto"/>
                <w:spacing w:val="-1"/>
                <w:sz w:val="24"/>
                <w:szCs w:val="24"/>
                <w:highlight w:val="none"/>
                <w:lang w:val="en-US" w:eastAsia="en-US" w:bidi="ar-SA"/>
              </w:rPr>
              <w:t xml:space="preserve">号</w:t>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lang w:val="en-US" w:eastAsia="en-US" w:bidi="ar-SA"/>
              </w:rPr>
              <w:t xml:space="preserve">岗</w:t>
            </w:r>
            <w:r>
              <w:rPr>
                <w:rFonts w:hint="eastAsia" w:ascii="宋体" w:hAnsi="宋体" w:eastAsia="宋体" w:cs="宋体"/>
                <w:color w:val="auto"/>
                <w:spacing w:val="-7"/>
                <w:sz w:val="24"/>
                <w:szCs w:val="24"/>
                <w:highlight w:val="none"/>
                <w:lang w:val="en-US" w:eastAsia="en-US" w:bidi="ar-SA"/>
              </w:rPr>
              <w:t xml:space="preserve">位</w:t>
            </w:r>
            <w:r/>
          </w:p>
        </w:tc>
        <w:tc>
          <w:tcPr>
            <w:tcW w:w="1304"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en-US" w:bidi="ar-SA"/>
              </w:rPr>
              <w:t xml:space="preserve">姓</w:t>
            </w:r>
            <w:r>
              <w:rPr>
                <w:rFonts w:hint="eastAsia" w:ascii="宋体" w:hAnsi="宋体" w:eastAsia="宋体" w:cs="宋体"/>
                <w:color w:val="auto"/>
                <w:spacing w:val="-1"/>
                <w:sz w:val="24"/>
                <w:szCs w:val="24"/>
                <w:highlight w:val="none"/>
                <w:lang w:val="en-US" w:eastAsia="en-US" w:bidi="ar-SA"/>
              </w:rPr>
              <w:t xml:space="preserve">名</w:t>
            </w:r>
            <w:r/>
          </w:p>
        </w:tc>
        <w:tc>
          <w:tcPr>
            <w:tcW w:w="850"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en-US" w:bidi="ar-SA"/>
              </w:rPr>
              <w:t xml:space="preserve">性</w:t>
            </w:r>
            <w:r>
              <w:rPr>
                <w:rFonts w:hint="eastAsia" w:ascii="宋体" w:hAnsi="宋体" w:eastAsia="宋体" w:cs="宋体"/>
                <w:color w:val="auto"/>
                <w:spacing w:val="-1"/>
                <w:sz w:val="24"/>
                <w:szCs w:val="24"/>
                <w:highlight w:val="none"/>
                <w:lang w:val="en-US" w:eastAsia="en-US" w:bidi="ar-SA"/>
              </w:rPr>
              <w:t xml:space="preserve">别</w:t>
            </w:r>
            <w:r/>
          </w:p>
        </w:tc>
        <w:tc>
          <w:tcPr>
            <w:tcW w:w="7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en-US" w:bidi="ar-SA"/>
              </w:rPr>
              <w:t xml:space="preserve">年龄</w:t>
            </w:r>
            <w:r/>
          </w:p>
        </w:tc>
        <w:tc>
          <w:tcPr>
            <w:tcW w:w="90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lang w:val="en-US" w:eastAsia="en-US" w:bidi="ar-SA"/>
              </w:rPr>
              <w:t xml:space="preserve">学</w:t>
            </w:r>
            <w:r>
              <w:rPr>
                <w:rFonts w:hint="eastAsia" w:ascii="宋体" w:hAnsi="宋体" w:eastAsia="宋体" w:cs="宋体"/>
                <w:color w:val="auto"/>
                <w:spacing w:val="-2"/>
                <w:sz w:val="24"/>
                <w:szCs w:val="24"/>
                <w:highlight w:val="none"/>
                <w:lang w:val="en-US" w:eastAsia="en-US" w:bidi="ar-SA"/>
              </w:rPr>
              <w:t xml:space="preserve">历</w:t>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en-US" w:bidi="ar-SA"/>
              </w:rPr>
              <w:t xml:space="preserve">证</w:t>
            </w:r>
            <w:r>
              <w:rPr>
                <w:rFonts w:hint="eastAsia" w:ascii="宋体" w:hAnsi="宋体" w:eastAsia="宋体" w:cs="宋体"/>
                <w:color w:val="auto"/>
                <w:spacing w:val="-1"/>
                <w:sz w:val="24"/>
                <w:szCs w:val="24"/>
                <w:highlight w:val="none"/>
                <w:lang w:val="en-US" w:eastAsia="en-US" w:bidi="ar-SA"/>
              </w:rPr>
              <w:t xml:space="preserve">书情况</w:t>
            </w:r>
            <w:r/>
          </w:p>
        </w:tc>
        <w:tc>
          <w:tcPr>
            <w:tcW w:w="12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en-US" w:bidi="ar-SA"/>
              </w:rPr>
              <w:t xml:space="preserve">从事本</w:t>
            </w:r>
            <w:r>
              <w:rPr>
                <w:rFonts w:hint="eastAsia" w:ascii="宋体" w:hAnsi="宋体" w:eastAsia="宋体" w:cs="宋体"/>
                <w:color w:val="auto"/>
                <w:spacing w:val="-1"/>
                <w:sz w:val="24"/>
                <w:szCs w:val="24"/>
                <w:highlight w:val="none"/>
                <w:lang w:val="en-US" w:eastAsia="en-US" w:bidi="ar-SA"/>
              </w:rPr>
              <w:t xml:space="preserve">工作</w:t>
            </w:r>
            <w:r>
              <w:rPr>
                <w:rFonts w:hint="eastAsia" w:ascii="宋体" w:hAnsi="宋体" w:eastAsia="宋体" w:cs="宋体"/>
                <w:color w:val="auto"/>
                <w:spacing w:val="-4"/>
                <w:sz w:val="24"/>
                <w:szCs w:val="24"/>
                <w:highlight w:val="none"/>
                <w:lang w:val="en-US" w:eastAsia="en-US" w:bidi="ar-SA"/>
              </w:rPr>
              <w:t xml:space="preserve">时间</w:t>
            </w:r>
            <w:r/>
          </w:p>
        </w:tc>
        <w:tc>
          <w:tcPr>
            <w:tcW w:w="889"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lang w:val="en-US" w:eastAsia="en-US" w:bidi="ar-SA"/>
              </w:rPr>
              <w:t xml:space="preserve">备</w:t>
            </w:r>
            <w:r>
              <w:rPr>
                <w:rFonts w:hint="eastAsia" w:ascii="宋体" w:hAnsi="宋体" w:eastAsia="宋体" w:cs="宋体"/>
                <w:color w:val="auto"/>
                <w:spacing w:val="-2"/>
                <w:sz w:val="24"/>
                <w:szCs w:val="24"/>
                <w:highlight w:val="none"/>
                <w:lang w:val="en-US" w:eastAsia="en-US" w:bidi="ar-SA"/>
              </w:rPr>
              <w:t xml:space="preserve">注</w:t>
            </w:r>
            <w:r/>
          </w:p>
        </w:tc>
      </w:tr>
      <w:tr>
        <w:trPr>
          <w:jc w:val="center"/>
          <w:trHeight w:val="428"/>
        </w:trPr>
        <w:tc>
          <w:tcPr>
            <w:tcW w:w="605"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1</w:t>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0"/>
        </w:trPr>
        <w:tc>
          <w:tcPr>
            <w:tcW w:w="605"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2</w:t>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3"/>
        </w:trPr>
        <w:tc>
          <w:tcPr>
            <w:tcW w:w="605"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3</w:t>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6"/>
        </w:trPr>
        <w:tc>
          <w:tcPr>
            <w:tcW w:w="605"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4</w:t>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5"/>
        </w:trPr>
        <w:tc>
          <w:tcPr>
            <w:tcW w:w="605"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5</w:t>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2"/>
        </w:trPr>
        <w:tc>
          <w:tcPr>
            <w:tcW w:w="605"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6</w:t>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3"/>
        </w:trPr>
        <w:tc>
          <w:tcPr>
            <w:tcW w:w="605"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7</w:t>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0"/>
        </w:trPr>
        <w:tc>
          <w:tcPr>
            <w:tcW w:w="605"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8</w:t>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6"/>
        </w:trPr>
        <w:tc>
          <w:tcPr>
            <w:tcW w:w="605"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9</w:t>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7"/>
        </w:trPr>
        <w:tc>
          <w:tcPr>
            <w:tcW w:w="605"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lang w:val="en-US" w:eastAsia="en-US" w:bidi="ar-SA"/>
              </w:rPr>
              <w:t xml:space="preserve">1</w:t>
            </w:r>
            <w:r>
              <w:rPr>
                <w:rFonts w:hint="eastAsia" w:ascii="宋体" w:hAnsi="宋体" w:eastAsia="宋体" w:cs="宋体"/>
                <w:color w:val="auto"/>
                <w:spacing w:val="-5"/>
                <w:sz w:val="24"/>
                <w:szCs w:val="24"/>
                <w:highlight w:val="none"/>
                <w:lang w:val="en-US" w:eastAsia="en-US" w:bidi="ar-SA"/>
              </w:rPr>
              <w:t xml:space="preserve">0</w:t>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04"/>
        </w:trPr>
        <w:tc>
          <w:tcPr>
            <w:tcW w:w="605"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4"/>
                <w:sz w:val="24"/>
                <w:szCs w:val="24"/>
                <w:highlight w:val="none"/>
                <w:lang w:val="en-US" w:eastAsia="en-US" w:bidi="ar-SA"/>
              </w:rPr>
              <w:t xml:space="preserve">…</w:t>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262"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40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供应商名称：（盖章）</w:t>
      </w:r>
      <w:r/>
    </w:p>
    <w:p>
      <w:pPr>
        <w:spacing w:line="40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法定代表人或被授权人：（签字或盖章）</w:t>
      </w:r>
      <w:r/>
    </w:p>
    <w:p>
      <w:pPr>
        <w:spacing w:line="40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日期：    年    月    日</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b/>
          <w:bCs/>
          <w:color w:val="auto"/>
          <w:sz w:val="24"/>
          <w:szCs w:val="24"/>
          <w:highlight w:val="none"/>
        </w:rPr>
      </w:pPr>
      <w:r>
        <w:rPr>
          <w:rFonts w:hint="eastAsia" w:ascii="宋体" w:hAnsi="宋体" w:cs="宋体"/>
          <w:color w:val="auto"/>
          <w:szCs w:val="21"/>
          <w:highlight w:val="none"/>
          <w:lang w:val="zh-CN"/>
        </w:rPr>
        <w:br w:type="page" w:clear="all"/>
      </w:r>
      <w:r>
        <w:rPr>
          <w:rFonts w:hint="eastAsia" w:ascii="宋体" w:hAnsi="宋体" w:cs="宋体"/>
          <w:b/>
          <w:bCs/>
          <w:color w:val="auto"/>
          <w:sz w:val="24"/>
          <w:szCs w:val="24"/>
          <w:highlight w:val="none"/>
        </w:rPr>
        <w:t xml:space="preserve">8</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rPr>
        <w:t xml:space="preserve">类似</w:t>
      </w:r>
      <w:r>
        <w:rPr>
          <w:rFonts w:hint="eastAsia" w:ascii="宋体" w:hAnsi="宋体" w:eastAsia="宋体" w:cs="宋体"/>
          <w:b/>
          <w:color w:val="auto"/>
          <w:spacing w:val="-1"/>
          <w:sz w:val="24"/>
          <w:szCs w:val="24"/>
          <w:highlight w:val="none"/>
        </w:rPr>
        <w:t xml:space="preserve">业绩一览表</w:t>
      </w:r>
      <w:r/>
    </w:p>
    <w:p>
      <w:pPr>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360" w:lineRule="auto"/>
        <w:rPr>
          <w:rFonts w:hint="eastAsia" w:ascii="宋体" w:hAnsi="宋体" w:cs="宋体"/>
          <w:bCs/>
          <w:color w:val="auto"/>
          <w:sz w:val="24"/>
          <w:szCs w:val="24"/>
          <w:highlight w:val="none"/>
        </w:rPr>
      </w:pPr>
      <w:r>
        <w:rPr>
          <w:rFonts w:hint="eastAsia" w:ascii="宋体" w:hAnsi="宋体" w:eastAsia="宋体" w:cs="宋体"/>
          <w:b/>
          <w:color w:val="auto"/>
          <w:spacing w:val="-1"/>
          <w:sz w:val="24"/>
          <w:szCs w:val="24"/>
          <w:highlight w:val="none"/>
        </w:rPr>
        <w:t xml:space="preserve">类似业绩一览表</w:t>
      </w:r>
      <w:r/>
    </w:p>
    <w:tbl>
      <w:tblPr>
        <w:tblStyle w:val="720"/>
        <w:tblW w:w="93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32"/>
        <w:gridCol w:w="3452"/>
        <w:gridCol w:w="2126"/>
        <w:gridCol w:w="1843"/>
        <w:gridCol w:w="943"/>
      </w:tblGrid>
      <w:tr>
        <w:trPr>
          <w:jc w:val="center"/>
          <w:trHeight w:val="510"/>
        </w:trPr>
        <w:tc>
          <w:tcPr>
            <w:tcW w:w="1032"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en-US" w:bidi="ar-SA"/>
              </w:rPr>
              <w:t xml:space="preserve">序</w:t>
            </w:r>
            <w:r>
              <w:rPr>
                <w:rFonts w:hint="eastAsia" w:ascii="宋体" w:hAnsi="宋体" w:eastAsia="宋体" w:cs="宋体"/>
                <w:color w:val="auto"/>
                <w:spacing w:val="-1"/>
                <w:sz w:val="24"/>
                <w:szCs w:val="24"/>
                <w:highlight w:val="none"/>
                <w:lang w:val="en-US" w:eastAsia="en-US" w:bidi="ar-SA"/>
              </w:rPr>
              <w:t xml:space="preserve">号</w:t>
            </w:r>
            <w:r/>
          </w:p>
        </w:tc>
        <w:tc>
          <w:tcPr>
            <w:tcW w:w="3452"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lang w:val="en-US" w:eastAsia="en-US" w:bidi="ar-SA"/>
              </w:rPr>
              <w:t xml:space="preserve">项</w:t>
            </w:r>
            <w:r>
              <w:rPr>
                <w:rFonts w:hint="eastAsia" w:ascii="宋体" w:hAnsi="宋体" w:eastAsia="宋体" w:cs="宋体"/>
                <w:color w:val="auto"/>
                <w:spacing w:val="-2"/>
                <w:sz w:val="24"/>
                <w:szCs w:val="24"/>
                <w:highlight w:val="none"/>
                <w:lang w:val="en-US" w:eastAsia="en-US" w:bidi="ar-SA"/>
              </w:rPr>
              <w:t xml:space="preserve">目名称</w:t>
            </w:r>
            <w:r/>
          </w:p>
        </w:tc>
        <w:tc>
          <w:tcPr>
            <w:tcW w:w="2126"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en-US" w:bidi="ar-SA"/>
              </w:rPr>
              <w:t xml:space="preserve">合</w:t>
            </w:r>
            <w:r>
              <w:rPr>
                <w:rFonts w:hint="eastAsia" w:ascii="宋体" w:hAnsi="宋体" w:eastAsia="宋体" w:cs="宋体"/>
                <w:color w:val="auto"/>
                <w:spacing w:val="-1"/>
                <w:sz w:val="24"/>
                <w:szCs w:val="24"/>
                <w:highlight w:val="none"/>
                <w:lang w:val="en-US" w:eastAsia="en-US" w:bidi="ar-SA"/>
              </w:rPr>
              <w:t xml:space="preserve">同签订时间</w:t>
            </w:r>
            <w:r/>
          </w:p>
        </w:tc>
        <w:tc>
          <w:tcPr>
            <w:tcW w:w="1843" w:type="dxa"/>
            <w:vAlign w:val="center"/>
            <w:textDirection w:val="lrTb"/>
            <w:noWrap w:val="false"/>
          </w:tcPr>
          <w:p>
            <w:pPr>
              <w:jc w:val="center"/>
              <w:widowControl w:val="off"/>
              <w:rPr>
                <w:rFonts w:hint="eastAsia" w:ascii="宋体" w:hAnsi="宋体" w:eastAsia="宋体" w:cs="宋体"/>
                <w:color w:val="auto"/>
                <w:spacing w:val="12"/>
                <w:sz w:val="24"/>
                <w:szCs w:val="24"/>
                <w:highlight w:val="none"/>
              </w:rPr>
            </w:pPr>
            <w:r>
              <w:rPr>
                <w:rFonts w:hint="eastAsia" w:ascii="宋体" w:hAnsi="宋体" w:eastAsia="宋体" w:cs="宋体"/>
                <w:color w:val="auto"/>
                <w:spacing w:val="15"/>
                <w:sz w:val="24"/>
                <w:szCs w:val="24"/>
                <w:highlight w:val="none"/>
                <w:lang w:val="en-US" w:eastAsia="en-US" w:bidi="ar-SA"/>
              </w:rPr>
              <w:t xml:space="preserve">合</w:t>
            </w:r>
            <w:r>
              <w:rPr>
                <w:rFonts w:hint="eastAsia" w:ascii="宋体" w:hAnsi="宋体" w:eastAsia="宋体" w:cs="宋体"/>
                <w:color w:val="auto"/>
                <w:spacing w:val="12"/>
                <w:sz w:val="24"/>
                <w:szCs w:val="24"/>
                <w:highlight w:val="none"/>
                <w:lang w:val="en-US" w:eastAsia="en-US" w:bidi="ar-SA"/>
              </w:rPr>
              <w:t xml:space="preserve">同金额</w:t>
            </w:r>
            <w:r/>
          </w:p>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en-US" w:bidi="ar-SA"/>
              </w:rPr>
              <w:t xml:space="preserve">（万元）</w:t>
            </w:r>
            <w:r/>
          </w:p>
        </w:tc>
        <w:tc>
          <w:tcPr>
            <w:tcW w:w="943"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lang w:val="en-US" w:eastAsia="en-US" w:bidi="ar-SA"/>
              </w:rPr>
              <w:t xml:space="preserve">备</w:t>
            </w:r>
            <w:r>
              <w:rPr>
                <w:rFonts w:hint="eastAsia" w:ascii="宋体" w:hAnsi="宋体" w:eastAsia="宋体" w:cs="宋体"/>
                <w:color w:val="auto"/>
                <w:spacing w:val="-2"/>
                <w:sz w:val="24"/>
                <w:szCs w:val="24"/>
                <w:highlight w:val="none"/>
                <w:lang w:val="en-US" w:eastAsia="en-US" w:bidi="ar-SA"/>
              </w:rPr>
              <w:t xml:space="preserve">注</w:t>
            </w:r>
            <w:r/>
          </w:p>
        </w:tc>
      </w:tr>
      <w:tr>
        <w:trPr>
          <w:jc w:val="center"/>
          <w:trHeight w:val="510"/>
        </w:trPr>
        <w:tc>
          <w:tcPr>
            <w:tcW w:w="1032"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1</w:t>
            </w:r>
            <w:r/>
          </w:p>
        </w:tc>
        <w:tc>
          <w:tcPr>
            <w:tcW w:w="3452"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3"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10"/>
        </w:trPr>
        <w:tc>
          <w:tcPr>
            <w:tcW w:w="1032"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2</w:t>
            </w:r>
            <w:r/>
          </w:p>
        </w:tc>
        <w:tc>
          <w:tcPr>
            <w:tcW w:w="3452"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3"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10"/>
        </w:trPr>
        <w:tc>
          <w:tcPr>
            <w:tcW w:w="1032"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3</w:t>
            </w:r>
            <w:r/>
          </w:p>
        </w:tc>
        <w:tc>
          <w:tcPr>
            <w:tcW w:w="3452"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3"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10"/>
        </w:trPr>
        <w:tc>
          <w:tcPr>
            <w:tcW w:w="1032"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4</w:t>
            </w:r>
            <w:r/>
          </w:p>
        </w:tc>
        <w:tc>
          <w:tcPr>
            <w:tcW w:w="3452"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3"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10"/>
        </w:trPr>
        <w:tc>
          <w:tcPr>
            <w:tcW w:w="1032"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5</w:t>
            </w:r>
            <w:r/>
          </w:p>
        </w:tc>
        <w:tc>
          <w:tcPr>
            <w:tcW w:w="3452"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3"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10"/>
        </w:trPr>
        <w:tc>
          <w:tcPr>
            <w:tcW w:w="1032"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w:t>
            </w:r>
            <w:r/>
          </w:p>
        </w:tc>
        <w:tc>
          <w:tcPr>
            <w:tcW w:w="3452"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3"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供应商名称：（盖章）</w:t>
      </w:r>
      <w:r/>
    </w:p>
    <w:p>
      <w:pPr>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法定代表人或被授权人：（签字或盖章）</w:t>
      </w:r>
      <w:r/>
    </w:p>
    <w:p>
      <w:pPr>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日期：    年    月    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spacing w:line="360" w:lineRule="auto"/>
        <w:widowControl/>
        <w:rPr>
          <w:rFonts w:hint="eastAsia" w:ascii="宋体" w:hAnsi="宋体" w:cs="宋体"/>
          <w:b/>
          <w:bCs/>
          <w:color w:val="auto"/>
          <w:sz w:val="24"/>
          <w:szCs w:val="24"/>
          <w:highlight w:val="none"/>
        </w:rPr>
      </w:pPr>
      <w:r>
        <w:rPr>
          <w:rFonts w:hint="eastAsia" w:ascii="宋体" w:hAnsi="宋体" w:cs="宋体"/>
          <w:b/>
          <w:color w:val="auto"/>
          <w:szCs w:val="21"/>
          <w:highlight w:val="none"/>
        </w:rPr>
        <w:br w:type="page" w:clear="all"/>
      </w:r>
      <w:r>
        <w:rPr>
          <w:rFonts w:hint="eastAsia" w:ascii="宋体" w:hAnsi="宋体" w:eastAsia="宋体" w:cs="宋体"/>
          <w:b/>
          <w:bCs/>
          <w:color w:val="auto"/>
          <w:sz w:val="24"/>
          <w:szCs w:val="24"/>
          <w:highlight w:val="none"/>
        </w:rPr>
        <w:t xml:space="preserve">9、资格证明文件</w:t>
      </w:r>
      <w:r/>
    </w:p>
    <w:p>
      <w:pPr>
        <w:jc w:val="left"/>
        <w:spacing w:line="360" w:lineRule="auto"/>
        <w:rPr>
          <w:rFonts w:hint="eastAsia" w:ascii="宋体" w:hAnsi="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（1）关于资格文件的声明函</w:t>
      </w:r>
      <w:r/>
    </w:p>
    <w:p>
      <w:pPr>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360" w:lineRule="auto"/>
        <w:rPr>
          <w:rFonts w:hint="eastAsia" w:ascii="宋体" w:hAnsi="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关于资格文件的声明函</w:t>
      </w:r>
      <w:r/>
    </w:p>
    <w:p>
      <w:pPr>
        <w:jc w:val="left"/>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jc w:val="left"/>
        <w:spacing w:line="360" w:lineRule="auto"/>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rPr>
        <w:t xml:space="preserve">本公司愿就由贵公司组织实施的编号为</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号的磋商活动进行商务磋商。本公司所提交的商务、技术及报价文件中所有关于磋商资格的文件、证明和陈述均是真实的、准确的。若与真实情况不符，本公司愿意承担由此而产生的一切后果。</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供应商：（单位盖章）</w:t>
      </w:r>
      <w:r/>
    </w:p>
    <w:p>
      <w:pPr>
        <w:jc w:val="left"/>
        <w:spacing w:line="360" w:lineRule="auto"/>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法定代表人或授权代理人：（签字或盖章）</w:t>
      </w:r>
      <w:r/>
    </w:p>
    <w:p>
      <w:pPr>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b/>
          <w:bCs/>
          <w:color w:val="auto"/>
          <w:sz w:val="24"/>
          <w:szCs w:val="24"/>
          <w:highlight w:val="none"/>
        </w:rPr>
        <w:outlineLvl w:val="9"/>
      </w:pPr>
      <w:r>
        <w:rPr>
          <w:rFonts w:hint="eastAsia" w:ascii="宋体" w:hAnsi="宋体" w:cs="宋体"/>
          <w:color w:val="auto"/>
          <w:szCs w:val="21"/>
          <w:highlight w:val="none"/>
        </w:rPr>
        <w:br w:type="page" w:clear="all"/>
      </w:r>
      <w:r>
        <w:rPr>
          <w:rFonts w:hint="eastAsia" w:ascii="宋体" w:hAnsi="宋体" w:eastAsia="宋体" w:cs="宋体"/>
          <w:b/>
          <w:bCs/>
          <w:color w:val="auto"/>
          <w:sz w:val="24"/>
          <w:szCs w:val="24"/>
          <w:highlight w:val="none"/>
        </w:rPr>
        <w:t xml:space="preserve">（2）响应单位情况表</w:t>
      </w:r>
      <w:r/>
    </w:p>
    <w:p>
      <w:pPr>
        <w:jc w:val="center"/>
        <w:spacing w:line="360" w:lineRule="auto"/>
        <w:rPr>
          <w:rFonts w:hint="eastAsia" w:ascii="宋体" w:hAnsi="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响应单位情况表</w:t>
      </w:r>
      <w:r/>
    </w:p>
    <w:p>
      <w:pPr>
        <w:pStyle w:val="1059"/>
        <w:ind w:firstLine="480"/>
        <w:jc w:val="both"/>
        <w:spacing w:line="360" w:lineRule="auto"/>
        <w:widowControl w:val="off"/>
        <w:rPr>
          <w:rStyle w:val="1055"/>
          <w:rFonts w:hint="eastAsia" w:ascii="宋体" w:hAnsi="宋体" w:cs="宋体"/>
          <w:color w:val="auto"/>
          <w:highlight w:val="none"/>
        </w:rPr>
      </w:pPr>
      <w:r>
        <w:rPr>
          <w:rStyle w:val="1055"/>
          <w:rFonts w:ascii="宋体" w:hAnsi="宋体" w:eastAsia="宋体" w:cs="宋体"/>
          <w:color w:val="auto"/>
          <w:highlight w:val="none"/>
        </w:rPr>
        <w:t xml:space="preserve">单位名称（盖章）</w:t>
      </w:r>
      <w:r/>
    </w:p>
    <w:tbl>
      <w:tblPr>
        <w:tblStyle w:val="720"/>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719"/>
        <w:gridCol w:w="1796"/>
        <w:gridCol w:w="1461"/>
        <w:gridCol w:w="2056"/>
        <w:gridCol w:w="1236"/>
      </w:tblGrid>
      <w:tr>
        <w:trPr>
          <w:cantSplit/>
          <w:jc w:val="center"/>
          <w:trHeight w:val="510"/>
        </w:trPr>
        <w:tc>
          <w:tcPr>
            <w:tcW w:w="2719" w:type="dxa"/>
            <w:vAlign w:val="center"/>
            <w:textDirection w:val="lrTb"/>
            <w:noWrap w:val="false"/>
          </w:tcPr>
          <w:p>
            <w:pPr>
              <w:pStyle w:val="1059"/>
              <w:ind w:firstLine="0"/>
              <w:jc w:val="both"/>
              <w:widowControl w:val="off"/>
              <w:rPr>
                <w:rStyle w:val="1055"/>
                <w:rFonts w:hint="eastAsia" w:ascii="宋体" w:hAnsi="宋体" w:eastAsia="楷体_GB2312" w:cs="宋体"/>
                <w:color w:val="auto"/>
                <w:sz w:val="24"/>
                <w:szCs w:val="20"/>
                <w:highlight w:val="none"/>
              </w:rPr>
            </w:pPr>
            <w:r>
              <w:rPr>
                <w:rStyle w:val="1055"/>
                <w:rFonts w:ascii="宋体" w:hAnsi="宋体" w:eastAsia="宋体" w:cs="宋体"/>
                <w:color w:val="auto"/>
                <w:sz w:val="24"/>
                <w:szCs w:val="20"/>
                <w:highlight w:val="none"/>
                <w:lang w:val="en-US" w:eastAsia="en-US" w:bidi="ar-SA"/>
              </w:rPr>
              <w:t xml:space="preserve">法定代表人</w:t>
            </w:r>
            <w:r/>
          </w:p>
        </w:tc>
        <w:tc>
          <w:tcPr>
            <w:tcW w:w="1796" w:type="dxa"/>
            <w:vAlign w:val="top"/>
            <w:textDirection w:val="lrTb"/>
            <w:noWrap w:val="false"/>
          </w:tcPr>
          <w:p>
            <w:pPr>
              <w:pStyle w:val="1059"/>
              <w:ind w:firstLine="0"/>
              <w:jc w:val="left"/>
              <w:widowControl w:val="off"/>
              <w:rPr>
                <w:rStyle w:val="1055"/>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c>
          <w:tcPr>
            <w:tcW w:w="1461" w:type="dxa"/>
            <w:vAlign w:val="center"/>
            <w:textDirection w:val="lrTb"/>
            <w:noWrap w:val="false"/>
          </w:tcPr>
          <w:p>
            <w:pPr>
              <w:pStyle w:val="1059"/>
              <w:ind w:firstLine="0"/>
              <w:jc w:val="both"/>
              <w:widowControl w:val="off"/>
              <w:rPr>
                <w:rStyle w:val="1055"/>
                <w:rFonts w:hint="eastAsia" w:ascii="宋体" w:hAnsi="宋体" w:eastAsia="楷体_GB2312" w:cs="宋体"/>
                <w:color w:val="auto"/>
                <w:sz w:val="24"/>
                <w:szCs w:val="20"/>
                <w:highlight w:val="none"/>
              </w:rPr>
            </w:pPr>
            <w:r>
              <w:rPr>
                <w:rStyle w:val="1055"/>
                <w:rFonts w:ascii="宋体" w:hAnsi="宋体" w:eastAsia="宋体" w:cs="宋体"/>
                <w:color w:val="auto"/>
                <w:sz w:val="24"/>
                <w:szCs w:val="20"/>
                <w:highlight w:val="none"/>
                <w:lang w:val="en-US" w:eastAsia="en-US" w:bidi="ar-SA"/>
              </w:rPr>
              <w:t xml:space="preserve">成立日期</w:t>
            </w:r>
            <w:r/>
          </w:p>
        </w:tc>
        <w:tc>
          <w:tcPr>
            <w:gridSpan w:val="2"/>
            <w:tcW w:w="3292" w:type="dxa"/>
            <w:vAlign w:val="top"/>
            <w:textDirection w:val="lrTb"/>
            <w:noWrap w:val="false"/>
          </w:tcPr>
          <w:p>
            <w:pPr>
              <w:pStyle w:val="1059"/>
              <w:ind w:firstLine="0"/>
              <w:jc w:val="left"/>
              <w:widowControl w:val="off"/>
              <w:rPr>
                <w:rStyle w:val="1055"/>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r>
      <w:tr>
        <w:trPr>
          <w:cantSplit/>
          <w:jc w:val="center"/>
          <w:trHeight w:val="510"/>
        </w:trPr>
        <w:tc>
          <w:tcPr>
            <w:tcW w:w="2719" w:type="dxa"/>
            <w:vAlign w:val="center"/>
            <w:textDirection w:val="lrTb"/>
            <w:noWrap w:val="false"/>
          </w:tcPr>
          <w:p>
            <w:pPr>
              <w:pStyle w:val="1059"/>
              <w:ind w:firstLine="0"/>
              <w:jc w:val="both"/>
              <w:widowControl w:val="off"/>
              <w:rPr>
                <w:rStyle w:val="1055"/>
                <w:rFonts w:hint="eastAsia" w:ascii="宋体" w:hAnsi="宋体" w:eastAsia="楷体_GB2312" w:cs="宋体"/>
                <w:color w:val="auto"/>
                <w:sz w:val="24"/>
                <w:szCs w:val="20"/>
                <w:highlight w:val="none"/>
              </w:rPr>
            </w:pPr>
            <w:r>
              <w:rPr>
                <w:rStyle w:val="1055"/>
                <w:rFonts w:ascii="宋体" w:hAnsi="宋体" w:eastAsia="宋体" w:cs="宋体"/>
                <w:color w:val="auto"/>
                <w:sz w:val="24"/>
                <w:szCs w:val="20"/>
                <w:highlight w:val="none"/>
                <w:lang w:val="en-US" w:eastAsia="en-US" w:bidi="ar-SA"/>
              </w:rPr>
              <w:t xml:space="preserve">企业地址</w:t>
            </w:r>
            <w:r/>
          </w:p>
        </w:tc>
        <w:tc>
          <w:tcPr>
            <w:tcW w:w="1796" w:type="dxa"/>
            <w:vAlign w:val="top"/>
            <w:textDirection w:val="lrTb"/>
            <w:noWrap w:val="false"/>
          </w:tcPr>
          <w:p>
            <w:pPr>
              <w:pStyle w:val="1059"/>
              <w:ind w:firstLine="0"/>
              <w:jc w:val="left"/>
              <w:widowControl w:val="off"/>
              <w:rPr>
                <w:rStyle w:val="1055"/>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c>
          <w:tcPr>
            <w:tcW w:w="1461" w:type="dxa"/>
            <w:vAlign w:val="center"/>
            <w:textDirection w:val="lrTb"/>
            <w:noWrap w:val="false"/>
          </w:tcPr>
          <w:p>
            <w:pPr>
              <w:pStyle w:val="1059"/>
              <w:ind w:firstLine="0"/>
              <w:jc w:val="both"/>
              <w:widowControl w:val="off"/>
              <w:rPr>
                <w:rStyle w:val="1055"/>
                <w:rFonts w:hint="eastAsia" w:ascii="宋体" w:hAnsi="宋体" w:eastAsia="楷体_GB2312" w:cs="宋体"/>
                <w:color w:val="auto"/>
                <w:sz w:val="24"/>
                <w:szCs w:val="20"/>
                <w:highlight w:val="none"/>
              </w:rPr>
            </w:pPr>
            <w:r>
              <w:rPr>
                <w:rStyle w:val="1055"/>
                <w:rFonts w:ascii="宋体" w:hAnsi="宋体" w:eastAsia="宋体" w:cs="宋体"/>
                <w:color w:val="auto"/>
                <w:sz w:val="24"/>
                <w:szCs w:val="20"/>
                <w:highlight w:val="none"/>
                <w:lang w:val="en-US" w:eastAsia="en-US" w:bidi="ar-SA"/>
              </w:rPr>
              <w:t xml:space="preserve">注册资本</w:t>
            </w:r>
            <w:r/>
          </w:p>
        </w:tc>
        <w:tc>
          <w:tcPr>
            <w:gridSpan w:val="2"/>
            <w:tcW w:w="3292" w:type="dxa"/>
            <w:vAlign w:val="center"/>
            <w:textDirection w:val="lrTb"/>
            <w:noWrap w:val="false"/>
          </w:tcPr>
          <w:p>
            <w:pPr>
              <w:pStyle w:val="1059"/>
              <w:ind w:firstLine="2160"/>
              <w:jc w:val="center"/>
              <w:widowControl w:val="off"/>
              <w:rPr>
                <w:rStyle w:val="1055"/>
                <w:rFonts w:hint="eastAsia" w:ascii="宋体" w:hAnsi="宋体" w:eastAsia="楷体_GB2312" w:cs="宋体"/>
                <w:color w:val="auto"/>
                <w:sz w:val="24"/>
                <w:szCs w:val="20"/>
                <w:highlight w:val="none"/>
              </w:rPr>
            </w:pPr>
            <w:r>
              <w:rPr>
                <w:rStyle w:val="1055"/>
                <w:rFonts w:ascii="宋体" w:hAnsi="宋体" w:eastAsia="宋体" w:cs="宋体"/>
                <w:color w:val="auto"/>
                <w:sz w:val="24"/>
                <w:szCs w:val="20"/>
                <w:highlight w:val="none"/>
                <w:lang w:val="en-US" w:eastAsia="en-US" w:bidi="ar-SA"/>
              </w:rPr>
              <w:t xml:space="preserve">万元</w:t>
            </w:r>
            <w:r/>
          </w:p>
        </w:tc>
      </w:tr>
      <w:tr>
        <w:trPr>
          <w:cantSplit/>
          <w:jc w:val="center"/>
          <w:trHeight w:val="510"/>
        </w:trPr>
        <w:tc>
          <w:tcPr>
            <w:tcW w:w="2719" w:type="dxa"/>
            <w:vAlign w:val="center"/>
            <w:textDirection w:val="lrTb"/>
            <w:noWrap w:val="false"/>
          </w:tcPr>
          <w:p>
            <w:pPr>
              <w:pStyle w:val="1059"/>
              <w:ind w:firstLine="0"/>
              <w:jc w:val="both"/>
              <w:widowControl w:val="off"/>
              <w:rPr>
                <w:rStyle w:val="1055"/>
                <w:rFonts w:hint="eastAsia" w:ascii="宋体" w:hAnsi="宋体" w:eastAsia="楷体_GB2312" w:cs="宋体"/>
                <w:color w:val="auto"/>
                <w:sz w:val="24"/>
                <w:szCs w:val="20"/>
                <w:highlight w:val="none"/>
              </w:rPr>
            </w:pPr>
            <w:r>
              <w:rPr>
                <w:rStyle w:val="1055"/>
                <w:rFonts w:ascii="宋体" w:hAnsi="宋体" w:eastAsia="宋体" w:cs="宋体"/>
                <w:color w:val="auto"/>
                <w:sz w:val="24"/>
                <w:szCs w:val="20"/>
                <w:highlight w:val="none"/>
                <w:lang w:val="en-US" w:eastAsia="en-US" w:bidi="ar-SA"/>
              </w:rPr>
              <w:t xml:space="preserve">经营范围</w:t>
            </w:r>
            <w:r/>
          </w:p>
        </w:tc>
        <w:tc>
          <w:tcPr>
            <w:gridSpan w:val="4"/>
            <w:tcW w:w="6549" w:type="dxa"/>
            <w:vAlign w:val="top"/>
            <w:textDirection w:val="lrTb"/>
            <w:noWrap w:val="false"/>
          </w:tcPr>
          <w:p>
            <w:pPr>
              <w:pStyle w:val="1059"/>
              <w:ind w:firstLine="0"/>
              <w:jc w:val="left"/>
              <w:widowControl w:val="off"/>
              <w:rPr>
                <w:rStyle w:val="1055"/>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r>
      <w:tr>
        <w:trPr>
          <w:cantSplit/>
          <w:jc w:val="center"/>
          <w:trHeight w:val="510"/>
        </w:trPr>
        <w:tc>
          <w:tcPr>
            <w:tcW w:w="2719" w:type="dxa"/>
            <w:vAlign w:val="center"/>
            <w:textDirection w:val="lrTb"/>
            <w:noWrap w:val="false"/>
          </w:tcPr>
          <w:p>
            <w:pPr>
              <w:pStyle w:val="1059"/>
              <w:ind w:firstLine="0"/>
              <w:jc w:val="both"/>
              <w:widowControl w:val="off"/>
              <w:rPr>
                <w:rStyle w:val="1055"/>
                <w:rFonts w:hint="eastAsia" w:ascii="宋体" w:hAnsi="宋体" w:eastAsia="楷体_GB2312" w:cs="宋体"/>
                <w:color w:val="auto"/>
                <w:sz w:val="24"/>
                <w:szCs w:val="20"/>
                <w:highlight w:val="none"/>
              </w:rPr>
            </w:pPr>
            <w:r>
              <w:rPr>
                <w:rStyle w:val="1055"/>
                <w:rFonts w:ascii="宋体" w:hAnsi="宋体" w:eastAsia="宋体" w:cs="宋体"/>
                <w:color w:val="auto"/>
                <w:sz w:val="24"/>
                <w:szCs w:val="20"/>
                <w:highlight w:val="none"/>
                <w:lang w:val="en-US" w:eastAsia="en-US" w:bidi="ar-SA"/>
              </w:rPr>
              <w:t xml:space="preserve">职工人数</w:t>
            </w:r>
            <w:r/>
          </w:p>
        </w:tc>
        <w:tc>
          <w:tcPr>
            <w:tcW w:w="1796" w:type="dxa"/>
            <w:vAlign w:val="top"/>
            <w:textDirection w:val="lrTb"/>
            <w:noWrap w:val="false"/>
          </w:tcPr>
          <w:p>
            <w:pPr>
              <w:pStyle w:val="1059"/>
              <w:ind w:firstLine="0"/>
              <w:jc w:val="left"/>
              <w:widowControl w:val="off"/>
              <w:rPr>
                <w:rStyle w:val="1055"/>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c>
          <w:tcPr>
            <w:gridSpan w:val="2"/>
            <w:tcW w:w="3517" w:type="dxa"/>
            <w:vAlign w:val="center"/>
            <w:textDirection w:val="lrTb"/>
            <w:noWrap w:val="false"/>
          </w:tcPr>
          <w:p>
            <w:pPr>
              <w:pStyle w:val="1059"/>
              <w:ind w:firstLine="0"/>
              <w:jc w:val="center"/>
              <w:widowControl w:val="off"/>
              <w:rPr>
                <w:rStyle w:val="1055"/>
                <w:rFonts w:hint="eastAsia" w:ascii="宋体" w:hAnsi="宋体" w:eastAsia="楷体_GB2312" w:cs="宋体"/>
                <w:color w:val="auto"/>
                <w:sz w:val="24"/>
                <w:szCs w:val="20"/>
                <w:highlight w:val="none"/>
              </w:rPr>
            </w:pPr>
            <w:r>
              <w:rPr>
                <w:rStyle w:val="1055"/>
                <w:rFonts w:ascii="宋体" w:hAnsi="宋体" w:eastAsia="宋体" w:cs="宋体"/>
                <w:color w:val="auto"/>
                <w:sz w:val="24"/>
                <w:szCs w:val="20"/>
                <w:highlight w:val="none"/>
                <w:lang w:val="en-US" w:eastAsia="en-US" w:bidi="ar-SA"/>
              </w:rPr>
              <w:t xml:space="preserve">其中：有中高级以上职称的人数</w:t>
            </w:r>
            <w:r/>
          </w:p>
        </w:tc>
        <w:tc>
          <w:tcPr>
            <w:tcW w:w="1236" w:type="dxa"/>
            <w:vAlign w:val="top"/>
            <w:textDirection w:val="lrTb"/>
            <w:noWrap w:val="false"/>
          </w:tcPr>
          <w:p>
            <w:pPr>
              <w:pStyle w:val="1059"/>
              <w:ind w:firstLine="0"/>
              <w:jc w:val="left"/>
              <w:widowControl w:val="off"/>
              <w:rPr>
                <w:rStyle w:val="1055"/>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r>
      <w:tr>
        <w:trPr>
          <w:cantSplit/>
          <w:jc w:val="center"/>
          <w:trHeight w:val="510"/>
        </w:trPr>
        <w:tc>
          <w:tcPr>
            <w:tcW w:w="2719" w:type="dxa"/>
            <w:vAlign w:val="center"/>
            <w:textDirection w:val="lrTb"/>
            <w:noWrap w:val="false"/>
          </w:tcPr>
          <w:p>
            <w:pPr>
              <w:pStyle w:val="1059"/>
              <w:ind w:firstLine="0"/>
              <w:jc w:val="both"/>
              <w:widowControl w:val="off"/>
              <w:rPr>
                <w:rStyle w:val="1055"/>
                <w:rFonts w:hint="eastAsia" w:ascii="宋体" w:hAnsi="宋体" w:eastAsia="楷体_GB2312" w:cs="宋体"/>
                <w:color w:val="auto"/>
                <w:sz w:val="24"/>
                <w:szCs w:val="20"/>
                <w:highlight w:val="none"/>
              </w:rPr>
            </w:pPr>
            <w:r>
              <w:rPr>
                <w:rStyle w:val="1055"/>
                <w:rFonts w:ascii="宋体" w:hAnsi="宋体" w:eastAsia="宋体" w:cs="宋体"/>
                <w:color w:val="auto"/>
                <w:sz w:val="24"/>
                <w:szCs w:val="20"/>
                <w:highlight w:val="none"/>
                <w:lang w:val="en-US" w:eastAsia="en-US" w:bidi="ar-SA"/>
              </w:rPr>
              <w:t xml:space="preserve">资产总计</w:t>
            </w:r>
            <w:r/>
          </w:p>
        </w:tc>
        <w:tc>
          <w:tcPr>
            <w:tcW w:w="1796" w:type="dxa"/>
            <w:vAlign w:val="center"/>
            <w:textDirection w:val="lrTb"/>
            <w:noWrap w:val="false"/>
          </w:tcPr>
          <w:p>
            <w:pPr>
              <w:pStyle w:val="1059"/>
              <w:ind w:firstLine="0"/>
              <w:jc w:val="center"/>
              <w:widowControl w:val="off"/>
              <w:rPr>
                <w:rStyle w:val="1055"/>
                <w:rFonts w:hint="eastAsia" w:ascii="宋体" w:hAnsi="宋体" w:eastAsia="楷体_GB2312" w:cs="宋体"/>
                <w:color w:val="auto"/>
                <w:sz w:val="24"/>
                <w:szCs w:val="20"/>
                <w:highlight w:val="none"/>
              </w:rPr>
            </w:pPr>
            <w:r>
              <w:rPr>
                <w:rStyle w:val="1055"/>
                <w:rFonts w:ascii="宋体" w:hAnsi="宋体" w:eastAsia="宋体" w:cs="宋体"/>
                <w:color w:val="auto"/>
                <w:sz w:val="24"/>
                <w:szCs w:val="20"/>
                <w:highlight w:val="none"/>
                <w:lang w:val="en-US" w:eastAsia="en-US" w:bidi="ar-SA"/>
              </w:rPr>
              <w:t xml:space="preserve">         万元</w:t>
            </w:r>
            <w:r/>
          </w:p>
        </w:tc>
        <w:tc>
          <w:tcPr>
            <w:tcW w:w="1461" w:type="dxa"/>
            <w:vAlign w:val="center"/>
            <w:textDirection w:val="lrTb"/>
            <w:noWrap w:val="false"/>
          </w:tcPr>
          <w:p>
            <w:pPr>
              <w:pStyle w:val="1059"/>
              <w:ind w:firstLine="0"/>
              <w:jc w:val="both"/>
              <w:widowControl w:val="off"/>
              <w:rPr>
                <w:rStyle w:val="1055"/>
                <w:rFonts w:hint="eastAsia" w:ascii="宋体" w:hAnsi="宋体" w:eastAsia="楷体_GB2312" w:cs="宋体"/>
                <w:color w:val="auto"/>
                <w:sz w:val="24"/>
                <w:szCs w:val="20"/>
                <w:highlight w:val="none"/>
              </w:rPr>
            </w:pPr>
            <w:r>
              <w:rPr>
                <w:rStyle w:val="1055"/>
                <w:rFonts w:ascii="宋体" w:hAnsi="宋体" w:eastAsia="宋体" w:cs="宋体"/>
                <w:color w:val="auto"/>
                <w:sz w:val="24"/>
                <w:szCs w:val="20"/>
                <w:highlight w:val="none"/>
                <w:lang w:val="en-US" w:eastAsia="en-US" w:bidi="ar-SA"/>
              </w:rPr>
              <w:t xml:space="preserve">净资产</w:t>
            </w:r>
            <w:r/>
          </w:p>
        </w:tc>
        <w:tc>
          <w:tcPr>
            <w:gridSpan w:val="2"/>
            <w:tcW w:w="3292" w:type="dxa"/>
            <w:vAlign w:val="center"/>
            <w:textDirection w:val="lrTb"/>
            <w:noWrap w:val="false"/>
          </w:tcPr>
          <w:p>
            <w:pPr>
              <w:pStyle w:val="1059"/>
              <w:ind w:firstLine="0"/>
              <w:jc w:val="center"/>
              <w:widowControl w:val="off"/>
              <w:rPr>
                <w:rStyle w:val="1055"/>
                <w:rFonts w:hint="eastAsia" w:ascii="宋体" w:hAnsi="宋体" w:eastAsia="楷体_GB2312" w:cs="宋体"/>
                <w:color w:val="auto"/>
                <w:sz w:val="24"/>
                <w:szCs w:val="20"/>
                <w:highlight w:val="none"/>
              </w:rPr>
            </w:pPr>
            <w:r>
              <w:rPr>
                <w:rStyle w:val="1055"/>
                <w:rFonts w:ascii="宋体" w:hAnsi="宋体" w:eastAsia="宋体" w:cs="宋体"/>
                <w:color w:val="auto"/>
                <w:sz w:val="24"/>
                <w:szCs w:val="20"/>
                <w:highlight w:val="none"/>
                <w:lang w:val="en-US" w:eastAsia="en-US" w:bidi="ar-SA"/>
              </w:rPr>
              <w:t xml:space="preserve">                万元</w:t>
            </w:r>
            <w:r/>
          </w:p>
        </w:tc>
      </w:tr>
      <w:tr>
        <w:trPr>
          <w:cantSplit/>
          <w:jc w:val="center"/>
          <w:trHeight w:val="510"/>
        </w:trPr>
        <w:tc>
          <w:tcPr>
            <w:tcW w:w="2719" w:type="dxa"/>
            <w:vAlign w:val="center"/>
            <w:textDirection w:val="lrTb"/>
            <w:noWrap w:val="false"/>
          </w:tcPr>
          <w:p>
            <w:pPr>
              <w:pStyle w:val="1059"/>
              <w:ind w:firstLine="0"/>
              <w:jc w:val="both"/>
              <w:widowControl w:val="off"/>
              <w:rPr>
                <w:rStyle w:val="1055"/>
                <w:rFonts w:hint="eastAsia" w:ascii="宋体" w:hAnsi="宋体" w:eastAsia="楷体_GB2312" w:cs="宋体"/>
                <w:color w:val="auto"/>
                <w:sz w:val="24"/>
                <w:szCs w:val="20"/>
                <w:highlight w:val="none"/>
              </w:rPr>
            </w:pPr>
            <w:r>
              <w:rPr>
                <w:rStyle w:val="1055"/>
                <w:rFonts w:ascii="宋体" w:hAnsi="宋体" w:eastAsia="宋体" w:cs="宋体"/>
                <w:color w:val="auto"/>
                <w:sz w:val="24"/>
                <w:szCs w:val="20"/>
                <w:highlight w:val="none"/>
                <w:lang w:val="en-US" w:eastAsia="en-US" w:bidi="ar-SA"/>
              </w:rPr>
              <w:t xml:space="preserve">股东权益</w:t>
            </w:r>
            <w:r/>
          </w:p>
        </w:tc>
        <w:tc>
          <w:tcPr>
            <w:tcW w:w="1796" w:type="dxa"/>
            <w:vAlign w:val="center"/>
            <w:textDirection w:val="lrTb"/>
            <w:noWrap w:val="false"/>
          </w:tcPr>
          <w:p>
            <w:pPr>
              <w:pStyle w:val="1059"/>
              <w:ind w:firstLine="0"/>
              <w:jc w:val="center"/>
              <w:widowControl w:val="off"/>
              <w:rPr>
                <w:rStyle w:val="1055"/>
                <w:rFonts w:hint="eastAsia" w:ascii="宋体" w:hAnsi="宋体" w:eastAsia="楷体_GB2312" w:cs="宋体"/>
                <w:color w:val="auto"/>
                <w:sz w:val="24"/>
                <w:szCs w:val="20"/>
                <w:highlight w:val="none"/>
              </w:rPr>
            </w:pPr>
            <w:r>
              <w:rPr>
                <w:rStyle w:val="1055"/>
                <w:rFonts w:ascii="宋体" w:hAnsi="宋体" w:eastAsia="宋体" w:cs="宋体"/>
                <w:color w:val="auto"/>
                <w:sz w:val="24"/>
                <w:szCs w:val="20"/>
                <w:highlight w:val="none"/>
                <w:lang w:val="en-US" w:eastAsia="en-US" w:bidi="ar-SA"/>
              </w:rPr>
              <w:t xml:space="preserve">         万元</w:t>
            </w:r>
            <w:r/>
          </w:p>
        </w:tc>
        <w:tc>
          <w:tcPr>
            <w:tcW w:w="1461" w:type="dxa"/>
            <w:vAlign w:val="center"/>
            <w:textDirection w:val="lrTb"/>
            <w:noWrap w:val="false"/>
          </w:tcPr>
          <w:p>
            <w:pPr>
              <w:pStyle w:val="1059"/>
              <w:ind w:firstLine="0"/>
              <w:jc w:val="both"/>
              <w:widowControl w:val="off"/>
              <w:rPr>
                <w:rStyle w:val="1055"/>
                <w:rFonts w:hint="eastAsia" w:ascii="宋体" w:hAnsi="宋体" w:eastAsia="楷体_GB2312" w:cs="宋体"/>
                <w:color w:val="auto"/>
                <w:sz w:val="24"/>
                <w:szCs w:val="20"/>
                <w:highlight w:val="none"/>
              </w:rPr>
            </w:pPr>
            <w:r>
              <w:rPr>
                <w:rStyle w:val="1055"/>
                <w:rFonts w:ascii="宋体" w:hAnsi="宋体" w:eastAsia="宋体" w:cs="宋体"/>
                <w:color w:val="auto"/>
                <w:sz w:val="24"/>
                <w:szCs w:val="20"/>
                <w:highlight w:val="none"/>
                <w:lang w:val="en-US" w:eastAsia="en-US" w:bidi="ar-SA"/>
              </w:rPr>
              <w:t xml:space="preserve">销售收入</w:t>
            </w:r>
            <w:r/>
          </w:p>
        </w:tc>
        <w:tc>
          <w:tcPr>
            <w:gridSpan w:val="2"/>
            <w:tcW w:w="3292" w:type="dxa"/>
            <w:vAlign w:val="center"/>
            <w:textDirection w:val="lrTb"/>
            <w:noWrap w:val="false"/>
          </w:tcPr>
          <w:p>
            <w:pPr>
              <w:pStyle w:val="1059"/>
              <w:ind w:firstLine="240"/>
              <w:jc w:val="left"/>
              <w:widowControl w:val="off"/>
              <w:rPr>
                <w:rStyle w:val="1055"/>
                <w:rFonts w:hint="eastAsia" w:ascii="宋体" w:hAnsi="宋体" w:eastAsia="楷体_GB2312" w:cs="宋体"/>
                <w:color w:val="auto"/>
                <w:sz w:val="24"/>
                <w:szCs w:val="20"/>
                <w:highlight w:val="none"/>
              </w:rPr>
            </w:pPr>
            <w:r>
              <w:rPr>
                <w:rStyle w:val="1055"/>
                <w:rFonts w:hint="eastAsia" w:ascii="宋体" w:hAnsi="宋体" w:eastAsia="宋体" w:cs="宋体"/>
                <w:color w:val="auto"/>
                <w:sz w:val="24"/>
                <w:szCs w:val="20"/>
                <w:highlight w:val="none"/>
                <w:lang w:val="en-US" w:eastAsia="zh-CN" w:bidi="ar-SA"/>
              </w:rPr>
              <w:t xml:space="preserve">2025</w:t>
            </w:r>
            <w:r>
              <w:rPr>
                <w:rStyle w:val="1055"/>
                <w:rFonts w:ascii="宋体" w:hAnsi="宋体" w:eastAsia="宋体" w:cs="宋体"/>
                <w:color w:val="auto"/>
                <w:sz w:val="24"/>
                <w:szCs w:val="20"/>
                <w:highlight w:val="none"/>
                <w:lang w:val="en-US" w:eastAsia="en-US" w:bidi="ar-SA"/>
              </w:rPr>
              <w:t xml:space="preserve">年          万元</w:t>
            </w:r>
            <w:r/>
          </w:p>
        </w:tc>
      </w:tr>
      <w:tr>
        <w:trPr>
          <w:cantSplit/>
          <w:jc w:val="center"/>
          <w:trHeight w:val="510"/>
        </w:trPr>
        <w:tc>
          <w:tcPr>
            <w:tcW w:w="2719" w:type="dxa"/>
            <w:vAlign w:val="center"/>
            <w:textDirection w:val="lrTb"/>
            <w:noWrap w:val="false"/>
          </w:tcPr>
          <w:p>
            <w:pPr>
              <w:pStyle w:val="1059"/>
              <w:ind w:firstLine="0"/>
              <w:jc w:val="both"/>
              <w:widowControl w:val="off"/>
              <w:rPr>
                <w:rStyle w:val="1055"/>
                <w:rFonts w:hint="eastAsia" w:ascii="宋体" w:hAnsi="宋体" w:eastAsia="楷体_GB2312" w:cs="宋体"/>
                <w:color w:val="auto"/>
                <w:sz w:val="24"/>
                <w:szCs w:val="20"/>
                <w:highlight w:val="none"/>
              </w:rPr>
            </w:pPr>
            <w:r>
              <w:rPr>
                <w:rStyle w:val="1055"/>
                <w:rFonts w:ascii="宋体" w:hAnsi="宋体" w:eastAsia="宋体" w:cs="宋体"/>
                <w:color w:val="auto"/>
                <w:sz w:val="24"/>
                <w:szCs w:val="20"/>
                <w:highlight w:val="none"/>
                <w:lang w:val="en-US" w:eastAsia="en-US" w:bidi="ar-SA"/>
              </w:rPr>
              <w:t xml:space="preserve">实现利润</w:t>
            </w:r>
            <w:r/>
          </w:p>
        </w:tc>
        <w:tc>
          <w:tcPr>
            <w:tcW w:w="1796" w:type="dxa"/>
            <w:vAlign w:val="center"/>
            <w:textDirection w:val="lrTb"/>
            <w:noWrap w:val="false"/>
          </w:tcPr>
          <w:p>
            <w:pPr>
              <w:pStyle w:val="1059"/>
              <w:ind w:firstLine="0"/>
              <w:jc w:val="both"/>
              <w:widowControl w:val="off"/>
              <w:rPr>
                <w:rStyle w:val="1055"/>
                <w:rFonts w:hint="eastAsia" w:ascii="宋体" w:hAnsi="宋体" w:eastAsia="楷体_GB2312" w:cs="宋体"/>
                <w:color w:val="auto"/>
                <w:sz w:val="24"/>
                <w:szCs w:val="20"/>
                <w:highlight w:val="none"/>
              </w:rPr>
            </w:pPr>
            <w:r>
              <w:rPr>
                <w:rStyle w:val="1055"/>
                <w:rFonts w:hint="eastAsia" w:ascii="宋体" w:hAnsi="宋体" w:eastAsia="宋体" w:cs="宋体"/>
                <w:color w:val="auto"/>
                <w:sz w:val="24"/>
                <w:szCs w:val="20"/>
                <w:highlight w:val="none"/>
                <w:lang w:val="en-US" w:eastAsia="zh-CN" w:bidi="ar-SA"/>
              </w:rPr>
              <w:t xml:space="preserve">2025</w:t>
            </w:r>
            <w:r>
              <w:rPr>
                <w:rStyle w:val="1055"/>
                <w:rFonts w:ascii="宋体" w:hAnsi="宋体" w:eastAsia="宋体" w:cs="宋体"/>
                <w:color w:val="auto"/>
                <w:sz w:val="24"/>
                <w:szCs w:val="20"/>
                <w:highlight w:val="none"/>
                <w:lang w:val="en-US" w:eastAsia="en-US" w:bidi="ar-SA"/>
              </w:rPr>
              <w:t xml:space="preserve">年    万元</w:t>
            </w:r>
            <w:r/>
          </w:p>
        </w:tc>
        <w:tc>
          <w:tcPr>
            <w:tcW w:w="1461" w:type="dxa"/>
            <w:vAlign w:val="top"/>
            <w:textDirection w:val="lrTb"/>
            <w:noWrap w:val="false"/>
          </w:tcPr>
          <w:p>
            <w:pPr>
              <w:pStyle w:val="1059"/>
              <w:ind w:firstLine="0"/>
              <w:jc w:val="left"/>
              <w:widowControl w:val="off"/>
              <w:rPr>
                <w:rStyle w:val="1055"/>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c>
          <w:tcPr>
            <w:gridSpan w:val="2"/>
            <w:tcW w:w="3292" w:type="dxa"/>
            <w:vAlign w:val="top"/>
            <w:textDirection w:val="lrTb"/>
            <w:noWrap w:val="false"/>
          </w:tcPr>
          <w:p>
            <w:pPr>
              <w:pStyle w:val="1059"/>
              <w:ind w:firstLine="0"/>
              <w:jc w:val="left"/>
              <w:widowControl w:val="off"/>
              <w:rPr>
                <w:rStyle w:val="1055"/>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r>
      <w:tr>
        <w:trPr>
          <w:cantSplit/>
          <w:jc w:val="center"/>
          <w:trHeight w:val="510"/>
        </w:trPr>
        <w:tc>
          <w:tcPr>
            <w:tcW w:w="2719" w:type="dxa"/>
            <w:vAlign w:val="center"/>
            <w:textDirection w:val="lrTb"/>
            <w:noWrap w:val="false"/>
          </w:tcPr>
          <w:p>
            <w:pPr>
              <w:pStyle w:val="1059"/>
              <w:ind w:firstLine="0"/>
              <w:jc w:val="center"/>
              <w:widowControl w:val="off"/>
              <w:rPr>
                <w:rStyle w:val="1055"/>
                <w:rFonts w:hint="eastAsia" w:ascii="宋体" w:hAnsi="宋体" w:eastAsia="楷体_GB2312" w:cs="宋体"/>
                <w:color w:val="auto"/>
                <w:sz w:val="24"/>
                <w:szCs w:val="20"/>
                <w:highlight w:val="none"/>
              </w:rPr>
            </w:pPr>
            <w:r>
              <w:rPr>
                <w:rStyle w:val="1055"/>
                <w:rFonts w:ascii="宋体" w:hAnsi="宋体" w:eastAsia="宋体" w:cs="宋体"/>
                <w:color w:val="auto"/>
                <w:sz w:val="24"/>
                <w:szCs w:val="20"/>
                <w:highlight w:val="none"/>
                <w:lang w:val="en-US" w:eastAsia="en-US" w:bidi="ar-SA"/>
              </w:rPr>
              <w:t xml:space="preserve">营业面积（含厂房面积）</w:t>
            </w:r>
            <w:r/>
          </w:p>
        </w:tc>
        <w:tc>
          <w:tcPr>
            <w:tcW w:w="1796" w:type="dxa"/>
            <w:vAlign w:val="center"/>
            <w:textDirection w:val="lrTb"/>
            <w:noWrap w:val="false"/>
          </w:tcPr>
          <w:p>
            <w:pPr>
              <w:pStyle w:val="1059"/>
              <w:ind w:firstLine="0"/>
              <w:jc w:val="both"/>
              <w:widowControl w:val="off"/>
              <w:rPr>
                <w:rStyle w:val="1055"/>
                <w:rFonts w:hint="eastAsia" w:ascii="宋体" w:hAnsi="宋体" w:eastAsia="楷体_GB2312" w:cs="宋体"/>
                <w:color w:val="auto"/>
                <w:sz w:val="24"/>
                <w:szCs w:val="20"/>
                <w:highlight w:val="none"/>
              </w:rPr>
            </w:pPr>
            <w:r>
              <w:rPr>
                <w:rStyle w:val="1055"/>
                <w:rFonts w:ascii="宋体" w:hAnsi="宋体" w:eastAsia="宋体" w:cs="宋体"/>
                <w:color w:val="auto"/>
                <w:sz w:val="24"/>
                <w:szCs w:val="20"/>
                <w:highlight w:val="none"/>
                <w:lang w:val="en-US" w:eastAsia="en-US" w:bidi="ar-SA"/>
              </w:rPr>
              <w:t xml:space="preserve">        平方米</w:t>
            </w:r>
            <w:r/>
          </w:p>
        </w:tc>
        <w:tc>
          <w:tcPr>
            <w:tcW w:w="1461" w:type="dxa"/>
            <w:vAlign w:val="center"/>
            <w:textDirection w:val="lrTb"/>
            <w:noWrap w:val="false"/>
          </w:tcPr>
          <w:p>
            <w:pPr>
              <w:pStyle w:val="1059"/>
              <w:ind w:firstLine="0"/>
              <w:jc w:val="both"/>
              <w:widowControl w:val="off"/>
              <w:rPr>
                <w:rStyle w:val="1055"/>
                <w:rFonts w:hint="eastAsia" w:ascii="宋体" w:hAnsi="宋体" w:eastAsia="楷体_GB2312" w:cs="宋体"/>
                <w:color w:val="auto"/>
                <w:sz w:val="24"/>
                <w:szCs w:val="20"/>
                <w:highlight w:val="none"/>
              </w:rPr>
            </w:pPr>
            <w:r>
              <w:rPr>
                <w:rStyle w:val="1055"/>
                <w:rFonts w:ascii="宋体" w:hAnsi="宋体" w:eastAsia="宋体" w:cs="宋体"/>
                <w:color w:val="auto"/>
                <w:sz w:val="24"/>
                <w:szCs w:val="20"/>
                <w:highlight w:val="none"/>
                <w:lang w:val="en-US" w:eastAsia="en-US" w:bidi="ar-SA"/>
              </w:rPr>
              <w:t xml:space="preserve">其中：</w:t>
            </w:r>
            <w:r/>
          </w:p>
        </w:tc>
        <w:tc>
          <w:tcPr>
            <w:gridSpan w:val="2"/>
            <w:tcW w:w="3292" w:type="dxa"/>
            <w:vAlign w:val="top"/>
            <w:textDirection w:val="lrTb"/>
            <w:noWrap w:val="false"/>
          </w:tcPr>
          <w:p>
            <w:pPr>
              <w:pStyle w:val="1059"/>
              <w:ind w:firstLine="0"/>
              <w:jc w:val="left"/>
              <w:widowControl w:val="off"/>
              <w:rPr>
                <w:rStyle w:val="1055"/>
                <w:rFonts w:hint="eastAsia" w:ascii="宋体" w:hAnsi="宋体" w:eastAsia="楷体_GB2312" w:cs="宋体"/>
                <w:color w:val="auto"/>
                <w:sz w:val="24"/>
                <w:szCs w:val="20"/>
                <w:highlight w:val="none"/>
              </w:rPr>
            </w:pPr>
            <w:r>
              <w:rPr>
                <w:rStyle w:val="1055"/>
                <w:rFonts w:ascii="宋体" w:hAnsi="宋体" w:eastAsia="宋体" w:cs="宋体"/>
                <w:color w:val="auto"/>
                <w:sz w:val="24"/>
                <w:szCs w:val="20"/>
                <w:highlight w:val="none"/>
                <w:lang w:val="en-US" w:eastAsia="en-US" w:bidi="ar-SA"/>
              </w:rPr>
              <w:t xml:space="preserve">自有面积         平方米</w:t>
            </w:r>
            <w:r/>
          </w:p>
          <w:p>
            <w:pPr>
              <w:pStyle w:val="1059"/>
              <w:ind w:firstLine="0"/>
              <w:jc w:val="left"/>
              <w:widowControl w:val="off"/>
              <w:rPr>
                <w:rStyle w:val="1055"/>
                <w:rFonts w:hint="eastAsia" w:ascii="宋体" w:hAnsi="宋体" w:eastAsia="楷体_GB2312" w:cs="宋体"/>
                <w:color w:val="auto"/>
                <w:sz w:val="24"/>
                <w:szCs w:val="20"/>
                <w:highlight w:val="none"/>
              </w:rPr>
            </w:pPr>
            <w:r>
              <w:rPr>
                <w:rStyle w:val="1055"/>
                <w:rFonts w:ascii="宋体" w:hAnsi="宋体" w:eastAsia="宋体" w:cs="宋体"/>
                <w:color w:val="auto"/>
                <w:sz w:val="24"/>
                <w:szCs w:val="20"/>
                <w:highlight w:val="none"/>
                <w:lang w:val="en-US" w:eastAsia="en-US" w:bidi="ar-SA"/>
              </w:rPr>
              <w:t xml:space="preserve">承租面积         平方米</w:t>
            </w:r>
            <w:r/>
          </w:p>
        </w:tc>
      </w:tr>
      <w:tr>
        <w:trPr>
          <w:cantSplit/>
          <w:jc w:val="center"/>
          <w:trHeight w:val="510"/>
        </w:trPr>
        <w:tc>
          <w:tcPr>
            <w:tcW w:w="2719" w:type="dxa"/>
            <w:vAlign w:val="center"/>
            <w:textDirection w:val="lrTb"/>
            <w:noWrap w:val="false"/>
          </w:tcPr>
          <w:p>
            <w:pPr>
              <w:pStyle w:val="1059"/>
              <w:ind w:firstLine="0"/>
              <w:jc w:val="both"/>
              <w:widowControl w:val="off"/>
              <w:rPr>
                <w:rStyle w:val="1055"/>
                <w:rFonts w:hint="eastAsia" w:ascii="宋体" w:hAnsi="宋体" w:eastAsia="楷体_GB2312" w:cs="宋体"/>
                <w:color w:val="auto"/>
                <w:sz w:val="24"/>
                <w:szCs w:val="20"/>
                <w:highlight w:val="none"/>
              </w:rPr>
            </w:pPr>
            <w:r>
              <w:rPr>
                <w:rStyle w:val="1055"/>
                <w:rFonts w:ascii="宋体" w:hAnsi="宋体" w:eastAsia="宋体" w:cs="宋体"/>
                <w:color w:val="auto"/>
                <w:sz w:val="24"/>
                <w:szCs w:val="20"/>
                <w:highlight w:val="none"/>
                <w:lang w:val="en-US" w:eastAsia="en-US" w:bidi="ar-SA"/>
              </w:rPr>
              <w:t xml:space="preserve">单位简历及内设机构情况</w:t>
            </w:r>
            <w:r/>
          </w:p>
        </w:tc>
        <w:tc>
          <w:tcPr>
            <w:gridSpan w:val="4"/>
            <w:tcW w:w="6549" w:type="dxa"/>
            <w:vAlign w:val="top"/>
            <w:textDirection w:val="lrTb"/>
            <w:noWrap w:val="false"/>
          </w:tcPr>
          <w:p>
            <w:pPr>
              <w:pStyle w:val="1059"/>
              <w:ind w:firstLine="0"/>
              <w:jc w:val="left"/>
              <w:widowControl w:val="off"/>
              <w:rPr>
                <w:rStyle w:val="1055"/>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r>
      <w:tr>
        <w:trPr>
          <w:cantSplit/>
          <w:jc w:val="center"/>
          <w:trHeight w:val="510"/>
        </w:trPr>
        <w:tc>
          <w:tcPr>
            <w:tcW w:w="2719" w:type="dxa"/>
            <w:vAlign w:val="center"/>
            <w:textDirection w:val="lrTb"/>
            <w:noWrap w:val="false"/>
          </w:tcPr>
          <w:p>
            <w:pPr>
              <w:pStyle w:val="1059"/>
              <w:ind w:firstLine="0"/>
              <w:jc w:val="both"/>
              <w:widowControl w:val="off"/>
              <w:rPr>
                <w:rStyle w:val="1055"/>
                <w:rFonts w:hint="eastAsia" w:ascii="宋体" w:hAnsi="宋体" w:eastAsia="楷体_GB2312" w:cs="宋体"/>
                <w:color w:val="auto"/>
                <w:sz w:val="24"/>
                <w:szCs w:val="20"/>
                <w:highlight w:val="none"/>
              </w:rPr>
            </w:pPr>
            <w:r>
              <w:rPr>
                <w:rStyle w:val="1055"/>
                <w:rFonts w:ascii="宋体" w:hAnsi="宋体" w:eastAsia="宋体" w:cs="宋体"/>
                <w:color w:val="auto"/>
                <w:sz w:val="24"/>
                <w:szCs w:val="20"/>
                <w:highlight w:val="none"/>
                <w:lang w:val="en-US" w:eastAsia="en-US" w:bidi="ar-SA"/>
              </w:rPr>
              <w:t xml:space="preserve">单位优势及特长</w:t>
            </w:r>
            <w:r/>
          </w:p>
        </w:tc>
        <w:tc>
          <w:tcPr>
            <w:gridSpan w:val="4"/>
            <w:tcW w:w="6549" w:type="dxa"/>
            <w:vAlign w:val="top"/>
            <w:textDirection w:val="lrTb"/>
            <w:noWrap w:val="false"/>
          </w:tcPr>
          <w:p>
            <w:pPr>
              <w:pStyle w:val="1059"/>
              <w:ind w:firstLine="0"/>
              <w:jc w:val="left"/>
              <w:widowControl w:val="off"/>
              <w:rPr>
                <w:rStyle w:val="1055"/>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r>
      <w:tr>
        <w:trPr>
          <w:cantSplit/>
          <w:jc w:val="center"/>
          <w:trHeight w:val="510"/>
        </w:trPr>
        <w:tc>
          <w:tcPr>
            <w:tcW w:w="2719" w:type="dxa"/>
            <w:vAlign w:val="center"/>
            <w:textDirection w:val="lrTb"/>
            <w:noWrap w:val="false"/>
          </w:tcPr>
          <w:p>
            <w:pPr>
              <w:pStyle w:val="1059"/>
              <w:ind w:firstLine="0"/>
              <w:jc w:val="both"/>
              <w:widowControl w:val="off"/>
              <w:rPr>
                <w:rStyle w:val="1055"/>
                <w:rFonts w:hint="eastAsia" w:ascii="宋体" w:hAnsi="宋体" w:eastAsia="楷体_GB2312" w:cs="宋体"/>
                <w:color w:val="auto"/>
                <w:sz w:val="24"/>
                <w:szCs w:val="20"/>
                <w:highlight w:val="none"/>
              </w:rPr>
            </w:pPr>
            <w:r>
              <w:rPr>
                <w:rStyle w:val="1055"/>
                <w:rFonts w:ascii="宋体" w:hAnsi="宋体" w:eastAsia="宋体" w:cs="宋体"/>
                <w:color w:val="auto"/>
                <w:sz w:val="24"/>
                <w:szCs w:val="20"/>
                <w:highlight w:val="none"/>
                <w:lang w:val="en-US" w:eastAsia="en-US" w:bidi="ar-SA"/>
              </w:rPr>
              <w:t xml:space="preserve">近三年来完成或正在履行的重大合同情况</w:t>
            </w:r>
            <w:r/>
          </w:p>
        </w:tc>
        <w:tc>
          <w:tcPr>
            <w:gridSpan w:val="4"/>
            <w:tcW w:w="6549" w:type="dxa"/>
            <w:vAlign w:val="top"/>
            <w:textDirection w:val="lrTb"/>
            <w:noWrap w:val="false"/>
          </w:tcPr>
          <w:p>
            <w:pPr>
              <w:pStyle w:val="1059"/>
              <w:ind w:firstLine="0"/>
              <w:jc w:val="left"/>
              <w:widowControl w:val="off"/>
              <w:rPr>
                <w:rStyle w:val="1055"/>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r>
      <w:tr>
        <w:trPr>
          <w:cantSplit/>
          <w:jc w:val="center"/>
          <w:trHeight w:val="510"/>
        </w:trPr>
        <w:tc>
          <w:tcPr>
            <w:tcW w:w="2719" w:type="dxa"/>
            <w:vAlign w:val="center"/>
            <w:textDirection w:val="lrTb"/>
            <w:noWrap w:val="false"/>
          </w:tcPr>
          <w:p>
            <w:pPr>
              <w:pStyle w:val="1059"/>
              <w:ind w:firstLine="0"/>
              <w:jc w:val="both"/>
              <w:widowControl w:val="off"/>
              <w:rPr>
                <w:rStyle w:val="1055"/>
                <w:rFonts w:hint="eastAsia" w:ascii="宋体" w:hAnsi="宋体" w:eastAsia="楷体_GB2312" w:cs="宋体"/>
                <w:color w:val="auto"/>
                <w:sz w:val="24"/>
                <w:szCs w:val="20"/>
                <w:highlight w:val="none"/>
              </w:rPr>
            </w:pPr>
            <w:r>
              <w:rPr>
                <w:rStyle w:val="1055"/>
                <w:rFonts w:ascii="宋体" w:hAnsi="宋体" w:eastAsia="宋体" w:cs="宋体"/>
                <w:color w:val="auto"/>
                <w:sz w:val="24"/>
                <w:szCs w:val="20"/>
                <w:highlight w:val="none"/>
                <w:lang w:val="en-US" w:eastAsia="en-US" w:bidi="ar-SA"/>
              </w:rPr>
              <w:t xml:space="preserve">最近</w:t>
            </w:r>
            <w:r>
              <w:rPr>
                <w:rStyle w:val="1055"/>
                <w:rFonts w:hint="eastAsia" w:ascii="宋体" w:hAnsi="宋体" w:eastAsia="宋体" w:cs="宋体"/>
                <w:color w:val="auto"/>
                <w:sz w:val="24"/>
                <w:szCs w:val="20"/>
                <w:highlight w:val="none"/>
                <w:lang w:val="en-US" w:eastAsia="en-US" w:bidi="ar-SA"/>
              </w:rPr>
              <w:t xml:space="preserve">3</w:t>
            </w:r>
            <w:r>
              <w:rPr>
                <w:rStyle w:val="1055"/>
                <w:rFonts w:ascii="宋体" w:hAnsi="宋体" w:eastAsia="宋体" w:cs="宋体"/>
                <w:color w:val="auto"/>
                <w:sz w:val="24"/>
                <w:szCs w:val="20"/>
                <w:highlight w:val="none"/>
                <w:lang w:val="en-US" w:eastAsia="en-US" w:bidi="ar-SA"/>
              </w:rPr>
              <w:t xml:space="preserve">年内在经营过程中受到何种奖励或处分（包括情况和结果）</w:t>
            </w:r>
            <w:r/>
          </w:p>
        </w:tc>
        <w:tc>
          <w:tcPr>
            <w:gridSpan w:val="4"/>
            <w:tcW w:w="6549" w:type="dxa"/>
            <w:vAlign w:val="top"/>
            <w:textDirection w:val="lrTb"/>
            <w:noWrap w:val="false"/>
          </w:tcPr>
          <w:p>
            <w:pPr>
              <w:pStyle w:val="1059"/>
              <w:ind w:firstLine="0"/>
              <w:jc w:val="left"/>
              <w:widowControl w:val="off"/>
              <w:rPr>
                <w:rStyle w:val="1055"/>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r>
      <w:tr>
        <w:trPr>
          <w:cantSplit/>
          <w:jc w:val="center"/>
          <w:trHeight w:val="510"/>
        </w:trPr>
        <w:tc>
          <w:tcPr>
            <w:tcW w:w="2719" w:type="dxa"/>
            <w:vAlign w:val="center"/>
            <w:textDirection w:val="lrTb"/>
            <w:noWrap w:val="false"/>
          </w:tcPr>
          <w:p>
            <w:pPr>
              <w:pStyle w:val="1059"/>
              <w:ind w:firstLine="0"/>
              <w:jc w:val="both"/>
              <w:widowControl w:val="off"/>
              <w:rPr>
                <w:rStyle w:val="1055"/>
                <w:rFonts w:hint="eastAsia" w:ascii="宋体" w:hAnsi="宋体" w:eastAsia="楷体_GB2312" w:cs="宋体"/>
                <w:color w:val="auto"/>
                <w:sz w:val="24"/>
                <w:szCs w:val="20"/>
                <w:highlight w:val="none"/>
              </w:rPr>
            </w:pPr>
            <w:r>
              <w:rPr>
                <w:rStyle w:val="1055"/>
                <w:rFonts w:ascii="宋体" w:hAnsi="宋体" w:eastAsia="宋体" w:cs="宋体"/>
                <w:color w:val="auto"/>
                <w:sz w:val="24"/>
                <w:szCs w:val="20"/>
                <w:highlight w:val="none"/>
                <w:lang w:val="en-US" w:eastAsia="en-US" w:bidi="ar-SA"/>
              </w:rPr>
              <w:t xml:space="preserve">最近3年内有无因售假、售劣或是其他原因被消费者投诉或起诉的情况及说明（包括解决方式和结果）</w:t>
            </w:r>
            <w:r/>
          </w:p>
        </w:tc>
        <w:tc>
          <w:tcPr>
            <w:gridSpan w:val="4"/>
            <w:tcW w:w="6549" w:type="dxa"/>
            <w:vAlign w:val="top"/>
            <w:textDirection w:val="lrTb"/>
            <w:noWrap w:val="false"/>
          </w:tcPr>
          <w:p>
            <w:pPr>
              <w:pStyle w:val="1059"/>
              <w:ind w:firstLine="0"/>
              <w:jc w:val="left"/>
              <w:widowControl w:val="off"/>
              <w:rPr>
                <w:rStyle w:val="1055"/>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r>
      <w:tr>
        <w:trPr>
          <w:cantSplit/>
          <w:jc w:val="center"/>
          <w:trHeight w:val="510"/>
        </w:trPr>
        <w:tc>
          <w:tcPr>
            <w:tcW w:w="2719" w:type="dxa"/>
            <w:vAlign w:val="center"/>
            <w:textDirection w:val="lrTb"/>
            <w:noWrap w:val="false"/>
          </w:tcPr>
          <w:p>
            <w:pPr>
              <w:pStyle w:val="1059"/>
              <w:ind w:firstLine="0"/>
              <w:jc w:val="both"/>
              <w:widowControl w:val="off"/>
              <w:rPr>
                <w:rStyle w:val="1055"/>
                <w:rFonts w:hint="eastAsia" w:ascii="宋体" w:hAnsi="宋体" w:eastAsia="楷体_GB2312" w:cs="宋体"/>
                <w:color w:val="auto"/>
                <w:sz w:val="24"/>
                <w:szCs w:val="20"/>
                <w:highlight w:val="none"/>
              </w:rPr>
            </w:pPr>
            <w:r>
              <w:rPr>
                <w:rStyle w:val="1055"/>
                <w:rFonts w:ascii="宋体" w:hAnsi="宋体" w:eastAsia="宋体" w:cs="宋体"/>
                <w:color w:val="auto"/>
                <w:sz w:val="24"/>
                <w:szCs w:val="20"/>
                <w:highlight w:val="none"/>
                <w:lang w:val="en-US" w:eastAsia="en-US" w:bidi="ar-SA"/>
              </w:rPr>
              <w:t xml:space="preserve">最近3年内主要负责人有无因经济犯罪被司法机关追究的情况及说明</w:t>
            </w:r>
            <w:r/>
          </w:p>
        </w:tc>
        <w:tc>
          <w:tcPr>
            <w:gridSpan w:val="4"/>
            <w:tcW w:w="6549" w:type="dxa"/>
            <w:vAlign w:val="top"/>
            <w:textDirection w:val="lrTb"/>
            <w:noWrap w:val="false"/>
          </w:tcPr>
          <w:p>
            <w:pPr>
              <w:pStyle w:val="1059"/>
              <w:ind w:firstLine="0"/>
              <w:jc w:val="left"/>
              <w:widowControl w:val="off"/>
              <w:rPr>
                <w:rStyle w:val="1055"/>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r>
      <w:tr>
        <w:trPr>
          <w:cantSplit/>
          <w:jc w:val="center"/>
          <w:trHeight w:val="510"/>
        </w:trPr>
        <w:tc>
          <w:tcPr>
            <w:tcW w:w="2719" w:type="dxa"/>
            <w:vAlign w:val="center"/>
            <w:textDirection w:val="lrTb"/>
            <w:noWrap w:val="false"/>
          </w:tcPr>
          <w:p>
            <w:pPr>
              <w:pStyle w:val="1059"/>
              <w:ind w:firstLine="0"/>
              <w:jc w:val="both"/>
              <w:widowControl w:val="off"/>
              <w:rPr>
                <w:rStyle w:val="1055"/>
                <w:rFonts w:hint="eastAsia" w:ascii="宋体" w:hAnsi="宋体" w:eastAsia="楷体_GB2312" w:cs="宋体"/>
                <w:color w:val="auto"/>
                <w:sz w:val="24"/>
                <w:szCs w:val="20"/>
                <w:highlight w:val="none"/>
              </w:rPr>
            </w:pPr>
            <w:r>
              <w:rPr>
                <w:rStyle w:val="1055"/>
                <w:rFonts w:ascii="宋体" w:hAnsi="宋体" w:eastAsia="宋体" w:cs="宋体"/>
                <w:color w:val="auto"/>
                <w:sz w:val="24"/>
                <w:szCs w:val="20"/>
                <w:highlight w:val="none"/>
                <w:lang w:val="en-US" w:eastAsia="en-US" w:bidi="ar-SA"/>
              </w:rPr>
              <w:t xml:space="preserve">获得技术认证的工程师及简介</w:t>
            </w:r>
            <w:r/>
          </w:p>
        </w:tc>
        <w:tc>
          <w:tcPr>
            <w:gridSpan w:val="4"/>
            <w:tcW w:w="6549" w:type="dxa"/>
            <w:vAlign w:val="top"/>
            <w:textDirection w:val="lrTb"/>
            <w:noWrap w:val="false"/>
          </w:tcPr>
          <w:p>
            <w:pPr>
              <w:pStyle w:val="1059"/>
              <w:ind w:firstLine="0"/>
              <w:jc w:val="left"/>
              <w:widowControl w:val="off"/>
              <w:rPr>
                <w:rStyle w:val="1055"/>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r>
      <w:tr>
        <w:trPr>
          <w:cantSplit/>
          <w:jc w:val="center"/>
          <w:trHeight w:val="510"/>
        </w:trPr>
        <w:tc>
          <w:tcPr>
            <w:tcW w:w="2719" w:type="dxa"/>
            <w:vAlign w:val="center"/>
            <w:textDirection w:val="lrTb"/>
            <w:noWrap w:val="false"/>
          </w:tcPr>
          <w:p>
            <w:pPr>
              <w:pStyle w:val="1059"/>
              <w:ind w:firstLine="0"/>
              <w:jc w:val="both"/>
              <w:widowControl w:val="off"/>
              <w:rPr>
                <w:rStyle w:val="1055"/>
                <w:rFonts w:hint="eastAsia" w:ascii="宋体" w:hAnsi="宋体" w:eastAsia="楷体_GB2312" w:cs="宋体"/>
                <w:color w:val="auto"/>
                <w:sz w:val="24"/>
                <w:szCs w:val="20"/>
                <w:highlight w:val="none"/>
              </w:rPr>
            </w:pPr>
            <w:r>
              <w:rPr>
                <w:rStyle w:val="1055"/>
                <w:rFonts w:ascii="宋体" w:hAnsi="宋体" w:eastAsia="宋体" w:cs="宋体"/>
                <w:color w:val="auto"/>
                <w:sz w:val="24"/>
                <w:szCs w:val="20"/>
                <w:highlight w:val="none"/>
                <w:lang w:val="en-US" w:eastAsia="en-US" w:bidi="ar-SA"/>
              </w:rPr>
              <w:t xml:space="preserve">其他需要说明的情况</w:t>
            </w:r>
            <w:r/>
          </w:p>
        </w:tc>
        <w:tc>
          <w:tcPr>
            <w:gridSpan w:val="4"/>
            <w:tcW w:w="6549" w:type="dxa"/>
            <w:vAlign w:val="top"/>
            <w:textDirection w:val="lrTb"/>
            <w:noWrap w:val="false"/>
          </w:tcPr>
          <w:p>
            <w:pPr>
              <w:pStyle w:val="1059"/>
              <w:ind w:firstLine="0"/>
              <w:jc w:val="left"/>
              <w:widowControl w:val="off"/>
              <w:rPr>
                <w:rStyle w:val="1055"/>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r>
    </w:tbl>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jc w:val="left"/>
        <w:spacing w:line="360" w:lineRule="auto"/>
        <w:rPr>
          <w:rFonts w:ascii="宋体" w:hAnsi="宋体" w:cs="宋体"/>
          <w:color w:val="auto"/>
          <w:highlight w:val="none"/>
        </w:rPr>
        <w:outlineLvl w:val="9"/>
      </w:pPr>
      <w:r>
        <w:rPr>
          <w:rFonts w:ascii="宋体" w:hAnsi="宋体" w:cs="宋体"/>
          <w:color w:val="auto"/>
          <w:highlight w:val="none"/>
        </w:rPr>
        <w:br w:type="page" w:clear="all"/>
      </w:r>
      <w:r>
        <w:rPr>
          <w:rFonts w:hint="eastAsia" w:ascii="宋体" w:hAnsi="宋体" w:eastAsia="宋体" w:cs="宋体"/>
          <w:b/>
          <w:bCs/>
          <w:color w:val="auto"/>
          <w:sz w:val="24"/>
          <w:szCs w:val="24"/>
          <w:highlight w:val="none"/>
        </w:rPr>
        <w:t xml:space="preserve">10、中小企业声明函</w:t>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360" w:lineRule="auto"/>
        <w:tabs>
          <w:tab w:val="left" w:pos="8930" w:leader="none"/>
          <w:tab w:val="left" w:pos="9306" w:leader="none"/>
        </w:tabs>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中小企业声明函（工程、服务）</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（单位名称）的</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2"/>
        </w:num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（标的名称），属于</w:t>
      </w:r>
      <w:r>
        <w:rPr>
          <w:rFonts w:hint="eastAsia" w:ascii="宋体" w:hAnsi="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其他未列明行业</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（采购文件中明确的所属行业）；承建（承接）企业为</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（企业名称），从业人员</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（中型企业、小型企业、微型企业）； </w:t>
      </w:r>
      <w:r/>
    </w:p>
    <w:p>
      <w:pPr>
        <w:numPr>
          <w:ilvl w:val="0"/>
          <w:numId w:val="2"/>
        </w:num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（标的名称），属于</w:t>
      </w:r>
      <w:r>
        <w:rPr>
          <w:rFonts w:hint="eastAsia" w:ascii="宋体" w:hAnsi="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其他未列明行业</w:t>
      </w:r>
      <w:r>
        <w:rPr>
          <w:rFonts w:hint="eastAsia" w:ascii="宋体" w:hAnsi="宋体" w:cs="宋体"/>
          <w:b/>
          <w:bCs/>
          <w:color w:val="auto"/>
          <w:sz w:val="24"/>
          <w:szCs w:val="24"/>
          <w:highlight w:val="none"/>
          <w:u w:val="single"/>
        </w:rPr>
        <w:t xml:space="preserve"> </w:t>
      </w:r>
      <w:r>
        <w:rPr>
          <w:rFonts w:hint="eastAsia" w:ascii="宋体" w:hAnsi="宋体" w:eastAsia="宋体" w:cs="宋体"/>
          <w:color w:val="auto"/>
          <w:sz w:val="24"/>
          <w:szCs w:val="24"/>
          <w:highlight w:val="none"/>
        </w:rPr>
        <w:t xml:space="preserve">（采购文件中明确的所属行业）；承建（承接）企业为</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（企业名称），从业人员</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（中型企业、 小型企业、微型企业）；</w:t>
      </w:r>
      <w:r/>
    </w:p>
    <w:p>
      <w:pPr>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 …… </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567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firstLine="567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07"/>
        <w:ind w:left="0"/>
        <w:rPr>
          <w:rFonts w:hint="eastAsia" w:ascii="宋体" w:hAnsi="宋体" w:cs="宋体"/>
          <w:color w:val="auto"/>
          <w:szCs w:val="21"/>
          <w:highlight w:val="none"/>
        </w:rPr>
      </w:pPr>
      <w:r>
        <w:rPr>
          <w:rFonts w:hint="eastAsia" w:ascii="宋体" w:hAnsi="宋体" w:cs="宋体"/>
          <w:color w:val="auto"/>
          <w:szCs w:val="21"/>
          <w:highlight w:val="none"/>
        </w:rPr>
      </w:r>
      <w:r/>
    </w:p>
    <w:p>
      <w:pPr>
        <w:pStyle w:val="1007"/>
        <w:ind w:left="0"/>
        <w:rPr>
          <w:rFonts w:hint="eastAsia" w:ascii="宋体" w:hAnsi="宋体" w:cs="宋体"/>
          <w:color w:val="auto"/>
          <w:szCs w:val="21"/>
          <w:highlight w:val="none"/>
        </w:rPr>
      </w:pPr>
      <w:r>
        <w:rPr>
          <w:rFonts w:hint="eastAsia" w:ascii="宋体" w:hAnsi="宋体" w:cs="宋体"/>
          <w:color w:val="auto"/>
          <w:szCs w:val="21"/>
          <w:highlight w:val="none"/>
        </w:rPr>
      </w:r>
      <w:r/>
    </w:p>
    <w:p>
      <w:pPr>
        <w:pStyle w:val="1007"/>
        <w:ind w:left="0"/>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rPr>
          <w:rFonts w:hint="eastAsia" w:ascii="宋体" w:hAnsi="宋体" w:eastAsia="宋体" w:cs="宋体"/>
          <w:b/>
          <w:color w:val="auto"/>
          <w:szCs w:val="21"/>
          <w:highlight w:val="none"/>
        </w:rPr>
        <w:t xml:space="preserve">附：中小企业划型标准规定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（一）农、林、牧、渔业。</w:t>
      </w:r>
      <w:r>
        <w:rPr>
          <w:rFonts w:hint="eastAsia" w:ascii="宋体" w:hAnsi="宋体" w:eastAsia="宋体" w:cs="宋体"/>
          <w:color w:val="auto"/>
          <w:szCs w:val="21"/>
          <w:highlight w:val="none"/>
        </w:rPr>
        <w:t xml:space="preserve">营业收入20000万元以下的为中小微型企业。其中，营业收入500万元及以上的为中型企业，营业收入50万元及以上的为小型企业，营业收入50万元以下的为微型企业。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（二）工业。</w:t>
      </w:r>
      <w:r>
        <w:rPr>
          <w:rFonts w:hint="eastAsia" w:ascii="宋体" w:hAnsi="宋体" w:eastAsia="宋体" w:cs="宋体"/>
          <w:color w:val="auto"/>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（三）建筑业。</w:t>
      </w:r>
      <w:r>
        <w:rPr>
          <w:rFonts w:hint="eastAsia" w:ascii="宋体" w:hAnsi="宋体" w:eastAsia="宋体" w:cs="宋体"/>
          <w:color w:val="auto"/>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（四）批发业。</w:t>
      </w:r>
      <w:r>
        <w:rPr>
          <w:rFonts w:hint="eastAsia" w:ascii="宋体" w:hAnsi="宋体" w:eastAsia="宋体" w:cs="宋体"/>
          <w:color w:val="auto"/>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（五）零售业。</w:t>
      </w:r>
      <w:r>
        <w:rPr>
          <w:rFonts w:hint="eastAsia" w:ascii="宋体" w:hAnsi="宋体" w:eastAsia="宋体" w:cs="宋体"/>
          <w:color w:val="auto"/>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（六）交通运输业。</w:t>
      </w:r>
      <w:r>
        <w:rPr>
          <w:rFonts w:hint="eastAsia" w:ascii="宋体" w:hAnsi="宋体" w:eastAsia="宋体" w:cs="宋体"/>
          <w:color w:val="auto"/>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（七）仓储业。</w:t>
      </w:r>
      <w:r>
        <w:rPr>
          <w:rFonts w:hint="eastAsia" w:ascii="宋体" w:hAnsi="宋体" w:eastAsia="宋体" w:cs="宋体"/>
          <w:color w:val="auto"/>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（八）邮政业。</w:t>
      </w:r>
      <w:r>
        <w:rPr>
          <w:rFonts w:hint="eastAsia" w:ascii="宋体" w:hAnsi="宋体" w:eastAsia="宋体" w:cs="宋体"/>
          <w:color w:val="auto"/>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（九）住宿业。</w:t>
      </w:r>
      <w:r>
        <w:rPr>
          <w:rFonts w:hint="eastAsia" w:ascii="宋体" w:hAnsi="宋体" w:eastAsia="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（十）餐饮业。</w:t>
      </w:r>
      <w:r>
        <w:rPr>
          <w:rFonts w:hint="eastAsia" w:ascii="宋体" w:hAnsi="宋体" w:eastAsia="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（十一）信息传输业。</w:t>
      </w:r>
      <w:r>
        <w:rPr>
          <w:rFonts w:hint="eastAsia" w:ascii="宋体" w:hAnsi="宋体" w:eastAsia="宋体" w:cs="宋体"/>
          <w:color w:val="auto"/>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（十二）软件和信息技术服务业。</w:t>
      </w:r>
      <w:r>
        <w:rPr>
          <w:rFonts w:hint="eastAsia" w:ascii="宋体" w:hAnsi="宋体" w:eastAsia="宋体" w:cs="宋体"/>
          <w:color w:val="auto"/>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（十三）房地产开发经营。</w:t>
      </w:r>
      <w:r>
        <w:rPr>
          <w:rFonts w:hint="eastAsia" w:ascii="宋体" w:hAnsi="宋体" w:eastAsia="宋体" w:cs="宋体"/>
          <w:color w:val="auto"/>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（十四）物业管理。</w:t>
      </w:r>
      <w:r>
        <w:rPr>
          <w:rFonts w:hint="eastAsia" w:ascii="宋体" w:hAnsi="宋体" w:eastAsia="宋体" w:cs="宋体"/>
          <w:color w:val="auto"/>
          <w:szCs w:val="21"/>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（十五）租赁和商务服务业。</w:t>
      </w:r>
      <w:r>
        <w:rPr>
          <w:rFonts w:hint="eastAsia" w:ascii="宋体" w:hAnsi="宋体" w:eastAsia="宋体" w:cs="宋体"/>
          <w:color w:val="auto"/>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jc w:val="left"/>
        <w:spacing w:line="240" w:lineRule="atLeast"/>
        <w:rPr>
          <w:rFonts w:hint="eastAsia" w:ascii="宋体" w:hAnsi="宋体" w:cs="宋体"/>
          <w:b/>
          <w:bCs/>
          <w:color w:val="auto"/>
          <w:szCs w:val="21"/>
          <w:highlight w:val="none"/>
        </w:rPr>
      </w:pPr>
      <w:r>
        <w:rPr>
          <w:rFonts w:hint="eastAsia" w:ascii="宋体" w:hAnsi="宋体" w:eastAsia="宋体" w:cs="宋体"/>
          <w:b/>
          <w:color w:val="auto"/>
          <w:szCs w:val="21"/>
          <w:highlight w:val="none"/>
        </w:rPr>
        <w:t xml:space="preserve">（十六）其他未列明行业。</w:t>
      </w:r>
      <w:r>
        <w:rPr>
          <w:rFonts w:hint="eastAsia" w:ascii="宋体" w:hAnsi="宋体" w:eastAsia="宋体" w:cs="宋体"/>
          <w:color w:val="auto"/>
          <w:szCs w:val="21"/>
          <w:highlight w:val="none"/>
        </w:rPr>
        <w:t xml:space="preserve">从业人员300人以下的为中小微型企业。其中，从业人员100人及以上的为中型企业；从业人员10人及以上的为小型企业；从业人员10人以下的为微型企业。</w:t>
      </w:r>
      <w:r/>
    </w:p>
    <w:p>
      <w:pPr>
        <w:jc w:val="lef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11、残疾人福利性单位声明函</w:t>
      </w:r>
      <w:r/>
    </w:p>
    <w:p>
      <w:pPr>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残疾人福利性单位声明函</w:t>
      </w:r>
      <w:r/>
    </w:p>
    <w:p>
      <w:pPr>
        <w:ind w:firstLine="42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单位的</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单位名称（盖章）：</w:t>
      </w:r>
      <w:r/>
    </w:p>
    <w:p>
      <w:pPr>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b/>
          <w:bCs/>
          <w:color w:val="auto"/>
          <w:sz w:val="24"/>
          <w:szCs w:val="24"/>
          <w:highlight w:val="none"/>
        </w:rPr>
      </w:pPr>
      <w:r>
        <w:rPr>
          <w:rFonts w:hint="eastAsia" w:ascii="宋体" w:hAnsi="宋体" w:cs="宋体"/>
          <w:color w:val="auto"/>
          <w:szCs w:val="21"/>
          <w:highlight w:val="none"/>
        </w:rPr>
        <w:br w:type="page" w:clear="all"/>
      </w:r>
      <w:r>
        <w:rPr>
          <w:rFonts w:hint="eastAsia" w:ascii="宋体" w:hAnsi="宋体" w:eastAsia="宋体" w:cs="宋体"/>
          <w:b/>
          <w:bCs/>
          <w:color w:val="auto"/>
          <w:sz w:val="24"/>
          <w:szCs w:val="24"/>
          <w:highlight w:val="none"/>
        </w:rPr>
        <w:t xml:space="preserve">12、投标（响应）保证承诺书</w:t>
      </w:r>
      <w:r/>
    </w:p>
    <w:p>
      <w:pPr>
        <w:jc w:val="center"/>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投标（响应）保证承诺书</w:t>
      </w:r>
      <w:r/>
    </w:p>
    <w:p>
      <w:pPr>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cs/>
        </w:rPr>
        <w:t xml:space="preserve"> </w:t>
      </w:r>
      <w:r>
        <w:rPr>
          <w:rFonts w:hint="eastAsia" w:ascii="宋体" w:hAnsi="宋体" w:eastAsia="宋体" w:cs="宋体"/>
          <w:color w:val="auto"/>
          <w:sz w:val="24"/>
          <w:szCs w:val="24"/>
          <w:highlight w:val="none"/>
          <w:u w:val="single"/>
        </w:rPr>
        <w:t xml:space="preserve">（采购代理机构名称）</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我（单位/本人，以下统称我单位）自愿参加</w:t>
      </w:r>
      <w:r>
        <w:rPr>
          <w:rFonts w:hint="eastAsia" w:ascii="宋体" w:hAnsi="宋体" w:eastAsia="宋体" w:cs="宋体"/>
          <w:color w:val="auto"/>
          <w:sz w:val="24"/>
          <w:szCs w:val="24"/>
          <w:highlight w:val="none"/>
          <w:u w:val="single"/>
        </w:rPr>
        <w:t xml:space="preserve">（项目名称和采购编号）</w:t>
      </w:r>
      <w:r>
        <w:rPr>
          <w:rFonts w:hint="eastAsia" w:ascii="宋体" w:hAnsi="宋体" w:eastAsia="宋体" w:cs="宋体"/>
          <w:color w:val="auto"/>
          <w:sz w:val="24"/>
          <w:szCs w:val="24"/>
          <w:highlight w:val="none"/>
        </w:rPr>
        <w:t xml:space="preserve">的投标（响应），并做出如下承诺：</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一、除不可抗力外，我单位如果发生以下行为，将在行为发生的10个工作日内，向贵方</w:t>
      </w:r>
      <w:r>
        <w:rPr>
          <w:rFonts w:hint="eastAsia" w:ascii="宋体" w:hAnsi="宋体" w:eastAsia="宋体" w:cs="宋体"/>
          <w:color w:val="auto"/>
          <w:sz w:val="24"/>
          <w:szCs w:val="24"/>
          <w:highlight w:val="none"/>
          <w:u w:val="single"/>
        </w:rPr>
        <w:t xml:space="preserve">（或采购人）</w:t>
      </w:r>
      <w:r>
        <w:rPr>
          <w:rFonts w:hint="eastAsia" w:ascii="宋体" w:hAnsi="宋体" w:eastAsia="宋体" w:cs="宋体"/>
          <w:color w:val="auto"/>
          <w:sz w:val="24"/>
          <w:szCs w:val="24"/>
          <w:highlight w:val="none"/>
        </w:rPr>
        <w:t xml:space="preserve">支付本采购文件公布的预算金额（或最高限价）的2%作为违约赔偿金（数量不确定的单价采购须约定具体金额）。</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1、自投标（响应）截止时间至本项目发布中标（成交）公告为止，撤销投标（响应）；</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2、中标（成交）后不依法与采购人签订合同；</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3、中标（成交）后不按本采购文件规定向贵方缴纳采购代理</w:t>
      </w:r>
      <w:r>
        <w:rPr>
          <w:rFonts w:hint="eastAsia" w:ascii="宋体" w:hAnsi="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费。</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二、我单位知晓上述行为的法律后果，承认本承诺书作为贵方</w:t>
      </w:r>
      <w:r>
        <w:rPr>
          <w:rFonts w:hint="eastAsia" w:ascii="宋体" w:hAnsi="宋体" w:eastAsia="宋体" w:cs="宋体"/>
          <w:color w:val="auto"/>
          <w:sz w:val="24"/>
          <w:szCs w:val="24"/>
          <w:highlight w:val="none"/>
          <w:u w:val="single"/>
        </w:rPr>
        <w:t xml:space="preserve">（或采购人）</w:t>
      </w:r>
      <w:r>
        <w:rPr>
          <w:rFonts w:hint="eastAsia" w:ascii="宋体" w:hAnsi="宋体" w:eastAsia="宋体" w:cs="宋体"/>
          <w:color w:val="auto"/>
          <w:sz w:val="24"/>
          <w:szCs w:val="24"/>
          <w:highlight w:val="none"/>
        </w:rPr>
        <w:t xml:space="preserve">要求我单位履行违约赔偿义务的依据作用。</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投标（响应）人：（盖公章）</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cs/>
        </w:rPr>
        <w:t xml:space="preserve">     </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cs/>
        </w:rPr>
      </w:pPr>
      <w:r>
        <w:rPr>
          <w:rFonts w:hint="eastAsia" w:ascii="宋体" w:hAnsi="宋体" w:eastAsia="宋体" w:cs="宋体"/>
          <w:color w:val="auto"/>
          <w:sz w:val="24"/>
          <w:szCs w:val="24"/>
          <w:highlight w:val="none"/>
        </w:rPr>
        <w:t xml:space="preserve">电话：</w:t>
      </w:r>
      <w:r>
        <w:rPr>
          <w:rFonts w:hint="eastAsia" w:ascii="宋体" w:hAnsi="宋体" w:cs="宋体"/>
          <w:color w:val="auto"/>
          <w:sz w:val="24"/>
          <w:szCs w:val="24"/>
          <w:highlight w:val="none"/>
          <w:cs/>
        </w:rPr>
        <w:t xml:space="preserve"> </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传真：</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电子邮件：</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邮编：</w:t>
      </w:r>
      <w:r>
        <w:rPr>
          <w:rFonts w:hint="eastAsia" w:ascii="宋体" w:hAnsi="宋体" w:cs="宋体"/>
          <w:color w:val="auto"/>
          <w:sz w:val="24"/>
          <w:szCs w:val="24"/>
          <w:highlight w:val="none"/>
          <w:cs/>
        </w:rPr>
        <w:t xml:space="preserve">   </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法定代表人或委托代理人（签字或签章）：</w:t>
      </w:r>
      <w:r>
        <w:rPr>
          <w:rFonts w:hint="eastAsia" w:ascii="宋体" w:hAnsi="宋体" w:cs="宋体"/>
          <w:color w:val="auto"/>
          <w:sz w:val="24"/>
          <w:szCs w:val="24"/>
          <w:highlight w:val="none"/>
          <w:cs/>
        </w:rPr>
        <w:t xml:space="preserve">   </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cs="宋体"/>
          <w:color w:val="auto"/>
          <w:sz w:val="24"/>
          <w:szCs w:val="24"/>
          <w:highlight w:val="none"/>
          <w:cs/>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b/>
          <w:color w:val="auto"/>
          <w:sz w:val="24"/>
          <w:szCs w:val="24"/>
          <w:highlight w:val="none"/>
        </w:rPr>
      </w:pPr>
      <w:r>
        <w:rPr>
          <w:rStyle w:val="1020"/>
          <w:rFonts w:hint="eastAsia" w:ascii="宋体" w:hAnsi="宋体" w:cs="宋体"/>
          <w:color w:val="auto"/>
          <w:sz w:val="48"/>
          <w:szCs w:val="48"/>
          <w:highlight w:val="none"/>
        </w:rPr>
        <w:br w:type="page" w:clear="all"/>
      </w:r>
      <w:r>
        <w:rPr>
          <w:rFonts w:hint="eastAsia" w:ascii="宋体" w:hAnsi="宋体" w:eastAsia="宋体" w:cs="宋体"/>
          <w:b/>
          <w:color w:val="auto"/>
          <w:sz w:val="24"/>
          <w:szCs w:val="24"/>
          <w:highlight w:val="none"/>
        </w:rPr>
        <w:t xml:space="preserve">13、响应单位与其他单位存在控股、管理关系情况表</w:t>
      </w:r>
      <w:r/>
    </w:p>
    <w:p>
      <w:pPr>
        <w:pStyle w:val="757"/>
        <w:jc w:val="lef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0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响应单位与其他单位存在控股、管理关系情况表</w:t>
      </w:r>
      <w:r/>
    </w:p>
    <w:tbl>
      <w:tblPr>
        <w:tblStyle w:val="720"/>
        <w:tblW w:w="9248" w:type="dxa"/>
        <w:jc w:val="center"/>
        <w:tblLayout w:type="fixed"/>
        <w:tblCellMar>
          <w:left w:w="108" w:type="dxa"/>
          <w:top w:w="0" w:type="dxa"/>
          <w:right w:w="108" w:type="dxa"/>
          <w:bottom w:w="0" w:type="dxa"/>
        </w:tblCellMar>
        <w:tblLook w:val="04A0" w:firstRow="1" w:lastRow="0" w:firstColumn="1" w:lastColumn="0" w:noHBand="0" w:noVBand="1"/>
      </w:tblPr>
      <w:tblGrid>
        <w:gridCol w:w="5347"/>
        <w:gridCol w:w="3901"/>
      </w:tblGrid>
      <w:tr>
        <w:trPr>
          <w:jc w:val="center"/>
          <w:trHeight w:val="637"/>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en-US" w:bidi="ar-SA"/>
              </w:rPr>
              <w:t xml:space="preserve">与响应单位存在控股、管理关系的单位名称</w:t>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en-US" w:bidi="ar-SA"/>
              </w:rPr>
              <w:t xml:space="preserve">控股、管理关系情况说明</w:t>
            </w: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lang w:val="en-US" w:eastAsia="en-US" w:bidi="ar-SA"/>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bl>
    <w:p>
      <w:pPr>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注：响应单位应当按实填写所有与之有控股、管理关系的情况。</w:t>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left"/>
        <w:spacing w:line="360" w:lineRule="auto"/>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供应商：（单位盖章）</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center"/>
        <w:spacing w:line="400" w:lineRule="exact"/>
        <w:rPr>
          <w:rStyle w:val="1020"/>
          <w:rFonts w:hint="eastAsia" w:ascii="宋体" w:hAnsi="宋体" w:cs="宋体"/>
          <w:color w:val="auto"/>
          <w:sz w:val="32"/>
          <w:szCs w:val="32"/>
          <w:highlight w:val="none"/>
        </w:rPr>
        <w:outlineLvl w:val="0"/>
      </w:pPr>
      <w:r>
        <w:rPr>
          <w:rStyle w:val="1020"/>
          <w:rFonts w:hint="eastAsia" w:ascii="宋体" w:hAnsi="宋体" w:cs="宋体"/>
          <w:color w:val="auto"/>
          <w:sz w:val="24"/>
          <w:szCs w:val="24"/>
          <w:highlight w:val="none"/>
        </w:rPr>
        <w:br w:type="page" w:clear="all"/>
      </w:r>
      <w:bookmarkStart w:id="27" w:name="_Toc197425371"/>
      <w:r>
        <w:rPr>
          <w:rStyle w:val="1020"/>
          <w:rFonts w:hint="eastAsia" w:ascii="宋体" w:hAnsi="宋体" w:eastAsia="宋体" w:cs="宋体"/>
          <w:color w:val="auto"/>
          <w:sz w:val="32"/>
          <w:szCs w:val="32"/>
          <w:highlight w:val="none"/>
        </w:rPr>
        <w:t xml:space="preserve">第四章  采购内容</w:t>
      </w:r>
      <w:bookmarkEnd w:id="27"/>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u w:val="single"/>
          <w:lang w:eastAsia="zh-CN"/>
        </w:rPr>
        <w:t xml:space="preserve">苏州中苏御源工程咨询有限公司</w:t>
      </w:r>
      <w:r>
        <w:rPr>
          <w:rFonts w:hint="eastAsia" w:ascii="宋体" w:hAnsi="宋体" w:eastAsia="宋体" w:cs="宋体"/>
          <w:color w:val="auto"/>
          <w:sz w:val="24"/>
          <w:szCs w:val="24"/>
          <w:highlight w:val="none"/>
        </w:rPr>
        <w:t xml:space="preserve">受</w:t>
      </w:r>
      <w:r>
        <w:rPr>
          <w:rFonts w:hint="eastAsia" w:ascii="宋体" w:hAnsi="宋体" w:cs="宋体"/>
          <w:color w:val="auto"/>
          <w:sz w:val="24"/>
          <w:szCs w:val="24"/>
          <w:highlight w:val="none"/>
          <w:u w:val="single"/>
          <w:lang w:eastAsia="zh-CN"/>
        </w:rPr>
        <w:t xml:space="preserve">苏州高新区(虎丘区)东渚街道办事处</w:t>
      </w:r>
      <w:r>
        <w:rPr>
          <w:rFonts w:hint="eastAsia" w:ascii="宋体" w:hAnsi="宋体" w:eastAsia="宋体" w:cs="宋体"/>
          <w:color w:val="auto"/>
          <w:sz w:val="24"/>
          <w:szCs w:val="24"/>
          <w:highlight w:val="none"/>
        </w:rPr>
        <w:t xml:space="preserve">的委托，就其所需</w:t>
      </w:r>
      <w:r>
        <w:rPr>
          <w:rFonts w:hint="eastAsia" w:ascii="宋体" w:hAnsi="宋体" w:cs="宋体"/>
          <w:color w:val="auto"/>
          <w:sz w:val="24"/>
          <w:szCs w:val="24"/>
          <w:highlight w:val="none"/>
          <w:u w:val="single"/>
          <w:lang w:eastAsia="zh-CN"/>
        </w:rPr>
        <w:t xml:space="preserve">东渚街道2026-2027年度居家养老上门服务</w:t>
      </w:r>
      <w:r>
        <w:rPr>
          <w:rFonts w:hint="eastAsia" w:ascii="宋体" w:hAnsi="宋体" w:cs="宋体"/>
          <w:color w:val="auto"/>
          <w:sz w:val="24"/>
          <w:szCs w:val="24"/>
          <w:highlight w:val="none"/>
          <w:u w:val="none"/>
          <w:lang w:eastAsia="zh-CN"/>
        </w:rPr>
        <w:t xml:space="preserve">项目</w:t>
      </w:r>
      <w:r>
        <w:rPr>
          <w:rFonts w:hint="eastAsia" w:ascii="宋体" w:hAnsi="宋体" w:eastAsia="宋体" w:cs="宋体"/>
          <w:color w:val="auto"/>
          <w:sz w:val="24"/>
          <w:szCs w:val="24"/>
          <w:highlight w:val="none"/>
        </w:rPr>
        <w:t xml:space="preserve">采用竞争性磋商方式进行采购，欢迎有资格的供应商前来参加本次磋商采购活动。</w:t>
      </w:r>
      <w:r/>
    </w:p>
    <w:p>
      <w:pPr>
        <w:numPr>
          <w:ilvl w:val="0"/>
          <w:numId w:val="3"/>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采购编号：</w:t>
      </w:r>
      <w:r>
        <w:rPr>
          <w:rFonts w:hint="eastAsia" w:ascii="宋体" w:hAnsi="宋体" w:cs="宋体"/>
          <w:b/>
          <w:bCs/>
          <w:color w:val="auto"/>
          <w:sz w:val="24"/>
          <w:szCs w:val="24"/>
          <w:highlight w:val="none"/>
          <w:lang w:eastAsia="zh-CN"/>
        </w:rPr>
        <w:t xml:space="preserve">JSZC-320505-ZSYY-C2026-0005</w:t>
      </w:r>
      <w:r/>
    </w:p>
    <w:p>
      <w:pPr>
        <w:ind w:left="0" w:right="0" w:firstLine="482"/>
        <w:jc w:val="both"/>
        <w:spacing w:before="0" w:after="0" w:line="360" w:lineRule="auto"/>
        <w:rPr>
          <w:rFonts w:hint="eastAsia" w:ascii="宋体" w:hAnsi="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项目名称：</w:t>
      </w:r>
      <w:r>
        <w:rPr>
          <w:rFonts w:hint="eastAsia" w:ascii="宋体" w:hAnsi="宋体" w:cs="宋体"/>
          <w:color w:val="auto"/>
          <w:sz w:val="24"/>
          <w:szCs w:val="24"/>
          <w:highlight w:val="none"/>
          <w:lang w:eastAsia="zh-CN"/>
        </w:rPr>
        <w:t xml:space="preserve">东渚街道2026-2027年度居家养老上门服务</w:t>
      </w:r>
      <w:r/>
    </w:p>
    <w:p>
      <w:pPr>
        <w:ind w:left="0" w:right="0" w:firstLine="480"/>
        <w:jc w:val="both"/>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采购</w:t>
      </w:r>
      <w:r>
        <w:rPr>
          <w:rFonts w:hint="eastAsia" w:ascii="宋体" w:hAnsi="宋体" w:cs="宋体"/>
          <w:b/>
          <w:bCs/>
          <w:color w:val="auto"/>
          <w:sz w:val="24"/>
          <w:szCs w:val="24"/>
          <w:highlight w:val="none"/>
          <w:lang w:val="en-US" w:eastAsia="zh-CN"/>
        </w:rPr>
        <w:t xml:space="preserve">预算</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人民币</w:t>
      </w:r>
      <w:r>
        <w:rPr>
          <w:rFonts w:hint="eastAsia" w:ascii="宋体" w:hAnsi="宋体" w:cs="宋体"/>
          <w:color w:val="auto"/>
          <w:sz w:val="24"/>
          <w:szCs w:val="24"/>
          <w:highlight w:val="none"/>
          <w:lang w:val="en-US" w:eastAsia="zh-CN"/>
        </w:rPr>
        <w:t xml:space="preserve">壹佰叁拾柒万壹仟陆佰元整</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w:t>
      </w:r>
      <w:r>
        <w:rPr>
          <w:rFonts w:hint="eastAsia" w:ascii="宋体" w:hAnsi="宋体" w:cs="宋体"/>
          <w:color w:val="auto"/>
          <w:sz w:val="24"/>
          <w:szCs w:val="24"/>
          <w:highlight w:val="none"/>
          <w:lang w:val="en-US" w:eastAsia="zh-CN"/>
        </w:rPr>
        <w:t xml:space="preserve">1371600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00元</w:t>
      </w:r>
      <w:r>
        <w:rPr>
          <w:rFonts w:hint="eastAsia" w:ascii="宋体" w:hAnsi="宋体" w:eastAsia="宋体" w:cs="宋体"/>
          <w:color w:val="auto"/>
          <w:sz w:val="24"/>
          <w:szCs w:val="24"/>
          <w:highlight w:val="none"/>
        </w:rPr>
        <w:t xml:space="preserve">）</w:t>
      </w:r>
      <w:r/>
    </w:p>
    <w:p>
      <w:pPr>
        <w:ind w:left="0" w:right="0" w:firstLine="1024"/>
        <w:jc w:val="both"/>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最高限价：人民币</w:t>
      </w:r>
      <w:r>
        <w:rPr>
          <w:rFonts w:hint="eastAsia" w:ascii="宋体" w:hAnsi="宋体" w:cs="宋体"/>
          <w:color w:val="auto"/>
          <w:sz w:val="24"/>
          <w:szCs w:val="24"/>
          <w:highlight w:val="none"/>
          <w:lang w:val="en-US" w:eastAsia="zh-CN"/>
        </w:rPr>
        <w:t xml:space="preserve">壹佰叁拾柒万壹仟陆佰元整</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w:t>
      </w:r>
      <w:r>
        <w:rPr>
          <w:rFonts w:hint="eastAsia" w:ascii="宋体" w:hAnsi="宋体" w:cs="宋体"/>
          <w:color w:val="auto"/>
          <w:sz w:val="24"/>
          <w:szCs w:val="24"/>
          <w:highlight w:val="none"/>
          <w:lang w:val="en-US" w:eastAsia="zh-CN"/>
        </w:rPr>
        <w:t xml:space="preserve">1371600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00元</w:t>
      </w:r>
      <w:r>
        <w:rPr>
          <w:rFonts w:hint="eastAsia" w:ascii="宋体" w:hAnsi="宋体" w:eastAsia="宋体" w:cs="宋体"/>
          <w:color w:val="auto"/>
          <w:sz w:val="24"/>
          <w:szCs w:val="24"/>
          <w:highlight w:val="none"/>
        </w:rPr>
        <w:t xml:space="preserve">）</w:t>
      </w:r>
      <w:r/>
    </w:p>
    <w:p>
      <w:pPr>
        <w:ind w:firstLine="480"/>
        <w:spacing w:line="360" w:lineRule="auto"/>
        <w:rPr>
          <w:rFonts w:asciiTheme="minorEastAsia" w:hAnsiTheme="minorEastAsia"/>
          <w:color w:val="auto"/>
          <w:highlight w:val="none"/>
          <w:lang w:val="en-US"/>
        </w:rPr>
      </w:pPr>
      <w:r>
        <w:rPr>
          <w:rFonts w:hint="eastAsia" w:ascii="宋体" w:hAnsi="宋体" w:cs="宋体"/>
          <w:b w:val="0"/>
          <w:bCs w:val="0"/>
          <w:color w:val="auto"/>
          <w:sz w:val="24"/>
          <w:szCs w:val="24"/>
          <w:highlight w:val="none"/>
          <w:lang w:val="en-US" w:eastAsia="zh-CN"/>
        </w:rPr>
        <w:t xml:space="preserve">四、</w:t>
      </w:r>
      <w:r>
        <w:rPr>
          <w:rFonts w:asciiTheme="minorEastAsia" w:hAnsiTheme="minorEastAsia" w:eastAsiaTheme="minorEastAsia"/>
          <w:b/>
          <w:color w:val="auto"/>
          <w:sz w:val="24"/>
          <w:highlight w:val="none"/>
        </w:rPr>
        <w:t xml:space="preserve">采购需求：</w:t>
      </w:r>
      <w:r/>
    </w:p>
    <w:p>
      <w:pPr>
        <w:numPr>
          <w:ilvl w:val="0"/>
          <w:numId w:val="0"/>
        </w:numPr>
        <w:ind w:firstLine="482"/>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（一）项目概况：</w:t>
      </w:r>
      <w:r/>
    </w:p>
    <w:p>
      <w:pPr>
        <w:numPr>
          <w:ilvl w:val="0"/>
          <w:numId w:val="0"/>
        </w:numPr>
        <w:ind w:firstLine="482"/>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根据《关于贯彻落实苏州市居家养老服务条例的实施意见》等文件，为居家养老政府援助、补助对象提供居家养老上门服务，包含家庭保洁、洗晒衣被及油烟机、空调清洗等内容。同时需负责社区食堂运营并为服务对象提供配送餐服务。</w:t>
      </w:r>
      <w:r/>
    </w:p>
    <w:p>
      <w:pPr>
        <w:numPr>
          <w:ilvl w:val="0"/>
          <w:numId w:val="0"/>
        </w:numPr>
        <w:ind w:firstLine="482"/>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本项目服务范围：</w:t>
      </w:r>
      <w:r>
        <w:rPr>
          <w:rFonts w:hint="eastAsia" w:ascii="宋体" w:hAnsi="宋体" w:cs="宋体"/>
          <w:color w:val="auto"/>
          <w:sz w:val="24"/>
          <w:szCs w:val="24"/>
          <w:highlight w:val="none"/>
          <w:lang w:eastAsia="zh-CN"/>
        </w:rPr>
        <w:t xml:space="preserve">东渚街道</w:t>
      </w:r>
      <w:r>
        <w:rPr>
          <w:rFonts w:hint="eastAsia" w:ascii="宋体" w:hAnsi="宋体" w:cs="宋体"/>
          <w:b w:val="0"/>
          <w:bCs w:val="0"/>
          <w:color w:val="auto"/>
          <w:sz w:val="24"/>
          <w:szCs w:val="24"/>
          <w:highlight w:val="none"/>
          <w:lang w:val="en-US" w:eastAsia="zh-CN"/>
        </w:rPr>
        <w:t xml:space="preserve">范围内全部居家养老上门服务对象。</w:t>
      </w:r>
      <w:r/>
    </w:p>
    <w:p>
      <w:pPr>
        <w:numPr>
          <w:ilvl w:val="0"/>
          <w:numId w:val="0"/>
        </w:numPr>
        <w:ind w:firstLine="482"/>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（二）服务工作内容：</w:t>
      </w:r>
      <w:r/>
    </w:p>
    <w:p>
      <w:pPr>
        <w:numPr>
          <w:ilvl w:val="0"/>
          <w:numId w:val="0"/>
        </w:numPr>
        <w:ind w:firstLine="482"/>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根据《关于贯彻落实苏州市居家养老服务条例的实施意见》(苏府办〔2016〕222号)、《苏州高新区居家养老服务工作实施办法》(苏虎府规字〔2015〕9号)、《关于印发&lt;高新区居家养老服务项目实施方案&gt;的通知》（苏高新社〔2021〕66号）、《关于进一步提速增效，提升老年人社区居家养老服务水平的通知》（苏高新社〔2021〕127号）等文件，为居家养老政府援助、补助对象免费提供居家养老上门服务，包含家庭保洁、洗晒衣被及油烟机、空调清洗等内容，并为居家养老政府援助、补助对象提供老年人能力筛查评估。</w:t>
      </w:r>
      <w:r/>
    </w:p>
    <w:p>
      <w:pPr>
        <w:numPr>
          <w:ilvl w:val="0"/>
          <w:numId w:val="0"/>
        </w:numPr>
        <w:ind w:firstLine="482"/>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1、政府援助对象 </w:t>
      </w:r>
      <w:r/>
    </w:p>
    <w:p>
      <w:pPr>
        <w:numPr>
          <w:ilvl w:val="0"/>
          <w:numId w:val="0"/>
        </w:numPr>
        <w:ind w:firstLine="482"/>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日常生活需要介助或介护的城乡五保供养对象及低保和低保边缘孤寡老人、市级及以上劳动模范、重点优抚对象、归国华侨的老年人、“二无”(无子女、无劳动能力)、无子女照顾、子女残疾以及独生子女家庭对象中的困难老人，介助对象每户每月提供36小时的服务，介护对象每户每月提供48小时的服务。</w:t>
      </w:r>
      <w:r/>
    </w:p>
    <w:p>
      <w:pPr>
        <w:numPr>
          <w:ilvl w:val="0"/>
          <w:numId w:val="0"/>
        </w:numPr>
        <w:ind w:firstLine="482"/>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2、政府补助对象</w:t>
      </w:r>
      <w:r/>
    </w:p>
    <w:p>
      <w:pPr>
        <w:numPr>
          <w:ilvl w:val="0"/>
          <w:numId w:val="0"/>
        </w:numPr>
        <w:ind w:firstLine="482"/>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居住地在镇湖街道且拥有镇湖街道户籍的年满80周岁及以上的老年人和70周岁及以上的计划生育特别扶助对象，每户每月提供6小时的服务。</w:t>
      </w:r>
      <w:r/>
    </w:p>
    <w:p>
      <w:pPr>
        <w:numPr>
          <w:ilvl w:val="0"/>
          <w:numId w:val="0"/>
        </w:numPr>
        <w:ind w:firstLine="482"/>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居家养老政府援助对象根据经社会事业办审批文件确定的正式名单为准。</w:t>
      </w:r>
      <w:r/>
    </w:p>
    <w:p>
      <w:pPr>
        <w:numPr>
          <w:ilvl w:val="0"/>
          <w:numId w:val="0"/>
        </w:numPr>
        <w:ind w:firstLine="482"/>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居家养老政府援助、补助对象的标准（服务时间、每小时服务单价)可会根据市、区政府政策的调整而做出相应调整。</w:t>
      </w:r>
      <w:r/>
    </w:p>
    <w:p>
      <w:pPr>
        <w:numPr>
          <w:ilvl w:val="0"/>
          <w:numId w:val="4"/>
        </w:numPr>
        <w:ind w:firstLine="482"/>
        <w:spacing w:line="360" w:lineRule="auto"/>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服务明细</w:t>
      </w:r>
      <w:r/>
    </w:p>
    <w:tbl>
      <w:tblPr>
        <w:tblStyle w:val="743"/>
        <w:tblW w:w="460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3"/>
        <w:gridCol w:w="2112"/>
        <w:gridCol w:w="972"/>
        <w:gridCol w:w="1251"/>
        <w:gridCol w:w="1203"/>
        <w:gridCol w:w="1216"/>
        <w:gridCol w:w="1370"/>
      </w:tblGrid>
      <w:tr>
        <w:trPr>
          <w:jc w:val="center"/>
          <w:trHeight w:val="836"/>
        </w:trPr>
        <w:tc>
          <w:tcPr>
            <w:tcW w:w="573" w:type="dxa"/>
            <w:vAlign w:val="center"/>
            <w:textDirection w:val="lrTb"/>
            <w:noWrap w:val="false"/>
          </w:tcPr>
          <w:p>
            <w:pPr>
              <w:pStyle w:val="1028"/>
              <w:ind w:left="0" w:firstLine="0"/>
              <w:jc w:val="center"/>
              <w:spacing w:after="0" w:line="360" w:lineRule="auto"/>
              <w:rPr>
                <w:rFonts w:hint="eastAsia" w:cs="宋体" w:asciiTheme="minorEastAsia" w:hAnsiTheme="minorEastAsia" w:eastAsiaTheme="minorEastAsia"/>
                <w:b/>
                <w:bCs/>
                <w:color w:val="auto"/>
                <w:sz w:val="24"/>
                <w:szCs w:val="24"/>
                <w:highlight w:val="none"/>
                <w:vertAlign w:val="baseline"/>
                <w:lang w:val="en-US" w:eastAsia="zh-CN"/>
              </w:rPr>
            </w:pPr>
            <w:r>
              <w:rPr>
                <w:rFonts w:hint="eastAsia" w:cs="宋体" w:asciiTheme="minorEastAsia" w:hAnsiTheme="minorEastAsia"/>
                <w:b/>
                <w:bCs/>
                <w:color w:val="auto"/>
                <w:sz w:val="24"/>
                <w:szCs w:val="24"/>
                <w:highlight w:val="none"/>
                <w:vertAlign w:val="baseline"/>
                <w:lang w:val="en-US" w:eastAsia="zh-CN"/>
              </w:rPr>
              <w:t xml:space="preserve">序号</w:t>
            </w:r>
            <w:r/>
          </w:p>
        </w:tc>
        <w:tc>
          <w:tcPr>
            <w:tcW w:w="2112" w:type="dxa"/>
            <w:vAlign w:val="center"/>
            <w:textDirection w:val="lrTb"/>
            <w:noWrap w:val="false"/>
          </w:tcPr>
          <w:p>
            <w:pPr>
              <w:pStyle w:val="1028"/>
              <w:ind w:left="0" w:firstLine="0"/>
              <w:jc w:val="center"/>
              <w:spacing w:after="0" w:line="360" w:lineRule="auto"/>
              <w:rPr>
                <w:rFonts w:hint="eastAsia" w:cs="宋体" w:asciiTheme="minorEastAsia" w:hAnsiTheme="minorEastAsia" w:eastAsiaTheme="minorEastAsia"/>
                <w:b/>
                <w:bCs/>
                <w:color w:val="auto"/>
                <w:sz w:val="24"/>
                <w:szCs w:val="24"/>
                <w:highlight w:val="none"/>
                <w:vertAlign w:val="baseline"/>
                <w:lang w:val="en-US" w:eastAsia="zh-CN"/>
              </w:rPr>
            </w:pPr>
            <w:r>
              <w:rPr>
                <w:rFonts w:hint="eastAsia" w:cs="宋体" w:asciiTheme="minorEastAsia" w:hAnsiTheme="minorEastAsia"/>
                <w:b/>
                <w:bCs/>
                <w:color w:val="auto"/>
                <w:sz w:val="24"/>
                <w:szCs w:val="24"/>
                <w:highlight w:val="none"/>
                <w:vertAlign w:val="baseline"/>
                <w:lang w:val="en-US" w:eastAsia="zh-CN"/>
              </w:rPr>
              <w:t xml:space="preserve">服务对象</w:t>
            </w:r>
            <w:r/>
          </w:p>
        </w:tc>
        <w:tc>
          <w:tcPr>
            <w:tcW w:w="972" w:type="dxa"/>
            <w:vAlign w:val="center"/>
            <w:textDirection w:val="lrTb"/>
            <w:noWrap w:val="false"/>
          </w:tcPr>
          <w:p>
            <w:pPr>
              <w:pStyle w:val="1028"/>
              <w:ind w:left="0" w:firstLine="0"/>
              <w:jc w:val="center"/>
              <w:spacing w:after="0" w:line="360" w:lineRule="auto"/>
              <w:rPr>
                <w:rFonts w:hint="eastAsia" w:cs="宋体" w:asciiTheme="minorEastAsia" w:hAnsiTheme="minorEastAsia" w:eastAsiaTheme="minorEastAsia"/>
                <w:b/>
                <w:bCs/>
                <w:color w:val="auto"/>
                <w:sz w:val="24"/>
                <w:szCs w:val="24"/>
                <w:highlight w:val="none"/>
                <w:vertAlign w:val="baseline"/>
                <w:lang w:val="en-US" w:eastAsia="zh-CN"/>
              </w:rPr>
            </w:pPr>
            <w:r>
              <w:rPr>
                <w:rFonts w:hint="eastAsia" w:cs="宋体" w:asciiTheme="minorEastAsia" w:hAnsiTheme="minorEastAsia"/>
                <w:b/>
                <w:bCs/>
                <w:color w:val="auto"/>
                <w:sz w:val="24"/>
                <w:szCs w:val="24"/>
                <w:highlight w:val="none"/>
                <w:vertAlign w:val="baseline"/>
                <w:lang w:val="en-US" w:eastAsia="zh-CN"/>
              </w:rPr>
              <w:t xml:space="preserve">预计户数</w:t>
            </w:r>
            <w:r/>
          </w:p>
        </w:tc>
        <w:tc>
          <w:tcPr>
            <w:tcW w:w="1251" w:type="dxa"/>
            <w:vAlign w:val="center"/>
            <w:textDirection w:val="lrTb"/>
            <w:noWrap w:val="false"/>
          </w:tcPr>
          <w:p>
            <w:pPr>
              <w:pStyle w:val="1028"/>
              <w:ind w:left="0" w:firstLine="0"/>
              <w:jc w:val="center"/>
              <w:spacing w:after="0" w:line="360" w:lineRule="auto"/>
              <w:rPr>
                <w:rFonts w:hint="eastAsia" w:cs="宋体" w:asciiTheme="minorEastAsia" w:hAnsiTheme="minorEastAsia" w:eastAsiaTheme="minorEastAsia"/>
                <w:b/>
                <w:bCs/>
                <w:color w:val="auto"/>
                <w:sz w:val="24"/>
                <w:szCs w:val="24"/>
                <w:highlight w:val="none"/>
                <w:vertAlign w:val="baseline"/>
                <w:lang w:val="en-US" w:eastAsia="zh-CN"/>
              </w:rPr>
            </w:pPr>
            <w:r>
              <w:rPr>
                <w:rFonts w:hint="eastAsia" w:cs="宋体" w:asciiTheme="minorEastAsia" w:hAnsiTheme="minorEastAsia"/>
                <w:b/>
                <w:bCs/>
                <w:color w:val="auto"/>
                <w:sz w:val="24"/>
                <w:szCs w:val="24"/>
                <w:highlight w:val="none"/>
                <w:vertAlign w:val="baseline"/>
                <w:lang w:val="en-US" w:eastAsia="zh-CN"/>
              </w:rPr>
              <w:t xml:space="preserve">服务标准（小时/月）</w:t>
            </w:r>
            <w:r/>
          </w:p>
        </w:tc>
        <w:tc>
          <w:tcPr>
            <w:tcW w:w="1203" w:type="dxa"/>
            <w:vAlign w:val="center"/>
            <w:textDirection w:val="lrTb"/>
            <w:noWrap w:val="false"/>
          </w:tcPr>
          <w:p>
            <w:pPr>
              <w:pStyle w:val="1028"/>
              <w:ind w:left="0" w:firstLine="0"/>
              <w:jc w:val="center"/>
              <w:spacing w:after="0" w:line="360" w:lineRule="auto"/>
              <w:rPr>
                <w:rFonts w:hint="eastAsia" w:cs="宋体" w:asciiTheme="minorEastAsia" w:hAnsiTheme="minorEastAsia" w:eastAsiaTheme="minorEastAsia"/>
                <w:b/>
                <w:bCs/>
                <w:color w:val="auto"/>
                <w:sz w:val="24"/>
                <w:szCs w:val="24"/>
                <w:highlight w:val="none"/>
                <w:vertAlign w:val="baseline"/>
                <w:lang w:val="en-US" w:eastAsia="zh-CN"/>
              </w:rPr>
            </w:pPr>
            <w:r>
              <w:rPr>
                <w:rFonts w:hint="eastAsia" w:cs="宋体" w:asciiTheme="minorEastAsia" w:hAnsiTheme="minorEastAsia"/>
                <w:b/>
                <w:bCs/>
                <w:color w:val="auto"/>
                <w:sz w:val="24"/>
                <w:szCs w:val="24"/>
                <w:highlight w:val="none"/>
                <w:vertAlign w:val="baseline"/>
                <w:lang w:val="en-US" w:eastAsia="zh-CN"/>
              </w:rPr>
              <w:t xml:space="preserve">服务时长（月）</w:t>
            </w:r>
            <w:r/>
          </w:p>
        </w:tc>
        <w:tc>
          <w:tcPr>
            <w:tcW w:w="1216" w:type="dxa"/>
            <w:vAlign w:val="center"/>
            <w:textDirection w:val="lrTb"/>
            <w:noWrap w:val="false"/>
          </w:tcPr>
          <w:p>
            <w:pPr>
              <w:pStyle w:val="1028"/>
              <w:ind w:left="0" w:firstLine="0"/>
              <w:jc w:val="center"/>
              <w:spacing w:after="0" w:line="360" w:lineRule="auto"/>
              <w:rPr>
                <w:rFonts w:hint="eastAsia" w:cs="宋体" w:asciiTheme="minorEastAsia" w:hAnsiTheme="minorEastAsia"/>
                <w:b/>
                <w:bCs/>
                <w:color w:val="auto"/>
                <w:sz w:val="24"/>
                <w:szCs w:val="24"/>
                <w:highlight w:val="none"/>
                <w:vertAlign w:val="baseline"/>
                <w:lang w:val="en-US" w:eastAsia="zh-CN"/>
              </w:rPr>
            </w:pPr>
            <w:r>
              <w:rPr>
                <w:rFonts w:hint="eastAsia" w:cs="宋体" w:asciiTheme="minorEastAsia" w:hAnsiTheme="minorEastAsia"/>
                <w:b/>
                <w:bCs/>
                <w:color w:val="auto"/>
                <w:sz w:val="24"/>
                <w:szCs w:val="24"/>
                <w:highlight w:val="none"/>
                <w:vertAlign w:val="baseline"/>
                <w:lang w:val="en-US" w:eastAsia="zh-CN"/>
              </w:rPr>
              <w:t xml:space="preserve">数量</w:t>
            </w:r>
            <w:r/>
          </w:p>
          <w:p>
            <w:pPr>
              <w:pStyle w:val="1028"/>
              <w:ind w:left="0" w:firstLine="0"/>
              <w:jc w:val="center"/>
              <w:spacing w:after="0" w:line="360" w:lineRule="auto"/>
              <w:rPr>
                <w:rFonts w:hint="eastAsia" w:cs="宋体" w:asciiTheme="minorEastAsia" w:hAnsiTheme="minorEastAsia" w:eastAsiaTheme="minorEastAsia"/>
                <w:b/>
                <w:bCs/>
                <w:color w:val="auto"/>
                <w:sz w:val="24"/>
                <w:szCs w:val="24"/>
                <w:highlight w:val="none"/>
                <w:vertAlign w:val="baseline"/>
                <w:lang w:val="en-US" w:eastAsia="zh-CN"/>
              </w:rPr>
            </w:pPr>
            <w:r>
              <w:rPr>
                <w:rFonts w:hint="eastAsia" w:cs="宋体" w:asciiTheme="minorEastAsia" w:hAnsiTheme="minorEastAsia"/>
                <w:b/>
                <w:bCs/>
                <w:color w:val="auto"/>
                <w:sz w:val="24"/>
                <w:szCs w:val="24"/>
                <w:highlight w:val="none"/>
                <w:vertAlign w:val="baseline"/>
                <w:lang w:val="en-US" w:eastAsia="zh-CN"/>
              </w:rPr>
              <w:t xml:space="preserve">（小时）</w:t>
            </w:r>
            <w:r/>
          </w:p>
        </w:tc>
        <w:tc>
          <w:tcPr>
            <w:tcW w:w="1370" w:type="dxa"/>
            <w:vAlign w:val="center"/>
            <w:textDirection w:val="lrTb"/>
            <w:noWrap w:val="false"/>
          </w:tcPr>
          <w:p>
            <w:pPr>
              <w:pStyle w:val="1028"/>
              <w:ind w:left="0" w:firstLine="0"/>
              <w:jc w:val="center"/>
              <w:spacing w:after="0" w:line="360" w:lineRule="auto"/>
              <w:rPr>
                <w:rFonts w:hint="eastAsia" w:cs="宋体" w:asciiTheme="minorEastAsia" w:hAnsiTheme="minorEastAsia" w:eastAsiaTheme="minorEastAsia"/>
                <w:b/>
                <w:bCs/>
                <w:color w:val="auto"/>
                <w:sz w:val="24"/>
                <w:szCs w:val="24"/>
                <w:highlight w:val="none"/>
                <w:vertAlign w:val="baseline"/>
                <w:lang w:val="en-US" w:eastAsia="zh-CN"/>
              </w:rPr>
            </w:pPr>
            <w:r>
              <w:rPr>
                <w:rFonts w:hint="eastAsia" w:cs="宋体" w:asciiTheme="minorEastAsia" w:hAnsiTheme="minorEastAsia"/>
                <w:b/>
                <w:bCs/>
                <w:color w:val="auto"/>
                <w:sz w:val="24"/>
                <w:szCs w:val="24"/>
                <w:highlight w:val="none"/>
                <w:vertAlign w:val="baseline"/>
                <w:lang w:val="en-US" w:eastAsia="zh-CN"/>
              </w:rPr>
              <w:t xml:space="preserve">单价（元/小时）</w:t>
            </w:r>
            <w:r/>
          </w:p>
        </w:tc>
      </w:tr>
      <w:tr>
        <w:trPr>
          <w:jc w:val="center"/>
        </w:trPr>
        <w:tc>
          <w:tcPr>
            <w:tcW w:w="573" w:type="dxa"/>
            <w:vAlign w:val="center"/>
            <w:textDirection w:val="lrTb"/>
            <w:noWrap w:val="false"/>
          </w:tcPr>
          <w:p>
            <w:pPr>
              <w:pStyle w:val="1028"/>
              <w:ind w:left="0" w:firstLine="0"/>
              <w:jc w:val="center"/>
              <w:spacing w:after="0" w:line="360" w:lineRule="auto"/>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1</w:t>
            </w:r>
            <w:r/>
          </w:p>
        </w:tc>
        <w:tc>
          <w:tcPr>
            <w:tcW w:w="2112" w:type="dxa"/>
            <w:vAlign w:val="center"/>
            <w:textDirection w:val="lrTb"/>
            <w:noWrap w:val="false"/>
          </w:tcPr>
          <w:p>
            <w:pPr>
              <w:pStyle w:val="1028"/>
              <w:ind w:left="0" w:firstLine="0"/>
              <w:jc w:val="both"/>
              <w:spacing w:after="0" w:line="360" w:lineRule="auto"/>
              <w:rPr>
                <w:rFonts w:hint="eastAsia" w:ascii="宋体" w:hAnsi="宋体" w:eastAsia="宋体" w:cs="宋体"/>
                <w:b w:val="0"/>
                <w:bCs w:val="0"/>
                <w:color w:val="auto"/>
                <w:sz w:val="21"/>
                <w:szCs w:val="21"/>
                <w:highlight w:val="none"/>
                <w:vertAlign w:val="baseline"/>
                <w:lang w:val="en-US"/>
              </w:rPr>
            </w:pPr>
            <w:r>
              <w:rPr>
                <w:rFonts w:hint="eastAsia" w:ascii="宋体" w:hAnsi="宋体" w:eastAsia="宋体" w:cs="宋体"/>
                <w:b w:val="0"/>
                <w:bCs w:val="0"/>
                <w:color w:val="auto"/>
                <w:sz w:val="21"/>
                <w:szCs w:val="21"/>
                <w:highlight w:val="none"/>
                <w:lang w:val="en-US" w:eastAsia="zh-CN"/>
              </w:rPr>
              <w:t xml:space="preserve">政府援助对象（介助）</w:t>
            </w:r>
            <w:r/>
          </w:p>
        </w:tc>
        <w:tc>
          <w:tcPr>
            <w:tcW w:w="972" w:type="dxa"/>
            <w:vAlign w:val="center"/>
            <w:textDirection w:val="lrTb"/>
            <w:noWrap w:val="false"/>
          </w:tcPr>
          <w:p>
            <w:pPr>
              <w:pStyle w:val="1028"/>
              <w:ind w:left="0" w:firstLine="0"/>
              <w:jc w:val="center"/>
              <w:spacing w:after="0" w:line="360" w:lineRule="auto"/>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5</w:t>
            </w:r>
            <w:r/>
          </w:p>
        </w:tc>
        <w:tc>
          <w:tcPr>
            <w:tcW w:w="1251" w:type="dxa"/>
            <w:vAlign w:val="center"/>
            <w:textDirection w:val="lrTb"/>
            <w:noWrap w:val="false"/>
          </w:tcPr>
          <w:p>
            <w:pPr>
              <w:pStyle w:val="1028"/>
              <w:ind w:left="0" w:firstLine="0"/>
              <w:jc w:val="center"/>
              <w:spacing w:after="0" w:line="360" w:lineRule="auto"/>
              <w:rPr>
                <w:rFonts w:hint="default"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36</w:t>
            </w:r>
            <w:r/>
          </w:p>
        </w:tc>
        <w:tc>
          <w:tcPr>
            <w:tcW w:w="1203" w:type="dxa"/>
            <w:vAlign w:val="center"/>
            <w:textDirection w:val="lrTb"/>
            <w:noWrap w:val="false"/>
          </w:tcPr>
          <w:p>
            <w:pPr>
              <w:pStyle w:val="1028"/>
              <w:ind w:left="0" w:firstLine="0"/>
              <w:jc w:val="center"/>
              <w:spacing w:after="0" w:line="360" w:lineRule="auto"/>
              <w:rPr>
                <w:rFonts w:hint="default"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6</w:t>
            </w:r>
            <w:r/>
          </w:p>
        </w:tc>
        <w:tc>
          <w:tcPr>
            <w:tcW w:w="1216" w:type="dxa"/>
            <w:vAlign w:val="center"/>
            <w:textDirection w:val="lrTb"/>
            <w:noWrap w:val="false"/>
          </w:tcPr>
          <w:p>
            <w:pPr>
              <w:pStyle w:val="1028"/>
              <w:ind w:left="0" w:firstLine="0"/>
              <w:jc w:val="center"/>
              <w:spacing w:after="0" w:line="360" w:lineRule="auto"/>
              <w:rPr>
                <w:rFonts w:hint="default"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1080</w:t>
            </w:r>
            <w:r/>
          </w:p>
        </w:tc>
        <w:tc>
          <w:tcPr>
            <w:tcW w:w="1370" w:type="dxa"/>
            <w:vAlign w:val="center"/>
            <w:textDirection w:val="lrTb"/>
            <w:noWrap w:val="false"/>
          </w:tcPr>
          <w:p>
            <w:pPr>
              <w:pStyle w:val="1028"/>
              <w:ind w:left="0" w:firstLine="0"/>
              <w:jc w:val="center"/>
              <w:spacing w:after="0" w:line="360" w:lineRule="auto"/>
              <w:rPr>
                <w:rFonts w:hint="default"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30</w:t>
            </w:r>
            <w:r/>
          </w:p>
        </w:tc>
      </w:tr>
      <w:tr>
        <w:trPr>
          <w:jc w:val="center"/>
        </w:trPr>
        <w:tc>
          <w:tcPr>
            <w:tcW w:w="573" w:type="dxa"/>
            <w:vAlign w:val="center"/>
            <w:textDirection w:val="lrTb"/>
            <w:noWrap w:val="false"/>
          </w:tcPr>
          <w:p>
            <w:pPr>
              <w:pStyle w:val="1028"/>
              <w:ind w:left="0" w:firstLine="0"/>
              <w:jc w:val="center"/>
              <w:spacing w:after="0" w:line="360" w:lineRule="auto"/>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2</w:t>
            </w:r>
            <w:r/>
          </w:p>
        </w:tc>
        <w:tc>
          <w:tcPr>
            <w:tcW w:w="2112" w:type="dxa"/>
            <w:vAlign w:val="center"/>
            <w:textDirection w:val="lrTb"/>
            <w:noWrap w:val="false"/>
          </w:tcPr>
          <w:p>
            <w:pPr>
              <w:pStyle w:val="1028"/>
              <w:ind w:left="0" w:firstLine="0"/>
              <w:jc w:val="both"/>
              <w:spacing w:after="0" w:line="360" w:lineRule="auto"/>
              <w:rPr>
                <w:rFonts w:hint="eastAsia" w:ascii="宋体" w:hAnsi="宋体" w:eastAsia="宋体" w:cs="宋体"/>
                <w:b w:val="0"/>
                <w:bCs w:val="0"/>
                <w:color w:val="auto"/>
                <w:sz w:val="21"/>
                <w:szCs w:val="21"/>
                <w:highlight w:val="none"/>
                <w:vertAlign w:val="baseline"/>
                <w:lang w:val="en-US"/>
              </w:rPr>
            </w:pPr>
            <w:r>
              <w:rPr>
                <w:rFonts w:hint="eastAsia" w:ascii="宋体" w:hAnsi="宋体" w:eastAsia="宋体" w:cs="宋体"/>
                <w:b w:val="0"/>
                <w:bCs w:val="0"/>
                <w:color w:val="auto"/>
                <w:sz w:val="21"/>
                <w:szCs w:val="21"/>
                <w:highlight w:val="none"/>
                <w:lang w:val="en-US" w:eastAsia="zh-CN"/>
              </w:rPr>
              <w:t xml:space="preserve">政府援助对象（介护）</w:t>
            </w:r>
            <w:r/>
          </w:p>
        </w:tc>
        <w:tc>
          <w:tcPr>
            <w:tcW w:w="972" w:type="dxa"/>
            <w:vAlign w:val="center"/>
            <w:textDirection w:val="lrTb"/>
            <w:noWrap w:val="false"/>
          </w:tcPr>
          <w:p>
            <w:pPr>
              <w:pStyle w:val="1028"/>
              <w:ind w:left="0" w:firstLine="0"/>
              <w:jc w:val="center"/>
              <w:spacing w:after="0" w:line="360" w:lineRule="auto"/>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5</w:t>
            </w:r>
            <w:r/>
          </w:p>
        </w:tc>
        <w:tc>
          <w:tcPr>
            <w:tcW w:w="1251" w:type="dxa"/>
            <w:vAlign w:val="center"/>
            <w:textDirection w:val="lrTb"/>
            <w:noWrap w:val="false"/>
          </w:tcPr>
          <w:p>
            <w:pPr>
              <w:pStyle w:val="1028"/>
              <w:ind w:left="0" w:firstLine="0"/>
              <w:jc w:val="center"/>
              <w:spacing w:after="0" w:line="360" w:lineRule="auto"/>
              <w:rPr>
                <w:rFonts w:hint="default"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48</w:t>
            </w:r>
            <w:r/>
          </w:p>
        </w:tc>
        <w:tc>
          <w:tcPr>
            <w:tcW w:w="1203" w:type="dxa"/>
            <w:vAlign w:val="center"/>
            <w:textDirection w:val="lrTb"/>
            <w:noWrap w:val="false"/>
          </w:tcPr>
          <w:p>
            <w:pPr>
              <w:pStyle w:val="1028"/>
              <w:ind w:left="0" w:firstLine="0"/>
              <w:jc w:val="center"/>
              <w:spacing w:after="0" w:line="360" w:lineRule="auto"/>
              <w:rPr>
                <w:rFonts w:hint="default"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6</w:t>
            </w:r>
            <w:r/>
          </w:p>
        </w:tc>
        <w:tc>
          <w:tcPr>
            <w:tcW w:w="1216" w:type="dxa"/>
            <w:vAlign w:val="center"/>
            <w:textDirection w:val="lrTb"/>
            <w:noWrap w:val="false"/>
          </w:tcPr>
          <w:p>
            <w:pPr>
              <w:pStyle w:val="1028"/>
              <w:ind w:left="0" w:firstLine="0"/>
              <w:jc w:val="center"/>
              <w:spacing w:after="0" w:line="360" w:lineRule="auto"/>
              <w:rPr>
                <w:rFonts w:hint="default"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1440</w:t>
            </w:r>
            <w:r/>
          </w:p>
        </w:tc>
        <w:tc>
          <w:tcPr>
            <w:tcW w:w="1370" w:type="dxa"/>
            <w:vAlign w:val="center"/>
            <w:textDirection w:val="lrTb"/>
            <w:noWrap w:val="false"/>
          </w:tcPr>
          <w:p>
            <w:pPr>
              <w:pStyle w:val="1028"/>
              <w:ind w:left="0" w:firstLine="0"/>
              <w:jc w:val="center"/>
              <w:spacing w:after="0" w:line="360" w:lineRule="auto"/>
              <w:rPr>
                <w:rFonts w:hint="default"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30</w:t>
            </w:r>
            <w:r/>
          </w:p>
        </w:tc>
      </w:tr>
      <w:tr>
        <w:trPr>
          <w:jc w:val="center"/>
        </w:trPr>
        <w:tc>
          <w:tcPr>
            <w:tcW w:w="573" w:type="dxa"/>
            <w:vAlign w:val="center"/>
            <w:textDirection w:val="lrTb"/>
            <w:noWrap w:val="false"/>
          </w:tcPr>
          <w:p>
            <w:pPr>
              <w:pStyle w:val="1028"/>
              <w:ind w:left="0" w:firstLine="0"/>
              <w:jc w:val="center"/>
              <w:spacing w:after="0" w:line="360" w:lineRule="auto"/>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3</w:t>
            </w:r>
            <w:r/>
          </w:p>
        </w:tc>
        <w:tc>
          <w:tcPr>
            <w:tcW w:w="2112" w:type="dxa"/>
            <w:vAlign w:val="center"/>
            <w:textDirection w:val="lrTb"/>
            <w:noWrap w:val="false"/>
          </w:tcPr>
          <w:p>
            <w:pPr>
              <w:pStyle w:val="1028"/>
              <w:ind w:left="0" w:firstLine="0"/>
              <w:jc w:val="both"/>
              <w:spacing w:after="0" w:line="360" w:lineRule="auto"/>
              <w:rPr>
                <w:rFonts w:hint="eastAsia" w:ascii="宋体" w:hAnsi="宋体" w:eastAsia="宋体" w:cs="宋体"/>
                <w:b w:val="0"/>
                <w:bCs w:val="0"/>
                <w:color w:val="auto"/>
                <w:sz w:val="21"/>
                <w:szCs w:val="21"/>
                <w:highlight w:val="none"/>
                <w:vertAlign w:val="baseline"/>
                <w:lang w:val="en-US"/>
              </w:rPr>
            </w:pPr>
            <w:r>
              <w:rPr>
                <w:rFonts w:hint="eastAsia" w:ascii="宋体" w:hAnsi="宋体" w:eastAsia="宋体" w:cs="宋体"/>
                <w:b w:val="0"/>
                <w:bCs w:val="0"/>
                <w:color w:val="auto"/>
                <w:sz w:val="21"/>
                <w:szCs w:val="21"/>
                <w:highlight w:val="none"/>
                <w:lang w:val="en-US" w:eastAsia="zh-CN"/>
              </w:rPr>
              <w:t xml:space="preserve">80周岁及以上的老年人和70周岁及以上的计划生育特别扶助对象</w:t>
            </w:r>
            <w:r/>
          </w:p>
        </w:tc>
        <w:tc>
          <w:tcPr>
            <w:tcW w:w="972" w:type="dxa"/>
            <w:vAlign w:val="center"/>
            <w:textDirection w:val="lrTb"/>
            <w:noWrap w:val="false"/>
          </w:tcPr>
          <w:p>
            <w:pPr>
              <w:pStyle w:val="1028"/>
              <w:ind w:left="0" w:firstLine="0"/>
              <w:jc w:val="center"/>
              <w:spacing w:after="0" w:line="360" w:lineRule="auto"/>
              <w:rPr>
                <w:rFonts w:hint="default"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1200</w:t>
            </w:r>
            <w:r/>
          </w:p>
        </w:tc>
        <w:tc>
          <w:tcPr>
            <w:tcW w:w="1251" w:type="dxa"/>
            <w:vAlign w:val="center"/>
            <w:textDirection w:val="lrTb"/>
            <w:noWrap w:val="false"/>
          </w:tcPr>
          <w:p>
            <w:pPr>
              <w:pStyle w:val="1028"/>
              <w:ind w:left="0" w:firstLine="0"/>
              <w:jc w:val="center"/>
              <w:spacing w:after="0" w:line="360" w:lineRule="auto"/>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6</w:t>
            </w:r>
            <w:r/>
          </w:p>
        </w:tc>
        <w:tc>
          <w:tcPr>
            <w:tcW w:w="1203" w:type="dxa"/>
            <w:vAlign w:val="center"/>
            <w:textDirection w:val="lrTb"/>
            <w:noWrap w:val="false"/>
          </w:tcPr>
          <w:p>
            <w:pPr>
              <w:pStyle w:val="1028"/>
              <w:ind w:left="0" w:firstLine="0"/>
              <w:jc w:val="center"/>
              <w:spacing w:after="0" w:line="360" w:lineRule="auto"/>
              <w:rPr>
                <w:rFonts w:hint="default"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6</w:t>
            </w:r>
            <w:r/>
          </w:p>
        </w:tc>
        <w:tc>
          <w:tcPr>
            <w:tcW w:w="1216" w:type="dxa"/>
            <w:vAlign w:val="center"/>
            <w:textDirection w:val="lrTb"/>
            <w:noWrap w:val="false"/>
          </w:tcPr>
          <w:p>
            <w:pPr>
              <w:pStyle w:val="1028"/>
              <w:ind w:left="0" w:firstLine="0"/>
              <w:jc w:val="center"/>
              <w:spacing w:after="0" w:line="360" w:lineRule="auto"/>
              <w:rPr>
                <w:rFonts w:hint="default"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43200</w:t>
            </w:r>
            <w:r/>
          </w:p>
        </w:tc>
        <w:tc>
          <w:tcPr>
            <w:tcW w:w="1370" w:type="dxa"/>
            <w:vAlign w:val="center"/>
            <w:textDirection w:val="lrTb"/>
            <w:noWrap w:val="false"/>
          </w:tcPr>
          <w:p>
            <w:pPr>
              <w:pStyle w:val="1028"/>
              <w:ind w:left="0" w:firstLine="0"/>
              <w:jc w:val="center"/>
              <w:spacing w:after="0" w:line="360" w:lineRule="auto"/>
              <w:rPr>
                <w:rFonts w:hint="default"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30</w:t>
            </w:r>
            <w:r/>
          </w:p>
        </w:tc>
      </w:tr>
    </w:tbl>
    <w:p>
      <w:pPr>
        <w:numPr>
          <w:ilvl w:val="0"/>
          <w:numId w:val="0"/>
        </w:numPr>
        <w:ind w:firstLine="482"/>
        <w:spacing w:line="360" w:lineRule="auto"/>
        <w:widowControl/>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（三）指导收费要求</w:t>
      </w:r>
      <w:r/>
    </w:p>
    <w:p>
      <w:pPr>
        <w:numPr>
          <w:ilvl w:val="0"/>
          <w:numId w:val="0"/>
        </w:numPr>
        <w:ind w:firstLine="482"/>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本项目的服务单价及单价报价按照《苏州市居家养老服务体系建设实施意见》（苏府办【2013】196号）文件的要求随苏州市最低工资标准的增长幅度实行自然增长机制，根据《关于进一步提速增效，提升老年人社区居家养老服务水平的通知》苏高新社〔2021〕127号，苏州市高新区（虎丘区）现行的养老援助补助价格按30元每小时执行，如有最新政策则按最新政策执行。采购单位最终支付的费用按实际服务人数、时间以及政策规定的服务单价结算。</w:t>
      </w:r>
      <w:r/>
    </w:p>
    <w:p>
      <w:pPr>
        <w:numPr>
          <w:ilvl w:val="0"/>
          <w:numId w:val="0"/>
        </w:numPr>
        <w:ind w:firstLine="482"/>
        <w:spacing w:line="360" w:lineRule="auto"/>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（四）服务要求：</w:t>
      </w:r>
      <w:r/>
    </w:p>
    <w:p>
      <w:pPr>
        <w:numPr>
          <w:ilvl w:val="0"/>
          <w:numId w:val="0"/>
        </w:numPr>
        <w:ind w:firstLine="482"/>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1、居家养老服务必须使用高新区虚拟养老信息系统，纳入高新区虚拟养老院统一管理、调配；接受区、街道、社区和服务对象的监督,经采购单位同意也可链接自有系统对接数据；</w:t>
      </w:r>
      <w:r/>
    </w:p>
    <w:p>
      <w:pPr>
        <w:numPr>
          <w:ilvl w:val="0"/>
          <w:numId w:val="0"/>
        </w:numPr>
        <w:ind w:firstLine="482"/>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2、合理配备管理人员及服务人员，确保养老服务项目的正常实施；</w:t>
      </w:r>
      <w:r/>
    </w:p>
    <w:p>
      <w:pPr>
        <w:numPr>
          <w:ilvl w:val="0"/>
          <w:numId w:val="0"/>
        </w:numPr>
        <w:ind w:firstLine="482"/>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3、制定完善的管理制度和保障机制，做到管理正规化、服务规范化、考核标准化；</w:t>
      </w:r>
      <w:r/>
    </w:p>
    <w:p>
      <w:pPr>
        <w:numPr>
          <w:ilvl w:val="0"/>
          <w:numId w:val="0"/>
        </w:numPr>
        <w:ind w:firstLine="482"/>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4、制定合理的薪资标准，本项目内管理人员及服务人员的薪资由成交单位自己承担（含一切福利待遇、保险等，且不得低于苏州市最低工资标准）；</w:t>
      </w:r>
      <w:r/>
    </w:p>
    <w:p>
      <w:pPr>
        <w:numPr>
          <w:ilvl w:val="0"/>
          <w:numId w:val="0"/>
        </w:numPr>
        <w:ind w:firstLine="482"/>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5、负责添置服务内容所需要设备的购置，相关费用由响应单位自行考虑，采购人不再额外支付相关费用；</w:t>
      </w:r>
      <w:r/>
    </w:p>
    <w:p>
      <w:pPr>
        <w:numPr>
          <w:ilvl w:val="0"/>
          <w:numId w:val="0"/>
        </w:numPr>
        <w:ind w:firstLine="482"/>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6、政府援助对象、补助对象根据经社会事业办审批确定的正式名单为准。实际人数可能会增加或减少，最终结算费用按实际服务户数进行结算。请响应单位在响应时综合考虑此类风险；</w:t>
      </w:r>
      <w:r/>
    </w:p>
    <w:p>
      <w:pPr>
        <w:numPr>
          <w:ilvl w:val="0"/>
          <w:numId w:val="0"/>
        </w:numPr>
        <w:ind w:firstLine="482"/>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7、居家养老政府援助、补助对象的标准，以及其享受的服务时间，可能会根据市政府政策的调整而做出相应调整；</w:t>
      </w:r>
      <w:r/>
    </w:p>
    <w:p>
      <w:pPr>
        <w:numPr>
          <w:ilvl w:val="0"/>
          <w:numId w:val="0"/>
        </w:numPr>
        <w:ind w:firstLine="482"/>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前期投入要求：成交单位须在居家养老服务开始前投入能达到项目实施相关要求的设备和服务队伍。其中所有本项目服务人员均要求雇员制聘用。成交后，成交单位需及时在本项目服务期开始的当月为本项目服务人员签订劳动合同并缴纳社保；</w:t>
      </w:r>
      <w:r/>
    </w:p>
    <w:p>
      <w:pPr>
        <w:numPr>
          <w:ilvl w:val="0"/>
          <w:numId w:val="0"/>
        </w:numPr>
        <w:ind w:firstLine="482"/>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9、成交后，本项目服务人员在服务期间原则上不允许更换，如确实需要更换的，必须至少提前一个月跟采购人报备，更换后的人员同样需要在服务的当月签订劳动合同并缴纳社保；</w:t>
      </w:r>
      <w:r/>
    </w:p>
    <w:p>
      <w:pPr>
        <w:numPr>
          <w:ilvl w:val="0"/>
          <w:numId w:val="0"/>
        </w:numPr>
        <w:ind w:firstLine="482"/>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10、服务期间应接受除采购人的管理外，同时需接受上级相关部门的管理考核和检查等，需接入区养老管理平台。成交单位须对所产生的全部服务工单进行回访，每单回访期限不得超过2天。成交单位须对居家服务人员进行岗前培训，合格后，方能正式上岗；</w:t>
      </w:r>
      <w:r/>
    </w:p>
    <w:p>
      <w:pPr>
        <w:numPr>
          <w:ilvl w:val="0"/>
          <w:numId w:val="0"/>
        </w:numPr>
        <w:ind w:firstLine="482"/>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11、响应单位承诺使用高新区居家养老服务信息平台并对服务对象各项信息进行保密，不得外泄；</w:t>
      </w:r>
      <w:r/>
    </w:p>
    <w:p>
      <w:pPr>
        <w:numPr>
          <w:ilvl w:val="0"/>
          <w:numId w:val="0"/>
        </w:numPr>
        <w:ind w:firstLine="482"/>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12、各项具体服务（包含个性服务或套餐式服务）的内容及所对应消费的小时数必须报采购人及区主管部门通过后方可开展；</w:t>
      </w:r>
      <w:r/>
    </w:p>
    <w:p>
      <w:pPr>
        <w:numPr>
          <w:ilvl w:val="0"/>
          <w:numId w:val="0"/>
        </w:numPr>
        <w:ind w:firstLine="482"/>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13、成交单位需配合街道完成高新区高质量考核工作。</w:t>
      </w:r>
      <w:r/>
    </w:p>
    <w:p>
      <w:pPr>
        <w:numPr>
          <w:ilvl w:val="0"/>
          <w:numId w:val="0"/>
        </w:numPr>
        <w:ind w:firstLine="482"/>
        <w:spacing w:line="360" w:lineRule="auto"/>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（五）考核要求</w:t>
      </w:r>
      <w:r/>
    </w:p>
    <w:p>
      <w:pPr>
        <w:numPr>
          <w:ilvl w:val="-1"/>
          <w:numId w:val="0"/>
        </w:numPr>
        <w:ind w:firstLine="480"/>
        <w:spacing w:line="360" w:lineRule="auto"/>
        <w:widowControl/>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按 《苏州高新区社区居家养老服务设施运营和居家上门服务考核办法》（苏高新社【2022】47号）文件及其补充通知（如有）执行，由区社会事业局养老职能部门与由区社会事业局通过公开采购承担监督考核的第三方机构每季度对运营管理情况进行考核，连续两个季度考核不合格，甲方有权终止合同。考核办法请各潜在供应商报名确认后进入百度网盘分享链接下载查看，若下载有问题请及时联系代理公司，联系电话</w:t>
      </w:r>
      <w:r>
        <w:rPr>
          <w:rFonts w:hint="eastAsia" w:ascii="宋体" w:hAnsi="宋体" w:eastAsia="宋体" w:cs="宋体"/>
          <w:color w:val="auto"/>
          <w:sz w:val="24"/>
          <w:szCs w:val="24"/>
          <w:highlight w:val="none"/>
        </w:rPr>
        <w:t xml:space="preserve">0512-65583189</w:t>
      </w:r>
      <w:r>
        <w:rPr>
          <w:rFonts w:hint="default" w:ascii="宋体" w:hAnsi="宋体" w:cs="宋体"/>
          <w:b w:val="0"/>
          <w:bCs w:val="0"/>
          <w:color w:val="auto"/>
          <w:sz w:val="24"/>
          <w:szCs w:val="24"/>
          <w:highlight w:val="none"/>
          <w:lang w:val="en-US" w:eastAsia="zh-CN"/>
        </w:rPr>
        <w:t xml:space="preserve">。</w:t>
      </w:r>
      <w:r/>
    </w:p>
    <w:p>
      <w:pPr>
        <w:numPr>
          <w:ilvl w:val="0"/>
          <w:numId w:val="0"/>
        </w:numPr>
        <w:ind w:firstLine="482"/>
        <w:spacing w:line="360" w:lineRule="auto"/>
        <w:widowControl/>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链接：</w:t>
      </w:r>
      <w:r>
        <w:rPr>
          <w:rFonts w:hint="eastAsia" w:ascii="宋体" w:hAnsi="宋体" w:cs="宋体"/>
          <w:b w:val="0"/>
          <w:bCs w:val="0"/>
          <w:color w:val="auto"/>
          <w:sz w:val="24"/>
          <w:szCs w:val="24"/>
          <w:highlight w:val="none"/>
          <w:lang w:val="en-US" w:eastAsia="zh-CN"/>
        </w:rPr>
        <w:t xml:space="preserve">https://pan.baidu.com/s/1-Rh8sbvlzT8LN_BRRD7HQg?pwd=8dka</w:t>
      </w:r>
      <w:r/>
    </w:p>
    <w:p>
      <w:pPr>
        <w:numPr>
          <w:ilvl w:val="0"/>
          <w:numId w:val="0"/>
        </w:numPr>
        <w:ind w:firstLine="482"/>
        <w:spacing w:line="360" w:lineRule="auto"/>
        <w:widowControl/>
        <w:rPr>
          <w:rFonts w:hint="default" w:ascii="宋体" w:hAnsi="宋体" w:cs="宋体"/>
          <w:b/>
          <w:bCs/>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提取码：</w:t>
      </w:r>
      <w:r>
        <w:rPr>
          <w:rFonts w:hint="eastAsia" w:ascii="宋体" w:hAnsi="宋体" w:cs="宋体"/>
          <w:b w:val="0"/>
          <w:bCs w:val="0"/>
          <w:color w:val="auto"/>
          <w:sz w:val="24"/>
          <w:szCs w:val="24"/>
          <w:highlight w:val="none"/>
          <w:lang w:val="en-US" w:eastAsia="zh-CN"/>
        </w:rPr>
        <w:t xml:space="preserve">8dka</w:t>
      </w:r>
      <w:r/>
    </w:p>
    <w:p>
      <w:pPr>
        <w:numPr>
          <w:ilvl w:val="0"/>
          <w:numId w:val="0"/>
        </w:numPr>
        <w:ind w:firstLine="482"/>
        <w:spacing w:line="360" w:lineRule="auto"/>
        <w:widowControl/>
        <w:rPr>
          <w:rFonts w:hint="default" w:ascii="宋体" w:hAnsi="宋体" w:cs="宋体"/>
          <w:b/>
          <w:bCs/>
          <w:color w:val="auto"/>
          <w:sz w:val="24"/>
          <w:szCs w:val="24"/>
          <w:highlight w:val="none"/>
          <w:lang w:val="en-US" w:eastAsia="zh-CN"/>
        </w:rPr>
      </w:pPr>
      <w:r>
        <w:rPr>
          <w:rFonts w:hint="default" w:ascii="宋体" w:hAnsi="宋体" w:cs="宋体"/>
          <w:b/>
          <w:bCs/>
          <w:color w:val="auto"/>
          <w:sz w:val="24"/>
          <w:szCs w:val="24"/>
          <w:highlight w:val="none"/>
          <w:lang w:val="en-US" w:eastAsia="zh-CN"/>
        </w:rPr>
        <w:t xml:space="preserve">（六）本项目服务团队人员配置要求：</w:t>
      </w:r>
      <w:r/>
    </w:p>
    <w:p>
      <w:pPr>
        <w:numPr>
          <w:ilvl w:val="0"/>
          <w:numId w:val="0"/>
        </w:numPr>
        <w:ind w:firstLine="482"/>
        <w:spacing w:line="360" w:lineRule="auto"/>
        <w:widowControl/>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1、响应单位应熟悉本地情况，根据自身专业优势和项目需要，精心组建项目团队，并对团队成员的政治素质和业务素质负责。人员结构及专业配置须规模适度、结构合理，与项目的内容和要求相适应。</w:t>
      </w:r>
      <w:r/>
    </w:p>
    <w:p>
      <w:pPr>
        <w:numPr>
          <w:ilvl w:val="0"/>
          <w:numId w:val="0"/>
        </w:numPr>
        <w:ind w:firstLine="482"/>
        <w:spacing w:line="360" w:lineRule="auto"/>
        <w:widowControl/>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2、响应单位应为本项目组建专业服务团队，至少配备一名项目负责人，该负责人需具有丰富的服务经验，且具备相应服务技能。其他服务人员由响应单位根据项目情况自行配备，服务人员要求具备相应服务技能。</w:t>
      </w:r>
      <w:r/>
    </w:p>
    <w:p>
      <w:pPr>
        <w:numPr>
          <w:ilvl w:val="0"/>
          <w:numId w:val="0"/>
        </w:numPr>
        <w:ind w:firstLine="482"/>
        <w:spacing w:line="360" w:lineRule="auto"/>
        <w:widowControl/>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3、响应单位应保证人员的岗位设置基本固定。项目组成员需更换或调整的，应事先征得采购人的同意。</w:t>
      </w:r>
      <w:r/>
    </w:p>
    <w:p>
      <w:pPr>
        <w:numPr>
          <w:ilvl w:val="0"/>
          <w:numId w:val="0"/>
        </w:numPr>
        <w:ind w:firstLine="482"/>
        <w:spacing w:line="360" w:lineRule="auto"/>
        <w:widowControl/>
        <w:rPr>
          <w:rFonts w:hint="eastAsia"/>
          <w:color w:val="auto"/>
          <w:highlight w:val="none"/>
          <w:lang w:eastAsia="zh-CN"/>
        </w:rPr>
      </w:pPr>
      <w:r>
        <w:rPr>
          <w:rFonts w:hint="eastAsia" w:ascii="宋体" w:hAnsi="宋体" w:cs="宋体"/>
          <w:b/>
          <w:bCs/>
          <w:color w:val="auto"/>
          <w:sz w:val="24"/>
          <w:szCs w:val="24"/>
          <w:highlight w:val="none"/>
          <w:lang w:val="en-US" w:eastAsia="zh-CN"/>
        </w:rPr>
        <w:t xml:space="preserve">五、</w:t>
      </w:r>
      <w:r>
        <w:rPr>
          <w:rFonts w:hint="default" w:ascii="宋体" w:hAnsi="宋体" w:eastAsia="宋体" w:cs="宋体"/>
          <w:b w:val="0"/>
          <w:bCs w:val="0"/>
          <w:color w:val="auto"/>
          <w:sz w:val="24"/>
          <w:szCs w:val="24"/>
          <w:highlight w:val="none"/>
          <w:lang w:val="en-US" w:eastAsia="zh-CN"/>
        </w:rPr>
        <w:t xml:space="preserve">按《苏州高新区社区居家养老服务设施运营和居家上门服务考核办法》（苏高新社【2022】47号），</w:t>
      </w:r>
      <w:r>
        <w:rPr>
          <w:rFonts w:hint="eastAsia" w:cs="楷体" w:asciiTheme="minorEastAsia" w:hAnsiTheme="minorEastAsia" w:eastAsiaTheme="minorEastAsia"/>
          <w:b w:val="0"/>
          <w:bCs w:val="0"/>
          <w:color w:val="auto"/>
          <w:sz w:val="24"/>
          <w:highlight w:val="none"/>
          <w:lang w:val="en-US" w:eastAsia="zh-CN"/>
        </w:rPr>
        <w:t xml:space="preserve">考核情况与运营管理费用给付挂钩。</w:t>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、综合说明及其它要求：</w:t>
      </w:r>
      <w:r/>
    </w:p>
    <w:p>
      <w:pPr>
        <w:ind w:firstLine="480"/>
        <w:spacing w:line="360" w:lineRule="auto"/>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1、报价</w:t>
      </w:r>
      <w:r>
        <w:rPr>
          <w:rFonts w:ascii="宋体" w:hAnsi="宋体" w:cs="宋体"/>
          <w:color w:val="auto"/>
          <w:sz w:val="24"/>
          <w:szCs w:val="22"/>
          <w:highlight w:val="none"/>
        </w:rPr>
        <w:t xml:space="preserve">应</w:t>
      </w:r>
      <w:r>
        <w:rPr>
          <w:rFonts w:hint="default" w:ascii="宋体" w:hAnsi="宋体" w:cs="宋体"/>
          <w:color w:val="auto"/>
          <w:sz w:val="24"/>
          <w:szCs w:val="22"/>
          <w:highlight w:val="none"/>
        </w:rPr>
        <w:t xml:space="preserve">包括完成本项目</w:t>
      </w:r>
      <w:r>
        <w:rPr>
          <w:rFonts w:hint="default" w:ascii="宋体" w:hAnsi="宋体" w:eastAsia="宋体" w:cs="宋体"/>
          <w:color w:val="auto"/>
          <w:sz w:val="24"/>
          <w:szCs w:val="22"/>
          <w:highlight w:val="none"/>
        </w:rPr>
        <w:t xml:space="preserve">所需的</w:t>
      </w:r>
      <w:r>
        <w:rPr>
          <w:rFonts w:hint="default" w:ascii="宋体" w:hAnsi="宋体" w:eastAsia="宋体" w:cs="宋体"/>
          <w:color w:val="auto"/>
          <w:sz w:val="24"/>
          <w:szCs w:val="22"/>
          <w:highlight w:val="none"/>
          <w:lang w:eastAsia="zh-CN"/>
        </w:rPr>
        <w:t xml:space="preserve">人工成本（含社保、高温费、加班费）、餐费、耗材、通讯、服装、胸卡、办公设备、巡检器材、各种税费、保险、劳保、维护、利润、税金、医疗费、安全费、卫生费、福利费、教育费、住房公积金、保险费、劳保用品费、培训费、</w:t>
      </w:r>
      <w:r>
        <w:rPr>
          <w:rFonts w:hint="eastAsia" w:ascii="宋体" w:hAnsi="宋体" w:cs="宋体"/>
          <w:color w:val="auto"/>
          <w:sz w:val="24"/>
          <w:szCs w:val="22"/>
          <w:highlight w:val="none"/>
          <w:lang w:val="en-US" w:eastAsia="zh-CN"/>
        </w:rPr>
        <w:t xml:space="preserve">代理服务费、</w:t>
      </w:r>
      <w:r>
        <w:rPr>
          <w:rFonts w:hint="default" w:ascii="宋体" w:hAnsi="宋体" w:eastAsia="宋体" w:cs="宋体"/>
          <w:color w:val="auto"/>
          <w:sz w:val="24"/>
          <w:szCs w:val="22"/>
          <w:highlight w:val="none"/>
          <w:lang w:eastAsia="zh-CN"/>
        </w:rPr>
        <w:t xml:space="preserve">政策性文件规定及合同包含的所有风险、责任等各项应有费用。</w:t>
      </w:r>
      <w:r>
        <w:rPr>
          <w:rFonts w:hint="default" w:ascii="宋体" w:hAnsi="宋体" w:cs="宋体"/>
          <w:color w:val="auto"/>
          <w:sz w:val="24"/>
          <w:szCs w:val="22"/>
          <w:highlight w:val="none"/>
        </w:rPr>
        <w:t xml:space="preserve">同时，除非合同条款中另有规定，否则，响应供应商所报价格在合同实施期间不因市场变化因素而变动。</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本项目以第二次报价为最终报价，除非因特殊原因并经双方协商同意，响应单位不得再要求追加任何费用。同时，除非合同条款中另有规定，否则，响应单位所报价格在合同实施期间不因市场变化因素而变动,政策性条款例外。</w:t>
      </w:r>
      <w:r/>
    </w:p>
    <w:p>
      <w:pPr>
        <w:ind w:firstLine="480"/>
        <w:spacing w:line="360" w:lineRule="auto"/>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3、响应单位必须遵守中华人民共和国《劳动法》的规定，为采购人提供的服务人员如遇到工资纠纷问题由磋商响应单位自行解决。</w:t>
      </w:r>
      <w:r/>
    </w:p>
    <w:p>
      <w:pPr>
        <w:ind w:firstLine="480"/>
        <w:spacing w:line="360" w:lineRule="auto"/>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4、响应单位须为本项目配备的所有服务人员按规定缴纳社会保险及人身意外险，若工作人员在服务期间内出现的工伤及其他意外事故，均由响应单位自行负责，采购人不承担任何责任。</w:t>
      </w:r>
      <w:r/>
    </w:p>
    <w:p>
      <w:pPr>
        <w:ind w:firstLine="480"/>
        <w:spacing w:line="360" w:lineRule="auto"/>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5、合同履约期满或合同终止时，应将所有的服务记录等档案资料交给采购人。</w:t>
      </w:r>
      <w:r/>
    </w:p>
    <w:p>
      <w:pPr>
        <w:ind w:firstLine="480"/>
        <w:spacing w:line="360" w:lineRule="auto"/>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6、居家养老政府援助对象根据民政部门审批文件确定的正式名单为准，居家养老政府援助、补助对象由民政部门审批后，由成交单位与老人签订服务协议。如有自费老人，则由成交单位单独与老人自行签订服务协议，不在本次采购范围内。</w:t>
      </w:r>
      <w:r/>
    </w:p>
    <w:p>
      <w:pPr>
        <w:ind w:firstLine="480"/>
        <w:spacing w:line="360" w:lineRule="auto"/>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7、成交单位的相关管理资料，如服务老人的工作明细表等，须每月报采购人一份。</w:t>
      </w:r>
      <w:r/>
    </w:p>
    <w:p>
      <w:pPr>
        <w:ind w:firstLine="480"/>
        <w:spacing w:line="360" w:lineRule="auto"/>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8、保密要求：</w:t>
      </w:r>
      <w:r/>
    </w:p>
    <w:p>
      <w:pPr>
        <w:ind w:firstLine="480"/>
        <w:spacing w:line="360" w:lineRule="auto"/>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（1）成交单位负责对采购人所提供的全部资料及最终成果保密，成交单位（包含工作人员）需遵守采购人的保密规定，不以任何形式将收集的所有资料、数据等进行泄漏、传播；</w:t>
      </w:r>
      <w:r/>
    </w:p>
    <w:p>
      <w:pPr>
        <w:ind w:firstLine="480"/>
        <w:spacing w:line="360" w:lineRule="auto"/>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（2）项目服务人员需签署相关保密协议，承担本项目所涉工作中接触相关内容的保密义务。</w:t>
      </w:r>
      <w:r/>
    </w:p>
    <w:p>
      <w:pPr>
        <w:ind w:firstLine="480"/>
        <w:spacing w:line="360" w:lineRule="auto"/>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9、成交单位在项目服务期间应制定项目安全实施管理措施，并严格遵守安全管理要求，成交单位在项目服务过程中因管理不当等因素或不按安全管理要求，造成人员安全或财产损失事故的，其责任均由成交单位自行承担，采购人不承担责任。与本项目有关的所有质量、安全问题均由成交单位终身负责，如因上述原因造成的一切后果均由成交单位自行承担，与采购人无关。成交单位在项目进行过程中产生的任何人身安全、财产损坏等责任事故一律由成交单位自行承担。</w:t>
      </w:r>
      <w:r/>
    </w:p>
    <w:p>
      <w:pPr>
        <w:ind w:firstLine="480"/>
        <w:spacing w:line="360" w:lineRule="auto"/>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10、后续服务要求：成交单位需严格按采购文件规定的时间完成项目的全部工作内容，如在实施的过程中出现错误、误差，成交单位需负责及时更正直至采购人确认，并经主管部门验收合格；成交单位需提供必要的技术培训，协助采购人完成其他需要成交单位配合的服务。成交单位应严格遵守服务合约，项目完成以后，如采购人有需要成交单位配合的服务，成交单位必须予以配合，协助采购人完善项目内容。</w:t>
      </w:r>
      <w:r/>
    </w:p>
    <w:p>
      <w:pPr>
        <w:ind w:firstLine="480"/>
        <w:spacing w:line="360" w:lineRule="auto"/>
        <w:tabs>
          <w:tab w:val="left" w:pos="4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、在合同期内，因成交单位所造成的损失由成交单位按实际金额赔偿。</w:t>
      </w:r>
      <w:r/>
    </w:p>
    <w:p>
      <w:pPr>
        <w:ind w:firstLine="480"/>
        <w:spacing w:line="360" w:lineRule="auto"/>
        <w:tabs>
          <w:tab w:val="left" w:pos="420"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、服务地点：采购单位指定地点。</w:t>
      </w:r>
      <w:r/>
    </w:p>
    <w:p>
      <w:pPr>
        <w:ind w:firstLine="482"/>
        <w:spacing w:line="360" w:lineRule="auto"/>
        <w:tabs>
          <w:tab w:val="left" w:pos="42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、政府采购政策：</w:t>
      </w:r>
      <w:r/>
    </w:p>
    <w:p>
      <w:pPr>
        <w:ind w:firstLine="480"/>
        <w:spacing w:line="360" w:lineRule="auto"/>
        <w:tabs>
          <w:tab w:val="left" w:pos="567"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（一）中小企业相关政策</w:t>
      </w:r>
      <w:r/>
    </w:p>
    <w:p>
      <w:pPr>
        <w:ind w:firstLine="480"/>
        <w:spacing w:line="360" w:lineRule="auto"/>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8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1、在货物采购项目中，货物由小型或微型企业制造，即货物由小型或微型企业生产且使用该小型或微型企业商号或者注册商标的，其报价在评审时给予20%的扣除，用扣除后的价格参与价格评审。</w:t>
      </w:r>
      <w:r/>
    </w:p>
    <w:p>
      <w:pPr>
        <w:ind w:firstLine="48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2、在服务采购项目中，服务由小型或微型企业承接，即提供服务的人员为小型或微型企业依照《中华人民共和国民法典》订立劳动合同的从业人员，其报价给予20%的扣除，用扣除后的价格参与价格评审。</w:t>
      </w:r>
      <w:r/>
    </w:p>
    <w:p>
      <w:pPr>
        <w:ind w:firstLine="48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3、在货物采购项目中，供应商提供的货物既有小型或微型企业制造货物，也有中型或大型企业制造货物的，不享受本办法规定的小微企业价格扶持政策。</w:t>
      </w:r>
      <w:r/>
    </w:p>
    <w:p>
      <w:pPr>
        <w:ind w:firstLine="48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4、以联合体形式参加政府采购活动，联合体各方均为中小企业的，联合体视同中小企业。其中，联合体各方均为小微企业的，联合体视同小微企业。</w:t>
      </w:r>
      <w:r/>
    </w:p>
    <w:p>
      <w:pPr>
        <w:ind w:firstLine="480"/>
        <w:spacing w:line="360" w:lineRule="auto"/>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5、符合中小企业划分标准的个体工商户，在政府采购活动中视同中小企业。</w:t>
      </w:r>
      <w:r/>
    </w:p>
    <w:p>
      <w:pPr>
        <w:ind w:firstLine="480"/>
        <w:spacing w:line="360" w:lineRule="auto"/>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6、如供应商认定本企业提供的货物、工程或服务符合上述文件规定情形，可以享受中小企业扶持政策的，则需根据《中小企业划型标准规定》（工信部联企业〔2011〕300号）提交《中小企业声明函》并加盖公章，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color w:val="auto"/>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tabs>
          <w:tab w:val="left" w:pos="420" w:leader="none"/>
          <w:tab w:val="left" w:pos="1260" w:leader="none"/>
          <w:tab w:val="left" w:pos="1440" w:leader="none"/>
        </w:tabs>
        <w:rPr>
          <w:rFonts w:hint="eastAsia" w:ascii="宋体" w:hAnsi="宋体" w:cs="宋体"/>
          <w:b/>
          <w:color w:val="auto"/>
          <w:sz w:val="24"/>
          <w:szCs w:val="24"/>
          <w:highlight w:val="none"/>
        </w:rPr>
      </w:pPr>
      <w:r>
        <w:rPr>
          <w:rFonts w:hint="eastAsia" w:ascii="宋体" w:hAnsi="宋体" w:eastAsia="宋体" w:cs="宋体"/>
          <w:color w:val="auto"/>
          <w:sz w:val="24"/>
          <w:szCs w:val="24"/>
          <w:highlight w:val="none"/>
        </w:rPr>
        <w:t xml:space="preserve">7、根据《政府采购促进中小企业发展管理办法》（财库〔2020〕46号）及《中小企业划型标准规定》（工信部联企业〔2011〕300号），</w:t>
      </w:r>
      <w:r>
        <w:rPr>
          <w:rFonts w:hint="eastAsia" w:ascii="宋体" w:hAnsi="宋体" w:eastAsia="宋体" w:cs="宋体"/>
          <w:b/>
          <w:color w:val="auto"/>
          <w:sz w:val="24"/>
          <w:szCs w:val="24"/>
          <w:highlight w:val="none"/>
        </w:rPr>
        <w:t xml:space="preserve">本采购标的对应的中小企业划分标准所属行业为：</w:t>
      </w:r>
      <w:r>
        <w:rPr>
          <w:rFonts w:hint="eastAsia" w:ascii="宋体" w:hAnsi="宋体" w:eastAsia="宋体" w:cs="宋体"/>
          <w:b/>
          <w:bCs/>
          <w:color w:val="auto"/>
          <w:sz w:val="24"/>
          <w:szCs w:val="24"/>
          <w:highlight w:val="none"/>
          <w:u w:val="single"/>
        </w:rPr>
        <w:t xml:space="preserve">其他未列明行业</w:t>
      </w:r>
      <w:r>
        <w:rPr>
          <w:rFonts w:hint="eastAsia" w:ascii="宋体" w:hAnsi="宋体" w:eastAsia="宋体" w:cs="宋体"/>
          <w:b/>
          <w:color w:val="auto"/>
          <w:sz w:val="24"/>
          <w:szCs w:val="24"/>
          <w:highlight w:val="none"/>
        </w:rPr>
        <w:t xml:space="preserve">。</w:t>
      </w:r>
      <w:r/>
    </w:p>
    <w:p>
      <w:pPr>
        <w:ind w:firstLine="480"/>
        <w:spacing w:line="360" w:lineRule="auto"/>
        <w:tabs>
          <w:tab w:val="left" w:pos="567"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8、残疾人福利性单位</w:t>
      </w:r>
      <w:r/>
    </w:p>
    <w:p>
      <w:pPr>
        <w:ind w:firstLine="480"/>
        <w:spacing w:line="360" w:lineRule="auto"/>
        <w:tabs>
          <w:tab w:val="left" w:pos="567"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tabs>
          <w:tab w:val="left" w:pos="567"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9、监狱企业</w:t>
      </w:r>
      <w:r/>
    </w:p>
    <w:p>
      <w:pPr>
        <w:ind w:firstLine="480"/>
        <w:spacing w:line="360" w:lineRule="auto"/>
        <w:tabs>
          <w:tab w:val="left" w:pos="567"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spacing w:line="360" w:lineRule="auto"/>
        <w:tabs>
          <w:tab w:val="left" w:pos="567"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10、若为专门面向中小企业采购的项目或者采购包，不再执行价格评审优惠的扶持政策。</w:t>
      </w:r>
      <w:r/>
    </w:p>
    <w:p>
      <w:pPr>
        <w:ind w:firstLine="210"/>
        <w:spacing w:line="360" w:lineRule="auto"/>
        <w:tabs>
          <w:tab w:val="left" w:pos="567"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（二）节能产品和环境标志产品（本项目不涉及）</w:t>
      </w:r>
      <w:r/>
    </w:p>
    <w:p>
      <w:pPr>
        <w:ind w:firstLine="48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关于调整优化节能产品、环境标志产品政府采购执行机制的通知》（财库〔2019〕9号）、《关于贯彻执行绿色采购、促进残疾人就业和支持监狱企业发展有关政策的通知》（苏财购〔2019〕10号）的文件规定：</w:t>
      </w:r>
      <w:r/>
    </w:p>
    <w:p>
      <w:pPr>
        <w:ind w:firstLine="48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若本次采购的产品属于财政部、国家发展改革委、生态环境部、市场监管总局等部门发布的节能产品、环境标志产品政府强制采购品目清单的，供应商须在响应文件中提供响应产品由认证机构出具的、处于有效期之内的节能产品、环境标志产品认证证书，未提供或提供不全的将视响应文件为未实质性响应采购要求。</w:t>
      </w:r>
      <w:r/>
    </w:p>
    <w:p>
      <w:pPr>
        <w:ind w:firstLine="48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若本次采购的产品属于财政部、国家发展改革委、生态环境部、市场监管总局等部门发布的节能产品、环境标志产品政府优先采购品目清单的，供应商在响应文件中提供响应产品由认证机构出具的、处于有效期之内的节能产品、环境标志产品认证证书，在综合得分和报价相同的情况下，提供所投产品节能产品、环境标志产品认证证书数量最多的，优先中标（成交）。</w:t>
      </w:r>
      <w:r/>
    </w:p>
    <w:p>
      <w:pPr>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、凡涉及采购文件的补充说明和修改，均以苏州市政府采购网发布的文件为准。</w:t>
      </w:r>
      <w:r/>
    </w:p>
    <w:p>
      <w:pPr>
        <w:jc w:val="center"/>
        <w:spacing w:line="360" w:lineRule="auto"/>
        <w:tabs>
          <w:tab w:val="left" w:pos="8930" w:leader="none"/>
          <w:tab w:val="left" w:pos="9306" w:leader="none"/>
        </w:tabs>
        <w:rPr>
          <w:rStyle w:val="1020"/>
          <w:rFonts w:hint="eastAsia" w:ascii="宋体" w:hAnsi="宋体" w:cs="宋体"/>
          <w:color w:val="auto"/>
          <w:sz w:val="32"/>
          <w:szCs w:val="32"/>
          <w:highlight w:val="none"/>
        </w:rPr>
        <w:outlineLvl w:val="0"/>
      </w:pPr>
      <w:r>
        <w:rPr>
          <w:rFonts w:hint="eastAsia" w:ascii="宋体" w:hAnsi="宋体" w:cs="宋体"/>
          <w:b/>
          <w:bCs/>
          <w:color w:val="auto"/>
          <w:sz w:val="24"/>
          <w:szCs w:val="24"/>
          <w:highlight w:val="none"/>
        </w:rPr>
        <w:br w:type="page" w:clear="all"/>
      </w:r>
      <w:bookmarkStart w:id="28" w:name="_Toc197425372"/>
      <w:r>
        <w:rPr>
          <w:rFonts w:hint="eastAsia" w:ascii="宋体" w:hAnsi="宋体" w:eastAsia="宋体" w:cs="宋体"/>
          <w:b/>
          <w:bCs/>
          <w:color w:val="auto"/>
          <w:sz w:val="32"/>
          <w:szCs w:val="32"/>
          <w:highlight w:val="none"/>
        </w:rPr>
        <w:t xml:space="preserve">第五章  </w:t>
      </w:r>
      <w:r>
        <w:rPr>
          <w:rStyle w:val="1020"/>
          <w:rFonts w:hint="eastAsia" w:ascii="宋体" w:hAnsi="宋体" w:eastAsia="宋体" w:cs="宋体"/>
          <w:color w:val="auto"/>
          <w:sz w:val="32"/>
          <w:szCs w:val="32"/>
          <w:highlight w:val="none"/>
        </w:rPr>
        <w:t xml:space="preserve">合同主要条款</w:t>
      </w:r>
      <w:bookmarkEnd w:id="28"/>
      <w:r/>
      <w:r/>
    </w:p>
    <w:p>
      <w:pPr>
        <w:jc w:val="center"/>
        <w:spacing w:line="360" w:lineRule="auto"/>
        <w:rPr>
          <w:rFonts w:hint="eastAsia" w:ascii="宋体" w:hAnsi="宋体" w:cs="宋体"/>
          <w:b/>
          <w:color w:val="auto"/>
          <w:sz w:val="24"/>
          <w:szCs w:val="32"/>
          <w:highlight w:val="none"/>
        </w:rPr>
      </w:pPr>
      <w:r>
        <w:rPr>
          <w:rFonts w:hint="eastAsia" w:ascii="宋体" w:hAnsi="宋体" w:cs="宋体"/>
          <w:b/>
          <w:color w:val="auto"/>
          <w:sz w:val="24"/>
          <w:szCs w:val="32"/>
          <w:highlight w:val="none"/>
        </w:rPr>
      </w:r>
      <w:r/>
    </w:p>
    <w:p>
      <w:pPr>
        <w:jc w:val="center"/>
        <w:rPr>
          <w:rFonts w:hint="eastAsia" w:ascii="宋体" w:hAnsi="宋体" w:eastAsia="宋体" w:cs="宋体"/>
          <w:color w:val="auto"/>
          <w:sz w:val="24"/>
          <w:szCs w:val="24"/>
          <w:highlight w:val="none"/>
        </w:rPr>
      </w:pPr>
      <w:r/>
      <w:bookmarkStart w:id="29" w:name="_Toc197425373"/>
      <w:r>
        <w:rPr>
          <w:rFonts w:hint="eastAsia" w:ascii="宋体" w:hAnsi="宋体" w:eastAsia="宋体" w:cs="宋体"/>
          <w:color w:val="auto"/>
          <w:sz w:val="24"/>
          <w:szCs w:val="24"/>
          <w:highlight w:val="none"/>
        </w:rPr>
        <w:t xml:space="preserve">（合同编号：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甲方（采购方）：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w:t>
      </w:r>
      <w:r/>
    </w:p>
    <w:p>
      <w:pPr>
        <w:pStyle w:val="844"/>
        <w:ind w:left="478"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乙方（服务方）： </w:t>
      </w:r>
      <w:r/>
    </w:p>
    <w:p>
      <w:pPr>
        <w:pStyle w:val="84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 </w:t>
      </w:r>
      <w:r/>
    </w:p>
    <w:p>
      <w:pPr>
        <w:pStyle w:val="844"/>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联系电话： </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firstLine="480"/>
        <w:spacing w:line="360" w:lineRule="auto"/>
        <w:tabs>
          <w:tab w:val="left" w:pos="832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u w:val="single"/>
        </w:rPr>
        <w:t xml:space="preserve">苏州</w:t>
      </w:r>
      <w:r>
        <w:rPr>
          <w:rFonts w:hint="eastAsia" w:ascii="宋体" w:hAnsi="宋体" w:cs="宋体"/>
          <w:color w:val="auto"/>
          <w:sz w:val="24"/>
          <w:szCs w:val="24"/>
          <w:highlight w:val="none"/>
          <w:u w:val="single"/>
          <w:lang w:val="en-US" w:eastAsia="zh-CN"/>
        </w:rPr>
        <w:t xml:space="preserve">中苏御源工程咨询有限公司</w:t>
      </w:r>
      <w:r>
        <w:rPr>
          <w:rFonts w:hint="eastAsia" w:ascii="宋体" w:hAnsi="宋体" w:eastAsia="宋体" w:cs="宋体"/>
          <w:color w:val="auto"/>
          <w:sz w:val="24"/>
          <w:szCs w:val="24"/>
          <w:highlight w:val="none"/>
        </w:rPr>
        <w:t xml:space="preserve">招标编号</w:t>
      </w:r>
      <w:r>
        <w:rPr>
          <w:rFonts w:hint="eastAsia" w:ascii="宋体" w:hAnsi="宋体" w:cs="宋体"/>
          <w:color w:val="auto"/>
          <w:sz w:val="24"/>
          <w:szCs w:val="24"/>
          <w:highlight w:val="none"/>
          <w:u w:val="single"/>
          <w:lang w:val="en-US" w:eastAsia="zh-CN"/>
        </w:rPr>
        <w:t xml:space="preserve">JSZC-320505-ZSYY-C2026-0005</w:t>
      </w:r>
      <w:r>
        <w:rPr>
          <w:rFonts w:hint="eastAsia" w:ascii="宋体" w:hAnsi="宋体" w:eastAsia="宋体" w:cs="宋体"/>
          <w:color w:val="auto"/>
          <w:sz w:val="24"/>
          <w:szCs w:val="24"/>
          <w:highlight w:val="none"/>
        </w:rPr>
        <w:t xml:space="preserve">号招标文件及中标单位的投标文件和中标通知书，</w:t>
      </w:r>
      <w:r>
        <w:rPr>
          <w:rFonts w:hint="eastAsia" w:ascii="宋体" w:hAnsi="宋体" w:eastAsia="宋体" w:cs="宋体"/>
          <w:color w:val="auto"/>
          <w:sz w:val="24"/>
          <w:szCs w:val="24"/>
          <w:highlight w:val="none"/>
          <w:lang w:val="zh-CN"/>
        </w:rPr>
        <w:t xml:space="preserve">甲乙双方就此次中标的</w:t>
      </w:r>
      <w:r>
        <w:rPr>
          <w:rFonts w:hint="eastAsia" w:ascii="宋体" w:hAnsi="宋体" w:cs="宋体"/>
          <w:color w:val="auto"/>
          <w:sz w:val="24"/>
          <w:szCs w:val="24"/>
          <w:highlight w:val="none"/>
          <w:u w:val="single"/>
          <w:lang w:val="zh-CN"/>
        </w:rPr>
        <w:t xml:space="preserve">东渚街道2026-2027年度居家养老上门服务</w:t>
      </w:r>
      <w:r>
        <w:rPr>
          <w:rFonts w:hint="eastAsia" w:ascii="宋体" w:hAnsi="宋体" w:eastAsia="宋体" w:cs="宋体"/>
          <w:color w:val="auto"/>
          <w:sz w:val="24"/>
          <w:szCs w:val="24"/>
          <w:highlight w:val="none"/>
          <w:lang w:val="zh-CN"/>
        </w:rPr>
        <w:t xml:space="preserve">事宜，签订本合同书。</w:t>
      </w:r>
      <w:r/>
    </w:p>
    <w:p>
      <w:pPr>
        <w:ind w:left="52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一、合同内容</w:t>
      </w:r>
      <w:r/>
    </w:p>
    <w:p>
      <w:pPr>
        <w:numPr>
          <w:ilvl w:val="0"/>
          <w:numId w:val="3"/>
        </w:numPr>
        <w:ind w:left="0" w:firstLine="482"/>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b/>
          <w:bCs/>
          <w:color w:val="auto"/>
          <w:sz w:val="24"/>
          <w:szCs w:val="24"/>
          <w:highlight w:val="none"/>
        </w:rPr>
        <w:t xml:space="preserve">项目名称:</w:t>
      </w:r>
      <w:r>
        <w:rPr>
          <w:rFonts w:hint="eastAsia" w:ascii="宋体" w:hAnsi="宋体" w:cs="宋体"/>
          <w:color w:val="auto"/>
          <w:sz w:val="24"/>
          <w:szCs w:val="24"/>
          <w:highlight w:val="none"/>
          <w:u w:val="single"/>
          <w:lang w:val="zh-CN"/>
        </w:rPr>
        <w:t xml:space="preserve">东渚街道2026-2027年度居家养老上门服务。</w:t>
      </w:r>
      <w:r/>
    </w:p>
    <w:p>
      <w:pPr>
        <w:numPr>
          <w:ilvl w:val="0"/>
          <w:numId w:val="3"/>
        </w:numPr>
        <w:ind w:left="0"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服务内容:</w:t>
      </w:r>
      <w:r>
        <w:rPr>
          <w:rFonts w:hint="eastAsia" w:ascii="宋体" w:hAnsi="宋体" w:eastAsia="宋体" w:cs="宋体"/>
          <w:color w:val="auto"/>
          <w:sz w:val="24"/>
          <w:szCs w:val="24"/>
          <w:highlight w:val="none"/>
        </w:rPr>
        <w:t xml:space="preserve"> 详见招标文件内服务内容</w:t>
      </w:r>
      <w:r>
        <w:rPr>
          <w:rFonts w:hint="eastAsia" w:ascii="宋体" w:hAnsi="宋体" w:eastAsia="宋体" w:cs="宋体"/>
          <w:color w:val="auto"/>
          <w:sz w:val="24"/>
          <w:szCs w:val="24"/>
          <w:highlight w:val="none"/>
          <w:lang w:val="en-US" w:eastAsia="zh-CN"/>
        </w:rPr>
        <w:t xml:space="preserve">及要求</w:t>
      </w:r>
      <w:r>
        <w:rPr>
          <w:rFonts w:hint="eastAsia" w:ascii="宋体" w:hAnsi="宋体" w:eastAsia="宋体" w:cs="宋体"/>
          <w:color w:val="auto"/>
          <w:sz w:val="24"/>
          <w:szCs w:val="24"/>
          <w:highlight w:val="none"/>
        </w:rPr>
        <w:t xml:space="preserve">；</w:t>
      </w:r>
      <w:r/>
    </w:p>
    <w:p>
      <w:pPr>
        <w:numPr>
          <w:ilvl w:val="0"/>
          <w:numId w:val="3"/>
        </w:numPr>
        <w:ind w:left="0"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服务地点：</w:t>
      </w:r>
      <w:r>
        <w:rPr>
          <w:rFonts w:hint="eastAsia" w:ascii="宋体" w:hAnsi="宋体" w:eastAsia="宋体" w:cs="宋体"/>
          <w:b w:val="0"/>
          <w:bCs w:val="0"/>
          <w:color w:val="auto"/>
          <w:sz w:val="24"/>
          <w:szCs w:val="24"/>
          <w:highlight w:val="none"/>
        </w:rPr>
        <w:t xml:space="preserve">甲方指定地点；</w:t>
      </w:r>
      <w:r/>
    </w:p>
    <w:p>
      <w:pPr>
        <w:numPr>
          <w:ilvl w:val="0"/>
          <w:numId w:val="3"/>
        </w:numPr>
        <w:ind w:left="0" w:firstLine="482"/>
        <w:jc w:val="left"/>
        <w:spacing w:line="360" w:lineRule="auto"/>
        <w:rPr>
          <w:rFonts w:ascii="宋体" w:hAnsi="宋体" w:cs="宋体"/>
          <w:color w:val="auto"/>
          <w:sz w:val="24"/>
          <w:szCs w:val="24"/>
          <w:highlight w:val="none"/>
        </w:rPr>
      </w:pPr>
      <w:r>
        <w:rPr>
          <w:rFonts w:hint="eastAsia" w:ascii="宋体" w:hAnsi="宋体" w:eastAsia="宋体" w:cs="宋体"/>
          <w:b/>
          <w:bCs/>
          <w:color w:val="auto"/>
          <w:sz w:val="24"/>
          <w:szCs w:val="24"/>
          <w:highlight w:val="none"/>
        </w:rPr>
        <w:t xml:space="preserve">服务</w:t>
      </w:r>
      <w:r>
        <w:rPr>
          <w:rFonts w:hint="eastAsia" w:ascii="宋体" w:hAnsi="宋体" w:eastAsia="宋体" w:cs="宋体"/>
          <w:b/>
          <w:bCs/>
          <w:color w:val="auto"/>
          <w:sz w:val="24"/>
          <w:szCs w:val="24"/>
          <w:highlight w:val="none"/>
          <w:lang w:val="en-US" w:eastAsia="zh-CN"/>
        </w:rPr>
        <w:t xml:space="preserve">人员</w:t>
      </w:r>
      <w:r>
        <w:rPr>
          <w:rFonts w:hint="eastAsia" w:ascii="宋体" w:hAnsi="宋体" w:eastAsia="宋体" w:cs="宋体"/>
          <w:b/>
          <w:bCs/>
          <w:color w:val="auto"/>
          <w:sz w:val="24"/>
          <w:szCs w:val="24"/>
          <w:highlight w:val="none"/>
        </w:rPr>
        <w:t xml:space="preserve">配备：</w:t>
      </w:r>
      <w:r>
        <w:rPr>
          <w:rFonts w:hint="eastAsia" w:ascii="宋体" w:hAnsi="宋体" w:eastAsia="宋体" w:cs="宋体"/>
          <w:color w:val="auto"/>
          <w:sz w:val="24"/>
          <w:szCs w:val="24"/>
          <w:highlight w:val="none"/>
          <w:lang w:val="en-US" w:eastAsia="zh-CN" w:bidi="ar-SA"/>
        </w:rPr>
        <w:t xml:space="preserve">详见采购文件要求和乙方承诺。乙方组织的人员在任何时间皆不因本合同或类似合同被视为与甲方存在劳动合同关系、劳务关系等。</w:t>
      </w:r>
      <w:r/>
    </w:p>
    <w:p>
      <w:pPr>
        <w:numPr>
          <w:ilvl w:val="0"/>
          <w:numId w:val="0"/>
        </w:num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下列文件为本合同不可分割部分：</w:t>
      </w:r>
      <w:r/>
    </w:p>
    <w:p>
      <w:pPr>
        <w:pStyle w:val="1073"/>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（1）本合同书； </w:t>
      </w:r>
      <w:r/>
    </w:p>
    <w:p>
      <w:pPr>
        <w:pStyle w:val="1073"/>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（2）合同书签署后各方以书面形式确认的补充协议、会议纪要等；</w:t>
      </w:r>
      <w:r/>
    </w:p>
    <w:p>
      <w:pPr>
        <w:pStyle w:val="1073"/>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（3）招标文件及其附件；</w:t>
      </w:r>
      <w:r/>
    </w:p>
    <w:p>
      <w:pPr>
        <w:pStyle w:val="1073"/>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（4）中标通知书；</w:t>
      </w:r>
      <w:r/>
    </w:p>
    <w:p>
      <w:pPr>
        <w:pStyle w:val="1073"/>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（5）乙方在招投标过程中所作的其他承诺、声明、书面澄清等；</w:t>
      </w:r>
      <w:r/>
    </w:p>
    <w:p>
      <w:pPr>
        <w:pStyle w:val="1073"/>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（6）乙方中标的投标文件；</w:t>
      </w:r>
      <w:r/>
    </w:p>
    <w:p>
      <w:pPr>
        <w:pStyle w:val="1073"/>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（7）其他合同技术附件。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任何一份单独文件具有或可能具有相反或不同的描述、理解或释义，或全部合同组成文件关于质量、价格等条款内容存在分歧、歧义或冲突时，按照采购合同、成交通知书、磋商文件及补充通知、乙方响应文件、乙方的承诺、声明等的顺序进行解释。</w:t>
      </w:r>
      <w:r/>
    </w:p>
    <w:p>
      <w:pPr>
        <w:ind w:left="520" w:firstLine="0"/>
        <w:jc w:val="left"/>
        <w:spacing w:line="360" w:lineRule="auto"/>
        <w:rPr>
          <w:rFonts w:hint="default" w:ascii="宋体" w:hAnsi="宋体" w:eastAsia="宋体" w:cs="宋体"/>
          <w:color w:val="auto"/>
          <w:sz w:val="24"/>
          <w:szCs w:val="24"/>
          <w:highlight w:val="none"/>
          <w:lang w:val="en-US"/>
        </w:rPr>
      </w:pP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.服务期限</w:t>
      </w:r>
      <w:r>
        <w:rPr>
          <w:rFonts w:hint="eastAsia" w:ascii="宋体" w:hAnsi="宋体" w:cs="宋体"/>
          <w:b/>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6个月（具体实施时间以采购方通知为准），若合同服务期限内，苏州市出台新居家养老服务政策与合同内容冲突，以新政策为准，本合同解除。</w:t>
      </w:r>
      <w:r/>
    </w:p>
    <w:p>
      <w:pPr>
        <w:ind w:left="52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二、合同金额及付款方式 </w:t>
      </w:r>
      <w:r/>
    </w:p>
    <w:p>
      <w:pPr>
        <w:pStyle w:val="1016"/>
        <w:ind w:firstLine="480"/>
        <w:jc w:val="left"/>
        <w:spacing w:before="0" w:beforeAutospacing="0" w:after="0" w:afterAutospacing="0"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1.本项目合同总金额为【人民币</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）】，应包含完成本项目全部服务内容所需的</w:t>
      </w:r>
      <w:r>
        <w:rPr>
          <w:rFonts w:hint="eastAsia" w:ascii="宋体" w:hAnsi="宋体" w:eastAsia="宋体" w:cs="宋体"/>
          <w:color w:val="auto"/>
          <w:szCs w:val="24"/>
          <w:highlight w:val="none"/>
        </w:rPr>
        <w:t xml:space="preserve">人工成本（含社保、高温费、加班费）、餐费、耗材、通讯、服装、胸卡、办公设备、巡检器材、各种税费、保险、劳保、维护、利润、税金、医疗费、安全费、卫生费、福利费、教育费、住房公积金、保险费、劳保用品费、培训费、政策性文件规定及合同包含的所有风险、责任等各项应有费用。</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本项目的服务单价按照《苏州市居家养老服务体系建设实施意见》（苏府办【2013】196号）文件的要求随苏州市最低工资标准的增长幅度实行自然增长机制，根据《关于进一步提速增效，提升老年人社区居家养老服务水平的通知》苏高新社〔2021〕127号，苏州市高新区（虎丘区）现行的养老援助补助价格按30元每小时执行，如有最新政策则按最新政策执行。甲方最终支付的费用按实际服务人数、时间以及政策规定的服务单价结算。</w:t>
      </w:r>
      <w:r/>
    </w:p>
    <w:tbl>
      <w:tblPr>
        <w:tblStyle w:val="743"/>
        <w:tblW w:w="518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3"/>
        <w:gridCol w:w="2271"/>
        <w:gridCol w:w="738"/>
        <w:gridCol w:w="1326"/>
        <w:gridCol w:w="945"/>
        <w:gridCol w:w="1269"/>
        <w:gridCol w:w="1279"/>
        <w:gridCol w:w="1376"/>
      </w:tblGrid>
      <w:tr>
        <w:trPr>
          <w:jc w:val="center"/>
          <w:trHeight w:val="836"/>
        </w:trPr>
        <w:tc>
          <w:tcPr>
            <w:tcW w:w="573" w:type="dxa"/>
            <w:vAlign w:val="center"/>
            <w:textDirection w:val="lrTb"/>
            <w:noWrap w:val="false"/>
          </w:tcPr>
          <w:p>
            <w:pPr>
              <w:pStyle w:val="1028"/>
              <w:ind w:left="0" w:firstLine="0"/>
              <w:jc w:val="center"/>
              <w:spacing w:after="0" w:line="360" w:lineRule="auto"/>
              <w:rPr>
                <w:rFonts w:hint="eastAsia" w:cs="宋体" w:asciiTheme="minorEastAsia" w:hAnsiTheme="minorEastAsia" w:eastAsiaTheme="minorEastAsia"/>
                <w:b/>
                <w:bCs/>
                <w:color w:val="auto"/>
                <w:sz w:val="24"/>
                <w:szCs w:val="24"/>
                <w:highlight w:val="none"/>
                <w:vertAlign w:val="baseline"/>
                <w:lang w:val="en-US" w:eastAsia="zh-CN"/>
              </w:rPr>
            </w:pPr>
            <w:r>
              <w:rPr>
                <w:rFonts w:hint="eastAsia" w:cs="宋体" w:asciiTheme="minorEastAsia" w:hAnsiTheme="minorEastAsia"/>
                <w:b/>
                <w:bCs/>
                <w:color w:val="auto"/>
                <w:sz w:val="24"/>
                <w:szCs w:val="24"/>
                <w:highlight w:val="none"/>
                <w:vertAlign w:val="baseline"/>
                <w:lang w:val="en-US" w:eastAsia="zh-CN"/>
              </w:rPr>
              <w:t xml:space="preserve">序号</w:t>
            </w:r>
            <w:r/>
          </w:p>
        </w:tc>
        <w:tc>
          <w:tcPr>
            <w:tcW w:w="2271" w:type="dxa"/>
            <w:vAlign w:val="center"/>
            <w:textDirection w:val="lrTb"/>
            <w:noWrap w:val="false"/>
          </w:tcPr>
          <w:p>
            <w:pPr>
              <w:pStyle w:val="1028"/>
              <w:ind w:left="0" w:firstLine="0"/>
              <w:jc w:val="center"/>
              <w:spacing w:after="0" w:line="360" w:lineRule="auto"/>
              <w:rPr>
                <w:rFonts w:hint="eastAsia" w:cs="宋体" w:asciiTheme="minorEastAsia" w:hAnsiTheme="minorEastAsia" w:eastAsiaTheme="minorEastAsia"/>
                <w:b/>
                <w:bCs/>
                <w:color w:val="auto"/>
                <w:sz w:val="24"/>
                <w:szCs w:val="24"/>
                <w:highlight w:val="none"/>
                <w:vertAlign w:val="baseline"/>
                <w:lang w:val="en-US" w:eastAsia="zh-CN"/>
              </w:rPr>
            </w:pPr>
            <w:r>
              <w:rPr>
                <w:rFonts w:hint="eastAsia" w:cs="宋体" w:asciiTheme="minorEastAsia" w:hAnsiTheme="minorEastAsia"/>
                <w:b/>
                <w:bCs/>
                <w:color w:val="auto"/>
                <w:sz w:val="24"/>
                <w:szCs w:val="24"/>
                <w:highlight w:val="none"/>
                <w:vertAlign w:val="baseline"/>
                <w:lang w:val="en-US" w:eastAsia="zh-CN"/>
              </w:rPr>
              <w:t xml:space="preserve">服务对象</w:t>
            </w:r>
            <w:r/>
          </w:p>
        </w:tc>
        <w:tc>
          <w:tcPr>
            <w:tcW w:w="738" w:type="dxa"/>
            <w:vAlign w:val="center"/>
            <w:textDirection w:val="lrTb"/>
            <w:noWrap w:val="false"/>
          </w:tcPr>
          <w:p>
            <w:pPr>
              <w:pStyle w:val="1028"/>
              <w:ind w:left="0" w:firstLine="0"/>
              <w:jc w:val="center"/>
              <w:spacing w:after="0" w:line="360" w:lineRule="auto"/>
              <w:rPr>
                <w:rFonts w:hint="eastAsia" w:cs="宋体" w:asciiTheme="minorEastAsia" w:hAnsiTheme="minorEastAsia" w:eastAsiaTheme="minorEastAsia"/>
                <w:b/>
                <w:bCs/>
                <w:color w:val="auto"/>
                <w:sz w:val="24"/>
                <w:szCs w:val="24"/>
                <w:highlight w:val="none"/>
                <w:vertAlign w:val="baseline"/>
                <w:lang w:val="en-US" w:eastAsia="zh-CN"/>
              </w:rPr>
            </w:pPr>
            <w:r>
              <w:rPr>
                <w:rFonts w:hint="eastAsia" w:cs="宋体" w:asciiTheme="minorEastAsia" w:hAnsiTheme="minorEastAsia"/>
                <w:b/>
                <w:bCs/>
                <w:color w:val="auto"/>
                <w:sz w:val="24"/>
                <w:szCs w:val="24"/>
                <w:highlight w:val="none"/>
                <w:vertAlign w:val="baseline"/>
                <w:lang w:val="en-US" w:eastAsia="zh-CN"/>
              </w:rPr>
              <w:t xml:space="preserve">预计户数</w:t>
            </w:r>
            <w:r/>
          </w:p>
        </w:tc>
        <w:tc>
          <w:tcPr>
            <w:tcW w:w="1326" w:type="dxa"/>
            <w:vAlign w:val="center"/>
            <w:textDirection w:val="lrTb"/>
            <w:noWrap w:val="false"/>
          </w:tcPr>
          <w:p>
            <w:pPr>
              <w:pStyle w:val="1028"/>
              <w:ind w:left="0" w:firstLine="0"/>
              <w:jc w:val="center"/>
              <w:spacing w:after="0" w:line="360" w:lineRule="auto"/>
              <w:rPr>
                <w:rFonts w:hint="eastAsia" w:cs="宋体" w:asciiTheme="minorEastAsia" w:hAnsiTheme="minorEastAsia" w:eastAsiaTheme="minorEastAsia"/>
                <w:b/>
                <w:bCs/>
                <w:color w:val="auto"/>
                <w:sz w:val="24"/>
                <w:szCs w:val="24"/>
                <w:highlight w:val="none"/>
                <w:vertAlign w:val="baseline"/>
                <w:lang w:val="en-US" w:eastAsia="zh-CN"/>
              </w:rPr>
            </w:pPr>
            <w:r>
              <w:rPr>
                <w:rFonts w:hint="eastAsia" w:cs="宋体" w:asciiTheme="minorEastAsia" w:hAnsiTheme="minorEastAsia"/>
                <w:b/>
                <w:bCs/>
                <w:color w:val="auto"/>
                <w:sz w:val="24"/>
                <w:szCs w:val="24"/>
                <w:highlight w:val="none"/>
                <w:vertAlign w:val="baseline"/>
                <w:lang w:val="en-US" w:eastAsia="zh-CN"/>
              </w:rPr>
              <w:t xml:space="preserve">服务标准（小时/月）</w:t>
            </w:r>
            <w:r/>
          </w:p>
        </w:tc>
        <w:tc>
          <w:tcPr>
            <w:tcW w:w="945" w:type="dxa"/>
            <w:vAlign w:val="center"/>
            <w:textDirection w:val="lrTb"/>
            <w:noWrap w:val="false"/>
          </w:tcPr>
          <w:p>
            <w:pPr>
              <w:pStyle w:val="1028"/>
              <w:ind w:left="0" w:firstLine="0"/>
              <w:jc w:val="center"/>
              <w:spacing w:after="0" w:line="360" w:lineRule="auto"/>
              <w:rPr>
                <w:rFonts w:hint="eastAsia" w:cs="宋体" w:asciiTheme="minorEastAsia" w:hAnsiTheme="minorEastAsia" w:eastAsiaTheme="minorEastAsia"/>
                <w:b/>
                <w:bCs/>
                <w:color w:val="auto"/>
                <w:sz w:val="24"/>
                <w:szCs w:val="24"/>
                <w:highlight w:val="none"/>
                <w:vertAlign w:val="baseline"/>
                <w:lang w:val="en-US" w:eastAsia="zh-CN"/>
              </w:rPr>
            </w:pPr>
            <w:r>
              <w:rPr>
                <w:rFonts w:hint="eastAsia" w:cs="宋体" w:asciiTheme="minorEastAsia" w:hAnsiTheme="minorEastAsia"/>
                <w:b/>
                <w:bCs/>
                <w:color w:val="auto"/>
                <w:sz w:val="24"/>
                <w:szCs w:val="24"/>
                <w:highlight w:val="none"/>
                <w:vertAlign w:val="baseline"/>
                <w:lang w:val="en-US" w:eastAsia="zh-CN"/>
              </w:rPr>
              <w:t xml:space="preserve">服务时长（月）</w:t>
            </w:r>
            <w:r/>
          </w:p>
        </w:tc>
        <w:tc>
          <w:tcPr>
            <w:tcW w:w="1269" w:type="dxa"/>
            <w:vAlign w:val="center"/>
            <w:textDirection w:val="lrTb"/>
            <w:noWrap w:val="false"/>
          </w:tcPr>
          <w:p>
            <w:pPr>
              <w:pStyle w:val="1028"/>
              <w:ind w:left="0" w:firstLine="0"/>
              <w:jc w:val="center"/>
              <w:spacing w:after="0" w:line="360" w:lineRule="auto"/>
              <w:rPr>
                <w:rFonts w:hint="eastAsia" w:cs="宋体" w:asciiTheme="minorEastAsia" w:hAnsiTheme="minorEastAsia"/>
                <w:b/>
                <w:bCs/>
                <w:color w:val="auto"/>
                <w:sz w:val="24"/>
                <w:szCs w:val="24"/>
                <w:highlight w:val="none"/>
                <w:vertAlign w:val="baseline"/>
                <w:lang w:val="en-US" w:eastAsia="zh-CN"/>
              </w:rPr>
            </w:pPr>
            <w:r>
              <w:rPr>
                <w:rFonts w:hint="eastAsia" w:cs="宋体" w:asciiTheme="minorEastAsia" w:hAnsiTheme="minorEastAsia"/>
                <w:b/>
                <w:bCs/>
                <w:color w:val="auto"/>
                <w:sz w:val="24"/>
                <w:szCs w:val="24"/>
                <w:highlight w:val="none"/>
                <w:vertAlign w:val="baseline"/>
                <w:lang w:val="en-US" w:eastAsia="zh-CN"/>
              </w:rPr>
              <w:t xml:space="preserve">数量</w:t>
            </w:r>
            <w:r/>
          </w:p>
          <w:p>
            <w:pPr>
              <w:pStyle w:val="1028"/>
              <w:ind w:left="0" w:firstLine="0"/>
              <w:jc w:val="center"/>
              <w:spacing w:after="0" w:line="360" w:lineRule="auto"/>
              <w:rPr>
                <w:rFonts w:hint="eastAsia" w:cs="宋体" w:asciiTheme="minorEastAsia" w:hAnsiTheme="minorEastAsia" w:eastAsiaTheme="minorEastAsia"/>
                <w:b/>
                <w:bCs/>
                <w:color w:val="auto"/>
                <w:sz w:val="24"/>
                <w:szCs w:val="24"/>
                <w:highlight w:val="none"/>
                <w:vertAlign w:val="baseline"/>
                <w:lang w:val="en-US" w:eastAsia="zh-CN"/>
              </w:rPr>
            </w:pPr>
            <w:r>
              <w:rPr>
                <w:rFonts w:hint="eastAsia" w:cs="宋体" w:asciiTheme="minorEastAsia" w:hAnsiTheme="minorEastAsia"/>
                <w:b/>
                <w:bCs/>
                <w:color w:val="auto"/>
                <w:sz w:val="24"/>
                <w:szCs w:val="24"/>
                <w:highlight w:val="none"/>
                <w:vertAlign w:val="baseline"/>
                <w:lang w:val="en-US" w:eastAsia="zh-CN"/>
              </w:rPr>
              <w:t xml:space="preserve">（小时）</w:t>
            </w:r>
            <w:r/>
          </w:p>
        </w:tc>
        <w:tc>
          <w:tcPr>
            <w:tcW w:w="1279" w:type="dxa"/>
            <w:vAlign w:val="center"/>
            <w:textDirection w:val="lrTb"/>
            <w:noWrap w:val="false"/>
          </w:tcPr>
          <w:p>
            <w:pPr>
              <w:pStyle w:val="1028"/>
              <w:ind w:left="0" w:firstLine="0"/>
              <w:jc w:val="center"/>
              <w:spacing w:after="0" w:line="360" w:lineRule="auto"/>
              <w:rPr>
                <w:rFonts w:hint="eastAsia" w:cs="宋体" w:asciiTheme="minorEastAsia" w:hAnsiTheme="minorEastAsia" w:eastAsiaTheme="minorEastAsia"/>
                <w:b/>
                <w:bCs/>
                <w:color w:val="auto"/>
                <w:sz w:val="24"/>
                <w:szCs w:val="24"/>
                <w:highlight w:val="none"/>
                <w:vertAlign w:val="baseline"/>
                <w:lang w:val="en-US" w:eastAsia="zh-CN"/>
              </w:rPr>
            </w:pPr>
            <w:r>
              <w:rPr>
                <w:rFonts w:hint="eastAsia" w:cs="宋体" w:asciiTheme="minorEastAsia" w:hAnsiTheme="minorEastAsia"/>
                <w:b/>
                <w:bCs/>
                <w:color w:val="auto"/>
                <w:sz w:val="24"/>
                <w:szCs w:val="24"/>
                <w:highlight w:val="none"/>
                <w:vertAlign w:val="baseline"/>
                <w:lang w:val="en-US" w:eastAsia="zh-CN"/>
              </w:rPr>
              <w:t xml:space="preserve">单价（元/小时）</w:t>
            </w:r>
            <w:r/>
          </w:p>
        </w:tc>
        <w:tc>
          <w:tcPr>
            <w:tcW w:w="1376" w:type="dxa"/>
            <w:vAlign w:val="center"/>
            <w:textDirection w:val="lrTb"/>
            <w:noWrap w:val="false"/>
          </w:tcPr>
          <w:p>
            <w:pPr>
              <w:pStyle w:val="1028"/>
              <w:ind w:left="0" w:firstLine="0"/>
              <w:jc w:val="center"/>
              <w:spacing w:after="0" w:line="360" w:lineRule="auto"/>
              <w:rPr>
                <w:rFonts w:hint="eastAsia" w:cs="宋体" w:asciiTheme="minorEastAsia" w:hAnsiTheme="minorEastAsia" w:eastAsiaTheme="minorEastAsia"/>
                <w:b/>
                <w:bCs/>
                <w:color w:val="auto"/>
                <w:sz w:val="24"/>
                <w:szCs w:val="24"/>
                <w:highlight w:val="none"/>
                <w:vertAlign w:val="baseline"/>
                <w:lang w:val="en-US" w:eastAsia="zh-CN"/>
              </w:rPr>
            </w:pPr>
            <w:r>
              <w:rPr>
                <w:rFonts w:hint="eastAsia" w:cs="宋体" w:asciiTheme="minorEastAsia" w:hAnsiTheme="minorEastAsia"/>
                <w:b/>
                <w:bCs/>
                <w:color w:val="auto"/>
                <w:sz w:val="24"/>
                <w:szCs w:val="24"/>
                <w:highlight w:val="none"/>
                <w:vertAlign w:val="baseline"/>
                <w:lang w:val="en-US" w:eastAsia="zh-CN"/>
              </w:rPr>
              <w:t xml:space="preserve">总价（元）</w:t>
            </w:r>
            <w:r/>
          </w:p>
        </w:tc>
      </w:tr>
      <w:tr>
        <w:trPr>
          <w:jc w:val="center"/>
        </w:trPr>
        <w:tc>
          <w:tcPr>
            <w:tcW w:w="573" w:type="dxa"/>
            <w:vAlign w:val="center"/>
            <w:textDirection w:val="lrTb"/>
            <w:noWrap w:val="false"/>
          </w:tcPr>
          <w:p>
            <w:pPr>
              <w:pStyle w:val="1028"/>
              <w:ind w:left="0" w:firstLine="0"/>
              <w:jc w:val="center"/>
              <w:spacing w:after="0" w:line="36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1</w:t>
            </w:r>
            <w:r/>
          </w:p>
        </w:tc>
        <w:tc>
          <w:tcPr>
            <w:tcW w:w="2271" w:type="dxa"/>
            <w:vAlign w:val="center"/>
            <w:textDirection w:val="lrTb"/>
            <w:noWrap w:val="false"/>
          </w:tcPr>
          <w:p>
            <w:pPr>
              <w:pStyle w:val="1028"/>
              <w:ind w:left="0" w:firstLine="0"/>
              <w:jc w:val="both"/>
              <w:spacing w:after="0" w:line="36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政府援助对象（介助）</w:t>
            </w:r>
            <w:r/>
          </w:p>
        </w:tc>
        <w:tc>
          <w:tcPr>
            <w:tcW w:w="738" w:type="dxa"/>
            <w:vAlign w:val="center"/>
            <w:textDirection w:val="lrTb"/>
            <w:noWrap w:val="false"/>
          </w:tcPr>
          <w:p>
            <w:pPr>
              <w:pStyle w:val="1028"/>
              <w:ind w:left="0" w:firstLine="0"/>
              <w:jc w:val="center"/>
              <w:spacing w:after="0" w:line="36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5</w:t>
            </w:r>
            <w:r/>
          </w:p>
        </w:tc>
        <w:tc>
          <w:tcPr>
            <w:tcW w:w="1326" w:type="dxa"/>
            <w:vAlign w:val="center"/>
            <w:textDirection w:val="lrTb"/>
            <w:noWrap w:val="false"/>
          </w:tcPr>
          <w:p>
            <w:pPr>
              <w:pStyle w:val="1028"/>
              <w:ind w:left="0" w:firstLine="0"/>
              <w:jc w:val="center"/>
              <w:spacing w:after="0" w:line="36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36</w:t>
            </w:r>
            <w:r/>
          </w:p>
        </w:tc>
        <w:tc>
          <w:tcPr>
            <w:tcW w:w="945" w:type="dxa"/>
            <w:vAlign w:val="center"/>
            <w:textDirection w:val="lrTb"/>
            <w:noWrap w:val="false"/>
          </w:tcPr>
          <w:p>
            <w:pPr>
              <w:pStyle w:val="1028"/>
              <w:ind w:left="0" w:firstLine="0"/>
              <w:jc w:val="center"/>
              <w:spacing w:after="0" w:line="36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6</w:t>
            </w:r>
            <w:r/>
          </w:p>
        </w:tc>
        <w:tc>
          <w:tcPr>
            <w:tcW w:w="1269" w:type="dxa"/>
            <w:vAlign w:val="center"/>
            <w:textDirection w:val="lrTb"/>
            <w:noWrap w:val="false"/>
          </w:tcPr>
          <w:p>
            <w:pPr>
              <w:pStyle w:val="1028"/>
              <w:ind w:left="0" w:firstLine="0"/>
              <w:jc w:val="center"/>
              <w:spacing w:after="0" w:line="36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1080</w:t>
            </w:r>
            <w:r/>
          </w:p>
        </w:tc>
        <w:tc>
          <w:tcPr>
            <w:tcW w:w="1279" w:type="dxa"/>
            <w:vAlign w:val="center"/>
            <w:textDirection w:val="lrTb"/>
            <w:noWrap w:val="false"/>
          </w:tcPr>
          <w:p>
            <w:pPr>
              <w:pStyle w:val="1028"/>
              <w:ind w:left="0" w:firstLine="0"/>
              <w:jc w:val="center"/>
              <w:spacing w:after="0" w:line="36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30</w:t>
            </w:r>
            <w:r/>
          </w:p>
        </w:tc>
        <w:tc>
          <w:tcPr>
            <w:tcW w:w="1376" w:type="dxa"/>
            <w:vAlign w:val="center"/>
            <w:textDirection w:val="lrTb"/>
            <w:noWrap w:val="false"/>
          </w:tcPr>
          <w:p>
            <w:pPr>
              <w:pStyle w:val="1028"/>
              <w:ind w:left="0" w:firstLine="0"/>
              <w:jc w:val="center"/>
              <w:spacing w:after="0" w:line="36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32400</w:t>
            </w:r>
            <w:r/>
          </w:p>
        </w:tc>
      </w:tr>
      <w:tr>
        <w:trPr>
          <w:jc w:val="center"/>
        </w:trPr>
        <w:tc>
          <w:tcPr>
            <w:tcW w:w="573" w:type="dxa"/>
            <w:vAlign w:val="center"/>
            <w:textDirection w:val="lrTb"/>
            <w:noWrap w:val="false"/>
          </w:tcPr>
          <w:p>
            <w:pPr>
              <w:pStyle w:val="1028"/>
              <w:ind w:left="0" w:firstLine="0"/>
              <w:jc w:val="center"/>
              <w:spacing w:after="0" w:line="36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2</w:t>
            </w:r>
            <w:r/>
          </w:p>
        </w:tc>
        <w:tc>
          <w:tcPr>
            <w:tcW w:w="2271" w:type="dxa"/>
            <w:vAlign w:val="center"/>
            <w:textDirection w:val="lrTb"/>
            <w:noWrap w:val="false"/>
          </w:tcPr>
          <w:p>
            <w:pPr>
              <w:pStyle w:val="1028"/>
              <w:ind w:left="0" w:firstLine="0"/>
              <w:jc w:val="both"/>
              <w:spacing w:after="0" w:line="36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政府援助对象（介护）</w:t>
            </w:r>
            <w:r/>
          </w:p>
        </w:tc>
        <w:tc>
          <w:tcPr>
            <w:tcW w:w="738" w:type="dxa"/>
            <w:vAlign w:val="center"/>
            <w:textDirection w:val="lrTb"/>
            <w:noWrap w:val="false"/>
          </w:tcPr>
          <w:p>
            <w:pPr>
              <w:pStyle w:val="1028"/>
              <w:ind w:left="0" w:firstLine="0"/>
              <w:jc w:val="center"/>
              <w:spacing w:after="0" w:line="36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5</w:t>
            </w:r>
            <w:r/>
          </w:p>
        </w:tc>
        <w:tc>
          <w:tcPr>
            <w:tcW w:w="1326" w:type="dxa"/>
            <w:vAlign w:val="center"/>
            <w:textDirection w:val="lrTb"/>
            <w:noWrap w:val="false"/>
          </w:tcPr>
          <w:p>
            <w:pPr>
              <w:pStyle w:val="1028"/>
              <w:ind w:left="0" w:firstLine="0"/>
              <w:jc w:val="center"/>
              <w:spacing w:after="0" w:line="36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48</w:t>
            </w:r>
            <w:r/>
          </w:p>
        </w:tc>
        <w:tc>
          <w:tcPr>
            <w:tcW w:w="945" w:type="dxa"/>
            <w:vAlign w:val="center"/>
            <w:textDirection w:val="lrTb"/>
            <w:noWrap w:val="false"/>
          </w:tcPr>
          <w:p>
            <w:pPr>
              <w:pStyle w:val="1028"/>
              <w:ind w:left="0" w:firstLine="0"/>
              <w:jc w:val="center"/>
              <w:spacing w:after="0" w:line="36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6</w:t>
            </w:r>
            <w:r/>
          </w:p>
        </w:tc>
        <w:tc>
          <w:tcPr>
            <w:tcW w:w="1269" w:type="dxa"/>
            <w:vAlign w:val="center"/>
            <w:textDirection w:val="lrTb"/>
            <w:noWrap w:val="false"/>
          </w:tcPr>
          <w:p>
            <w:pPr>
              <w:pStyle w:val="1028"/>
              <w:ind w:left="0" w:firstLine="0"/>
              <w:jc w:val="center"/>
              <w:spacing w:after="0" w:line="36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1440</w:t>
            </w:r>
            <w:r/>
          </w:p>
        </w:tc>
        <w:tc>
          <w:tcPr>
            <w:tcW w:w="1279" w:type="dxa"/>
            <w:vAlign w:val="center"/>
            <w:textDirection w:val="lrTb"/>
            <w:noWrap w:val="false"/>
          </w:tcPr>
          <w:p>
            <w:pPr>
              <w:pStyle w:val="1028"/>
              <w:ind w:left="0" w:firstLine="0"/>
              <w:jc w:val="center"/>
              <w:spacing w:after="0" w:line="36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30</w:t>
            </w:r>
            <w:r/>
          </w:p>
        </w:tc>
        <w:tc>
          <w:tcPr>
            <w:tcW w:w="1376" w:type="dxa"/>
            <w:vAlign w:val="center"/>
            <w:textDirection w:val="lrTb"/>
            <w:noWrap w:val="false"/>
          </w:tcPr>
          <w:p>
            <w:pPr>
              <w:pStyle w:val="1028"/>
              <w:ind w:left="0" w:firstLine="0"/>
              <w:jc w:val="center"/>
              <w:spacing w:after="0" w:line="36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43200</w:t>
            </w:r>
            <w:r/>
          </w:p>
        </w:tc>
      </w:tr>
      <w:tr>
        <w:trPr>
          <w:jc w:val="center"/>
        </w:trPr>
        <w:tc>
          <w:tcPr>
            <w:tcW w:w="573" w:type="dxa"/>
            <w:vAlign w:val="center"/>
            <w:textDirection w:val="lrTb"/>
            <w:noWrap w:val="false"/>
          </w:tcPr>
          <w:p>
            <w:pPr>
              <w:pStyle w:val="1028"/>
              <w:ind w:left="0" w:firstLine="0"/>
              <w:jc w:val="center"/>
              <w:spacing w:after="0" w:line="36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3</w:t>
            </w:r>
            <w:r/>
          </w:p>
        </w:tc>
        <w:tc>
          <w:tcPr>
            <w:tcW w:w="2271" w:type="dxa"/>
            <w:vAlign w:val="center"/>
            <w:textDirection w:val="lrTb"/>
            <w:noWrap w:val="false"/>
          </w:tcPr>
          <w:p>
            <w:pPr>
              <w:pStyle w:val="1028"/>
              <w:ind w:left="0" w:firstLine="0"/>
              <w:jc w:val="both"/>
              <w:spacing w:after="0" w:line="36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80周岁及以上的老年人和70周岁及以上的计划生育特别扶助对象</w:t>
            </w:r>
            <w:r/>
          </w:p>
        </w:tc>
        <w:tc>
          <w:tcPr>
            <w:tcW w:w="738" w:type="dxa"/>
            <w:vAlign w:val="center"/>
            <w:textDirection w:val="lrTb"/>
            <w:noWrap w:val="false"/>
          </w:tcPr>
          <w:p>
            <w:pPr>
              <w:pStyle w:val="1028"/>
              <w:ind w:left="0" w:firstLine="0"/>
              <w:jc w:val="center"/>
              <w:spacing w:after="0" w:line="36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1200</w:t>
            </w:r>
            <w:r/>
          </w:p>
        </w:tc>
        <w:tc>
          <w:tcPr>
            <w:tcW w:w="1326" w:type="dxa"/>
            <w:vAlign w:val="center"/>
            <w:textDirection w:val="lrTb"/>
            <w:noWrap w:val="false"/>
          </w:tcPr>
          <w:p>
            <w:pPr>
              <w:pStyle w:val="1028"/>
              <w:ind w:left="0" w:firstLine="0"/>
              <w:jc w:val="center"/>
              <w:spacing w:after="0" w:line="36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6</w:t>
            </w:r>
            <w:r/>
          </w:p>
        </w:tc>
        <w:tc>
          <w:tcPr>
            <w:tcW w:w="945" w:type="dxa"/>
            <w:vAlign w:val="center"/>
            <w:textDirection w:val="lrTb"/>
            <w:noWrap w:val="false"/>
          </w:tcPr>
          <w:p>
            <w:pPr>
              <w:pStyle w:val="1028"/>
              <w:ind w:left="0" w:firstLine="0"/>
              <w:jc w:val="center"/>
              <w:spacing w:after="0" w:line="36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6</w:t>
            </w:r>
            <w:r/>
          </w:p>
        </w:tc>
        <w:tc>
          <w:tcPr>
            <w:tcW w:w="1269" w:type="dxa"/>
            <w:vAlign w:val="center"/>
            <w:textDirection w:val="lrTb"/>
            <w:noWrap w:val="false"/>
          </w:tcPr>
          <w:p>
            <w:pPr>
              <w:pStyle w:val="1028"/>
              <w:ind w:left="0" w:firstLine="0"/>
              <w:jc w:val="center"/>
              <w:spacing w:after="0" w:line="36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43200</w:t>
            </w:r>
            <w:r/>
          </w:p>
        </w:tc>
        <w:tc>
          <w:tcPr>
            <w:tcW w:w="1279" w:type="dxa"/>
            <w:vAlign w:val="center"/>
            <w:textDirection w:val="lrTb"/>
            <w:noWrap w:val="false"/>
          </w:tcPr>
          <w:p>
            <w:pPr>
              <w:pStyle w:val="1028"/>
              <w:ind w:left="0" w:firstLine="0"/>
              <w:jc w:val="center"/>
              <w:spacing w:after="0" w:line="36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30</w:t>
            </w:r>
            <w:r/>
          </w:p>
        </w:tc>
        <w:tc>
          <w:tcPr>
            <w:tcW w:w="1376" w:type="dxa"/>
            <w:vAlign w:val="center"/>
            <w:textDirection w:val="lrTb"/>
            <w:noWrap w:val="false"/>
          </w:tcPr>
          <w:p>
            <w:pPr>
              <w:pStyle w:val="1028"/>
              <w:ind w:left="0" w:firstLine="0"/>
              <w:jc w:val="center"/>
              <w:spacing w:after="0" w:line="36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1296000</w:t>
            </w:r>
            <w:r/>
          </w:p>
        </w:tc>
      </w:tr>
      <w:tr>
        <w:trPr>
          <w:jc w:val="center"/>
        </w:trPr>
        <w:tc>
          <w:tcPr>
            <w:gridSpan w:val="7"/>
            <w:tcW w:w="8401" w:type="dxa"/>
            <w:vAlign w:val="center"/>
            <w:textDirection w:val="lrTb"/>
            <w:noWrap w:val="false"/>
          </w:tcPr>
          <w:p>
            <w:pPr>
              <w:pStyle w:val="1028"/>
              <w:ind w:left="0" w:firstLine="0"/>
              <w:jc w:val="center"/>
              <w:spacing w:after="0" w:line="36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合计</w:t>
            </w:r>
            <w:r/>
          </w:p>
        </w:tc>
        <w:tc>
          <w:tcPr>
            <w:tcW w:w="1376" w:type="dxa"/>
            <w:vAlign w:val="center"/>
            <w:textDirection w:val="lrTb"/>
            <w:noWrap w:val="false"/>
          </w:tcPr>
          <w:p>
            <w:pPr>
              <w:pStyle w:val="1028"/>
              <w:ind w:left="0" w:firstLine="0"/>
              <w:jc w:val="center"/>
              <w:spacing w:after="0" w:line="36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1371600</w:t>
            </w:r>
            <w:r/>
          </w:p>
        </w:tc>
      </w:tr>
    </w:tbl>
    <w:p>
      <w:pPr>
        <w:pStyle w:val="1016"/>
        <w:ind w:firstLine="480"/>
        <w:jc w:val="both"/>
        <w:spacing w:before="0" w:beforeAutospacing="0" w:after="0" w:afterAutospacing="0"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.合同价款的支付及付款方式: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合同签订后</w:t>
      </w:r>
      <w:r>
        <w:rPr>
          <w:rFonts w:hint="eastAsia" w:ascii="宋体" w:hAnsi="宋体" w:cs="宋体"/>
          <w:color w:val="auto"/>
          <w:sz w:val="24"/>
          <w:szCs w:val="24"/>
          <w:highlight w:val="none"/>
          <w:lang w:val="en-US" w:eastAsia="zh-CN"/>
        </w:rPr>
        <w:t xml:space="preserve">按季度支付</w:t>
      </w:r>
      <w:r>
        <w:rPr>
          <w:rFonts w:hint="eastAsia" w:ascii="宋体" w:hAnsi="宋体" w:eastAsia="宋体" w:cs="宋体"/>
          <w:color w:val="auto"/>
          <w:sz w:val="24"/>
          <w:szCs w:val="24"/>
          <w:highlight w:val="none"/>
        </w:rPr>
        <w:t xml:space="preserve">，乙方于每月5日前将上月服务</w:t>
      </w:r>
      <w:r>
        <w:rPr>
          <w:rFonts w:hint="eastAsia" w:ascii="宋体" w:hAnsi="宋体" w:cs="宋体"/>
          <w:color w:val="auto"/>
          <w:sz w:val="24"/>
          <w:szCs w:val="24"/>
          <w:highlight w:val="none"/>
          <w:lang w:val="en-US" w:eastAsia="zh-CN"/>
        </w:rPr>
        <w:t xml:space="preserve">核定单</w:t>
      </w:r>
      <w:r>
        <w:rPr>
          <w:rFonts w:hint="eastAsia" w:ascii="宋体" w:hAnsi="宋体" w:eastAsia="宋体" w:cs="宋体"/>
          <w:color w:val="auto"/>
          <w:sz w:val="24"/>
          <w:szCs w:val="24"/>
          <w:highlight w:val="none"/>
        </w:rPr>
        <w:t xml:space="preserve">上报区</w:t>
      </w:r>
      <w:r>
        <w:rPr>
          <w:rFonts w:hint="eastAsia" w:ascii="宋体" w:hAnsi="宋体" w:eastAsia="宋体" w:cs="宋体"/>
          <w:color w:val="auto"/>
          <w:sz w:val="24"/>
          <w:szCs w:val="24"/>
          <w:highlight w:val="none"/>
          <w:lang w:val="en-US" w:eastAsia="zh-CN"/>
        </w:rPr>
        <w:t xml:space="preserve">社会事业局委托的第三方运营平台</w:t>
      </w:r>
      <w:r>
        <w:rPr>
          <w:rFonts w:hint="eastAsia" w:ascii="宋体" w:hAnsi="宋体" w:eastAsia="宋体" w:cs="宋体"/>
          <w:color w:val="auto"/>
          <w:sz w:val="24"/>
          <w:szCs w:val="24"/>
          <w:highlight w:val="none"/>
        </w:rPr>
        <w:t xml:space="preserve">，15日前区</w:t>
      </w:r>
      <w:r>
        <w:rPr>
          <w:rFonts w:hint="eastAsia" w:ascii="宋体" w:hAnsi="宋体" w:eastAsia="宋体" w:cs="宋体"/>
          <w:color w:val="auto"/>
          <w:sz w:val="24"/>
          <w:szCs w:val="24"/>
          <w:highlight w:val="none"/>
          <w:lang w:val="en-US" w:eastAsia="zh-CN"/>
        </w:rPr>
        <w:t xml:space="preserve">社会事业局委托的第三方运营平台</w:t>
      </w:r>
      <w:r>
        <w:rPr>
          <w:rFonts w:hint="eastAsia" w:ascii="宋体" w:hAnsi="宋体" w:eastAsia="宋体" w:cs="宋体"/>
          <w:color w:val="auto"/>
          <w:sz w:val="24"/>
          <w:szCs w:val="24"/>
          <w:highlight w:val="none"/>
        </w:rPr>
        <w:t xml:space="preserve">组织甲方、乙方进行三方会审，审核无误的，甲方</w:t>
      </w:r>
      <w:r>
        <w:rPr>
          <w:rFonts w:hint="eastAsia" w:ascii="宋体" w:hAnsi="宋体" w:cs="宋体"/>
          <w:color w:val="auto"/>
          <w:sz w:val="24"/>
          <w:szCs w:val="24"/>
          <w:highlight w:val="none"/>
          <w:lang w:val="en-US" w:eastAsia="zh-CN"/>
        </w:rPr>
        <w:t xml:space="preserve">按季度与</w:t>
      </w:r>
      <w:r>
        <w:rPr>
          <w:rFonts w:hint="eastAsia" w:ascii="宋体" w:hAnsi="宋体" w:eastAsia="宋体" w:cs="宋体"/>
          <w:color w:val="auto"/>
          <w:sz w:val="24"/>
          <w:szCs w:val="24"/>
          <w:highlight w:val="none"/>
        </w:rPr>
        <w:t xml:space="preserve">乙方</w:t>
      </w:r>
      <w:r>
        <w:rPr>
          <w:rFonts w:hint="eastAsia" w:ascii="宋体" w:hAnsi="宋体" w:cs="宋体"/>
          <w:color w:val="auto"/>
          <w:sz w:val="24"/>
          <w:szCs w:val="24"/>
          <w:highlight w:val="none"/>
          <w:lang w:val="en-US" w:eastAsia="zh-CN"/>
        </w:rPr>
        <w:t xml:space="preserve">进行</w:t>
      </w:r>
      <w:r>
        <w:rPr>
          <w:rFonts w:hint="eastAsia" w:ascii="宋体" w:hAnsi="宋体" w:eastAsia="宋体" w:cs="宋体"/>
          <w:color w:val="auto"/>
          <w:sz w:val="24"/>
          <w:szCs w:val="24"/>
          <w:highlight w:val="none"/>
        </w:rPr>
        <w:t xml:space="preserve">结算支付。</w:t>
      </w:r>
      <w:bookmarkStart w:id="30" w:name="_GoBack"/>
      <w:r/>
      <w:bookmarkEnd w:id="30"/>
      <w:r/>
      <w:r/>
    </w:p>
    <w:p>
      <w:pPr>
        <w:pStyle w:val="1016"/>
        <w:ind w:left="0" w:firstLine="480"/>
        <w:jc w:val="both"/>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不得补报或补录上月工单，遗漏自行负责。服务经费由甲方承担，因乙方提供的结算材料不及时等原因造成的时间拖延，乙方自行承担责任。付款时，乙方须向甲方提供下列单据：监管单位审核盖章的核定单、合格发票。</w:t>
      </w:r>
      <w:r/>
    </w:p>
    <w:p>
      <w:pPr>
        <w:pStyle w:val="1016"/>
        <w:ind w:left="0" w:firstLine="480"/>
        <w:jc w:val="both"/>
        <w:spacing w:before="0" w:beforeAutospacing="0" w:after="0" w:afterAutospacing="0"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备注：上述付款，甲方不代扣或代缴任何税金，直接将合同款汇到乙方指定银行账户。鉴于甲方向政府财政部门申请资金等因素，具体付款进度视财政拨付情况而定。若因此甲方未能遵照此支付步骤和比例付款，不视为甲方逾期支付。</w:t>
      </w:r>
      <w:r/>
    </w:p>
    <w:p>
      <w:pPr>
        <w:pStyle w:val="1016"/>
        <w:ind w:firstLine="480"/>
        <w:jc w:val="both"/>
        <w:spacing w:before="0" w:beforeAutospacing="0" w:after="0" w:afterAutospacing="0"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（2）每次付款前，由乙方提交服务费用付款申请，经甲方确认后，乙方按甲方要求开具发票。若乙方未按约提供发票的，甲方有权迟延付款且不承担逾期付款的违约责任。</w:t>
      </w:r>
      <w:r/>
    </w:p>
    <w:p>
      <w:pPr>
        <w:pStyle w:val="1016"/>
        <w:ind w:firstLine="480"/>
        <w:jc w:val="both"/>
        <w:spacing w:before="0" w:beforeAutospacing="0" w:after="0" w:afterAutospacing="0"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（3）付款方式为银行转账。</w:t>
      </w:r>
      <w:r/>
    </w:p>
    <w:p>
      <w:pPr>
        <w:pStyle w:val="1016"/>
        <w:ind w:firstLine="480"/>
        <w:jc w:val="both"/>
        <w:spacing w:before="0" w:beforeAutospacing="0" w:after="0" w:afterAutospacing="0"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（4）乙方开户银行名称、地址和账号为：</w:t>
      </w:r>
      <w:r/>
    </w:p>
    <w:p>
      <w:pPr>
        <w:pStyle w:val="1016"/>
        <w:ind w:firstLine="480"/>
        <w:jc w:val="both"/>
        <w:spacing w:before="0" w:beforeAutospacing="0" w:after="0" w:afterAutospacing="0"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户    名：</w:t>
      </w:r>
      <w:r/>
    </w:p>
    <w:p>
      <w:pPr>
        <w:pStyle w:val="1016"/>
        <w:ind w:firstLine="480"/>
        <w:jc w:val="both"/>
        <w:spacing w:before="0" w:beforeAutospacing="0" w:after="0" w:afterAutospacing="0"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开户银行：</w:t>
      </w:r>
      <w:r/>
    </w:p>
    <w:p>
      <w:pPr>
        <w:pStyle w:val="1016"/>
        <w:ind w:firstLine="480"/>
        <w:jc w:val="both"/>
        <w:spacing w:before="0" w:beforeAutospacing="0" w:after="0" w:afterAutospacing="0"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    址：</w:t>
      </w:r>
      <w:r/>
    </w:p>
    <w:p>
      <w:pPr>
        <w:pStyle w:val="1016"/>
        <w:ind w:firstLine="480"/>
        <w:jc w:val="both"/>
        <w:spacing w:before="0" w:beforeAutospacing="0" w:after="0" w:afterAutospacing="0"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账    号：</w:t>
      </w:r>
      <w:r/>
    </w:p>
    <w:p>
      <w:pPr>
        <w:pStyle w:val="1016"/>
        <w:ind w:firstLine="480"/>
        <w:jc w:val="left"/>
        <w:spacing w:before="0" w:beforeAutospacing="0" w:after="0" w:afterAutospacing="0" w:line="360" w:lineRule="auto"/>
        <w:rPr>
          <w:rFonts w:hint="eastAsia" w:ascii="宋体" w:hAnsi="宋体" w:eastAsia="宋体" w:cs="宋体"/>
          <w:color w:val="auto"/>
          <w:szCs w:val="24"/>
          <w:highlight w:val="none"/>
        </w:rPr>
      </w:pPr>
      <w:r>
        <w:rPr>
          <w:rFonts w:hint="eastAsia"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.政府采购合同履行中，采购人需追加与合同标的物相同的服务的，在不改变合同其他条款的前提下，甲方可以与乙方签订补充合同，但所有补充合同的采购金额不得超过原合同采购金额的百分之十。</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三、服务工作考核</w:t>
      </w:r>
      <w:r/>
    </w:p>
    <w:p>
      <w:pPr>
        <w:ind w:left="0" w:firstLine="482"/>
        <w:spacing w:line="360" w:lineRule="auto"/>
        <w:rPr>
          <w:rFonts w:hint="eastAsia" w:ascii="宋体" w:hAnsi="宋体" w:eastAsia="宋体" w:cs="楷体"/>
          <w:b/>
          <w:bCs/>
          <w:color w:val="auto"/>
          <w:sz w:val="24"/>
          <w:highlight w:val="none"/>
          <w:lang w:val="en-US" w:eastAsia="zh-CN"/>
        </w:rPr>
        <w:outlineLvl w:val="9"/>
      </w:pPr>
      <w:r>
        <w:rPr>
          <w:rFonts w:hint="eastAsia" w:ascii="宋体" w:hAnsi="宋体" w:eastAsia="宋体" w:cs="楷体"/>
          <w:b/>
          <w:bCs/>
          <w:color w:val="auto"/>
          <w:sz w:val="24"/>
          <w:highlight w:val="none"/>
          <w:lang w:val="en-US" w:eastAsia="zh-CN"/>
        </w:rPr>
        <w:t xml:space="preserve">按《苏州高新区社区居家养老服务设施运营和居家上门服务考核办法》（苏高新社【2022】47号）文件</w:t>
      </w:r>
      <w:r>
        <w:rPr>
          <w:rFonts w:hint="eastAsia" w:ascii="宋体" w:hAnsi="宋体" w:eastAsia="宋体" w:cs="楷体"/>
          <w:b/>
          <w:bCs/>
          <w:color w:val="auto"/>
          <w:sz w:val="24"/>
          <w:szCs w:val="20"/>
          <w:highlight w:val="none"/>
          <w:lang w:val="en-US" w:eastAsia="zh-CN"/>
        </w:rPr>
        <w:t xml:space="preserve">及其补充通知执行</w:t>
      </w:r>
      <w:r>
        <w:rPr>
          <w:rFonts w:hint="eastAsia" w:ascii="宋体" w:hAnsi="宋体" w:eastAsia="宋体" w:cs="楷体"/>
          <w:b/>
          <w:bCs/>
          <w:color w:val="auto"/>
          <w:sz w:val="24"/>
          <w:highlight w:val="none"/>
          <w:lang w:val="en-US" w:eastAsia="zh-CN"/>
        </w:rPr>
        <w:t xml:space="preserve">,由区社会事业局养老职能部门与由区社会事业局通过公开采购承担监督考核的第三方机构每季度对运营管理情况进行考核，连续两个季度考核不合格，甲方有权终止合同。</w:t>
      </w:r>
      <w:r/>
    </w:p>
    <w:p>
      <w:pPr>
        <w:ind w:left="52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四、权利和义务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乙方须按照招标书要求实施项目，履行承诺，保证质量。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项目经费根据预算表专款专用，不得挪作他用。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甲方本合同约定方式拨付乙方项目经费，乙方须向甲方提供正规收款票据。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乙方在项目实施周期内接受甲方委托的第三方监管和评估，并向第三方提交监管和评估所需的所有项目信息和资料。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在项目实施过程中，如发现乙方提供虚假资料或信息，甲方有权立即停止本项目并追回项目荣誉和奖励，同时在媒体通告，乙方三年内不得参加公益招投标或甲方主办的其他活动。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乙方应主动接受并配合甲方及财政、审计等部门对本项目的检查、指导和监督。</w:t>
      </w:r>
      <w:r/>
    </w:p>
    <w:p>
      <w:p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乙方实施本项目产生的报告、课件、手册等所有文字资料和影像资料，甲方可无限期无偿使用。</w:t>
      </w:r>
      <w:r/>
    </w:p>
    <w:p>
      <w:p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如乙方对服务缺陷不予更正，甲方有权另请其他单位更正，所发生的费用由乙方承担。</w:t>
      </w:r>
      <w:r/>
    </w:p>
    <w:p>
      <w:p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确因甲方工作检查需要，乙方应无条件配合甲方完成一些突击工作。如：安排服务人员（内部）临时加班。</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五、违约责任</w:t>
      </w:r>
      <w:r/>
    </w:p>
    <w:p>
      <w:pPr>
        <w:ind w:firstLine="480"/>
        <w:spacing w:line="360" w:lineRule="auto"/>
        <w:rPr>
          <w:rFonts w:hint="eastAsia" w:ascii="宋体" w:hAnsi="宋体" w:eastAsia="宋体" w:cs="宋体"/>
          <w:b/>
          <w:color w:val="auto"/>
          <w:sz w:val="24"/>
          <w:szCs w:val="24"/>
          <w:highlight w:val="none"/>
          <w:lang w:val="zh-CN"/>
        </w:rPr>
      </w:pPr>
      <w:r>
        <w:rPr>
          <w:rFonts w:hint="eastAsia" w:ascii="宋体" w:hAnsi="宋体" w:eastAsia="宋体" w:cs="宋体"/>
          <w:color w:val="auto"/>
          <w:sz w:val="24"/>
          <w:szCs w:val="24"/>
          <w:highlight w:val="none"/>
        </w:rPr>
        <w:t xml:space="preserve">合同一方不履行合同义务或者履行合同义务不符合规定的，应当承担继续履行、采取补救措施或者赔偿损失等违约责任。</w:t>
      </w:r>
      <w:r/>
    </w:p>
    <w:p>
      <w:pPr>
        <w:ind w:firstLine="480"/>
        <w:spacing w:line="360" w:lineRule="auto"/>
        <w:rPr>
          <w:rFonts w:hint="eastAsia" w:ascii="宋体" w:hAnsi="宋体" w:eastAsia="宋体" w:cs="宋体"/>
          <w:b/>
          <w:color w:val="auto"/>
          <w:sz w:val="24"/>
          <w:szCs w:val="24"/>
          <w:highlight w:val="none"/>
          <w:lang w:val="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甲方违约责任：在合同生效后，甲方</w:t>
      </w:r>
      <w:r>
        <w:rPr>
          <w:rFonts w:hint="eastAsia" w:ascii="宋体" w:hAnsi="宋体" w:eastAsia="宋体" w:cs="宋体"/>
          <w:color w:val="auto"/>
          <w:sz w:val="24"/>
          <w:szCs w:val="24"/>
          <w:highlight w:val="none"/>
          <w:lang w:eastAsia="zh-CN"/>
        </w:rPr>
        <w:t xml:space="preserve">无故</w:t>
      </w:r>
      <w:r>
        <w:rPr>
          <w:rFonts w:hint="eastAsia" w:ascii="宋体" w:hAnsi="宋体" w:eastAsia="宋体" w:cs="宋体"/>
          <w:color w:val="auto"/>
          <w:sz w:val="24"/>
          <w:szCs w:val="24"/>
          <w:highlight w:val="none"/>
        </w:rPr>
        <w:t xml:space="preserve">要求解除合同的，应向乙方偿付合同总价款5%的违约金，违约金不足以补偿损失的，乙方有权要求甲方补足。</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乙方违约责任：</w:t>
      </w:r>
      <w:r/>
    </w:p>
    <w:p>
      <w:pPr>
        <w:ind w:firstLine="240"/>
        <w:spacing w:line="360" w:lineRule="auto"/>
        <w:rPr>
          <w:rFonts w:hint="eastAsia" w:ascii="宋体" w:hAnsi="宋体" w:eastAsia="宋体" w:cs="宋体"/>
          <w:b/>
          <w:color w:val="auto"/>
          <w:sz w:val="24"/>
          <w:szCs w:val="24"/>
          <w:highlight w:val="none"/>
          <w:lang w:val="zh-CN"/>
        </w:rPr>
      </w:pPr>
      <w:r>
        <w:rPr>
          <w:rFonts w:hint="eastAsia" w:ascii="宋体" w:hAnsi="宋体" w:eastAsia="宋体" w:cs="宋体"/>
          <w:color w:val="auto"/>
          <w:sz w:val="24"/>
          <w:szCs w:val="24"/>
          <w:highlight w:val="none"/>
        </w:rPr>
        <w:t xml:space="preserve">（1）乙方不能履行合同从而影响甲方按期实施的，甲方有权解除合同，乙方向甲方偿付合同总价款</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%的违约金，违约金不足以补偿损失的甲方有权要求乙方补足。</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（2）所有本项目服务人员</w:t>
      </w:r>
      <w:r>
        <w:rPr>
          <w:rFonts w:hint="eastAsia" w:ascii="宋体" w:hAnsi="宋体" w:eastAsia="宋体" w:cs="宋体"/>
          <w:color w:val="auto"/>
          <w:sz w:val="24"/>
          <w:szCs w:val="24"/>
          <w:highlight w:val="none"/>
          <w:lang w:val="en-US" w:eastAsia="zh-CN"/>
        </w:rPr>
        <w:t xml:space="preserve">原则上</w:t>
      </w:r>
      <w:r>
        <w:rPr>
          <w:rFonts w:hint="eastAsia" w:ascii="宋体" w:hAnsi="宋体" w:eastAsia="宋体" w:cs="宋体"/>
          <w:color w:val="auto"/>
          <w:sz w:val="24"/>
          <w:szCs w:val="24"/>
          <w:highlight w:val="none"/>
        </w:rPr>
        <w:t xml:space="preserve">要求雇员制聘用。中标后，乙方须在本项目服务期开始的当月</w:t>
      </w:r>
      <w:r>
        <w:rPr>
          <w:rFonts w:hint="eastAsia" w:ascii="宋体" w:hAnsi="宋体" w:eastAsia="宋体" w:cs="宋体"/>
          <w:color w:val="auto"/>
          <w:sz w:val="24"/>
          <w:szCs w:val="24"/>
          <w:highlight w:val="none"/>
          <w:lang w:eastAsia="zh-CN"/>
        </w:rPr>
        <w:t xml:space="preserve">与</w:t>
      </w:r>
      <w:r>
        <w:rPr>
          <w:rFonts w:hint="eastAsia" w:ascii="宋体" w:hAnsi="宋体" w:eastAsia="宋体" w:cs="宋体"/>
          <w:color w:val="auto"/>
          <w:sz w:val="24"/>
          <w:szCs w:val="24"/>
          <w:highlight w:val="none"/>
        </w:rPr>
        <w:t xml:space="preserve">所有本项目服务人员签订劳动合同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并为在劳动年龄段的服务人员缴纳</w:t>
      </w:r>
      <w:r>
        <w:rPr>
          <w:rFonts w:hint="eastAsia" w:ascii="宋体" w:hAnsi="宋体" w:eastAsia="宋体" w:cs="宋体"/>
          <w:color w:val="auto"/>
          <w:sz w:val="24"/>
          <w:szCs w:val="24"/>
          <w:highlight w:val="none"/>
        </w:rPr>
        <w:t xml:space="preserve">社保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如不能</w:t>
      </w:r>
      <w:r>
        <w:rPr>
          <w:rFonts w:hint="eastAsia" w:ascii="宋体" w:hAnsi="宋体" w:eastAsia="宋体" w:cs="宋体"/>
          <w:color w:val="auto"/>
          <w:sz w:val="24"/>
          <w:szCs w:val="24"/>
          <w:highlight w:val="none"/>
          <w:lang w:val="en-US" w:eastAsia="zh-CN"/>
        </w:rPr>
        <w:t xml:space="preserve">保障服务人员的合法权益，情节严重的，</w:t>
      </w:r>
      <w:r>
        <w:rPr>
          <w:rFonts w:hint="eastAsia" w:ascii="宋体" w:hAnsi="宋体" w:eastAsia="宋体" w:cs="宋体"/>
          <w:color w:val="auto"/>
          <w:sz w:val="24"/>
          <w:szCs w:val="24"/>
          <w:highlight w:val="none"/>
        </w:rPr>
        <w:t xml:space="preserve">则甲方有权终止合同。</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）服务期间，甲方有权不定期抽查服务人员与中标单位的雇佣关系，如发现有未按时或停止缴纳社保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服务人员流失严重，导致服务率下降，情节严重的，</w:t>
      </w:r>
      <w:r>
        <w:rPr>
          <w:rFonts w:hint="eastAsia" w:ascii="宋体" w:hAnsi="宋体" w:eastAsia="宋体" w:cs="宋体"/>
          <w:color w:val="auto"/>
          <w:sz w:val="24"/>
          <w:szCs w:val="24"/>
          <w:highlight w:val="none"/>
        </w:rPr>
        <w:t xml:space="preserve">甲方有权终止合同。</w:t>
      </w:r>
      <w:r/>
    </w:p>
    <w:p>
      <w:pPr>
        <w:ind w:firstLine="36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所有本项目服务人员在服务期间原则上不允许更换，如确实需要更换的，必须至少提前一个月跟甲方报备，</w:t>
      </w:r>
      <w:r>
        <w:rPr>
          <w:rFonts w:hint="eastAsia" w:ascii="宋体" w:hAnsi="宋体" w:eastAsia="宋体" w:cs="宋体"/>
          <w:color w:val="auto"/>
          <w:sz w:val="24"/>
          <w:szCs w:val="24"/>
          <w:highlight w:val="none"/>
          <w:lang w:val="en-US" w:eastAsia="zh-CN"/>
        </w:rPr>
        <w:t xml:space="preserve">乙方与</w:t>
      </w:r>
      <w:r>
        <w:rPr>
          <w:rFonts w:hint="eastAsia" w:ascii="宋体" w:hAnsi="宋体" w:eastAsia="宋体" w:cs="宋体"/>
          <w:color w:val="auto"/>
          <w:sz w:val="24"/>
          <w:szCs w:val="24"/>
          <w:highlight w:val="none"/>
        </w:rPr>
        <w:t xml:space="preserve">更换后的人员同样需要在服务的当月签订劳动合同并缴纳社保。提交社保原件时间为服务的下一个月。如不能提供，则甲方有权终止合同，新增服务人员要求同上。</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、保密性及知识产权</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乙方应将本项目中的保密资料作为商业秘密予以保护。如发生泄密，甲方有权追究乙方泄密责任。保密资料是指本项目中不为公众所知悉、能为权利人带来经济利益、具有实用性并经权利人采取保密措施的技术信息和经营信息。</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供应商应能保证所提供服务涉及到的知识产权是合法取得，并享有完整的知识产权，不会因为需方的使用而被责令停止使用、追偿或要求赔偿损失，如出现此情况，一切经济和法律责任均由供应商承担。</w:t>
      </w:r>
      <w:r/>
    </w:p>
    <w:p>
      <w:pPr>
        <w:ind w:firstLine="482"/>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、不可抗力</w:t>
      </w:r>
      <w:r/>
    </w:p>
    <w:p>
      <w:pPr>
        <w:numPr>
          <w:ilvl w:val="0"/>
          <w:numId w:val="5"/>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因不可抗力（或甲、乙双方不能控制的原因）不能履行合同的，根据不可抗力的影响，部分或者全部免除责任。但合同一方迟延履行后发生不可抗力的，不能免除责任。</w:t>
      </w:r>
      <w:r/>
    </w:p>
    <w:p>
      <w:pPr>
        <w:numPr>
          <w:ilvl w:val="0"/>
          <w:numId w:val="5"/>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合同一方因不可抗力不能履行合同的，应当及时通知对方，以减轻可能给对方造成的损失，并应当在合理期限内提供证明。</w:t>
      </w:r>
      <w:r/>
    </w:p>
    <w:p>
      <w:pPr>
        <w:ind w:firstLine="482"/>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转</w:t>
      </w:r>
      <w:r>
        <w:rPr>
          <w:rFonts w:hint="eastAsia" w:ascii="宋体" w:hAnsi="宋体" w:eastAsia="宋体" w:cs="宋体"/>
          <w:b/>
          <w:bCs/>
          <w:color w:val="auto"/>
          <w:sz w:val="24"/>
          <w:szCs w:val="24"/>
          <w:highlight w:val="none"/>
          <w:lang w:val="en-US" w:eastAsia="zh-CN"/>
        </w:rPr>
        <w:t xml:space="preserve">包</w:t>
      </w:r>
      <w:r>
        <w:rPr>
          <w:rFonts w:hint="eastAsia" w:ascii="宋体" w:hAnsi="宋体" w:eastAsia="宋体" w:cs="宋体"/>
          <w:b/>
          <w:bCs/>
          <w:color w:val="auto"/>
          <w:sz w:val="24"/>
          <w:szCs w:val="24"/>
          <w:highlight w:val="none"/>
        </w:rPr>
        <w:t xml:space="preserve">和分包</w:t>
      </w:r>
      <w:r/>
    </w:p>
    <w:p>
      <w:pPr>
        <w:numPr>
          <w:ilvl w:val="0"/>
          <w:numId w:val="0"/>
        </w:numPr>
        <w:ind w:left="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合同的部分和全部都不得转</w:t>
      </w:r>
      <w:r>
        <w:rPr>
          <w:rFonts w:hint="eastAsia" w:ascii="宋体" w:hAnsi="宋体" w:eastAsia="宋体" w:cs="宋体"/>
          <w:color w:val="auto"/>
          <w:sz w:val="24"/>
          <w:szCs w:val="24"/>
          <w:highlight w:val="none"/>
          <w:lang w:val="en-US" w:eastAsia="zh-CN"/>
        </w:rPr>
        <w:t xml:space="preserve">包</w:t>
      </w:r>
      <w:r>
        <w:rPr>
          <w:rFonts w:hint="eastAsia" w:ascii="宋体" w:hAnsi="宋体" w:eastAsia="宋体" w:cs="宋体"/>
          <w:color w:val="auto"/>
          <w:sz w:val="24"/>
          <w:szCs w:val="24"/>
          <w:highlight w:val="none"/>
          <w:lang w:eastAsia="zh-CN"/>
        </w:rPr>
        <w:t xml:space="preserve">和分包，</w:t>
      </w:r>
      <w:r>
        <w:rPr>
          <w:rFonts w:hint="eastAsia" w:ascii="宋体" w:hAnsi="宋体" w:eastAsia="宋体" w:cs="宋体"/>
          <w:color w:val="auto"/>
          <w:sz w:val="24"/>
          <w:szCs w:val="24"/>
          <w:highlight w:val="none"/>
          <w:lang w:val="en-US" w:eastAsia="zh-CN"/>
        </w:rPr>
        <w:t xml:space="preserve">一经发现，甲方有权终止合同</w:t>
      </w:r>
      <w:r>
        <w:rPr>
          <w:rFonts w:hint="eastAsia" w:ascii="宋体" w:hAnsi="宋体" w:eastAsia="宋体" w:cs="宋体"/>
          <w:color w:val="auto"/>
          <w:sz w:val="24"/>
          <w:szCs w:val="24"/>
          <w:highlight w:val="none"/>
          <w:lang w:eastAsia="zh-CN"/>
        </w:rPr>
        <w:t xml:space="preserve">。</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rPr>
        <w:t xml:space="preserve">、争议解决办法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在执行合同过程中，甲乙甲方因合同发生争议时应当协商解决或者提请本项目的上级行政主管部门进行调解。若协商或调解无效，可选择(2)方式进行处理：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（1）向各方均认可的或约定的合同仲裁机构申请仲裁；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（2）向合同履行地人民法院起诉。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争议发生后，除甲乙双方均同意终止合同外，各方均应继续履行合同，否则视为违约。</w:t>
      </w:r>
      <w:r/>
    </w:p>
    <w:p>
      <w:pPr>
        <w:ind w:firstLine="482"/>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rPr>
        <w:t xml:space="preserve">合同解除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1.因不可抗力、意外事件，或者其它原因使得本合同的履行不可能、不必要或者无意义的，经双方友好协商可以解除本合同。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任何一方没有行使其权利或没有就对方的违约行为采取任何行动，不应被视为是对权利的放弃或对追究违约责任或义务的放弃。任何一方放弃针对对方的任何权利，或放弃追究对方的任何过失，不应视为对任何其他权利或追究任何其他过失的放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如政府釆购合同继续履行将损害国家利益和社会公共利益，甲方有权变更、中止或者终止、解除合同。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4.有权解除合同的一方，应当在违约事实或不可抗力发生之后三十天内书面通知对方提出解除合同，合同在书面通知到达对方时解除。</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5.若合同服务期限内，苏州市出台新居家养老服务政策与合同内容冲突，以新政策为准，本合同解除。</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、合同生效及其他</w:t>
      </w:r>
      <w:r/>
    </w:p>
    <w:p>
      <w:pPr>
        <w:ind w:firstLine="480"/>
        <w:jc w:val="left"/>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1.本合同经双方法定代表人或其委托代理人签署并加盖公章或合同章后生效。本合同一式</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肆</w:t>
      </w:r>
      <w:r>
        <w:rPr>
          <w:rFonts w:hint="eastAsia" w:ascii="宋体" w:hAnsi="宋体" w:eastAsia="宋体" w:cs="宋体"/>
          <w:color w:val="auto"/>
          <w:sz w:val="24"/>
          <w:szCs w:val="24"/>
          <w:highlight w:val="none"/>
        </w:rPr>
        <w:t xml:space="preserve">份，具有同等法律效力，甲方</w:t>
      </w:r>
      <w:r>
        <w:rPr>
          <w:rFonts w:hint="eastAsia" w:ascii="宋体" w:hAnsi="宋体" w:eastAsia="宋体" w:cs="宋体"/>
          <w:color w:val="auto"/>
          <w:sz w:val="24"/>
          <w:szCs w:val="24"/>
          <w:highlight w:val="none"/>
          <w:u w:val="single"/>
        </w:rPr>
        <w:t xml:space="preserve"> 贰 </w:t>
      </w:r>
      <w:r>
        <w:rPr>
          <w:rFonts w:hint="eastAsia" w:ascii="宋体" w:hAnsi="宋体" w:eastAsia="宋体" w:cs="宋体"/>
          <w:color w:val="auto"/>
          <w:sz w:val="24"/>
          <w:szCs w:val="24"/>
          <w:highlight w:val="none"/>
        </w:rPr>
        <w:t xml:space="preserve">份，乙方</w:t>
      </w:r>
      <w:r>
        <w:rPr>
          <w:rFonts w:hint="eastAsia" w:ascii="宋体" w:hAnsi="宋体" w:eastAsia="宋体" w:cs="宋体"/>
          <w:color w:val="auto"/>
          <w:sz w:val="24"/>
          <w:szCs w:val="24"/>
          <w:highlight w:val="none"/>
          <w:u w:val="single"/>
        </w:rPr>
        <w:t xml:space="preserve"> 贰 </w:t>
      </w:r>
      <w:r>
        <w:rPr>
          <w:rFonts w:hint="eastAsia" w:ascii="宋体" w:hAnsi="宋体" w:eastAsia="宋体" w:cs="宋体"/>
          <w:color w:val="auto"/>
          <w:sz w:val="24"/>
          <w:szCs w:val="24"/>
          <w:highlight w:val="none"/>
        </w:rPr>
        <w:t xml:space="preserve">份。</w:t>
      </w:r>
      <w:r/>
    </w:p>
    <w:p>
      <w:pPr>
        <w:ind w:firstLine="480"/>
        <w:spacing w:line="360" w:lineRule="auto"/>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如乙方出现连续两个季度考核不合格，甲方有权终止合同，并可以选择按照评审报告推荐的中标人名单排序，确定下一候选人为中标供应商，也可以重新开展政府采购活动。</w:t>
      </w:r>
      <w:r>
        <w:rPr>
          <w:rFonts w:hint="eastAsia" w:ascii="宋体" w:hAnsi="宋体" w:eastAsia="宋体" w:cs="宋体"/>
          <w:color w:val="auto"/>
          <w:sz w:val="24"/>
          <w:szCs w:val="24"/>
          <w:highlight w:val="none"/>
          <w:lang w:val="en-US" w:eastAsia="zh-CN"/>
        </w:rPr>
        <w:t xml:space="preserve">  </w:t>
      </w:r>
      <w:r/>
    </w:p>
    <w:p>
      <w:pPr>
        <w:pStyle w:val="791"/>
        <w:ind w:left="0" w:firstLine="24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3.本合同未尽事宜，经各方协商一致，可订立补充合同，补充合同及附件均为本合同不可分割的一部分，与本合同具有同等效力，但需向采购人提交二份备存。</w:t>
      </w:r>
      <w:r/>
    </w:p>
    <w:p>
      <w:pPr>
        <w:rPr>
          <w:rFonts w:hint="eastAsia"/>
          <w:color w:val="auto"/>
          <w:highlight w:val="none"/>
          <w:lang w:val="en-US" w:eastAsia="zh-CN"/>
        </w:rPr>
      </w:pPr>
      <w:r>
        <w:rPr>
          <w:rFonts w:hint="eastAsia"/>
          <w:color w:val="auto"/>
          <w:highlight w:val="none"/>
          <w:lang w:val="en-US" w:eastAsia="zh-CN"/>
        </w:rPr>
      </w:r>
      <w:r/>
    </w:p>
    <w:tbl>
      <w:tblPr>
        <w:tblStyle w:val="720"/>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597"/>
        <w:gridCol w:w="4596"/>
      </w:tblGrid>
      <w:tr>
        <w:trPr>
          <w:jc w:val="center"/>
          <w:trHeight w:val="1113"/>
        </w:trPr>
        <w:tc>
          <w:tcPr>
            <w:tcW w:w="4597" w:type="dxa"/>
            <w:vAlign w:val="center"/>
            <w:textDirection w:val="lrTb"/>
            <w:noWrap w:val="false"/>
          </w:tcPr>
          <w:p>
            <w:pPr>
              <w:pStyle w:val="791"/>
              <w:ind w:firstLine="0"/>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甲方（盖章）：</w:t>
            </w:r>
            <w:r/>
          </w:p>
          <w:p>
            <w:pPr>
              <w:jc w:val="left"/>
              <w:tabs>
                <w:tab w:val="left" w:pos="525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4596" w:type="dxa"/>
            <w:vAlign w:val="top"/>
            <w:textDirection w:val="lrTb"/>
            <w:noWrap w:val="false"/>
          </w:tcPr>
          <w:p>
            <w:pPr>
              <w:pStyle w:val="791"/>
              <w:ind w:firstLine="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乙方（盖章）：</w:t>
            </w:r>
            <w:r/>
          </w:p>
        </w:tc>
      </w:tr>
      <w:tr>
        <w:trPr>
          <w:jc w:val="center"/>
        </w:trPr>
        <w:tc>
          <w:tcPr>
            <w:tcW w:w="4597" w:type="dxa"/>
            <w:vAlign w:val="center"/>
            <w:textDirection w:val="lrTb"/>
            <w:noWrap w:val="false"/>
          </w:tcPr>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w:t>
            </w:r>
            <w:r>
              <w:rPr>
                <w:rFonts w:hint="eastAsia" w:ascii="宋体" w:hAnsi="宋体" w:eastAsia="宋体" w:cs="宋体"/>
                <w:b/>
                <w:bCs/>
                <w:color w:val="auto"/>
                <w:sz w:val="24"/>
                <w:szCs w:val="24"/>
                <w:highlight w:val="none"/>
                <w:lang w:val="en-US" w:eastAsia="zh-CN"/>
              </w:rPr>
              <w:t xml:space="preserve">或</w:t>
            </w:r>
            <w:r>
              <w:rPr>
                <w:rFonts w:hint="eastAsia" w:ascii="宋体" w:hAnsi="宋体" w:eastAsia="宋体" w:cs="宋体"/>
                <w:b/>
                <w:bCs/>
                <w:color w:val="auto"/>
                <w:sz w:val="24"/>
                <w:szCs w:val="24"/>
                <w:highlight w:val="none"/>
              </w:rPr>
              <w:t xml:space="preserve">授权）代表人（签字或盖章）：</w:t>
            </w:r>
            <w:r/>
          </w:p>
          <w:p>
            <w:pPr>
              <w:tabs>
                <w:tab w:val="left" w:pos="525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4596" w:type="dxa"/>
            <w:vAlign w:val="top"/>
            <w:textDirection w:val="lrTb"/>
            <w:noWrap w:val="false"/>
          </w:tcPr>
          <w:p>
            <w:pPr>
              <w:ind w:firstLine="0"/>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w:t>
            </w:r>
            <w:r>
              <w:rPr>
                <w:rFonts w:hint="eastAsia" w:ascii="宋体" w:hAnsi="宋体" w:eastAsia="宋体" w:cs="宋体"/>
                <w:b/>
                <w:bCs/>
                <w:color w:val="auto"/>
                <w:sz w:val="24"/>
                <w:szCs w:val="24"/>
                <w:highlight w:val="none"/>
                <w:lang w:val="en-US" w:eastAsia="zh-CN"/>
              </w:rPr>
              <w:t xml:space="preserve">或</w:t>
            </w:r>
            <w:r>
              <w:rPr>
                <w:rFonts w:hint="eastAsia" w:ascii="宋体" w:hAnsi="宋体" w:eastAsia="宋体" w:cs="宋体"/>
                <w:b/>
                <w:bCs/>
                <w:color w:val="auto"/>
                <w:sz w:val="24"/>
                <w:szCs w:val="24"/>
                <w:highlight w:val="none"/>
              </w:rPr>
              <w:t xml:space="preserve">授权）代表人（签字或盖章）：</w:t>
            </w:r>
            <w:r/>
          </w:p>
        </w:tc>
      </w:tr>
      <w:tr>
        <w:trPr>
          <w:jc w:val="center"/>
        </w:trPr>
        <w:tc>
          <w:tcPr>
            <w:tcW w:w="4597" w:type="dxa"/>
            <w:vAlign w:val="center"/>
            <w:textDirection w:val="lrTb"/>
            <w:noWrap w:val="false"/>
          </w:tcPr>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签订日期：</w:t>
            </w:r>
            <w:r/>
          </w:p>
        </w:tc>
        <w:tc>
          <w:tcPr>
            <w:tcW w:w="4596" w:type="dxa"/>
            <w:vAlign w:val="center"/>
            <w:textDirection w:val="lrTb"/>
            <w:noWrap w:val="false"/>
          </w:tcPr>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签订日期：</w:t>
            </w:r>
            <w:r/>
          </w:p>
        </w:tc>
      </w:tr>
    </w:tbl>
    <w:p>
      <w:pPr>
        <w:pStyle w:val="749"/>
        <w:ind w:left="0" w:firstLine="482"/>
        <w:jc w:val="left"/>
        <w:keepLines w:val="0"/>
        <w:keepNext w:val="0"/>
        <w:pageBreakBefore w:val="0"/>
        <w:rPr>
          <w:rFonts w:ascii="宋体" w:hAnsi="宋体" w:cs="宋体"/>
          <w:b/>
          <w:color w:val="auto"/>
          <w:sz w:val="24"/>
          <w:highlight w:val="none"/>
        </w:rPr>
      </w:pPr>
      <w:r>
        <w:rPr>
          <w:rFonts w:hint="eastAsia" w:ascii="宋体" w:hAnsi="宋体" w:cs="宋体"/>
          <w:b/>
          <w:color w:val="auto"/>
          <w:sz w:val="24"/>
          <w:highlight w:val="none"/>
          <w:lang w:val="en-US" w:eastAsia="zh-CN"/>
        </w:rPr>
        <w:br w:type="page" w:clear="all"/>
      </w:r>
      <w:r/>
    </w:p>
    <w:p>
      <w:pPr>
        <w:jc w:val="center"/>
        <w:spacing w:line="360" w:lineRule="auto"/>
        <w:widowControl/>
        <w:rPr>
          <w:rFonts w:hint="eastAsia" w:ascii="宋体" w:hAnsi="宋体" w:cs="宋体"/>
          <w:b/>
          <w:bCs/>
          <w:color w:val="auto"/>
          <w:sz w:val="32"/>
          <w:szCs w:val="32"/>
          <w:highlight w:val="none"/>
        </w:rPr>
        <w:outlineLvl w:val="0"/>
      </w:pPr>
      <w:r>
        <w:rPr>
          <w:rFonts w:hint="eastAsia" w:ascii="宋体" w:hAnsi="宋体" w:cs="宋体"/>
          <w:b/>
          <w:bCs/>
          <w:color w:val="auto"/>
          <w:sz w:val="32"/>
          <w:szCs w:val="32"/>
          <w:highlight w:val="none"/>
          <w:lang w:val="en-US" w:eastAsia="zh-CN"/>
        </w:rPr>
        <w:t xml:space="preserve">第六章  </w:t>
      </w:r>
      <w:r>
        <w:rPr>
          <w:rFonts w:hint="eastAsia" w:ascii="宋体" w:hAnsi="宋体" w:eastAsia="宋体" w:cs="宋体"/>
          <w:b/>
          <w:bCs/>
          <w:color w:val="auto"/>
          <w:sz w:val="32"/>
          <w:szCs w:val="32"/>
          <w:highlight w:val="none"/>
        </w:rPr>
        <w:t xml:space="preserve">评审办法及评分标准</w:t>
      </w:r>
      <w:bookmarkEnd w:id="29"/>
      <w:r/>
      <w:r/>
    </w:p>
    <w:p>
      <w:pP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一、评审办法</w:t>
      </w:r>
      <w:r/>
    </w:p>
    <w:p>
      <w:pPr>
        <w:contextualSpacing/>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本次磋商采用综合评分法，即在响应文件满足磋商文件全部实质性要求且按评审因素的量化指标评审得分最高的供应商为成交候选供应商。采购人书面授权磋商小组直接确定成交供应商。</w:t>
      </w:r>
      <w:r/>
    </w:p>
    <w:p>
      <w:pPr>
        <w:contextualSpacing/>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评审时，磋商小组成员分别对每个有效供应商的响应文件进行评价、打分，直接将评委的评分按算术平均方法，计算出每个有效磋商单位的评委评审得分（四舍五入保留小数点后两位）。</w:t>
      </w:r>
      <w:r/>
    </w:p>
    <w:p>
      <w:pPr>
        <w:contextualSpacing/>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如出现综合得分最高的响应单位有两个或两个以上的，</w:t>
      </w:r>
      <w:r>
        <w:rPr>
          <w:rFonts w:hint="eastAsia" w:ascii="宋体" w:hAnsi="宋体" w:eastAsia="宋体" w:cs="宋体"/>
          <w:color w:val="auto"/>
          <w:sz w:val="24"/>
          <w:szCs w:val="24"/>
          <w:highlight w:val="none"/>
          <w:lang w:val="en-US" w:eastAsia="zh-CN"/>
        </w:rPr>
        <w:t xml:space="preserve">以</w:t>
      </w:r>
      <w:r>
        <w:rPr>
          <w:rFonts w:hint="eastAsia" w:ascii="宋体" w:hAnsi="宋体" w:eastAsia="宋体" w:cs="宋体"/>
          <w:color w:val="auto"/>
          <w:sz w:val="24"/>
          <w:szCs w:val="24"/>
          <w:highlight w:val="none"/>
        </w:rPr>
        <w:t xml:space="preserve">技术指标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团队人员、单位综合实力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较优者优先作为成交单位，如果技术指标也相同，则由磋商小组投票方式确定成交单位。</w:t>
      </w:r>
      <w:r/>
    </w:p>
    <w:p>
      <w:pPr>
        <w:contextualSpacing/>
        <w:ind w:firstLine="42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评分标准</w:t>
      </w:r>
      <w:r/>
    </w:p>
    <w:p>
      <w:pPr>
        <w:contextualSpacing/>
        <w:ind w:firstLine="420"/>
        <w:keepLines w:val="0"/>
        <w:keepNext w:val="0"/>
        <w:pageBreakBefore w:val="0"/>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服务方案</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64分</w:t>
      </w:r>
      <w:r>
        <w:rPr>
          <w:rFonts w:hint="eastAsia" w:ascii="宋体" w:hAnsi="宋体" w:cs="宋体"/>
          <w:b/>
          <w:bCs/>
          <w:color w:val="auto"/>
          <w:sz w:val="24"/>
          <w:szCs w:val="24"/>
          <w:highlight w:val="none"/>
          <w:lang w:eastAsia="zh-CN"/>
        </w:rPr>
        <w:t xml:space="preserve">）</w:t>
      </w:r>
      <w:r/>
    </w:p>
    <w:p>
      <w:pPr>
        <w:contextualSpacing/>
        <w:ind w:firstLine="42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针对本项目明确的目标定位、制定的</w:t>
      </w:r>
      <w:r>
        <w:rPr>
          <w:rFonts w:hint="eastAsia" w:ascii="宋体" w:hAnsi="宋体" w:eastAsia="宋体" w:cs="宋体"/>
          <w:b/>
          <w:bCs/>
          <w:color w:val="auto"/>
          <w:sz w:val="24"/>
          <w:szCs w:val="24"/>
          <w:highlight w:val="none"/>
        </w:rPr>
        <w:t xml:space="preserve">发展规划</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服务宗旨和理念</w:t>
      </w:r>
      <w:r>
        <w:rPr>
          <w:rFonts w:hint="eastAsia" w:ascii="宋体" w:hAnsi="宋体" w:eastAsia="宋体" w:cs="宋体"/>
          <w:b/>
          <w:bCs/>
          <w:color w:val="auto"/>
          <w:sz w:val="24"/>
          <w:szCs w:val="24"/>
          <w:highlight w:val="none"/>
        </w:rPr>
        <w:t xml:space="preserve">比较</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12</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 </w:t>
      </w:r>
      <w:r/>
    </w:p>
    <w:p>
      <w:pPr>
        <w:contextualSpacing/>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）响应单位</w:t>
      </w:r>
      <w:r>
        <w:rPr>
          <w:rFonts w:hint="eastAsia" w:ascii="宋体" w:hAnsi="宋体" w:eastAsia="宋体" w:cs="宋体"/>
          <w:color w:val="auto"/>
          <w:sz w:val="24"/>
          <w:szCs w:val="24"/>
          <w:highlight w:val="none"/>
          <w:lang w:val="en-US" w:eastAsia="zh-CN"/>
        </w:rPr>
        <w:t xml:space="preserve">结合本项目的采购需求提供针对本项目的</w:t>
      </w:r>
      <w:r>
        <w:rPr>
          <w:rFonts w:hint="eastAsia" w:ascii="宋体" w:hAnsi="宋体" w:eastAsia="宋体" w:cs="宋体"/>
          <w:color w:val="auto"/>
          <w:sz w:val="24"/>
          <w:szCs w:val="24"/>
          <w:highlight w:val="none"/>
        </w:rPr>
        <w:t xml:space="preserve">目标定位</w:t>
      </w:r>
      <w:r>
        <w:rPr>
          <w:rFonts w:hint="eastAsia" w:ascii="宋体" w:hAnsi="宋体" w:eastAsia="宋体" w:cs="宋体"/>
          <w:color w:val="auto"/>
          <w:sz w:val="24"/>
          <w:szCs w:val="24"/>
          <w:highlight w:val="none"/>
          <w:lang w:val="en-US" w:eastAsia="zh-CN"/>
        </w:rPr>
        <w:t xml:space="preserve">与</w:t>
      </w:r>
      <w:r>
        <w:rPr>
          <w:rFonts w:hint="eastAsia" w:ascii="宋体" w:hAnsi="宋体" w:eastAsia="宋体" w:cs="宋体"/>
          <w:color w:val="auto"/>
          <w:sz w:val="24"/>
          <w:szCs w:val="24"/>
          <w:highlight w:val="none"/>
        </w:rPr>
        <w:t xml:space="preserve">发展规划</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评委根据方案</w:t>
      </w:r>
      <w:r>
        <w:rPr>
          <w:rFonts w:hint="eastAsia" w:ascii="宋体" w:hAnsi="宋体" w:eastAsia="宋体" w:cs="宋体"/>
          <w:color w:val="auto"/>
          <w:sz w:val="24"/>
          <w:szCs w:val="24"/>
          <w:highlight w:val="none"/>
          <w:lang w:val="en-US" w:eastAsia="zh-CN"/>
        </w:rPr>
        <w:t xml:space="preserve">内的</w:t>
      </w:r>
      <w:r>
        <w:rPr>
          <w:rFonts w:hint="eastAsia" w:ascii="宋体" w:hAnsi="宋体" w:eastAsia="宋体" w:cs="宋体"/>
          <w:color w:val="auto"/>
          <w:sz w:val="24"/>
          <w:szCs w:val="24"/>
          <w:highlight w:val="none"/>
        </w:rPr>
        <w:t xml:space="preserve">目标定位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结合目标定位制定发展规划进行综合打分。</w:t>
      </w:r>
      <w:r>
        <w:rPr>
          <w:rFonts w:hint="eastAsia" w:ascii="宋体" w:hAnsi="宋体" w:eastAsia="宋体" w:cs="宋体"/>
          <w:color w:val="auto"/>
          <w:sz w:val="24"/>
          <w:szCs w:val="24"/>
          <w:highlight w:val="none"/>
          <w:lang w:val="en-US" w:eastAsia="zh-CN"/>
        </w:rPr>
        <w:t xml:space="preserve">目标定位明确且合理，</w:t>
      </w:r>
      <w:r>
        <w:rPr>
          <w:rFonts w:hint="eastAsia" w:ascii="宋体" w:hAnsi="宋体" w:eastAsia="宋体" w:cs="宋体"/>
          <w:color w:val="auto"/>
          <w:sz w:val="24"/>
          <w:szCs w:val="24"/>
          <w:highlight w:val="none"/>
        </w:rPr>
        <w:t xml:space="preserve">对未来的市场化发展有专门的规划</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能展现未来养老服务产品的丰富性，</w:t>
      </w:r>
      <w:r>
        <w:rPr>
          <w:rFonts w:hint="eastAsia" w:ascii="宋体" w:hAnsi="宋体" w:eastAsia="宋体" w:cs="宋体"/>
          <w:color w:val="auto"/>
          <w:sz w:val="24"/>
          <w:szCs w:val="24"/>
          <w:highlight w:val="none"/>
          <w:lang w:val="en-US" w:eastAsia="zh-CN"/>
        </w:rPr>
        <w:t xml:space="preserve">对本项目</w:t>
      </w:r>
      <w:r>
        <w:rPr>
          <w:rFonts w:hint="eastAsia" w:ascii="宋体" w:hAnsi="宋体" w:eastAsia="宋体" w:cs="宋体"/>
          <w:color w:val="auto"/>
          <w:sz w:val="24"/>
          <w:szCs w:val="24"/>
          <w:highlight w:val="none"/>
        </w:rPr>
        <w:t xml:space="preserve">理解充分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合理、完善、规范、清晰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丰富、可操作</w:t>
      </w:r>
      <w:r>
        <w:rPr>
          <w:rFonts w:hint="eastAsia" w:ascii="宋体" w:hAnsi="宋体" w:eastAsia="宋体" w:cs="宋体"/>
          <w:color w:val="auto"/>
          <w:sz w:val="24"/>
          <w:szCs w:val="24"/>
          <w:highlight w:val="none"/>
          <w:lang w:val="en-US" w:eastAsia="zh-CN"/>
        </w:rPr>
        <w:t xml:space="preserve">性强</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目标定位明确、较合理，</w:t>
      </w:r>
      <w:r>
        <w:rPr>
          <w:rFonts w:hint="eastAsia" w:ascii="宋体" w:hAnsi="宋体" w:eastAsia="宋体" w:cs="宋体"/>
          <w:color w:val="auto"/>
          <w:sz w:val="24"/>
          <w:szCs w:val="24"/>
          <w:highlight w:val="none"/>
        </w:rPr>
        <w:t xml:space="preserve">对未来的市场化发展有规划</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能展现未来养老服务产品的丰富性，</w:t>
      </w:r>
      <w:r>
        <w:rPr>
          <w:rFonts w:hint="eastAsia" w:ascii="宋体" w:hAnsi="宋体" w:eastAsia="宋体" w:cs="宋体"/>
          <w:color w:val="auto"/>
          <w:sz w:val="24"/>
          <w:szCs w:val="24"/>
          <w:highlight w:val="none"/>
          <w:lang w:val="en-US" w:eastAsia="zh-CN"/>
        </w:rPr>
        <w:t xml:space="preserve">对本项目</w:t>
      </w:r>
      <w:r>
        <w:rPr>
          <w:rFonts w:hint="eastAsia" w:ascii="宋体" w:hAnsi="宋体" w:eastAsia="宋体" w:cs="宋体"/>
          <w:color w:val="auto"/>
          <w:sz w:val="24"/>
          <w:szCs w:val="24"/>
          <w:highlight w:val="none"/>
        </w:rPr>
        <w:t xml:space="preserve">理解较充分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较合理、较完善、较规范、较清晰、可操作的得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目标定位较明确、基本合理，</w:t>
      </w:r>
      <w:r>
        <w:rPr>
          <w:rFonts w:hint="eastAsia" w:ascii="宋体" w:hAnsi="宋体" w:eastAsia="宋体" w:cs="宋体"/>
          <w:color w:val="auto"/>
          <w:sz w:val="24"/>
          <w:szCs w:val="24"/>
          <w:highlight w:val="none"/>
        </w:rPr>
        <w:t xml:space="preserve">对未来的市场化发展有</w:t>
      </w:r>
      <w:r>
        <w:rPr>
          <w:rFonts w:hint="eastAsia" w:ascii="宋体" w:hAnsi="宋体" w:eastAsia="宋体" w:cs="宋体"/>
          <w:color w:val="auto"/>
          <w:sz w:val="24"/>
          <w:szCs w:val="24"/>
          <w:highlight w:val="none"/>
          <w:lang w:val="en-US" w:eastAsia="zh-CN"/>
        </w:rPr>
        <w:t xml:space="preserve">简略</w:t>
      </w:r>
      <w:r>
        <w:rPr>
          <w:rFonts w:hint="eastAsia" w:ascii="宋体" w:hAnsi="宋体" w:eastAsia="宋体" w:cs="宋体"/>
          <w:color w:val="auto"/>
          <w:sz w:val="24"/>
          <w:szCs w:val="24"/>
          <w:highlight w:val="none"/>
        </w:rPr>
        <w:t xml:space="preserve">的规划</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可</w:t>
      </w:r>
      <w:r>
        <w:rPr>
          <w:rFonts w:hint="eastAsia" w:ascii="宋体" w:hAnsi="宋体" w:eastAsia="宋体" w:cs="宋体"/>
          <w:color w:val="auto"/>
          <w:sz w:val="24"/>
          <w:szCs w:val="24"/>
          <w:highlight w:val="none"/>
        </w:rPr>
        <w:t xml:space="preserve">展现未来养老服务产品的丰富性，</w:t>
      </w:r>
      <w:r>
        <w:rPr>
          <w:rFonts w:hint="eastAsia" w:ascii="宋体" w:hAnsi="宋体" w:eastAsia="宋体" w:cs="宋体"/>
          <w:color w:val="auto"/>
          <w:sz w:val="24"/>
          <w:szCs w:val="24"/>
          <w:highlight w:val="none"/>
          <w:lang w:val="en-US" w:eastAsia="zh-CN"/>
        </w:rPr>
        <w:t xml:space="preserve">对本项目</w:t>
      </w:r>
      <w:r>
        <w:rPr>
          <w:rFonts w:hint="eastAsia" w:ascii="宋体" w:hAnsi="宋体" w:eastAsia="宋体" w:cs="宋体"/>
          <w:color w:val="auto"/>
          <w:sz w:val="24"/>
          <w:szCs w:val="24"/>
          <w:highlight w:val="none"/>
        </w:rPr>
        <w:t xml:space="preserve">理解存在欠缺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方案简略、较清晰、有</w:t>
      </w:r>
      <w:r>
        <w:rPr>
          <w:rFonts w:hint="eastAsia" w:ascii="宋体" w:hAnsi="宋体" w:eastAsia="宋体" w:cs="宋体"/>
          <w:color w:val="auto"/>
          <w:sz w:val="24"/>
          <w:szCs w:val="24"/>
          <w:highlight w:val="none"/>
        </w:rPr>
        <w:t xml:space="preserve">合理</w:t>
      </w:r>
      <w:r>
        <w:rPr>
          <w:rFonts w:hint="eastAsia" w:ascii="宋体" w:hAnsi="宋体" w:eastAsia="宋体" w:cs="宋体"/>
          <w:color w:val="auto"/>
          <w:sz w:val="24"/>
          <w:szCs w:val="24"/>
          <w:highlight w:val="none"/>
          <w:lang w:val="en-US" w:eastAsia="zh-CN"/>
        </w:rPr>
        <w:t xml:space="preserve">性</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规范、</w:t>
      </w:r>
      <w:r>
        <w:rPr>
          <w:rFonts w:hint="eastAsia" w:ascii="宋体" w:hAnsi="宋体" w:eastAsia="宋体" w:cs="宋体"/>
          <w:color w:val="auto"/>
          <w:sz w:val="24"/>
          <w:szCs w:val="24"/>
          <w:highlight w:val="none"/>
          <w:lang w:val="en-US" w:eastAsia="zh-CN"/>
        </w:rPr>
        <w:t xml:space="preserve">有可</w:t>
      </w:r>
      <w:r>
        <w:rPr>
          <w:rFonts w:hint="eastAsia" w:ascii="宋体" w:hAnsi="宋体" w:eastAsia="宋体" w:cs="宋体"/>
          <w:color w:val="auto"/>
          <w:sz w:val="24"/>
          <w:szCs w:val="24"/>
          <w:highlight w:val="none"/>
        </w:rPr>
        <w:t xml:space="preserve">操作</w:t>
      </w:r>
      <w:r>
        <w:rPr>
          <w:rFonts w:hint="eastAsia" w:ascii="宋体" w:hAnsi="宋体" w:eastAsia="宋体" w:cs="宋体"/>
          <w:color w:val="auto"/>
          <w:sz w:val="24"/>
          <w:szCs w:val="24"/>
          <w:highlight w:val="none"/>
          <w:lang w:val="en-US" w:eastAsia="zh-CN"/>
        </w:rPr>
        <w:t xml:space="preserve">性</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目标定位明确且合理，</w:t>
      </w:r>
      <w:r>
        <w:rPr>
          <w:rFonts w:hint="eastAsia" w:ascii="宋体" w:hAnsi="宋体" w:eastAsia="宋体" w:cs="宋体"/>
          <w:color w:val="auto"/>
          <w:sz w:val="24"/>
          <w:szCs w:val="24"/>
          <w:highlight w:val="none"/>
        </w:rPr>
        <w:t xml:space="preserve">对未来的市场化发展有</w:t>
      </w:r>
      <w:r>
        <w:rPr>
          <w:rFonts w:hint="eastAsia" w:ascii="宋体" w:hAnsi="宋体" w:eastAsia="宋体" w:cs="宋体"/>
          <w:color w:val="auto"/>
          <w:sz w:val="24"/>
          <w:szCs w:val="24"/>
          <w:highlight w:val="none"/>
          <w:lang w:val="en-US" w:eastAsia="zh-CN"/>
        </w:rPr>
        <w:t xml:space="preserve">粗略</w:t>
      </w:r>
      <w:r>
        <w:rPr>
          <w:rFonts w:hint="eastAsia" w:ascii="宋体" w:hAnsi="宋体" w:eastAsia="宋体" w:cs="宋体"/>
          <w:color w:val="auto"/>
          <w:sz w:val="24"/>
          <w:szCs w:val="24"/>
          <w:highlight w:val="none"/>
        </w:rPr>
        <w:t xml:space="preserve">的规划</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展现</w:t>
      </w:r>
      <w:r>
        <w:rPr>
          <w:rFonts w:hint="eastAsia" w:ascii="宋体" w:hAnsi="宋体" w:eastAsia="宋体" w:cs="宋体"/>
          <w:color w:val="auto"/>
          <w:sz w:val="24"/>
          <w:szCs w:val="24"/>
          <w:highlight w:val="none"/>
          <w:lang w:val="en-US" w:eastAsia="zh-CN"/>
        </w:rPr>
        <w:t xml:space="preserve">不了</w:t>
      </w:r>
      <w:r>
        <w:rPr>
          <w:rFonts w:hint="eastAsia" w:ascii="宋体" w:hAnsi="宋体" w:eastAsia="宋体" w:cs="宋体"/>
          <w:color w:val="auto"/>
          <w:sz w:val="24"/>
          <w:szCs w:val="24"/>
          <w:highlight w:val="none"/>
        </w:rPr>
        <w:t xml:space="preserve">未来养老服务产品的丰富性，</w:t>
      </w:r>
      <w:r>
        <w:rPr>
          <w:rFonts w:hint="eastAsia" w:ascii="宋体" w:hAnsi="宋体" w:eastAsia="宋体" w:cs="宋体"/>
          <w:color w:val="auto"/>
          <w:sz w:val="24"/>
          <w:szCs w:val="24"/>
          <w:highlight w:val="none"/>
          <w:lang w:val="en-US" w:eastAsia="zh-CN"/>
        </w:rPr>
        <w:t xml:space="preserve">对本项目</w:t>
      </w:r>
      <w:r>
        <w:rPr>
          <w:rFonts w:hint="eastAsia" w:ascii="宋体" w:hAnsi="宋体" w:eastAsia="宋体" w:cs="宋体"/>
          <w:color w:val="auto"/>
          <w:sz w:val="24"/>
          <w:szCs w:val="24"/>
          <w:highlight w:val="none"/>
        </w:rPr>
        <w:t xml:space="preserve">理解</w:t>
      </w:r>
      <w:r>
        <w:rPr>
          <w:rFonts w:hint="eastAsia" w:ascii="宋体" w:hAnsi="宋体" w:eastAsia="宋体" w:cs="宋体"/>
          <w:color w:val="auto"/>
          <w:sz w:val="24"/>
          <w:szCs w:val="24"/>
          <w:highlight w:val="none"/>
          <w:lang w:val="en-US" w:eastAsia="zh-CN"/>
        </w:rPr>
        <w:t xml:space="preserve">不充分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方案粗略、不清晰、</w:t>
      </w:r>
      <w:r>
        <w:rPr>
          <w:rFonts w:hint="eastAsia" w:ascii="宋体" w:hAnsi="宋体" w:eastAsia="宋体" w:cs="宋体"/>
          <w:color w:val="auto"/>
          <w:sz w:val="24"/>
          <w:szCs w:val="24"/>
          <w:highlight w:val="none"/>
        </w:rPr>
        <w:t xml:space="preserve">合理</w:t>
      </w:r>
      <w:r>
        <w:rPr>
          <w:rFonts w:hint="eastAsia" w:ascii="宋体" w:hAnsi="宋体" w:eastAsia="宋体" w:cs="宋体"/>
          <w:color w:val="auto"/>
          <w:sz w:val="24"/>
          <w:szCs w:val="24"/>
          <w:highlight w:val="none"/>
          <w:lang w:val="en-US" w:eastAsia="zh-CN"/>
        </w:rPr>
        <w:t xml:space="preserve">性</w:t>
      </w:r>
      <w:r>
        <w:rPr>
          <w:rFonts w:hint="eastAsia" w:ascii="宋体" w:hAnsi="宋体" w:cs="宋体"/>
          <w:color w:val="auto"/>
          <w:sz w:val="24"/>
          <w:szCs w:val="24"/>
          <w:highlight w:val="none"/>
          <w:lang w:val="en-US" w:eastAsia="zh-CN"/>
        </w:rPr>
        <w:t xml:space="preserve">欠缺</w:t>
      </w:r>
      <w:r>
        <w:rPr>
          <w:rFonts w:hint="eastAsia" w:ascii="宋体" w:hAnsi="宋体" w:eastAsia="宋体" w:cs="宋体"/>
          <w:color w:val="auto"/>
          <w:sz w:val="24"/>
          <w:szCs w:val="24"/>
          <w:highlight w:val="none"/>
        </w:rPr>
        <w:t xml:space="preserve">、规范</w:t>
      </w:r>
      <w:r>
        <w:rPr>
          <w:rFonts w:hint="eastAsia" w:ascii="宋体" w:hAnsi="宋体" w:eastAsia="宋体" w:cs="宋体"/>
          <w:color w:val="auto"/>
          <w:sz w:val="24"/>
          <w:szCs w:val="24"/>
          <w:highlight w:val="none"/>
          <w:lang w:val="en-US" w:eastAsia="zh-CN"/>
        </w:rPr>
        <w:t xml:space="preserve">性</w:t>
      </w:r>
      <w:r>
        <w:rPr>
          <w:rFonts w:hint="eastAsia" w:ascii="宋体" w:hAnsi="宋体" w:cs="宋体"/>
          <w:color w:val="auto"/>
          <w:sz w:val="24"/>
          <w:szCs w:val="24"/>
          <w:highlight w:val="none"/>
          <w:lang w:val="en-US" w:eastAsia="zh-CN"/>
        </w:rPr>
        <w:t xml:space="preserve">欠缺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可</w:t>
      </w:r>
      <w:r>
        <w:rPr>
          <w:rFonts w:hint="eastAsia" w:ascii="宋体" w:hAnsi="宋体" w:eastAsia="宋体" w:cs="宋体"/>
          <w:color w:val="auto"/>
          <w:sz w:val="24"/>
          <w:szCs w:val="24"/>
          <w:highlight w:val="none"/>
        </w:rPr>
        <w:t xml:space="preserve">操作</w:t>
      </w:r>
      <w:r>
        <w:rPr>
          <w:rFonts w:hint="eastAsia" w:ascii="宋体" w:hAnsi="宋体" w:eastAsia="宋体" w:cs="宋体"/>
          <w:color w:val="auto"/>
          <w:sz w:val="24"/>
          <w:szCs w:val="24"/>
          <w:highlight w:val="none"/>
          <w:lang w:val="en-US" w:eastAsia="zh-CN"/>
        </w:rPr>
        <w:t xml:space="preserve">性</w:t>
      </w:r>
      <w:r>
        <w:rPr>
          <w:rFonts w:hint="eastAsia" w:ascii="宋体" w:hAnsi="宋体" w:cs="宋体"/>
          <w:color w:val="auto"/>
          <w:sz w:val="24"/>
          <w:szCs w:val="24"/>
          <w:highlight w:val="none"/>
          <w:lang w:val="en-US" w:eastAsia="zh-CN"/>
        </w:rPr>
        <w:t xml:space="preserve">欠缺</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1分；</w:t>
      </w:r>
      <w:r>
        <w:rPr>
          <w:rFonts w:hint="eastAsia" w:ascii="宋体" w:hAnsi="宋体" w:eastAsia="宋体" w:cs="宋体"/>
          <w:color w:val="auto"/>
          <w:sz w:val="24"/>
          <w:szCs w:val="24"/>
          <w:highlight w:val="none"/>
        </w:rPr>
        <w:t xml:space="preserve">未提供</w:t>
      </w:r>
      <w:r>
        <w:rPr>
          <w:rFonts w:hint="eastAsia" w:ascii="宋体" w:hAnsi="宋体" w:eastAsia="宋体" w:cs="宋体"/>
          <w:color w:val="auto"/>
          <w:sz w:val="24"/>
          <w:szCs w:val="24"/>
          <w:highlight w:val="none"/>
          <w:lang w:val="en-US" w:eastAsia="zh-CN"/>
        </w:rPr>
        <w:t xml:space="preserve">或提供不全</w:t>
      </w:r>
      <w:r>
        <w:rPr>
          <w:rFonts w:hint="eastAsia" w:ascii="宋体" w:hAnsi="宋体" w:eastAsia="宋体" w:cs="宋体"/>
          <w:color w:val="auto"/>
          <w:sz w:val="24"/>
          <w:szCs w:val="24"/>
          <w:highlight w:val="none"/>
        </w:rPr>
        <w:t xml:space="preserve">相应内容的不得分。</w:t>
      </w:r>
      <w:r/>
    </w:p>
    <w:p>
      <w:pPr>
        <w:contextualSpacing/>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）响应单位</w:t>
      </w:r>
      <w:r>
        <w:rPr>
          <w:rFonts w:hint="eastAsia" w:ascii="宋体" w:hAnsi="宋体" w:eastAsia="宋体" w:cs="宋体"/>
          <w:color w:val="auto"/>
          <w:sz w:val="24"/>
          <w:szCs w:val="24"/>
          <w:highlight w:val="none"/>
          <w:lang w:val="en-US" w:eastAsia="zh-CN"/>
        </w:rPr>
        <w:t xml:space="preserve">根据所明确的目标定位和发展规划，制定针对本项目的</w:t>
      </w:r>
      <w:r>
        <w:rPr>
          <w:rFonts w:hint="eastAsia" w:ascii="宋体" w:hAnsi="宋体" w:eastAsia="宋体" w:cs="宋体"/>
          <w:color w:val="auto"/>
          <w:sz w:val="24"/>
          <w:szCs w:val="24"/>
          <w:highlight w:val="none"/>
        </w:rPr>
        <w:t xml:space="preserve">服务宗旨和服务理念</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评委根据</w:t>
      </w:r>
      <w:r>
        <w:rPr>
          <w:rFonts w:hint="eastAsia" w:ascii="宋体" w:hAnsi="宋体" w:eastAsia="宋体" w:cs="宋体"/>
          <w:color w:val="auto"/>
          <w:sz w:val="24"/>
          <w:szCs w:val="24"/>
          <w:highlight w:val="none"/>
          <w:lang w:eastAsia="zh-CN"/>
        </w:rPr>
        <w:t xml:space="preserve">响应单位</w:t>
      </w:r>
      <w:r>
        <w:rPr>
          <w:rFonts w:hint="eastAsia" w:ascii="宋体" w:hAnsi="宋体" w:eastAsia="宋体" w:cs="宋体"/>
          <w:color w:val="auto"/>
          <w:sz w:val="24"/>
          <w:szCs w:val="24"/>
          <w:highlight w:val="none"/>
        </w:rPr>
        <w:t xml:space="preserve">提供的方案是否能够结合居家养老服务制定符合发展规划与目标的服务宗旨和服务理念，且宗旨和理念具有较好的可读性与宣传性等方面进行综合打分。</w:t>
      </w:r>
      <w:r>
        <w:rPr>
          <w:rFonts w:hint="eastAsia" w:ascii="宋体" w:hAnsi="宋体" w:eastAsia="宋体" w:cs="宋体"/>
          <w:color w:val="auto"/>
          <w:sz w:val="24"/>
          <w:szCs w:val="24"/>
          <w:highlight w:val="none"/>
          <w:lang w:val="en-US" w:eastAsia="zh-CN"/>
        </w:rPr>
        <w:t xml:space="preserve">宗旨和</w:t>
      </w:r>
      <w:r>
        <w:rPr>
          <w:rFonts w:hint="eastAsia" w:ascii="宋体" w:hAnsi="宋体" w:eastAsia="宋体" w:cs="宋体"/>
          <w:color w:val="auto"/>
          <w:sz w:val="24"/>
          <w:szCs w:val="24"/>
          <w:highlight w:val="none"/>
        </w:rPr>
        <w:t xml:space="preserve">理念可读性与宣传性</w:t>
      </w:r>
      <w:r>
        <w:rPr>
          <w:rFonts w:hint="eastAsia" w:ascii="宋体" w:hAnsi="宋体" w:eastAsia="宋体" w:cs="宋体"/>
          <w:color w:val="auto"/>
          <w:sz w:val="24"/>
          <w:szCs w:val="24"/>
          <w:highlight w:val="none"/>
          <w:lang w:val="en-US" w:eastAsia="zh-CN"/>
        </w:rPr>
        <w:t xml:space="preserve">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规范、清晰、操作</w:t>
      </w:r>
      <w:r>
        <w:rPr>
          <w:rFonts w:hint="eastAsia" w:ascii="宋体" w:hAnsi="宋体" w:eastAsia="宋体" w:cs="宋体"/>
          <w:color w:val="auto"/>
          <w:sz w:val="24"/>
          <w:szCs w:val="24"/>
          <w:highlight w:val="none"/>
          <w:lang w:val="en-US" w:eastAsia="zh-CN"/>
        </w:rPr>
        <w:t xml:space="preserve">性强</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宗旨和</w:t>
      </w:r>
      <w:r>
        <w:rPr>
          <w:rFonts w:hint="eastAsia" w:ascii="宋体" w:hAnsi="宋体" w:eastAsia="宋体" w:cs="宋体"/>
          <w:color w:val="auto"/>
          <w:sz w:val="24"/>
          <w:szCs w:val="24"/>
          <w:highlight w:val="none"/>
        </w:rPr>
        <w:t xml:space="preserve">理念可读性与宣传性</w:t>
      </w:r>
      <w:r>
        <w:rPr>
          <w:rFonts w:hint="eastAsia" w:ascii="宋体" w:hAnsi="宋体" w:eastAsia="宋体" w:cs="宋体"/>
          <w:color w:val="auto"/>
          <w:sz w:val="24"/>
          <w:szCs w:val="24"/>
          <w:highlight w:val="none"/>
          <w:lang w:val="en-US" w:eastAsia="zh-CN"/>
        </w:rPr>
        <w:t xml:space="preserve">较强，方案</w:t>
      </w:r>
      <w:r>
        <w:rPr>
          <w:rFonts w:hint="eastAsia" w:ascii="宋体" w:hAnsi="宋体" w:eastAsia="宋体" w:cs="宋体"/>
          <w:color w:val="auto"/>
          <w:sz w:val="24"/>
          <w:szCs w:val="24"/>
          <w:highlight w:val="none"/>
        </w:rPr>
        <w:t xml:space="preserve">较规范、</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清晰、可操作的得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宗旨和</w:t>
      </w:r>
      <w:r>
        <w:rPr>
          <w:rFonts w:hint="eastAsia" w:ascii="宋体" w:hAnsi="宋体" w:eastAsia="宋体" w:cs="宋体"/>
          <w:color w:val="auto"/>
          <w:sz w:val="24"/>
          <w:szCs w:val="24"/>
          <w:highlight w:val="none"/>
        </w:rPr>
        <w:t xml:space="preserve">理念可读性与宣传性欠缺</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规范性、清晰性、操作性欠缺的得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宗旨和</w:t>
      </w:r>
      <w:r>
        <w:rPr>
          <w:rFonts w:hint="eastAsia" w:ascii="宋体" w:hAnsi="宋体" w:eastAsia="宋体" w:cs="宋体"/>
          <w:color w:val="auto"/>
          <w:sz w:val="24"/>
          <w:szCs w:val="24"/>
          <w:highlight w:val="none"/>
        </w:rPr>
        <w:t xml:space="preserve">理念</w:t>
      </w:r>
      <w:r>
        <w:rPr>
          <w:rFonts w:hint="eastAsia" w:ascii="宋体" w:hAnsi="宋体" w:eastAsia="宋体" w:cs="宋体"/>
          <w:color w:val="auto"/>
          <w:sz w:val="24"/>
          <w:szCs w:val="24"/>
          <w:highlight w:val="none"/>
          <w:lang w:val="en-US" w:eastAsia="zh-CN"/>
        </w:rPr>
        <w:t xml:space="preserve">无</w:t>
      </w:r>
      <w:r>
        <w:rPr>
          <w:rFonts w:hint="eastAsia" w:ascii="宋体" w:hAnsi="宋体" w:eastAsia="宋体" w:cs="宋体"/>
          <w:color w:val="auto"/>
          <w:sz w:val="24"/>
          <w:szCs w:val="24"/>
          <w:highlight w:val="none"/>
        </w:rPr>
        <w:t xml:space="preserve">可读性与宣传性</w:t>
      </w:r>
      <w:r>
        <w:rPr>
          <w:rFonts w:hint="eastAsia" w:ascii="宋体" w:hAnsi="宋体" w:eastAsia="宋体" w:cs="宋体"/>
          <w:color w:val="auto"/>
          <w:sz w:val="24"/>
          <w:szCs w:val="24"/>
          <w:highlight w:val="none"/>
          <w:lang w:val="en-US" w:eastAsia="zh-CN"/>
        </w:rPr>
        <w:t xml:space="preserve">，方案不</w:t>
      </w:r>
      <w:r>
        <w:rPr>
          <w:rFonts w:hint="eastAsia" w:ascii="宋体" w:hAnsi="宋体" w:eastAsia="宋体" w:cs="宋体"/>
          <w:color w:val="auto"/>
          <w:sz w:val="24"/>
          <w:szCs w:val="24"/>
          <w:highlight w:val="none"/>
        </w:rPr>
        <w:t xml:space="preserve">规范、</w:t>
      </w:r>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rPr>
        <w:t xml:space="preserve">清晰、</w:t>
      </w:r>
      <w:r>
        <w:rPr>
          <w:rFonts w:hint="eastAsia" w:ascii="宋体" w:hAnsi="宋体" w:eastAsia="宋体" w:cs="宋体"/>
          <w:color w:val="auto"/>
          <w:sz w:val="24"/>
          <w:szCs w:val="24"/>
          <w:highlight w:val="none"/>
          <w:lang w:val="en-US" w:eastAsia="zh-CN"/>
        </w:rPr>
        <w:t xml:space="preserve">不可</w:t>
      </w:r>
      <w:r>
        <w:rPr>
          <w:rFonts w:hint="eastAsia" w:ascii="宋体" w:hAnsi="宋体" w:eastAsia="宋体" w:cs="宋体"/>
          <w:color w:val="auto"/>
          <w:sz w:val="24"/>
          <w:szCs w:val="24"/>
          <w:highlight w:val="none"/>
        </w:rPr>
        <w:t xml:space="preserve">操作</w:t>
      </w:r>
      <w:r>
        <w:rPr>
          <w:rFonts w:hint="eastAsia" w:ascii="宋体" w:hAnsi="宋体" w:eastAsia="宋体" w:cs="宋体"/>
          <w:color w:val="auto"/>
          <w:sz w:val="24"/>
          <w:szCs w:val="24"/>
          <w:highlight w:val="none"/>
          <w:lang w:val="en-US" w:eastAsia="zh-CN"/>
        </w:rPr>
        <w:t xml:space="preserve">的得1分；</w:t>
      </w:r>
      <w:r>
        <w:rPr>
          <w:rFonts w:hint="eastAsia" w:ascii="宋体" w:hAnsi="宋体" w:eastAsia="宋体" w:cs="宋体"/>
          <w:color w:val="auto"/>
          <w:sz w:val="24"/>
          <w:szCs w:val="24"/>
          <w:highlight w:val="none"/>
        </w:rPr>
        <w:t xml:space="preserve">未提供</w:t>
      </w:r>
      <w:r>
        <w:rPr>
          <w:rFonts w:hint="eastAsia" w:ascii="宋体" w:hAnsi="宋体" w:eastAsia="宋体" w:cs="宋体"/>
          <w:color w:val="auto"/>
          <w:sz w:val="24"/>
          <w:szCs w:val="24"/>
          <w:highlight w:val="none"/>
          <w:lang w:val="en-US" w:eastAsia="zh-CN"/>
        </w:rPr>
        <w:t xml:space="preserve">或提供不全</w:t>
      </w:r>
      <w:r>
        <w:rPr>
          <w:rFonts w:hint="eastAsia" w:ascii="宋体" w:hAnsi="宋体" w:eastAsia="宋体" w:cs="宋体"/>
          <w:color w:val="auto"/>
          <w:sz w:val="24"/>
          <w:szCs w:val="24"/>
          <w:highlight w:val="none"/>
        </w:rPr>
        <w:t xml:space="preserve">相应内容的不得分。</w:t>
      </w:r>
      <w:r/>
    </w:p>
    <w:p>
      <w:pPr>
        <w:contextualSpacing/>
        <w:ind w:firstLine="42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、实施方案</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24</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   </w:t>
      </w:r>
      <w:r/>
    </w:p>
    <w:p>
      <w:pPr>
        <w:contextualSpacing/>
        <w:ind w:firstLine="42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（1）响应单位针对本项目</w:t>
      </w:r>
      <w:r>
        <w:rPr>
          <w:rFonts w:hint="eastAsia" w:ascii="宋体" w:hAnsi="宋体" w:eastAsia="宋体" w:cs="宋体"/>
          <w:color w:val="auto"/>
          <w:sz w:val="24"/>
          <w:szCs w:val="24"/>
          <w:highlight w:val="none"/>
        </w:rPr>
        <w:t xml:space="preserve">能根据老人需求，提供专业化、多元化的服务</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。根据方案的完整性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规范程度、合理性</w:t>
      </w:r>
      <w:r>
        <w:rPr>
          <w:rFonts w:hint="eastAsia" w:ascii="宋体" w:hAnsi="宋体" w:eastAsia="宋体" w:cs="宋体"/>
          <w:color w:val="auto"/>
          <w:sz w:val="24"/>
          <w:szCs w:val="24"/>
          <w:highlight w:val="none"/>
        </w:rPr>
        <w:t xml:space="preserve">和可行性评分，</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合理、完</w:t>
      </w:r>
      <w:r>
        <w:rPr>
          <w:rFonts w:hint="eastAsia" w:ascii="宋体" w:hAnsi="宋体" w:eastAsia="宋体" w:cs="宋体"/>
          <w:color w:val="auto"/>
          <w:sz w:val="24"/>
          <w:szCs w:val="24"/>
          <w:highlight w:val="none"/>
          <w:lang w:val="en-US" w:eastAsia="zh-CN"/>
        </w:rPr>
        <w:t xml:space="preserve">整</w:t>
      </w:r>
      <w:r>
        <w:rPr>
          <w:rFonts w:hint="eastAsia" w:ascii="宋体" w:hAnsi="宋体" w:eastAsia="宋体" w:cs="宋体"/>
          <w:color w:val="auto"/>
          <w:sz w:val="24"/>
          <w:szCs w:val="24"/>
          <w:highlight w:val="none"/>
        </w:rPr>
        <w:t xml:space="preserve">、规范、考虑周到、可</w:t>
      </w:r>
      <w:r>
        <w:rPr>
          <w:rFonts w:hint="eastAsia" w:ascii="宋体" w:hAnsi="宋体" w:eastAsia="宋体" w:cs="宋体"/>
          <w:color w:val="auto"/>
          <w:sz w:val="24"/>
          <w:szCs w:val="24"/>
          <w:highlight w:val="none"/>
          <w:lang w:val="en-US" w:eastAsia="zh-CN"/>
        </w:rPr>
        <w:t xml:space="preserve">行</w:t>
      </w:r>
      <w:r>
        <w:rPr>
          <w:rFonts w:hint="eastAsia" w:ascii="宋体" w:hAnsi="宋体" w:eastAsia="宋体" w:cs="宋体"/>
          <w:color w:val="auto"/>
          <w:sz w:val="24"/>
          <w:szCs w:val="24"/>
          <w:highlight w:val="none"/>
        </w:rPr>
        <w:t xml:space="preserve">性</w:t>
      </w:r>
      <w:r>
        <w:rPr>
          <w:rFonts w:hint="eastAsia" w:ascii="宋体" w:hAnsi="宋体" w:eastAsia="宋体" w:cs="宋体"/>
          <w:color w:val="auto"/>
          <w:sz w:val="24"/>
          <w:szCs w:val="24"/>
          <w:highlight w:val="none"/>
          <w:lang w:val="en-US" w:eastAsia="zh-CN"/>
        </w:rPr>
        <w:t xml:space="preserve">强</w:t>
      </w:r>
      <w:r>
        <w:rPr>
          <w:rFonts w:hint="eastAsia" w:ascii="宋体" w:hAnsi="宋体" w:eastAsia="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方案较</w:t>
      </w:r>
      <w:r>
        <w:rPr>
          <w:rFonts w:hint="eastAsia" w:ascii="宋体" w:hAnsi="宋体" w:eastAsia="宋体" w:cs="宋体"/>
          <w:color w:val="auto"/>
          <w:sz w:val="24"/>
          <w:szCs w:val="24"/>
          <w:highlight w:val="none"/>
        </w:rPr>
        <w:t xml:space="preserve">合理、</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完</w:t>
      </w:r>
      <w:r>
        <w:rPr>
          <w:rFonts w:hint="eastAsia" w:ascii="宋体" w:hAnsi="宋体" w:eastAsia="宋体" w:cs="宋体"/>
          <w:color w:val="auto"/>
          <w:sz w:val="24"/>
          <w:szCs w:val="24"/>
          <w:highlight w:val="none"/>
          <w:lang w:val="en-US" w:eastAsia="zh-CN"/>
        </w:rPr>
        <w:t xml:space="preserve">整</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规范、考虑</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周到、可</w:t>
      </w:r>
      <w:r>
        <w:rPr>
          <w:rFonts w:hint="eastAsia" w:ascii="宋体" w:hAnsi="宋体" w:eastAsia="宋体" w:cs="宋体"/>
          <w:color w:val="auto"/>
          <w:sz w:val="24"/>
          <w:szCs w:val="24"/>
          <w:highlight w:val="none"/>
          <w:lang w:val="en-US" w:eastAsia="zh-CN"/>
        </w:rPr>
        <w:t xml:space="preserve">行</w:t>
      </w:r>
      <w:r>
        <w:rPr>
          <w:rFonts w:hint="eastAsia" w:ascii="宋体" w:hAnsi="宋体" w:eastAsia="宋体" w:cs="宋体"/>
          <w:color w:val="auto"/>
          <w:sz w:val="24"/>
          <w:szCs w:val="24"/>
          <w:highlight w:val="none"/>
        </w:rPr>
        <w:t xml:space="preserve">性</w:t>
      </w:r>
      <w:r>
        <w:rPr>
          <w:rFonts w:hint="eastAsia" w:ascii="宋体" w:hAnsi="宋体" w:eastAsia="宋体" w:cs="宋体"/>
          <w:color w:val="auto"/>
          <w:sz w:val="24"/>
          <w:szCs w:val="24"/>
          <w:highlight w:val="none"/>
          <w:lang w:val="en-US" w:eastAsia="zh-CN"/>
        </w:rPr>
        <w:t xml:space="preserve">较强</w:t>
      </w:r>
      <w:r>
        <w:rPr>
          <w:rFonts w:hint="eastAsia" w:ascii="宋体" w:hAnsi="宋体" w:eastAsia="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方案基本</w:t>
      </w:r>
      <w:r>
        <w:rPr>
          <w:rFonts w:hint="eastAsia" w:ascii="宋体" w:hAnsi="宋体" w:eastAsia="宋体" w:cs="宋体"/>
          <w:color w:val="auto"/>
          <w:sz w:val="24"/>
          <w:szCs w:val="24"/>
          <w:highlight w:val="none"/>
        </w:rPr>
        <w:t xml:space="preserve">合理、</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完</w:t>
      </w:r>
      <w:r>
        <w:rPr>
          <w:rFonts w:hint="eastAsia" w:ascii="宋体" w:hAnsi="宋体" w:eastAsia="宋体" w:cs="宋体"/>
          <w:color w:val="auto"/>
          <w:sz w:val="24"/>
          <w:szCs w:val="24"/>
          <w:highlight w:val="none"/>
          <w:lang w:val="en-US" w:eastAsia="zh-CN"/>
        </w:rPr>
        <w:t xml:space="preserve">整</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规范、</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可</w:t>
      </w:r>
      <w:r>
        <w:rPr>
          <w:rFonts w:hint="eastAsia" w:ascii="宋体" w:hAnsi="宋体" w:eastAsia="宋体" w:cs="宋体"/>
          <w:color w:val="auto"/>
          <w:sz w:val="24"/>
          <w:szCs w:val="24"/>
          <w:highlight w:val="none"/>
          <w:lang w:val="en-US" w:eastAsia="zh-CN"/>
        </w:rPr>
        <w:t xml:space="preserve">行</w:t>
      </w:r>
      <w:r>
        <w:rPr>
          <w:rFonts w:hint="eastAsia" w:ascii="宋体" w:hAnsi="宋体" w:eastAsia="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分；未提供</w:t>
      </w:r>
      <w:r>
        <w:rPr>
          <w:rFonts w:hint="eastAsia" w:ascii="宋体" w:hAnsi="宋体" w:eastAsia="宋体" w:cs="宋体"/>
          <w:color w:val="auto"/>
          <w:sz w:val="24"/>
          <w:szCs w:val="24"/>
          <w:highlight w:val="none"/>
          <w:lang w:val="en-US" w:eastAsia="zh-CN"/>
        </w:rPr>
        <w:t xml:space="preserve">或提供不全</w:t>
      </w:r>
      <w:r>
        <w:rPr>
          <w:rFonts w:hint="eastAsia" w:ascii="宋体" w:hAnsi="宋体" w:eastAsia="宋体" w:cs="宋体"/>
          <w:color w:val="auto"/>
          <w:sz w:val="24"/>
          <w:szCs w:val="24"/>
          <w:highlight w:val="none"/>
        </w:rPr>
        <w:t xml:space="preserve">相应内容的不得分。</w:t>
      </w:r>
      <w:r/>
    </w:p>
    <w:p>
      <w:pPr>
        <w:contextualSpacing/>
        <w:ind w:firstLine="42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（2）响应单位针对本项目</w:t>
      </w:r>
      <w:r>
        <w:rPr>
          <w:rFonts w:hint="eastAsia" w:ascii="宋体" w:hAnsi="宋体" w:eastAsia="宋体" w:cs="宋体"/>
          <w:color w:val="auto"/>
          <w:sz w:val="24"/>
          <w:szCs w:val="24"/>
          <w:highlight w:val="none"/>
        </w:rPr>
        <w:t xml:space="preserve">能够根据需要服务的不同类型的老人实际情况合理制定适合</w:t>
      </w:r>
      <w:r>
        <w:rPr>
          <w:rFonts w:hint="eastAsia" w:ascii="宋体" w:hAnsi="宋体" w:eastAsia="宋体" w:cs="宋体"/>
          <w:color w:val="auto"/>
          <w:sz w:val="24"/>
          <w:szCs w:val="24"/>
          <w:highlight w:val="none"/>
          <w:lang w:val="en-US" w:eastAsia="zh-CN"/>
        </w:rPr>
        <w:t xml:space="preserve">其需求</w:t>
      </w:r>
      <w:r>
        <w:rPr>
          <w:rFonts w:hint="eastAsia" w:ascii="宋体" w:hAnsi="宋体" w:eastAsia="宋体" w:cs="宋体"/>
          <w:color w:val="auto"/>
          <w:sz w:val="24"/>
          <w:szCs w:val="24"/>
          <w:highlight w:val="none"/>
        </w:rPr>
        <w:t xml:space="preserve">的服务方案，评委根据方案的完整性和可行性评分。</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合理、完</w:t>
      </w:r>
      <w:r>
        <w:rPr>
          <w:rFonts w:hint="eastAsia" w:ascii="宋体" w:hAnsi="宋体" w:eastAsia="宋体" w:cs="宋体"/>
          <w:color w:val="auto"/>
          <w:sz w:val="24"/>
          <w:szCs w:val="24"/>
          <w:highlight w:val="none"/>
          <w:lang w:val="en-US" w:eastAsia="zh-CN"/>
        </w:rPr>
        <w:t xml:space="preserve">整</w:t>
      </w:r>
      <w:r>
        <w:rPr>
          <w:rFonts w:hint="eastAsia" w:ascii="宋体" w:hAnsi="宋体" w:eastAsia="宋体" w:cs="宋体"/>
          <w:color w:val="auto"/>
          <w:sz w:val="24"/>
          <w:szCs w:val="24"/>
          <w:highlight w:val="none"/>
        </w:rPr>
        <w:t xml:space="preserve">、规范、考虑周到、可</w:t>
      </w:r>
      <w:r>
        <w:rPr>
          <w:rFonts w:hint="eastAsia" w:ascii="宋体" w:hAnsi="宋体" w:eastAsia="宋体" w:cs="宋体"/>
          <w:color w:val="auto"/>
          <w:sz w:val="24"/>
          <w:szCs w:val="24"/>
          <w:highlight w:val="none"/>
          <w:lang w:val="en-US" w:eastAsia="zh-CN"/>
        </w:rPr>
        <w:t xml:space="preserve">行</w:t>
      </w:r>
      <w:r>
        <w:rPr>
          <w:rFonts w:hint="eastAsia" w:ascii="宋体" w:hAnsi="宋体" w:eastAsia="宋体" w:cs="宋体"/>
          <w:color w:val="auto"/>
          <w:sz w:val="24"/>
          <w:szCs w:val="24"/>
          <w:highlight w:val="none"/>
        </w:rPr>
        <w:t xml:space="preserve">性</w:t>
      </w:r>
      <w:r>
        <w:rPr>
          <w:rFonts w:hint="eastAsia" w:ascii="宋体" w:hAnsi="宋体" w:eastAsia="宋体" w:cs="宋体"/>
          <w:color w:val="auto"/>
          <w:sz w:val="24"/>
          <w:szCs w:val="24"/>
          <w:highlight w:val="none"/>
          <w:lang w:val="en-US" w:eastAsia="zh-CN"/>
        </w:rPr>
        <w:t xml:space="preserve">强</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方案较</w:t>
      </w:r>
      <w:r>
        <w:rPr>
          <w:rFonts w:hint="eastAsia" w:ascii="宋体" w:hAnsi="宋体" w:eastAsia="宋体" w:cs="宋体"/>
          <w:color w:val="auto"/>
          <w:sz w:val="24"/>
          <w:szCs w:val="24"/>
          <w:highlight w:val="none"/>
        </w:rPr>
        <w:t xml:space="preserve">合理、</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完</w:t>
      </w:r>
      <w:r>
        <w:rPr>
          <w:rFonts w:hint="eastAsia" w:ascii="宋体" w:hAnsi="宋体" w:eastAsia="宋体" w:cs="宋体"/>
          <w:color w:val="auto"/>
          <w:sz w:val="24"/>
          <w:szCs w:val="24"/>
          <w:highlight w:val="none"/>
          <w:lang w:val="en-US" w:eastAsia="zh-CN"/>
        </w:rPr>
        <w:t xml:space="preserve">整</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规范、考虑</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周到、可</w:t>
      </w:r>
      <w:r>
        <w:rPr>
          <w:rFonts w:hint="eastAsia" w:ascii="宋体" w:hAnsi="宋体" w:eastAsia="宋体" w:cs="宋体"/>
          <w:color w:val="auto"/>
          <w:sz w:val="24"/>
          <w:szCs w:val="24"/>
          <w:highlight w:val="none"/>
          <w:lang w:val="en-US" w:eastAsia="zh-CN"/>
        </w:rPr>
        <w:t xml:space="preserve">行</w:t>
      </w:r>
      <w:r>
        <w:rPr>
          <w:rFonts w:hint="eastAsia" w:ascii="宋体" w:hAnsi="宋体" w:eastAsia="宋体" w:cs="宋体"/>
          <w:color w:val="auto"/>
          <w:sz w:val="24"/>
          <w:szCs w:val="24"/>
          <w:highlight w:val="none"/>
        </w:rPr>
        <w:t xml:space="preserve">性</w:t>
      </w:r>
      <w:r>
        <w:rPr>
          <w:rFonts w:hint="eastAsia" w:ascii="宋体" w:hAnsi="宋体" w:eastAsia="宋体" w:cs="宋体"/>
          <w:color w:val="auto"/>
          <w:sz w:val="24"/>
          <w:szCs w:val="24"/>
          <w:highlight w:val="none"/>
          <w:lang w:val="en-US" w:eastAsia="zh-CN"/>
        </w:rPr>
        <w:t xml:space="preserve">较强</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方案基本</w:t>
      </w:r>
      <w:r>
        <w:rPr>
          <w:rFonts w:hint="eastAsia" w:ascii="宋体" w:hAnsi="宋体" w:eastAsia="宋体" w:cs="宋体"/>
          <w:color w:val="auto"/>
          <w:sz w:val="24"/>
          <w:szCs w:val="24"/>
          <w:highlight w:val="none"/>
        </w:rPr>
        <w:t xml:space="preserve">合理、</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完</w:t>
      </w:r>
      <w:r>
        <w:rPr>
          <w:rFonts w:hint="eastAsia" w:ascii="宋体" w:hAnsi="宋体" w:eastAsia="宋体" w:cs="宋体"/>
          <w:color w:val="auto"/>
          <w:sz w:val="24"/>
          <w:szCs w:val="24"/>
          <w:highlight w:val="none"/>
          <w:lang w:val="en-US" w:eastAsia="zh-CN"/>
        </w:rPr>
        <w:t xml:space="preserve">整</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规范、</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可</w:t>
      </w:r>
      <w:r>
        <w:rPr>
          <w:rFonts w:hint="eastAsia" w:ascii="宋体" w:hAnsi="宋体" w:eastAsia="宋体" w:cs="宋体"/>
          <w:color w:val="auto"/>
          <w:sz w:val="24"/>
          <w:szCs w:val="24"/>
          <w:highlight w:val="none"/>
          <w:lang w:val="en-US" w:eastAsia="zh-CN"/>
        </w:rPr>
        <w:t xml:space="preserve">行</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分；未提供</w:t>
      </w:r>
      <w:r>
        <w:rPr>
          <w:rFonts w:hint="eastAsia" w:ascii="宋体" w:hAnsi="宋体" w:eastAsia="宋体" w:cs="宋体"/>
          <w:color w:val="auto"/>
          <w:sz w:val="24"/>
          <w:szCs w:val="24"/>
          <w:highlight w:val="none"/>
          <w:lang w:val="en-US" w:eastAsia="zh-CN"/>
        </w:rPr>
        <w:t xml:space="preserve">或提供不全</w:t>
      </w:r>
      <w:r>
        <w:rPr>
          <w:rFonts w:hint="eastAsia" w:ascii="宋体" w:hAnsi="宋体" w:eastAsia="宋体" w:cs="宋体"/>
          <w:color w:val="auto"/>
          <w:sz w:val="24"/>
          <w:szCs w:val="24"/>
          <w:highlight w:val="none"/>
        </w:rPr>
        <w:t xml:space="preserve">相应内容的不得分。</w:t>
      </w:r>
      <w:r/>
    </w:p>
    <w:p>
      <w:pPr>
        <w:contextualSpacing/>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响应单位针对本项目具</w:t>
      </w:r>
      <w:r>
        <w:rPr>
          <w:rFonts w:hint="eastAsia" w:ascii="宋体" w:hAnsi="宋体" w:eastAsia="宋体" w:cs="宋体"/>
          <w:color w:val="auto"/>
          <w:sz w:val="24"/>
          <w:szCs w:val="24"/>
          <w:highlight w:val="none"/>
        </w:rPr>
        <w:t xml:space="preserve">有医养结合的详细发展计划</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能够结合综合性医院等医疗资源制定医养结合服务方案</w:t>
      </w:r>
      <w:r>
        <w:rPr>
          <w:rFonts w:hint="eastAsia" w:ascii="宋体" w:hAnsi="宋体" w:eastAsia="宋体" w:cs="宋体"/>
          <w:color w:val="auto"/>
          <w:sz w:val="24"/>
          <w:szCs w:val="24"/>
          <w:highlight w:val="none"/>
        </w:rPr>
        <w:t xml:space="preserve">。思路完整清晰、周全、计划详实、可操作性</w:t>
      </w:r>
      <w:r>
        <w:rPr>
          <w:rFonts w:hint="eastAsia" w:ascii="宋体" w:hAnsi="宋体" w:eastAsia="宋体" w:cs="宋体"/>
          <w:color w:val="auto"/>
          <w:sz w:val="24"/>
          <w:szCs w:val="24"/>
          <w:highlight w:val="none"/>
          <w:lang w:val="en-US" w:eastAsia="zh-CN"/>
        </w:rPr>
        <w:t xml:space="preserve">强</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分；思路</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完整</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清晰、</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周全、计划</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详实、可操作性</w:t>
      </w:r>
      <w:r>
        <w:rPr>
          <w:rFonts w:hint="eastAsia" w:ascii="宋体" w:hAnsi="宋体" w:eastAsia="宋体" w:cs="宋体"/>
          <w:color w:val="auto"/>
          <w:sz w:val="24"/>
          <w:szCs w:val="24"/>
          <w:highlight w:val="none"/>
          <w:lang w:val="en-US" w:eastAsia="zh-CN"/>
        </w:rPr>
        <w:t xml:space="preserve">较强</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rPr>
        <w:t xml:space="preserve">思路有偏离、</w:t>
      </w:r>
      <w:r>
        <w:rPr>
          <w:rFonts w:hint="eastAsia" w:ascii="宋体" w:hAnsi="宋体" w:eastAsia="宋体" w:cs="宋体"/>
          <w:color w:val="auto"/>
          <w:sz w:val="24"/>
          <w:szCs w:val="24"/>
          <w:highlight w:val="none"/>
          <w:lang w:val="en-US" w:eastAsia="zh-CN"/>
        </w:rPr>
        <w:t xml:space="preserve">计划不够详细</w:t>
      </w:r>
      <w:r>
        <w:rPr>
          <w:rFonts w:hint="eastAsia" w:ascii="宋体" w:hAnsi="宋体" w:eastAsia="宋体" w:cs="宋体"/>
          <w:color w:val="auto"/>
          <w:sz w:val="24"/>
          <w:szCs w:val="24"/>
          <w:highlight w:val="none"/>
        </w:rPr>
        <w:t xml:space="preserve">、可操作性</w:t>
      </w:r>
      <w:r>
        <w:rPr>
          <w:rFonts w:hint="eastAsia" w:ascii="宋体" w:hAnsi="宋体" w:eastAsia="宋体" w:cs="宋体"/>
          <w:color w:val="auto"/>
          <w:sz w:val="24"/>
          <w:szCs w:val="24"/>
          <w:highlight w:val="none"/>
          <w:lang w:val="en-US" w:eastAsia="zh-CN"/>
        </w:rPr>
        <w:t xml:space="preserve">欠缺</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分；未提供</w:t>
      </w:r>
      <w:r>
        <w:rPr>
          <w:rFonts w:hint="eastAsia" w:ascii="宋体" w:hAnsi="宋体" w:eastAsia="宋体" w:cs="宋体"/>
          <w:color w:val="auto"/>
          <w:sz w:val="24"/>
          <w:szCs w:val="24"/>
          <w:highlight w:val="none"/>
          <w:lang w:val="en-US" w:eastAsia="zh-CN"/>
        </w:rPr>
        <w:t xml:space="preserve">或提供不全</w:t>
      </w:r>
      <w:r>
        <w:rPr>
          <w:rFonts w:hint="eastAsia" w:ascii="宋体" w:hAnsi="宋体" w:eastAsia="宋体" w:cs="宋体"/>
          <w:color w:val="auto"/>
          <w:sz w:val="24"/>
          <w:szCs w:val="24"/>
          <w:highlight w:val="none"/>
        </w:rPr>
        <w:t xml:space="preserve">相应内容的不得分。</w:t>
      </w:r>
      <w:r/>
    </w:p>
    <w:p>
      <w:pPr>
        <w:contextualSpacing/>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（4）响应单位针对本项目具</w:t>
      </w:r>
      <w:r>
        <w:rPr>
          <w:rFonts w:hint="eastAsia" w:ascii="宋体" w:hAnsi="宋体" w:eastAsia="宋体" w:cs="宋体"/>
          <w:color w:val="auto"/>
          <w:sz w:val="24"/>
          <w:szCs w:val="24"/>
          <w:highlight w:val="none"/>
        </w:rPr>
        <w:t xml:space="preserve">有根据服务质量考评情况、服务差错报告情况、服务人员考核情况制订人员奖惩制度。</w:t>
      </w:r>
      <w:r>
        <w:rPr>
          <w:rFonts w:hint="eastAsia" w:ascii="宋体" w:hAnsi="宋体" w:eastAsia="宋体" w:cs="宋体"/>
          <w:color w:val="auto"/>
          <w:sz w:val="24"/>
          <w:szCs w:val="24"/>
          <w:highlight w:val="none"/>
          <w:lang w:val="en-US" w:eastAsia="zh-CN"/>
        </w:rPr>
        <w:t xml:space="preserve">制度</w:t>
      </w:r>
      <w:r>
        <w:rPr>
          <w:rFonts w:hint="eastAsia" w:ascii="宋体" w:hAnsi="宋体" w:eastAsia="宋体" w:cs="宋体"/>
          <w:color w:val="auto"/>
          <w:sz w:val="24"/>
          <w:szCs w:val="24"/>
          <w:highlight w:val="none"/>
        </w:rPr>
        <w:t xml:space="preserve">合理、完善、措施</w:t>
      </w:r>
      <w:r>
        <w:rPr>
          <w:rFonts w:hint="eastAsia" w:ascii="宋体" w:hAnsi="宋体" w:eastAsia="宋体" w:cs="宋体"/>
          <w:color w:val="auto"/>
          <w:sz w:val="24"/>
          <w:szCs w:val="24"/>
          <w:highlight w:val="none"/>
          <w:lang w:val="en-US" w:eastAsia="zh-CN"/>
        </w:rPr>
        <w:t xml:space="preserve">力度强</w:t>
      </w:r>
      <w:r>
        <w:rPr>
          <w:rFonts w:hint="eastAsia" w:ascii="宋体" w:hAnsi="宋体" w:eastAsia="宋体" w:cs="宋体"/>
          <w:color w:val="auto"/>
          <w:sz w:val="24"/>
          <w:szCs w:val="24"/>
          <w:highlight w:val="none"/>
        </w:rPr>
        <w:t xml:space="preserve">、清晰、可操作性</w:t>
      </w:r>
      <w:r>
        <w:rPr>
          <w:rFonts w:hint="eastAsia" w:ascii="宋体" w:hAnsi="宋体" w:eastAsia="宋体" w:cs="宋体"/>
          <w:color w:val="auto"/>
          <w:sz w:val="24"/>
          <w:szCs w:val="24"/>
          <w:highlight w:val="none"/>
          <w:lang w:val="en-US" w:eastAsia="zh-CN"/>
        </w:rPr>
        <w:t xml:space="preserve">强</w:t>
      </w:r>
      <w:r>
        <w:rPr>
          <w:rFonts w:hint="eastAsia" w:ascii="宋体" w:hAnsi="宋体" w:eastAsia="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制度较</w:t>
      </w:r>
      <w:r>
        <w:rPr>
          <w:rFonts w:hint="eastAsia" w:ascii="宋体" w:hAnsi="宋体" w:eastAsia="宋体" w:cs="宋体"/>
          <w:color w:val="auto"/>
          <w:sz w:val="24"/>
          <w:szCs w:val="24"/>
          <w:highlight w:val="none"/>
        </w:rPr>
        <w:t xml:space="preserve">合理、</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完善、措施</w:t>
      </w:r>
      <w:r>
        <w:rPr>
          <w:rFonts w:hint="eastAsia" w:ascii="宋体" w:hAnsi="宋体" w:eastAsia="宋体" w:cs="宋体"/>
          <w:color w:val="auto"/>
          <w:sz w:val="24"/>
          <w:szCs w:val="24"/>
          <w:highlight w:val="none"/>
          <w:lang w:val="en-US" w:eastAsia="zh-CN"/>
        </w:rPr>
        <w:t xml:space="preserve">力度较强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清晰、可操作</w:t>
      </w:r>
      <w:r>
        <w:rPr>
          <w:rFonts w:hint="eastAsia" w:ascii="宋体" w:hAnsi="宋体" w:eastAsia="宋体" w:cs="宋体"/>
          <w:color w:val="auto"/>
          <w:sz w:val="24"/>
          <w:szCs w:val="24"/>
          <w:highlight w:val="none"/>
          <w:lang w:val="en-US" w:eastAsia="zh-CN"/>
        </w:rPr>
        <w:t xml:space="preserve">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制度基本</w:t>
      </w:r>
      <w:r>
        <w:rPr>
          <w:rFonts w:hint="eastAsia" w:ascii="宋体" w:hAnsi="宋体" w:eastAsia="宋体" w:cs="宋体"/>
          <w:color w:val="auto"/>
          <w:sz w:val="24"/>
          <w:szCs w:val="24"/>
          <w:highlight w:val="none"/>
        </w:rPr>
        <w:t xml:space="preserve">合理、</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完善、</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可操作、措施</w:t>
      </w:r>
      <w:r>
        <w:rPr>
          <w:rFonts w:hint="eastAsia" w:ascii="宋体" w:hAnsi="宋体" w:eastAsia="宋体" w:cs="宋体"/>
          <w:color w:val="auto"/>
          <w:sz w:val="24"/>
          <w:szCs w:val="24"/>
          <w:highlight w:val="none"/>
          <w:lang w:val="en-US" w:eastAsia="zh-CN"/>
        </w:rPr>
        <w:t xml:space="preserve">力度弱</w:t>
      </w:r>
      <w:r>
        <w:rPr>
          <w:rFonts w:hint="eastAsia" w:ascii="宋体" w:hAnsi="宋体" w:eastAsia="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分；未提供</w:t>
      </w:r>
      <w:r>
        <w:rPr>
          <w:rFonts w:hint="eastAsia" w:ascii="宋体" w:hAnsi="宋体" w:eastAsia="宋体" w:cs="宋体"/>
          <w:color w:val="auto"/>
          <w:sz w:val="24"/>
          <w:szCs w:val="24"/>
          <w:highlight w:val="none"/>
          <w:lang w:val="en-US" w:eastAsia="zh-CN"/>
        </w:rPr>
        <w:t xml:space="preserve">或提供不全</w:t>
      </w:r>
      <w:r>
        <w:rPr>
          <w:rFonts w:hint="eastAsia" w:ascii="宋体" w:hAnsi="宋体" w:eastAsia="宋体" w:cs="宋体"/>
          <w:color w:val="auto"/>
          <w:sz w:val="24"/>
          <w:szCs w:val="24"/>
          <w:highlight w:val="none"/>
        </w:rPr>
        <w:t xml:space="preserve">相应内容的不得分。</w:t>
      </w:r>
      <w:r/>
    </w:p>
    <w:p>
      <w:pPr>
        <w:contextualSpacing/>
        <w:ind w:firstLine="42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、应急与安全保障措施</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  </w:t>
      </w:r>
      <w:r/>
    </w:p>
    <w:p>
      <w:pPr>
        <w:contextualSpacing/>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响应单位提供结合本单位规章制度和服务规范针对本项目制定的保障制度及体系、突发事件</w:t>
      </w:r>
      <w:r>
        <w:rPr>
          <w:rFonts w:hint="eastAsia" w:ascii="宋体" w:hAnsi="宋体" w:eastAsia="宋体" w:cs="宋体"/>
          <w:color w:val="auto"/>
          <w:sz w:val="24"/>
          <w:szCs w:val="24"/>
          <w:highlight w:val="none"/>
        </w:rPr>
        <w:t xml:space="preserve">（包括突发公共卫生事件、灾害事故等）</w:t>
      </w:r>
      <w:r>
        <w:rPr>
          <w:rFonts w:hint="eastAsia" w:ascii="宋体" w:hAnsi="宋体" w:eastAsia="宋体" w:cs="宋体"/>
          <w:color w:val="auto"/>
          <w:sz w:val="24"/>
          <w:szCs w:val="24"/>
          <w:highlight w:val="none"/>
          <w:lang w:val="en-US" w:eastAsia="zh-CN"/>
        </w:rPr>
        <w:t xml:space="preserve">应急预案及组织演练情况，</w:t>
      </w:r>
      <w:r>
        <w:rPr>
          <w:rFonts w:hint="eastAsia" w:ascii="宋体" w:hAnsi="宋体" w:eastAsia="宋体" w:cs="宋体"/>
          <w:color w:val="auto"/>
          <w:sz w:val="24"/>
          <w:szCs w:val="24"/>
          <w:highlight w:val="none"/>
        </w:rPr>
        <w:t xml:space="preserve">评委根据保障制度</w:t>
      </w:r>
      <w:r>
        <w:rPr>
          <w:rFonts w:hint="eastAsia" w:ascii="宋体" w:hAnsi="宋体" w:eastAsia="宋体" w:cs="宋体"/>
          <w:color w:val="auto"/>
          <w:sz w:val="24"/>
          <w:szCs w:val="24"/>
          <w:highlight w:val="none"/>
          <w:lang w:val="en-US" w:eastAsia="zh-CN"/>
        </w:rPr>
        <w:t xml:space="preserve">的完善性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制定突发事件（包括突发公共卫生事件、灾害事故等）应急预案</w:t>
      </w:r>
      <w:r>
        <w:rPr>
          <w:rFonts w:hint="eastAsia" w:ascii="宋体" w:hAnsi="宋体" w:eastAsia="宋体" w:cs="宋体"/>
          <w:color w:val="auto"/>
          <w:sz w:val="24"/>
          <w:szCs w:val="24"/>
          <w:highlight w:val="none"/>
          <w:lang w:val="en-US" w:eastAsia="zh-CN"/>
        </w:rPr>
        <w:t xml:space="preserve">的全面性、可行性、针对性，</w:t>
      </w:r>
      <w:r>
        <w:rPr>
          <w:rFonts w:hint="eastAsia" w:ascii="宋体" w:hAnsi="宋体" w:eastAsia="宋体" w:cs="宋体"/>
          <w:color w:val="auto"/>
          <w:sz w:val="24"/>
          <w:szCs w:val="24"/>
          <w:highlight w:val="none"/>
        </w:rPr>
        <w:t xml:space="preserve">组织</w:t>
      </w:r>
      <w:r>
        <w:rPr>
          <w:rFonts w:hint="eastAsia" w:ascii="宋体" w:hAnsi="宋体" w:eastAsia="宋体" w:cs="宋体"/>
          <w:color w:val="auto"/>
          <w:sz w:val="24"/>
          <w:szCs w:val="24"/>
          <w:highlight w:val="none"/>
          <w:lang w:val="en-US" w:eastAsia="zh-CN"/>
        </w:rPr>
        <w:t xml:space="preserve">应急</w:t>
      </w:r>
      <w:r>
        <w:rPr>
          <w:rFonts w:hint="eastAsia" w:ascii="宋体" w:hAnsi="宋体" w:eastAsia="宋体" w:cs="宋体"/>
          <w:color w:val="auto"/>
          <w:sz w:val="24"/>
          <w:szCs w:val="24"/>
          <w:highlight w:val="none"/>
        </w:rPr>
        <w:t xml:space="preserve">演练</w:t>
      </w:r>
      <w:r>
        <w:rPr>
          <w:rFonts w:hint="eastAsia" w:ascii="宋体" w:hAnsi="宋体" w:eastAsia="宋体" w:cs="宋体"/>
          <w:color w:val="auto"/>
          <w:sz w:val="24"/>
          <w:szCs w:val="24"/>
          <w:highlight w:val="none"/>
          <w:lang w:val="en-US" w:eastAsia="zh-CN"/>
        </w:rPr>
        <w:t xml:space="preserve">情况综合打分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制度及体系完善、突发事件应急预案全面、可行性强、针对性强，定期组织应急演练</w:t>
      </w:r>
      <w:r>
        <w:rPr>
          <w:rFonts w:hint="eastAsia" w:ascii="宋体" w:hAnsi="宋体" w:eastAsia="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制度及体系较完善、突发事件应急预案较全面、有可行性、有针对性，定期组织应急演练</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制度及体系不完善、突发事件应急预案不全面、可行性</w:t>
      </w:r>
      <w:r>
        <w:rPr>
          <w:rFonts w:hint="eastAsia" w:ascii="宋体" w:hAnsi="宋体" w:cs="宋体"/>
          <w:color w:val="auto"/>
          <w:sz w:val="24"/>
          <w:szCs w:val="24"/>
          <w:highlight w:val="none"/>
          <w:lang w:val="en-US" w:eastAsia="zh-CN"/>
        </w:rPr>
        <w:t xml:space="preserve">欠缺</w:t>
      </w:r>
      <w:r>
        <w:rPr>
          <w:rFonts w:hint="eastAsia" w:ascii="宋体" w:hAnsi="宋体" w:eastAsia="宋体" w:cs="宋体"/>
          <w:color w:val="auto"/>
          <w:sz w:val="24"/>
          <w:szCs w:val="24"/>
          <w:highlight w:val="none"/>
          <w:lang w:val="en-US" w:eastAsia="zh-CN"/>
        </w:rPr>
        <w:t xml:space="preserve">、针对性</w:t>
      </w:r>
      <w:r>
        <w:rPr>
          <w:rFonts w:hint="eastAsia" w:ascii="宋体" w:hAnsi="宋体" w:cs="宋体"/>
          <w:color w:val="auto"/>
          <w:sz w:val="24"/>
          <w:szCs w:val="24"/>
          <w:highlight w:val="none"/>
          <w:lang w:val="en-US" w:eastAsia="zh-CN"/>
        </w:rPr>
        <w:t xml:space="preserve">欠缺</w:t>
      </w:r>
      <w:r>
        <w:rPr>
          <w:rFonts w:hint="eastAsia" w:ascii="宋体" w:hAnsi="宋体" w:eastAsia="宋体" w:cs="宋体"/>
          <w:color w:val="auto"/>
          <w:sz w:val="24"/>
          <w:szCs w:val="24"/>
          <w:highlight w:val="none"/>
          <w:lang w:val="en-US" w:eastAsia="zh-CN"/>
        </w:rPr>
        <w:t xml:space="preserve">，定期组织应急演练</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分；未提供</w:t>
      </w:r>
      <w:r>
        <w:rPr>
          <w:rFonts w:hint="eastAsia" w:ascii="宋体" w:hAnsi="宋体" w:eastAsia="宋体" w:cs="宋体"/>
          <w:color w:val="auto"/>
          <w:sz w:val="24"/>
          <w:szCs w:val="24"/>
          <w:highlight w:val="none"/>
          <w:lang w:val="en-US" w:eastAsia="zh-CN"/>
        </w:rPr>
        <w:t xml:space="preserve">或提供不全</w:t>
      </w:r>
      <w:r>
        <w:rPr>
          <w:rFonts w:hint="eastAsia" w:ascii="宋体" w:hAnsi="宋体" w:eastAsia="宋体" w:cs="宋体"/>
          <w:color w:val="auto"/>
          <w:sz w:val="24"/>
          <w:szCs w:val="24"/>
          <w:highlight w:val="none"/>
        </w:rPr>
        <w:t xml:space="preserve">相应内容的不得分。</w:t>
      </w:r>
      <w:r/>
    </w:p>
    <w:p>
      <w:pPr>
        <w:contextualSpacing/>
        <w:ind w:firstLine="42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、组织架构</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   </w:t>
      </w:r>
      <w:r/>
    </w:p>
    <w:p>
      <w:pPr>
        <w:contextualSpacing/>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响应单位</w:t>
      </w: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val="en-US" w:eastAsia="zh-CN"/>
        </w:rPr>
        <w:t xml:space="preserve">本项目所涉及的</w:t>
      </w:r>
      <w:r>
        <w:rPr>
          <w:rFonts w:hint="eastAsia" w:ascii="宋体" w:hAnsi="宋体" w:eastAsia="宋体" w:cs="宋体"/>
          <w:color w:val="auto"/>
          <w:sz w:val="24"/>
          <w:szCs w:val="24"/>
          <w:highlight w:val="none"/>
        </w:rPr>
        <w:t xml:space="preserve">居家养老服务以及日常行政、业务管理</w:t>
      </w:r>
      <w:r>
        <w:rPr>
          <w:rFonts w:hint="eastAsia" w:ascii="宋体" w:hAnsi="宋体" w:eastAsia="宋体" w:cs="宋体"/>
          <w:color w:val="auto"/>
          <w:sz w:val="24"/>
          <w:szCs w:val="24"/>
          <w:highlight w:val="none"/>
          <w:lang w:val="en-US" w:eastAsia="zh-CN"/>
        </w:rPr>
        <w:t xml:space="preserve">工作</w:t>
      </w:r>
      <w:r>
        <w:rPr>
          <w:rFonts w:hint="eastAsia" w:ascii="宋体" w:hAnsi="宋体" w:eastAsia="宋体" w:cs="宋体"/>
          <w:color w:val="auto"/>
          <w:sz w:val="24"/>
          <w:szCs w:val="24"/>
          <w:highlight w:val="none"/>
        </w:rPr>
        <w:t xml:space="preserve">合理设置职能部门，</w:t>
      </w:r>
      <w:r>
        <w:rPr>
          <w:rFonts w:hint="eastAsia" w:ascii="宋体" w:hAnsi="宋体" w:eastAsia="宋体" w:cs="宋体"/>
          <w:color w:val="auto"/>
          <w:sz w:val="24"/>
          <w:szCs w:val="24"/>
          <w:highlight w:val="none"/>
          <w:lang w:val="en-US" w:eastAsia="zh-CN"/>
        </w:rPr>
        <w:t xml:space="preserve">评委根据职能部门人员配备情况、人员专业能力、岗位安排情况综合打分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各职能部门均按需配备人员且各项工作均有专人负责但不冗余的，服务人员配备全面，人员专业</w:t>
      </w:r>
      <w:r>
        <w:rPr>
          <w:rFonts w:hint="eastAsia" w:ascii="宋体" w:hAnsi="宋体" w:cs="宋体"/>
          <w:color w:val="auto"/>
          <w:sz w:val="24"/>
          <w:szCs w:val="24"/>
          <w:highlight w:val="none"/>
          <w:lang w:val="en-US" w:eastAsia="zh-CN"/>
        </w:rPr>
        <w:t xml:space="preserve">性强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岗位</w:t>
      </w:r>
      <w:r>
        <w:rPr>
          <w:rFonts w:hint="eastAsia" w:ascii="宋体" w:hAnsi="宋体" w:eastAsia="宋体" w:cs="宋体"/>
          <w:color w:val="auto"/>
          <w:sz w:val="24"/>
          <w:szCs w:val="24"/>
          <w:highlight w:val="none"/>
        </w:rPr>
        <w:t xml:space="preserve">安排合理</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分；服务人员配备</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全面，人员</w:t>
      </w:r>
      <w:r>
        <w:rPr>
          <w:rFonts w:hint="eastAsia" w:ascii="宋体" w:hAnsi="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专业、</w:t>
      </w:r>
      <w:r>
        <w:rPr>
          <w:rFonts w:hint="eastAsia" w:ascii="宋体" w:hAnsi="宋体" w:eastAsia="宋体" w:cs="宋体"/>
          <w:color w:val="auto"/>
          <w:sz w:val="24"/>
          <w:szCs w:val="24"/>
          <w:highlight w:val="none"/>
          <w:lang w:val="en-US" w:eastAsia="zh-CN"/>
        </w:rPr>
        <w:t xml:space="preserve">岗位</w:t>
      </w:r>
      <w:r>
        <w:rPr>
          <w:rFonts w:hint="eastAsia" w:ascii="宋体" w:hAnsi="宋体" w:eastAsia="宋体" w:cs="宋体"/>
          <w:color w:val="auto"/>
          <w:sz w:val="24"/>
          <w:szCs w:val="24"/>
          <w:highlight w:val="none"/>
        </w:rPr>
        <w:t xml:space="preserve">安排</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合理</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分；服务人员</w:t>
      </w:r>
      <w:r>
        <w:rPr>
          <w:rFonts w:hint="eastAsia" w:ascii="宋体" w:hAnsi="宋体" w:eastAsia="宋体" w:cs="宋体"/>
          <w:color w:val="auto"/>
          <w:sz w:val="24"/>
          <w:szCs w:val="24"/>
          <w:highlight w:val="none"/>
          <w:lang w:val="en-US" w:eastAsia="zh-CN"/>
        </w:rPr>
        <w:t xml:space="preserve">配备</w:t>
      </w:r>
      <w:r>
        <w:rPr>
          <w:rFonts w:hint="eastAsia" w:ascii="宋体" w:hAnsi="宋体" w:cs="宋体"/>
          <w:color w:val="auto"/>
          <w:sz w:val="24"/>
          <w:szCs w:val="24"/>
          <w:highlight w:val="none"/>
          <w:lang w:val="en-US" w:eastAsia="zh-CN"/>
        </w:rPr>
        <w:t xml:space="preserve">不够全面、</w:t>
      </w:r>
      <w:r>
        <w:rPr>
          <w:rFonts w:hint="eastAsia" w:ascii="宋体" w:hAnsi="宋体" w:eastAsia="宋体" w:cs="宋体"/>
          <w:color w:val="auto"/>
          <w:sz w:val="24"/>
          <w:szCs w:val="24"/>
          <w:highlight w:val="none"/>
          <w:lang w:val="en-US" w:eastAsia="zh-CN"/>
        </w:rPr>
        <w:t xml:space="preserve">岗位</w:t>
      </w:r>
      <w:r>
        <w:rPr>
          <w:rFonts w:hint="eastAsia" w:ascii="宋体" w:hAnsi="宋体" w:eastAsia="宋体" w:cs="宋体"/>
          <w:color w:val="auto"/>
          <w:sz w:val="24"/>
          <w:szCs w:val="24"/>
          <w:highlight w:val="none"/>
        </w:rPr>
        <w:t xml:space="preserve">安排合理</w:t>
      </w:r>
      <w:r>
        <w:rPr>
          <w:rFonts w:hint="eastAsia" w:ascii="宋体" w:hAnsi="宋体" w:eastAsia="宋体" w:cs="宋体"/>
          <w:color w:val="auto"/>
          <w:sz w:val="24"/>
          <w:szCs w:val="24"/>
          <w:highlight w:val="none"/>
          <w:lang w:val="en-US" w:eastAsia="zh-CN"/>
        </w:rPr>
        <w:t xml:space="preserve">性</w:t>
      </w:r>
      <w:r>
        <w:rPr>
          <w:rFonts w:hint="eastAsia" w:ascii="宋体" w:hAnsi="宋体" w:cs="宋体"/>
          <w:color w:val="auto"/>
          <w:sz w:val="24"/>
          <w:szCs w:val="24"/>
          <w:highlight w:val="none"/>
          <w:lang w:val="en-US" w:eastAsia="zh-CN"/>
        </w:rPr>
        <w:t xml:space="preserve">欠缺的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分；未提供</w:t>
      </w:r>
      <w:r>
        <w:rPr>
          <w:rFonts w:hint="eastAsia" w:ascii="宋体" w:hAnsi="宋体" w:eastAsia="宋体" w:cs="宋体"/>
          <w:color w:val="auto"/>
          <w:sz w:val="24"/>
          <w:szCs w:val="24"/>
          <w:highlight w:val="none"/>
          <w:lang w:val="en-US" w:eastAsia="zh-CN"/>
        </w:rPr>
        <w:t xml:space="preserve">或提供不全</w:t>
      </w:r>
      <w:r>
        <w:rPr>
          <w:rFonts w:hint="eastAsia" w:ascii="宋体" w:hAnsi="宋体" w:eastAsia="宋体" w:cs="宋体"/>
          <w:color w:val="auto"/>
          <w:sz w:val="24"/>
          <w:szCs w:val="24"/>
          <w:highlight w:val="none"/>
        </w:rPr>
        <w:t xml:space="preserve">相应内容的不得分。</w:t>
      </w:r>
      <w:r/>
    </w:p>
    <w:p>
      <w:pPr>
        <w:contextualSpacing/>
        <w:ind w:firstLine="420"/>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、培训体系</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 xml:space="preserve"> </w:t>
      </w:r>
      <w:r/>
    </w:p>
    <w:p>
      <w:pPr>
        <w:contextualSpacing/>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响应单位提供针对本项目的服务人员培训制度及培训方案，</w:t>
      </w:r>
      <w:r>
        <w:rPr>
          <w:rFonts w:hint="eastAsia" w:ascii="宋体" w:hAnsi="宋体" w:eastAsia="宋体" w:cs="宋体"/>
          <w:color w:val="auto"/>
          <w:sz w:val="24"/>
          <w:szCs w:val="24"/>
          <w:highlight w:val="none"/>
        </w:rPr>
        <w:t xml:space="preserve">评委根据</w:t>
      </w:r>
      <w:r>
        <w:rPr>
          <w:rFonts w:hint="eastAsia" w:ascii="宋体" w:hAnsi="宋体" w:eastAsia="宋体" w:cs="宋体"/>
          <w:color w:val="auto"/>
          <w:sz w:val="24"/>
          <w:szCs w:val="24"/>
          <w:highlight w:val="none"/>
          <w:lang w:eastAsia="zh-CN"/>
        </w:rPr>
        <w:t xml:space="preserve">响应单位</w:t>
      </w:r>
      <w:r>
        <w:rPr>
          <w:rFonts w:hint="eastAsia" w:ascii="宋体" w:hAnsi="宋体" w:eastAsia="宋体" w:cs="宋体"/>
          <w:color w:val="auto"/>
          <w:sz w:val="24"/>
          <w:szCs w:val="24"/>
          <w:highlight w:val="none"/>
        </w:rPr>
        <w:t xml:space="preserve">提供的项目服务人员培训制度及培训方案</w:t>
      </w:r>
      <w:r>
        <w:rPr>
          <w:rFonts w:hint="eastAsia" w:ascii="宋体" w:hAnsi="宋体" w:eastAsia="宋体" w:cs="宋体"/>
          <w:color w:val="auto"/>
          <w:sz w:val="24"/>
          <w:szCs w:val="24"/>
          <w:highlight w:val="none"/>
          <w:lang w:val="en-US" w:eastAsia="zh-CN"/>
        </w:rPr>
        <w:t xml:space="preserve">完整性、合理性、全面性、可行性</w:t>
      </w:r>
      <w:r>
        <w:rPr>
          <w:rFonts w:hint="eastAsia" w:ascii="宋体" w:hAnsi="宋体" w:eastAsia="宋体" w:cs="宋体"/>
          <w:color w:val="auto"/>
          <w:sz w:val="24"/>
          <w:szCs w:val="24"/>
          <w:highlight w:val="none"/>
        </w:rPr>
        <w:t xml:space="preserve">进行综合打分。培训制度完整、合理、全面、可行性</w:t>
      </w:r>
      <w:r>
        <w:rPr>
          <w:rFonts w:hint="eastAsia" w:ascii="宋体" w:hAnsi="宋体" w:eastAsia="宋体" w:cs="宋体"/>
          <w:color w:val="auto"/>
          <w:sz w:val="24"/>
          <w:szCs w:val="24"/>
          <w:highlight w:val="none"/>
          <w:lang w:val="en-US" w:eastAsia="zh-CN"/>
        </w:rPr>
        <w:t xml:space="preserve">高</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培训制度较完整、较合理、</w:t>
      </w:r>
      <w:r>
        <w:rPr>
          <w:rFonts w:hint="eastAsia" w:ascii="宋体" w:hAnsi="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可行的得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分；培训制度完整</w:t>
      </w:r>
      <w:r>
        <w:rPr>
          <w:rFonts w:hint="eastAsia" w:ascii="宋体" w:hAnsi="宋体" w:eastAsia="宋体" w:cs="宋体"/>
          <w:color w:val="auto"/>
          <w:sz w:val="24"/>
          <w:szCs w:val="24"/>
          <w:highlight w:val="none"/>
          <w:lang w:val="en-US" w:eastAsia="zh-CN"/>
        </w:rPr>
        <w:t xml:space="preserve">性</w:t>
      </w:r>
      <w:r>
        <w:rPr>
          <w:rFonts w:hint="eastAsia" w:ascii="宋体" w:hAnsi="宋体" w:eastAsia="宋体" w:cs="宋体"/>
          <w:color w:val="auto"/>
          <w:sz w:val="24"/>
          <w:szCs w:val="24"/>
          <w:highlight w:val="none"/>
        </w:rPr>
        <w:t xml:space="preserve">、合理</w:t>
      </w:r>
      <w:r>
        <w:rPr>
          <w:rFonts w:hint="eastAsia" w:ascii="宋体" w:hAnsi="宋体" w:eastAsia="宋体" w:cs="宋体"/>
          <w:color w:val="auto"/>
          <w:sz w:val="24"/>
          <w:szCs w:val="24"/>
          <w:highlight w:val="none"/>
          <w:lang w:val="en-US" w:eastAsia="zh-CN"/>
        </w:rPr>
        <w:t xml:space="preserve">性</w:t>
      </w:r>
      <w:r>
        <w:rPr>
          <w:rFonts w:hint="eastAsia" w:ascii="宋体" w:hAnsi="宋体" w:eastAsia="宋体" w:cs="宋体"/>
          <w:color w:val="auto"/>
          <w:sz w:val="24"/>
          <w:szCs w:val="24"/>
          <w:highlight w:val="none"/>
        </w:rPr>
        <w:t xml:space="preserve">、全面</w:t>
      </w:r>
      <w:r>
        <w:rPr>
          <w:rFonts w:hint="eastAsia" w:ascii="宋体" w:hAnsi="宋体" w:eastAsia="宋体" w:cs="宋体"/>
          <w:color w:val="auto"/>
          <w:sz w:val="24"/>
          <w:szCs w:val="24"/>
          <w:highlight w:val="none"/>
          <w:lang w:val="en-US" w:eastAsia="zh-CN"/>
        </w:rPr>
        <w:t xml:space="preserve">性</w:t>
      </w: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欠缺</w:t>
      </w:r>
      <w:r>
        <w:rPr>
          <w:rFonts w:hint="eastAsia" w:ascii="宋体" w:hAnsi="宋体" w:eastAsia="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分；未提供</w:t>
      </w:r>
      <w:r>
        <w:rPr>
          <w:rFonts w:hint="eastAsia" w:ascii="宋体" w:hAnsi="宋体" w:eastAsia="宋体" w:cs="宋体"/>
          <w:color w:val="auto"/>
          <w:sz w:val="24"/>
          <w:szCs w:val="24"/>
          <w:highlight w:val="none"/>
          <w:lang w:val="en-US" w:eastAsia="zh-CN"/>
        </w:rPr>
        <w:t xml:space="preserve">或提供不全</w:t>
      </w:r>
      <w:r>
        <w:rPr>
          <w:rFonts w:hint="eastAsia" w:ascii="宋体" w:hAnsi="宋体" w:eastAsia="宋体" w:cs="宋体"/>
          <w:color w:val="auto"/>
          <w:sz w:val="24"/>
          <w:szCs w:val="24"/>
          <w:highlight w:val="none"/>
        </w:rPr>
        <w:t xml:space="preserve">相应内容的不得分。</w:t>
      </w:r>
      <w:r/>
    </w:p>
    <w:p>
      <w:pPr>
        <w:contextualSpacing/>
        <w:ind w:firstLine="42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、综合协调方案</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  </w:t>
      </w:r>
      <w:r/>
    </w:p>
    <w:p>
      <w:pPr>
        <w:contextualSpacing/>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响应单位提供针对本项目服务期限内</w:t>
      </w:r>
      <w:r>
        <w:rPr>
          <w:rFonts w:hint="eastAsia" w:ascii="宋体" w:hAnsi="宋体" w:eastAsia="宋体" w:cs="宋体"/>
          <w:color w:val="auto"/>
          <w:sz w:val="24"/>
          <w:szCs w:val="24"/>
          <w:highlight w:val="none"/>
        </w:rPr>
        <w:t xml:space="preserve">与其他单位、政府部门的综合协调方案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评委根据方案</w:t>
      </w:r>
      <w:r>
        <w:rPr>
          <w:rFonts w:hint="eastAsia" w:ascii="宋体" w:hAnsi="宋体" w:eastAsia="宋体" w:cs="宋体"/>
          <w:color w:val="auto"/>
          <w:sz w:val="24"/>
          <w:szCs w:val="24"/>
          <w:highlight w:val="none"/>
          <w:lang w:val="en-US" w:eastAsia="zh-CN"/>
        </w:rPr>
        <w:t xml:space="preserve">的详细、清晰程度、合理性、针对性</w:t>
      </w:r>
      <w:r>
        <w:rPr>
          <w:rFonts w:hint="eastAsia" w:ascii="宋体" w:hAnsi="宋体" w:eastAsia="宋体" w:cs="宋体"/>
          <w:color w:val="auto"/>
          <w:sz w:val="24"/>
          <w:szCs w:val="24"/>
          <w:highlight w:val="none"/>
        </w:rPr>
        <w:t xml:space="preserve">综合打分。方案</w:t>
      </w:r>
      <w:r>
        <w:rPr>
          <w:rFonts w:hint="eastAsia" w:ascii="宋体" w:hAnsi="宋体" w:eastAsia="宋体" w:cs="宋体"/>
          <w:color w:val="auto"/>
          <w:sz w:val="24"/>
          <w:szCs w:val="24"/>
          <w:highlight w:val="none"/>
          <w:lang w:val="en-US" w:eastAsia="zh-CN"/>
        </w:rPr>
        <w:t xml:space="preserve">详细、</w:t>
      </w:r>
      <w:r>
        <w:rPr>
          <w:rFonts w:hint="eastAsia" w:ascii="宋体" w:hAnsi="宋体" w:eastAsia="宋体" w:cs="宋体"/>
          <w:color w:val="auto"/>
          <w:sz w:val="24"/>
          <w:szCs w:val="24"/>
          <w:highlight w:val="none"/>
        </w:rPr>
        <w:t xml:space="preserve">清晰 、合理</w:t>
      </w:r>
      <w:r>
        <w:rPr>
          <w:rFonts w:hint="eastAsia" w:ascii="宋体" w:hAnsi="宋体" w:eastAsia="宋体" w:cs="宋体"/>
          <w:color w:val="auto"/>
          <w:sz w:val="24"/>
          <w:szCs w:val="24"/>
          <w:highlight w:val="none"/>
          <w:lang w:val="en-US" w:eastAsia="zh-CN"/>
        </w:rPr>
        <w:t xml:space="preserve">性强</w:t>
      </w:r>
      <w:r>
        <w:rPr>
          <w:rFonts w:hint="eastAsia" w:ascii="宋体" w:hAnsi="宋体" w:eastAsia="宋体" w:cs="宋体"/>
          <w:color w:val="auto"/>
          <w:sz w:val="24"/>
          <w:szCs w:val="24"/>
          <w:highlight w:val="none"/>
        </w:rPr>
        <w:t xml:space="preserve">、针对性强的得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分；方案</w:t>
      </w:r>
      <w:r>
        <w:rPr>
          <w:rFonts w:hint="eastAsia" w:ascii="宋体" w:hAnsi="宋体" w:eastAsia="宋体" w:cs="宋体"/>
          <w:color w:val="auto"/>
          <w:sz w:val="24"/>
          <w:szCs w:val="24"/>
          <w:highlight w:val="none"/>
          <w:lang w:val="en-US" w:eastAsia="zh-CN"/>
        </w:rPr>
        <w:t xml:space="preserve">较详细、</w:t>
      </w:r>
      <w:r>
        <w:rPr>
          <w:rFonts w:hint="eastAsia" w:ascii="宋体" w:hAnsi="宋体" w:eastAsia="宋体" w:cs="宋体"/>
          <w:color w:val="auto"/>
          <w:sz w:val="24"/>
          <w:szCs w:val="24"/>
          <w:highlight w:val="none"/>
        </w:rPr>
        <w:t xml:space="preserve">较清晰、</w:t>
      </w:r>
      <w:r>
        <w:rPr>
          <w:rFonts w:hint="eastAsia" w:ascii="宋体" w:hAnsi="宋体" w:eastAsia="宋体" w:cs="宋体"/>
          <w:color w:val="auto"/>
          <w:sz w:val="24"/>
          <w:szCs w:val="24"/>
          <w:highlight w:val="none"/>
          <w:lang w:val="en-US" w:eastAsia="zh-CN"/>
        </w:rPr>
        <w:t xml:space="preserve">较合理、</w:t>
      </w: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较强</w:t>
      </w:r>
      <w:r>
        <w:rPr>
          <w:rFonts w:hint="eastAsia" w:ascii="宋体" w:hAnsi="宋体" w:eastAsia="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分；方案</w:t>
      </w:r>
      <w:r>
        <w:rPr>
          <w:rFonts w:hint="eastAsia" w:ascii="宋体" w:hAnsi="宋体" w:eastAsia="宋体" w:cs="宋体"/>
          <w:color w:val="auto"/>
          <w:sz w:val="24"/>
          <w:szCs w:val="24"/>
          <w:highlight w:val="none"/>
          <w:lang w:val="en-US" w:eastAsia="zh-CN"/>
        </w:rPr>
        <w:t xml:space="preserve">简略、</w:t>
      </w:r>
      <w:r>
        <w:rPr>
          <w:rFonts w:hint="eastAsia" w:ascii="宋体" w:hAnsi="宋体" w:eastAsia="宋体" w:cs="宋体"/>
          <w:color w:val="auto"/>
          <w:sz w:val="24"/>
          <w:szCs w:val="24"/>
          <w:highlight w:val="none"/>
        </w:rPr>
        <w:t xml:space="preserve">清晰</w:t>
      </w:r>
      <w:r>
        <w:rPr>
          <w:rFonts w:hint="eastAsia" w:ascii="宋体" w:hAnsi="宋体" w:eastAsia="宋体" w:cs="宋体"/>
          <w:color w:val="auto"/>
          <w:sz w:val="24"/>
          <w:szCs w:val="24"/>
          <w:highlight w:val="none"/>
          <w:lang w:val="en-US" w:eastAsia="zh-CN"/>
        </w:rPr>
        <w:t xml:space="preserve">程度低</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有</w:t>
      </w:r>
      <w:r>
        <w:rPr>
          <w:rFonts w:hint="eastAsia" w:ascii="宋体" w:hAnsi="宋体" w:eastAsia="宋体" w:cs="宋体"/>
          <w:color w:val="auto"/>
          <w:sz w:val="24"/>
          <w:szCs w:val="24"/>
          <w:highlight w:val="none"/>
        </w:rPr>
        <w:t xml:space="preserve">合理</w:t>
      </w:r>
      <w:r>
        <w:rPr>
          <w:rFonts w:hint="eastAsia" w:ascii="宋体" w:hAnsi="宋体" w:eastAsia="宋体" w:cs="宋体"/>
          <w:color w:val="auto"/>
          <w:sz w:val="24"/>
          <w:szCs w:val="24"/>
          <w:highlight w:val="none"/>
          <w:lang w:val="en-US" w:eastAsia="zh-CN"/>
        </w:rPr>
        <w:t xml:space="preserve">性</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有针对性</w:t>
      </w:r>
      <w:r>
        <w:rPr>
          <w:rFonts w:hint="eastAsia" w:ascii="宋体" w:hAnsi="宋体" w:eastAsia="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分；未提供</w:t>
      </w:r>
      <w:r>
        <w:rPr>
          <w:rFonts w:hint="eastAsia" w:ascii="宋体" w:hAnsi="宋体" w:eastAsia="宋体" w:cs="宋体"/>
          <w:color w:val="auto"/>
          <w:sz w:val="24"/>
          <w:szCs w:val="24"/>
          <w:highlight w:val="none"/>
          <w:lang w:val="en-US" w:eastAsia="zh-CN"/>
        </w:rPr>
        <w:t xml:space="preserve">或提供不全</w:t>
      </w:r>
      <w:r>
        <w:rPr>
          <w:rFonts w:hint="eastAsia" w:ascii="宋体" w:hAnsi="宋体" w:eastAsia="宋体" w:cs="宋体"/>
          <w:color w:val="auto"/>
          <w:sz w:val="24"/>
          <w:szCs w:val="24"/>
          <w:highlight w:val="none"/>
        </w:rPr>
        <w:t xml:space="preserve">相应内容的不得分。</w:t>
      </w:r>
      <w:r/>
    </w:p>
    <w:p>
      <w:pPr>
        <w:contextualSpacing/>
        <w:ind w:firstLine="420"/>
        <w:keepLines w:val="0"/>
        <w:keepNext w:val="0"/>
        <w:pageBreakBefore w:val="0"/>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、服务特色（</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分）</w:t>
      </w:r>
      <w:r>
        <w:rPr>
          <w:rFonts w:hint="eastAsia" w:ascii="宋体" w:hAnsi="宋体" w:cs="宋体"/>
          <w:b/>
          <w:bCs/>
          <w:color w:val="auto"/>
          <w:sz w:val="24"/>
          <w:szCs w:val="24"/>
          <w:highlight w:val="none"/>
          <w:lang w:val="en-US" w:eastAsia="zh-CN"/>
        </w:rPr>
        <w:t xml:space="preserve">    </w:t>
      </w:r>
      <w:r/>
    </w:p>
    <w:p>
      <w:pPr>
        <w:contextualSpacing/>
        <w:ind w:firstLine="42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响应单位结合本项目采购需求</w:t>
      </w:r>
      <w:r>
        <w:rPr>
          <w:rFonts w:hint="eastAsia" w:ascii="宋体" w:hAnsi="宋体" w:eastAsia="宋体" w:cs="宋体"/>
          <w:color w:val="auto"/>
          <w:sz w:val="24"/>
          <w:szCs w:val="24"/>
          <w:highlight w:val="none"/>
        </w:rPr>
        <w:t xml:space="preserve">围绕老年人生活照料、医疗保健、心理关爱、安全保护</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老年人评估</w:t>
      </w:r>
      <w:r>
        <w:rPr>
          <w:rFonts w:hint="eastAsia" w:ascii="宋体" w:hAnsi="宋体" w:eastAsia="宋体" w:cs="宋体"/>
          <w:color w:val="auto"/>
          <w:sz w:val="24"/>
          <w:szCs w:val="24"/>
          <w:highlight w:val="none"/>
        </w:rPr>
        <w:t xml:space="preserve">等方面提出的创新服务方案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评委根据方案的特色、创新点、围绕方向、可行性综合打分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创新服务方案特色鲜明、创新点突出、内容丰富、多元化、</w:t>
      </w:r>
      <w:r>
        <w:rPr>
          <w:rFonts w:hint="eastAsia" w:ascii="宋体" w:hAnsi="宋体" w:eastAsia="宋体" w:cs="宋体"/>
          <w:color w:val="auto"/>
          <w:sz w:val="24"/>
          <w:szCs w:val="24"/>
          <w:highlight w:val="none"/>
          <w:lang w:val="en-US" w:eastAsia="zh-CN"/>
        </w:rPr>
        <w:t xml:space="preserve">围绕方向全面、</w:t>
      </w:r>
      <w:r>
        <w:rPr>
          <w:rFonts w:hint="eastAsia" w:ascii="宋体" w:hAnsi="宋体" w:eastAsia="宋体" w:cs="宋体"/>
          <w:color w:val="auto"/>
          <w:sz w:val="24"/>
          <w:szCs w:val="24"/>
          <w:highlight w:val="none"/>
        </w:rPr>
        <w:t xml:space="preserve">可行性强的得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分；创新服务方案特色较鲜明、创新点</w:t>
      </w:r>
      <w:r>
        <w:rPr>
          <w:rFonts w:hint="eastAsia" w:ascii="宋体" w:hAnsi="宋体" w:eastAsia="宋体" w:cs="宋体"/>
          <w:color w:val="auto"/>
          <w:sz w:val="24"/>
          <w:szCs w:val="24"/>
          <w:highlight w:val="none"/>
          <w:lang w:val="en-US" w:eastAsia="zh-CN"/>
        </w:rPr>
        <w:t xml:space="preserve">较突出</w:t>
      </w:r>
      <w:r>
        <w:rPr>
          <w:rFonts w:hint="eastAsia" w:ascii="宋体" w:hAnsi="宋体" w:eastAsia="宋体" w:cs="宋体"/>
          <w:color w:val="auto"/>
          <w:sz w:val="24"/>
          <w:szCs w:val="24"/>
          <w:highlight w:val="none"/>
        </w:rPr>
        <w:t xml:space="preserve">、内容较丰富、多元化、</w:t>
      </w:r>
      <w:r>
        <w:rPr>
          <w:rFonts w:hint="eastAsia" w:ascii="宋体" w:hAnsi="宋体" w:eastAsia="宋体" w:cs="宋体"/>
          <w:color w:val="auto"/>
          <w:sz w:val="24"/>
          <w:szCs w:val="24"/>
          <w:highlight w:val="none"/>
          <w:lang w:val="en-US" w:eastAsia="zh-CN"/>
        </w:rPr>
        <w:t xml:space="preserve">围绕方向较全面、</w:t>
      </w:r>
      <w:r>
        <w:rPr>
          <w:rFonts w:hint="eastAsia" w:ascii="宋体" w:hAnsi="宋体" w:eastAsia="宋体" w:cs="宋体"/>
          <w:color w:val="auto"/>
          <w:sz w:val="24"/>
          <w:szCs w:val="24"/>
          <w:highlight w:val="none"/>
        </w:rPr>
        <w:t xml:space="preserve">可行性较强的得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分；创新服务方案有特色、创新点</w:t>
      </w:r>
      <w:r>
        <w:rPr>
          <w:rFonts w:hint="eastAsia" w:ascii="宋体" w:hAnsi="宋体" w:eastAsia="宋体" w:cs="宋体"/>
          <w:color w:val="auto"/>
          <w:sz w:val="24"/>
          <w:szCs w:val="24"/>
          <w:highlight w:val="none"/>
          <w:lang w:val="en-US" w:eastAsia="zh-CN"/>
        </w:rPr>
        <w:t xml:space="preserve">不突出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围绕方向较少、</w:t>
      </w:r>
      <w:r>
        <w:rPr>
          <w:rFonts w:hint="eastAsia" w:ascii="宋体" w:hAnsi="宋体" w:eastAsia="宋体" w:cs="宋体"/>
          <w:color w:val="auto"/>
          <w:sz w:val="24"/>
          <w:szCs w:val="24"/>
          <w:highlight w:val="none"/>
        </w:rPr>
        <w:t xml:space="preserve">内容</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丰富、基本可行的得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未提供或提供不全相应内容的不得分。</w:t>
      </w:r>
      <w:r/>
    </w:p>
    <w:p>
      <w:pPr>
        <w:contextualSpacing/>
        <w:ind w:firstLine="42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）拟投入本项目的团队人员比较</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eastAsia="zh-CN"/>
        </w:rPr>
        <w:t xml:space="preserve">）</w:t>
      </w:r>
      <w:r/>
    </w:p>
    <w:p>
      <w:pPr>
        <w:ind w:firstLine="42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1、拟投入本项目的项目负责人（</w:t>
      </w:r>
      <w:r>
        <w:rPr>
          <w:rFonts w:hint="eastAsia" w:ascii="宋体" w:hAnsi="宋体" w:cs="宋体"/>
          <w:b/>
          <w:bCs/>
          <w:color w:val="auto"/>
          <w:sz w:val="24"/>
          <w:szCs w:val="24"/>
          <w:highlight w:val="none"/>
          <w:lang w:val="en-US" w:eastAsia="zh-CN"/>
        </w:rPr>
        <w:t xml:space="preserve">12</w:t>
      </w:r>
      <w:r>
        <w:rPr>
          <w:rFonts w:hint="eastAsia" w:ascii="宋体" w:hAnsi="宋体" w:eastAsia="宋体" w:cs="宋体"/>
          <w:b/>
          <w:bCs/>
          <w:color w:val="auto"/>
          <w:sz w:val="24"/>
          <w:szCs w:val="24"/>
          <w:highlight w:val="none"/>
          <w:lang w:val="en-US" w:eastAsia="zh-CN"/>
        </w:rPr>
        <w:t xml:space="preserve">分）</w:t>
      </w:r>
      <w:r/>
    </w:p>
    <w:p>
      <w:pPr>
        <w:pStyle w:val="1028"/>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投标单位投入本项目的负责人具有本科及以上学历、初级及以上养老护理员证、</w:t>
      </w:r>
      <w:r>
        <w:rPr>
          <w:rFonts w:hint="eastAsia" w:ascii="宋体" w:hAnsi="宋体" w:cs="宋体"/>
          <w:color w:val="auto"/>
          <w:sz w:val="24"/>
          <w:szCs w:val="24"/>
          <w:highlight w:val="none"/>
          <w:lang w:val="en-US" w:eastAsia="zh-CN" w:bidi="ar-SA"/>
        </w:rPr>
        <w:t xml:space="preserve">老年人能力评估师证</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年以上养老服务管理经验的，每提供一个得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分，最高得</w:t>
      </w:r>
      <w:r>
        <w:rPr>
          <w:rFonts w:hint="eastAsia" w:ascii="宋体" w:hAnsi="宋体" w:cs="宋体"/>
          <w:color w:val="auto"/>
          <w:sz w:val="24"/>
          <w:szCs w:val="24"/>
          <w:highlight w:val="none"/>
          <w:lang w:val="en-US" w:eastAsia="zh-CN" w:bidi="ar-SA"/>
        </w:rPr>
        <w:t xml:space="preserve">12</w:t>
      </w:r>
      <w:r>
        <w:rPr>
          <w:rFonts w:hint="eastAsia" w:ascii="宋体" w:hAnsi="宋体" w:eastAsia="宋体" w:cs="宋体"/>
          <w:color w:val="auto"/>
          <w:sz w:val="24"/>
          <w:szCs w:val="24"/>
          <w:highlight w:val="none"/>
          <w:lang w:val="en-US" w:eastAsia="zh-CN" w:bidi="ar-SA"/>
        </w:rPr>
        <w:t xml:space="preserve">分。投标文件中提供相关证书、经验证明（项目合同、业主单位出具的证明材料）和该员工在本单位近1个月社保证明扫描件，</w:t>
      </w:r>
      <w:r>
        <w:rPr>
          <w:rFonts w:hint="eastAsia" w:ascii="宋体" w:hAnsi="宋体" w:cs="宋体"/>
          <w:color w:val="auto"/>
          <w:sz w:val="24"/>
          <w:szCs w:val="24"/>
          <w:highlight w:val="none"/>
          <w:lang w:val="en-US" w:eastAsia="zh-CN" w:bidi="ar-SA"/>
        </w:rPr>
        <w:t xml:space="preserve">如为退休人员提供返聘协议</w:t>
      </w:r>
      <w:r>
        <w:rPr>
          <w:rFonts w:hint="eastAsia" w:ascii="宋体" w:hAnsi="宋体" w:eastAsia="宋体" w:cs="宋体"/>
          <w:color w:val="auto"/>
          <w:sz w:val="24"/>
          <w:szCs w:val="24"/>
          <w:highlight w:val="none"/>
          <w:lang w:val="en-US" w:eastAsia="zh-CN" w:bidi="ar-SA"/>
        </w:rPr>
        <w:t xml:space="preserve">扫描件</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未提供或提供不全不得分。</w:t>
      </w:r>
      <w:r/>
    </w:p>
    <w:p>
      <w:pPr>
        <w:ind w:firstLine="42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2、拟投入本项目的</w:t>
      </w:r>
      <w:r>
        <w:rPr>
          <w:rFonts w:hint="eastAsia" w:ascii="宋体" w:hAnsi="宋体" w:cs="宋体"/>
          <w:b/>
          <w:bCs/>
          <w:color w:val="auto"/>
          <w:sz w:val="24"/>
          <w:szCs w:val="24"/>
          <w:highlight w:val="none"/>
          <w:lang w:val="en-US" w:eastAsia="zh-CN"/>
        </w:rPr>
        <w:t xml:space="preserve">管理</w:t>
      </w:r>
      <w:r>
        <w:rPr>
          <w:rFonts w:hint="eastAsia" w:ascii="宋体" w:hAnsi="宋体" w:eastAsia="宋体" w:cs="宋体"/>
          <w:b/>
          <w:bCs/>
          <w:color w:val="auto"/>
          <w:sz w:val="24"/>
          <w:szCs w:val="24"/>
          <w:highlight w:val="none"/>
          <w:lang w:val="en-US" w:eastAsia="zh-CN"/>
        </w:rPr>
        <w:t xml:space="preserve">人员（项目负责人除外）（</w:t>
      </w:r>
      <w:r>
        <w:rPr>
          <w:rFonts w:hint="eastAsia" w:ascii="宋体" w:hAnsi="宋体" w:cs="宋体"/>
          <w:b/>
          <w:bCs/>
          <w:color w:val="auto"/>
          <w:sz w:val="24"/>
          <w:szCs w:val="24"/>
          <w:highlight w:val="none"/>
          <w:lang w:val="en-US" w:eastAsia="zh-CN"/>
        </w:rPr>
        <w:t xml:space="preserve">12</w:t>
      </w:r>
      <w:r>
        <w:rPr>
          <w:rFonts w:hint="eastAsia" w:ascii="宋体" w:hAnsi="宋体" w:eastAsia="宋体" w:cs="宋体"/>
          <w:b/>
          <w:bCs/>
          <w:color w:val="auto"/>
          <w:sz w:val="24"/>
          <w:szCs w:val="24"/>
          <w:highlight w:val="none"/>
          <w:lang w:val="en-US" w:eastAsia="zh-CN"/>
        </w:rPr>
        <w:t xml:space="preserve">分）</w:t>
      </w:r>
      <w:r/>
    </w:p>
    <w:p>
      <w:pPr>
        <w:pStyle w:val="1028"/>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投标单位投入本项目的管理人员持有</w:t>
      </w:r>
      <w:r>
        <w:rPr>
          <w:rFonts w:hint="eastAsia" w:ascii="宋体" w:hAnsi="宋体" w:cs="宋体"/>
          <w:color w:val="auto"/>
          <w:sz w:val="24"/>
          <w:szCs w:val="24"/>
          <w:highlight w:val="none"/>
          <w:lang w:val="en-US" w:eastAsia="zh-CN" w:bidi="ar-SA"/>
        </w:rPr>
        <w:t xml:space="preserve">初</w:t>
      </w:r>
      <w:r>
        <w:rPr>
          <w:rFonts w:hint="eastAsia" w:ascii="宋体" w:hAnsi="宋体" w:eastAsia="宋体" w:cs="宋体"/>
          <w:color w:val="auto"/>
          <w:sz w:val="24"/>
          <w:szCs w:val="24"/>
          <w:highlight w:val="none"/>
          <w:lang w:val="en-US" w:eastAsia="zh-CN" w:bidi="ar-SA"/>
        </w:rPr>
        <w:t xml:space="preserve">级及以上社会工作师证的每提供一个得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分，本项最高得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pStyle w:val="1028"/>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投标单位投入本项目的管理人员持有护士证的每提供一个得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分，本项最高得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pStyle w:val="1028"/>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投标单位投入本项目的管理人员持有心理咨询师证书的每提供一个得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分，本项最高得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pStyle w:val="1028"/>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投标文件中提供相关证书和该员工在本单位近1个月社保证明扫描件</w:t>
      </w:r>
      <w:r>
        <w:rPr>
          <w:rFonts w:hint="eastAsia" w:ascii="宋体" w:hAnsi="宋体" w:cs="宋体"/>
          <w:color w:val="auto"/>
          <w:sz w:val="24"/>
          <w:szCs w:val="24"/>
          <w:highlight w:val="none"/>
          <w:lang w:val="en-US" w:eastAsia="zh-CN" w:bidi="ar-SA"/>
        </w:rPr>
        <w:t xml:space="preserve">，如为退休人员提供返聘协议</w:t>
      </w:r>
      <w:r>
        <w:rPr>
          <w:rFonts w:hint="eastAsia" w:ascii="宋体" w:hAnsi="宋体" w:eastAsia="宋体" w:cs="宋体"/>
          <w:color w:val="auto"/>
          <w:sz w:val="24"/>
          <w:szCs w:val="24"/>
          <w:highlight w:val="none"/>
          <w:lang w:val="en-US" w:eastAsia="zh-CN" w:bidi="ar-SA"/>
        </w:rPr>
        <w:t xml:space="preserve">扫描件，未提供或提供不全不得分。</w:t>
      </w:r>
      <w:r/>
    </w:p>
    <w:p>
      <w:pPr>
        <w:pStyle w:val="1028"/>
        <w:numPr>
          <w:ilvl w:val="0"/>
          <w:numId w:val="0"/>
        </w:numPr>
        <w:ind w:left="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3、项目服务人员情况（</w:t>
      </w:r>
      <w:r>
        <w:rPr>
          <w:rFonts w:hint="eastAsia" w:ascii="宋体" w:hAnsi="宋体" w:cs="宋体"/>
          <w:b/>
          <w:bCs/>
          <w:color w:val="auto"/>
          <w:sz w:val="24"/>
          <w:szCs w:val="24"/>
          <w:highlight w:val="none"/>
          <w:lang w:val="en-US" w:eastAsia="zh-CN" w:bidi="ar-SA"/>
        </w:rPr>
        <w:t xml:space="preserve">6</w:t>
      </w:r>
      <w:r>
        <w:rPr>
          <w:rFonts w:hint="eastAsia" w:ascii="宋体" w:hAnsi="宋体" w:eastAsia="宋体" w:cs="宋体"/>
          <w:b/>
          <w:bCs/>
          <w:color w:val="auto"/>
          <w:sz w:val="24"/>
          <w:szCs w:val="24"/>
          <w:highlight w:val="none"/>
          <w:lang w:val="en-US" w:eastAsia="zh-CN" w:bidi="ar-SA"/>
        </w:rPr>
        <w:t xml:space="preserve">分）</w:t>
      </w:r>
      <w:r/>
    </w:p>
    <w:p>
      <w:pPr>
        <w:pStyle w:val="1028"/>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投标单位投入本项目服务团队中（除项目负责人及管理人员外），每有1名持初级及以上养老护理员证书的服务人员加1分，最高得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分。投标文件中提供相关证书扫描件，未提供或提供不全的不得分。</w:t>
      </w:r>
      <w:r/>
    </w:p>
    <w:p>
      <w:pPr>
        <w:pStyle w:val="1028"/>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投标文件中提供相关证书和该员工在本单位近1个月社保证明扫描件，</w:t>
      </w:r>
      <w:r>
        <w:rPr>
          <w:rFonts w:hint="eastAsia" w:ascii="宋体" w:hAnsi="宋体" w:cs="宋体"/>
          <w:color w:val="auto"/>
          <w:sz w:val="24"/>
          <w:szCs w:val="24"/>
          <w:highlight w:val="none"/>
          <w:lang w:val="en-US" w:eastAsia="zh-CN" w:bidi="ar-SA"/>
        </w:rPr>
        <w:t xml:space="preserve">如为退休人员提供返聘协议</w:t>
      </w:r>
      <w:r>
        <w:rPr>
          <w:rFonts w:hint="eastAsia" w:ascii="宋体" w:hAnsi="宋体" w:eastAsia="宋体" w:cs="宋体"/>
          <w:color w:val="auto"/>
          <w:sz w:val="24"/>
          <w:szCs w:val="24"/>
          <w:highlight w:val="none"/>
          <w:lang w:val="en-US" w:eastAsia="zh-CN" w:bidi="ar-SA"/>
        </w:rPr>
        <w:t xml:space="preserve">扫描件，未提供或提供不全不得分。</w:t>
      </w:r>
      <w:r/>
    </w:p>
    <w:p>
      <w:pPr>
        <w:contextualSpacing/>
        <w:ind w:firstLine="420"/>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（三）响应单位综合实力（</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分）</w:t>
      </w:r>
      <w:r/>
    </w:p>
    <w:p>
      <w:pPr>
        <w:contextualSpacing/>
        <w:ind w:firstLine="420"/>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1、体系认证情况（2分）</w:t>
      </w:r>
      <w:r/>
    </w:p>
    <w:p>
      <w:pPr>
        <w:contextualSpacing/>
        <w:ind w:firstLine="42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响应单位具有有效期内的售后服务认证证书、养老服务认证证书的，每提供一份得1分，本项最高2分。需在响应文件中提供证书扫描件及在中国国家认证认可监督管理委员会官网查询证书有效的截图。</w:t>
      </w:r>
      <w:r/>
    </w:p>
    <w:p>
      <w:pPr>
        <w:contextualSpacing/>
        <w:ind w:firstLine="420"/>
        <w:keepLines w:val="0"/>
        <w:keepNext w:val="0"/>
        <w:pageBreakBefore w:val="0"/>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、类似服务业绩（</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分）</w:t>
      </w:r>
      <w:r/>
    </w:p>
    <w:p>
      <w:pPr>
        <w:contextualSpacing/>
        <w:ind w:firstLine="42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2023年1月1日</w:t>
      </w:r>
      <w:r>
        <w:rPr>
          <w:rFonts w:hint="eastAsia" w:ascii="宋体" w:hAnsi="宋体" w:eastAsia="宋体" w:cs="宋体"/>
          <w:color w:val="auto"/>
          <w:sz w:val="24"/>
          <w:szCs w:val="24"/>
          <w:highlight w:val="none"/>
        </w:rPr>
        <w:t xml:space="preserve">至今（以合同签订时间为准）</w:t>
      </w:r>
      <w:r>
        <w:rPr>
          <w:rFonts w:hint="eastAsia" w:ascii="宋体" w:hAnsi="宋体" w:eastAsia="宋体" w:cs="宋体"/>
          <w:color w:val="auto"/>
          <w:sz w:val="24"/>
          <w:szCs w:val="24"/>
          <w:highlight w:val="none"/>
          <w:lang w:val="en-US" w:eastAsia="zh-CN"/>
        </w:rPr>
        <w:t xml:space="preserve">响应单位具有类似服务项目业绩的，得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分，本项最高</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分。需在响应文件中提供业绩合同扫描件。</w:t>
      </w:r>
      <w:r/>
    </w:p>
    <w:p>
      <w:pPr>
        <w:contextualSpacing/>
        <w:ind w:firstLine="422"/>
        <w:keepLines w:val="0"/>
        <w:keepNext w:val="0"/>
        <w:pageBreakBefore w:val="0"/>
        <w:spacing w:line="360"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注：针对评分标准中评分的每一条，响应单位在响应文件中均应提供相关资料并做出相应说明供评标委员会评判，不提供相关资料的视为不具备该项得分的条件。</w:t>
      </w:r>
      <w:r/>
    </w:p>
    <w:p>
      <w:pPr>
        <w:pStyle w:val="724"/>
        <w:rPr>
          <w:rFonts w:hint="eastAsia"/>
          <w:color w:val="auto"/>
          <w:highlight w:val="none"/>
        </w:rPr>
      </w:pPr>
      <w:r>
        <w:rPr>
          <w:rFonts w:hint="eastAsia"/>
          <w:color w:val="auto"/>
          <w:highlight w:val="none"/>
        </w:rPr>
      </w:r>
      <w:r/>
    </w:p>
    <w:p>
      <w:pPr>
        <w:ind w:firstLine="0"/>
        <w:jc w:val="both"/>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369"/>
        <w:jc w:val="righ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（全文完）</w:t>
      </w:r>
      <w:r/>
    </w:p>
    <w:sectPr>
      <w:headerReference w:type="default" r:id="rId10"/>
      <w:footerReference w:type="default" r:id="rId12"/>
      <w:footnotePr/>
      <w:endnotePr/>
      <w:type w:val="nextPage"/>
      <w:pgSz w:w="11906" w:h="16838" w:orient="portrait"/>
      <w:pgMar w:top="1134" w:right="1417" w:bottom="1134" w:left="127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ymbol">
    <w:panose1 w:val="05050102010706020507"/>
  </w:font>
  <w:font w:name="Wingdings">
    <w:panose1 w:val="05000000000000000000"/>
  </w:font>
  <w:font w:name="Cambria">
    <w:panose1 w:val="02040503050406030204"/>
  </w:font>
  <w:font w:name="仿宋_GB2312">
    <w:panose1 w:val="02010609060101010101"/>
  </w:font>
  <w:font w:name="黑体">
    <w:panose1 w:val="02010609060101010101"/>
  </w:font>
  <w:font w:name="方正仿宋简体">
    <w:panose1 w:val="020B0503020202020204"/>
  </w:font>
  <w:font w:name="Tahoma">
    <w:panose1 w:val="020B0604030504040204"/>
  </w:font>
  <w:font w:name="Calibri">
    <w:panose1 w:val="020F0502020204030204"/>
  </w:font>
  <w:font w:name="Courier New">
    <w:panose1 w:val="02070309020205020404"/>
  </w:font>
  <w:font w:name="楷体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 w:name="KaiTi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0"/>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0"/>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lvl>
    <w:lvl w:ilvl="1">
      <w:start w:val="1"/>
      <w:numFmt w:val="decimal"/>
      <w:isLgl w:val="false"/>
      <w:suff w:val="tab"/>
      <w:lvlText w:val="13.%2."/>
      <w:lvlJc w:val="left"/>
      <w:pPr>
        <w:ind w:left="567" w:hanging="567"/>
      </w:pPr>
      <w:rPr>
        <w:rFonts w:ascii="宋体" w:hAnsi="宋体" w:eastAsia="宋体" w:cs="宋体"/>
      </w:r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0" w:hanging="850"/>
      </w:p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default="1">
    <w:name w:val="Normal"/>
    <w:link w:val="1067"/>
    <w:uiPriority w:val="0"/>
    <w:qFormat/>
    <w:pPr>
      <w:jc w:val="both"/>
      <w:widowControl w:val="off"/>
    </w:pPr>
    <w:rPr>
      <w:rFonts w:hint="default" w:ascii="Times New Roman" w:hAnsi="Times New Roman" w:eastAsia="宋体" w:cs="Times New Roman"/>
      <w:sz w:val="21"/>
      <w:szCs w:val="22"/>
    </w:rPr>
  </w:style>
  <w:style w:type="paragraph" w:styleId="710">
    <w:name w:val="Heading 1"/>
    <w:basedOn w:val="709"/>
    <w:next w:val="709"/>
    <w:link w:val="792"/>
    <w:uiPriority w:val="9"/>
    <w:qFormat/>
    <w:pPr>
      <w:keepLines/>
      <w:keepNext/>
      <w:spacing w:before="480" w:after="200"/>
      <w:outlineLvl w:val="0"/>
    </w:pPr>
    <w:rPr>
      <w:rFonts w:ascii="Arial" w:hAnsi="Arial" w:eastAsia="Arial" w:cs="Arial"/>
      <w:sz w:val="40"/>
      <w:szCs w:val="40"/>
    </w:rPr>
  </w:style>
  <w:style w:type="paragraph" w:styleId="711">
    <w:name w:val="Heading 2"/>
    <w:basedOn w:val="709"/>
    <w:next w:val="709"/>
    <w:link w:val="793"/>
    <w:uiPriority w:val="9"/>
    <w:unhideWhenUsed/>
    <w:qFormat/>
    <w:pPr>
      <w:ind w:firstLine="422"/>
      <w:keepLines/>
      <w:keepNext/>
      <w:spacing w:line="360" w:lineRule="auto"/>
      <w:outlineLvl w:val="1"/>
    </w:pPr>
    <w:rPr>
      <w:rFonts w:ascii="宋体" w:hAnsi="宋体" w:cs="宋体"/>
      <w:b/>
      <w:szCs w:val="21"/>
    </w:rPr>
  </w:style>
  <w:style w:type="paragraph" w:styleId="712">
    <w:name w:val="Heading 3"/>
    <w:basedOn w:val="709"/>
    <w:next w:val="709"/>
    <w:link w:val="794"/>
    <w:uiPriority w:val="9"/>
    <w:unhideWhenUsed/>
    <w:qFormat/>
    <w:pPr>
      <w:keepLines/>
      <w:keepNext/>
      <w:spacing w:before="320" w:after="200"/>
      <w:outlineLvl w:val="2"/>
    </w:pPr>
    <w:rPr>
      <w:rFonts w:ascii="Arial" w:hAnsi="Arial" w:eastAsia="Arial" w:cs="Arial"/>
      <w:sz w:val="30"/>
      <w:szCs w:val="30"/>
    </w:rPr>
  </w:style>
  <w:style w:type="paragraph" w:styleId="713">
    <w:name w:val="Heading 4"/>
    <w:basedOn w:val="709"/>
    <w:next w:val="709"/>
    <w:link w:val="795"/>
    <w:uiPriority w:val="9"/>
    <w:unhideWhenUsed/>
    <w:qFormat/>
    <w:pPr>
      <w:keepLines/>
      <w:keepNext/>
      <w:spacing w:before="320" w:after="200"/>
      <w:outlineLvl w:val="3"/>
    </w:pPr>
    <w:rPr>
      <w:rFonts w:ascii="Arial" w:hAnsi="Arial" w:eastAsia="Arial" w:cs="Arial"/>
      <w:b/>
      <w:bCs/>
      <w:sz w:val="26"/>
      <w:szCs w:val="26"/>
    </w:rPr>
  </w:style>
  <w:style w:type="paragraph" w:styleId="714">
    <w:name w:val="Heading 5"/>
    <w:basedOn w:val="709"/>
    <w:next w:val="709"/>
    <w:link w:val="796"/>
    <w:uiPriority w:val="9"/>
    <w:unhideWhenUsed/>
    <w:qFormat/>
    <w:pPr>
      <w:keepLines/>
      <w:keepNext/>
      <w:spacing w:before="320" w:after="200"/>
      <w:outlineLvl w:val="4"/>
    </w:pPr>
    <w:rPr>
      <w:rFonts w:ascii="Arial" w:hAnsi="Arial" w:eastAsia="Arial" w:cs="Arial"/>
      <w:b/>
      <w:bCs/>
      <w:sz w:val="24"/>
      <w:szCs w:val="24"/>
    </w:rPr>
  </w:style>
  <w:style w:type="paragraph" w:styleId="715">
    <w:name w:val="Heading 6"/>
    <w:basedOn w:val="709"/>
    <w:next w:val="709"/>
    <w:link w:val="797"/>
    <w:uiPriority w:val="9"/>
    <w:unhideWhenUsed/>
    <w:qFormat/>
    <w:pPr>
      <w:keepLines/>
      <w:keepNext/>
      <w:spacing w:before="320" w:after="200"/>
      <w:outlineLvl w:val="5"/>
    </w:pPr>
    <w:rPr>
      <w:rFonts w:ascii="Arial" w:hAnsi="Arial" w:eastAsia="Arial" w:cs="Arial"/>
      <w:b/>
      <w:bCs/>
      <w:sz w:val="22"/>
    </w:rPr>
  </w:style>
  <w:style w:type="paragraph" w:styleId="716">
    <w:name w:val="Heading 7"/>
    <w:basedOn w:val="709"/>
    <w:next w:val="709"/>
    <w:link w:val="798"/>
    <w:uiPriority w:val="9"/>
    <w:unhideWhenUsed/>
    <w:qFormat/>
    <w:pPr>
      <w:keepLines/>
      <w:keepNext/>
      <w:spacing w:before="320" w:after="200"/>
      <w:outlineLvl w:val="6"/>
    </w:pPr>
    <w:rPr>
      <w:rFonts w:ascii="Arial" w:hAnsi="Arial" w:eastAsia="Arial" w:cs="Arial"/>
      <w:b/>
      <w:bCs/>
      <w:i/>
      <w:iCs/>
      <w:sz w:val="22"/>
    </w:rPr>
  </w:style>
  <w:style w:type="paragraph" w:styleId="717">
    <w:name w:val="Heading 8"/>
    <w:basedOn w:val="709"/>
    <w:next w:val="709"/>
    <w:link w:val="799"/>
    <w:uiPriority w:val="9"/>
    <w:unhideWhenUsed/>
    <w:qFormat/>
    <w:pPr>
      <w:keepLines/>
      <w:keepNext/>
      <w:spacing w:before="320" w:after="200"/>
      <w:outlineLvl w:val="7"/>
    </w:pPr>
    <w:rPr>
      <w:rFonts w:ascii="Arial" w:hAnsi="Arial" w:eastAsia="Arial" w:cs="Arial"/>
      <w:i/>
      <w:iCs/>
      <w:sz w:val="22"/>
    </w:rPr>
  </w:style>
  <w:style w:type="paragraph" w:styleId="718">
    <w:name w:val="Heading 9"/>
    <w:basedOn w:val="709"/>
    <w:next w:val="709"/>
    <w:link w:val="800"/>
    <w:uiPriority w:val="9"/>
    <w:unhideWhenUsed/>
    <w:qFormat/>
    <w:pPr>
      <w:keepLines/>
      <w:keepNext/>
      <w:spacing w:before="320" w:after="200"/>
      <w:outlineLvl w:val="8"/>
    </w:pPr>
    <w:rPr>
      <w:rFonts w:ascii="Arial" w:hAnsi="Arial" w:eastAsia="Arial" w:cs="Arial"/>
      <w:i/>
      <w:iCs/>
      <w:szCs w:val="21"/>
    </w:rPr>
  </w:style>
  <w:style w:type="character" w:styleId="719" w:default="1">
    <w:name w:val="Default Paragraph Font"/>
    <w:uiPriority w:val="1"/>
    <w:semiHidden/>
    <w:unhideWhenUsed/>
    <w:qFormat/>
  </w:style>
  <w:style w:type="table" w:styleId="720" w:default="1">
    <w:name w:val="Normal Table"/>
    <w:uiPriority w:val="99"/>
    <w:semiHidden/>
    <w:unhideWhenUsed/>
    <w:qFormat/>
    <w:tblPr>
      <w:tblCellMar>
        <w:left w:w="108" w:type="dxa"/>
        <w:top w:w="0" w:type="dxa"/>
        <w:right w:w="108" w:type="dxa"/>
        <w:bottom w:w="0" w:type="dxa"/>
      </w:tblCellMar>
    </w:tblPr>
  </w:style>
  <w:style w:type="paragraph" w:styleId="721">
    <w:name w:val="toc 7"/>
    <w:basedOn w:val="709"/>
    <w:next w:val="709"/>
    <w:uiPriority w:val="39"/>
    <w:unhideWhenUsed/>
    <w:qFormat/>
    <w:pPr>
      <w:ind w:left="1701" w:right="0" w:firstLine="0"/>
      <w:spacing w:after="57"/>
    </w:pPr>
  </w:style>
  <w:style w:type="paragraph" w:styleId="722">
    <w:name w:val="Caption"/>
    <w:basedOn w:val="709"/>
    <w:next w:val="70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3">
    <w:name w:val="annotation text"/>
    <w:basedOn w:val="709"/>
    <w:uiPriority w:val="99"/>
    <w:semiHidden/>
    <w:unhideWhenUsed/>
    <w:qFormat/>
    <w:pPr>
      <w:jc w:val="left"/>
    </w:pPr>
  </w:style>
  <w:style w:type="paragraph" w:styleId="724">
    <w:name w:val="Body Text Indent"/>
    <w:basedOn w:val="709"/>
    <w:uiPriority w:val="99"/>
    <w:unhideWhenUsed/>
    <w:qFormat/>
    <w:pPr>
      <w:ind w:left="420"/>
      <w:spacing w:after="120" w:line="360" w:lineRule="auto"/>
      <w:widowControl/>
    </w:pPr>
    <w:rPr>
      <w:rFonts w:eastAsia="楷体_GB2312"/>
      <w:sz w:val="26"/>
      <w:szCs w:val="20"/>
    </w:rPr>
  </w:style>
  <w:style w:type="paragraph" w:styleId="725">
    <w:name w:val="toc 5"/>
    <w:basedOn w:val="709"/>
    <w:next w:val="709"/>
    <w:uiPriority w:val="39"/>
    <w:unhideWhenUsed/>
    <w:qFormat/>
    <w:pPr>
      <w:ind w:left="1134" w:right="0" w:firstLine="0"/>
      <w:spacing w:after="57"/>
    </w:pPr>
  </w:style>
  <w:style w:type="paragraph" w:styleId="726">
    <w:name w:val="toc 3"/>
    <w:basedOn w:val="709"/>
    <w:next w:val="709"/>
    <w:uiPriority w:val="39"/>
    <w:unhideWhenUsed/>
    <w:qFormat/>
    <w:pPr>
      <w:ind w:left="567" w:right="0" w:firstLine="0"/>
      <w:spacing w:after="57"/>
    </w:pPr>
  </w:style>
  <w:style w:type="paragraph" w:styleId="727">
    <w:name w:val="Plain Text"/>
    <w:basedOn w:val="709"/>
    <w:uiPriority w:val="0"/>
    <w:qFormat/>
    <w:rPr>
      <w:rFonts w:ascii="宋体" w:hAnsi="Courier New"/>
    </w:rPr>
  </w:style>
  <w:style w:type="paragraph" w:styleId="728">
    <w:name w:val="toc 8"/>
    <w:basedOn w:val="709"/>
    <w:next w:val="709"/>
    <w:uiPriority w:val="39"/>
    <w:unhideWhenUsed/>
    <w:qFormat/>
    <w:pPr>
      <w:ind w:left="1984" w:right="0" w:firstLine="0"/>
      <w:spacing w:after="57"/>
    </w:pPr>
  </w:style>
  <w:style w:type="paragraph" w:styleId="729">
    <w:name w:val="endnote text"/>
    <w:basedOn w:val="709"/>
    <w:uiPriority w:val="99"/>
    <w:semiHidden/>
    <w:unhideWhenUsed/>
    <w:qFormat/>
    <w:pPr>
      <w:spacing w:after="0" w:line="240" w:lineRule="auto"/>
    </w:pPr>
    <w:rPr>
      <w:sz w:val="20"/>
    </w:rPr>
  </w:style>
  <w:style w:type="paragraph" w:styleId="730">
    <w:name w:val="Footer"/>
    <w:basedOn w:val="709"/>
    <w:uiPriority w:val="99"/>
    <w:unhideWhenUsed/>
    <w:qFormat/>
    <w:pPr>
      <w:spacing w:after="0" w:line="240" w:lineRule="auto"/>
      <w:tabs>
        <w:tab w:val="center" w:pos="7143" w:leader="none"/>
        <w:tab w:val="right" w:pos="14287" w:leader="none"/>
      </w:tabs>
    </w:pPr>
  </w:style>
  <w:style w:type="paragraph" w:styleId="731">
    <w:name w:val="envelope return"/>
    <w:basedOn w:val="709"/>
    <w:uiPriority w:val="0"/>
    <w:qFormat/>
    <w:rPr>
      <w:rFonts w:ascii="Arial" w:hAnsi="Arial" w:eastAsia="楷体_GB2312"/>
      <w:sz w:val="26"/>
    </w:rPr>
  </w:style>
  <w:style w:type="paragraph" w:styleId="732">
    <w:name w:val="Header"/>
    <w:basedOn w:val="709"/>
    <w:uiPriority w:val="99"/>
    <w:unhideWhenUsed/>
    <w:qFormat/>
    <w:pPr>
      <w:spacing w:after="0" w:line="240" w:lineRule="auto"/>
      <w:tabs>
        <w:tab w:val="center" w:pos="7143" w:leader="none"/>
        <w:tab w:val="right" w:pos="14287" w:leader="none"/>
      </w:tabs>
    </w:pPr>
  </w:style>
  <w:style w:type="paragraph" w:styleId="733">
    <w:name w:val="toc 1"/>
    <w:basedOn w:val="709"/>
    <w:next w:val="709"/>
    <w:uiPriority w:val="39"/>
    <w:unhideWhenUsed/>
    <w:qFormat/>
    <w:pPr>
      <w:ind w:left="0" w:right="0" w:firstLine="0"/>
      <w:spacing w:after="57"/>
    </w:pPr>
  </w:style>
  <w:style w:type="paragraph" w:styleId="734">
    <w:name w:val="toc 4"/>
    <w:basedOn w:val="709"/>
    <w:next w:val="709"/>
    <w:uiPriority w:val="39"/>
    <w:unhideWhenUsed/>
    <w:qFormat/>
    <w:pPr>
      <w:ind w:left="850" w:right="0" w:firstLine="0"/>
      <w:spacing w:after="57"/>
    </w:pPr>
  </w:style>
  <w:style w:type="paragraph" w:styleId="735">
    <w:name w:val="Subtitle"/>
    <w:basedOn w:val="709"/>
    <w:next w:val="709"/>
    <w:uiPriority w:val="11"/>
    <w:qFormat/>
    <w:pPr>
      <w:spacing w:before="200" w:after="200"/>
    </w:pPr>
    <w:rPr>
      <w:sz w:val="24"/>
      <w:szCs w:val="24"/>
    </w:rPr>
  </w:style>
  <w:style w:type="paragraph" w:styleId="736">
    <w:name w:val="footnote text"/>
    <w:basedOn w:val="709"/>
    <w:uiPriority w:val="99"/>
    <w:semiHidden/>
    <w:unhideWhenUsed/>
    <w:qFormat/>
    <w:pPr>
      <w:spacing w:after="40" w:line="240" w:lineRule="auto"/>
    </w:pPr>
    <w:rPr>
      <w:sz w:val="18"/>
    </w:rPr>
  </w:style>
  <w:style w:type="paragraph" w:styleId="737">
    <w:name w:val="toc 6"/>
    <w:basedOn w:val="709"/>
    <w:next w:val="709"/>
    <w:uiPriority w:val="39"/>
    <w:unhideWhenUsed/>
    <w:qFormat/>
    <w:pPr>
      <w:ind w:left="1417" w:right="0" w:firstLine="0"/>
      <w:spacing w:after="57"/>
    </w:pPr>
  </w:style>
  <w:style w:type="paragraph" w:styleId="738">
    <w:name w:val="Body Text Indent 3"/>
    <w:basedOn w:val="709"/>
    <w:uiPriority w:val="0"/>
    <w:qFormat/>
    <w:pPr>
      <w:ind w:firstLine="480"/>
      <w:spacing w:line="400" w:lineRule="exact"/>
    </w:pPr>
    <w:rPr>
      <w:rFonts w:ascii="Times New Roman" w:hAnsi="Times New Roman"/>
      <w:sz w:val="24"/>
      <w:szCs w:val="24"/>
    </w:rPr>
  </w:style>
  <w:style w:type="paragraph" w:styleId="739">
    <w:name w:val="table of figures"/>
    <w:basedOn w:val="709"/>
    <w:next w:val="709"/>
    <w:uiPriority w:val="99"/>
    <w:unhideWhenUsed/>
    <w:qFormat/>
    <w:pPr>
      <w:spacing w:after="0" w:afterAutospacing="0"/>
    </w:pPr>
  </w:style>
  <w:style w:type="paragraph" w:styleId="740">
    <w:name w:val="toc 2"/>
    <w:basedOn w:val="709"/>
    <w:next w:val="709"/>
    <w:uiPriority w:val="39"/>
    <w:unhideWhenUsed/>
    <w:qFormat/>
    <w:pPr>
      <w:ind w:left="283" w:right="0" w:firstLine="0"/>
      <w:spacing w:after="57"/>
    </w:pPr>
  </w:style>
  <w:style w:type="paragraph" w:styleId="741">
    <w:name w:val="toc 9"/>
    <w:basedOn w:val="709"/>
    <w:next w:val="709"/>
    <w:uiPriority w:val="39"/>
    <w:unhideWhenUsed/>
    <w:qFormat/>
    <w:pPr>
      <w:ind w:left="2268" w:right="0" w:firstLine="0"/>
      <w:spacing w:after="57"/>
    </w:pPr>
  </w:style>
  <w:style w:type="paragraph" w:styleId="742">
    <w:name w:val="Title"/>
    <w:basedOn w:val="709"/>
    <w:next w:val="709"/>
    <w:uiPriority w:val="10"/>
    <w:qFormat/>
    <w:pPr>
      <w:contextualSpacing/>
      <w:spacing w:before="300" w:after="200"/>
    </w:pPr>
    <w:rPr>
      <w:sz w:val="48"/>
      <w:szCs w:val="48"/>
    </w:rPr>
  </w:style>
  <w:style w:type="table" w:styleId="74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4">
    <w:name w:val="Strong"/>
    <w:basedOn w:val="719"/>
    <w:uiPriority w:val="22"/>
    <w:qFormat/>
    <w:rPr>
      <w:b/>
    </w:rPr>
  </w:style>
  <w:style w:type="character" w:styleId="745">
    <w:name w:val="endnote reference"/>
    <w:uiPriority w:val="99"/>
    <w:semiHidden/>
    <w:unhideWhenUsed/>
    <w:qFormat/>
    <w:rPr>
      <w:vertAlign w:val="superscript"/>
    </w:rPr>
  </w:style>
  <w:style w:type="character" w:styleId="746">
    <w:name w:val="Hyperlink"/>
    <w:uiPriority w:val="99"/>
    <w:unhideWhenUsed/>
    <w:qFormat/>
    <w:rPr>
      <w:color w:val="0000ff" w:themeColor="hyperlink"/>
      <w:u w:val="single"/>
      <w14:textFill>
        <w14:solidFill>
          <w14:schemeClr w14:val="hlink"/>
        </w14:solidFill>
      </w14:textFill>
    </w:rPr>
  </w:style>
  <w:style w:type="character" w:styleId="747">
    <w:name w:val="footnote reference"/>
    <w:uiPriority w:val="99"/>
    <w:unhideWhenUsed/>
    <w:qFormat/>
    <w:rPr>
      <w:vertAlign w:val="superscript"/>
    </w:rPr>
  </w:style>
  <w:style w:type="paragraph" w:styleId="748" w:customStyle="1">
    <w:name w:val="正文文本1"/>
    <w:basedOn w:val="709"/>
    <w:link w:val="1006"/>
    <w:uiPriority w:val="99"/>
    <w:unhideWhenUsed/>
    <w:qFormat/>
    <w:pPr>
      <w:spacing w:after="120"/>
    </w:pPr>
    <w:rPr>
      <w:szCs w:val="24"/>
    </w:rPr>
  </w:style>
  <w:style w:type="paragraph" w:styleId="749" w:customStyle="1">
    <w:name w:val="正文文本缩进111"/>
    <w:basedOn w:val="709"/>
    <w:next w:val="750"/>
    <w:uiPriority w:val="0"/>
    <w:qFormat/>
    <w:pPr>
      <w:ind w:left="420" w:firstLine="1188"/>
      <w:spacing w:line="360" w:lineRule="exact"/>
    </w:pPr>
    <w:rPr>
      <w:szCs w:val="24"/>
    </w:rPr>
  </w:style>
  <w:style w:type="paragraph" w:styleId="750" w:customStyle="1">
    <w:name w:val="目录 51"/>
    <w:basedOn w:val="709"/>
    <w:next w:val="709"/>
    <w:uiPriority w:val="39"/>
    <w:unhideWhenUsed/>
    <w:qFormat/>
    <w:pPr>
      <w:ind w:left="1134"/>
      <w:spacing w:after="57"/>
    </w:pPr>
  </w:style>
  <w:style w:type="character" w:styleId="751" w:customStyle="1">
    <w:name w:val="默认段落字体11"/>
    <w:link w:val="709"/>
    <w:uiPriority w:val="1"/>
    <w:unhideWhenUsed/>
    <w:qFormat/>
  </w:style>
  <w:style w:type="table" w:styleId="752" w:customStyle="1">
    <w:name w:val="普通表格11"/>
    <w:uiPriority w:val="99"/>
    <w:unhideWhenUsed/>
    <w:qFormat/>
    <w:tblPr/>
  </w:style>
  <w:style w:type="paragraph" w:styleId="753" w:customStyle="1">
    <w:name w:val="目录 711"/>
    <w:basedOn w:val="709"/>
    <w:next w:val="709"/>
    <w:uiPriority w:val="39"/>
    <w:unhideWhenUsed/>
    <w:qFormat/>
    <w:pPr>
      <w:ind w:left="1701"/>
      <w:spacing w:after="57"/>
    </w:pPr>
  </w:style>
  <w:style w:type="paragraph" w:styleId="754" w:customStyle="1">
    <w:name w:val="正文缩进111"/>
    <w:basedOn w:val="709"/>
    <w:next w:val="709"/>
    <w:uiPriority w:val="0"/>
    <w:qFormat/>
    <w:pPr>
      <w:ind w:left="420" w:firstLine="4772"/>
    </w:pPr>
  </w:style>
  <w:style w:type="paragraph" w:styleId="755" w:customStyle="1">
    <w:name w:val="批注文字11"/>
    <w:basedOn w:val="709"/>
    <w:link w:val="756"/>
    <w:uiPriority w:val="99"/>
    <w:unhideWhenUsed/>
    <w:qFormat/>
    <w:pPr>
      <w:jc w:val="left"/>
    </w:pPr>
  </w:style>
  <w:style w:type="character" w:styleId="756" w:customStyle="1">
    <w:name w:val="批注文字 字符1"/>
    <w:link w:val="755"/>
    <w:uiPriority w:val="99"/>
    <w:semiHidden/>
    <w:qFormat/>
    <w:rPr>
      <w:sz w:val="21"/>
      <w:szCs w:val="22"/>
    </w:rPr>
  </w:style>
  <w:style w:type="paragraph" w:styleId="757" w:customStyle="1">
    <w:name w:val="正文文本12"/>
    <w:basedOn w:val="709"/>
    <w:next w:val="754"/>
    <w:uiPriority w:val="0"/>
    <w:qFormat/>
    <w:pPr>
      <w:spacing w:after="120"/>
    </w:pPr>
    <w:rPr>
      <w:szCs w:val="24"/>
    </w:rPr>
  </w:style>
  <w:style w:type="paragraph" w:styleId="758" w:customStyle="1">
    <w:name w:val="目录 52"/>
    <w:basedOn w:val="709"/>
    <w:next w:val="709"/>
    <w:uiPriority w:val="39"/>
    <w:unhideWhenUsed/>
    <w:qFormat/>
    <w:pPr>
      <w:ind w:left="1134"/>
      <w:spacing w:after="57"/>
    </w:pPr>
  </w:style>
  <w:style w:type="paragraph" w:styleId="759" w:customStyle="1">
    <w:name w:val="目录 311"/>
    <w:basedOn w:val="709"/>
    <w:next w:val="709"/>
    <w:uiPriority w:val="39"/>
    <w:unhideWhenUsed/>
    <w:qFormat/>
    <w:pPr>
      <w:ind w:left="567"/>
      <w:spacing w:after="57"/>
    </w:pPr>
  </w:style>
  <w:style w:type="paragraph" w:styleId="760" w:customStyle="1">
    <w:name w:val="纯文本11"/>
    <w:basedOn w:val="709"/>
    <w:link w:val="761"/>
    <w:uiPriority w:val="0"/>
    <w:qFormat/>
    <w:rPr>
      <w:rFonts w:ascii="宋体" w:hAnsi="Courier New" w:eastAsia="楷体_GB2312"/>
      <w:sz w:val="26"/>
      <w:szCs w:val="20"/>
    </w:rPr>
  </w:style>
  <w:style w:type="character" w:styleId="761" w:customStyle="1">
    <w:name w:val="纯文本 字符"/>
    <w:link w:val="760"/>
    <w:uiPriority w:val="0"/>
    <w:qFormat/>
    <w:rPr>
      <w:rFonts w:ascii="宋体" w:hAnsi="Courier New" w:eastAsia="楷体_GB2312"/>
      <w:sz w:val="26"/>
    </w:rPr>
  </w:style>
  <w:style w:type="paragraph" w:styleId="762" w:customStyle="1">
    <w:name w:val="目录 811"/>
    <w:basedOn w:val="709"/>
    <w:next w:val="709"/>
    <w:uiPriority w:val="39"/>
    <w:unhideWhenUsed/>
    <w:qFormat/>
    <w:pPr>
      <w:ind w:left="1984"/>
      <w:spacing w:after="57"/>
    </w:pPr>
  </w:style>
  <w:style w:type="paragraph" w:styleId="763" w:customStyle="1">
    <w:name w:val="尾注文本1"/>
    <w:basedOn w:val="709"/>
    <w:link w:val="764"/>
    <w:uiPriority w:val="99"/>
    <w:unhideWhenUsed/>
    <w:qFormat/>
    <w:rPr>
      <w:sz w:val="20"/>
    </w:rPr>
  </w:style>
  <w:style w:type="character" w:styleId="764" w:customStyle="1">
    <w:name w:val="尾注文本 字符"/>
    <w:link w:val="763"/>
    <w:uiPriority w:val="99"/>
    <w:qFormat/>
    <w:rPr>
      <w:sz w:val="20"/>
    </w:rPr>
  </w:style>
  <w:style w:type="paragraph" w:styleId="765" w:customStyle="1">
    <w:name w:val="批注框文本1"/>
    <w:basedOn w:val="709"/>
    <w:next w:val="766"/>
    <w:link w:val="767"/>
    <w:uiPriority w:val="99"/>
    <w:unhideWhenUsed/>
    <w:qFormat/>
    <w:rPr>
      <w:sz w:val="18"/>
      <w:szCs w:val="18"/>
    </w:rPr>
  </w:style>
  <w:style w:type="paragraph" w:styleId="766" w:customStyle="1">
    <w:name w:val="正文缩进1"/>
    <w:next w:val="709"/>
    <w:uiPriority w:val="0"/>
    <w:qFormat/>
    <w:pPr>
      <w:ind w:firstLine="420"/>
      <w:widowControl w:val="off"/>
    </w:pPr>
    <w:rPr>
      <w:rFonts w:hint="default" w:ascii="Times New Roman" w:hAnsi="Times New Roman" w:eastAsia="宋体" w:cs="Times New Roman"/>
      <w:sz w:val="24"/>
    </w:rPr>
  </w:style>
  <w:style w:type="character" w:styleId="767" w:customStyle="1">
    <w:name w:val="批注框文本 字符"/>
    <w:link w:val="765"/>
    <w:uiPriority w:val="99"/>
    <w:semiHidden/>
    <w:qFormat/>
    <w:rPr>
      <w:sz w:val="18"/>
      <w:szCs w:val="18"/>
    </w:rPr>
  </w:style>
  <w:style w:type="paragraph" w:styleId="768" w:customStyle="1">
    <w:name w:val="寄信人地址12"/>
    <w:basedOn w:val="709"/>
    <w:uiPriority w:val="0"/>
    <w:qFormat/>
    <w:rPr>
      <w:sz w:val="26"/>
      <w:szCs w:val="24"/>
    </w:rPr>
  </w:style>
  <w:style w:type="paragraph" w:styleId="769" w:customStyle="1">
    <w:name w:val="目录 111"/>
    <w:basedOn w:val="709"/>
    <w:next w:val="709"/>
    <w:uiPriority w:val="39"/>
    <w:unhideWhenUsed/>
    <w:qFormat/>
    <w:pPr>
      <w:spacing w:after="57"/>
    </w:pPr>
  </w:style>
  <w:style w:type="paragraph" w:styleId="770" w:customStyle="1">
    <w:name w:val="目录 411"/>
    <w:basedOn w:val="709"/>
    <w:next w:val="709"/>
    <w:uiPriority w:val="39"/>
    <w:unhideWhenUsed/>
    <w:qFormat/>
    <w:pPr>
      <w:ind w:left="850"/>
      <w:spacing w:after="57"/>
    </w:pPr>
  </w:style>
  <w:style w:type="paragraph" w:styleId="771" w:customStyle="1">
    <w:name w:val="副标题1"/>
    <w:basedOn w:val="709"/>
    <w:next w:val="709"/>
    <w:link w:val="772"/>
    <w:uiPriority w:val="11"/>
    <w:qFormat/>
    <w:pPr>
      <w:spacing w:before="200" w:after="200"/>
    </w:pPr>
    <w:rPr>
      <w:sz w:val="24"/>
      <w:szCs w:val="24"/>
    </w:rPr>
  </w:style>
  <w:style w:type="character" w:styleId="772" w:customStyle="1">
    <w:name w:val="副标题 字符"/>
    <w:link w:val="771"/>
    <w:uiPriority w:val="11"/>
    <w:qFormat/>
    <w:rPr>
      <w:sz w:val="24"/>
      <w:szCs w:val="24"/>
    </w:rPr>
  </w:style>
  <w:style w:type="paragraph" w:styleId="773" w:customStyle="1">
    <w:name w:val="脚注文本1"/>
    <w:basedOn w:val="709"/>
    <w:link w:val="774"/>
    <w:uiPriority w:val="99"/>
    <w:unhideWhenUsed/>
    <w:qFormat/>
    <w:pPr>
      <w:spacing w:after="40"/>
    </w:pPr>
    <w:rPr>
      <w:sz w:val="18"/>
    </w:rPr>
  </w:style>
  <w:style w:type="character" w:styleId="774" w:customStyle="1">
    <w:name w:val="脚注文本 字符"/>
    <w:link w:val="773"/>
    <w:uiPriority w:val="99"/>
    <w:qFormat/>
    <w:rPr>
      <w:sz w:val="18"/>
    </w:rPr>
  </w:style>
  <w:style w:type="paragraph" w:styleId="775" w:customStyle="1">
    <w:name w:val="目录 611"/>
    <w:basedOn w:val="709"/>
    <w:next w:val="709"/>
    <w:uiPriority w:val="39"/>
    <w:unhideWhenUsed/>
    <w:qFormat/>
    <w:pPr>
      <w:ind w:left="1417"/>
      <w:spacing w:after="57"/>
    </w:pPr>
  </w:style>
  <w:style w:type="paragraph" w:styleId="776" w:customStyle="1">
    <w:name w:val="图表目录1"/>
    <w:basedOn w:val="709"/>
    <w:next w:val="709"/>
    <w:uiPriority w:val="99"/>
    <w:unhideWhenUsed/>
    <w:qFormat/>
  </w:style>
  <w:style w:type="paragraph" w:styleId="777" w:customStyle="1">
    <w:name w:val="目录 212"/>
    <w:basedOn w:val="709"/>
    <w:next w:val="709"/>
    <w:uiPriority w:val="39"/>
    <w:unhideWhenUsed/>
    <w:qFormat/>
    <w:pPr>
      <w:ind w:left="283"/>
      <w:spacing w:after="57"/>
    </w:pPr>
  </w:style>
  <w:style w:type="paragraph" w:styleId="778" w:customStyle="1">
    <w:name w:val="目录 911"/>
    <w:basedOn w:val="709"/>
    <w:next w:val="709"/>
    <w:uiPriority w:val="39"/>
    <w:unhideWhenUsed/>
    <w:qFormat/>
    <w:pPr>
      <w:ind w:left="2268"/>
      <w:spacing w:after="57"/>
    </w:pPr>
  </w:style>
  <w:style w:type="paragraph" w:styleId="779" w:customStyle="1">
    <w:name w:val="普通(网站)11"/>
    <w:basedOn w:val="709"/>
    <w:uiPriority w:val="99"/>
    <w:qFormat/>
    <w:pPr>
      <w:jc w:val="left"/>
      <w:spacing w:before="100" w:beforeAutospacing="1" w:after="100" w:afterAutospacing="1"/>
      <w:widowControl/>
    </w:pPr>
    <w:rPr>
      <w:rFonts w:ascii="宋体" w:hAnsi="宋体" w:cs="宋体"/>
      <w:sz w:val="24"/>
    </w:rPr>
  </w:style>
  <w:style w:type="paragraph" w:styleId="780" w:customStyle="1">
    <w:name w:val="标题1"/>
    <w:basedOn w:val="709"/>
    <w:next w:val="709"/>
    <w:link w:val="781"/>
    <w:uiPriority w:val="10"/>
    <w:qFormat/>
    <w:pPr>
      <w:contextualSpacing/>
      <w:spacing w:before="300" w:after="200"/>
    </w:pPr>
    <w:rPr>
      <w:sz w:val="48"/>
      <w:szCs w:val="48"/>
    </w:rPr>
  </w:style>
  <w:style w:type="character" w:styleId="781" w:customStyle="1">
    <w:name w:val="标题 字符"/>
    <w:link w:val="780"/>
    <w:uiPriority w:val="10"/>
    <w:qFormat/>
    <w:rPr>
      <w:sz w:val="48"/>
      <w:szCs w:val="48"/>
    </w:rPr>
  </w:style>
  <w:style w:type="paragraph" w:styleId="782" w:customStyle="1">
    <w:name w:val="批注主题11"/>
    <w:basedOn w:val="755"/>
    <w:next w:val="755"/>
    <w:link w:val="783"/>
    <w:uiPriority w:val="99"/>
    <w:unhideWhenUsed/>
    <w:qFormat/>
    <w:rPr>
      <w:b/>
      <w:bCs/>
    </w:rPr>
  </w:style>
  <w:style w:type="character" w:styleId="783" w:customStyle="1">
    <w:name w:val="批注主题 字符1"/>
    <w:link w:val="782"/>
    <w:uiPriority w:val="99"/>
    <w:semiHidden/>
    <w:qFormat/>
    <w:rPr>
      <w:b/>
      <w:bCs/>
      <w:sz w:val="21"/>
      <w:szCs w:val="22"/>
    </w:rPr>
  </w:style>
  <w:style w:type="table" w:styleId="784" w:customStyle="1">
    <w:name w:val="网格型1"/>
    <w:uiPriority w:val="59"/>
    <w:qFormat/>
    <w:tblPr/>
  </w:style>
  <w:style w:type="character" w:styleId="785" w:customStyle="1">
    <w:name w:val="尾注引用1"/>
    <w:link w:val="709"/>
    <w:uiPriority w:val="99"/>
    <w:unhideWhenUsed/>
    <w:qFormat/>
    <w:rPr>
      <w:vertAlign w:val="superscript"/>
    </w:rPr>
  </w:style>
  <w:style w:type="character" w:styleId="786" w:customStyle="1">
    <w:name w:val="强调11"/>
    <w:basedOn w:val="751"/>
    <w:link w:val="709"/>
    <w:uiPriority w:val="20"/>
    <w:qFormat/>
  </w:style>
  <w:style w:type="character" w:styleId="787" w:customStyle="1">
    <w:name w:val="超链接11"/>
    <w:link w:val="709"/>
    <w:uiPriority w:val="99"/>
    <w:unhideWhenUsed/>
    <w:qFormat/>
    <w:rPr>
      <w:color w:val="0000ff"/>
      <w:u w:val="single"/>
    </w:rPr>
  </w:style>
  <w:style w:type="character" w:styleId="788" w:customStyle="1">
    <w:name w:val="批注引用11"/>
    <w:link w:val="709"/>
    <w:uiPriority w:val="99"/>
    <w:unhideWhenUsed/>
    <w:qFormat/>
    <w:rPr>
      <w:sz w:val="21"/>
      <w:szCs w:val="21"/>
    </w:rPr>
  </w:style>
  <w:style w:type="character" w:styleId="789" w:customStyle="1">
    <w:name w:val="脚注引用1"/>
    <w:link w:val="709"/>
    <w:uiPriority w:val="99"/>
    <w:unhideWhenUsed/>
    <w:qFormat/>
    <w:rPr>
      <w:vertAlign w:val="superscript"/>
    </w:rPr>
  </w:style>
  <w:style w:type="paragraph" w:styleId="790" w:customStyle="1">
    <w:name w:val="正文首行缩进 21"/>
    <w:basedOn w:val="791"/>
    <w:next w:val="709"/>
    <w:uiPriority w:val="99"/>
    <w:unhideWhenUsed/>
    <w:qFormat/>
    <w:pPr>
      <w:ind w:firstLine="420"/>
    </w:pPr>
    <w:rPr>
      <w:rFonts w:ascii="Calibri" w:hAnsi="Calibri"/>
    </w:rPr>
  </w:style>
  <w:style w:type="paragraph" w:styleId="791" w:customStyle="1">
    <w:name w:val="正文文本缩进1"/>
    <w:next w:val="709"/>
    <w:uiPriority w:val="0"/>
    <w:qFormat/>
    <w:pPr>
      <w:ind w:left="570"/>
      <w:jc w:val="both"/>
      <w:spacing w:line="520" w:lineRule="exact"/>
      <w:widowControl w:val="off"/>
    </w:pPr>
    <w:rPr>
      <w:rFonts w:hint="default" w:ascii="方正仿宋简体" w:hAnsi="创艺简仿宋" w:eastAsia="方正仿宋简体" w:cs="Times New Roman"/>
      <w:sz w:val="24"/>
    </w:rPr>
  </w:style>
  <w:style w:type="character" w:styleId="792" w:customStyle="1">
    <w:name w:val="标题 1 字符"/>
    <w:link w:val="710"/>
    <w:uiPriority w:val="9"/>
    <w:qFormat/>
    <w:rPr>
      <w:rFonts w:ascii="Arial" w:hAnsi="Arial" w:eastAsia="Arial" w:cs="Arial"/>
      <w:sz w:val="40"/>
      <w:szCs w:val="40"/>
    </w:rPr>
  </w:style>
  <w:style w:type="character" w:styleId="793" w:customStyle="1">
    <w:name w:val="标题 2 字符"/>
    <w:link w:val="711"/>
    <w:uiPriority w:val="9"/>
    <w:qFormat/>
    <w:rPr>
      <w:rFonts w:ascii="宋体" w:hAnsi="宋体" w:cs="宋体"/>
      <w:b/>
      <w:sz w:val="21"/>
      <w:szCs w:val="21"/>
    </w:rPr>
  </w:style>
  <w:style w:type="character" w:styleId="794" w:customStyle="1">
    <w:name w:val="标题 3 字符"/>
    <w:link w:val="712"/>
    <w:uiPriority w:val="9"/>
    <w:qFormat/>
    <w:rPr>
      <w:rFonts w:ascii="Arial" w:hAnsi="Arial" w:eastAsia="Arial" w:cs="Arial"/>
      <w:sz w:val="30"/>
      <w:szCs w:val="30"/>
    </w:rPr>
  </w:style>
  <w:style w:type="character" w:styleId="795" w:customStyle="1">
    <w:name w:val="标题 4 字符"/>
    <w:link w:val="713"/>
    <w:uiPriority w:val="9"/>
    <w:qFormat/>
    <w:rPr>
      <w:rFonts w:ascii="Arial" w:hAnsi="Arial" w:eastAsia="Arial" w:cs="Arial"/>
      <w:b/>
      <w:bCs/>
      <w:sz w:val="26"/>
      <w:szCs w:val="26"/>
    </w:rPr>
  </w:style>
  <w:style w:type="character" w:styleId="796" w:customStyle="1">
    <w:name w:val="标题 5 字符"/>
    <w:link w:val="714"/>
    <w:uiPriority w:val="9"/>
    <w:qFormat/>
    <w:rPr>
      <w:rFonts w:ascii="Arial" w:hAnsi="Arial" w:eastAsia="Arial" w:cs="Arial"/>
      <w:b/>
      <w:bCs/>
      <w:sz w:val="24"/>
      <w:szCs w:val="24"/>
    </w:rPr>
  </w:style>
  <w:style w:type="character" w:styleId="797" w:customStyle="1">
    <w:name w:val="标题 6 字符"/>
    <w:link w:val="715"/>
    <w:uiPriority w:val="9"/>
    <w:qFormat/>
    <w:rPr>
      <w:rFonts w:ascii="Arial" w:hAnsi="Arial" w:eastAsia="Arial" w:cs="Arial"/>
      <w:b/>
      <w:bCs/>
      <w:sz w:val="22"/>
      <w:szCs w:val="22"/>
    </w:rPr>
  </w:style>
  <w:style w:type="character" w:styleId="798" w:customStyle="1">
    <w:name w:val="标题 7 字符"/>
    <w:link w:val="716"/>
    <w:uiPriority w:val="9"/>
    <w:qFormat/>
    <w:rPr>
      <w:rFonts w:ascii="Arial" w:hAnsi="Arial" w:eastAsia="Arial" w:cs="Arial"/>
      <w:b/>
      <w:bCs/>
      <w:i/>
      <w:iCs/>
      <w:sz w:val="22"/>
      <w:szCs w:val="22"/>
    </w:rPr>
  </w:style>
  <w:style w:type="character" w:styleId="799" w:customStyle="1">
    <w:name w:val="标题 8 字符"/>
    <w:link w:val="717"/>
    <w:uiPriority w:val="9"/>
    <w:qFormat/>
    <w:rPr>
      <w:rFonts w:ascii="Arial" w:hAnsi="Arial" w:eastAsia="Arial" w:cs="Arial"/>
      <w:i/>
      <w:iCs/>
      <w:sz w:val="22"/>
      <w:szCs w:val="22"/>
    </w:rPr>
  </w:style>
  <w:style w:type="character" w:styleId="800" w:customStyle="1">
    <w:name w:val="标题 9 字符"/>
    <w:link w:val="718"/>
    <w:uiPriority w:val="9"/>
    <w:qFormat/>
    <w:rPr>
      <w:rFonts w:ascii="Arial" w:hAnsi="Arial" w:eastAsia="Arial" w:cs="Arial"/>
      <w:i/>
      <w:iCs/>
      <w:sz w:val="21"/>
      <w:szCs w:val="21"/>
    </w:rPr>
  </w:style>
  <w:style w:type="paragraph" w:styleId="801" w:customStyle="1">
    <w:name w:val="Caption1"/>
    <w:basedOn w:val="709"/>
    <w:next w:val="709"/>
    <w:uiPriority w:val="35"/>
    <w:unhideWhenUsed/>
    <w:qFormat/>
    <w:pPr>
      <w:spacing w:line="276" w:lineRule="auto"/>
    </w:pPr>
    <w:rPr>
      <w:b/>
      <w:bCs/>
      <w:color w:val="4f81bd"/>
      <w:sz w:val="18"/>
      <w:szCs w:val="18"/>
    </w:rPr>
  </w:style>
  <w:style w:type="paragraph" w:styleId="802" w:customStyle="1">
    <w:name w:val="Footer1"/>
    <w:basedOn w:val="709"/>
    <w:link w:val="803"/>
    <w:uiPriority w:val="99"/>
    <w:unhideWhenUsed/>
    <w:qFormat/>
    <w:pPr>
      <w:tabs>
        <w:tab w:val="center" w:pos="7143" w:leader="none"/>
        <w:tab w:val="right" w:pos="14287" w:leader="none"/>
      </w:tabs>
    </w:pPr>
  </w:style>
  <w:style w:type="character" w:styleId="803" w:customStyle="1">
    <w:name w:val="页脚 字符1"/>
    <w:link w:val="802"/>
    <w:uiPriority w:val="99"/>
    <w:qFormat/>
  </w:style>
  <w:style w:type="paragraph" w:styleId="804" w:customStyle="1">
    <w:name w:val="Header1"/>
    <w:basedOn w:val="709"/>
    <w:link w:val="805"/>
    <w:uiPriority w:val="99"/>
    <w:unhideWhenUsed/>
    <w:qFormat/>
    <w:pPr>
      <w:tabs>
        <w:tab w:val="center" w:pos="7143" w:leader="none"/>
        <w:tab w:val="right" w:pos="14287" w:leader="none"/>
      </w:tabs>
    </w:pPr>
  </w:style>
  <w:style w:type="character" w:styleId="805" w:customStyle="1">
    <w:name w:val="页眉 字符1"/>
    <w:basedOn w:val="751"/>
    <w:link w:val="804"/>
    <w:uiPriority w:val="99"/>
    <w:qFormat/>
  </w:style>
  <w:style w:type="character" w:styleId="806" w:customStyle="1">
    <w:name w:val="Header Char"/>
    <w:basedOn w:val="751"/>
    <w:link w:val="709"/>
    <w:uiPriority w:val="99"/>
    <w:qFormat/>
  </w:style>
  <w:style w:type="character" w:styleId="807" w:customStyle="1">
    <w:name w:val="Caption Char"/>
    <w:link w:val="709"/>
    <w:uiPriority w:val="99"/>
    <w:qFormat/>
  </w:style>
  <w:style w:type="table" w:styleId="808" w:customStyle="1">
    <w:name w:val="Plain Table 1"/>
    <w:basedOn w:val="752"/>
    <w:uiPriority w:val="59"/>
    <w:qFormat/>
    <w:pPr>
      <w:spacing w:after="0" w:line="240" w:lineRule="auto"/>
    </w:pPr>
    <w:tblPr/>
  </w:style>
  <w:style w:type="table" w:styleId="809" w:customStyle="1">
    <w:name w:val="Plain Table 2"/>
    <w:basedOn w:val="752"/>
    <w:uiPriority w:val="59"/>
    <w:qFormat/>
    <w:pPr>
      <w:spacing w:after="0" w:line="240" w:lineRule="auto"/>
    </w:pPr>
    <w:tblPr/>
  </w:style>
  <w:style w:type="table" w:styleId="810" w:customStyle="1">
    <w:name w:val="Plain Table 3"/>
    <w:basedOn w:val="752"/>
    <w:uiPriority w:val="99"/>
    <w:qFormat/>
    <w:pPr>
      <w:spacing w:after="0" w:line="240" w:lineRule="auto"/>
    </w:pPr>
    <w:tblPr/>
  </w:style>
  <w:style w:type="table" w:styleId="811" w:customStyle="1">
    <w:name w:val="Plain Table 4"/>
    <w:basedOn w:val="752"/>
    <w:uiPriority w:val="99"/>
    <w:qFormat/>
    <w:pPr>
      <w:spacing w:after="0" w:line="240" w:lineRule="auto"/>
    </w:pPr>
    <w:tblPr/>
  </w:style>
  <w:style w:type="table" w:styleId="812" w:customStyle="1">
    <w:name w:val="Plain Table 5"/>
    <w:basedOn w:val="752"/>
    <w:uiPriority w:val="99"/>
    <w:qFormat/>
    <w:pPr>
      <w:spacing w:after="0" w:line="240" w:lineRule="auto"/>
    </w:pPr>
    <w:tblPr/>
  </w:style>
  <w:style w:type="table" w:styleId="813" w:customStyle="1">
    <w:name w:val="Grid Table 1 Light"/>
    <w:basedOn w:val="752"/>
    <w:uiPriority w:val="99"/>
    <w:qFormat/>
    <w:pPr>
      <w:spacing w:after="0" w:line="240" w:lineRule="auto"/>
    </w:pPr>
    <w:tblPr/>
  </w:style>
  <w:style w:type="table" w:styleId="814" w:customStyle="1">
    <w:name w:val="Grid Table 2"/>
    <w:basedOn w:val="752"/>
    <w:uiPriority w:val="99"/>
    <w:qFormat/>
    <w:pPr>
      <w:spacing w:after="0" w:line="240" w:lineRule="auto"/>
    </w:pPr>
    <w:tblPr/>
  </w:style>
  <w:style w:type="table" w:styleId="815" w:customStyle="1">
    <w:name w:val="Grid Table 3"/>
    <w:basedOn w:val="752"/>
    <w:uiPriority w:val="99"/>
    <w:qFormat/>
    <w:pPr>
      <w:spacing w:after="0" w:line="240" w:lineRule="auto"/>
    </w:pPr>
    <w:tblPr/>
  </w:style>
  <w:style w:type="table" w:styleId="816" w:customStyle="1">
    <w:name w:val="Grid Table 4"/>
    <w:basedOn w:val="752"/>
    <w:uiPriority w:val="59"/>
    <w:qFormat/>
    <w:pPr>
      <w:spacing w:after="0" w:line="240" w:lineRule="auto"/>
    </w:pPr>
    <w:tblPr/>
  </w:style>
  <w:style w:type="table" w:styleId="817" w:customStyle="1">
    <w:name w:val="Grid Table 5 Dark"/>
    <w:basedOn w:val="752"/>
    <w:uiPriority w:val="99"/>
    <w:qFormat/>
    <w:pPr>
      <w:spacing w:after="0" w:line="240" w:lineRule="auto"/>
    </w:pPr>
    <w:tblPr/>
  </w:style>
  <w:style w:type="table" w:styleId="818" w:customStyle="1">
    <w:name w:val="Grid Table 6 Colorful"/>
    <w:basedOn w:val="752"/>
    <w:uiPriority w:val="99"/>
    <w:qFormat/>
    <w:pPr>
      <w:spacing w:after="0" w:line="240" w:lineRule="auto"/>
    </w:pPr>
    <w:tblPr/>
  </w:style>
  <w:style w:type="table" w:styleId="819" w:customStyle="1">
    <w:name w:val="Grid Table 7 Colorful"/>
    <w:basedOn w:val="752"/>
    <w:uiPriority w:val="99"/>
    <w:qFormat/>
    <w:pPr>
      <w:spacing w:after="0" w:line="240" w:lineRule="auto"/>
    </w:pPr>
    <w:tblPr/>
  </w:style>
  <w:style w:type="table" w:styleId="820" w:customStyle="1">
    <w:name w:val="List Table 1 Light"/>
    <w:basedOn w:val="752"/>
    <w:uiPriority w:val="99"/>
    <w:qFormat/>
    <w:pPr>
      <w:spacing w:after="0" w:line="240" w:lineRule="auto"/>
    </w:pPr>
    <w:tblPr/>
  </w:style>
  <w:style w:type="table" w:styleId="821" w:customStyle="1">
    <w:name w:val="List Table 2"/>
    <w:basedOn w:val="752"/>
    <w:uiPriority w:val="99"/>
    <w:qFormat/>
    <w:pPr>
      <w:spacing w:after="0" w:line="240" w:lineRule="auto"/>
    </w:pPr>
    <w:tblPr/>
  </w:style>
  <w:style w:type="table" w:styleId="822" w:customStyle="1">
    <w:name w:val="List Table 3"/>
    <w:basedOn w:val="752"/>
    <w:uiPriority w:val="99"/>
    <w:qFormat/>
    <w:pPr>
      <w:spacing w:after="0" w:line="240" w:lineRule="auto"/>
    </w:pPr>
    <w:tblPr/>
  </w:style>
  <w:style w:type="table" w:styleId="823" w:customStyle="1">
    <w:name w:val="List Table 4"/>
    <w:basedOn w:val="752"/>
    <w:uiPriority w:val="99"/>
    <w:qFormat/>
    <w:pPr>
      <w:spacing w:after="0" w:line="240" w:lineRule="auto"/>
    </w:pPr>
    <w:tblPr/>
  </w:style>
  <w:style w:type="table" w:styleId="824" w:customStyle="1">
    <w:name w:val="List Table 5 Dark"/>
    <w:basedOn w:val="752"/>
    <w:uiPriority w:val="99"/>
    <w:qFormat/>
    <w:pPr>
      <w:spacing w:after="0" w:line="240" w:lineRule="auto"/>
    </w:pPr>
    <w:tblPr/>
  </w:style>
  <w:style w:type="table" w:styleId="825" w:customStyle="1">
    <w:name w:val="List Table 6 Colorful"/>
    <w:basedOn w:val="752"/>
    <w:uiPriority w:val="99"/>
    <w:qFormat/>
    <w:pPr>
      <w:spacing w:after="0" w:line="240" w:lineRule="auto"/>
    </w:pPr>
    <w:tblPr/>
  </w:style>
  <w:style w:type="table" w:styleId="826" w:customStyle="1">
    <w:name w:val="List Table 7 Colorful"/>
    <w:basedOn w:val="752"/>
    <w:uiPriority w:val="99"/>
    <w:qFormat/>
    <w:pPr>
      <w:spacing w:after="0" w:line="240" w:lineRule="auto"/>
    </w:pPr>
    <w:tblPr/>
  </w:style>
  <w:style w:type="paragraph" w:styleId="827" w:customStyle="1">
    <w:name w:val="TOC Heading"/>
    <w:uiPriority w:val="39"/>
    <w:unhideWhenUsed/>
    <w:qFormat/>
    <w:rPr>
      <w:rFonts w:hint="default" w:ascii="Times New Roman" w:hAnsi="Times New Roman" w:eastAsia="宋体" w:cs="Times New Roman"/>
    </w:rPr>
  </w:style>
  <w:style w:type="paragraph" w:styleId="828" w:customStyle="1">
    <w:name w:val="正文首行缩进 211"/>
    <w:basedOn w:val="749"/>
    <w:uiPriority w:val="0"/>
    <w:qFormat/>
    <w:pPr>
      <w:ind w:left="200" w:firstLine="420"/>
      <w:spacing w:after="120"/>
    </w:pPr>
    <w:rPr>
      <w:rFonts w:ascii="Calibri" w:hAnsi="Calibri"/>
    </w:rPr>
  </w:style>
  <w:style w:type="paragraph" w:styleId="829" w:customStyle="1">
    <w:name w:val="目录 71"/>
    <w:basedOn w:val="709"/>
    <w:next w:val="709"/>
    <w:uiPriority w:val="39"/>
    <w:unhideWhenUsed/>
    <w:qFormat/>
    <w:pPr>
      <w:ind w:left="1701"/>
      <w:spacing w:after="57"/>
    </w:pPr>
  </w:style>
  <w:style w:type="paragraph" w:styleId="830" w:customStyle="1">
    <w:name w:val="目录 31"/>
    <w:basedOn w:val="709"/>
    <w:next w:val="709"/>
    <w:uiPriority w:val="39"/>
    <w:unhideWhenUsed/>
    <w:qFormat/>
    <w:pPr>
      <w:ind w:left="567"/>
      <w:spacing w:after="57"/>
    </w:pPr>
  </w:style>
  <w:style w:type="paragraph" w:styleId="831" w:customStyle="1">
    <w:name w:val="目录 81"/>
    <w:basedOn w:val="709"/>
    <w:next w:val="709"/>
    <w:uiPriority w:val="39"/>
    <w:unhideWhenUsed/>
    <w:qFormat/>
    <w:pPr>
      <w:ind w:left="1984"/>
      <w:spacing w:after="57"/>
    </w:pPr>
  </w:style>
  <w:style w:type="paragraph" w:styleId="832" w:customStyle="1">
    <w:name w:val="目录 11"/>
    <w:basedOn w:val="709"/>
    <w:next w:val="709"/>
    <w:uiPriority w:val="39"/>
    <w:unhideWhenUsed/>
    <w:qFormat/>
    <w:pPr>
      <w:spacing w:after="57"/>
    </w:pPr>
  </w:style>
  <w:style w:type="paragraph" w:styleId="833" w:customStyle="1">
    <w:name w:val="目录 41"/>
    <w:basedOn w:val="709"/>
    <w:next w:val="709"/>
    <w:uiPriority w:val="39"/>
    <w:unhideWhenUsed/>
    <w:qFormat/>
    <w:pPr>
      <w:ind w:left="850"/>
      <w:spacing w:after="57"/>
    </w:pPr>
  </w:style>
  <w:style w:type="paragraph" w:styleId="834" w:customStyle="1">
    <w:name w:val="目录 61"/>
    <w:basedOn w:val="709"/>
    <w:next w:val="709"/>
    <w:uiPriority w:val="39"/>
    <w:unhideWhenUsed/>
    <w:qFormat/>
    <w:pPr>
      <w:ind w:left="1417"/>
      <w:spacing w:after="57"/>
    </w:pPr>
  </w:style>
  <w:style w:type="paragraph" w:styleId="835" w:customStyle="1">
    <w:name w:val="目录 211"/>
    <w:basedOn w:val="709"/>
    <w:next w:val="709"/>
    <w:uiPriority w:val="39"/>
    <w:unhideWhenUsed/>
    <w:qFormat/>
    <w:pPr>
      <w:ind w:left="283"/>
      <w:spacing w:after="57"/>
    </w:pPr>
  </w:style>
  <w:style w:type="paragraph" w:styleId="836" w:customStyle="1">
    <w:name w:val="目录 91"/>
    <w:basedOn w:val="709"/>
    <w:next w:val="709"/>
    <w:uiPriority w:val="39"/>
    <w:unhideWhenUsed/>
    <w:qFormat/>
    <w:pPr>
      <w:ind w:left="2268"/>
      <w:spacing w:after="57"/>
    </w:pPr>
  </w:style>
  <w:style w:type="character" w:styleId="837" w:customStyle="1">
    <w:name w:val="已访问的超链接11"/>
    <w:link w:val="709"/>
    <w:uiPriority w:val="99"/>
    <w:unhideWhenUsed/>
    <w:qFormat/>
    <w:rPr>
      <w:color w:val="333333"/>
      <w:u w:val="none"/>
    </w:rPr>
  </w:style>
  <w:style w:type="paragraph" w:styleId="838" w:customStyle="1">
    <w:name w:val="Caption11"/>
    <w:basedOn w:val="709"/>
    <w:next w:val="709"/>
    <w:uiPriority w:val="35"/>
    <w:unhideWhenUsed/>
    <w:qFormat/>
    <w:pPr>
      <w:spacing w:line="276" w:lineRule="auto"/>
    </w:pPr>
    <w:rPr>
      <w:b/>
      <w:bCs/>
      <w:color w:val="4f81bd"/>
      <w:sz w:val="18"/>
      <w:szCs w:val="18"/>
    </w:rPr>
  </w:style>
  <w:style w:type="paragraph" w:styleId="839" w:customStyle="1">
    <w:name w:val="Footer11"/>
    <w:basedOn w:val="709"/>
    <w:link w:val="840"/>
    <w:uiPriority w:val="99"/>
    <w:unhideWhenUsed/>
    <w:qFormat/>
    <w:pPr>
      <w:tabs>
        <w:tab w:val="center" w:pos="7143" w:leader="none"/>
        <w:tab w:val="right" w:pos="14287" w:leader="none"/>
      </w:tabs>
    </w:pPr>
  </w:style>
  <w:style w:type="character" w:styleId="840" w:customStyle="1">
    <w:name w:val="页脚 字符"/>
    <w:link w:val="839"/>
    <w:uiPriority w:val="99"/>
    <w:qFormat/>
  </w:style>
  <w:style w:type="paragraph" w:styleId="841" w:customStyle="1">
    <w:name w:val="Header11"/>
    <w:basedOn w:val="709"/>
    <w:link w:val="842"/>
    <w:uiPriority w:val="99"/>
    <w:unhideWhenUsed/>
    <w:qFormat/>
    <w:pPr>
      <w:tabs>
        <w:tab w:val="center" w:pos="7143" w:leader="none"/>
        <w:tab w:val="right" w:pos="14287" w:leader="none"/>
      </w:tabs>
    </w:pPr>
  </w:style>
  <w:style w:type="character" w:styleId="842" w:customStyle="1">
    <w:name w:val="页眉 字符"/>
    <w:link w:val="841"/>
    <w:uiPriority w:val="99"/>
    <w:qFormat/>
  </w:style>
  <w:style w:type="paragraph" w:styleId="843" w:customStyle="1">
    <w:name w:val="正文文本11"/>
    <w:basedOn w:val="709"/>
    <w:uiPriority w:val="0"/>
    <w:qFormat/>
    <w:pPr>
      <w:spacing w:after="120"/>
    </w:pPr>
  </w:style>
  <w:style w:type="paragraph" w:styleId="844" w:customStyle="1">
    <w:name w:val="段"/>
    <w:next w:val="709"/>
    <w:uiPriority w:val="0"/>
    <w:qFormat/>
    <w:pPr>
      <w:ind w:firstLine="200"/>
      <w:jc w:val="both"/>
    </w:pPr>
    <w:rPr>
      <w:rFonts w:hint="default" w:ascii="宋体" w:hAnsi="Times New Roman" w:eastAsia="宋体" w:cs="Times New Roman"/>
      <w:sz w:val="21"/>
    </w:rPr>
  </w:style>
  <w:style w:type="table" w:styleId="845" w:customStyle="1">
    <w:name w:val="无格式表格 11"/>
    <w:basedOn w:val="752"/>
    <w:uiPriority w:val="59"/>
    <w:qFormat/>
    <w:tblPr/>
  </w:style>
  <w:style w:type="table" w:styleId="846" w:customStyle="1">
    <w:name w:val="无格式表格 21"/>
    <w:basedOn w:val="752"/>
    <w:uiPriority w:val="59"/>
    <w:qFormat/>
    <w:tblPr/>
  </w:style>
  <w:style w:type="table" w:styleId="847" w:customStyle="1">
    <w:name w:val="无格式表格 31"/>
    <w:basedOn w:val="752"/>
    <w:uiPriority w:val="99"/>
    <w:qFormat/>
    <w:tblPr/>
  </w:style>
  <w:style w:type="table" w:styleId="848" w:customStyle="1">
    <w:name w:val="无格式表格 41"/>
    <w:basedOn w:val="752"/>
    <w:uiPriority w:val="99"/>
    <w:qFormat/>
    <w:tblPr/>
  </w:style>
  <w:style w:type="table" w:styleId="849" w:customStyle="1">
    <w:name w:val="无格式表格 51"/>
    <w:basedOn w:val="752"/>
    <w:uiPriority w:val="99"/>
    <w:qFormat/>
    <w:tblPr/>
  </w:style>
  <w:style w:type="table" w:styleId="850" w:customStyle="1">
    <w:name w:val="网格表 1 浅色1"/>
    <w:basedOn w:val="752"/>
    <w:uiPriority w:val="99"/>
    <w:qFormat/>
    <w:tblPr/>
  </w:style>
  <w:style w:type="table" w:styleId="851" w:customStyle="1">
    <w:name w:val="网格表 21"/>
    <w:basedOn w:val="752"/>
    <w:uiPriority w:val="99"/>
    <w:qFormat/>
    <w:tblPr/>
  </w:style>
  <w:style w:type="table" w:styleId="852" w:customStyle="1">
    <w:name w:val="网格表 31"/>
    <w:basedOn w:val="752"/>
    <w:uiPriority w:val="99"/>
    <w:qFormat/>
    <w:tblPr/>
  </w:style>
  <w:style w:type="table" w:styleId="853" w:customStyle="1">
    <w:name w:val="网格表 41"/>
    <w:basedOn w:val="752"/>
    <w:uiPriority w:val="59"/>
    <w:qFormat/>
    <w:tblPr/>
  </w:style>
  <w:style w:type="table" w:styleId="854" w:customStyle="1">
    <w:name w:val="网格表 5 深色1"/>
    <w:basedOn w:val="752"/>
    <w:uiPriority w:val="99"/>
    <w:qFormat/>
    <w:tblPr/>
  </w:style>
  <w:style w:type="table" w:styleId="855" w:customStyle="1">
    <w:name w:val="网格表 6 彩色1"/>
    <w:basedOn w:val="752"/>
    <w:uiPriority w:val="99"/>
    <w:qFormat/>
    <w:tblPr/>
  </w:style>
  <w:style w:type="table" w:styleId="856" w:customStyle="1">
    <w:name w:val="网格表 7 彩色1"/>
    <w:basedOn w:val="752"/>
    <w:uiPriority w:val="99"/>
    <w:qFormat/>
    <w:tblPr/>
  </w:style>
  <w:style w:type="table" w:styleId="857" w:customStyle="1">
    <w:name w:val="清单表 1 浅色1"/>
    <w:basedOn w:val="752"/>
    <w:uiPriority w:val="99"/>
    <w:qFormat/>
    <w:tblPr/>
  </w:style>
  <w:style w:type="table" w:styleId="858" w:customStyle="1">
    <w:name w:val="清单表 21"/>
    <w:basedOn w:val="752"/>
    <w:uiPriority w:val="99"/>
    <w:qFormat/>
    <w:tblPr/>
  </w:style>
  <w:style w:type="table" w:styleId="859" w:customStyle="1">
    <w:name w:val="清单表 31"/>
    <w:basedOn w:val="752"/>
    <w:uiPriority w:val="99"/>
    <w:qFormat/>
    <w:tblPr/>
  </w:style>
  <w:style w:type="table" w:styleId="860" w:customStyle="1">
    <w:name w:val="清单表 41"/>
    <w:basedOn w:val="752"/>
    <w:uiPriority w:val="99"/>
    <w:qFormat/>
    <w:tblPr/>
  </w:style>
  <w:style w:type="table" w:styleId="861" w:customStyle="1">
    <w:name w:val="清单表 5 深色1"/>
    <w:basedOn w:val="752"/>
    <w:uiPriority w:val="99"/>
    <w:qFormat/>
    <w:tblPr/>
  </w:style>
  <w:style w:type="table" w:styleId="862" w:customStyle="1">
    <w:name w:val="清单表 6 彩色1"/>
    <w:basedOn w:val="752"/>
    <w:uiPriority w:val="99"/>
    <w:qFormat/>
    <w:tblPr/>
  </w:style>
  <w:style w:type="table" w:styleId="863" w:customStyle="1">
    <w:name w:val="清单表 7 彩色1"/>
    <w:basedOn w:val="752"/>
    <w:uiPriority w:val="99"/>
    <w:qFormat/>
    <w:tblPr/>
  </w:style>
  <w:style w:type="paragraph" w:styleId="864" w:customStyle="1">
    <w:name w:val="TOC 标题1"/>
    <w:uiPriority w:val="39"/>
    <w:unhideWhenUsed/>
    <w:qFormat/>
    <w:rPr>
      <w:rFonts w:hint="default" w:ascii="Times New Roman" w:hAnsi="Times New Roman" w:eastAsia="宋体" w:cs="Times New Roman"/>
    </w:rPr>
  </w:style>
  <w:style w:type="paragraph" w:styleId="865" w:customStyle="1">
    <w:name w:val="正文1"/>
    <w:basedOn w:val="709"/>
    <w:next w:val="709"/>
    <w:uiPriority w:val="0"/>
    <w:qFormat/>
    <w:pPr>
      <w:ind w:left="420" w:firstLine="527"/>
      <w:spacing w:before="120" w:line="360" w:lineRule="auto"/>
    </w:pPr>
    <w:rPr>
      <w:rFonts w:ascii="宋体" w:hAnsi="宋体"/>
      <w:szCs w:val="20"/>
    </w:rPr>
  </w:style>
  <w:style w:type="character" w:styleId="866" w:customStyle="1">
    <w:name w:val="Heading 1 Char"/>
    <w:link w:val="709"/>
    <w:uiPriority w:val="9"/>
    <w:qFormat/>
    <w:rPr>
      <w:rFonts w:ascii="Arial" w:hAnsi="Arial" w:eastAsia="Arial" w:cs="Arial"/>
      <w:sz w:val="40"/>
      <w:szCs w:val="40"/>
    </w:rPr>
  </w:style>
  <w:style w:type="character" w:styleId="867" w:customStyle="1">
    <w:name w:val="Heading 2 Char"/>
    <w:link w:val="709"/>
    <w:uiPriority w:val="9"/>
    <w:qFormat/>
    <w:rPr>
      <w:rFonts w:ascii="Arial" w:hAnsi="Arial" w:eastAsia="Arial" w:cs="Arial"/>
      <w:sz w:val="34"/>
    </w:rPr>
  </w:style>
  <w:style w:type="character" w:styleId="868" w:customStyle="1">
    <w:name w:val="Heading 3 Char"/>
    <w:link w:val="709"/>
    <w:uiPriority w:val="9"/>
    <w:qFormat/>
    <w:rPr>
      <w:rFonts w:ascii="Arial" w:hAnsi="Arial" w:eastAsia="Arial" w:cs="Arial"/>
      <w:sz w:val="30"/>
      <w:szCs w:val="30"/>
    </w:rPr>
  </w:style>
  <w:style w:type="character" w:styleId="869" w:customStyle="1">
    <w:name w:val="Heading 4 Char"/>
    <w:link w:val="709"/>
    <w:uiPriority w:val="9"/>
    <w:qFormat/>
    <w:rPr>
      <w:rFonts w:ascii="Arial" w:hAnsi="Arial" w:eastAsia="Arial" w:cs="Arial"/>
      <w:b/>
      <w:bCs/>
      <w:sz w:val="26"/>
      <w:szCs w:val="26"/>
    </w:rPr>
  </w:style>
  <w:style w:type="character" w:styleId="870" w:customStyle="1">
    <w:name w:val="Heading 5 Char"/>
    <w:link w:val="709"/>
    <w:uiPriority w:val="9"/>
    <w:qFormat/>
    <w:rPr>
      <w:rFonts w:ascii="Arial" w:hAnsi="Arial" w:eastAsia="Arial" w:cs="Arial"/>
      <w:b/>
      <w:bCs/>
      <w:sz w:val="24"/>
      <w:szCs w:val="24"/>
    </w:rPr>
  </w:style>
  <w:style w:type="character" w:styleId="871" w:customStyle="1">
    <w:name w:val="Heading 6 Char"/>
    <w:link w:val="709"/>
    <w:uiPriority w:val="9"/>
    <w:qFormat/>
    <w:rPr>
      <w:rFonts w:ascii="Arial" w:hAnsi="Arial" w:eastAsia="Arial" w:cs="Arial"/>
      <w:b/>
      <w:bCs/>
      <w:sz w:val="22"/>
      <w:szCs w:val="22"/>
    </w:rPr>
  </w:style>
  <w:style w:type="character" w:styleId="872" w:customStyle="1">
    <w:name w:val="Heading 7 Char"/>
    <w:link w:val="709"/>
    <w:uiPriority w:val="9"/>
    <w:qFormat/>
    <w:rPr>
      <w:rFonts w:ascii="Arial" w:hAnsi="Arial" w:eastAsia="Arial" w:cs="Arial"/>
      <w:b/>
      <w:bCs/>
      <w:i/>
      <w:iCs/>
      <w:sz w:val="22"/>
      <w:szCs w:val="22"/>
    </w:rPr>
  </w:style>
  <w:style w:type="character" w:styleId="873" w:customStyle="1">
    <w:name w:val="Heading 8 Char"/>
    <w:link w:val="709"/>
    <w:uiPriority w:val="9"/>
    <w:qFormat/>
    <w:rPr>
      <w:rFonts w:ascii="Arial" w:hAnsi="Arial" w:eastAsia="Arial" w:cs="Arial"/>
      <w:i/>
      <w:iCs/>
      <w:sz w:val="22"/>
      <w:szCs w:val="22"/>
    </w:rPr>
  </w:style>
  <w:style w:type="character" w:styleId="874" w:customStyle="1">
    <w:name w:val="Heading 9 Char"/>
    <w:link w:val="709"/>
    <w:uiPriority w:val="9"/>
    <w:qFormat/>
    <w:rPr>
      <w:rFonts w:ascii="Arial" w:hAnsi="Arial" w:eastAsia="Arial" w:cs="Arial"/>
      <w:i/>
      <w:iCs/>
      <w:sz w:val="21"/>
      <w:szCs w:val="21"/>
    </w:rPr>
  </w:style>
  <w:style w:type="character" w:styleId="875" w:customStyle="1">
    <w:name w:val="Title Char"/>
    <w:link w:val="709"/>
    <w:uiPriority w:val="10"/>
    <w:qFormat/>
    <w:rPr>
      <w:sz w:val="48"/>
      <w:szCs w:val="48"/>
    </w:rPr>
  </w:style>
  <w:style w:type="character" w:styleId="876" w:customStyle="1">
    <w:name w:val="Subtitle Char"/>
    <w:link w:val="709"/>
    <w:uiPriority w:val="11"/>
    <w:qFormat/>
    <w:rPr>
      <w:sz w:val="24"/>
      <w:szCs w:val="24"/>
    </w:rPr>
  </w:style>
  <w:style w:type="character" w:styleId="877" w:customStyle="1">
    <w:name w:val="Quote Char"/>
    <w:link w:val="709"/>
    <w:uiPriority w:val="29"/>
    <w:qFormat/>
    <w:rPr>
      <w:i/>
    </w:rPr>
  </w:style>
  <w:style w:type="character" w:styleId="878" w:customStyle="1">
    <w:name w:val="Intense Quote Char"/>
    <w:link w:val="709"/>
    <w:uiPriority w:val="30"/>
    <w:qFormat/>
    <w:rPr>
      <w:i/>
    </w:rPr>
  </w:style>
  <w:style w:type="character" w:styleId="879" w:customStyle="1">
    <w:name w:val="Footnote Text Char"/>
    <w:link w:val="709"/>
    <w:uiPriority w:val="99"/>
    <w:qFormat/>
    <w:rPr>
      <w:sz w:val="18"/>
    </w:rPr>
  </w:style>
  <w:style w:type="character" w:styleId="880" w:customStyle="1">
    <w:name w:val="Endnote Text Char"/>
    <w:link w:val="709"/>
    <w:uiPriority w:val="99"/>
    <w:qFormat/>
    <w:rPr>
      <w:sz w:val="20"/>
    </w:rPr>
  </w:style>
  <w:style w:type="paragraph" w:styleId="881" w:customStyle="1">
    <w:name w:val="TOC 标题111"/>
    <w:uiPriority w:val="39"/>
    <w:unhideWhenUsed/>
    <w:qFormat/>
    <w:rPr>
      <w:rFonts w:hint="default" w:ascii="Times New Roman" w:hAnsi="Times New Roman" w:eastAsia="宋体" w:cs="Times New Roman"/>
    </w:rPr>
  </w:style>
  <w:style w:type="paragraph" w:styleId="882">
    <w:name w:val="List Paragraph"/>
    <w:basedOn w:val="709"/>
    <w:uiPriority w:val="34"/>
    <w:qFormat/>
    <w:pPr>
      <w:contextualSpacing/>
      <w:ind w:left="720"/>
    </w:pPr>
  </w:style>
  <w:style w:type="paragraph" w:styleId="883">
    <w:name w:val="No Spacing"/>
    <w:uiPriority w:val="1"/>
    <w:qFormat/>
    <w:rPr>
      <w:rFonts w:hint="default" w:ascii="Times New Roman" w:hAnsi="Times New Roman" w:eastAsia="宋体" w:cs="Times New Roman"/>
    </w:rPr>
  </w:style>
  <w:style w:type="paragraph" w:styleId="884">
    <w:name w:val="Quote"/>
    <w:basedOn w:val="709"/>
    <w:next w:val="709"/>
    <w:link w:val="885"/>
    <w:uiPriority w:val="29"/>
    <w:qFormat/>
    <w:pPr>
      <w:ind w:left="720" w:right="720"/>
    </w:pPr>
    <w:rPr>
      <w:i/>
    </w:rPr>
  </w:style>
  <w:style w:type="character" w:styleId="885" w:customStyle="1">
    <w:name w:val="引用 字符"/>
    <w:link w:val="884"/>
    <w:uiPriority w:val="29"/>
    <w:qFormat/>
    <w:rPr>
      <w:i/>
    </w:rPr>
  </w:style>
  <w:style w:type="paragraph" w:styleId="886">
    <w:name w:val="Intense Quote"/>
    <w:basedOn w:val="709"/>
    <w:next w:val="709"/>
    <w:link w:val="8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7" w:customStyle="1">
    <w:name w:val="明显引用 字符"/>
    <w:link w:val="886"/>
    <w:uiPriority w:val="30"/>
    <w:qFormat/>
    <w:rPr>
      <w:i/>
    </w:rPr>
  </w:style>
  <w:style w:type="character" w:styleId="888" w:customStyle="1">
    <w:name w:val="Footer Char"/>
    <w:link w:val="709"/>
    <w:uiPriority w:val="99"/>
    <w:qFormat/>
  </w:style>
  <w:style w:type="table" w:styleId="889" w:customStyle="1">
    <w:name w:val="Table Grid Light"/>
    <w:uiPriority w:val="59"/>
    <w:qFormat/>
    <w:tblPr/>
  </w:style>
  <w:style w:type="table" w:styleId="890" w:customStyle="1">
    <w:name w:val="Grid Table 1 Light - Accent 1"/>
    <w:uiPriority w:val="99"/>
    <w:qFormat/>
    <w:tblPr/>
  </w:style>
  <w:style w:type="table" w:styleId="891" w:customStyle="1">
    <w:name w:val="Grid Table 1 Light - Accent 2"/>
    <w:uiPriority w:val="99"/>
    <w:qFormat/>
    <w:tblPr/>
  </w:style>
  <w:style w:type="table" w:styleId="892" w:customStyle="1">
    <w:name w:val="Grid Table 1 Light - Accent 3"/>
    <w:uiPriority w:val="99"/>
    <w:qFormat/>
    <w:tblPr/>
  </w:style>
  <w:style w:type="table" w:styleId="893" w:customStyle="1">
    <w:name w:val="Grid Table 1 Light - Accent 4"/>
    <w:uiPriority w:val="99"/>
    <w:qFormat/>
    <w:tblPr/>
  </w:style>
  <w:style w:type="table" w:styleId="894" w:customStyle="1">
    <w:name w:val="Grid Table 1 Light - Accent 5"/>
    <w:uiPriority w:val="99"/>
    <w:qFormat/>
    <w:tblPr/>
  </w:style>
  <w:style w:type="table" w:styleId="895" w:customStyle="1">
    <w:name w:val="Grid Table 1 Light - Accent 6"/>
    <w:uiPriority w:val="99"/>
    <w:qFormat/>
    <w:tblPr/>
  </w:style>
  <w:style w:type="table" w:styleId="896" w:customStyle="1">
    <w:name w:val="Grid Table 2 - Accent 1"/>
    <w:uiPriority w:val="99"/>
    <w:qFormat/>
    <w:tblPr/>
  </w:style>
  <w:style w:type="table" w:styleId="897" w:customStyle="1">
    <w:name w:val="Grid Table 2 - Accent 2"/>
    <w:uiPriority w:val="99"/>
    <w:qFormat/>
    <w:tblPr/>
  </w:style>
  <w:style w:type="table" w:styleId="898" w:customStyle="1">
    <w:name w:val="Grid Table 2 - Accent 3"/>
    <w:uiPriority w:val="99"/>
    <w:qFormat/>
    <w:tblPr/>
  </w:style>
  <w:style w:type="table" w:styleId="899" w:customStyle="1">
    <w:name w:val="Grid Table 2 - Accent 4"/>
    <w:uiPriority w:val="99"/>
    <w:qFormat/>
    <w:tblPr/>
  </w:style>
  <w:style w:type="table" w:styleId="900" w:customStyle="1">
    <w:name w:val="Grid Table 2 - Accent 5"/>
    <w:uiPriority w:val="99"/>
    <w:qFormat/>
    <w:tblPr/>
  </w:style>
  <w:style w:type="table" w:styleId="901" w:customStyle="1">
    <w:name w:val="Grid Table 2 - Accent 6"/>
    <w:uiPriority w:val="99"/>
    <w:qFormat/>
    <w:tblPr/>
  </w:style>
  <w:style w:type="table" w:styleId="902" w:customStyle="1">
    <w:name w:val="Grid Table 3 - Accent 1"/>
    <w:uiPriority w:val="99"/>
    <w:qFormat/>
    <w:tblPr/>
  </w:style>
  <w:style w:type="table" w:styleId="903" w:customStyle="1">
    <w:name w:val="Grid Table 3 - Accent 2"/>
    <w:uiPriority w:val="99"/>
    <w:qFormat/>
    <w:tblPr/>
  </w:style>
  <w:style w:type="table" w:styleId="904" w:customStyle="1">
    <w:name w:val="Grid Table 3 - Accent 3"/>
    <w:uiPriority w:val="99"/>
    <w:qFormat/>
    <w:tblPr/>
  </w:style>
  <w:style w:type="table" w:styleId="905" w:customStyle="1">
    <w:name w:val="Grid Table 3 - Accent 4"/>
    <w:uiPriority w:val="99"/>
    <w:qFormat/>
    <w:tblPr/>
  </w:style>
  <w:style w:type="table" w:styleId="906" w:customStyle="1">
    <w:name w:val="Grid Table 3 - Accent 5"/>
    <w:uiPriority w:val="99"/>
    <w:qFormat/>
    <w:tblPr/>
  </w:style>
  <w:style w:type="table" w:styleId="907" w:customStyle="1">
    <w:name w:val="Grid Table 3 - Accent 6"/>
    <w:uiPriority w:val="99"/>
    <w:qFormat/>
    <w:tblPr/>
  </w:style>
  <w:style w:type="table" w:styleId="908" w:customStyle="1">
    <w:name w:val="Grid Table 4 - Accent 1"/>
    <w:uiPriority w:val="59"/>
    <w:qFormat/>
    <w:tblPr/>
  </w:style>
  <w:style w:type="table" w:styleId="909" w:customStyle="1">
    <w:name w:val="Grid Table 4 - Accent 2"/>
    <w:uiPriority w:val="59"/>
    <w:qFormat/>
    <w:tblPr/>
  </w:style>
  <w:style w:type="table" w:styleId="910" w:customStyle="1">
    <w:name w:val="Grid Table 4 - Accent 3"/>
    <w:uiPriority w:val="59"/>
    <w:qFormat/>
    <w:tblPr/>
  </w:style>
  <w:style w:type="table" w:styleId="911" w:customStyle="1">
    <w:name w:val="Grid Table 4 - Accent 4"/>
    <w:uiPriority w:val="59"/>
    <w:qFormat/>
    <w:tblPr/>
  </w:style>
  <w:style w:type="table" w:styleId="912" w:customStyle="1">
    <w:name w:val="Grid Table 4 - Accent 5"/>
    <w:uiPriority w:val="59"/>
    <w:qFormat/>
    <w:tblPr/>
  </w:style>
  <w:style w:type="table" w:styleId="913" w:customStyle="1">
    <w:name w:val="Grid Table 4 - Accent 6"/>
    <w:uiPriority w:val="59"/>
    <w:qFormat/>
    <w:tblPr/>
  </w:style>
  <w:style w:type="table" w:styleId="914" w:customStyle="1">
    <w:name w:val="Grid Table 5 Dark- Accent 1"/>
    <w:uiPriority w:val="99"/>
    <w:qFormat/>
    <w:tblPr/>
  </w:style>
  <w:style w:type="table" w:styleId="915" w:customStyle="1">
    <w:name w:val="Grid Table 5 Dark - Accent 2"/>
    <w:uiPriority w:val="99"/>
    <w:qFormat/>
    <w:tblPr/>
  </w:style>
  <w:style w:type="table" w:styleId="916" w:customStyle="1">
    <w:name w:val="Grid Table 5 Dark - Accent 3"/>
    <w:uiPriority w:val="99"/>
    <w:qFormat/>
    <w:tblPr/>
  </w:style>
  <w:style w:type="table" w:styleId="917" w:customStyle="1">
    <w:name w:val="Grid Table 5 Dark- Accent 4"/>
    <w:uiPriority w:val="99"/>
    <w:qFormat/>
    <w:tblPr/>
  </w:style>
  <w:style w:type="table" w:styleId="918" w:customStyle="1">
    <w:name w:val="Grid Table 5 Dark - Accent 5"/>
    <w:uiPriority w:val="99"/>
    <w:qFormat/>
    <w:tblPr/>
  </w:style>
  <w:style w:type="table" w:styleId="919" w:customStyle="1">
    <w:name w:val="Grid Table 5 Dark - Accent 6"/>
    <w:uiPriority w:val="99"/>
    <w:qFormat/>
    <w:tblPr/>
  </w:style>
  <w:style w:type="table" w:styleId="920" w:customStyle="1">
    <w:name w:val="Grid Table 6 Colorful - Accent 1"/>
    <w:uiPriority w:val="99"/>
    <w:qFormat/>
    <w:tblPr/>
  </w:style>
  <w:style w:type="table" w:styleId="921" w:customStyle="1">
    <w:name w:val="Grid Table 6 Colorful - Accent 2"/>
    <w:uiPriority w:val="99"/>
    <w:qFormat/>
    <w:tblPr/>
  </w:style>
  <w:style w:type="table" w:styleId="922" w:customStyle="1">
    <w:name w:val="Grid Table 6 Colorful - Accent 3"/>
    <w:uiPriority w:val="99"/>
    <w:qFormat/>
    <w:tblPr/>
  </w:style>
  <w:style w:type="table" w:styleId="923" w:customStyle="1">
    <w:name w:val="Grid Table 6 Colorful - Accent 4"/>
    <w:uiPriority w:val="99"/>
    <w:qFormat/>
    <w:tblPr/>
  </w:style>
  <w:style w:type="table" w:styleId="924" w:customStyle="1">
    <w:name w:val="Grid Table 6 Colorful - Accent 5"/>
    <w:uiPriority w:val="99"/>
    <w:qFormat/>
    <w:tblPr/>
  </w:style>
  <w:style w:type="table" w:styleId="925" w:customStyle="1">
    <w:name w:val="Grid Table 6 Colorful - Accent 6"/>
    <w:uiPriority w:val="99"/>
    <w:qFormat/>
    <w:tblPr/>
  </w:style>
  <w:style w:type="table" w:styleId="926" w:customStyle="1">
    <w:name w:val="Grid Table 7 Colorful - Accent 1"/>
    <w:uiPriority w:val="99"/>
    <w:qFormat/>
    <w:tblPr/>
  </w:style>
  <w:style w:type="table" w:styleId="927" w:customStyle="1">
    <w:name w:val="Grid Table 7 Colorful - Accent 2"/>
    <w:uiPriority w:val="99"/>
    <w:qFormat/>
    <w:tblPr/>
  </w:style>
  <w:style w:type="table" w:styleId="928" w:customStyle="1">
    <w:name w:val="Grid Table 7 Colorful - Accent 3"/>
    <w:uiPriority w:val="99"/>
    <w:qFormat/>
    <w:tblPr/>
  </w:style>
  <w:style w:type="table" w:styleId="929" w:customStyle="1">
    <w:name w:val="Grid Table 7 Colorful - Accent 4"/>
    <w:uiPriority w:val="99"/>
    <w:qFormat/>
    <w:tblPr/>
  </w:style>
  <w:style w:type="table" w:styleId="930" w:customStyle="1">
    <w:name w:val="Grid Table 7 Colorful - Accent 5"/>
    <w:uiPriority w:val="99"/>
    <w:qFormat/>
    <w:tblPr/>
  </w:style>
  <w:style w:type="table" w:styleId="931" w:customStyle="1">
    <w:name w:val="Grid Table 7 Colorful - Accent 6"/>
    <w:uiPriority w:val="99"/>
    <w:qFormat/>
    <w:tblPr/>
  </w:style>
  <w:style w:type="table" w:styleId="932" w:customStyle="1">
    <w:name w:val="List Table 1 Light - Accent 1"/>
    <w:uiPriority w:val="99"/>
    <w:qFormat/>
    <w:tblPr/>
  </w:style>
  <w:style w:type="table" w:styleId="933" w:customStyle="1">
    <w:name w:val="List Table 1 Light - Accent 2"/>
    <w:uiPriority w:val="99"/>
    <w:qFormat/>
    <w:tblPr/>
  </w:style>
  <w:style w:type="table" w:styleId="934" w:customStyle="1">
    <w:name w:val="List Table 1 Light - Accent 3"/>
    <w:uiPriority w:val="99"/>
    <w:qFormat/>
    <w:tblPr/>
  </w:style>
  <w:style w:type="table" w:styleId="935" w:customStyle="1">
    <w:name w:val="List Table 1 Light - Accent 4"/>
    <w:uiPriority w:val="99"/>
    <w:qFormat/>
    <w:tblPr/>
  </w:style>
  <w:style w:type="table" w:styleId="936" w:customStyle="1">
    <w:name w:val="List Table 1 Light - Accent 5"/>
    <w:uiPriority w:val="99"/>
    <w:qFormat/>
    <w:tblPr/>
  </w:style>
  <w:style w:type="table" w:styleId="937" w:customStyle="1">
    <w:name w:val="List Table 1 Light - Accent 6"/>
    <w:uiPriority w:val="99"/>
    <w:qFormat/>
    <w:tblPr/>
  </w:style>
  <w:style w:type="table" w:styleId="938" w:customStyle="1">
    <w:name w:val="List Table 2 - Accent 1"/>
    <w:uiPriority w:val="99"/>
    <w:qFormat/>
    <w:tblPr/>
  </w:style>
  <w:style w:type="table" w:styleId="939" w:customStyle="1">
    <w:name w:val="List Table 2 - Accent 2"/>
    <w:uiPriority w:val="99"/>
    <w:qFormat/>
    <w:tblPr/>
  </w:style>
  <w:style w:type="table" w:styleId="940" w:customStyle="1">
    <w:name w:val="List Table 2 - Accent 3"/>
    <w:uiPriority w:val="99"/>
    <w:qFormat/>
    <w:tblPr/>
  </w:style>
  <w:style w:type="table" w:styleId="941" w:customStyle="1">
    <w:name w:val="List Table 2 - Accent 4"/>
    <w:uiPriority w:val="99"/>
    <w:qFormat/>
    <w:tblPr/>
  </w:style>
  <w:style w:type="table" w:styleId="942" w:customStyle="1">
    <w:name w:val="List Table 2 - Accent 5"/>
    <w:uiPriority w:val="99"/>
    <w:qFormat/>
    <w:tblPr/>
  </w:style>
  <w:style w:type="table" w:styleId="943" w:customStyle="1">
    <w:name w:val="List Table 2 - Accent 6"/>
    <w:uiPriority w:val="99"/>
    <w:qFormat/>
    <w:tblPr/>
  </w:style>
  <w:style w:type="table" w:styleId="944" w:customStyle="1">
    <w:name w:val="List Table 3 - Accent 1"/>
    <w:uiPriority w:val="99"/>
    <w:qFormat/>
    <w:tblPr/>
  </w:style>
  <w:style w:type="table" w:styleId="945" w:customStyle="1">
    <w:name w:val="List Table 3 - Accent 2"/>
    <w:uiPriority w:val="99"/>
    <w:qFormat/>
    <w:tblPr/>
  </w:style>
  <w:style w:type="table" w:styleId="946" w:customStyle="1">
    <w:name w:val="List Table 3 - Accent 3"/>
    <w:uiPriority w:val="99"/>
    <w:qFormat/>
    <w:tblPr/>
  </w:style>
  <w:style w:type="table" w:styleId="947" w:customStyle="1">
    <w:name w:val="List Table 3 - Accent 4"/>
    <w:uiPriority w:val="99"/>
    <w:qFormat/>
    <w:tblPr/>
  </w:style>
  <w:style w:type="table" w:styleId="948" w:customStyle="1">
    <w:name w:val="List Table 3 - Accent 5"/>
    <w:uiPriority w:val="99"/>
    <w:qFormat/>
    <w:tblPr/>
  </w:style>
  <w:style w:type="table" w:styleId="949" w:customStyle="1">
    <w:name w:val="List Table 3 - Accent 6"/>
    <w:uiPriority w:val="99"/>
    <w:qFormat/>
    <w:tblPr/>
  </w:style>
  <w:style w:type="table" w:styleId="950" w:customStyle="1">
    <w:name w:val="List Table 4 - Accent 1"/>
    <w:uiPriority w:val="99"/>
    <w:qFormat/>
    <w:tblPr/>
  </w:style>
  <w:style w:type="table" w:styleId="951" w:customStyle="1">
    <w:name w:val="List Table 4 - Accent 2"/>
    <w:uiPriority w:val="99"/>
    <w:qFormat/>
    <w:tblPr/>
  </w:style>
  <w:style w:type="table" w:styleId="952" w:customStyle="1">
    <w:name w:val="List Table 4 - Accent 3"/>
    <w:uiPriority w:val="99"/>
    <w:qFormat/>
    <w:tblPr/>
  </w:style>
  <w:style w:type="table" w:styleId="953" w:customStyle="1">
    <w:name w:val="List Table 4 - Accent 4"/>
    <w:uiPriority w:val="99"/>
    <w:qFormat/>
    <w:tblPr/>
  </w:style>
  <w:style w:type="table" w:styleId="954" w:customStyle="1">
    <w:name w:val="List Table 4 - Accent 5"/>
    <w:uiPriority w:val="99"/>
    <w:qFormat/>
    <w:tblPr/>
  </w:style>
  <w:style w:type="table" w:styleId="955" w:customStyle="1">
    <w:name w:val="List Table 4 - Accent 6"/>
    <w:uiPriority w:val="99"/>
    <w:qFormat/>
    <w:tblPr/>
  </w:style>
  <w:style w:type="table" w:styleId="956" w:customStyle="1">
    <w:name w:val="List Table 5 Dark - Accent 1"/>
    <w:uiPriority w:val="99"/>
    <w:qFormat/>
    <w:tblPr/>
  </w:style>
  <w:style w:type="table" w:styleId="957" w:customStyle="1">
    <w:name w:val="List Table 5 Dark - Accent 2"/>
    <w:uiPriority w:val="99"/>
    <w:qFormat/>
    <w:tblPr/>
  </w:style>
  <w:style w:type="table" w:styleId="958" w:customStyle="1">
    <w:name w:val="List Table 5 Dark - Accent 3"/>
    <w:uiPriority w:val="99"/>
    <w:qFormat/>
    <w:tblPr/>
  </w:style>
  <w:style w:type="table" w:styleId="959" w:customStyle="1">
    <w:name w:val="List Table 5 Dark - Accent 4"/>
    <w:uiPriority w:val="99"/>
    <w:qFormat/>
    <w:tblPr/>
  </w:style>
  <w:style w:type="table" w:styleId="960" w:customStyle="1">
    <w:name w:val="List Table 5 Dark - Accent 5"/>
    <w:uiPriority w:val="99"/>
    <w:qFormat/>
    <w:tblPr/>
  </w:style>
  <w:style w:type="table" w:styleId="961" w:customStyle="1">
    <w:name w:val="List Table 5 Dark - Accent 6"/>
    <w:uiPriority w:val="99"/>
    <w:qFormat/>
    <w:tblPr/>
  </w:style>
  <w:style w:type="table" w:styleId="962" w:customStyle="1">
    <w:name w:val="List Table 6 Colorful - Accent 1"/>
    <w:uiPriority w:val="99"/>
    <w:qFormat/>
    <w:tblPr/>
  </w:style>
  <w:style w:type="table" w:styleId="963" w:customStyle="1">
    <w:name w:val="List Table 6 Colorful - Accent 2"/>
    <w:uiPriority w:val="99"/>
    <w:qFormat/>
    <w:tblPr/>
  </w:style>
  <w:style w:type="table" w:styleId="964" w:customStyle="1">
    <w:name w:val="List Table 6 Colorful - Accent 3"/>
    <w:uiPriority w:val="99"/>
    <w:qFormat/>
    <w:tblPr/>
  </w:style>
  <w:style w:type="table" w:styleId="965" w:customStyle="1">
    <w:name w:val="List Table 6 Colorful - Accent 4"/>
    <w:uiPriority w:val="99"/>
    <w:qFormat/>
    <w:tblPr/>
  </w:style>
  <w:style w:type="table" w:styleId="966" w:customStyle="1">
    <w:name w:val="List Table 6 Colorful - Accent 5"/>
    <w:uiPriority w:val="99"/>
    <w:qFormat/>
    <w:tblPr/>
  </w:style>
  <w:style w:type="table" w:styleId="967" w:customStyle="1">
    <w:name w:val="List Table 6 Colorful - Accent 6"/>
    <w:uiPriority w:val="99"/>
    <w:qFormat/>
    <w:tblPr/>
  </w:style>
  <w:style w:type="table" w:styleId="968" w:customStyle="1">
    <w:name w:val="List Table 7 Colorful - Accent 1"/>
    <w:uiPriority w:val="99"/>
    <w:qFormat/>
    <w:tblPr/>
  </w:style>
  <w:style w:type="table" w:styleId="969" w:customStyle="1">
    <w:name w:val="List Table 7 Colorful - Accent 2"/>
    <w:uiPriority w:val="99"/>
    <w:qFormat/>
    <w:tblPr/>
  </w:style>
  <w:style w:type="table" w:styleId="970" w:customStyle="1">
    <w:name w:val="List Table 7 Colorful - Accent 3"/>
    <w:uiPriority w:val="99"/>
    <w:qFormat/>
    <w:tblPr/>
  </w:style>
  <w:style w:type="table" w:styleId="971" w:customStyle="1">
    <w:name w:val="List Table 7 Colorful - Accent 4"/>
    <w:uiPriority w:val="99"/>
    <w:qFormat/>
    <w:tblPr/>
  </w:style>
  <w:style w:type="table" w:styleId="972" w:customStyle="1">
    <w:name w:val="List Table 7 Colorful - Accent 5"/>
    <w:uiPriority w:val="99"/>
    <w:qFormat/>
    <w:tblPr/>
  </w:style>
  <w:style w:type="table" w:styleId="973" w:customStyle="1">
    <w:name w:val="List Table 7 Colorful - Accent 6"/>
    <w:uiPriority w:val="99"/>
    <w:qFormat/>
    <w:tblPr/>
  </w:style>
  <w:style w:type="table" w:styleId="974" w:customStyle="1">
    <w:name w:val="Lined - Accent"/>
    <w:uiPriority w:val="99"/>
    <w:qFormat/>
    <w:rPr>
      <w:color w:val="404040"/>
    </w:rPr>
    <w:tblPr/>
  </w:style>
  <w:style w:type="table" w:styleId="975" w:customStyle="1">
    <w:name w:val="Lined - Accent 1"/>
    <w:uiPriority w:val="99"/>
    <w:qFormat/>
    <w:rPr>
      <w:color w:val="404040"/>
    </w:rPr>
    <w:tblPr/>
  </w:style>
  <w:style w:type="table" w:styleId="976" w:customStyle="1">
    <w:name w:val="Lined - Accent 2"/>
    <w:uiPriority w:val="99"/>
    <w:qFormat/>
    <w:rPr>
      <w:color w:val="404040"/>
    </w:rPr>
    <w:tblPr/>
  </w:style>
  <w:style w:type="table" w:styleId="977" w:customStyle="1">
    <w:name w:val="Lined - Accent 3"/>
    <w:uiPriority w:val="99"/>
    <w:qFormat/>
    <w:rPr>
      <w:color w:val="404040"/>
    </w:rPr>
    <w:tblPr/>
  </w:style>
  <w:style w:type="table" w:styleId="978" w:customStyle="1">
    <w:name w:val="Lined - Accent 4"/>
    <w:uiPriority w:val="99"/>
    <w:qFormat/>
    <w:rPr>
      <w:color w:val="404040"/>
    </w:rPr>
    <w:tblPr/>
  </w:style>
  <w:style w:type="table" w:styleId="979" w:customStyle="1">
    <w:name w:val="Lined - Accent 5"/>
    <w:uiPriority w:val="99"/>
    <w:qFormat/>
    <w:rPr>
      <w:color w:val="404040"/>
    </w:rPr>
    <w:tblPr/>
  </w:style>
  <w:style w:type="table" w:styleId="980" w:customStyle="1">
    <w:name w:val="Lined - Accent 6"/>
    <w:uiPriority w:val="99"/>
    <w:qFormat/>
    <w:rPr>
      <w:color w:val="404040"/>
    </w:rPr>
    <w:tblPr/>
  </w:style>
  <w:style w:type="table" w:styleId="981" w:customStyle="1">
    <w:name w:val="Bordered &amp; Lined - Accent"/>
    <w:uiPriority w:val="99"/>
    <w:qFormat/>
    <w:rPr>
      <w:color w:val="404040"/>
    </w:rPr>
    <w:tblPr/>
  </w:style>
  <w:style w:type="table" w:styleId="982" w:customStyle="1">
    <w:name w:val="Bordered &amp; Lined - Accent 1"/>
    <w:uiPriority w:val="99"/>
    <w:qFormat/>
    <w:rPr>
      <w:color w:val="404040"/>
    </w:rPr>
    <w:tblPr/>
  </w:style>
  <w:style w:type="table" w:styleId="983" w:customStyle="1">
    <w:name w:val="Bordered &amp; Lined - Accent 2"/>
    <w:uiPriority w:val="99"/>
    <w:qFormat/>
    <w:rPr>
      <w:color w:val="404040"/>
    </w:rPr>
    <w:tblPr/>
  </w:style>
  <w:style w:type="table" w:styleId="984" w:customStyle="1">
    <w:name w:val="Bordered &amp; Lined - Accent 3"/>
    <w:uiPriority w:val="99"/>
    <w:qFormat/>
    <w:rPr>
      <w:color w:val="404040"/>
    </w:rPr>
    <w:tblPr/>
  </w:style>
  <w:style w:type="table" w:styleId="985" w:customStyle="1">
    <w:name w:val="Bordered &amp; Lined - Accent 4"/>
    <w:uiPriority w:val="99"/>
    <w:qFormat/>
    <w:rPr>
      <w:color w:val="404040"/>
    </w:rPr>
    <w:tblPr/>
  </w:style>
  <w:style w:type="table" w:styleId="986" w:customStyle="1">
    <w:name w:val="Bordered &amp; Lined - Accent 5"/>
    <w:uiPriority w:val="99"/>
    <w:qFormat/>
    <w:rPr>
      <w:color w:val="404040"/>
    </w:rPr>
    <w:tblPr/>
  </w:style>
  <w:style w:type="table" w:styleId="987" w:customStyle="1">
    <w:name w:val="Bordered &amp; Lined - Accent 6"/>
    <w:uiPriority w:val="99"/>
    <w:qFormat/>
    <w:rPr>
      <w:color w:val="404040"/>
    </w:rPr>
    <w:tblPr/>
  </w:style>
  <w:style w:type="table" w:styleId="988" w:customStyle="1">
    <w:name w:val="Bordered"/>
    <w:uiPriority w:val="99"/>
    <w:qFormat/>
    <w:tblPr/>
  </w:style>
  <w:style w:type="table" w:styleId="989" w:customStyle="1">
    <w:name w:val="Bordered - Accent 1"/>
    <w:uiPriority w:val="99"/>
    <w:qFormat/>
    <w:tblPr/>
  </w:style>
  <w:style w:type="table" w:styleId="990" w:customStyle="1">
    <w:name w:val="Bordered - Accent 2"/>
    <w:uiPriority w:val="99"/>
    <w:qFormat/>
    <w:tblPr/>
  </w:style>
  <w:style w:type="table" w:styleId="991" w:customStyle="1">
    <w:name w:val="Bordered - Accent 3"/>
    <w:uiPriority w:val="99"/>
    <w:qFormat/>
    <w:tblPr/>
  </w:style>
  <w:style w:type="table" w:styleId="992" w:customStyle="1">
    <w:name w:val="Bordered - Accent 4"/>
    <w:uiPriority w:val="99"/>
    <w:qFormat/>
    <w:tblPr/>
  </w:style>
  <w:style w:type="table" w:styleId="993" w:customStyle="1">
    <w:name w:val="Bordered - Accent 5"/>
    <w:uiPriority w:val="99"/>
    <w:qFormat/>
    <w:tblPr/>
  </w:style>
  <w:style w:type="table" w:styleId="994" w:customStyle="1">
    <w:name w:val="Bordered - Accent 6"/>
    <w:uiPriority w:val="99"/>
    <w:qFormat/>
    <w:tblPr/>
  </w:style>
  <w:style w:type="paragraph" w:styleId="995" w:customStyle="1">
    <w:name w:val="TOC 标题11"/>
    <w:uiPriority w:val="39"/>
    <w:unhideWhenUsed/>
    <w:qFormat/>
    <w:rPr>
      <w:rFonts w:hint="default" w:ascii="Times New Roman" w:hAnsi="Times New Roman" w:eastAsia="宋体" w:cs="Times New Roman"/>
    </w:rPr>
  </w:style>
  <w:style w:type="paragraph" w:styleId="996" w:customStyle="1">
    <w:name w:val="标题 11"/>
    <w:basedOn w:val="709"/>
    <w:next w:val="709"/>
    <w:uiPriority w:val="0"/>
    <w:qFormat/>
    <w:pPr>
      <w:jc w:val="center"/>
      <w:keepLines/>
      <w:keepNext/>
      <w:spacing w:line="360" w:lineRule="auto"/>
      <w:outlineLvl w:val="0"/>
    </w:pPr>
    <w:rPr>
      <w:rFonts w:eastAsia="黑体"/>
      <w:b/>
      <w:bCs/>
      <w:sz w:val="32"/>
      <w:szCs w:val="44"/>
    </w:rPr>
  </w:style>
  <w:style w:type="paragraph" w:styleId="997" w:customStyle="1">
    <w:name w:val="标题 21"/>
    <w:basedOn w:val="709"/>
    <w:next w:val="709"/>
    <w:uiPriority w:val="9"/>
    <w:qFormat/>
    <w:pPr>
      <w:keepLines/>
      <w:keepNext/>
      <w:spacing w:line="360" w:lineRule="auto"/>
      <w:outlineLvl w:val="1"/>
    </w:pPr>
    <w:rPr>
      <w:rFonts w:ascii="Arial" w:hAnsi="Arial"/>
      <w:b/>
      <w:bCs/>
      <w:sz w:val="24"/>
      <w:szCs w:val="32"/>
    </w:rPr>
  </w:style>
  <w:style w:type="paragraph" w:styleId="998" w:customStyle="1">
    <w:name w:val="标题 31"/>
    <w:basedOn w:val="709"/>
    <w:next w:val="709"/>
    <w:uiPriority w:val="0"/>
    <w:qFormat/>
    <w:pPr>
      <w:keepLines/>
      <w:keepNext/>
      <w:spacing w:line="360" w:lineRule="auto"/>
      <w:outlineLvl w:val="2"/>
    </w:pPr>
    <w:rPr>
      <w:b/>
      <w:bCs/>
      <w:szCs w:val="32"/>
    </w:rPr>
  </w:style>
  <w:style w:type="paragraph" w:styleId="999" w:customStyle="1">
    <w:name w:val="标题 41"/>
    <w:basedOn w:val="709"/>
    <w:next w:val="709"/>
    <w:uiPriority w:val="9"/>
    <w:qFormat/>
    <w:pPr>
      <w:keepLines/>
      <w:keepNext/>
      <w:spacing w:before="280" w:after="290" w:line="376" w:lineRule="auto"/>
      <w:outlineLvl w:val="3"/>
    </w:pPr>
    <w:rPr>
      <w:rFonts w:ascii="Cambria" w:hAnsi="Cambria"/>
      <w:b/>
      <w:bCs/>
      <w:sz w:val="28"/>
      <w:szCs w:val="28"/>
    </w:rPr>
  </w:style>
  <w:style w:type="character" w:styleId="1000" w:customStyle="1">
    <w:name w:val="默认段落字体1"/>
    <w:link w:val="709"/>
    <w:uiPriority w:val="1"/>
    <w:unhideWhenUsed/>
    <w:qFormat/>
  </w:style>
  <w:style w:type="table" w:styleId="1001" w:customStyle="1">
    <w:name w:val="普通表格1"/>
    <w:uiPriority w:val="99"/>
    <w:unhideWhenUsed/>
    <w:qFormat/>
    <w:tblPr/>
  </w:style>
  <w:style w:type="paragraph" w:styleId="1002" w:customStyle="1">
    <w:name w:val="正文缩进11"/>
    <w:basedOn w:val="709"/>
    <w:link w:val="1003"/>
    <w:uiPriority w:val="99"/>
    <w:unhideWhenUsed/>
    <w:qFormat/>
    <w:pPr>
      <w:ind w:firstLine="420"/>
      <w:jc w:val="left"/>
    </w:pPr>
    <w:rPr>
      <w:rFonts w:eastAsia="楷体_GB2312"/>
      <w:sz w:val="24"/>
      <w:szCs w:val="20"/>
    </w:rPr>
  </w:style>
  <w:style w:type="character" w:styleId="1003" w:customStyle="1">
    <w:name w:val="正文缩进 字符"/>
    <w:link w:val="1002"/>
    <w:uiPriority w:val="0"/>
    <w:qFormat/>
    <w:rPr>
      <w:rFonts w:ascii="Times New Roman" w:hAnsi="Times New Roman" w:eastAsia="楷体_GB2312" w:cs="Times New Roman"/>
      <w:sz w:val="24"/>
      <w:szCs w:val="20"/>
    </w:rPr>
  </w:style>
  <w:style w:type="paragraph" w:styleId="1004" w:customStyle="1">
    <w:name w:val="批注文字1"/>
    <w:basedOn w:val="709"/>
    <w:link w:val="1005"/>
    <w:uiPriority w:val="99"/>
    <w:unhideWhenUsed/>
    <w:qFormat/>
    <w:pPr>
      <w:jc w:val="left"/>
    </w:pPr>
  </w:style>
  <w:style w:type="character" w:styleId="1005" w:customStyle="1">
    <w:name w:val="批注文字 字符"/>
    <w:link w:val="1004"/>
    <w:uiPriority w:val="99"/>
    <w:qFormat/>
    <w:rPr>
      <w:sz w:val="21"/>
      <w:szCs w:val="22"/>
    </w:rPr>
  </w:style>
  <w:style w:type="character" w:styleId="1006" w:customStyle="1">
    <w:name w:val="正文文本 字符"/>
    <w:link w:val="748"/>
    <w:uiPriority w:val="99"/>
    <w:qFormat/>
    <w:rPr>
      <w:rFonts w:ascii="Times New Roman" w:hAnsi="Times New Roman" w:eastAsia="宋体" w:cs="Times New Roman"/>
      <w:szCs w:val="24"/>
    </w:rPr>
  </w:style>
  <w:style w:type="paragraph" w:styleId="1007" w:customStyle="1">
    <w:name w:val="正文文本缩进11"/>
    <w:basedOn w:val="709"/>
    <w:next w:val="1008"/>
    <w:uiPriority w:val="99"/>
    <w:unhideWhenUsed/>
    <w:qFormat/>
    <w:pPr>
      <w:ind w:left="420"/>
      <w:spacing w:after="120"/>
    </w:pPr>
    <w:rPr>
      <w:szCs w:val="24"/>
    </w:rPr>
  </w:style>
  <w:style w:type="paragraph" w:styleId="1008" w:customStyle="1">
    <w:name w:val="寄信人地址11"/>
    <w:basedOn w:val="709"/>
    <w:uiPriority w:val="0"/>
    <w:qFormat/>
    <w:rPr>
      <w:sz w:val="26"/>
      <w:szCs w:val="24"/>
    </w:rPr>
  </w:style>
  <w:style w:type="paragraph" w:styleId="1009" w:customStyle="1">
    <w:name w:val="文本块1"/>
    <w:basedOn w:val="709"/>
    <w:uiPriority w:val="99"/>
    <w:unhideWhenUsed/>
    <w:qFormat/>
    <w:pPr>
      <w:ind w:left="630" w:right="-609" w:firstLine="420"/>
      <w:spacing w:line="360" w:lineRule="auto"/>
    </w:pPr>
    <w:rPr>
      <w:rFonts w:hint="eastAsia" w:ascii="仿宋_GB2312" w:eastAsia="仿宋_GB2312"/>
      <w:szCs w:val="20"/>
    </w:rPr>
  </w:style>
  <w:style w:type="paragraph" w:styleId="1010" w:customStyle="1">
    <w:name w:val="日期1"/>
    <w:basedOn w:val="709"/>
    <w:next w:val="709"/>
    <w:uiPriority w:val="0"/>
    <w:qFormat/>
    <w:pPr>
      <w:ind w:left="100"/>
    </w:pPr>
  </w:style>
  <w:style w:type="paragraph" w:styleId="1011" w:customStyle="1">
    <w:name w:val="页脚1"/>
    <w:basedOn w:val="709"/>
    <w:uiPriority w:val="99"/>
    <w:unhideWhenUsed/>
    <w:qFormat/>
    <w:pPr>
      <w:jc w:val="left"/>
      <w:tabs>
        <w:tab w:val="center" w:pos="4153" w:leader="none"/>
        <w:tab w:val="right" w:pos="8306" w:leader="none"/>
      </w:tabs>
    </w:pPr>
    <w:rPr>
      <w:sz w:val="18"/>
      <w:szCs w:val="18"/>
    </w:rPr>
  </w:style>
  <w:style w:type="paragraph" w:styleId="1012" w:customStyle="1">
    <w:name w:val="页眉1"/>
    <w:basedOn w:val="709"/>
    <w:uiPriority w:val="99"/>
    <w:unhideWhenUsed/>
    <w:qFormat/>
    <w:pPr>
      <w:tabs>
        <w:tab w:val="center" w:pos="4153" w:leader="none"/>
        <w:tab w:val="right" w:pos="8306" w:leader="none"/>
      </w:tabs>
      <w:pBdr>
        <w:top w:val="none" w:color="000000" w:sz="0" w:space="0"/>
        <w:left w:val="none" w:color="000000" w:sz="0" w:space="0"/>
        <w:bottom w:val="none" w:color="000000" w:sz="0" w:space="0"/>
        <w:right w:val="none" w:color="000000" w:sz="0" w:space="0"/>
      </w:pBdr>
    </w:pPr>
    <w:rPr>
      <w:sz w:val="18"/>
    </w:rPr>
  </w:style>
  <w:style w:type="paragraph" w:styleId="1013" w:customStyle="1">
    <w:name w:val="正文文本缩进 31"/>
    <w:basedOn w:val="709"/>
    <w:link w:val="1014"/>
    <w:uiPriority w:val="99"/>
    <w:unhideWhenUsed/>
    <w:qFormat/>
    <w:pPr>
      <w:ind w:firstLine="480"/>
      <w:jc w:val="left"/>
      <w:spacing w:line="440" w:lineRule="atLeast"/>
    </w:pPr>
    <w:rPr>
      <w:sz w:val="24"/>
      <w:szCs w:val="24"/>
    </w:rPr>
  </w:style>
  <w:style w:type="character" w:styleId="1014" w:customStyle="1">
    <w:name w:val="正文文本缩进 3 字符"/>
    <w:link w:val="1013"/>
    <w:uiPriority w:val="0"/>
    <w:qFormat/>
    <w:rPr>
      <w:rFonts w:ascii="Times New Roman" w:hAnsi="Times New Roman" w:eastAsia="宋体" w:cs="Times New Roman"/>
      <w:sz w:val="24"/>
    </w:rPr>
  </w:style>
  <w:style w:type="paragraph" w:styleId="1015" w:customStyle="1">
    <w:name w:val="目录 21"/>
    <w:basedOn w:val="709"/>
    <w:next w:val="709"/>
    <w:uiPriority w:val="39"/>
    <w:qFormat/>
    <w:pPr>
      <w:ind w:left="200"/>
      <w:spacing w:line="360" w:lineRule="auto"/>
    </w:pPr>
  </w:style>
  <w:style w:type="paragraph" w:styleId="1016" w:customStyle="1">
    <w:name w:val="普通(网站)1"/>
    <w:basedOn w:val="709"/>
    <w:next w:val="709"/>
    <w:uiPriority w:val="99"/>
    <w:qFormat/>
    <w:pPr>
      <w:jc w:val="center"/>
      <w:spacing w:before="75" w:after="75"/>
    </w:pPr>
    <w:rPr>
      <w:sz w:val="24"/>
      <w:szCs w:val="24"/>
    </w:rPr>
  </w:style>
  <w:style w:type="paragraph" w:styleId="1017" w:customStyle="1">
    <w:name w:val="批注主题1"/>
    <w:basedOn w:val="1004"/>
    <w:next w:val="1004"/>
    <w:link w:val="1018"/>
    <w:uiPriority w:val="99"/>
    <w:unhideWhenUsed/>
    <w:qFormat/>
    <w:rPr>
      <w:b/>
      <w:bCs/>
    </w:rPr>
  </w:style>
  <w:style w:type="character" w:styleId="1018" w:customStyle="1">
    <w:name w:val="批注主题 字符"/>
    <w:link w:val="1017"/>
    <w:uiPriority w:val="99"/>
    <w:semiHidden/>
    <w:qFormat/>
    <w:rPr>
      <w:b/>
      <w:bCs/>
      <w:sz w:val="21"/>
      <w:szCs w:val="22"/>
    </w:rPr>
  </w:style>
  <w:style w:type="paragraph" w:styleId="1019" w:customStyle="1">
    <w:name w:val="正文首行缩进11"/>
    <w:basedOn w:val="748"/>
    <w:uiPriority w:val="0"/>
    <w:qFormat/>
    <w:pPr>
      <w:ind w:firstLine="420"/>
    </w:pPr>
    <w:rPr>
      <w:sz w:val="26"/>
    </w:rPr>
  </w:style>
  <w:style w:type="character" w:styleId="1020" w:customStyle="1">
    <w:name w:val="要点1"/>
    <w:link w:val="709"/>
    <w:uiPriority w:val="0"/>
    <w:qFormat/>
    <w:rPr>
      <w:rFonts w:ascii="Times New Roman" w:hAnsi="Times New Roman" w:eastAsia="宋体" w:cs="Times New Roman"/>
      <w:b/>
      <w:bCs/>
    </w:rPr>
  </w:style>
  <w:style w:type="character" w:styleId="1021" w:customStyle="1">
    <w:name w:val="页码1"/>
    <w:link w:val="709"/>
    <w:uiPriority w:val="99"/>
    <w:unhideWhenUsed/>
    <w:qFormat/>
    <w:rPr>
      <w:rFonts w:ascii="Tahoma" w:hAnsi="Tahoma" w:eastAsia="宋体" w:cs="Times New Roman"/>
      <w:sz w:val="24"/>
      <w:szCs w:val="24"/>
      <w:lang w:val="en-US" w:eastAsia="zh-CN" w:bidi="ar-SA"/>
    </w:rPr>
  </w:style>
  <w:style w:type="character" w:styleId="1022" w:customStyle="1">
    <w:name w:val="已访问的超链接1"/>
    <w:link w:val="709"/>
    <w:uiPriority w:val="99"/>
    <w:unhideWhenUsed/>
    <w:qFormat/>
    <w:rPr>
      <w:color w:val="333333"/>
      <w:u w:val="none"/>
    </w:rPr>
  </w:style>
  <w:style w:type="character" w:styleId="1023" w:customStyle="1">
    <w:name w:val="强调1"/>
    <w:link w:val="709"/>
    <w:uiPriority w:val="20"/>
    <w:qFormat/>
  </w:style>
  <w:style w:type="character" w:styleId="1024" w:customStyle="1">
    <w:name w:val="超链接1"/>
    <w:link w:val="709"/>
    <w:uiPriority w:val="99"/>
    <w:unhideWhenUsed/>
    <w:qFormat/>
    <w:rPr>
      <w:rFonts w:ascii="Times New Roman" w:hAnsi="Times New Roman" w:eastAsia="宋体" w:cs="Times New Roman"/>
      <w:color w:val="0066cc"/>
      <w:sz w:val="21"/>
      <w:szCs w:val="21"/>
      <w:u w:val="none"/>
    </w:rPr>
  </w:style>
  <w:style w:type="character" w:styleId="1025" w:customStyle="1">
    <w:name w:val="批注引用1"/>
    <w:link w:val="709"/>
    <w:uiPriority w:val="99"/>
    <w:unhideWhenUsed/>
    <w:qFormat/>
    <w:rPr>
      <w:sz w:val="21"/>
      <w:szCs w:val="21"/>
    </w:rPr>
  </w:style>
  <w:style w:type="paragraph" w:styleId="1026" w:customStyle="1">
    <w:name w:val="寄信人地址1"/>
    <w:uiPriority w:val="0"/>
    <w:qFormat/>
    <w:pPr>
      <w:jc w:val="both"/>
      <w:widowControl w:val="off"/>
    </w:pPr>
    <w:rPr>
      <w:rFonts w:hint="default" w:ascii="Arial" w:hAnsi="Arial" w:eastAsia="楷体_GB2312" w:cs="Times New Roman"/>
      <w:sz w:val="26"/>
    </w:rPr>
  </w:style>
  <w:style w:type="character" w:styleId="1027" w:customStyle="1">
    <w:name w:val="NormalCharacter1"/>
    <w:link w:val="709"/>
    <w:uiPriority w:val="0"/>
    <w:qFormat/>
    <w:rPr>
      <w:rFonts w:ascii="Calibri" w:hAnsi="Calibri" w:eastAsia="宋体" w:cs="Times New Roman"/>
      <w:sz w:val="21"/>
      <w:szCs w:val="22"/>
      <w:lang w:val="en-US" w:eastAsia="zh-CN" w:bidi="ar-SA"/>
    </w:rPr>
  </w:style>
  <w:style w:type="paragraph" w:styleId="1028" w:customStyle="1">
    <w:name w:val="首行缩进"/>
    <w:basedOn w:val="709"/>
    <w:uiPriority w:val="0"/>
    <w:qFormat/>
    <w:pPr>
      <w:ind w:firstLine="480"/>
    </w:pPr>
    <w:rPr>
      <w:szCs w:val="20"/>
      <w:lang w:val="zh-CN"/>
    </w:rPr>
  </w:style>
  <w:style w:type="paragraph" w:styleId="1029" w:customStyle="1">
    <w:name w:val="纯文本2"/>
    <w:basedOn w:val="709"/>
    <w:uiPriority w:val="0"/>
    <w:qFormat/>
    <w:rPr>
      <w:rFonts w:ascii="宋体" w:hAnsi="Courier New"/>
      <w:szCs w:val="24"/>
    </w:rPr>
  </w:style>
  <w:style w:type="character" w:styleId="1030" w:customStyle="1">
    <w:name w:val="正文文本 Char"/>
    <w:link w:val="709"/>
    <w:uiPriority w:val="99"/>
    <w:semiHidden/>
    <w:qFormat/>
    <w:rPr>
      <w:rFonts w:ascii="Calibri" w:hAnsi="Calibri" w:eastAsia="宋体" w:cs="Times New Roman"/>
      <w:szCs w:val="24"/>
    </w:rPr>
  </w:style>
  <w:style w:type="paragraph" w:styleId="1031" w:customStyle="1">
    <w:name w:val="纯文本4"/>
    <w:basedOn w:val="709"/>
    <w:uiPriority w:val="0"/>
    <w:qFormat/>
    <w:rPr>
      <w:rFonts w:ascii="宋体" w:hAnsi="Courier New" w:eastAsia="楷体_GB2312"/>
      <w:sz w:val="26"/>
      <w:szCs w:val="20"/>
    </w:rPr>
  </w:style>
  <w:style w:type="character" w:styleId="1032" w:customStyle="1">
    <w:name w:val="first-child"/>
    <w:link w:val="709"/>
    <w:uiPriority w:val="0"/>
    <w:qFormat/>
    <w:rPr>
      <w:rFonts w:ascii="Times New Roman" w:hAnsi="Times New Roman" w:eastAsia="宋体" w:cs="Times New Roman"/>
    </w:rPr>
  </w:style>
  <w:style w:type="character" w:styleId="1033" w:customStyle="1">
    <w:name w:val="layui-this"/>
    <w:link w:val="709"/>
    <w:uiPriority w:val="0"/>
    <w:qFormat/>
    <w:rPr>
      <w:rFonts w:ascii="Times New Roman" w:hAnsi="Times New Roman" w:eastAsia="宋体" w:cs="Times New Roman"/>
      <w:shd w:val="clear" w:color="auto" w:fill="ffffff"/>
    </w:rPr>
  </w:style>
  <w:style w:type="character" w:styleId="1034" w:customStyle="1">
    <w:name w:val="l-btn-left"/>
    <w:link w:val="709"/>
    <w:uiPriority w:val="0"/>
    <w:qFormat/>
    <w:rPr>
      <w:rFonts w:ascii="Times New Roman" w:hAnsi="Times New Roman" w:eastAsia="宋体" w:cs="Times New Roman"/>
    </w:rPr>
  </w:style>
  <w:style w:type="character" w:styleId="1035" w:customStyle="1">
    <w:name w:val="l-btn-text33"/>
    <w:link w:val="709"/>
    <w:uiPriority w:val="0"/>
    <w:qFormat/>
    <w:rPr>
      <w:rFonts w:ascii="Times New Roman" w:hAnsi="Times New Roman" w:eastAsia="宋体" w:cs="Times New Roman"/>
    </w:rPr>
  </w:style>
  <w:style w:type="character" w:styleId="1036" w:customStyle="1">
    <w:name w:val="l-btn-text35"/>
    <w:link w:val="709"/>
    <w:uiPriority w:val="0"/>
    <w:qFormat/>
    <w:rPr>
      <w:rFonts w:ascii="Times New Roman" w:hAnsi="Times New Roman" w:eastAsia="宋体" w:cs="Times New Roman"/>
    </w:rPr>
  </w:style>
  <w:style w:type="character" w:styleId="1037" w:customStyle="1">
    <w:name w:val="正文文本缩进 3 Char"/>
    <w:link w:val="709"/>
    <w:uiPriority w:val="99"/>
    <w:semiHidden/>
    <w:qFormat/>
    <w:rPr>
      <w:rFonts w:ascii="Times New Roman" w:hAnsi="Times New Roman" w:eastAsia="宋体" w:cs="Times New Roman"/>
      <w:sz w:val="16"/>
      <w:szCs w:val="16"/>
    </w:rPr>
  </w:style>
  <w:style w:type="character" w:styleId="1038" w:customStyle="1">
    <w:name w:val="l-btn-text36"/>
    <w:link w:val="709"/>
    <w:uiPriority w:val="0"/>
    <w:qFormat/>
    <w:rPr>
      <w:rFonts w:ascii="Times New Roman" w:hAnsi="Times New Roman" w:eastAsia="宋体" w:cs="Times New Roman"/>
    </w:rPr>
  </w:style>
  <w:style w:type="character" w:styleId="1039" w:customStyle="1">
    <w:name w:val="l-btn-text"/>
    <w:link w:val="709"/>
    <w:uiPriority w:val="0"/>
    <w:qFormat/>
    <w:rPr>
      <w:rFonts w:ascii="Times New Roman" w:hAnsi="Times New Roman" w:eastAsia="宋体" w:cs="Times New Roman"/>
    </w:rPr>
  </w:style>
  <w:style w:type="paragraph" w:styleId="1040" w:customStyle="1">
    <w:name w:val="正文_0"/>
    <w:uiPriority w:val="0"/>
    <w:qFormat/>
    <w:pPr>
      <w:jc w:val="both"/>
      <w:widowControl w:val="off"/>
    </w:pPr>
    <w:rPr>
      <w:rFonts w:hint="default" w:ascii="Times New Roman" w:hAnsi="Times New Roman" w:eastAsia="宋体" w:cs="Times New Roman"/>
      <w:sz w:val="21"/>
      <w:szCs w:val="22"/>
    </w:rPr>
  </w:style>
  <w:style w:type="paragraph" w:styleId="1041" w:customStyle="1">
    <w:name w:val="正文_2"/>
    <w:uiPriority w:val="0"/>
    <w:qFormat/>
    <w:pPr>
      <w:jc w:val="both"/>
      <w:widowControl w:val="off"/>
    </w:pPr>
    <w:rPr>
      <w:rFonts w:hint="default" w:ascii="Times New Roman" w:hAnsi="Times New Roman" w:eastAsia="宋体" w:cs="Times New Roman"/>
      <w:sz w:val="21"/>
      <w:szCs w:val="22"/>
    </w:rPr>
  </w:style>
  <w:style w:type="paragraph" w:styleId="1042" w:customStyle="1">
    <w:name w:val="修订1"/>
    <w:uiPriority w:val="99"/>
    <w:unhideWhenUsed/>
    <w:qFormat/>
    <w:rPr>
      <w:rFonts w:hint="default" w:ascii="Times New Roman" w:hAnsi="Times New Roman" w:eastAsia="宋体" w:cs="Times New Roman"/>
      <w:sz w:val="21"/>
      <w:szCs w:val="22"/>
    </w:rPr>
  </w:style>
  <w:style w:type="table" w:styleId="1043" w:customStyle="1">
    <w:name w:val="Table Normal_0"/>
    <w:uiPriority w:val="0"/>
    <w:unhideWhenUsed/>
    <w:qFormat/>
    <w:tblPr/>
  </w:style>
  <w:style w:type="table" w:styleId="1044" w:customStyle="1">
    <w:name w:val="网格型42"/>
    <w:basedOn w:val="752"/>
    <w:uiPriority w:val="59"/>
    <w:qFormat/>
    <w:rPr>
      <w:rFonts w:ascii="Calibri" w:hAnsi="Calibri"/>
    </w:rPr>
    <w:tblPr/>
  </w:style>
  <w:style w:type="paragraph" w:styleId="1045" w:customStyle="1">
    <w:name w:val="修订2"/>
    <w:uiPriority w:val="99"/>
    <w:unhideWhenUsed/>
    <w:qFormat/>
    <w:rPr>
      <w:rFonts w:hint="default" w:ascii="Times New Roman" w:hAnsi="Times New Roman" w:eastAsia="宋体" w:cs="Times New Roman"/>
      <w:sz w:val="21"/>
      <w:szCs w:val="22"/>
    </w:rPr>
  </w:style>
  <w:style w:type="paragraph" w:styleId="1046" w:customStyle="1">
    <w:name w:val="修订3"/>
    <w:uiPriority w:val="99"/>
    <w:unhideWhenUsed/>
    <w:qFormat/>
    <w:rPr>
      <w:rFonts w:hint="default" w:ascii="Times New Roman" w:hAnsi="Times New Roman" w:eastAsia="宋体" w:cs="Times New Roman"/>
      <w:sz w:val="21"/>
      <w:szCs w:val="22"/>
    </w:rPr>
  </w:style>
  <w:style w:type="paragraph" w:styleId="1047" w:customStyle="1">
    <w:name w:val="[正文行首缩进]"/>
    <w:uiPriority w:val="0"/>
    <w:qFormat/>
    <w:pPr>
      <w:ind w:firstLine="480"/>
      <w:jc w:val="both"/>
      <w:spacing w:line="360" w:lineRule="auto"/>
      <w:widowControl w:val="off"/>
    </w:pPr>
    <w:rPr>
      <w:rFonts w:hint="default" w:ascii="Times New Roman" w:hAnsi="Times New Roman" w:eastAsia="宋体" w:cs="Times New Roman"/>
      <w:bCs/>
      <w:color w:val="000000"/>
      <w:sz w:val="24"/>
      <w:szCs w:val="24"/>
    </w:rPr>
  </w:style>
  <w:style w:type="character" w:styleId="1048" w:customStyle="1">
    <w:name w:val="NormalCharacter11"/>
    <w:link w:val="709"/>
    <w:uiPriority w:val="0"/>
    <w:semiHidden/>
    <w:qFormat/>
  </w:style>
  <w:style w:type="paragraph" w:styleId="1049" w:customStyle="1">
    <w:name w:val="UserStyle_62"/>
    <w:basedOn w:val="709"/>
    <w:uiPriority w:val="0"/>
    <w:qFormat/>
    <w:rPr>
      <w:rFonts w:ascii="宋体" w:hAnsi="Courier New"/>
    </w:rPr>
  </w:style>
  <w:style w:type="paragraph" w:styleId="1050" w:customStyle="1">
    <w:name w:val="WPSOffice手动目录 1"/>
    <w:uiPriority w:val="0"/>
    <w:qFormat/>
    <w:rPr>
      <w:rFonts w:hint="default" w:ascii="Times New Roman" w:hAnsi="Times New Roman" w:eastAsia="宋体" w:cs="Times New Roman"/>
    </w:rPr>
  </w:style>
  <w:style w:type="paragraph" w:styleId="1051" w:customStyle="1">
    <w:name w:val="修订4"/>
    <w:uiPriority w:val="99"/>
    <w:unhideWhenUsed/>
    <w:qFormat/>
    <w:rPr>
      <w:rFonts w:hint="default" w:ascii="Times New Roman" w:hAnsi="Times New Roman" w:eastAsia="宋体" w:cs="Times New Roman"/>
      <w:sz w:val="21"/>
      <w:szCs w:val="22"/>
    </w:rPr>
  </w:style>
  <w:style w:type="paragraph" w:styleId="1052" w:customStyle="1">
    <w:name w:val="Table Paragraph"/>
    <w:basedOn w:val="709"/>
    <w:uiPriority w:val="1"/>
    <w:qFormat/>
  </w:style>
  <w:style w:type="character" w:styleId="1053" w:customStyle="1">
    <w:name w:val="font01"/>
    <w:link w:val="709"/>
    <w:uiPriority w:val="0"/>
    <w:qFormat/>
    <w:rPr>
      <w:rFonts w:hint="eastAsia" w:ascii="宋体" w:hAnsi="宋体" w:eastAsia="宋体" w:cs="宋体"/>
      <w:color w:val="000000"/>
      <w:sz w:val="24"/>
      <w:szCs w:val="24"/>
      <w:u w:val="none"/>
    </w:rPr>
  </w:style>
  <w:style w:type="paragraph" w:styleId="1054" w:customStyle="1">
    <w:name w:val="样式2"/>
    <w:basedOn w:val="709"/>
    <w:uiPriority w:val="0"/>
    <w:qFormat/>
    <w:pPr>
      <w:ind w:firstLine="640"/>
    </w:pPr>
    <w:rPr>
      <w:rFonts w:hint="eastAsia" w:ascii="仿宋_GB2312" w:hAnsi="仿宋_GB2312"/>
    </w:rPr>
  </w:style>
  <w:style w:type="character" w:styleId="1055" w:customStyle="1">
    <w:name w:val="NormalCharacter12"/>
    <w:link w:val="709"/>
    <w:uiPriority w:val="0"/>
    <w:qFormat/>
  </w:style>
  <w:style w:type="character" w:styleId="1056" w:customStyle="1">
    <w:name w:val="UserStyle_27"/>
    <w:link w:val="1057"/>
    <w:uiPriority w:val="0"/>
    <w:qFormat/>
    <w:rPr>
      <w:rFonts w:ascii="Calibri" w:hAnsi="Calibri"/>
      <w:sz w:val="24"/>
      <w:szCs w:val="24"/>
    </w:rPr>
  </w:style>
  <w:style w:type="paragraph" w:styleId="1057" w:customStyle="1">
    <w:name w:val="UserStyle_28"/>
    <w:basedOn w:val="709"/>
    <w:link w:val="1056"/>
    <w:uiPriority w:val="0"/>
    <w:qFormat/>
    <w:pPr>
      <w:ind w:firstLine="480"/>
      <w:spacing w:line="360" w:lineRule="auto"/>
      <w:widowControl/>
    </w:pPr>
    <w:rPr>
      <w:rFonts w:ascii="Calibri" w:hAnsi="Calibri"/>
      <w:sz w:val="24"/>
      <w:szCs w:val="24"/>
    </w:rPr>
  </w:style>
  <w:style w:type="character" w:styleId="1058" w:customStyle="1">
    <w:name w:val="UserStyle_12"/>
    <w:link w:val="1059"/>
    <w:uiPriority w:val="0"/>
    <w:qFormat/>
    <w:rPr>
      <w:rFonts w:eastAsia="楷体_GB2312"/>
      <w:sz w:val="24"/>
    </w:rPr>
  </w:style>
  <w:style w:type="paragraph" w:styleId="1059" w:customStyle="1">
    <w:name w:val="NormalIndent1"/>
    <w:basedOn w:val="709"/>
    <w:link w:val="1058"/>
    <w:uiPriority w:val="0"/>
    <w:qFormat/>
    <w:pPr>
      <w:ind w:firstLine="420"/>
      <w:jc w:val="left"/>
      <w:widowControl/>
    </w:pPr>
    <w:rPr>
      <w:rFonts w:eastAsia="楷体_GB2312"/>
      <w:sz w:val="24"/>
      <w:szCs w:val="20"/>
    </w:rPr>
  </w:style>
  <w:style w:type="character" w:styleId="1060" w:customStyle="1">
    <w:name w:val="font21"/>
    <w:basedOn w:val="751"/>
    <w:link w:val="709"/>
    <w:uiPriority w:val="0"/>
    <w:qFormat/>
    <w:rPr>
      <w:rFonts w:hint="eastAsia" w:ascii="宋体" w:hAnsi="宋体" w:eastAsia="宋体" w:cs="宋体"/>
      <w:color w:val="000000"/>
      <w:sz w:val="20"/>
      <w:szCs w:val="20"/>
      <w:u w:val="none"/>
    </w:rPr>
  </w:style>
  <w:style w:type="character" w:styleId="1061" w:customStyle="1">
    <w:name w:val="font31"/>
    <w:basedOn w:val="751"/>
    <w:link w:val="709"/>
    <w:uiPriority w:val="0"/>
    <w:qFormat/>
    <w:rPr>
      <w:rFonts w:ascii="Arial" w:hAnsi="Arial" w:cs="Arial"/>
      <w:color w:val="000000"/>
      <w:sz w:val="20"/>
      <w:szCs w:val="20"/>
      <w:u w:val="none"/>
    </w:rPr>
  </w:style>
  <w:style w:type="paragraph" w:styleId="1062" w:customStyle="1">
    <w:name w:val="纯文本1"/>
    <w:basedOn w:val="709"/>
    <w:uiPriority w:val="99"/>
    <w:qFormat/>
    <w:rPr>
      <w:rFonts w:ascii="宋体" w:hAnsi="Courier New" w:eastAsia="楷体_GB2312"/>
      <w:sz w:val="28"/>
      <w:szCs w:val="20"/>
      <w:lang w:eastAsia="en-US"/>
    </w:rPr>
  </w:style>
  <w:style w:type="paragraph" w:styleId="1063" w:customStyle="1">
    <w:name w:val="纯文本8"/>
    <w:basedOn w:val="709"/>
    <w:uiPriority w:val="0"/>
    <w:qFormat/>
    <w:rPr>
      <w:rFonts w:ascii="宋体" w:hAnsi="Courier New" w:eastAsia="楷体_GB2312"/>
      <w:sz w:val="26"/>
      <w:szCs w:val="20"/>
    </w:rPr>
  </w:style>
  <w:style w:type="character" w:styleId="1064" w:customStyle="1">
    <w:name w:val="font41"/>
    <w:basedOn w:val="751"/>
    <w:link w:val="709"/>
    <w:uiPriority w:val="0"/>
    <w:qFormat/>
    <w:rPr>
      <w:rFonts w:hint="eastAsia" w:ascii="宋体" w:hAnsi="宋体" w:eastAsia="宋体" w:cs="宋体"/>
      <w:color w:val="000000"/>
      <w:sz w:val="20"/>
      <w:szCs w:val="20"/>
      <w:u w:val="none"/>
    </w:rPr>
  </w:style>
  <w:style w:type="character" w:styleId="1065" w:customStyle="1">
    <w:name w:val="font61"/>
    <w:basedOn w:val="751"/>
    <w:link w:val="709"/>
    <w:uiPriority w:val="0"/>
    <w:qFormat/>
    <w:rPr>
      <w:rFonts w:ascii="Arial" w:hAnsi="Arial" w:cs="Arial"/>
      <w:color w:val="000000"/>
      <w:sz w:val="20"/>
      <w:szCs w:val="20"/>
      <w:u w:val="none"/>
    </w:rPr>
  </w:style>
  <w:style w:type="table" w:styleId="1066" w:customStyle="1">
    <w:name w:val="Table Normal_1"/>
    <w:uiPriority w:val="0"/>
    <w:unhideWhenUsed/>
    <w:qFormat/>
    <w:rPr>
      <w:rFonts w:ascii="Arial" w:hAnsi="Arial" w:cs="Arial"/>
    </w:rPr>
    <w:tblPr/>
  </w:style>
  <w:style w:type="character" w:styleId="1067" w:customStyle="1">
    <w:name w:val="font11"/>
    <w:basedOn w:val="751"/>
    <w:link w:val="709"/>
    <w:uiPriority w:val="0"/>
    <w:qFormat/>
    <w:rPr>
      <w:rFonts w:hint="eastAsia" w:ascii="宋体" w:hAnsi="宋体" w:eastAsia="宋体" w:cs="宋体"/>
      <w:b/>
      <w:bCs/>
      <w:color w:val="000000"/>
      <w:sz w:val="21"/>
      <w:szCs w:val="21"/>
      <w:u w:val="none"/>
    </w:rPr>
  </w:style>
  <w:style w:type="paragraph" w:styleId="1068" w:customStyle="1">
    <w:name w:val="纯文本7"/>
    <w:basedOn w:val="709"/>
    <w:uiPriority w:val="0"/>
    <w:qFormat/>
    <w:rPr>
      <w:rFonts w:ascii="宋体" w:hAnsi="Courier New"/>
      <w:sz w:val="24"/>
      <w:szCs w:val="20"/>
      <w:lang w:val="zh-CN"/>
    </w:rPr>
  </w:style>
  <w:style w:type="paragraph" w:styleId="1069" w:customStyle="1">
    <w:name w:val="Plain Text1"/>
    <w:basedOn w:val="709"/>
    <w:uiPriority w:val="0"/>
    <w:qFormat/>
    <w:rPr>
      <w:rFonts w:ascii="宋体" w:hAnsi="Courier New"/>
      <w:sz w:val="24"/>
      <w:szCs w:val="20"/>
    </w:rPr>
  </w:style>
  <w:style w:type="character" w:styleId="1070" w:customStyle="1">
    <w:name w:val="font91"/>
    <w:basedOn w:val="719"/>
    <w:uiPriority w:val="0"/>
    <w:qFormat/>
    <w:rPr>
      <w:rFonts w:ascii="Arial" w:hAnsi="Arial" w:cs="Arial"/>
      <w:b/>
      <w:bCs/>
      <w:color w:val="000000"/>
      <w:sz w:val="21"/>
      <w:szCs w:val="21"/>
      <w:u w:val="none"/>
    </w:rPr>
  </w:style>
  <w:style w:type="character" w:styleId="1071" w:customStyle="1">
    <w:name w:val="font51"/>
    <w:basedOn w:val="719"/>
    <w:uiPriority w:val="0"/>
    <w:qFormat/>
    <w:rPr>
      <w:rFonts w:hint="eastAsia" w:ascii="宋体" w:hAnsi="宋体" w:eastAsia="宋体" w:cs="宋体"/>
      <w:color w:val="000000"/>
      <w:sz w:val="24"/>
      <w:szCs w:val="24"/>
      <w:u w:val="none"/>
    </w:rPr>
  </w:style>
  <w:style w:type="character" w:styleId="1072" w:customStyle="1">
    <w:name w:val="font71"/>
    <w:basedOn w:val="719"/>
    <w:uiPriority w:val="0"/>
    <w:qFormat/>
    <w:rPr>
      <w:rFonts w:hint="eastAsia" w:ascii="宋体" w:hAnsi="宋体" w:eastAsia="宋体" w:cs="宋体"/>
      <w:color w:val="000000"/>
      <w:sz w:val="24"/>
      <w:szCs w:val="24"/>
      <w:u w:val="single"/>
    </w:rPr>
  </w:style>
  <w:style w:type="paragraph" w:styleId="1073" w:customStyle="1">
    <w:name w:val="Andy_正文"/>
    <w:basedOn w:val="709"/>
    <w:next w:val="765"/>
    <w:uiPriority w:val="0"/>
    <w:qFormat/>
    <w:pPr>
      <w:ind w:firstLine="480"/>
      <w:spacing w:line="360" w:lineRule="auto"/>
    </w:pPr>
    <w:rPr>
      <w:rFonts w:ascii="Calibri"/>
      <w:sz w:val="24"/>
    </w:rPr>
  </w:style>
  <w:style w:type="paragraph" w:styleId="1074" w:customStyle="1">
    <w:name w:val="列出段落1"/>
    <w:basedOn w:val="709"/>
    <w:uiPriority w:val="0"/>
    <w:qFormat/>
    <w:pPr>
      <w:ind w:firstLine="420"/>
      <w:jc w:val="both"/>
      <w:widowControl w:val="off"/>
    </w:pPr>
    <w:rPr>
      <w:rFonts w:ascii="Calibri" w:hAnsi="Calibri" w:eastAsia="KaiTi_GB2312"/>
      <w:sz w:val="28"/>
      <w:szCs w:val="22"/>
    </w:rPr>
  </w:style>
  <w:style w:type="numbering" w:styleId="10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dc:creator>
  <cp:lastModifiedBy>朱湘云</cp:lastModifiedBy>
  <cp:revision>27</cp:revision>
  <dcterms:created xsi:type="dcterms:W3CDTF">2024-03-13T15:14:00Z</dcterms:created>
  <dcterms:modified xsi:type="dcterms:W3CDTF">2026-08-26T05:56:55Z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AA6662B0133A47CBA51D43B4D52F648B_13</vt:lpwstr>
  </property>
  <property fmtid="{D5CDD505-2E9C-101B-9397-08002B2CF9AE}" pid="4" name="KSOTemplateDocerSaveRecord">
    <vt:lpwstr>eyJoZGlkIjoiMzE4ZDlkOTYwM2M4Y2VlMjVjZWRjYzJkMGUwZDRjMzIiLCJ1c2VySWQiOiIyMzgxMDI5NzUifQ==</vt:lpwstr>
  </property>
</Properties>
</file>