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color w:val="000000"/>
          <w:sz w:val="32"/>
          <w:szCs w:val="32"/>
          <w:highlight w:val="none"/>
        </w:rPr>
      </w:pPr>
      <w:r>
        <w:rPr>
          <w:rFonts w:ascii="宋体" w:hAnsi="宋体" w:cs="宋体"/>
          <w:color w:val="000000"/>
          <w:sz w:val="32"/>
          <w:szCs w:val="32"/>
          <w:highlight w:val="none"/>
        </w:rPr>
      </w:r>
      <w:r/>
    </w:p>
    <w:p>
      <w:pPr>
        <w:ind w:firstLine="300"/>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常州市政府采购项目</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公开采购文件</w:t>
      </w:r>
      <w:r/>
    </w:p>
    <w:p>
      <w:pPr>
        <w:jc w:val="center"/>
        <w:rPr>
          <w:rFonts w:ascii="宋体" w:hAnsi="宋体" w:cs="宋体"/>
          <w:b/>
          <w:bCs/>
          <w:color w:val="000000"/>
          <w:sz w:val="60"/>
          <w:szCs w:val="60"/>
          <w:highlight w:val="none"/>
        </w:rPr>
      </w:pPr>
      <w:r>
        <w:rPr>
          <w:rFonts w:hint="eastAsia" w:ascii="宋体" w:hAnsi="宋体" w:cs="宋体"/>
          <w:b/>
          <w:bCs/>
          <w:color w:val="000000"/>
          <w:sz w:val="60"/>
          <w:szCs w:val="60"/>
          <w:highlight w:val="none"/>
        </w:rPr>
        <w:t xml:space="preserve">（试行）（2022年版）</w:t>
      </w:r>
      <w:r/>
    </w:p>
    <w:p>
      <w:pPr>
        <w:jc w:val="center"/>
        <w:rPr>
          <w:rFonts w:ascii="宋体" w:hAnsi="宋体" w:cs="宋体"/>
          <w:b/>
          <w:bCs/>
          <w:color w:val="000000"/>
          <w:sz w:val="60"/>
          <w:szCs w:val="60"/>
          <w:highlight w:val="none"/>
        </w:rPr>
      </w:pPr>
      <w:r>
        <w:rPr>
          <w:rFonts w:ascii="宋体" w:hAnsi="宋体" w:cs="宋体"/>
          <w:b/>
          <w:bCs/>
          <w:color w:val="000000"/>
          <w:sz w:val="60"/>
          <w:szCs w:val="60"/>
          <w:highlight w:val="none"/>
        </w:rPr>
      </w:r>
      <w:r/>
    </w:p>
    <w:p>
      <w:pPr>
        <w:rPr>
          <w:rFonts w:ascii="宋体" w:hAnsi="宋体" w:cs="宋体"/>
          <w:b/>
          <w:bCs/>
          <w:color w:val="000000"/>
          <w:sz w:val="60"/>
          <w:szCs w:val="60"/>
          <w:highlight w:val="none"/>
        </w:rPr>
      </w:pPr>
      <w:r>
        <w:rPr>
          <w:rFonts w:ascii="宋体" w:hAnsi="宋体" w:cs="宋体"/>
          <w:b/>
          <w:bCs/>
          <w:color w:val="000000"/>
          <w:sz w:val="60"/>
          <w:szCs w:val="60"/>
          <w:highlight w:val="none"/>
        </w:rPr>
      </w:r>
      <w:r/>
    </w:p>
    <w:p>
      <w:pPr>
        <w:pStyle w:val="928"/>
        <w:rPr>
          <w:rFonts w:ascii="宋体" w:hAnsi="宋体" w:cs="宋体"/>
          <w:b/>
          <w:bCs/>
          <w:color w:val="000000"/>
          <w:sz w:val="60"/>
          <w:szCs w:val="60"/>
          <w:highlight w:val="none"/>
        </w:rPr>
      </w:pPr>
      <w:r>
        <w:rPr>
          <w:rFonts w:ascii="宋体" w:hAnsi="宋体" w:cs="宋体"/>
          <w:b/>
          <w:bCs/>
          <w:color w:val="000000"/>
          <w:sz w:val="60"/>
          <w:szCs w:val="60"/>
          <w:highlight w:val="none"/>
        </w:rPr>
      </w:r>
      <w:r/>
    </w:p>
    <w:p>
      <w:pPr>
        <w:pStyle w:val="928"/>
        <w:rPr>
          <w:rFonts w:ascii="宋体" w:hAnsi="宋体" w:cs="宋体"/>
          <w:b/>
          <w:bCs/>
          <w:color w:val="000000"/>
          <w:sz w:val="60"/>
          <w:szCs w:val="60"/>
          <w:highlight w:val="none"/>
        </w:rPr>
      </w:pPr>
      <w:r>
        <w:rPr>
          <w:rFonts w:ascii="宋体" w:hAnsi="宋体" w:cs="宋体"/>
          <w:b/>
          <w:bCs/>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center"/>
        <w:spacing w:line="360" w:lineRule="auto"/>
        <w:rPr>
          <w:rFonts w:ascii="宋体" w:hAnsi="宋体" w:cs="宋体"/>
          <w:color w:val="000000"/>
          <w:sz w:val="60"/>
          <w:szCs w:val="60"/>
          <w:highlight w:val="none"/>
        </w:rPr>
      </w:pPr>
      <w:r>
        <w:rPr>
          <w:rFonts w:ascii="宋体" w:hAnsi="宋体" w:cs="宋体"/>
          <w:color w:val="000000"/>
          <w:sz w:val="60"/>
          <w:szCs w:val="60"/>
          <w:highlight w:val="none"/>
        </w:rPr>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项目名称：</w:t>
      </w:r>
      <w:r>
        <w:rPr>
          <w:rFonts w:hint="eastAsia" w:ascii="宋体" w:hAnsi="宋体" w:cs="宋体"/>
          <w:bCs/>
          <w:color w:val="000000"/>
          <w:sz w:val="36"/>
          <w:szCs w:val="36"/>
          <w:highlight w:val="none"/>
          <w:lang w:eastAsia="zh-CN"/>
        </w:rPr>
        <w:t xml:space="preserve">2026溧阳市嵌入式健身场地采购项目</w:t>
      </w:r>
      <w:r/>
    </w:p>
    <w:p>
      <w:pPr>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 xml:space="preserve">项目编号：JSZC-320481-LCGL-G2026-0021</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 购 人：溧阳市文体广电和旅游局</w:t>
      </w:r>
      <w:r/>
    </w:p>
    <w:p>
      <w:pPr>
        <w:jc w:val="left"/>
        <w:spacing w:line="360" w:lineRule="auto"/>
        <w:tabs>
          <w:tab w:val="left" w:pos="3240" w:leader="none"/>
          <w:tab w:val="left" w:pos="3420" w:leader="none"/>
        </w:tabs>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采购代理机构：江苏立诚建设项目管理咨询有限公司 </w:t>
      </w:r>
      <w:r/>
    </w:p>
    <w:p>
      <w:pPr>
        <w:jc w:val="left"/>
        <w:widowControl/>
        <w:rPr>
          <w:rFonts w:ascii="宋体" w:hAnsi="宋体" w:cs="宋体"/>
          <w:b/>
          <w:bCs/>
          <w:color w:val="000000"/>
          <w:sz w:val="44"/>
          <w:highlight w:val="none"/>
        </w:rPr>
      </w:pPr>
      <w:r>
        <w:rPr>
          <w:rFonts w:hint="eastAsia" w:ascii="宋体" w:hAnsi="宋体" w:cs="宋体"/>
          <w:b/>
          <w:bCs/>
          <w:color w:val="000000"/>
          <w:sz w:val="44"/>
          <w:highlight w:val="none"/>
        </w:rPr>
        <w:br w:type="page" w:clear="all"/>
      </w:r>
      <w:r/>
    </w:p>
    <w:p>
      <w:pPr>
        <w:jc w:val="center"/>
        <w:spacing w:line="360" w:lineRule="auto"/>
        <w:rPr>
          <w:rFonts w:ascii="宋体" w:hAnsi="宋体" w:cs="宋体"/>
          <w:b/>
          <w:color w:val="000000"/>
          <w:sz w:val="36"/>
          <w:szCs w:val="36"/>
          <w:highlight w:val="none"/>
        </w:rPr>
        <w:outlineLvl w:val="0"/>
      </w:pPr>
      <w:r/>
      <w:bookmarkStart w:id="0" w:name="_Toc99301418"/>
      <w:r>
        <w:rPr>
          <w:rFonts w:hint="eastAsia" w:ascii="宋体" w:hAnsi="宋体" w:cs="宋体"/>
          <w:b/>
          <w:color w:val="000000"/>
          <w:sz w:val="36"/>
          <w:szCs w:val="36"/>
          <w:highlight w:val="none"/>
        </w:rPr>
        <w:t xml:space="preserve">目      录</w:t>
      </w:r>
      <w:bookmarkEnd w:id="0"/>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132"/>
        <w:rPr>
          <w:rFonts w:cs="宋体"/>
          <w:b w:val="0"/>
          <w:color w:val="000000"/>
          <w:sz w:val="21"/>
          <w:szCs w:val="22"/>
          <w:highlight w:val="none"/>
        </w:rPr>
      </w:pPr>
      <w:r>
        <w:rPr>
          <w:rFonts w:hint="eastAsia" w:cs="宋体"/>
          <w:b w:val="0"/>
          <w:color w:val="000000"/>
          <w:highlight w:val="none"/>
        </w:rPr>
        <w:fldChar w:fldCharType="begin"/>
      </w:r>
      <w:r>
        <w:rPr>
          <w:rFonts w:hint="eastAsia" w:cs="宋体"/>
          <w:b w:val="0"/>
          <w:color w:val="000000"/>
          <w:highlight w:val="none"/>
        </w:rPr>
        <w:instrText xml:space="preserve"> TOC \o "1-1" \h \z \u </w:instrText>
      </w:r>
      <w:r>
        <w:rPr>
          <w:rFonts w:hint="eastAsia" w:cs="宋体"/>
          <w:b w:val="0"/>
          <w:color w:val="000000"/>
          <w:highlight w:val="none"/>
        </w:rPr>
        <w:fldChar w:fldCharType="separate"/>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55"/>
          <w:rFonts w:hint="eastAsia" w:cs="宋体"/>
          <w:color w:val="000000"/>
          <w:highlight w:val="none"/>
        </w:rPr>
        <w:t xml:space="preserve">第一章   采购邀请</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_Toc99301419 \h </w:instrText>
      </w:r>
      <w:r>
        <w:rPr>
          <w:rFonts w:hint="eastAsia" w:cs="宋体"/>
          <w:color w:val="000000"/>
          <w:highlight w:val="none"/>
        </w:rPr>
        <w:fldChar w:fldCharType="separate"/>
      </w:r>
      <w:r>
        <w:rPr>
          <w:rFonts w:hint="eastAsia" w:cs="宋体"/>
          <w:color w:val="000000"/>
          <w:highlight w:val="none"/>
        </w:rPr>
        <w:t xml:space="preserve">1</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55"/>
          <w:rFonts w:hint="eastAsia" w:cs="宋体"/>
          <w:color w:val="000000"/>
          <w:highlight w:val="none"/>
        </w:rPr>
        <w:t xml:space="preserve">第二章   供应商须知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_Toc99301420 \h </w:instrText>
      </w:r>
      <w:r>
        <w:rPr>
          <w:rFonts w:hint="eastAsia" w:cs="宋体"/>
          <w:color w:val="000000"/>
          <w:highlight w:val="none"/>
        </w:rPr>
        <w:fldChar w:fldCharType="separate"/>
      </w:r>
      <w:r>
        <w:rPr>
          <w:rFonts w:hint="eastAsia" w:cs="宋体"/>
          <w:color w:val="000000"/>
          <w:highlight w:val="none"/>
        </w:rPr>
        <w:t xml:space="preserve">5</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55"/>
          <w:rFonts w:hint="eastAsia" w:cs="宋体"/>
          <w:color w:val="000000"/>
          <w:highlight w:val="none"/>
        </w:rPr>
        <w:t xml:space="preserve">第三章   资</w:t>
      </w:r>
      <w:bookmarkStart w:id="1" w:name="_Hlt100754117"/>
      <w:r>
        <w:rPr>
          <w:rStyle w:val="1155"/>
          <w:rFonts w:hint="eastAsia" w:cs="宋体"/>
          <w:color w:val="000000"/>
          <w:highlight w:val="none"/>
        </w:rPr>
        <w:t xml:space="preserve">格</w:t>
      </w:r>
      <w:bookmarkEnd w:id="1"/>
      <w:r>
        <w:rPr>
          <w:rStyle w:val="1155"/>
          <w:rFonts w:hint="eastAsia" w:cs="宋体"/>
          <w:color w:val="000000"/>
          <w:highlight w:val="none"/>
        </w:rPr>
        <w:t xml:space="preserve">审查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_Toc99301421 \h </w:instrText>
      </w:r>
      <w:r>
        <w:rPr>
          <w:rFonts w:hint="eastAsia" w:cs="宋体"/>
          <w:color w:val="000000"/>
          <w:highlight w:val="none"/>
        </w:rPr>
        <w:fldChar w:fldCharType="separate"/>
      </w:r>
      <w:r>
        <w:rPr>
          <w:rFonts w:hint="eastAsia" w:cs="宋体"/>
          <w:color w:val="000000"/>
          <w:highlight w:val="none"/>
        </w:rPr>
        <w:t xml:space="preserve">18</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55"/>
          <w:rFonts w:hint="eastAsia" w:cs="宋体"/>
          <w:color w:val="000000"/>
          <w:highlight w:val="none"/>
        </w:rPr>
        <w:t xml:space="preserve">第四章   评标程序、评标方法和评标标准</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_Toc99301423 \h </w:instrText>
      </w:r>
      <w:r>
        <w:rPr>
          <w:rFonts w:hint="eastAsia" w:cs="宋体"/>
          <w:color w:val="000000"/>
          <w:highlight w:val="none"/>
        </w:rPr>
        <w:fldChar w:fldCharType="separate"/>
      </w:r>
      <w:r>
        <w:rPr>
          <w:rFonts w:hint="eastAsia" w:cs="宋体"/>
          <w:color w:val="000000"/>
          <w:highlight w:val="none"/>
        </w:rPr>
        <w:t xml:space="preserve">22</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55"/>
          <w:rFonts w:hint="eastAsia" w:cs="宋体"/>
          <w:color w:val="000000"/>
          <w:highlight w:val="none"/>
        </w:rPr>
        <w:t xml:space="preserve">第五章   采购</w:t>
      </w:r>
      <w:bookmarkStart w:id="2" w:name="_Hlt100754102"/>
      <w:r/>
      <w:bookmarkStart w:id="3" w:name="_Hlt100754103"/>
      <w:r>
        <w:rPr>
          <w:rStyle w:val="1155"/>
          <w:rFonts w:hint="eastAsia" w:cs="宋体"/>
          <w:color w:val="000000"/>
          <w:highlight w:val="none"/>
        </w:rPr>
        <w:t xml:space="preserve">需</w:t>
      </w:r>
      <w:bookmarkEnd w:id="2"/>
      <w:r/>
      <w:bookmarkEnd w:id="3"/>
      <w:r>
        <w:rPr>
          <w:rStyle w:val="1155"/>
          <w:rFonts w:hint="eastAsia" w:cs="宋体"/>
          <w:color w:val="000000"/>
          <w:highlight w:val="none"/>
        </w:rPr>
        <w:t xml:space="preserve">求</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_Toc99301424 \h </w:instrText>
      </w:r>
      <w:r>
        <w:rPr>
          <w:rFonts w:hint="eastAsia" w:cs="宋体"/>
          <w:color w:val="000000"/>
          <w:highlight w:val="none"/>
        </w:rPr>
        <w:fldChar w:fldCharType="separate"/>
      </w:r>
      <w:r>
        <w:rPr>
          <w:rFonts w:hint="eastAsia" w:cs="宋体"/>
          <w:color w:val="000000"/>
          <w:highlight w:val="none"/>
        </w:rPr>
        <w:t xml:space="preserve">33</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55"/>
          <w:rFonts w:hint="eastAsia" w:cs="宋体"/>
          <w:color w:val="000000"/>
          <w:highlight w:val="none"/>
        </w:rPr>
        <w:t xml:space="preserve">第六章   拟签订的合同文本</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_Toc99301425 \h </w:instrText>
      </w:r>
      <w:r>
        <w:rPr>
          <w:rFonts w:hint="eastAsia" w:cs="宋体"/>
          <w:color w:val="000000"/>
          <w:highlight w:val="none"/>
        </w:rPr>
        <w:fldChar w:fldCharType="separate"/>
      </w:r>
      <w:r>
        <w:rPr>
          <w:rFonts w:hint="eastAsia" w:cs="宋体"/>
          <w:color w:val="000000"/>
          <w:highlight w:val="none"/>
        </w:rPr>
        <w:t xml:space="preserve">60</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55"/>
          <w:rFonts w:hint="eastAsia" w:cs="宋体"/>
          <w:color w:val="000000"/>
          <w:highlight w:val="none"/>
        </w:rPr>
        <w:t xml:space="preserve">第七章   投标文件格式</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_Toc99301426 \h </w:instrText>
      </w:r>
      <w:r>
        <w:rPr>
          <w:rFonts w:hint="eastAsia" w:cs="宋体"/>
          <w:color w:val="000000"/>
          <w:highlight w:val="none"/>
        </w:rPr>
        <w:fldChar w:fldCharType="separate"/>
      </w:r>
      <w:r>
        <w:rPr>
          <w:rFonts w:hint="eastAsia" w:cs="宋体"/>
          <w:color w:val="000000"/>
          <w:highlight w:val="none"/>
        </w:rPr>
        <w:t xml:space="preserve">78</w:t>
      </w:r>
      <w:r>
        <w:rPr>
          <w:rFonts w:hint="eastAsia" w:cs="宋体"/>
          <w:color w:val="000000"/>
          <w:highlight w:val="none"/>
        </w:rPr>
        <w:fldChar w:fldCharType="end"/>
      </w:r>
      <w:r>
        <w:rPr>
          <w:rFonts w:hint="eastAsia" w:cs="宋体"/>
          <w:color w:val="000000"/>
          <w:highlight w:val="none"/>
        </w:rPr>
        <w:fldChar w:fldCharType="end"/>
      </w:r>
      <w:r/>
    </w:p>
    <w:p>
      <w:pPr>
        <w:pStyle w:val="1132"/>
        <w:spacing w:line="360" w:lineRule="auto"/>
        <w:rPr>
          <w:rFonts w:cs="宋体"/>
          <w:b w:val="0"/>
          <w:color w:val="000000"/>
          <w:highlight w:val="none"/>
        </w:rPr>
      </w:pPr>
      <w:r>
        <w:rPr>
          <w:rFonts w:hint="eastAsia" w:cs="宋体"/>
          <w:b w:val="0"/>
          <w:color w:val="000000"/>
          <w:highlight w:val="none"/>
        </w:rPr>
        <w:fldChar w:fldCharType="end"/>
      </w:r>
      <w:r/>
    </w:p>
    <w:p>
      <w:pPr>
        <w:jc w:val="center"/>
        <w:spacing w:line="360" w:lineRule="auto"/>
        <w:rPr>
          <w:rFonts w:hint="eastAsia" w:ascii="宋体" w:hAnsi="宋体" w:cs="宋体"/>
          <w:b/>
          <w:color w:val="000000"/>
          <w:sz w:val="36"/>
          <w:szCs w:val="36"/>
          <w:highlight w:val="none"/>
        </w:rPr>
        <w:sectPr>
          <w:headerReference w:type="default" r:id="rId9"/>
          <w:footerReference w:type="default" r:id="rId15"/>
          <w:footerReference w:type="even" r:id="rId16"/>
          <w:footnotePr/>
          <w:endnotePr/>
          <w:type w:val="nextPage"/>
          <w:pgSz w:w="11907" w:h="16840" w:orient="portrait"/>
          <w:pgMar w:top="1418" w:right="1134" w:bottom="1418" w:left="1701" w:header="851" w:footer="851" w:gutter="0"/>
          <w:cols w:num="1" w:sep="0" w:space="1701" w:equalWidth="1"/>
          <w:docGrid w:linePitch="360"/>
        </w:sectPr>
        <w:outlineLvl w:val="0"/>
      </w:pPr>
      <w:r/>
      <w:bookmarkStart w:id="4" w:name="_Toc99301419"/>
      <w:r/>
      <w:r/>
    </w:p>
    <w:p>
      <w:pPr>
        <w:jc w:val="center"/>
        <w:spacing w:line="360" w:lineRule="auto"/>
        <w:rPr>
          <w:rFonts w:ascii="宋体" w:hAnsi="宋体" w:cs="宋体"/>
          <w:color w:val="000000"/>
          <w:sz w:val="32"/>
          <w:szCs w:val="32"/>
          <w:highlight w:val="none"/>
        </w:rPr>
        <w:outlineLvl w:val="0"/>
      </w:pPr>
      <w:r>
        <w:rPr>
          <w:rFonts w:hint="eastAsia" w:ascii="宋体" w:hAnsi="宋体" w:cs="宋体"/>
          <w:b/>
          <w:color w:val="000000"/>
          <w:sz w:val="36"/>
          <w:szCs w:val="36"/>
          <w:highlight w:val="none"/>
        </w:rPr>
        <w:t xml:space="preserve">第一章   </w:t>
      </w:r>
      <w:bookmarkEnd w:id="4"/>
      <w:r>
        <w:rPr>
          <w:rFonts w:hint="eastAsia" w:ascii="宋体" w:hAnsi="宋体" w:cs="宋体"/>
          <w:b/>
          <w:color w:val="000000"/>
          <w:sz w:val="36"/>
          <w:szCs w:val="36"/>
          <w:highlight w:val="none"/>
        </w:rPr>
        <w:t xml:space="preserve">采购邀请</w:t>
      </w:r>
      <w:r/>
    </w:p>
    <w:p>
      <w:pPr>
        <w:pStyle w:val="1080"/>
        <w:jc w:val="left"/>
        <w:spacing w:before="0" w:line="360" w:lineRule="auto"/>
        <w:rPr>
          <w:rFonts w:ascii="宋体" w:hAnsi="宋体" w:eastAsia="宋体" w:cs="宋体"/>
          <w:color w:val="000000"/>
          <w:sz w:val="24"/>
          <w:szCs w:val="24"/>
          <w:highlight w:val="none"/>
        </w:rPr>
      </w:pPr>
      <w:r/>
      <w:bookmarkStart w:id="5" w:name="_Toc28359002"/>
      <w:r/>
      <w:bookmarkStart w:id="6" w:name="_Toc35393621"/>
      <w:r/>
      <w:bookmarkStart w:id="7" w:name="_Toc35393790"/>
      <w:r/>
      <w:bookmarkStart w:id="8" w:name="_Toc28359079"/>
      <w:r/>
      <w:bookmarkStart w:id="9" w:name="_Hlk24379207"/>
      <w:r>
        <w:rPr>
          <w:rFonts w:hint="eastAsia" w:ascii="宋体" w:hAnsi="宋体" w:eastAsia="宋体" w:cs="宋体"/>
          <w:color w:val="000000"/>
          <w:sz w:val="24"/>
          <w:szCs w:val="24"/>
          <w:highlight w:val="none"/>
        </w:rPr>
        <w:t xml:space="preserve">一、项目基本情况</w:t>
      </w:r>
      <w:bookmarkEnd w:id="5"/>
      <w:r/>
      <w:bookmarkEnd w:id="6"/>
      <w:r/>
      <w:bookmarkEnd w:id="7"/>
      <w:r/>
      <w:bookmarkEnd w:id="8"/>
      <w:r/>
      <w:r/>
    </w:p>
    <w:p>
      <w:pPr>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JSZC-320481-LCGL-G2026-0021</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bookmarkEnd w:id="9"/>
      <w:r>
        <w:rPr>
          <w:rFonts w:hint="eastAsia" w:ascii="宋体" w:hAnsi="宋体" w:cs="宋体"/>
          <w:color w:val="000000"/>
          <w:sz w:val="24"/>
          <w:highlight w:val="none"/>
          <w:lang w:eastAsia="zh-CN"/>
        </w:rPr>
        <w:t xml:space="preserve">2026溧阳市嵌入式健身场地采购项目</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3.项目预算金额：2</w:t>
      </w:r>
      <w:r>
        <w:rPr>
          <w:rFonts w:hint="eastAsia" w:ascii="宋体" w:hAnsi="宋体" w:cs="宋体"/>
          <w:color w:val="000000"/>
          <w:sz w:val="24"/>
          <w:highlight w:val="none"/>
          <w:lang w:val="en-US" w:eastAsia="zh-CN"/>
        </w:rPr>
        <w:t xml:space="preserve">39</w:t>
      </w:r>
      <w:r>
        <w:rPr>
          <w:rFonts w:hint="eastAsia" w:ascii="宋体" w:hAnsi="宋体" w:cs="宋体"/>
          <w:color w:val="000000"/>
          <w:sz w:val="24"/>
          <w:highlight w:val="none"/>
        </w:rPr>
        <w:t xml:space="preserve">万元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其中采购包1:155万元，采购包2:84万元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
          <w:bCs/>
          <w:color w:val="0000ff"/>
          <w:sz w:val="24"/>
          <w:highlight w:val="none"/>
        </w:rPr>
        <w:t xml:space="preserve">项目最高限价：采购包</w:t>
      </w:r>
      <w:r>
        <w:rPr>
          <w:rFonts w:hint="eastAsia" w:ascii="宋体" w:hAnsi="宋体" w:cs="宋体"/>
          <w:b/>
          <w:bCs/>
          <w:color w:val="0000ff"/>
          <w:sz w:val="24"/>
          <w:highlight w:val="none"/>
          <w:lang w:val="en-US" w:eastAsia="zh-CN"/>
        </w:rPr>
        <w:t xml:space="preserve">1：146</w:t>
      </w:r>
      <w:r>
        <w:rPr>
          <w:rFonts w:hint="eastAsia" w:ascii="宋体" w:hAnsi="宋体" w:cs="宋体"/>
          <w:b/>
          <w:bCs/>
          <w:color w:val="0000ff"/>
          <w:sz w:val="24"/>
          <w:highlight w:val="none"/>
        </w:rPr>
        <w:t xml:space="preserve">万元，采购包</w:t>
      </w:r>
      <w:r>
        <w:rPr>
          <w:rFonts w:hint="eastAsia" w:ascii="宋体" w:hAnsi="宋体" w:cs="宋体"/>
          <w:b/>
          <w:bCs/>
          <w:color w:val="0000ff"/>
          <w:sz w:val="24"/>
          <w:highlight w:val="none"/>
          <w:lang w:val="en-US" w:eastAsia="zh-CN"/>
        </w:rPr>
        <w:t xml:space="preserve">2：82</w:t>
      </w:r>
      <w:r>
        <w:rPr>
          <w:rFonts w:hint="eastAsia" w:ascii="宋体" w:hAnsi="宋体" w:cs="宋体"/>
          <w:b/>
          <w:bCs/>
          <w:color w:val="0000ff"/>
          <w:sz w:val="24"/>
          <w:highlight w:val="none"/>
        </w:rPr>
        <w:t xml:space="preserve">万元。</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lang w:val="en-US" w:eastAsia="zh-CN"/>
        </w:rPr>
        <w:t xml:space="preserve">本项目分为两个采购包，采购包1为</w:t>
      </w:r>
      <w:r>
        <w:rPr>
          <w:rFonts w:hint="eastAsia" w:ascii="宋体" w:hAnsi="宋体" w:cs="宋体"/>
          <w:color w:val="000000"/>
          <w:sz w:val="24"/>
          <w:highlight w:val="none"/>
        </w:rPr>
        <w:t xml:space="preserve">建设嵌入式球场，包括：建设笼式灯光足球场一片、笼式灯光篮球场和圆形灯光篮球场各一片，笼式灯光门球场一片；改造城中村笼式灯光3人制篮球场一片；改建二片笼式灯光足球场围网与灯光。 </w:t>
      </w:r>
      <w:r>
        <w:rPr>
          <w:rFonts w:hint="eastAsia" w:ascii="宋体" w:hAnsi="宋体" w:cs="宋体"/>
          <w:color w:val="000000"/>
          <w:sz w:val="24"/>
          <w:highlight w:val="none"/>
          <w:lang w:val="en-US" w:eastAsia="zh-CN"/>
        </w:rPr>
        <w:t xml:space="preserve">采购包2为</w:t>
      </w:r>
      <w:r>
        <w:rPr>
          <w:rFonts w:hint="eastAsia" w:ascii="宋体" w:hAnsi="宋体" w:cs="宋体"/>
          <w:color w:val="000000"/>
          <w:sz w:val="24"/>
          <w:highlight w:val="none"/>
        </w:rPr>
        <w:t xml:space="preserve">建设嵌入式健身空间，包括：城中村改造和全市口袋公园的5套一代健身路径、6处全龄段的组合型器材和体育场地胶更新、4张乒乓球台和6只足球门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器材安装调试验收合格后，在质保期内的巡检服务工作。</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本项目分为</w:t>
      </w:r>
      <w:r>
        <w:rPr>
          <w:rFonts w:hint="eastAsia" w:ascii="宋体" w:hAnsi="宋体" w:cs="宋体"/>
          <w:b/>
          <w:bCs/>
          <w:color w:val="auto"/>
          <w:sz w:val="24"/>
          <w:highlight w:val="none"/>
          <w:lang w:val="en-US" w:eastAsia="zh-CN"/>
        </w:rPr>
        <w:t xml:space="preserve">两</w:t>
      </w:r>
      <w:r>
        <w:rPr>
          <w:rFonts w:hint="eastAsia" w:ascii="宋体" w:hAnsi="宋体" w:cs="宋体"/>
          <w:b/>
          <w:bCs/>
          <w:color w:val="auto"/>
          <w:sz w:val="24"/>
          <w:highlight w:val="none"/>
        </w:rPr>
        <w:t xml:space="preserve">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，中标顺序为评标顺序，评标顺序为</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顺序。</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根据自身能力，可以参加多个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的投标，在前</w:t>
      </w:r>
      <w:r>
        <w:rPr>
          <w:rFonts w:hint="eastAsia" w:ascii="宋体" w:hAnsi="宋体" w:cs="宋体"/>
          <w:b/>
          <w:bCs/>
          <w:color w:val="auto"/>
          <w:sz w:val="24"/>
          <w:highlight w:val="none"/>
          <w:lang w:val="en-US" w:eastAsia="zh-CN"/>
        </w:rPr>
        <w:t xml:space="preserve">一个采购包</w:t>
      </w:r>
      <w:r>
        <w:rPr>
          <w:rFonts w:hint="eastAsia" w:ascii="宋体" w:hAnsi="宋体" w:cs="宋体"/>
          <w:b/>
          <w:bCs/>
          <w:color w:val="auto"/>
          <w:sz w:val="24"/>
          <w:highlight w:val="none"/>
        </w:rPr>
        <w:t xml:space="preserve">中的中标候选人仍然参与后续</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的评分，但最多只能中</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个</w:t>
      </w:r>
      <w:r>
        <w:rPr>
          <w:rFonts w:hint="eastAsia" w:ascii="宋体" w:hAnsi="宋体" w:cs="宋体"/>
          <w:b/>
          <w:bCs/>
          <w:color w:val="auto"/>
          <w:sz w:val="24"/>
          <w:highlight w:val="none"/>
          <w:lang w:val="en-US" w:eastAsia="zh-CN"/>
        </w:rPr>
        <w:t xml:space="preserve">采购包</w:t>
      </w:r>
      <w:r>
        <w:rPr>
          <w:rFonts w:hint="eastAsia" w:ascii="宋体" w:hAnsi="宋体" w:cs="宋体"/>
          <w:b/>
          <w:bCs/>
          <w:color w:val="auto"/>
          <w:sz w:val="24"/>
          <w:highlight w:val="none"/>
        </w:rPr>
        <w:t xml:space="preserve">。</w:t>
      </w:r>
      <w:r/>
    </w:p>
    <w:p>
      <w:pPr>
        <w:contextualSpacing/>
        <w:ind w:firstLine="480"/>
        <w:spacing w:line="360" w:lineRule="auto"/>
        <w:rPr>
          <w:rFonts w:hint="default" w:ascii="Times New Roman" w:hAnsi="Times New Roman" w:eastAsia="宋体" w:cs="Times New Roman"/>
          <w:i/>
          <w:sz w:val="24"/>
          <w:highlight w:val="none"/>
        </w:rPr>
      </w:pPr>
      <w:r>
        <w:rPr>
          <w:rFonts w:hint="eastAsia" w:ascii="宋体" w:hAnsi="宋体" w:cs="宋体"/>
          <w:color w:val="000000"/>
          <w:sz w:val="24"/>
          <w:highlight w:val="none"/>
        </w:rPr>
        <w:t xml:space="preserve">6.交付期限：根据采购人的要求分批供货，但各采购包均须确保在2026年11月30日前完成供货并安装调试完毕</w:t>
      </w:r>
      <w:r>
        <w:rPr>
          <w:rFonts w:hint="eastAsia" w:ascii="宋体" w:hAnsi="宋体" w:cs="宋体"/>
          <w:b/>
          <w:bCs/>
          <w:color w:val="auto"/>
          <w:sz w:val="24"/>
          <w:highlight w:val="none"/>
        </w:rPr>
        <w:t xml:space="preserve">。</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7.本项目不接受联合体投标。</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8.本项目不接受进口产品投标。</w:t>
      </w:r>
      <w:r/>
    </w:p>
    <w:p>
      <w:pPr>
        <w:pStyle w:val="1080"/>
        <w:jc w:val="left"/>
        <w:spacing w:before="0" w:line="360" w:lineRule="auto"/>
        <w:rPr>
          <w:rFonts w:ascii="宋体" w:hAnsi="宋体" w:eastAsia="宋体" w:cs="宋体"/>
          <w:color w:val="000000"/>
          <w:sz w:val="24"/>
          <w:szCs w:val="24"/>
          <w:highlight w:val="none"/>
        </w:rPr>
      </w:pPr>
      <w:r/>
      <w:bookmarkStart w:id="10" w:name="_Toc35393622"/>
      <w:r/>
      <w:bookmarkStart w:id="11" w:name="_Toc28359080"/>
      <w:r/>
      <w:bookmarkStart w:id="12" w:name="_Toc35393791"/>
      <w:r/>
      <w:bookmarkStart w:id="13" w:name="_Toc28359003"/>
      <w:r>
        <w:rPr>
          <w:rFonts w:hint="eastAsia" w:ascii="宋体" w:hAnsi="宋体" w:eastAsia="宋体" w:cs="宋体"/>
          <w:color w:val="000000"/>
          <w:sz w:val="24"/>
          <w:szCs w:val="24"/>
          <w:highlight w:val="none"/>
        </w:rPr>
        <w:t xml:space="preserve">二、供应商的资格要求（须同时满足）</w:t>
      </w:r>
      <w:bookmarkEnd w:id="10"/>
      <w:r/>
      <w:bookmarkEnd w:id="11"/>
      <w:r/>
      <w:bookmarkEnd w:id="12"/>
      <w:r/>
      <w:bookmarkEnd w:id="13"/>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1.满足《中华人民共和国政府采购法》第二十二条规定以及下列情形：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1.1未被“信用中国”网站（www.creditchina.gov.cn）、“中国政府采购网”网站（www.ccgp.gov.cn）列入失信被执行人、重大 税收违法案件当事人名单、政府采购严重失信行为记录名单；</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1.2单位负责人为同一人或者存在直接控股、管理关系的不同供应商不得参加同一合同项下的政府采购活动。</w:t>
      </w:r>
      <w:r/>
    </w:p>
    <w:p>
      <w:pPr>
        <w:ind w:firstLine="480"/>
        <w:spacing w:line="360" w:lineRule="auto"/>
        <w:rPr>
          <w:rFonts w:ascii="宋体" w:hAnsi="宋体" w:cs="宋体"/>
          <w:b/>
          <w:bCs/>
          <w:color w:val="000000"/>
          <w:sz w:val="24"/>
          <w:highlight w:val="none"/>
        </w:rPr>
      </w:pPr>
      <w:r/>
      <w:bookmarkStart w:id="14" w:name="_Toc28359004"/>
      <w:r/>
      <w:bookmarkStart w:id="15" w:name="_Toc28359081"/>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本项目专门面向中小企业采购。即：提供的货物全部由符合政策要求的中小企业制造。监狱企业和残疾人福利性单位视同小微企业。</w:t>
      </w:r>
      <w:r/>
    </w:p>
    <w:p>
      <w:pPr>
        <w:ind w:firstLine="480"/>
        <w:spacing w:line="360" w:lineRule="auto"/>
        <w:rPr>
          <w:rFonts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rFonts w:ascii="宋体" w:hAnsi="宋体" w:cs="宋体"/>
          <w:b/>
          <w:bCs/>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b/>
          <w:bCs/>
          <w:color w:val="000000"/>
          <w:sz w:val="24"/>
          <w:highlight w:val="none"/>
        </w:rPr>
        <w:t xml:space="preserve">/。</w:t>
      </w:r>
      <w:bookmarkEnd w:id="14"/>
      <w:r/>
      <w:bookmarkEnd w:id="15"/>
      <w:r/>
      <w:r/>
    </w:p>
    <w:p>
      <w:pPr>
        <w:pStyle w:val="1080"/>
        <w:jc w:val="left"/>
        <w:spacing w:before="0" w:line="360" w:lineRule="auto"/>
        <w:widowControl/>
        <w:rPr>
          <w:rFonts w:ascii="宋体" w:hAnsi="宋体" w:eastAsia="宋体" w:cs="宋体"/>
          <w:color w:val="000000"/>
          <w:sz w:val="24"/>
          <w:szCs w:val="24"/>
          <w:highlight w:val="none"/>
        </w:rPr>
      </w:pPr>
      <w:r/>
      <w:bookmarkStart w:id="16" w:name="_Toc35393792"/>
      <w:r/>
      <w:bookmarkStart w:id="17" w:name="_Toc35393623"/>
      <w:r>
        <w:rPr>
          <w:rFonts w:hint="eastAsia" w:ascii="宋体" w:hAnsi="宋体" w:eastAsia="宋体" w:cs="宋体"/>
          <w:color w:val="000000"/>
          <w:sz w:val="24"/>
          <w:szCs w:val="24"/>
          <w:highlight w:val="none"/>
        </w:rPr>
        <w:t xml:space="preserve">三、获取</w:t>
      </w:r>
      <w:bookmarkEnd w:id="16"/>
      <w:r/>
      <w:bookmarkEnd w:id="17"/>
      <w:r>
        <w:rPr>
          <w:rFonts w:hint="eastAsia" w:ascii="宋体" w:hAnsi="宋体" w:eastAsia="宋体" w:cs="宋体"/>
          <w:color w:val="000000"/>
          <w:sz w:val="24"/>
          <w:szCs w:val="24"/>
          <w:highlight w:val="none"/>
        </w:rPr>
        <w:t xml:space="preserve">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1.时间：公告发布之日起5个工作日。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2.地点：苏采云</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3.方式：供应商持CA数字认证证书登录“苏采云”系统获取电子版采购文件。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p>
    <w:p>
      <w:pPr>
        <w:ind w:left="840"/>
        <w:spacing w:line="360" w:lineRule="auto"/>
        <w:tabs>
          <w:tab w:val="left" w:pos="900" w:leader="none"/>
          <w:tab w:val="left" w:pos="1980" w:leader="none"/>
        </w:tabs>
        <w:rPr>
          <w:rFonts w:ascii="宋体" w:hAnsi="宋体" w:cs="宋体"/>
          <w:color w:val="000000"/>
          <w:sz w:val="24"/>
          <w:highlight w:val="none"/>
        </w:rPr>
      </w:pPr>
      <w:r>
        <w:rPr>
          <w:rFonts w:ascii="宋体" w:hAnsi="宋体" w:cs="宋体"/>
          <w:color w:val="000000"/>
          <w:sz w:val="24"/>
          <w:highlight w:val="none"/>
        </w:rPr>
      </w:r>
      <w:r/>
    </w:p>
    <w:p>
      <w:pPr>
        <w:pStyle w:val="1080"/>
        <w:jc w:val="left"/>
        <w:spacing w:before="0" w:line="360" w:lineRule="auto"/>
        <w:widowControl/>
        <w:rPr>
          <w:rFonts w:ascii="宋体" w:hAnsi="宋体" w:eastAsia="宋体" w:cs="宋体"/>
          <w:color w:val="000000"/>
          <w:sz w:val="24"/>
          <w:szCs w:val="24"/>
          <w:highlight w:val="none"/>
        </w:rPr>
      </w:pPr>
      <w:r/>
      <w:bookmarkStart w:id="18" w:name="_Toc28359005"/>
      <w:r/>
      <w:bookmarkStart w:id="19" w:name="_Toc28359082"/>
      <w:r/>
      <w:bookmarkStart w:id="20" w:name="_Toc35393793"/>
      <w:r/>
      <w:bookmarkStart w:id="21" w:name="_Toc35393624"/>
      <w:r>
        <w:rPr>
          <w:rFonts w:hint="eastAsia" w:ascii="宋体" w:hAnsi="宋体" w:eastAsia="宋体" w:cs="宋体"/>
          <w:color w:val="000000"/>
          <w:sz w:val="24"/>
          <w:szCs w:val="24"/>
          <w:highlight w:val="none"/>
        </w:rPr>
        <w:t xml:space="preserve">四、提交投标文件</w:t>
      </w:r>
      <w:bookmarkEnd w:id="18"/>
      <w:r/>
      <w:bookmarkEnd w:id="19"/>
      <w:r>
        <w:rPr>
          <w:rFonts w:hint="eastAsia" w:ascii="宋体" w:hAnsi="宋体" w:eastAsia="宋体" w:cs="宋体"/>
          <w:color w:val="000000"/>
          <w:sz w:val="24"/>
          <w:szCs w:val="24"/>
          <w:highlight w:val="none"/>
        </w:rPr>
        <w:t xml:space="preserve">截止时间、开标时间和地点</w:t>
      </w:r>
      <w:bookmarkEnd w:id="20"/>
      <w:r/>
      <w:bookmarkEnd w:id="21"/>
      <w:r/>
      <w:r/>
    </w:p>
    <w:p>
      <w:pPr>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投标截止时间、开标时间：202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lang w:val="en-US" w:eastAsia="zh-CN" w:bidi="ar"/>
        </w:rPr>
        <w:t xml:space="preserve">9时3</w:t>
      </w:r>
      <w:r>
        <w:rPr>
          <w:rFonts w:hint="eastAsia" w:ascii="宋体" w:hAnsi="宋体" w:cs="宋体"/>
          <w:color w:val="000000"/>
          <w:sz w:val="24"/>
          <w:highlight w:val="none"/>
          <w:lang w:bidi="ar"/>
        </w:rPr>
        <w:t xml:space="preserve">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rPr>
        <w:t xml:space="preserve">本项目采用不见面交易方式，无需到现场提交，供应商登录“苏采云”供应商端，通过系统在线提交电子投标文件</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bCs/>
          <w:color w:val="000000"/>
          <w:sz w:val="24"/>
          <w:highlight w:val="none"/>
          <w:u w:val="single"/>
        </w:rPr>
      </w:pPr>
      <w:r>
        <w:rPr>
          <w:rFonts w:ascii="宋体" w:hAnsi="宋体" w:cs="宋体"/>
          <w:bCs/>
          <w:color w:val="000000"/>
          <w:sz w:val="24"/>
          <w:highlight w:val="none"/>
          <w:u w:val="single"/>
        </w:rPr>
      </w:r>
      <w:r/>
    </w:p>
    <w:p>
      <w:pPr>
        <w:pStyle w:val="1080"/>
        <w:jc w:val="left"/>
        <w:spacing w:before="0" w:line="360" w:lineRule="auto"/>
        <w:rPr>
          <w:rFonts w:ascii="宋体" w:hAnsi="宋体" w:eastAsia="宋体" w:cs="宋体"/>
          <w:color w:val="000000"/>
          <w:sz w:val="24"/>
          <w:szCs w:val="24"/>
          <w:highlight w:val="none"/>
        </w:rPr>
      </w:pPr>
      <w:r/>
      <w:bookmarkStart w:id="22" w:name="_Toc35393794"/>
      <w:r/>
      <w:bookmarkStart w:id="23" w:name="_Toc35393625"/>
      <w:r/>
      <w:bookmarkStart w:id="24" w:name="_Toc28359084"/>
      <w:r/>
      <w:bookmarkStart w:id="25" w:name="_Toc28359007"/>
      <w:r>
        <w:rPr>
          <w:rFonts w:hint="eastAsia" w:ascii="宋体" w:hAnsi="宋体" w:eastAsia="宋体" w:cs="宋体"/>
          <w:color w:val="000000"/>
          <w:sz w:val="24"/>
          <w:szCs w:val="24"/>
          <w:highlight w:val="none"/>
        </w:rPr>
        <w:t xml:space="preserve">五、公告期限</w:t>
      </w:r>
      <w:bookmarkEnd w:id="22"/>
      <w:r/>
      <w:bookmarkEnd w:id="23"/>
      <w:r/>
      <w:bookmarkEnd w:id="24"/>
      <w:r/>
      <w:bookmarkEnd w:id="25"/>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r>
      <w:r/>
    </w:p>
    <w:p>
      <w:pPr>
        <w:pStyle w:val="1080"/>
        <w:jc w:val="left"/>
        <w:spacing w:before="0" w:line="360" w:lineRule="auto"/>
        <w:rPr>
          <w:rFonts w:ascii="宋体" w:hAnsi="宋体" w:eastAsia="宋体" w:cs="宋体"/>
          <w:color w:val="000000"/>
          <w:sz w:val="24"/>
          <w:szCs w:val="24"/>
          <w:highlight w:val="none"/>
        </w:rPr>
      </w:pPr>
      <w:r/>
      <w:bookmarkStart w:id="26" w:name="_Toc35393626"/>
      <w:r/>
      <w:bookmarkStart w:id="27" w:name="_Toc35393795"/>
      <w:r>
        <w:rPr>
          <w:rFonts w:hint="eastAsia" w:ascii="宋体" w:hAnsi="宋体" w:eastAsia="宋体" w:cs="宋体"/>
          <w:color w:val="000000"/>
          <w:sz w:val="24"/>
          <w:szCs w:val="24"/>
          <w:highlight w:val="none"/>
        </w:rPr>
        <w:t xml:space="preserve">六、其他补充事宜</w:t>
      </w:r>
      <w:bookmarkEnd w:id="26"/>
      <w:r/>
      <w:bookmarkEnd w:id="27"/>
      <w:r/>
      <w:r/>
    </w:p>
    <w:p>
      <w:pPr>
        <w:ind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b/>
          <w:bCs/>
          <w:color w:val="000000"/>
          <w:sz w:val="24"/>
          <w:highlight w:val="none"/>
          <w:lang w:bidi="ar"/>
        </w:rPr>
        <w:t xml:space="preserve">扶持中小企业、残疾人福利单位、监狱企业，节能、环境产品</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如有</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bidi="ar"/>
        </w:rPr>
        <w:t xml:space="preserve">，绿色包装</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本国产品</w:t>
      </w:r>
      <w:r>
        <w:rPr>
          <w:rFonts w:hint="eastAsia" w:ascii="宋体" w:hAnsi="宋体" w:cs="宋体"/>
          <w:b/>
          <w:bCs/>
          <w:color w:val="000000"/>
          <w:sz w:val="24"/>
          <w:highlight w:val="none"/>
          <w:lang w:bidi="ar"/>
        </w:rPr>
        <w:t xml:space="preserve">。</w:t>
      </w:r>
      <w:r>
        <w:rPr>
          <w:rFonts w:hint="eastAsia" w:ascii="宋体" w:hAnsi="宋体" w:cs="宋体"/>
          <w:b/>
          <w:bCs/>
          <w:color w:val="000000"/>
          <w:sz w:val="24"/>
          <w:highlight w:val="none"/>
        </w:rPr>
        <w:t xml:space="preserve"> </w:t>
      </w:r>
      <w:r/>
    </w:p>
    <w:p>
      <w:pPr>
        <w:ind w:firstLine="480"/>
        <w:jc w:val="left"/>
        <w:spacing w:line="360" w:lineRule="auto"/>
        <w:widowControl/>
        <w:rPr>
          <w:rFonts w:ascii="宋体" w:hAnsi="宋体" w:cs="宋体"/>
          <w:bCs/>
          <w:color w:val="000000"/>
          <w:sz w:val="24"/>
          <w:highlight w:val="none"/>
        </w:rPr>
      </w:pPr>
      <w:r>
        <w:rPr>
          <w:rFonts w:hint="eastAsia" w:ascii="宋体" w:hAnsi="宋体" w:cs="宋体"/>
          <w:color w:val="000000"/>
          <w:sz w:val="24"/>
          <w:highlight w:val="none"/>
          <w:lang w:bidi="ar"/>
        </w:rPr>
        <w:t xml:space="preserve">2.本项目采用不见面交易方式，请供应商认真学习常州市政府采购网发布的相关操作手册，办理CA认证证书、进行“苏采云”系统注册绑定，并认真核实</w:t>
      </w:r>
      <w:r>
        <w:rPr>
          <w:rFonts w:hint="eastAsia" w:ascii="宋体" w:hAnsi="宋体" w:cs="宋体"/>
          <w:bCs/>
          <w:color w:val="000000"/>
          <w:sz w:val="24"/>
          <w:highlight w:val="none"/>
          <w:lang w:bidi="ar"/>
        </w:rPr>
        <w:t xml:space="preserve">数字认证证书情况确认是否符合本项目电子化采购流程要求。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技术支持服务热线    0519-85588210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CA认证证书办理（可邮寄）联系电话   0519-85588120</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2.1办理CA认证证书</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供应商登录常州市政府采购网“下载中心”下载并查阅 “江苏省政府采购数字证书CA及电子签章办理指南”，按照程序要求办理。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2.2注册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2.3控件、客户端下载</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供应商登录常州市政府采购网“下载中心”-“政府采购管理交易系统（苏采云）CA及签章控件驱动”下载相关控件和客户端。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2.4 获取电子采购文件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供应商持CA数字认证证书登录“苏采云”获取电子采购文件。未在规定期限内通过“苏采云”获取采购文件的</w:t>
      </w:r>
      <w:r>
        <w:rPr>
          <w:rFonts w:hint="eastAsia" w:ascii="宋体" w:hAnsi="宋体" w:cs="宋体"/>
          <w:b/>
          <w:color w:val="000000"/>
          <w:sz w:val="24"/>
          <w:highlight w:val="none"/>
          <w:lang w:bidi="ar"/>
        </w:rPr>
        <w:t xml:space="preserve">投标无效</w:t>
      </w:r>
      <w:r>
        <w:rPr>
          <w:rFonts w:hint="eastAsia" w:ascii="宋体" w:hAnsi="宋体" w:cs="宋体"/>
          <w:color w:val="000000"/>
          <w:sz w:val="24"/>
          <w:highlight w:val="none"/>
          <w:lang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2.5编制电子投标文件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供应商应使用电子投标文件制作客户端编制电子投标文件并进行线上投标，供应商电子投标文件需要加密并加盖电子签章</w:t>
      </w:r>
      <w:r>
        <w:rPr>
          <w:rFonts w:hint="eastAsia" w:ascii="宋体" w:hAnsi="宋体" w:cs="宋体"/>
          <w:bCs/>
          <w:color w:val="000000"/>
          <w:sz w:val="24"/>
          <w:highlight w:val="none"/>
          <w:lang w:bidi="ar"/>
        </w:rPr>
        <w:t xml:space="preserve">，如无法按照要求在电子投标文件中加盖电子签章和加密，请及时通过技术支持服务热线联系技术人员</w:t>
      </w:r>
      <w:r>
        <w:rPr>
          <w:rFonts w:hint="eastAsia" w:ascii="宋体" w:hAnsi="宋体" w:cs="宋体"/>
          <w:color w:val="000000"/>
          <w:sz w:val="24"/>
          <w:highlight w:val="none"/>
          <w:lang w:bidi="ar"/>
        </w:rPr>
        <w:t xml:space="preserve">。</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eastAsia="zh-TW" w:bidi="ar"/>
        </w:rPr>
        <w:t xml:space="preserve">.6</w:t>
      </w:r>
      <w:r>
        <w:rPr>
          <w:rFonts w:hint="eastAsia" w:ascii="宋体" w:hAnsi="宋体" w:cs="宋体"/>
          <w:color w:val="000000"/>
          <w:sz w:val="24"/>
          <w:highlight w:val="none"/>
          <w:lang w:val="zh-TW" w:bidi="ar"/>
        </w:rPr>
        <w:t xml:space="preserve">提交电子投标文件</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供应商应于投标截止时间前在“苏采云”提交电子投标文件，上传电子投标文件过程中请保持与互联网的连接畅通。</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w:t>
      </w:r>
      <w:r>
        <w:rPr>
          <w:rFonts w:hint="eastAsia" w:ascii="宋体" w:hAnsi="宋体" w:cs="宋体"/>
          <w:color w:val="000000"/>
          <w:sz w:val="24"/>
          <w:highlight w:val="none"/>
          <w:lang w:val="zh-TW" w:eastAsia="zh-TW" w:bidi="ar"/>
        </w:rPr>
        <w:t xml:space="preserve">7</w:t>
      </w:r>
      <w:r>
        <w:rPr>
          <w:rFonts w:hint="eastAsia" w:ascii="宋体" w:hAnsi="宋体" w:cs="宋体"/>
          <w:color w:val="000000"/>
          <w:sz w:val="24"/>
          <w:highlight w:val="none"/>
          <w:lang w:val="zh-TW" w:bidi="ar"/>
        </w:rPr>
        <w:t xml:space="preserve">电子开标</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供应商使用</w:t>
      </w:r>
      <w:r>
        <w:rPr>
          <w:rFonts w:hint="eastAsia" w:ascii="宋体" w:hAnsi="宋体" w:cs="宋体"/>
          <w:color w:val="000000"/>
          <w:sz w:val="24"/>
          <w:highlight w:val="none"/>
          <w:lang w:bidi="ar"/>
        </w:rPr>
        <w:t xml:space="preserve">CA认证证书</w:t>
      </w:r>
      <w:r>
        <w:rPr>
          <w:rFonts w:hint="eastAsia" w:ascii="宋体" w:hAnsi="宋体" w:cs="宋体"/>
          <w:color w:val="000000"/>
          <w:sz w:val="24"/>
          <w:highlight w:val="none"/>
          <w:lang w:val="zh-TW" w:bidi="ar"/>
        </w:rPr>
        <w:t xml:space="preserve">登录</w:t>
      </w:r>
      <w:r>
        <w:rPr>
          <w:rFonts w:hint="eastAsia" w:ascii="宋体" w:hAnsi="宋体" w:cs="宋体"/>
          <w:color w:val="000000"/>
          <w:sz w:val="24"/>
          <w:highlight w:val="none"/>
          <w:lang w:bidi="ar"/>
        </w:rPr>
        <w:t xml:space="preserve">“苏采云”进行电子化不见面开标</w:t>
      </w:r>
      <w:r>
        <w:rPr>
          <w:rFonts w:hint="eastAsia" w:ascii="宋体" w:hAnsi="宋体" w:cs="宋体"/>
          <w:color w:val="000000"/>
          <w:sz w:val="24"/>
          <w:highlight w:val="none"/>
          <w:lang w:val="zh-TW" w:bidi="ar"/>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zh-TW" w:bidi="ar"/>
        </w:rPr>
        <w:t xml:space="preserve">.8注意事项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供应商在开标前应当</w:t>
      </w:r>
      <w:r>
        <w:rPr>
          <w:rFonts w:hint="eastAsia" w:ascii="宋体" w:hAnsi="宋体" w:cs="宋体"/>
          <w:color w:val="000000"/>
          <w:sz w:val="24"/>
          <w:highlight w:val="none"/>
        </w:rPr>
        <w:t xml:space="preserve">使用“验证CA”功能验证本地计算机的控件环境是否正常，并且在开标、评审过程中不可随意更换计算机，必须使用验证成功的计算机进行操作，否则造成相应后果由供应商自行承担。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zh-TW" w:bidi="ar"/>
        </w:rPr>
        <w:t xml:space="preserve">.关于常州市中小企业政府采购信用融资：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1080"/>
        <w:jc w:val="left"/>
        <w:spacing w:before="0" w:line="360" w:lineRule="auto"/>
        <w:rPr>
          <w:rFonts w:ascii="宋体" w:hAnsi="宋体" w:eastAsia="宋体" w:cs="宋体"/>
          <w:color w:val="000000"/>
          <w:sz w:val="24"/>
          <w:szCs w:val="24"/>
          <w:highlight w:val="none"/>
        </w:rPr>
      </w:pPr>
      <w:r/>
      <w:bookmarkStart w:id="28" w:name="_Toc28359008"/>
      <w:r/>
      <w:bookmarkStart w:id="29" w:name="_Toc35393796"/>
      <w:r/>
      <w:bookmarkStart w:id="30" w:name="_Toc35393627"/>
      <w:r/>
      <w:bookmarkStart w:id="31" w:name="_Toc28359085"/>
      <w:r>
        <w:rPr>
          <w:rFonts w:hint="eastAsia" w:ascii="宋体" w:hAnsi="宋体" w:eastAsia="宋体" w:cs="宋体"/>
          <w:color w:val="000000"/>
          <w:sz w:val="24"/>
          <w:szCs w:val="24"/>
          <w:highlight w:val="none"/>
        </w:rPr>
        <w:t xml:space="preserve">七、对本次采购提出询问，请按以下方式联系。</w:t>
      </w:r>
      <w:bookmarkEnd w:id="28"/>
      <w:r/>
      <w:bookmarkEnd w:id="29"/>
      <w:r/>
      <w:bookmarkEnd w:id="30"/>
      <w:r/>
      <w:bookmarkEnd w:id="31"/>
      <w:r/>
      <w:r/>
    </w:p>
    <w:p>
      <w:pPr>
        <w:jc w:val="left"/>
        <w:spacing w:line="360" w:lineRule="auto"/>
        <w:widowControl/>
        <w:rPr>
          <w:b/>
          <w:color w:val="000000" w:themeColor="text1"/>
          <w:sz w:val="24"/>
          <w:highlight w:val="none"/>
          <w14:textFill>
            <w14:solidFill>
              <w14:schemeClr w14:val="tx1"/>
            </w14:solidFill>
          </w14:textFill>
        </w:rPr>
      </w:pP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b/>
          <w:color w:val="000000" w:themeColor="text1"/>
          <w:sz w:val="24"/>
          <w:highlight w:val="none"/>
          <w14:textFill>
            <w14:solidFill>
              <w14:schemeClr w14:val="tx1"/>
            </w14:solidFill>
          </w14:textFill>
        </w:rPr>
        <w:t xml:space="preserve">1.采购人信息</w:t>
      </w:r>
      <w:r/>
    </w:p>
    <w:p>
      <w:pPr>
        <w:ind w:left="1079" w:hanging="300"/>
        <w:jc w:val="left"/>
        <w:spacing w:line="360" w:lineRule="auto"/>
        <w:rPr>
          <w:color w:val="000000" w:themeColor="text1"/>
          <w:sz w:val="24"/>
          <w:highlight w:val="none"/>
          <w14:textFill>
            <w14:solidFill>
              <w14:schemeClr w14:val="tx1"/>
            </w14:solidFill>
          </w14:textFill>
        </w:rPr>
      </w:pPr>
      <w:r/>
      <w:bookmarkStart w:id="32" w:name="_Toc28359086"/>
      <w:r/>
      <w:bookmarkStart w:id="33" w:name="_Toc28359009"/>
      <w:r>
        <w:rPr>
          <w:color w:val="000000" w:themeColor="text1"/>
          <w:sz w:val="24"/>
          <w:highlight w:val="none"/>
          <w14:textFill>
            <w14:solidFill>
              <w14:schemeClr w14:val="tx1"/>
            </w14:solidFill>
          </w14:textFill>
        </w:rPr>
        <w:t xml:space="preserve">名    称：</w:t>
      </w:r>
      <w:r>
        <w:rPr>
          <w:rFonts w:hint="eastAsia" w:ascii="宋体" w:hAnsi="宋体" w:cs="宋体"/>
          <w:sz w:val="24"/>
          <w:highlight w:val="none"/>
        </w:rPr>
        <w:t xml:space="preserve">溧阳市文体广电和旅游局</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color w:val="000000" w:themeColor="text1"/>
          <w:sz w:val="24"/>
          <w:highlight w:val="none"/>
          <w14:textFill>
            <w14:solidFill>
              <w14:schemeClr w14:val="tx1"/>
            </w14:solidFill>
          </w14:textFill>
        </w:rPr>
        <w:t xml:space="preserve">溧阳市育才路5</w:t>
      </w:r>
      <w:r>
        <w:rPr>
          <w:rFonts w:hint="eastAsia"/>
          <w:color w:val="000000" w:themeColor="text1"/>
          <w:sz w:val="24"/>
          <w:highlight w:val="none"/>
          <w:lang w:val="en-US" w:eastAsia="zh-CN"/>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号</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color w:val="000000" w:themeColor="text1"/>
          <w:sz w:val="24"/>
          <w:highlight w:val="none"/>
          <w:lang w:val="en-US" w:eastAsia="zh-CN"/>
          <w14:textFill>
            <w14:solidFill>
              <w14:schemeClr w14:val="tx1"/>
            </w14:solidFill>
          </w14:textFill>
        </w:rPr>
        <w:t xml:space="preserve">周女士  </w:t>
      </w:r>
      <w:r>
        <w:rPr>
          <w:rFonts w:hint="eastAsia"/>
          <w:color w:val="000000" w:themeColor="text1"/>
          <w:sz w:val="24"/>
          <w:highlight w:val="none"/>
          <w14:textFill>
            <w14:solidFill>
              <w14:schemeClr w14:val="tx1"/>
            </w14:solidFill>
          </w14:textFill>
        </w:rPr>
        <w:t xml:space="preserve">0519-87929728</w:t>
      </w:r>
      <w:r/>
    </w:p>
    <w:p>
      <w:pPr>
        <w:ind w:left="1078" w:hanging="299"/>
        <w:jc w:val="left"/>
        <w:spacing w:line="360" w:lineRule="auto"/>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 xml:space="preserve">2.采购代理机构信息</w:t>
      </w:r>
      <w:bookmarkEnd w:id="32"/>
      <w:r/>
      <w:bookmarkEnd w:id="33"/>
      <w:r/>
      <w:r/>
    </w:p>
    <w:p>
      <w:pPr>
        <w:ind w:left="1076" w:hanging="297"/>
        <w:jc w:val="left"/>
        <w:spacing w:line="360" w:lineRule="auto"/>
        <w:rPr>
          <w:color w:val="000000" w:themeColor="text1"/>
          <w:sz w:val="24"/>
          <w:highlight w:val="none"/>
          <w14:textFill>
            <w14:solidFill>
              <w14:schemeClr w14:val="tx1"/>
            </w14:solidFill>
          </w14:textFill>
        </w:rPr>
      </w:pPr>
      <w:r/>
      <w:bookmarkStart w:id="34" w:name="_Toc28359087"/>
      <w:r/>
      <w:bookmarkStart w:id="35" w:name="_Toc28359010"/>
      <w:r>
        <w:rPr>
          <w:color w:val="000000" w:themeColor="text1"/>
          <w:sz w:val="24"/>
          <w:highlight w:val="none"/>
          <w14:textFill>
            <w14:solidFill>
              <w14:schemeClr w14:val="tx1"/>
            </w14:solidFill>
          </w14:textFill>
        </w:rPr>
        <w:t xml:space="preserve">名   称：</w:t>
      </w:r>
      <w:r>
        <w:rPr>
          <w:rFonts w:hint="eastAsia" w:ascii="宋体" w:hAnsi="宋体"/>
          <w:color w:val="000000" w:themeColor="text1"/>
          <w:sz w:val="24"/>
          <w:highlight w:val="none"/>
          <w14:textFill>
            <w14:solidFill>
              <w14:schemeClr w14:val="tx1"/>
            </w14:solidFill>
          </w14:textFill>
        </w:rPr>
        <w:t xml:space="preserve">江苏立诚建设项目管理咨询有限公司</w:t>
      </w:r>
      <w:r/>
    </w:p>
    <w:p>
      <w:pPr>
        <w:ind w:left="1076" w:hanging="297"/>
        <w:jc w:val="left"/>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地   址：</w:t>
      </w:r>
      <w:r>
        <w:rPr>
          <w:rFonts w:hint="eastAsia" w:ascii="宋体" w:hAnsi="宋体"/>
          <w:color w:val="000000" w:themeColor="text1"/>
          <w:sz w:val="24"/>
          <w:highlight w:val="none"/>
          <w14:textFill>
            <w14:solidFill>
              <w14:schemeClr w14:val="tx1"/>
            </w14:solidFill>
          </w14:textFill>
        </w:rPr>
        <w:t xml:space="preserve">江苏省溧阳市古县街道奥体大道3001号贝桥嘉苑36幢101室2层-2</w:t>
      </w:r>
      <w:r/>
    </w:p>
    <w:p>
      <w:pPr>
        <w:ind w:left="1076" w:hanging="297"/>
        <w:jc w:val="left"/>
        <w:spacing w:line="360" w:lineRule="auto"/>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 xml:space="preserve">联系方式：</w:t>
      </w:r>
      <w:r>
        <w:rPr>
          <w:rFonts w:hint="eastAsia" w:ascii="宋体" w:hAnsi="宋体"/>
          <w:color w:val="000000" w:themeColor="text1"/>
          <w:sz w:val="24"/>
          <w:highlight w:val="none"/>
          <w14:textFill>
            <w14:solidFill>
              <w14:schemeClr w14:val="tx1"/>
            </w14:solidFill>
          </w14:textFill>
        </w:rPr>
        <w:t xml:space="preserve">0519-87925608</w:t>
      </w:r>
      <w:r/>
    </w:p>
    <w:p>
      <w:pPr>
        <w:ind w:left="1078" w:hanging="299"/>
        <w:spacing w:line="360" w:lineRule="auto"/>
        <w:rPr>
          <w:b/>
          <w:color w:val="000000" w:themeColor="text1"/>
          <w:sz w:val="24"/>
          <w:highlight w:val="none"/>
          <w:u w:val="single"/>
          <w14:textFill>
            <w14:solidFill>
              <w14:schemeClr w14:val="tx1"/>
            </w14:solidFill>
          </w14:textFill>
        </w:rPr>
      </w:pPr>
      <w:r>
        <w:rPr>
          <w:b/>
          <w:color w:val="000000" w:themeColor="text1"/>
          <w:sz w:val="24"/>
          <w:highlight w:val="none"/>
          <w14:textFill>
            <w14:solidFill>
              <w14:schemeClr w14:val="tx1"/>
            </w14:solidFill>
          </w14:textFill>
        </w:rPr>
        <w:t xml:space="preserve">3.项目联系方式</w:t>
      </w:r>
      <w:bookmarkEnd w:id="34"/>
      <w:r/>
      <w:bookmarkEnd w:id="35"/>
      <w:r/>
      <w:r/>
    </w:p>
    <w:p>
      <w:pPr>
        <w:ind w:left="1076" w:hanging="297"/>
        <w:spacing w:line="360" w:lineRule="auto"/>
        <w:rPr>
          <w:rFonts w:hint="default" w:eastAsia="宋体"/>
          <w:color w:val="000000" w:themeColor="text1"/>
          <w:sz w:val="24"/>
          <w:szCs w:val="20"/>
          <w:highlight w:val="none"/>
          <w:u w:val="singl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 xml:space="preserve">项目联系人：</w:t>
      </w:r>
      <w:r>
        <w:rPr>
          <w:rFonts w:hint="eastAsia" w:ascii="宋体" w:hAnsi="宋体"/>
          <w:color w:val="000000" w:themeColor="text1"/>
          <w:sz w:val="24"/>
          <w:szCs w:val="20"/>
          <w:highlight w:val="none"/>
          <w:lang w:val="en-US" w:eastAsia="zh-CN"/>
          <w14:textFill>
            <w14:solidFill>
              <w14:schemeClr w14:val="tx1"/>
            </w14:solidFill>
          </w14:textFill>
        </w:rPr>
        <w:t xml:space="preserve">袁怡雯</w:t>
      </w:r>
      <w:r/>
    </w:p>
    <w:p>
      <w:pPr>
        <w:ind w:left="1076" w:hanging="297"/>
        <w:spacing w:line="360" w:lineRule="auto"/>
        <w:rPr>
          <w:color w:val="000000" w:themeColor="text1"/>
          <w:sz w:val="24"/>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 xml:space="preserve">电      话：</w:t>
      </w:r>
      <w:r>
        <w:rPr>
          <w:rFonts w:hint="eastAsia" w:ascii="宋体" w:hAnsi="宋体"/>
          <w:color w:val="000000" w:themeColor="text1"/>
          <w:sz w:val="24"/>
          <w:szCs w:val="20"/>
          <w:highlight w:val="none"/>
          <w14:textFill>
            <w14:solidFill>
              <w14:schemeClr w14:val="tx1"/>
            </w14:solidFill>
          </w14:textFill>
        </w:rPr>
        <w:t xml:space="preserve">0519-87925608</w:t>
      </w:r>
      <w:r/>
    </w:p>
    <w:p>
      <w:pPr>
        <w:pStyle w:val="1118"/>
        <w:ind w:firstLine="720"/>
        <w:spacing w:line="360" w:lineRule="auto"/>
        <w:rPr>
          <w:rFonts w:hint="default" w:hAnsi="宋体" w:cs="宋体"/>
          <w:color w:val="000000"/>
          <w:sz w:val="24"/>
          <w:szCs w:val="24"/>
          <w:highlight w:val="none"/>
        </w:rPr>
      </w:pPr>
      <w:r>
        <w:rPr>
          <w:rFonts w:hint="default" w:hAnsi="宋体" w:cs="宋体"/>
          <w:color w:val="000000"/>
          <w:sz w:val="24"/>
          <w:szCs w:val="24"/>
          <w:highlight w:val="none"/>
        </w:rPr>
      </w:r>
      <w:r/>
    </w:p>
    <w:p>
      <w:pPr>
        <w:jc w:val="center"/>
        <w:spacing w:line="360" w:lineRule="auto"/>
        <w:rPr>
          <w:rFonts w:ascii="宋体" w:hAnsi="宋体" w:cs="宋体"/>
          <w:b/>
          <w:color w:val="000000"/>
          <w:sz w:val="36"/>
          <w:szCs w:val="36"/>
          <w:highlight w:val="none"/>
        </w:rPr>
        <w:outlineLvl w:val="0"/>
      </w:pPr>
      <w:r/>
      <w:bookmarkStart w:id="36" w:name="_Toc353825548"/>
      <w:r/>
      <w:bookmarkStart w:id="37" w:name="_Toc195842950"/>
      <w:r/>
      <w:bookmarkStart w:id="38" w:name="_Toc226965856"/>
      <w:r/>
      <w:bookmarkStart w:id="39" w:name="_Toc305158928"/>
      <w:r/>
      <w:bookmarkStart w:id="40" w:name="_Toc265228423"/>
      <w:r/>
      <w:bookmarkStart w:id="41" w:name="_Toc512937850"/>
      <w:r/>
      <w:bookmarkStart w:id="42" w:name="_Toc150774783"/>
      <w:r/>
      <w:bookmarkStart w:id="43" w:name="_Toc353873938"/>
      <w:r/>
      <w:bookmarkStart w:id="44" w:name="_Toc264969275"/>
      <w:r/>
      <w:bookmarkStart w:id="45" w:name="_Toc127151777"/>
      <w:r/>
      <w:bookmarkStart w:id="46" w:name="_Toc99301420"/>
      <w:r/>
      <w:bookmarkStart w:id="47" w:name="_Toc127161488"/>
      <w:r/>
      <w:bookmarkStart w:id="48" w:name="_Toc305158854"/>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2"/>
          <w:szCs w:val="32"/>
          <w:highlight w:val="none"/>
        </w:rPr>
        <w:outlineLvl w:val="0"/>
      </w:pPr>
      <w:r>
        <w:rPr>
          <w:rFonts w:hint="eastAsia" w:ascii="宋体" w:hAnsi="宋体" w:cs="宋体"/>
          <w:b/>
          <w:color w:val="000000"/>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80"/>
        <w:spacing w:before="0" w:line="360" w:lineRule="auto"/>
        <w:tabs>
          <w:tab w:val="center" w:pos="4592" w:leader="none"/>
          <w:tab w:val="left" w:pos="7860" w:leader="none"/>
        </w:tabs>
        <w:rPr>
          <w:rFonts w:ascii="宋体" w:hAnsi="宋体" w:eastAsia="宋体" w:cs="宋体"/>
          <w:b w:val="0"/>
          <w:color w:val="000000"/>
          <w:sz w:val="28"/>
          <w:szCs w:val="28"/>
          <w:highlight w:val="none"/>
        </w:rPr>
      </w:pPr>
      <w:r/>
      <w:bookmarkStart w:id="49" w:name="_Toc226337215"/>
      <w:r/>
      <w:bookmarkStart w:id="50" w:name="_Toc151193907"/>
      <w:r/>
      <w:bookmarkStart w:id="51" w:name="_Toc151193761"/>
      <w:r/>
      <w:bookmarkStart w:id="52" w:name="_Toc127151720"/>
      <w:r/>
      <w:bookmarkStart w:id="53" w:name="_Toc520356144"/>
      <w:r/>
      <w:bookmarkStart w:id="54" w:name="_Toc226309763"/>
      <w:r/>
      <w:bookmarkStart w:id="55" w:name="_Toc226965792"/>
      <w:r/>
      <w:bookmarkStart w:id="56" w:name="_Toc151190146"/>
      <w:r/>
      <w:bookmarkStart w:id="57" w:name="_Toc164229214"/>
      <w:r/>
      <w:bookmarkStart w:id="58" w:name="_Toc150774619"/>
      <w:r/>
      <w:bookmarkStart w:id="59" w:name="_Toc127161433"/>
      <w:r/>
      <w:bookmarkStart w:id="60" w:name="_Toc164351613"/>
      <w:r/>
      <w:bookmarkStart w:id="61" w:name="_Toc150509270"/>
      <w:r/>
      <w:bookmarkStart w:id="62" w:name="_Toc164608633"/>
      <w:r/>
      <w:bookmarkStart w:id="63" w:name="_Toc164608788"/>
      <w:r/>
      <w:bookmarkStart w:id="64" w:name="_Toc150480757"/>
      <w:r/>
      <w:bookmarkStart w:id="65" w:name="_Toc151193617"/>
      <w:r/>
      <w:bookmarkStart w:id="66" w:name="_Toc142311021"/>
      <w:r/>
      <w:bookmarkStart w:id="67" w:name="_Toc127151519"/>
      <w:r/>
      <w:bookmarkStart w:id="68" w:name="_Toc226965709"/>
      <w:r/>
      <w:bookmarkStart w:id="69" w:name="_Toc164229360"/>
      <w:r/>
      <w:bookmarkStart w:id="70" w:name="_Toc151193833"/>
      <w:r/>
      <w:bookmarkStart w:id="71" w:name="_Toc149720812"/>
      <w:r/>
      <w:bookmarkStart w:id="72" w:name="_Toc151193689"/>
      <w:r/>
      <w:bookmarkStart w:id="73" w:name="_Toc195842884"/>
      <w:r/>
      <w:bookmarkStart w:id="74" w:name="_Toc150774724"/>
      <w:r>
        <w:rPr>
          <w:rFonts w:hint="eastAsia" w:ascii="宋体" w:hAnsi="宋体" w:eastAsia="宋体" w:cs="宋体"/>
          <w:color w:val="000000"/>
          <w:sz w:val="28"/>
          <w:highlight w:val="none"/>
        </w:rPr>
        <w:t xml:space="preserve">供应商须知资料表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本表是对供应商须知的具体补充和修改，如有矛盾，均以本资料表为准。</w:t>
      </w:r>
      <w:r/>
    </w:p>
    <w:tbl>
      <w:tblPr>
        <w:tblStyle w:val="90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67" w:hRule="exact"/>
          <w:tblHeader/>
        </w:trPr>
        <w:tc>
          <w:tcPr>
            <w:tcW w:w="98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color w:val="000000"/>
                <w:sz w:val="24"/>
                <w:highlight w:val="none"/>
              </w:rPr>
              <w:t xml:space="preserve">条款号</w:t>
            </w:r>
            <w:r/>
          </w:p>
        </w:tc>
        <w:tc>
          <w:tcPr>
            <w:tcW w:w="170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条目</w:t>
            </w:r>
            <w:r/>
          </w:p>
        </w:tc>
        <w:tc>
          <w:tcPr>
            <w:tcW w:w="7540"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内容</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项目属性</w:t>
            </w:r>
            <w:r/>
          </w:p>
        </w:tc>
        <w:tc>
          <w:tcPr>
            <w:tcW w:w="7540" w:type="dxa"/>
            <w:vAlign w:val="center"/>
            <w:textDirection w:val="lrTb"/>
            <w:noWrap w:val="false"/>
          </w:tcPr>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项目属性：</w:t>
            </w:r>
            <w:r>
              <w:rPr>
                <w:rFonts w:hint="eastAsia" w:ascii="宋体" w:hAnsi="宋体" w:cs="宋体"/>
                <w:b/>
                <w:bCs/>
                <w:color w:val="000000"/>
                <w:sz w:val="24"/>
                <w:highlight w:val="none"/>
              </w:rPr>
              <w:t xml:space="preserve">货物</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科研仪器设备</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是否属于科研仪器设备采购项目：否</w:t>
            </w:r>
            <w:r/>
          </w:p>
        </w:tc>
      </w:tr>
      <w:tr>
        <w:trPr>
          <w:jc w:val="center"/>
          <w:trHeight w:val="1370"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2.4</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核心产品</w:t>
            </w:r>
            <w:r/>
          </w:p>
        </w:tc>
        <w:tc>
          <w:tcPr>
            <w:tcW w:w="7540" w:type="dxa"/>
            <w:vAlign w:val="center"/>
            <w:textDirection w:val="lrTb"/>
            <w:noWrap w:val="false"/>
          </w:tcPr>
          <w:p>
            <w:pPr>
              <w:pStyle w:val="1118"/>
              <w:rPr>
                <w:rFonts w:hint="eastAsia" w:ascii="宋体" w:hAnsi="宋体" w:eastAsia="宋体" w:cs="宋体"/>
                <w:b/>
                <w:bCs/>
                <w:color w:val="000000"/>
                <w:sz w:val="24"/>
                <w:szCs w:val="24"/>
                <w:highlight w:val="none"/>
                <w:u w:val="single"/>
                <w:lang w:val="en-US" w:eastAsia="zh-CN"/>
              </w:rPr>
            </w:pPr>
            <w:r>
              <w:rPr>
                <w:rFonts w:hint="eastAsia" w:ascii="宋体" w:hAnsi="宋体" w:eastAsia="宋体" w:cs="宋体"/>
                <w:b/>
                <w:sz w:val="24"/>
                <w:highlight w:val="none"/>
              </w:rPr>
              <w:t xml:space="preserve">■</w:t>
            </w:r>
            <w:r>
              <w:rPr>
                <w:rFonts w:hint="default" w:ascii="Times New Roman" w:hAnsi="Times New Roman" w:eastAsia="宋体" w:cs="Times New Roman"/>
                <w:sz w:val="24"/>
                <w:highlight w:val="none"/>
              </w:rPr>
              <w:t xml:space="preserve">本项目</w:t>
            </w:r>
            <w:r>
              <w:rPr>
                <w:rFonts w:hint="eastAsia" w:ascii="Times New Roman" w:hAnsi="Times New Roman" w:eastAsia="宋体" w:cs="Times New Roman"/>
                <w:sz w:val="24"/>
                <w:highlight w:val="none"/>
                <w:lang w:val="en-US" w:eastAsia="zh-CN"/>
              </w:rPr>
              <w:t xml:space="preserve">01包</w:t>
            </w:r>
            <w:r>
              <w:rPr>
                <w:rFonts w:hint="default" w:ascii="Times New Roman" w:hAnsi="Times New Roman" w:eastAsia="宋体" w:cs="Times New Roman"/>
                <w:sz w:val="24"/>
                <w:highlight w:val="none"/>
              </w:rPr>
              <w:t xml:space="preserve">为非单一产品采购项目，核心产品为：</w:t>
            </w:r>
            <w:r>
              <w:rPr>
                <w:rFonts w:hint="eastAsia" w:ascii="宋体" w:hAnsi="宋体" w:eastAsia="宋体" w:cs="宋体"/>
                <w:b/>
                <w:bCs/>
                <w:color w:val="000000"/>
                <w:sz w:val="24"/>
                <w:szCs w:val="24"/>
                <w:highlight w:val="none"/>
                <w:u w:val="single"/>
                <w:lang w:val="en-US" w:eastAsia="zh-CN"/>
              </w:rPr>
              <w:t xml:space="preserve">硅PU</w:t>
            </w:r>
            <w:r/>
          </w:p>
          <w:p>
            <w:pPr>
              <w:pStyle w:val="1118"/>
              <w:rPr>
                <w:rFonts w:hint="default" w:ascii="宋体" w:hAnsi="宋体" w:eastAsia="宋体" w:cs="宋体"/>
                <w:b/>
                <w:bCs/>
                <w:color w:val="000000"/>
                <w:sz w:val="24"/>
                <w:szCs w:val="24"/>
                <w:highlight w:val="none"/>
                <w:u w:val="single"/>
                <w:lang w:val="en-US" w:eastAsia="zh-CN"/>
              </w:rPr>
            </w:pPr>
            <w:r>
              <w:rPr>
                <w:rFonts w:hint="eastAsia" w:ascii="宋体" w:hAnsi="宋体" w:eastAsia="宋体" w:cs="宋体"/>
                <w:b/>
                <w:sz w:val="24"/>
                <w:highlight w:val="none"/>
              </w:rPr>
              <w:t xml:space="preserve">■</w:t>
            </w:r>
            <w:r>
              <w:rPr>
                <w:rFonts w:hint="default" w:ascii="Times New Roman" w:hAnsi="Times New Roman" w:eastAsia="宋体" w:cs="Times New Roman"/>
                <w:sz w:val="24"/>
                <w:highlight w:val="none"/>
              </w:rPr>
              <w:t xml:space="preserve">本项目</w:t>
            </w:r>
            <w:r>
              <w:rPr>
                <w:rFonts w:hint="eastAsia" w:ascii="Times New Roman" w:hAnsi="Times New Roman" w:eastAsia="宋体" w:cs="Times New Roman"/>
                <w:sz w:val="24"/>
                <w:highlight w:val="none"/>
                <w:lang w:val="en-US" w:eastAsia="zh-CN"/>
              </w:rPr>
              <w:t xml:space="preserve">0</w:t>
            </w:r>
            <w:r>
              <w:rPr>
                <w:rFonts w:hint="eastAsia" w:ascii="Times New Roman" w:hAnsi="Times New Roman"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t xml:space="preserve">包</w:t>
            </w:r>
            <w:r>
              <w:rPr>
                <w:rFonts w:hint="default" w:ascii="Times New Roman" w:hAnsi="Times New Roman" w:eastAsia="宋体" w:cs="Times New Roman"/>
                <w:sz w:val="24"/>
                <w:highlight w:val="none"/>
              </w:rPr>
              <w:t xml:space="preserve">为非单一产品采购项目，核心产品为：</w:t>
            </w:r>
            <w:r>
              <w:rPr>
                <w:rFonts w:hint="default" w:ascii="Times New Roman" w:hAnsi="Times New Roman" w:eastAsia="宋体" w:cs="Times New Roman"/>
                <w:b/>
                <w:bCs/>
                <w:sz w:val="24"/>
                <w:highlight w:val="none"/>
                <w:u w:val="single"/>
              </w:rPr>
              <w:t xml:space="preserve">双位太空漫步机</w:t>
            </w:r>
            <w:r/>
          </w:p>
        </w:tc>
      </w:tr>
      <w:tr>
        <w:trPr>
          <w:jc w:val="center"/>
          <w:trHeight w:val="567" w:hRule="exact"/>
        </w:trPr>
        <w:tc>
          <w:tcPr>
            <w:tcW w:w="988" w:type="dxa"/>
            <w:vAlign w:val="center"/>
            <w:vMerge w:val="restart"/>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现场考察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不组织</w:t>
            </w:r>
            <w:r/>
          </w:p>
        </w:tc>
      </w:tr>
      <w:tr>
        <w:trPr>
          <w:jc w:val="center"/>
          <w:trHeight w:val="567" w:hRule="exact"/>
        </w:trPr>
        <w:tc>
          <w:tcPr>
            <w:tcW w:w="988" w:type="dxa"/>
            <w:vAlign w:val="center"/>
            <w:vMerge w:val="continue"/>
            <w:textDirection w:val="lrTb"/>
            <w:noWrap w:val="false"/>
          </w:tcPr>
          <w:p>
            <w:pPr>
              <w:pStyle w:val="1118"/>
              <w:jc w:val="center"/>
              <w:rPr>
                <w:rFonts w:hint="default" w:hAnsi="宋体" w:cs="宋体"/>
                <w:color w:val="000000"/>
                <w:sz w:val="24"/>
                <w:szCs w:val="24"/>
                <w:highlight w:val="none"/>
              </w:rPr>
            </w:pPr>
            <w:r>
              <w:rPr>
                <w:rFonts w:hint="default" w:hAnsi="宋体" w:cs="宋体"/>
                <w:color w:val="000000"/>
                <w:sz w:val="24"/>
                <w:szCs w:val="24"/>
                <w:highlight w:val="none"/>
              </w:rPr>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开标前答疑会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不召开</w:t>
            </w:r>
            <w:r/>
          </w:p>
        </w:tc>
      </w:tr>
      <w:tr>
        <w:trPr>
          <w:jc w:val="center"/>
          <w:trHeight w:val="6126"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4.1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样品</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投标样品递交：</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需要，具体要求如下：</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详见货物清单</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（2）样品递交要求：</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28</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14</w:t>
            </w:r>
            <w:r>
              <w:rPr>
                <w:rFonts w:hint="eastAsia" w:ascii="宋体" w:hAnsi="宋体" w:cs="宋体"/>
                <w:color w:val="000000"/>
                <w:sz w:val="24"/>
                <w:highlight w:val="none"/>
                <w:u w:val="single"/>
              </w:rPr>
              <w:t xml:space="preserve">：00~1</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rPr>
              <w:t xml:space="preserve">:00（逾时不再接收）</w:t>
            </w:r>
            <w:r>
              <w:rPr>
                <w:rFonts w:hint="eastAsia" w:ascii="宋体" w:hAnsi="宋体" w:cs="宋体"/>
                <w:color w:val="000000"/>
                <w:sz w:val="24"/>
                <w:highlight w:val="none"/>
                <w:u w:val="single"/>
                <w:lang w:val="en-US" w:eastAsia="zh-CN"/>
              </w:rPr>
              <w:t xml:space="preserve"> 送样时需携带送样表（详见附件）地址：溧阳市体育馆（溧阳市奥体大道36号）</w:t>
            </w:r>
            <w:r>
              <w:rPr>
                <w:rFonts w:hint="eastAsia" w:ascii="宋体" w:hAnsi="宋体" w:cs="宋体"/>
                <w:color w:val="000000"/>
                <w:sz w:val="24"/>
                <w:highlight w:val="none"/>
              </w:rPr>
              <w:t xml:space="preserve">；</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（3）未中标人样品退还：</w:t>
            </w:r>
            <w:r>
              <w:rPr>
                <w:rFonts w:hint="eastAsia" w:ascii="宋体" w:hAnsi="宋体" w:cs="宋体"/>
                <w:color w:val="000000"/>
                <w:sz w:val="24"/>
                <w:highlight w:val="none"/>
                <w:u w:val="single"/>
              </w:rPr>
              <w:t xml:space="preserve">于评标结束后一周内搬走，逾期由</w:t>
            </w:r>
            <w:r>
              <w:rPr>
                <w:rFonts w:hint="eastAsia" w:ascii="宋体" w:hAnsi="宋体" w:cs="宋体"/>
                <w:color w:val="000000"/>
                <w:sz w:val="24"/>
                <w:highlight w:val="none"/>
                <w:u w:val="single"/>
                <w:lang w:val="en-US" w:eastAsia="zh-CN"/>
              </w:rPr>
              <w:t xml:space="preserve">采购人</w:t>
            </w:r>
            <w:r>
              <w:rPr>
                <w:rFonts w:hint="eastAsia" w:ascii="宋体" w:hAnsi="宋体" w:cs="宋体"/>
                <w:color w:val="000000"/>
                <w:sz w:val="24"/>
                <w:highlight w:val="none"/>
                <w:u w:val="single"/>
              </w:rPr>
              <w:t xml:space="preserve">自行处置；</w:t>
            </w:r>
            <w:r/>
          </w:p>
          <w:p>
            <w:pPr>
              <w:jc w:val="left"/>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（4）中标人样品保管、封存及退还：</w:t>
            </w:r>
            <w:r>
              <w:rPr>
                <w:rFonts w:hint="eastAsia" w:ascii="宋体" w:hAnsi="宋体" w:cs="宋体"/>
                <w:color w:val="000000"/>
                <w:sz w:val="24"/>
                <w:highlight w:val="none"/>
                <w:u w:val="single"/>
              </w:rPr>
              <w:t xml:space="preserve">中标的样品封样保存，作为验收依据，在项目验收合格后一次性退还；</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（5）其他要求：</w:t>
            </w:r>
            <w:r>
              <w:rPr>
                <w:rFonts w:hint="eastAsia" w:ascii="宋体" w:hAnsi="宋体" w:cs="宋体"/>
                <w:color w:val="000000"/>
                <w:sz w:val="24"/>
                <w:highlight w:val="none"/>
                <w:u w:val="single"/>
              </w:rPr>
              <w:t xml:space="preserve">投标样品费用（含制作、安装、运输等）为投标供应商应承担的费用，无论采购结果如何，代理机构和采购人在任何情况下均无义务和责任承担这些费用。</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5.2.5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标的所属行业</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工业</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11.2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投标报价</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投标报价的特殊规定：无</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12</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投标保证金</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免收</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13.1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25.5</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分包</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不允许</w:t>
            </w:r>
            <w:r/>
          </w:p>
        </w:tc>
      </w:tr>
      <w:tr>
        <w:trPr>
          <w:jc w:val="center"/>
          <w:trHeight w:val="56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26.1.1</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询问</w:t>
            </w:r>
            <w:r/>
          </w:p>
        </w:tc>
        <w:tc>
          <w:tcPr>
            <w:tcW w:w="7540" w:type="dxa"/>
            <w:vAlign w:val="center"/>
            <w:textDirection w:val="lrTb"/>
            <w:noWrap w:val="false"/>
          </w:tcPr>
          <w:p>
            <w:pPr>
              <w:jc w:val="left"/>
              <w:rPr>
                <w:rFonts w:ascii="宋体" w:hAnsi="宋体" w:cs="宋体"/>
                <w:color w:val="000000"/>
                <w:sz w:val="24"/>
                <w:highlight w:val="none"/>
              </w:rPr>
            </w:pPr>
            <w:r>
              <w:rPr>
                <w:rFonts w:hint="eastAsia" w:ascii="宋体" w:hAnsi="宋体" w:cs="宋体"/>
                <w:color w:val="000000"/>
                <w:sz w:val="24"/>
                <w:highlight w:val="none"/>
              </w:rPr>
              <w:t xml:space="preserve">询问送达形式：书面形式</w:t>
            </w:r>
            <w:r/>
          </w:p>
        </w:tc>
      </w:tr>
      <w:tr>
        <w:trPr>
          <w:jc w:val="center"/>
          <w:trHeight w:val="2521"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26.3</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联系方式</w:t>
            </w:r>
            <w:r/>
          </w:p>
        </w:tc>
        <w:tc>
          <w:tcPr>
            <w:tcW w:w="7540"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联系部门：江苏立诚建设项目管理咨询有限公司；</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联系电话：0519-87925608；</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通讯地址：溧阳市古县街道奥体大道3001号贝桥嘉苑36幢101室2层-2。</w:t>
            </w:r>
            <w:r/>
          </w:p>
        </w:tc>
      </w:tr>
      <w:tr>
        <w:trPr>
          <w:jc w:val="center"/>
          <w:trHeight w:val="1727" w:hRule="exact"/>
        </w:trPr>
        <w:tc>
          <w:tcPr>
            <w:tcW w:w="988" w:type="dxa"/>
            <w:vAlign w:val="center"/>
            <w:textDirection w:val="lrTb"/>
            <w:noWrap w:val="false"/>
          </w:tcPr>
          <w:p>
            <w:pPr>
              <w:pStyle w:val="1118"/>
              <w:jc w:val="center"/>
              <w:rPr>
                <w:rFonts w:hint="default" w:hAnsi="宋体" w:cs="宋体"/>
                <w:color w:val="000000"/>
                <w:sz w:val="24"/>
                <w:szCs w:val="24"/>
                <w:highlight w:val="none"/>
              </w:rPr>
            </w:pPr>
            <w:r>
              <w:rPr>
                <w:rFonts w:hAnsi="宋体" w:cs="宋体"/>
                <w:color w:val="000000"/>
                <w:sz w:val="24"/>
                <w:szCs w:val="24"/>
                <w:highlight w:val="none"/>
              </w:rPr>
              <w:t xml:space="preserve">27</w:t>
            </w:r>
            <w:r/>
          </w:p>
        </w:tc>
        <w:tc>
          <w:tcPr>
            <w:tcW w:w="1701"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代理费</w:t>
            </w:r>
            <w:r/>
          </w:p>
        </w:tc>
        <w:tc>
          <w:tcPr>
            <w:tcW w:w="7540" w:type="dxa"/>
            <w:vAlign w:val="center"/>
            <w:textDirection w:val="lrTb"/>
            <w:noWrap w:val="false"/>
          </w:tcPr>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lang w:val="en-US" w:eastAsia="zh-CN"/>
              </w:rPr>
              <w:t xml:space="preserve">采购人</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收费标准：按</w:t>
            </w:r>
            <w:r>
              <w:rPr>
                <w:rFonts w:hint="eastAsia" w:ascii="宋体" w:hAnsi="宋体" w:cs="宋体"/>
                <w:color w:val="000000"/>
                <w:sz w:val="24"/>
                <w:highlight w:val="none"/>
                <w:lang w:val="en-US" w:eastAsia="zh-CN"/>
              </w:rPr>
              <w:t xml:space="preserve">中标价的1%</w:t>
            </w:r>
            <w:r>
              <w:rPr>
                <w:rFonts w:hint="eastAsia" w:ascii="宋体" w:hAnsi="宋体" w:cs="宋体"/>
                <w:color w:val="000000"/>
                <w:sz w:val="24"/>
                <w:highlight w:val="none"/>
              </w:rPr>
              <w:t xml:space="preserve">收取；</w:t>
            </w:r>
            <w:r/>
          </w:p>
        </w:tc>
      </w:tr>
    </w:tbl>
    <w:p>
      <w:pPr>
        <w:jc w:val="center"/>
        <w:tabs>
          <w:tab w:val="left" w:pos="5250" w:leader="none"/>
        </w:tabs>
        <w:rPr>
          <w:rFonts w:ascii="宋体" w:hAnsi="宋体" w:cs="宋体"/>
          <w:b/>
          <w:color w:val="000000"/>
          <w:sz w:val="28"/>
          <w:szCs w:val="28"/>
          <w:highlight w:val="none"/>
        </w:rPr>
      </w:pPr>
      <w:r>
        <w:rPr>
          <w:rFonts w:hint="eastAsia" w:ascii="宋体" w:hAnsi="宋体" w:cs="宋体"/>
          <w:color w:val="000000"/>
          <w:highlight w:val="none"/>
        </w:rPr>
        <w:br w:type="page" w:clear="all"/>
      </w:r>
      <w:bookmarkStart w:id="75" w:name="_Toc226965790"/>
      <w:r/>
      <w:bookmarkStart w:id="76" w:name="_Toc150774722"/>
      <w:r/>
      <w:bookmarkStart w:id="77" w:name="_Toc305158859"/>
      <w:r/>
      <w:bookmarkStart w:id="78" w:name="_Toc127151517"/>
      <w:r/>
      <w:bookmarkStart w:id="79" w:name="_Toc265228355"/>
      <w:r/>
      <w:bookmarkStart w:id="80" w:name="_Toc353873932"/>
      <w:r/>
      <w:bookmarkStart w:id="81" w:name="_Toc226337213"/>
      <w:r/>
      <w:bookmarkStart w:id="82" w:name="_Toc305158785"/>
      <w:r/>
      <w:bookmarkStart w:id="83" w:name="_Toc264969207"/>
      <w:r/>
      <w:bookmarkStart w:id="84" w:name="_Toc353825542"/>
      <w:r/>
      <w:bookmarkStart w:id="85" w:name="_Toc195842882"/>
      <w:r/>
      <w:bookmarkStart w:id="86" w:name="_Toc150480755"/>
      <w:r/>
      <w:bookmarkStart w:id="87" w:name="_Toc353873662"/>
      <w:r/>
      <w:bookmarkStart w:id="88" w:name="_Toc142311019"/>
      <w:r>
        <w:rPr>
          <w:rFonts w:hint="eastAsia" w:ascii="宋体" w:hAnsi="宋体" w:cs="宋体"/>
          <w:b/>
          <w:color w:val="000000"/>
          <w:sz w:val="28"/>
          <w:szCs w:val="28"/>
          <w:highlight w:val="none"/>
        </w:rPr>
        <w:t xml:space="preserve">供应商须知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80"/>
        <w:jc w:val="left"/>
        <w:spacing w:before="0" w:line="360" w:lineRule="auto"/>
        <w:tabs>
          <w:tab w:val="center" w:pos="4592" w:leader="none"/>
          <w:tab w:val="left" w:pos="7860" w:leader="none"/>
        </w:tabs>
        <w:rPr>
          <w:rFonts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1193616"/>
      <w:r/>
      <w:bookmarkStart w:id="92" w:name="_Toc150774723"/>
      <w:r/>
      <w:bookmarkStart w:id="93" w:name="_Toc305158786"/>
      <w:r/>
      <w:bookmarkStart w:id="94" w:name="_Toc264969208"/>
      <w:r/>
      <w:bookmarkStart w:id="95" w:name="_Toc226965708"/>
      <w:r/>
      <w:bookmarkStart w:id="96" w:name="_Toc195842883"/>
      <w:r/>
      <w:bookmarkStart w:id="97" w:name="_Toc226309762"/>
      <w:r/>
      <w:bookmarkStart w:id="98" w:name="_Toc305158860"/>
      <w:r/>
      <w:bookmarkStart w:id="99" w:name="_Toc226337214"/>
      <w:r/>
      <w:bookmarkStart w:id="100" w:name="_Toc226965791"/>
      <w:r/>
      <w:bookmarkStart w:id="101" w:name="_Toc150774618"/>
      <w:r/>
      <w:bookmarkStart w:id="102" w:name="_Toc151193832"/>
      <w:r/>
      <w:bookmarkStart w:id="103" w:name="_Toc151193760"/>
      <w:r/>
      <w:bookmarkStart w:id="104" w:name="_Toc265228356"/>
      <w:r/>
      <w:bookmarkStart w:id="105" w:name="_Toc150480756"/>
      <w:r/>
      <w:bookmarkStart w:id="106" w:name="_Toc142311020"/>
      <w:r/>
      <w:bookmarkStart w:id="107" w:name="_Toc151193906"/>
      <w:r/>
      <w:bookmarkStart w:id="108" w:name="_Toc151193688"/>
      <w:r/>
      <w:bookmarkStart w:id="109" w:name="_Toc151190145"/>
      <w:r/>
      <w:bookmarkStart w:id="110" w:name="_Toc150509269"/>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1" w:name="_Toc305158861"/>
      <w:r/>
      <w:bookmarkStart w:id="112" w:name="_Toc264969209"/>
      <w:r/>
      <w:bookmarkStart w:id="113" w:name="_Toc265228357"/>
      <w:r/>
      <w:bookmarkStart w:id="114" w:name="_Toc305158787"/>
      <w:r>
        <w:rPr>
          <w:rFonts w:hint="eastAsia" w:ascii="宋体" w:hAnsi="宋体" w:cs="宋体"/>
          <w:color w:val="000000"/>
          <w:sz w:val="24"/>
          <w:highlight w:val="none"/>
        </w:rPr>
        <w:t xml:space="preserve">采购人、采购代理机构、</w:t>
      </w:r>
      <w:bookmarkEnd w:id="111"/>
      <w:r/>
      <w:bookmarkEnd w:id="112"/>
      <w:r/>
      <w:bookmarkEnd w:id="113"/>
      <w:r/>
      <w:bookmarkEnd w:id="114"/>
      <w:r>
        <w:rPr>
          <w:rFonts w:hint="eastAsia" w:ascii="宋体" w:hAnsi="宋体" w:cs="宋体"/>
          <w:color w:val="000000"/>
          <w:sz w:val="24"/>
          <w:highlight w:val="none"/>
        </w:rPr>
        <w:t xml:space="preserve">供应商、联合体</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供应商（也称“投标人”、“申请人”）：指向采购人提供货物、工程或者服务的法人、其他组织或者自然人。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15" w:name="_Toc151193762"/>
      <w:r/>
      <w:bookmarkStart w:id="116" w:name="_Toc142311022"/>
      <w:r/>
      <w:bookmarkStart w:id="117" w:name="_Toc164351614"/>
      <w:r/>
      <w:bookmarkStart w:id="118" w:name="_Toc164608634"/>
      <w:r/>
      <w:bookmarkStart w:id="119" w:name="_Toc127161434"/>
      <w:r/>
      <w:bookmarkStart w:id="120" w:name="_Toc264969210"/>
      <w:r/>
      <w:bookmarkStart w:id="121" w:name="_Toc150480758"/>
      <w:r/>
      <w:bookmarkStart w:id="122" w:name="_Toc226965710"/>
      <w:r/>
      <w:bookmarkStart w:id="123" w:name="_Toc226337216"/>
      <w:r/>
      <w:bookmarkStart w:id="124" w:name="_Toc151193908"/>
      <w:r/>
      <w:bookmarkStart w:id="125" w:name="_Toc150774620"/>
      <w:r/>
      <w:bookmarkStart w:id="126" w:name="_Toc164608789"/>
      <w:r/>
      <w:bookmarkStart w:id="127" w:name="_Toc226309764"/>
      <w:r/>
      <w:bookmarkStart w:id="128" w:name="_Toc151193618"/>
      <w:r/>
      <w:bookmarkStart w:id="129" w:name="_Toc151190147"/>
      <w:r/>
      <w:bookmarkStart w:id="130" w:name="_Toc195842885"/>
      <w:r/>
      <w:bookmarkStart w:id="131" w:name="_Toc150774725"/>
      <w:r/>
      <w:bookmarkStart w:id="132" w:name="_Toc164229215"/>
      <w:r/>
      <w:bookmarkStart w:id="133" w:name="_Toc127151721"/>
      <w:r/>
      <w:bookmarkStart w:id="134" w:name="_Toc151193690"/>
      <w:r/>
      <w:bookmarkStart w:id="135" w:name="_Toc127151520"/>
      <w:r/>
      <w:bookmarkStart w:id="136" w:name="_Toc226965793"/>
      <w:r/>
      <w:bookmarkStart w:id="137" w:name="_Toc150509271"/>
      <w:r/>
      <w:bookmarkStart w:id="138" w:name="_Toc149720813"/>
      <w:r/>
      <w:bookmarkStart w:id="139" w:name="_Toc305158788"/>
      <w:r/>
      <w:bookmarkStart w:id="140" w:name="_Toc164229361"/>
      <w:r/>
      <w:bookmarkStart w:id="141" w:name="_Toc305158862"/>
      <w:r/>
      <w:bookmarkStart w:id="142" w:name="_Toc151193834"/>
      <w:r/>
      <w:bookmarkStart w:id="143" w:name="_Toc265228358"/>
      <w:r>
        <w:rPr>
          <w:rFonts w:hint="eastAsia" w:ascii="宋体" w:hAnsi="宋体" w:cs="宋体"/>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color w:val="000000"/>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资金来源为财政性资金或本项目采购中无法与财政性资金分割的非财政性资金。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是否属于科研仪器设备采购见《供应商须知资料表》。</w:t>
      </w:r>
      <w:r/>
    </w:p>
    <w:p>
      <w:pPr>
        <w:numPr>
          <w:ilvl w:val="1"/>
          <w:numId w:val="8"/>
        </w:numPr>
        <w:ind w:left="1080" w:hanging="720"/>
        <w:spacing w:line="360" w:lineRule="auto"/>
        <w:tabs>
          <w:tab w:val="left" w:pos="1080" w:leader="none"/>
          <w:tab w:val="left" w:pos="2014"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核心产品见《供应商须知资料表》。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ascii="宋体" w:hAnsi="宋体" w:cs="宋体"/>
          <w:color w:val="000000"/>
          <w:sz w:val="28"/>
          <w:highlight w:val="none"/>
        </w:rPr>
      </w:pPr>
      <w:r>
        <w:rPr>
          <w:rFonts w:hint="eastAsia" w:ascii="宋体" w:hAnsi="宋体" w:cs="宋体"/>
          <w:color w:val="000000"/>
          <w:sz w:val="24"/>
          <w:highlight w:val="none"/>
        </w:rPr>
        <w:t xml:space="preserve">若《供应商须知资料表》中规定了组织现场考察、召开开标前答疑会，则供应商应按要求在规定的时间和地点参加。</w:t>
      </w:r>
      <w:bookmarkStart w:id="144" w:name="_Toc195842887"/>
      <w:r/>
      <w:bookmarkStart w:id="145" w:name="_Toc226965795"/>
      <w:r/>
      <w:bookmarkStart w:id="146" w:name="_Toc151193692"/>
      <w:r/>
      <w:bookmarkStart w:id="147" w:name="_Toc226337218"/>
      <w:r/>
      <w:bookmarkStart w:id="148" w:name="_Toc151193764"/>
      <w:r/>
      <w:bookmarkStart w:id="149" w:name="_Toc520356146"/>
      <w:r/>
      <w:bookmarkStart w:id="150" w:name="_Toc151193620"/>
      <w:r/>
      <w:bookmarkStart w:id="151" w:name="_Toc151193836"/>
      <w:r/>
      <w:bookmarkStart w:id="152" w:name="_Toc226309766"/>
      <w:r/>
      <w:bookmarkStart w:id="153" w:name="_Toc150774622"/>
      <w:r/>
      <w:bookmarkStart w:id="154" w:name="_Toc150480760"/>
      <w:r/>
      <w:bookmarkStart w:id="155" w:name="_Toc226965712"/>
      <w:r/>
      <w:bookmarkStart w:id="156" w:name="_Toc264969212"/>
      <w:r/>
      <w:bookmarkStart w:id="157" w:name="_Toc127151522"/>
      <w:r/>
      <w:bookmarkStart w:id="158" w:name="_Toc151193910"/>
      <w:r/>
      <w:bookmarkStart w:id="159" w:name="_Toc305158864"/>
      <w:r/>
      <w:bookmarkStart w:id="160" w:name="_Toc142311024"/>
      <w:r/>
      <w:bookmarkStart w:id="161" w:name="_Toc265228360"/>
      <w:r/>
      <w:bookmarkStart w:id="162" w:name="_Toc150774727"/>
      <w:r/>
      <w:bookmarkStart w:id="163" w:name="_Toc305158790"/>
      <w:r/>
      <w:bookmarkStart w:id="164" w:name="_Toc150509273"/>
      <w:r/>
      <w:bookmarkStart w:id="165" w:name="_Toc151190149"/>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由于未参加现场考察或开标前答疑会而导致对项目实际情况不了解，影响投标文件编制、投标报价准确性、综合因素投标不全面等问题的，由供应商自行承担不利评审后果。</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样品</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进口产品</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中小企业定义：</w:t>
      </w:r>
      <w:r/>
    </w:p>
    <w:p>
      <w:pPr>
        <w:pStyle w:val="1175"/>
        <w:ind w:left="0" w:firstLine="0"/>
        <w:spacing w:line="360" w:lineRule="auto"/>
        <w:tabs>
          <w:tab w:val="left" w:pos="1980" w:leader="none"/>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pStyle w:val="1175"/>
        <w:ind w:left="900" w:firstLine="0"/>
        <w:spacing w:line="360" w:lineRule="auto"/>
        <w:tabs>
          <w:tab w:val="left" w:pos="2035" w:leader="none"/>
          <w:tab w:val="left" w:pos="2977" w:leader="none"/>
        </w:tabs>
        <w:rPr>
          <w:rFonts w:ascii="宋体" w:hAnsi="宋体" w:cs="宋体"/>
          <w:vanish/>
          <w:color w:val="000000"/>
          <w:sz w:val="24"/>
          <w:szCs w:val="24"/>
          <w:highlight w:val="none"/>
        </w:rPr>
      </w:pPr>
      <w:r>
        <w:rPr>
          <w:rFonts w:ascii="宋体" w:hAnsi="宋体" w:cs="宋体"/>
          <w:vanish/>
          <w:color w:val="000000"/>
          <w:sz w:val="24"/>
          <w:szCs w:val="24"/>
          <w:highlight w:val="none"/>
        </w:rPr>
      </w:r>
      <w:r/>
    </w:p>
    <w:p>
      <w:pPr>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供应商提供的货物符合下列情形的，享受中小企业扶持政策：</w:t>
      </w:r>
      <w:r>
        <w:rPr>
          <w:rFonts w:hint="eastAsia" w:ascii="宋体" w:hAnsi="宋体" w:cs="宋体"/>
          <w:color w:val="000000"/>
          <w:sz w:val="24"/>
          <w:highlight w:val="none"/>
        </w:rPr>
        <w:t xml:space="preserve">货物由中小企业制造，即货物由中小企业生产且使用该中小企业商号或者注册商标；</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p>
    <w:p>
      <w:pPr>
        <w:ind w:left="0" w:firstLine="0"/>
        <w:spacing w:line="360" w:lineRule="auto"/>
        <w:tabs>
          <w:tab w:val="left" w:pos="1980" w:leader="none"/>
          <w:tab w:val="left" w:pos="2035" w:leader="none"/>
          <w:tab w:val="left" w:pos="2885" w:leader="none"/>
          <w:tab w:val="left" w:pos="2977" w:leader="none"/>
        </w:tabs>
        <w:rPr>
          <w:rFonts w:hint="eastAsia" w:ascii="宋体" w:hAnsi="宋体" w:cs="宋体"/>
          <w:color w:val="000000"/>
          <w:sz w:val="24"/>
          <w:szCs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szCs w:val="24"/>
          <w:highlight w:val="none"/>
        </w:rPr>
      </w:pPr>
      <w:r>
        <w:rPr>
          <w:rFonts w:hint="eastAsia" w:ascii="宋体" w:hAnsi="宋体" w:cs="宋体"/>
          <w:color w:val="000000"/>
          <w:sz w:val="24"/>
          <w:highlight w:val="none"/>
        </w:rPr>
      </w: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highlight w:val="none"/>
        </w:rPr>
      </w:r>
      <w:r/>
    </w:p>
    <w:p>
      <w:pPr>
        <w:ind w:left="0" w:firstLine="0"/>
        <w:spacing w:line="360" w:lineRule="auto"/>
        <w:tabs>
          <w:tab w:val="left" w:pos="1980" w:leader="none"/>
          <w:tab w:val="left" w:pos="2035" w:leader="none"/>
          <w:tab w:val="left" w:pos="2885"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本项目是否专门面向中小企业预留采购份额见第一章《采购邀请》。</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采购标的对应的中小企业划分标准所属行业见《供应商须知资料表》。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支持乡村产业振兴管理</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正版软件</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政府采购创新产品政策</w:t>
      </w:r>
      <w:r/>
    </w:p>
    <w:p>
      <w:pPr>
        <w:numPr>
          <w:ilvl w:val="2"/>
          <w:numId w:val="8"/>
        </w:numPr>
        <w:spacing w:line="360" w:lineRule="auto"/>
        <w:tabs>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 5.7     绿色采购政策</w:t>
      </w:r>
      <w:r/>
    </w:p>
    <w:p>
      <w:pPr>
        <w:ind w:firstLine="1205"/>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5.7.1  绿色数据中心政策 </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firstLine="120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5.8.2 推广应用绿色建材</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本项目不适用。</w:t>
      </w:r>
      <w:r/>
    </w:p>
    <w:p>
      <w:pPr>
        <w:ind w:left="1197"/>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5.8.3 优先使用低挥发性有机化合物产品</w:t>
      </w:r>
      <w:r/>
    </w:p>
    <w:p>
      <w:pPr>
        <w:ind w:left="900"/>
        <w:spacing w:line="480" w:lineRule="exact"/>
        <w:rPr>
          <w:rFonts w:hint="default" w:ascii="宋体" w:hAnsi="宋体" w:eastAsia="宋体" w:cs="Times New Roman"/>
          <w:sz w:val="24"/>
          <w:highlight w:val="none"/>
        </w:rPr>
      </w:pPr>
      <w:r>
        <w:rPr>
          <w:rFonts w:hint="eastAsia" w:ascii="宋体" w:hAnsi="宋体" w:cs="宋体"/>
          <w:color w:val="000000"/>
          <w:sz w:val="24"/>
          <w:highlight w:val="none"/>
        </w:rPr>
        <w:t xml:space="preserve">     </w:t>
      </w:r>
      <w:r>
        <w:rPr>
          <w:rFonts w:hint="eastAsia" w:ascii="宋体" w:hAnsi="宋体" w:eastAsia="宋体" w:cs="Times New Roman"/>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left="1079" w:hanging="600"/>
        <w:spacing w:line="480" w:lineRule="exact"/>
        <w:rPr>
          <w:rFonts w:ascii="宋体" w:hAnsi="宋体" w:cs="宋体"/>
          <w:color w:val="000000"/>
          <w:sz w:val="24"/>
          <w:highlight w:val="none"/>
        </w:rPr>
      </w:pPr>
      <w:r>
        <w:rPr>
          <w:rFonts w:ascii="宋体" w:hAnsi="宋体" w:cs="宋体"/>
          <w:color w:val="000000"/>
          <w:sz w:val="24"/>
          <w:highlight w:val="none"/>
        </w:rPr>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s="宋体"/>
          <w:color w:val="000000"/>
          <w:sz w:val="28"/>
          <w:highlight w:val="none"/>
        </w:rPr>
      </w:pPr>
      <w:r/>
      <w:bookmarkStart w:id="166" w:name="_1.8_计量单位"/>
      <w:r/>
      <w:bookmarkEnd w:id="166"/>
      <w:r/>
      <w:r/>
    </w:p>
    <w:p>
      <w:pPr>
        <w:pStyle w:val="1080"/>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二   </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t xml:space="preserve">采购文件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167" w:name="_Toc195842888"/>
      <w:r/>
      <w:bookmarkStart w:id="168" w:name="_Toc151193693"/>
      <w:r/>
      <w:bookmarkStart w:id="169" w:name="_Toc305158791"/>
      <w:r/>
      <w:bookmarkStart w:id="170" w:name="_Toc151193911"/>
      <w:r/>
      <w:bookmarkStart w:id="171" w:name="_Toc164229218"/>
      <w:r/>
      <w:bookmarkStart w:id="172" w:name="_Toc151193837"/>
      <w:r/>
      <w:bookmarkStart w:id="173" w:name="_Toc151193621"/>
      <w:r/>
      <w:bookmarkStart w:id="174" w:name="_Toc151193765"/>
      <w:r/>
      <w:bookmarkStart w:id="175" w:name="_Toc305158865"/>
      <w:r/>
      <w:bookmarkStart w:id="176" w:name="_Toc520356147"/>
      <w:r/>
      <w:bookmarkStart w:id="177" w:name="_Toc127161437"/>
      <w:r/>
      <w:bookmarkStart w:id="178" w:name="_Toc150509274"/>
      <w:r/>
      <w:bookmarkStart w:id="179" w:name="_Toc265228361"/>
      <w:r/>
      <w:bookmarkStart w:id="180" w:name="_Toc142311025"/>
      <w:r/>
      <w:bookmarkStart w:id="181" w:name="_Toc226965796"/>
      <w:r/>
      <w:bookmarkStart w:id="182" w:name="_Toc150774728"/>
      <w:r/>
      <w:bookmarkStart w:id="183" w:name="_Toc264969213"/>
      <w:r/>
      <w:bookmarkStart w:id="184" w:name="_Toc151190150"/>
      <w:r/>
      <w:bookmarkStart w:id="185" w:name="_Toc164608792"/>
      <w:r/>
      <w:bookmarkStart w:id="186" w:name="_Toc150480761"/>
      <w:r/>
      <w:bookmarkStart w:id="187" w:name="_Toc226337219"/>
      <w:r/>
      <w:bookmarkStart w:id="188" w:name="_Toc164351617"/>
      <w:r/>
      <w:bookmarkStart w:id="189" w:name="_Toc150774623"/>
      <w:r/>
      <w:bookmarkStart w:id="190" w:name="_Toc226309767"/>
      <w:r/>
      <w:bookmarkStart w:id="191" w:name="_Toc127151724"/>
      <w:r/>
      <w:bookmarkStart w:id="192" w:name="_Toc149720816"/>
      <w:r/>
      <w:bookmarkStart w:id="193" w:name="_Toc164229364"/>
      <w:r/>
      <w:bookmarkStart w:id="194" w:name="_Toc226965713"/>
      <w:r/>
      <w:bookmarkStart w:id="195" w:name="_Toc127151523"/>
      <w:r/>
      <w:bookmarkStart w:id="196" w:name="_Toc164608637"/>
      <w:r>
        <w:rPr>
          <w:rFonts w:hint="eastAsia" w:ascii="宋体" w:hAnsi="宋体" w:cs="宋体"/>
          <w:color w:val="000000"/>
          <w:sz w:val="24"/>
          <w:highlight w:val="none"/>
        </w:rPr>
        <w:t xml:space="preserve">采购文件构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color w:val="000000"/>
          <w:sz w:val="24"/>
          <w:highlight w:val="none"/>
        </w:rPr>
        <w:t xml:space="preserve">成</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采购文件包括以下部分：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采购邀请</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供应商须知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资格审查</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供应商应认真阅读采购文件的全部内容。供应商应按照采购文件要求提交投标文件并保证所提供的全部资料的真实性，并对采购文件做出实质性投标，否则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1080" w:leader="none"/>
          <w:tab w:val="left" w:pos="2014"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对采购文件的澄清或修改</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采购人或采购代理机构对已发出的采购文件进行必要澄清或者修改的，将在原公告发布媒体上以发布更正公告的形式通知所有获取采购文件的潜在供应商。</w:t>
      </w:r>
      <w:r/>
    </w:p>
    <w:p>
      <w:pPr>
        <w:numPr>
          <w:ilvl w:val="1"/>
          <w:numId w:val="8"/>
        </w:numPr>
        <w:ind w:left="1080" w:hanging="720"/>
        <w:spacing w:line="360" w:lineRule="auto"/>
        <w:tabs>
          <w:tab w:val="left" w:pos="1080" w:leader="none"/>
          <w:tab w:val="left" w:pos="1561"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澄清或者修改的内容为采购文件的组成部分，并对所有获取采购文件的潜在供应商具有约束力。澄清或者修改的内容可能影响投标文件编制的，将在投标截止时间至少15日前，以更正公告形式通知所有获取采购文件的潜在供应商；不足15日的，将顺延提交投标文件的截止时间和开标时间。</w:t>
      </w:r>
      <w:r/>
    </w:p>
    <w:p>
      <w:pPr>
        <w:ind w:left="1080"/>
        <w:spacing w:line="360" w:lineRule="auto"/>
        <w:tabs>
          <w:tab w:val="left" w:pos="1080" w:leader="none"/>
          <w:tab w:val="left" w:pos="1561" w:leader="none"/>
        </w:tabs>
        <w:rPr>
          <w:rFonts w:ascii="宋体" w:hAnsi="宋体" w:cs="宋体"/>
          <w:color w:val="000000"/>
          <w:sz w:val="28"/>
          <w:highlight w:val="none"/>
        </w:rPr>
      </w:pPr>
      <w:r/>
      <w:bookmarkStart w:id="197" w:name="_Toc516367020"/>
      <w:r/>
      <w:bookmarkStart w:id="198" w:name="_Toc150480764"/>
      <w:r/>
      <w:bookmarkStart w:id="199" w:name="_Toc150774626"/>
      <w:r/>
      <w:bookmarkStart w:id="200" w:name="_Toc127151526"/>
      <w:r/>
      <w:bookmarkStart w:id="201" w:name="_Toc520356150"/>
      <w:r/>
      <w:bookmarkStart w:id="202" w:name="_Toc142311028"/>
      <w:r/>
      <w:bookmarkStart w:id="203" w:name="_Toc305158794"/>
      <w:r/>
      <w:bookmarkStart w:id="204" w:name="_Toc226965799"/>
      <w:r/>
      <w:bookmarkStart w:id="205" w:name="_Toc151193696"/>
      <w:r/>
      <w:bookmarkStart w:id="206" w:name="_Toc226337222"/>
      <w:r/>
      <w:bookmarkStart w:id="207" w:name="_Toc151193768"/>
      <w:r/>
      <w:bookmarkStart w:id="208" w:name="_Toc305158868"/>
      <w:r/>
      <w:bookmarkStart w:id="209" w:name="_Toc151193914"/>
      <w:r/>
      <w:bookmarkStart w:id="210" w:name="_Toc226965716"/>
      <w:r/>
      <w:bookmarkStart w:id="211" w:name="_Toc150509277"/>
      <w:r/>
      <w:bookmarkStart w:id="212" w:name="_Toc195842891"/>
      <w:r/>
      <w:bookmarkStart w:id="213" w:name="_Toc150774731"/>
      <w:r/>
      <w:bookmarkStart w:id="214" w:name="_Toc226309770"/>
      <w:r/>
      <w:bookmarkStart w:id="215" w:name="_Toc264969216"/>
      <w:r/>
      <w:bookmarkStart w:id="216" w:name="_Toc151193840"/>
      <w:r/>
      <w:bookmarkStart w:id="217" w:name="_Toc265228364"/>
      <w:r/>
      <w:bookmarkStart w:id="218" w:name="_Toc151193624"/>
      <w:r/>
      <w:bookmarkStart w:id="219" w:name="_Toc151190153"/>
      <w:r/>
      <w:r/>
    </w:p>
    <w:p>
      <w:pPr>
        <w:pStyle w:val="1080"/>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三   投标文件</w:t>
      </w:r>
      <w:bookmarkEnd w:id="197"/>
      <w:r>
        <w:rPr>
          <w:rFonts w:hint="eastAsia" w:ascii="宋体" w:hAnsi="宋体" w:eastAsia="宋体" w:cs="宋体"/>
          <w:color w:val="000000"/>
          <w:sz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20" w:name="_Toc226965800"/>
      <w:r/>
      <w:bookmarkStart w:id="221" w:name="_Toc151193769"/>
      <w:r/>
      <w:bookmarkStart w:id="222" w:name="_Toc164229368"/>
      <w:r/>
      <w:bookmarkStart w:id="223" w:name="_Toc151193841"/>
      <w:r/>
      <w:bookmarkStart w:id="224" w:name="_Toc195842892"/>
      <w:r/>
      <w:bookmarkStart w:id="225" w:name="_Toc226965717"/>
      <w:r/>
      <w:bookmarkStart w:id="226" w:name="_Toc226337223"/>
      <w:r/>
      <w:bookmarkStart w:id="227" w:name="_Toc264969217"/>
      <w:r/>
      <w:bookmarkStart w:id="228" w:name="_Toc127151728"/>
      <w:r/>
      <w:bookmarkStart w:id="229" w:name="_Toc226309771"/>
      <w:r/>
      <w:bookmarkStart w:id="230" w:name="_Toc127161441"/>
      <w:r/>
      <w:bookmarkStart w:id="231" w:name="_Toc164229222"/>
      <w:r/>
      <w:bookmarkStart w:id="232" w:name="_Toc305158869"/>
      <w:r/>
      <w:bookmarkStart w:id="233" w:name="_Toc127151527"/>
      <w:r/>
      <w:bookmarkStart w:id="234" w:name="_Toc151193915"/>
      <w:r/>
      <w:bookmarkStart w:id="235" w:name="_Toc150774627"/>
      <w:r/>
      <w:bookmarkStart w:id="236" w:name="_Toc150509278"/>
      <w:r/>
      <w:bookmarkStart w:id="237" w:name="_Toc151193697"/>
      <w:r/>
      <w:bookmarkStart w:id="238" w:name="_Toc164608796"/>
      <w:r/>
      <w:bookmarkStart w:id="239" w:name="_Toc305158795"/>
      <w:r/>
      <w:bookmarkStart w:id="240" w:name="_Toc151193625"/>
      <w:r/>
      <w:bookmarkStart w:id="241" w:name="_Toc151190154"/>
      <w:r/>
      <w:bookmarkStart w:id="242" w:name="_Toc516367021"/>
      <w:r/>
      <w:bookmarkStart w:id="243" w:name="_Toc150480765"/>
      <w:r/>
      <w:bookmarkStart w:id="244" w:name="_Toc265228365"/>
      <w:r/>
      <w:bookmarkStart w:id="245" w:name="_Toc149720820"/>
      <w:r/>
      <w:bookmarkStart w:id="246" w:name="_Toc164351621"/>
      <w:r/>
      <w:bookmarkStart w:id="247" w:name="_Toc520356151"/>
      <w:r/>
      <w:bookmarkStart w:id="248" w:name="_Toc142311029"/>
      <w:r/>
      <w:bookmarkStart w:id="249" w:name="_Toc150774732"/>
      <w:r/>
      <w:bookmarkStart w:id="250" w:name="_Toc164608641"/>
      <w:r>
        <w:rPr>
          <w:rFonts w:hint="eastAsia" w:ascii="宋体" w:hAnsi="宋体" w:cs="宋体"/>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color w:val="000000"/>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如划分采购包，供应商可以对本项目的其中一个采购包进行投标，也可同时对多个采购包进行投标。供应商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除采购文件有特殊要求外，本项目投标所使用的计量单位，应采用中华人民共和国法定计量单位。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供应商提交的支持资料和已印制的文献可以用外文，但相应内容应附有中文翻译本，在解释投标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51" w:name="_Ref467306676"/>
      <w:r/>
      <w:bookmarkStart w:id="252" w:name="_Ref467306195"/>
      <w:r/>
      <w:bookmarkStart w:id="253" w:name="_Toc516367022"/>
      <w:r/>
      <w:bookmarkStart w:id="254" w:name="_Toc226309772"/>
      <w:r/>
      <w:bookmarkStart w:id="255" w:name="_Toc150774733"/>
      <w:r/>
      <w:bookmarkStart w:id="256" w:name="_Toc151193626"/>
      <w:r/>
      <w:bookmarkStart w:id="257" w:name="_Toc164229369"/>
      <w:r/>
      <w:bookmarkStart w:id="258" w:name="_Toc264969218"/>
      <w:r/>
      <w:bookmarkStart w:id="259" w:name="_Toc151193916"/>
      <w:r/>
      <w:bookmarkStart w:id="260" w:name="_Toc127151528"/>
      <w:r/>
      <w:bookmarkStart w:id="261" w:name="_Toc150509279"/>
      <w:r/>
      <w:bookmarkStart w:id="262" w:name="_Toc151193770"/>
      <w:r/>
      <w:bookmarkStart w:id="263" w:name="_Toc151193842"/>
      <w:r/>
      <w:bookmarkStart w:id="264" w:name="_Toc127161442"/>
      <w:r/>
      <w:bookmarkStart w:id="265" w:name="_Toc164608797"/>
      <w:r/>
      <w:bookmarkStart w:id="266" w:name="_Toc151190155"/>
      <w:r/>
      <w:bookmarkStart w:id="267" w:name="_Toc127151729"/>
      <w:r/>
      <w:bookmarkStart w:id="268" w:name="_Toc265228366"/>
      <w:r/>
      <w:bookmarkStart w:id="269" w:name="_Toc195842893"/>
      <w:r/>
      <w:bookmarkStart w:id="270" w:name="_Toc305158796"/>
      <w:r/>
      <w:bookmarkStart w:id="271" w:name="_Toc226965801"/>
      <w:r/>
      <w:bookmarkStart w:id="272" w:name="_Toc520356152"/>
      <w:r/>
      <w:bookmarkStart w:id="273" w:name="_Toc164229223"/>
      <w:r/>
      <w:bookmarkStart w:id="274" w:name="_Toc305158870"/>
      <w:r/>
      <w:bookmarkStart w:id="275" w:name="_Toc149720821"/>
      <w:r/>
      <w:bookmarkStart w:id="276" w:name="_Toc226965718"/>
      <w:r/>
      <w:bookmarkStart w:id="277" w:name="_Toc164608642"/>
      <w:r/>
      <w:bookmarkStart w:id="278" w:name="_Toc150774628"/>
      <w:r/>
      <w:bookmarkStart w:id="279" w:name="_Toc164351622"/>
      <w:r/>
      <w:bookmarkStart w:id="280" w:name="_Toc150480766"/>
      <w:r/>
      <w:bookmarkStart w:id="281" w:name="_Toc142311030"/>
      <w:r/>
      <w:bookmarkStart w:id="282" w:name="_Toc151193698"/>
      <w:r/>
      <w:bookmarkStart w:id="283" w:name="_Toc226337224"/>
      <w:r>
        <w:rPr>
          <w:rFonts w:hint="eastAsia" w:ascii="宋体" w:hAnsi="宋体" w:cs="宋体"/>
          <w:color w:val="000000"/>
          <w:sz w:val="24"/>
          <w:highlight w:val="none"/>
        </w:rPr>
        <w:t xml:space="preserve">投标文件</w:t>
      </w:r>
      <w:bookmarkEnd w:id="251"/>
      <w:r/>
      <w:bookmarkEnd w:id="252"/>
      <w:r/>
      <w:bookmarkEnd w:id="253"/>
      <w:r>
        <w:rPr>
          <w:rFonts w:hint="eastAsia" w:ascii="宋体" w:hAnsi="宋体" w:cs="宋体"/>
          <w:color w:val="000000"/>
          <w:sz w:val="24"/>
          <w:highlight w:val="none"/>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284" w:name="_Ref467052588"/>
      <w:r>
        <w:rPr>
          <w:rFonts w:hint="eastAsia" w:ascii="宋体" w:hAnsi="宋体" w:cs="宋体"/>
          <w:color w:val="000000"/>
          <w:sz w:val="24"/>
          <w:highlight w:val="none"/>
        </w:rPr>
        <w:t xml:space="preserve">供应商应当按照采购文件的要求编制投标文件。投标文件应由《资格证明文件》、《商务技术文件》两部分构成。投标文件的部分格式要求，见第七章《投标文件格式》。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投标，或申明与第五章《采购需求》的偏差和例外。如第五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供应商认为应附的其他材料。</w:t>
      </w:r>
      <w:bookmarkEnd w:id="284"/>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285" w:name="_Toc151193844"/>
      <w:r/>
      <w:bookmarkStart w:id="286" w:name="_Toc520356155"/>
      <w:r/>
      <w:bookmarkStart w:id="287" w:name="_Toc127151731"/>
      <w:r/>
      <w:bookmarkStart w:id="288" w:name="_Toc142311032"/>
      <w:r/>
      <w:bookmarkStart w:id="289" w:name="_Toc151193772"/>
      <w:r/>
      <w:bookmarkStart w:id="290" w:name="_Toc151190157"/>
      <w:r/>
      <w:bookmarkStart w:id="291" w:name="_Toc164229225"/>
      <w:r/>
      <w:bookmarkStart w:id="292" w:name="_Toc150774630"/>
      <w:r/>
      <w:bookmarkStart w:id="293" w:name="_Toc149720823"/>
      <w:r/>
      <w:bookmarkStart w:id="294" w:name="_Toc150774735"/>
      <w:r/>
      <w:bookmarkStart w:id="295" w:name="_Toc151193700"/>
      <w:r/>
      <w:bookmarkStart w:id="296" w:name="_Toc150480768"/>
      <w:r/>
      <w:bookmarkStart w:id="297" w:name="_Toc127161444"/>
      <w:r/>
      <w:bookmarkStart w:id="298" w:name="_Toc127151530"/>
      <w:r/>
      <w:bookmarkStart w:id="299" w:name="_Toc195842895"/>
      <w:r/>
      <w:bookmarkStart w:id="300" w:name="_Toc151193918"/>
      <w:r/>
      <w:bookmarkStart w:id="301" w:name="_Toc164608799"/>
      <w:r/>
      <w:bookmarkStart w:id="302" w:name="_Toc151193628"/>
      <w:r/>
      <w:bookmarkStart w:id="303" w:name="_Toc150509281"/>
      <w:r/>
      <w:bookmarkStart w:id="304" w:name="_Toc164351624"/>
      <w:r/>
      <w:bookmarkStart w:id="305" w:name="_Toc164229371"/>
      <w:r/>
      <w:bookmarkStart w:id="306" w:name="_Toc164608644"/>
      <w:r>
        <w:rPr>
          <w:rFonts w:hint="eastAsia" w:ascii="宋体" w:hAnsi="宋体" w:cs="宋体"/>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供应商的报价应包括为完成本项目所发生的一切费用和税费。供应商的报价应包括但不限于下列内容，《供应商须知资料表》中有特殊规定的，从其规定。</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包装费、保险费，安装调试、检验、技术服务、培训、质量保证、售后服务、税费等按照采购文件要求完成本项目的全部相关服务费用；</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按照采购文件要求完成本项目的全部相关费用。 </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07" w:name="_Toc151193773"/>
      <w:r/>
      <w:bookmarkStart w:id="308" w:name="_Toc305158799"/>
      <w:r/>
      <w:bookmarkStart w:id="309" w:name="_Toc305158873"/>
      <w:r/>
      <w:bookmarkStart w:id="310" w:name="_Toc149720824"/>
      <w:r/>
      <w:bookmarkStart w:id="311" w:name="_Toc226309775"/>
      <w:r/>
      <w:bookmarkStart w:id="312" w:name="_Toc127161445"/>
      <w:r/>
      <w:bookmarkStart w:id="313" w:name="_Toc226965804"/>
      <w:r/>
      <w:bookmarkStart w:id="314" w:name="_Toc142311033"/>
      <w:r/>
      <w:bookmarkStart w:id="315" w:name="_Toc150509282"/>
      <w:r/>
      <w:bookmarkStart w:id="316" w:name="_Toc226337227"/>
      <w:r/>
      <w:bookmarkStart w:id="317" w:name="_Toc164229226"/>
      <w:r/>
      <w:bookmarkStart w:id="318" w:name="_Toc520356156"/>
      <w:r/>
      <w:bookmarkStart w:id="319" w:name="_Toc164229372"/>
      <w:r/>
      <w:bookmarkStart w:id="320" w:name="_Toc164608800"/>
      <w:r/>
      <w:bookmarkStart w:id="321" w:name="_Toc127151531"/>
      <w:r/>
      <w:bookmarkStart w:id="322" w:name="_Toc151190158"/>
      <w:r/>
      <w:bookmarkStart w:id="323" w:name="_Toc151193701"/>
      <w:r/>
      <w:bookmarkStart w:id="324" w:name="_Toc127151732"/>
      <w:r/>
      <w:bookmarkStart w:id="325" w:name="_Toc265228369"/>
      <w:r/>
      <w:bookmarkStart w:id="326" w:name="_Ref467306513"/>
      <w:r/>
      <w:bookmarkStart w:id="327" w:name="_Toc151193919"/>
      <w:r/>
      <w:bookmarkStart w:id="328" w:name="_Toc150774736"/>
      <w:r/>
      <w:bookmarkStart w:id="329" w:name="_Toc151193629"/>
      <w:r/>
      <w:bookmarkStart w:id="330" w:name="_Toc226965721"/>
      <w:r/>
      <w:bookmarkStart w:id="331" w:name="_Toc151193845"/>
      <w:r/>
      <w:bookmarkStart w:id="332" w:name="_Toc195842896"/>
      <w:r/>
      <w:bookmarkStart w:id="333" w:name="_Toc264969221"/>
      <w:r/>
      <w:bookmarkStart w:id="334" w:name="_Toc164608645"/>
      <w:r/>
      <w:bookmarkStart w:id="335" w:name="_Toc164351625"/>
      <w:r/>
      <w:bookmarkStart w:id="336" w:name="_Toc150774631"/>
      <w:r/>
      <w:bookmarkStart w:id="337" w:name="_Toc150480769"/>
      <w:r>
        <w:rPr>
          <w:rFonts w:hint="eastAsia" w:ascii="宋体" w:hAnsi="宋体" w:cs="宋体"/>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38" w:name="_Toc150480770"/>
      <w:r/>
      <w:bookmarkStart w:id="339" w:name="_Toc164608646"/>
      <w:r/>
      <w:bookmarkStart w:id="340" w:name="_Toc264969222"/>
      <w:r/>
      <w:bookmarkStart w:id="341" w:name="_Toc226965805"/>
      <w:r/>
      <w:bookmarkStart w:id="342" w:name="_Toc520356157"/>
      <w:r/>
      <w:bookmarkStart w:id="343" w:name="_Toc226337228"/>
      <w:r/>
      <w:bookmarkStart w:id="344" w:name="_Toc142311034"/>
      <w:r/>
      <w:bookmarkStart w:id="345" w:name="_Toc127151532"/>
      <w:r/>
      <w:bookmarkStart w:id="346" w:name="_Toc150509283"/>
      <w:r/>
      <w:bookmarkStart w:id="347" w:name="_Toc164351626"/>
      <w:r/>
      <w:bookmarkStart w:id="348" w:name="_Toc305158800"/>
      <w:r/>
      <w:bookmarkStart w:id="349" w:name="_Toc164229227"/>
      <w:r/>
      <w:bookmarkStart w:id="350" w:name="_Toc127161446"/>
      <w:r/>
      <w:bookmarkStart w:id="351" w:name="_Toc164608801"/>
      <w:r/>
      <w:bookmarkStart w:id="352" w:name="_Toc265228370"/>
      <w:r/>
      <w:bookmarkStart w:id="353" w:name="_Toc149720825"/>
      <w:r/>
      <w:bookmarkStart w:id="354" w:name="_Toc305158874"/>
      <w:r/>
      <w:bookmarkStart w:id="355" w:name="_Toc151190159"/>
      <w:r/>
      <w:bookmarkStart w:id="356" w:name="_Toc151193774"/>
      <w:r/>
      <w:bookmarkStart w:id="357" w:name="_Toc150774737"/>
      <w:r/>
      <w:bookmarkStart w:id="358" w:name="_Toc226965722"/>
      <w:r/>
      <w:bookmarkStart w:id="359" w:name="_Toc127151733"/>
      <w:r/>
      <w:bookmarkStart w:id="360" w:name="_Toc150774632"/>
      <w:r/>
      <w:bookmarkStart w:id="361" w:name="_Toc195842897"/>
      <w:r/>
      <w:bookmarkStart w:id="362" w:name="_Toc226309776"/>
      <w:r/>
      <w:bookmarkStart w:id="363" w:name="_Toc151193920"/>
      <w:r/>
      <w:bookmarkStart w:id="364" w:name="_Toc151193846"/>
      <w:r/>
      <w:bookmarkStart w:id="365" w:name="_Toc164229373"/>
      <w:r/>
      <w:bookmarkStart w:id="366" w:name="_Toc151193702"/>
      <w:r/>
      <w:bookmarkStart w:id="367" w:name="_Toc151193630"/>
      <w:r>
        <w:rPr>
          <w:rFonts w:hint="eastAsia" w:ascii="宋体" w:hAnsi="宋体" w:cs="宋体"/>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投标文件应在本采购文件《供应商须知资料表》中规定的投标有效期内保持有效，投标有效期少于采购文件规定期限的，其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368" w:name="_Toc226965723"/>
      <w:r/>
      <w:bookmarkStart w:id="369" w:name="_Toc127151533"/>
      <w:r/>
      <w:bookmarkStart w:id="370" w:name="_Toc151193703"/>
      <w:r/>
      <w:bookmarkStart w:id="371" w:name="_Toc127161447"/>
      <w:r/>
      <w:bookmarkStart w:id="372" w:name="_Toc142311035"/>
      <w:r/>
      <w:bookmarkStart w:id="373" w:name="_Toc164608647"/>
      <w:r/>
      <w:bookmarkStart w:id="374" w:name="_Toc151193775"/>
      <w:r/>
      <w:bookmarkStart w:id="375" w:name="_Toc264969223"/>
      <w:r/>
      <w:bookmarkStart w:id="376" w:name="_Toc305158801"/>
      <w:r/>
      <w:bookmarkStart w:id="377" w:name="_Toc151193631"/>
      <w:r/>
      <w:bookmarkStart w:id="378" w:name="_Toc226337229"/>
      <w:r/>
      <w:bookmarkStart w:id="379" w:name="_Toc164229374"/>
      <w:r/>
      <w:bookmarkStart w:id="380" w:name="_Toc149720826"/>
      <w:r/>
      <w:bookmarkStart w:id="381" w:name="_Toc265228371"/>
      <w:r/>
      <w:bookmarkStart w:id="382" w:name="_Toc164351627"/>
      <w:r/>
      <w:bookmarkStart w:id="383" w:name="_Toc127151734"/>
      <w:r/>
      <w:bookmarkStart w:id="384" w:name="_Toc151190160"/>
      <w:r/>
      <w:bookmarkStart w:id="385" w:name="_Toc151193921"/>
      <w:r/>
      <w:bookmarkStart w:id="386" w:name="_Toc151193847"/>
      <w:r/>
      <w:bookmarkStart w:id="387" w:name="_Toc226965806"/>
      <w:r/>
      <w:bookmarkStart w:id="388" w:name="_Toc150774633"/>
      <w:r/>
      <w:bookmarkStart w:id="389" w:name="_Toc150480771"/>
      <w:r/>
      <w:bookmarkStart w:id="390" w:name="_Toc226309777"/>
      <w:r/>
      <w:bookmarkStart w:id="391" w:name="_Toc150509284"/>
      <w:r/>
      <w:bookmarkStart w:id="392" w:name="_Toc150774738"/>
      <w:r/>
      <w:bookmarkStart w:id="393" w:name="_Toc164229228"/>
      <w:r/>
      <w:bookmarkStart w:id="394" w:name="_Toc520356158"/>
      <w:r/>
      <w:bookmarkStart w:id="395" w:name="_Toc164608802"/>
      <w:r/>
      <w:bookmarkStart w:id="396" w:name="_Toc195842898"/>
      <w:r/>
      <w:bookmarkStart w:id="397" w:name="_Toc305158875"/>
      <w:r>
        <w:rPr>
          <w:rFonts w:hint="eastAsia" w:ascii="宋体" w:hAnsi="宋体" w:cs="宋体"/>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color w:val="000000"/>
          <w:sz w:val="24"/>
          <w:highlight w:val="none"/>
        </w:rPr>
        <w:t xml:space="preserve">、加盖公章</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bookmarkStart w:id="398" w:name="_Toc151193704"/>
      <w:r/>
      <w:bookmarkStart w:id="399" w:name="_Toc195842899"/>
      <w:r/>
      <w:bookmarkStart w:id="400" w:name="_Toc151190161"/>
      <w:r/>
      <w:bookmarkStart w:id="401" w:name="_Toc142311036"/>
      <w:r/>
      <w:bookmarkStart w:id="402" w:name="_Toc265228372"/>
      <w:r/>
      <w:bookmarkStart w:id="403" w:name="_Toc520356159"/>
      <w:r/>
      <w:bookmarkStart w:id="404" w:name="_Toc151193922"/>
      <w:r/>
      <w:bookmarkStart w:id="405" w:name="_Toc226965724"/>
      <w:r/>
      <w:bookmarkStart w:id="406" w:name="_Toc226309778"/>
      <w:r/>
      <w:bookmarkStart w:id="407" w:name="_Toc127151534"/>
      <w:r/>
      <w:bookmarkStart w:id="408" w:name="_Toc151193776"/>
      <w:r/>
      <w:bookmarkStart w:id="409" w:name="_Toc151193632"/>
      <w:r/>
      <w:bookmarkStart w:id="410" w:name="_Toc264969224"/>
      <w:r/>
      <w:bookmarkStart w:id="411" w:name="_Toc226965807"/>
      <w:r/>
      <w:bookmarkStart w:id="412" w:name="_Toc150774634"/>
      <w:r/>
      <w:bookmarkStart w:id="413" w:name="_Toc150480772"/>
      <w:r/>
      <w:bookmarkStart w:id="414" w:name="_Toc151193848"/>
      <w:r/>
      <w:bookmarkStart w:id="415" w:name="_Toc305158802"/>
      <w:r/>
      <w:bookmarkStart w:id="416" w:name="_Toc226337230"/>
      <w:r/>
      <w:bookmarkStart w:id="417" w:name="_Toc150509285"/>
      <w:r/>
      <w:bookmarkStart w:id="418" w:name="_Toc305158876"/>
      <w:r/>
      <w:bookmarkStart w:id="419" w:name="_Toc150774739"/>
      <w:r>
        <w:rPr>
          <w:rFonts w:hint="eastAsia" w:ascii="宋体" w:hAnsi="宋体" w:cs="宋体"/>
          <w:color w:val="000000"/>
          <w:sz w:val="24"/>
          <w:highlight w:val="none"/>
        </w:rPr>
        <w:t xml:space="preserve">采购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采购文件要求加盖公章的内容，一般通过投标文件编制工具加盖电子签章。</w:t>
      </w:r>
      <w:r/>
    </w:p>
    <w:p>
      <w:pPr>
        <w:ind w:left="357"/>
        <w:spacing w:line="360" w:lineRule="auto"/>
        <w:tabs>
          <w:tab w:val="left" w:pos="900" w:leader="none"/>
          <w:tab w:val="left" w:pos="1080" w:leader="none"/>
        </w:tabs>
        <w:rPr>
          <w:rFonts w:ascii="宋体" w:hAnsi="宋体" w:cs="宋体"/>
          <w:color w:val="000000"/>
          <w:highlight w:val="none"/>
        </w:rPr>
      </w:pPr>
      <w:r>
        <w:rPr>
          <w:rFonts w:ascii="宋体" w:hAnsi="宋体" w:cs="宋体"/>
          <w:color w:val="000000"/>
          <w:highlight w:val="none"/>
        </w:rPr>
      </w:r>
      <w:r/>
    </w:p>
    <w:p>
      <w:pPr>
        <w:pStyle w:val="1080"/>
        <w:spacing w:before="0" w:line="360" w:lineRule="auto"/>
        <w:rPr>
          <w:rFonts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20" w:name="_Toc127151736"/>
      <w:r/>
      <w:bookmarkStart w:id="421" w:name="_Toc150480773"/>
      <w:r/>
      <w:bookmarkStart w:id="422" w:name="_Toc164351629"/>
      <w:r/>
      <w:bookmarkStart w:id="423" w:name="_Toc127151535"/>
      <w:r/>
      <w:bookmarkStart w:id="424" w:name="_Toc226309779"/>
      <w:r/>
      <w:bookmarkStart w:id="425" w:name="_Toc226965808"/>
      <w:r/>
      <w:bookmarkStart w:id="426" w:name="_Toc195842900"/>
      <w:r/>
      <w:bookmarkStart w:id="427" w:name="_Toc151193777"/>
      <w:r/>
      <w:bookmarkStart w:id="428" w:name="_Toc305158803"/>
      <w:r/>
      <w:bookmarkStart w:id="429" w:name="_Toc305158877"/>
      <w:r/>
      <w:bookmarkStart w:id="430" w:name="_Toc149720828"/>
      <w:r/>
      <w:bookmarkStart w:id="431" w:name="_Toc226965725"/>
      <w:r/>
      <w:bookmarkStart w:id="432" w:name="_Toc520356160"/>
      <w:r/>
      <w:bookmarkStart w:id="433" w:name="_Toc164229230"/>
      <w:r/>
      <w:bookmarkStart w:id="434" w:name="_Toc164608804"/>
      <w:r/>
      <w:bookmarkStart w:id="435" w:name="_Toc151193923"/>
      <w:r/>
      <w:bookmarkStart w:id="436" w:name="_Toc226337231"/>
      <w:r/>
      <w:bookmarkStart w:id="437" w:name="_Toc150774635"/>
      <w:r/>
      <w:bookmarkStart w:id="438" w:name="_Toc150774740"/>
      <w:r/>
      <w:bookmarkStart w:id="439" w:name="_Toc164608649"/>
      <w:r/>
      <w:bookmarkStart w:id="440" w:name="_Toc164229376"/>
      <w:r/>
      <w:bookmarkStart w:id="441" w:name="_Toc264969225"/>
      <w:r/>
      <w:bookmarkStart w:id="442" w:name="_Toc151193633"/>
      <w:r/>
      <w:bookmarkStart w:id="443" w:name="_Toc151193705"/>
      <w:r/>
      <w:bookmarkStart w:id="444" w:name="_Toc151193849"/>
      <w:r/>
      <w:bookmarkStart w:id="445" w:name="_Toc127161449"/>
      <w:r/>
      <w:bookmarkStart w:id="446" w:name="_Toc150509286"/>
      <w:r/>
      <w:bookmarkStart w:id="447" w:name="_Toc265228373"/>
      <w:r/>
      <w:bookmarkStart w:id="448" w:name="_Toc142311037"/>
      <w:r/>
      <w:bookmarkStart w:id="449" w:name="_Toc151190162"/>
      <w:r>
        <w:rPr>
          <w:rFonts w:hint="eastAsia" w:ascii="宋体" w:hAnsi="宋体" w:cs="宋体"/>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color w:val="000000"/>
          <w:sz w:val="24"/>
          <w:highlight w:val="none"/>
        </w:rPr>
        <w:t xml:space="preserve">提交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“苏采云”系统</w:t>
      </w:r>
      <w:r>
        <w:rPr>
          <w:rFonts w:hint="eastAsia" w:ascii="宋体" w:hAnsi="宋体" w:cs="宋体"/>
          <w:color w:val="000000"/>
          <w:sz w:val="24"/>
          <w:highlight w:val="none"/>
        </w:rPr>
        <w:t xml:space="preserve">。供应商根据采购文件及</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以外任何形式提交的投标文件。</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50" w:name="_Toc195842901"/>
      <w:r/>
      <w:bookmarkStart w:id="451" w:name="_Toc151193706"/>
      <w:r/>
      <w:bookmarkStart w:id="452" w:name="_Toc264969226"/>
      <w:r/>
      <w:bookmarkStart w:id="453" w:name="_Toc164351630"/>
      <w:r/>
      <w:bookmarkStart w:id="454" w:name="_Toc226965726"/>
      <w:r/>
      <w:bookmarkStart w:id="455" w:name="_Toc226965809"/>
      <w:r/>
      <w:bookmarkStart w:id="456" w:name="_Toc151193924"/>
      <w:r/>
      <w:bookmarkStart w:id="457" w:name="_Toc151193778"/>
      <w:r/>
      <w:bookmarkStart w:id="458" w:name="_Toc164608805"/>
      <w:r/>
      <w:bookmarkStart w:id="459" w:name="_Toc142311038"/>
      <w:r/>
      <w:bookmarkStart w:id="460" w:name="_Toc520356161"/>
      <w:r/>
      <w:bookmarkStart w:id="461" w:name="_Toc164229377"/>
      <w:r/>
      <w:bookmarkStart w:id="462" w:name="_Toc150480774"/>
      <w:r/>
      <w:bookmarkStart w:id="463" w:name="_Toc305158878"/>
      <w:r/>
      <w:bookmarkStart w:id="464" w:name="_Toc305158804"/>
      <w:r/>
      <w:bookmarkStart w:id="465" w:name="_Toc151193634"/>
      <w:r/>
      <w:bookmarkStart w:id="466" w:name="_Toc150774636"/>
      <w:r/>
      <w:bookmarkStart w:id="467" w:name="_Toc127151737"/>
      <w:r/>
      <w:bookmarkStart w:id="468" w:name="_Toc151190163"/>
      <w:r/>
      <w:bookmarkStart w:id="469" w:name="_Toc127161450"/>
      <w:r/>
      <w:bookmarkStart w:id="470" w:name="_Toc265228374"/>
      <w:r/>
      <w:bookmarkStart w:id="471" w:name="_Toc151193850"/>
      <w:r/>
      <w:bookmarkStart w:id="472" w:name="_Toc149720829"/>
      <w:r/>
      <w:bookmarkStart w:id="473" w:name="_Toc164229231"/>
      <w:r/>
      <w:bookmarkStart w:id="474" w:name="_Toc226337232"/>
      <w:r/>
      <w:bookmarkStart w:id="475" w:name="_Toc226309780"/>
      <w:r/>
      <w:bookmarkStart w:id="476" w:name="_Toc150509287"/>
      <w:r/>
      <w:bookmarkStart w:id="477" w:name="_Toc164608650"/>
      <w:r/>
      <w:bookmarkStart w:id="478" w:name="_Toc127151536"/>
      <w:r/>
      <w:bookmarkStart w:id="479" w:name="_Toc150774741"/>
      <w:r>
        <w:rPr>
          <w:rFonts w:hint="eastAsia" w:ascii="宋体" w:hAnsi="宋体" w:cs="宋体"/>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color w:val="000000"/>
          <w:sz w:val="24"/>
          <w:highlight w:val="none"/>
        </w:rPr>
        <w:t xml:space="preserve">时间</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供应商应在采购文件要求提交投标文件截止时间前，将电子投标文件提交至</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480" w:name="_Toc151193779"/>
      <w:r/>
      <w:bookmarkStart w:id="481" w:name="_Toc265228375"/>
      <w:r/>
      <w:bookmarkStart w:id="482" w:name="_Toc164608651"/>
      <w:r/>
      <w:bookmarkStart w:id="483" w:name="_Toc305158879"/>
      <w:r/>
      <w:bookmarkStart w:id="484" w:name="_Toc151193925"/>
      <w:r/>
      <w:bookmarkStart w:id="485" w:name="_Toc150774637"/>
      <w:r/>
      <w:bookmarkStart w:id="486" w:name="_Toc226965727"/>
      <w:r/>
      <w:bookmarkStart w:id="487" w:name="_Toc149720830"/>
      <w:r/>
      <w:bookmarkStart w:id="488" w:name="_Toc127161451"/>
      <w:r/>
      <w:bookmarkStart w:id="489" w:name="_Toc226337233"/>
      <w:r/>
      <w:bookmarkStart w:id="490" w:name="_Toc151193707"/>
      <w:r/>
      <w:bookmarkStart w:id="491" w:name="_Toc150480775"/>
      <w:r/>
      <w:bookmarkStart w:id="492" w:name="_Toc226965810"/>
      <w:r/>
      <w:bookmarkStart w:id="493" w:name="_Toc150774742"/>
      <w:r/>
      <w:bookmarkStart w:id="494" w:name="_Toc195842902"/>
      <w:r/>
      <w:bookmarkStart w:id="495" w:name="_Toc164229378"/>
      <w:r/>
      <w:bookmarkStart w:id="496" w:name="_Toc520356162"/>
      <w:r/>
      <w:bookmarkStart w:id="497" w:name="_Toc264969227"/>
      <w:r/>
      <w:bookmarkStart w:id="498" w:name="_Toc151193635"/>
      <w:r/>
      <w:bookmarkStart w:id="499" w:name="_Toc164608806"/>
      <w:r/>
      <w:bookmarkStart w:id="500" w:name="_Toc164229232"/>
      <w:r/>
      <w:bookmarkStart w:id="501" w:name="_Toc127151738"/>
      <w:r/>
      <w:bookmarkStart w:id="502" w:name="_Toc151193851"/>
      <w:r/>
      <w:bookmarkStart w:id="503" w:name="_Toc305158805"/>
      <w:r/>
      <w:bookmarkStart w:id="504" w:name="_Toc164351631"/>
      <w:r/>
      <w:bookmarkStart w:id="505" w:name="_Toc226309781"/>
      <w:r/>
      <w:bookmarkStart w:id="506" w:name="_Toc151190164"/>
      <w:r/>
      <w:bookmarkStart w:id="507" w:name="_Toc150509288"/>
      <w:r/>
      <w:bookmarkStart w:id="508" w:name="_Toc142311039"/>
      <w:r/>
      <w:bookmarkStart w:id="509" w:name="_Toc127151537"/>
      <w:r>
        <w:rPr>
          <w:rFonts w:hint="eastAsia" w:ascii="宋体" w:hAnsi="宋体" w:cs="宋体"/>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投标截止时间前，供应商可以通过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供应商对投标文件的补充、修改的内容应当按照采购文件要求签署、加盖公章，作为投标文件的组成部分。</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pStyle w:val="1080"/>
        <w:spacing w:before="0" w:line="360" w:lineRule="auto"/>
        <w:rPr>
          <w:rFonts w:ascii="宋体" w:hAnsi="宋体" w:eastAsia="宋体" w:cs="宋体"/>
          <w:color w:val="000000"/>
          <w:sz w:val="28"/>
          <w:highlight w:val="none"/>
        </w:rPr>
      </w:pPr>
      <w:r/>
      <w:bookmarkStart w:id="510" w:name="_Toc520356163"/>
      <w:r/>
      <w:bookmarkStart w:id="511" w:name="_Toc151193852"/>
      <w:r/>
      <w:bookmarkStart w:id="512" w:name="_Toc226337234"/>
      <w:r/>
      <w:bookmarkStart w:id="513" w:name="_Toc195842903"/>
      <w:r/>
      <w:bookmarkStart w:id="514" w:name="_Toc142311040"/>
      <w:r/>
      <w:bookmarkStart w:id="515" w:name="_Toc151190165"/>
      <w:r/>
      <w:bookmarkStart w:id="516" w:name="_Toc305158880"/>
      <w:r/>
      <w:bookmarkStart w:id="517" w:name="_Toc305158806"/>
      <w:r/>
      <w:bookmarkStart w:id="518" w:name="_Toc151193708"/>
      <w:r/>
      <w:bookmarkStart w:id="519" w:name="_Toc127151538"/>
      <w:r/>
      <w:bookmarkStart w:id="520" w:name="_Toc150774743"/>
      <w:r/>
      <w:bookmarkStart w:id="521" w:name="_Toc265228376"/>
      <w:r/>
      <w:bookmarkStart w:id="522" w:name="_Toc151193780"/>
      <w:r/>
      <w:bookmarkStart w:id="523" w:name="_Toc226965811"/>
      <w:r/>
      <w:bookmarkStart w:id="524" w:name="_Toc151193636"/>
      <w:r/>
      <w:bookmarkStart w:id="525" w:name="_Toc226965728"/>
      <w:r/>
      <w:bookmarkStart w:id="526" w:name="_Toc150774638"/>
      <w:r/>
      <w:bookmarkStart w:id="527" w:name="_Toc226309782"/>
      <w:r/>
      <w:bookmarkStart w:id="528" w:name="_Toc151193926"/>
      <w:r/>
      <w:bookmarkStart w:id="529" w:name="_Toc264969228"/>
      <w:r/>
      <w:bookmarkStart w:id="530" w:name="_Toc150480776"/>
      <w:r/>
      <w:bookmarkStart w:id="531" w:name="_Toc150509289"/>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32" w:name="_Toc164229234"/>
      <w:r/>
      <w:bookmarkStart w:id="533" w:name="_Toc127151740"/>
      <w:r/>
      <w:bookmarkStart w:id="534" w:name="_Toc226965812"/>
      <w:r/>
      <w:bookmarkStart w:id="535" w:name="_Toc142311041"/>
      <w:r/>
      <w:bookmarkStart w:id="536" w:name="_Toc151193853"/>
      <w:r/>
      <w:bookmarkStart w:id="537" w:name="_Toc151193781"/>
      <w:r/>
      <w:bookmarkStart w:id="538" w:name="_Toc149720832"/>
      <w:r/>
      <w:bookmarkStart w:id="539" w:name="_Toc150774744"/>
      <w:r/>
      <w:bookmarkStart w:id="540" w:name="_Toc151190166"/>
      <w:r/>
      <w:bookmarkStart w:id="541" w:name="_Toc164351633"/>
      <w:r/>
      <w:bookmarkStart w:id="542" w:name="_Toc226965729"/>
      <w:r/>
      <w:bookmarkStart w:id="543" w:name="_Toc150774639"/>
      <w:r/>
      <w:bookmarkStart w:id="544" w:name="_Toc226337235"/>
      <w:r/>
      <w:bookmarkStart w:id="545" w:name="_Toc305158881"/>
      <w:r/>
      <w:bookmarkStart w:id="546" w:name="_Toc195842904"/>
      <w:r/>
      <w:bookmarkStart w:id="547" w:name="_Toc164608653"/>
      <w:r/>
      <w:bookmarkStart w:id="548" w:name="_Toc150509290"/>
      <w:r/>
      <w:bookmarkStart w:id="549" w:name="_Toc151193637"/>
      <w:r/>
      <w:bookmarkStart w:id="550" w:name="_Toc265228377"/>
      <w:r/>
      <w:bookmarkStart w:id="551" w:name="_Toc520356164"/>
      <w:r/>
      <w:bookmarkStart w:id="552" w:name="_Toc226309783"/>
      <w:r/>
      <w:bookmarkStart w:id="553" w:name="_Toc164229380"/>
      <w:r/>
      <w:bookmarkStart w:id="554" w:name="_Toc127151539"/>
      <w:r/>
      <w:bookmarkStart w:id="555" w:name="_Toc151193927"/>
      <w:r/>
      <w:bookmarkStart w:id="556" w:name="_Toc150480777"/>
      <w:r/>
      <w:bookmarkStart w:id="557" w:name="_Toc164608808"/>
      <w:r/>
      <w:bookmarkStart w:id="558" w:name="_Toc305158807"/>
      <w:r/>
      <w:bookmarkStart w:id="559" w:name="_Toc127161453"/>
      <w:r/>
      <w:bookmarkStart w:id="560" w:name="_Toc264969229"/>
      <w:r/>
      <w:bookmarkStart w:id="561" w:name="_Toc151193709"/>
      <w:r>
        <w:rPr>
          <w:rFonts w:hint="eastAsia" w:ascii="宋体" w:hAnsi="宋体" w:cs="宋体"/>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采购人或采购代理机构将按采购文件的规定，在投标截止时间的同一时间和采购文件预先确定的地点组织开标。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在线进行开标。供应商应在规定的时间内对投标文件进行解密，因非系统原因导致的解密失败，视为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开标过程将使用</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公布供应商名称、投标价格和采购文件规定的需要宣布的其他内容并进行记录，并由参加开标的各供应商代表在规定时间内确认</w:t>
      </w:r>
      <w:bookmarkStart w:id="562" w:name="_Toc520356165"/>
      <w:r>
        <w:rPr>
          <w:rFonts w:hint="eastAsia" w:ascii="宋体" w:hAnsi="宋体" w:cs="宋体"/>
          <w:color w:val="000000"/>
          <w:sz w:val="24"/>
          <w:highlight w:val="none"/>
        </w:rPr>
        <w:t xml:space="preserve">。供应商超过规定时间未确认但是未提出疑义的，系统将视同已确认。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代表对开标过程和开标记录有疑义，以及认为采购人、采购代理机构相关工作人员有需要回避的情形的，应当场通过业务系统提出询问或者回避申请。采购人、采购代理机构对供应商代表提出的询问或者回避申请将及时处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供应商不足3家的，不予开标。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供应商须在开标前使用“验证CA”功能验证本地计算机的控件环境是否正常，并且在开标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投标操作。如果因为无人值守造成不能及时回应系统或者评委会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见第三章《资格审查》。</w:t>
      </w:r>
      <w:bookmarkEnd w:id="56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563" w:name="_Toc226337236"/>
      <w:r/>
      <w:bookmarkStart w:id="564" w:name="_Toc305158882"/>
      <w:r/>
      <w:bookmarkStart w:id="565" w:name="_Toc164229235"/>
      <w:r/>
      <w:bookmarkStart w:id="566" w:name="_Toc151190167"/>
      <w:r/>
      <w:bookmarkStart w:id="567" w:name="_Toc150509291"/>
      <w:r/>
      <w:bookmarkStart w:id="568" w:name="_Toc195842905"/>
      <w:r/>
      <w:bookmarkStart w:id="569" w:name="_Toc149720833"/>
      <w:r/>
      <w:bookmarkStart w:id="570" w:name="_Toc265228378"/>
      <w:r/>
      <w:bookmarkStart w:id="571" w:name="_Toc226965730"/>
      <w:r/>
      <w:bookmarkStart w:id="572" w:name="_Toc127151741"/>
      <w:r/>
      <w:bookmarkStart w:id="573" w:name="_Toc150480778"/>
      <w:r/>
      <w:bookmarkStart w:id="574" w:name="_Toc127151540"/>
      <w:r/>
      <w:bookmarkStart w:id="575" w:name="_Toc151193638"/>
      <w:r/>
      <w:bookmarkStart w:id="576" w:name="_Toc164229381"/>
      <w:r/>
      <w:bookmarkStart w:id="577" w:name="_Toc127161454"/>
      <w:r/>
      <w:bookmarkStart w:id="578" w:name="_Toc150774745"/>
      <w:r/>
      <w:bookmarkStart w:id="579" w:name="_Toc264969230"/>
      <w:r/>
      <w:bookmarkStart w:id="580" w:name="_Toc226309784"/>
      <w:r/>
      <w:bookmarkStart w:id="581" w:name="_Toc150774640"/>
      <w:r/>
      <w:bookmarkStart w:id="582" w:name="_Toc151193710"/>
      <w:r/>
      <w:bookmarkStart w:id="583" w:name="_Toc164608654"/>
      <w:r/>
      <w:bookmarkStart w:id="584" w:name="_Toc164608809"/>
      <w:r/>
      <w:bookmarkStart w:id="585" w:name="_Toc151193928"/>
      <w:r/>
      <w:bookmarkStart w:id="586" w:name="_Toc305158808"/>
      <w:r/>
      <w:bookmarkStart w:id="587" w:name="_Toc164351634"/>
      <w:r/>
      <w:bookmarkStart w:id="588" w:name="_Toc151193782"/>
      <w:r/>
      <w:bookmarkStart w:id="589" w:name="_Toc226965813"/>
      <w:r/>
      <w:bookmarkStart w:id="590" w:name="_Toc142311042"/>
      <w:r/>
      <w:bookmarkStart w:id="591" w:name="_Toc151193854"/>
      <w:r>
        <w:rPr>
          <w:rFonts w:hint="eastAsia" w:ascii="宋体" w:hAnsi="宋体" w:cs="宋体"/>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评标委员会根据政府采购有关规定和本次采购采购项目的特点进行组建，并负责具体评标事务，独立履行职责。</w:t>
      </w:r>
      <w:bookmarkStart w:id="592" w:name="_Toc520356166"/>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pStyle w:val="1080"/>
        <w:spacing w:before="0" w:line="360" w:lineRule="auto"/>
        <w:rPr>
          <w:rFonts w:ascii="宋体" w:hAnsi="宋体" w:eastAsia="宋体" w:cs="宋体"/>
          <w:color w:val="000000"/>
          <w:sz w:val="28"/>
          <w:highlight w:val="none"/>
        </w:rPr>
      </w:pPr>
      <w:r/>
      <w:bookmarkStart w:id="594" w:name="_Toc151190172"/>
      <w:r/>
      <w:bookmarkStart w:id="595" w:name="_Toc150480783"/>
      <w:r/>
      <w:bookmarkStart w:id="596" w:name="_Toc226309789"/>
      <w:r/>
      <w:bookmarkStart w:id="597" w:name="_Toc226965735"/>
      <w:r/>
      <w:bookmarkStart w:id="598" w:name="_Toc142311047"/>
      <w:r/>
      <w:bookmarkStart w:id="599" w:name="_Toc226337241"/>
      <w:r/>
      <w:bookmarkStart w:id="600" w:name="_Toc150774750"/>
      <w:r/>
      <w:bookmarkStart w:id="601" w:name="_Toc151193859"/>
      <w:r/>
      <w:bookmarkStart w:id="602" w:name="_Toc150509296"/>
      <w:r/>
      <w:bookmarkStart w:id="603" w:name="_Toc151193715"/>
      <w:r/>
      <w:bookmarkStart w:id="604" w:name="_Toc150774645"/>
      <w:r/>
      <w:bookmarkStart w:id="605" w:name="_Toc127151545"/>
      <w:r/>
      <w:bookmarkStart w:id="606" w:name="_Toc151193787"/>
      <w:r/>
      <w:bookmarkStart w:id="607" w:name="_Toc264969235"/>
      <w:r/>
      <w:bookmarkStart w:id="608" w:name="_Toc305158887"/>
      <w:r/>
      <w:bookmarkStart w:id="609" w:name="_Toc226965818"/>
      <w:r/>
      <w:bookmarkStart w:id="610" w:name="_Toc305158813"/>
      <w:r/>
      <w:bookmarkStart w:id="611" w:name="_Toc151193933"/>
      <w:r/>
      <w:bookmarkStart w:id="612" w:name="_Toc151193643"/>
      <w:r/>
      <w:bookmarkStart w:id="613" w:name="_Toc265228383"/>
      <w:r/>
      <w:bookmarkStart w:id="614" w:name="_Toc195842910"/>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351641"/>
      <w:r/>
      <w:bookmarkStart w:id="616" w:name="_Toc305158815"/>
      <w:r/>
      <w:bookmarkStart w:id="617" w:name="_Toc226309791"/>
      <w:r/>
      <w:bookmarkStart w:id="618" w:name="_Toc151193861"/>
      <w:r/>
      <w:bookmarkStart w:id="619" w:name="_Toc264969237"/>
      <w:r/>
      <w:bookmarkStart w:id="620" w:name="_Toc150774647"/>
      <w:r/>
      <w:bookmarkStart w:id="621" w:name="_Toc151193645"/>
      <w:r/>
      <w:bookmarkStart w:id="622" w:name="_Toc142311049"/>
      <w:r/>
      <w:bookmarkStart w:id="623" w:name="_Toc149720840"/>
      <w:r/>
      <w:bookmarkStart w:id="624" w:name="_Toc150480785"/>
      <w:r/>
      <w:bookmarkStart w:id="625" w:name="_Toc226965820"/>
      <w:r/>
      <w:bookmarkStart w:id="626" w:name="_Toc164229242"/>
      <w:r/>
      <w:bookmarkStart w:id="627" w:name="_Toc265228385"/>
      <w:r/>
      <w:bookmarkStart w:id="628" w:name="_Toc164608816"/>
      <w:r/>
      <w:bookmarkStart w:id="629" w:name="_Toc151190174"/>
      <w:r/>
      <w:bookmarkStart w:id="630" w:name="_Toc195842912"/>
      <w:r/>
      <w:bookmarkStart w:id="631" w:name="_Toc127151547"/>
      <w:r/>
      <w:bookmarkStart w:id="632" w:name="_Toc151193789"/>
      <w:r/>
      <w:bookmarkStart w:id="633" w:name="_Toc150774752"/>
      <w:r/>
      <w:bookmarkStart w:id="634" w:name="_Toc226337243"/>
      <w:r/>
      <w:bookmarkStart w:id="635" w:name="_Toc127151748"/>
      <w:r/>
      <w:bookmarkStart w:id="636" w:name="_Toc151193717"/>
      <w:r/>
      <w:bookmarkStart w:id="637" w:name="_Toc127161461"/>
      <w:r/>
      <w:bookmarkStart w:id="638" w:name="_Toc150509298"/>
      <w:r/>
      <w:bookmarkStart w:id="639" w:name="_Toc226965737"/>
      <w:r/>
      <w:bookmarkStart w:id="640" w:name="_Toc151193935"/>
      <w:r/>
      <w:bookmarkStart w:id="641" w:name="_Toc164608661"/>
      <w:r/>
      <w:bookmarkStart w:id="642" w:name="_Toc305158889"/>
      <w:r/>
      <w:bookmarkStart w:id="643" w:name="_Toc164229388"/>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color w:val="000000"/>
          <w:sz w:val="24"/>
          <w:highlight w:val="none"/>
        </w:rPr>
        <w:t xml:space="preserve">中标供应商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采购人将在评标报告确定的中标候选人名单中按顺序确定中标供应商，中标候选人并列的，由采购人依法确定。</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44" w:name="_Toc305158891"/>
      <w:r/>
      <w:bookmarkStart w:id="645" w:name="_Toc305158817"/>
      <w:r/>
      <w:bookmarkStart w:id="646" w:name="_Toc142311051"/>
      <w:r/>
      <w:bookmarkStart w:id="647" w:name="_Toc195842914"/>
      <w:r/>
      <w:bookmarkStart w:id="648" w:name="_Toc226337245"/>
      <w:r/>
      <w:bookmarkStart w:id="649" w:name="_Toc164608818"/>
      <w:r/>
      <w:bookmarkStart w:id="650" w:name="_Toc164608663"/>
      <w:r/>
      <w:bookmarkStart w:id="651" w:name="_Toc151190176"/>
      <w:r/>
      <w:bookmarkStart w:id="652" w:name="_Toc151193647"/>
      <w:r/>
      <w:bookmarkStart w:id="653" w:name="_Toc150774754"/>
      <w:r/>
      <w:bookmarkStart w:id="654" w:name="_Toc164229244"/>
      <w:r/>
      <w:bookmarkStart w:id="655" w:name="_Toc226965739"/>
      <w:r/>
      <w:bookmarkStart w:id="656" w:name="_Toc226309793"/>
      <w:r/>
      <w:bookmarkStart w:id="657" w:name="_Toc151193863"/>
      <w:r/>
      <w:bookmarkStart w:id="658" w:name="_Toc127161463"/>
      <w:r/>
      <w:bookmarkStart w:id="659" w:name="_Toc150774649"/>
      <w:r/>
      <w:bookmarkStart w:id="660" w:name="_Toc226965822"/>
      <w:r/>
      <w:bookmarkStart w:id="661" w:name="_Toc151193719"/>
      <w:r/>
      <w:bookmarkStart w:id="662" w:name="_Toc151193791"/>
      <w:r/>
      <w:bookmarkStart w:id="663" w:name="_Toc151193937"/>
      <w:r/>
      <w:bookmarkStart w:id="664" w:name="_Toc150480787"/>
      <w:r/>
      <w:bookmarkStart w:id="665" w:name="_Toc164229390"/>
      <w:r/>
      <w:bookmarkStart w:id="666" w:name="_Toc265228387"/>
      <w:r/>
      <w:bookmarkStart w:id="667" w:name="_Toc150509300"/>
      <w:r/>
      <w:bookmarkStart w:id="668" w:name="_Toc127151750"/>
      <w:r/>
      <w:bookmarkStart w:id="669" w:name="_Toc127151549"/>
      <w:r/>
      <w:bookmarkStart w:id="670" w:name="_Toc164351643"/>
      <w:r/>
      <w:bookmarkStart w:id="671" w:name="_Toc264969239"/>
      <w:r/>
      <w:bookmarkStart w:id="672" w:name="_Toc149720842"/>
      <w:r/>
      <w:bookmarkStart w:id="673" w:name="_Ref467307090"/>
      <w:r/>
      <w:bookmarkStart w:id="674" w:name="_Ref467306425"/>
      <w:r/>
      <w:bookmarkStart w:id="675" w:name="_Toc520356176"/>
      <w:r>
        <w:rPr>
          <w:rFonts w:hint="eastAsia" w:ascii="宋体" w:hAnsi="宋体" w:cs="宋体"/>
          <w:color w:val="000000"/>
          <w:sz w:val="24"/>
          <w:highlight w:val="none"/>
        </w:rPr>
        <w:t xml:space="preserve">中标公告与中标通知书</w:t>
      </w:r>
      <w:bookmarkEnd w:id="644"/>
      <w:r/>
      <w:bookmarkEnd w:id="645"/>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采购人或采购代理机构自中标供应商确定之日起2个工作日内，在常州市政府采购网公告中标结果，同时向中标供应商发出中标通知书，中标公告期限为1个工作日。</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废标</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在采购过程中，出现下列情形之一的，应予废标：</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符合专业条件的供应商或者对采购文件作实质投标的供应商不足三家的；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供应商的报价均超过了采购预算，采购人不能支付的；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废标后，采购人将废标理由通知所有供应商。</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bookmarkStart w:id="676" w:name="_Toc164229245"/>
      <w:r/>
      <w:bookmarkStart w:id="677" w:name="_Toc305158892"/>
      <w:r/>
      <w:bookmarkStart w:id="678" w:name="_Toc164351644"/>
      <w:r/>
      <w:bookmarkStart w:id="679" w:name="_Ref467306377"/>
      <w:r/>
      <w:bookmarkStart w:id="680" w:name="_Toc305158818"/>
      <w:r/>
      <w:bookmarkStart w:id="681" w:name="_Toc264969240"/>
      <w:r/>
      <w:bookmarkStart w:id="682" w:name="_Ref467307204"/>
      <w:r/>
      <w:bookmarkStart w:id="683" w:name="_Toc226965823"/>
      <w:r/>
      <w:bookmarkStart w:id="684" w:name="_Toc151193648"/>
      <w:r/>
      <w:bookmarkStart w:id="685" w:name="_Toc195842915"/>
      <w:r/>
      <w:bookmarkStart w:id="686" w:name="_Toc226309794"/>
      <w:r/>
      <w:bookmarkStart w:id="687" w:name="_Toc164608664"/>
      <w:r/>
      <w:bookmarkStart w:id="688" w:name="_Toc151193792"/>
      <w:r/>
      <w:bookmarkStart w:id="689" w:name="_Toc127151751"/>
      <w:r/>
      <w:bookmarkStart w:id="690" w:name="_Toc127161464"/>
      <w:r/>
      <w:bookmarkStart w:id="691" w:name="_Toc127151550"/>
      <w:r/>
      <w:bookmarkStart w:id="692" w:name="_Ref467307062"/>
      <w:r/>
      <w:bookmarkStart w:id="693" w:name="_Toc150480788"/>
      <w:r/>
      <w:bookmarkStart w:id="694" w:name="_Toc520356175"/>
      <w:r/>
      <w:bookmarkStart w:id="695" w:name="_Toc150774755"/>
      <w:r/>
      <w:bookmarkStart w:id="696" w:name="_Toc226965740"/>
      <w:r/>
      <w:bookmarkStart w:id="697" w:name="_Toc142311052"/>
      <w:r/>
      <w:bookmarkStart w:id="698" w:name="_Ref467306978"/>
      <w:r/>
      <w:bookmarkStart w:id="699" w:name="_Toc151190177"/>
      <w:r/>
      <w:bookmarkStart w:id="700" w:name="_Toc151193720"/>
      <w:r/>
      <w:bookmarkStart w:id="701" w:name="_Toc226337246"/>
      <w:r/>
      <w:bookmarkStart w:id="702" w:name="_Toc150509301"/>
      <w:r/>
      <w:bookmarkStart w:id="703" w:name="_Toc150774650"/>
      <w:r/>
      <w:bookmarkStart w:id="704" w:name="_Toc164608819"/>
      <w:r/>
      <w:bookmarkStart w:id="705" w:name="_Toc151193864"/>
      <w:r/>
      <w:bookmarkStart w:id="706" w:name="_Toc151193938"/>
      <w:r/>
      <w:bookmarkStart w:id="707" w:name="_Toc265228388"/>
      <w:r/>
      <w:bookmarkStart w:id="708" w:name="_Toc164229391"/>
      <w:r/>
      <w:bookmarkStart w:id="709" w:name="_Toc149720843"/>
      <w:r>
        <w:rPr>
          <w:rFonts w:hint="eastAsia" w:ascii="宋体" w:hAnsi="宋体" w:cs="宋体"/>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中标供应商、采购人应当自中标通知书发出之日起30日内，按照采购文件和中标供应商投标文件的规定签订书面合同。所签订的合同不得对采购文件确定的事项和中标供应商投标文件作实质性修改。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中标供应商拒绝与采购人签订合同的，采购人可以按照评标报告推荐的中标候选人名单排序，确定下一候选人为中标供应商，也可以重新开展政府采购活动。</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供应商可以依法在中标后将中标项目的非主体、非关键性工作采取分包方式履行合同。本项目的非主体、非关键性工作是否允许分包，见《供应商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。中标供应商就采购项目和分包项目向采购人负责，分包供应商就分包项目承担责任。</w:t>
      </w:r>
      <w:bookmarkEnd w:id="673"/>
      <w:r/>
      <w:bookmarkEnd w:id="674"/>
      <w:r/>
      <w:bookmarkEnd w:id="675"/>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询问</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质疑</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认为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采购文件中采购需求以及相关部分（第四章、第五章以及供应商资格要求）由采购人负责制定和管理，对该部分内容有询问或者质疑的，供应商应当向采购人书面提出，由采购人负责接收和回复。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155"/>
          <w:rFonts w:hint="eastAsia" w:ascii="宋体" w:hAnsi="宋体" w:cs="宋体"/>
          <w:color w:val="000000"/>
          <w:highlight w:val="none"/>
        </w:rPr>
        <w:t xml:space="preserve">http://gk</w:t>
      </w:r>
      <w:bookmarkStart w:id="710" w:name="_Hlt100654014"/>
      <w:r>
        <w:rPr>
          <w:rStyle w:val="1155"/>
          <w:rFonts w:hint="eastAsia" w:ascii="宋体" w:hAnsi="宋体" w:cs="宋体"/>
          <w:color w:val="000000"/>
          <w:highlight w:val="none"/>
        </w:rPr>
        <w:t xml:space="preserve">s</w:t>
      </w:r>
      <w:bookmarkEnd w:id="710"/>
      <w:r>
        <w:rPr>
          <w:rStyle w:val="1155"/>
          <w:rFonts w:hint="eastAsia" w:ascii="宋体" w:hAnsi="宋体" w:cs="宋体"/>
          <w:color w:val="000000"/>
          <w:highlight w:val="none"/>
        </w:rPr>
        <w:t xml:space="preserve">.m</w:t>
      </w:r>
      <w:bookmarkStart w:id="711" w:name="_Hlt100653994"/>
      <w:r/>
      <w:bookmarkStart w:id="712" w:name="_Hlt100653993"/>
      <w:r>
        <w:rPr>
          <w:rStyle w:val="1155"/>
          <w:rFonts w:hint="eastAsia" w:ascii="宋体" w:hAnsi="宋体" w:cs="宋体"/>
          <w:color w:val="000000"/>
          <w:highlight w:val="none"/>
        </w:rPr>
        <w:t xml:space="preserve">o</w:t>
      </w:r>
      <w:bookmarkEnd w:id="711"/>
      <w:r/>
      <w:bookmarkEnd w:id="712"/>
      <w:r>
        <w:rPr>
          <w:rStyle w:val="1155"/>
          <w:rFonts w:hint="eastAsia" w:ascii="宋体" w:hAnsi="宋体" w:cs="宋体"/>
          <w:color w:val="000000"/>
          <w:highlight w:val="none"/>
        </w:rPr>
        <w:t xml:space="preserve">f.gov.cn/ztztz/zhengfucaigouguanli/201802/t20180201_2804589.htm</w:t>
      </w:r>
      <w:r>
        <w:rPr>
          <w:rStyle w:val="1155"/>
          <w:rFonts w:hint="eastAsia" w:ascii="宋体" w:hAnsi="宋体" w:cs="宋体"/>
          <w:color w:val="000000"/>
          <w:highlight w:val="none"/>
        </w:rPr>
        <w:fldChar w:fldCharType="end"/>
      </w:r>
      <w:r>
        <w:rPr>
          <w:rFonts w:hint="eastAsia" w:ascii="宋体" w:hAnsi="宋体" w:cs="宋体"/>
          <w:color w:val="000000"/>
          <w:highlight w:val="none"/>
        </w:rPr>
        <w:t xml:space="preserve">）</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供应商为自然人的，应当由本人签字；供应商为法人或者其他组织的，应当由法定代表人、主要负责人，或者其授权代表签字或者加盖公章，并加盖公章。</w:t>
      </w:r>
      <w:r/>
    </w:p>
    <w:p>
      <w:pPr>
        <w:numPr>
          <w:ilvl w:val="2"/>
          <w:numId w:val="8"/>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代理费</w:t>
      </w:r>
      <w:r/>
    </w:p>
    <w:p>
      <w:pPr>
        <w:numPr>
          <w:ilvl w:val="1"/>
          <w:numId w:val="8"/>
        </w:numPr>
        <w:ind w:left="1077" w:hanging="720"/>
        <w:spacing w:line="360" w:lineRule="auto"/>
        <w:tabs>
          <w:tab w:val="left" w:pos="1080"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收费对象、收费标准及缴纳时间见《供应商须知资料表》。</w:t>
      </w:r>
      <w:r/>
    </w:p>
    <w:p>
      <w:pPr>
        <w:ind w:left="360"/>
        <w:spacing w:line="360" w:lineRule="auto"/>
        <w:tabs>
          <w:tab w:val="left" w:pos="36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outlineLvl w:val="0"/>
      </w:pPr>
      <w:r/>
      <w:bookmarkStart w:id="713" w:name="_Toc264969244"/>
      <w:r/>
      <w:bookmarkStart w:id="714" w:name="_Toc353873934"/>
      <w:r/>
      <w:bookmarkStart w:id="715" w:name="_Toc127151554"/>
      <w:r/>
      <w:bookmarkStart w:id="716" w:name="_Toc353825544"/>
      <w:r/>
      <w:bookmarkStart w:id="717" w:name="_Toc150480792"/>
      <w:r/>
      <w:bookmarkStart w:id="718" w:name="_Toc353873664"/>
      <w:r/>
      <w:bookmarkStart w:id="719" w:name="_Toc142311056"/>
      <w:r/>
      <w:bookmarkStart w:id="720" w:name="_Toc305158896"/>
      <w:r/>
      <w:bookmarkStart w:id="721" w:name="_Toc226965827"/>
      <w:r/>
      <w:bookmarkStart w:id="722" w:name="_Toc226337250"/>
      <w:r/>
      <w:bookmarkStart w:id="723" w:name="_Toc150774759"/>
      <w:r/>
      <w:bookmarkStart w:id="724" w:name="_Toc265228392"/>
      <w:r/>
      <w:bookmarkStart w:id="725" w:name="_Toc30515882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
    </w:p>
    <w:p>
      <w:pPr>
        <w:jc w:val="center"/>
        <w:spacing w:line="360" w:lineRule="auto"/>
        <w:tabs>
          <w:tab w:val="left" w:pos="360" w:leader="none"/>
          <w:tab w:val="left" w:pos="900" w:leader="none"/>
        </w:tabs>
        <w:rPr>
          <w:rFonts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开标结束后，采购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将根据《资格审查要求》中的规定，对供应商进行资格审查，并形成资格审查结果。</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《资格审查要求》中对格式有要求的，除采购文件另有规定外，均为“实质性格式”文件。</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供应商《资格证明文件》有任何一项不符合《资格审查要求》的，资格审查不合格，其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0"/>
          <w:numId w:val="11"/>
        </w:numPr>
        <w:ind w:left="426" w:hanging="426"/>
        <w:spacing w:line="360" w:lineRule="auto"/>
        <w:tabs>
          <w:tab w:val="left" w:pos="426" w:leader="none"/>
          <w:tab w:val="left" w:pos="851"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资格审查合格的供应商不足3家的，不进行评标。</w:t>
      </w:r>
      <w:r/>
    </w:p>
    <w:p>
      <w:pPr>
        <w:jc w:val="left"/>
        <w:widowControl/>
        <w:rPr>
          <w:rFonts w:ascii="宋体" w:hAnsi="宋体" w:cs="宋体"/>
          <w:color w:val="000000"/>
          <w:sz w:val="24"/>
          <w:highlight w:val="none"/>
        </w:rPr>
      </w:pPr>
      <w:r>
        <w:rPr>
          <w:rFonts w:ascii="宋体" w:hAnsi="宋体" w:cs="宋体"/>
          <w:color w:val="000000"/>
          <w:sz w:val="24"/>
          <w:highlight w:val="none"/>
        </w:rPr>
      </w:r>
      <w:r/>
    </w:p>
    <w:p>
      <w:pPr>
        <w:numPr>
          <w:ilvl w:val="0"/>
          <w:numId w:val="12"/>
        </w:numPr>
        <w:jc w:val="center"/>
        <w:spacing w:line="360" w:lineRule="auto"/>
        <w:tabs>
          <w:tab w:val="left" w:pos="360" w:leader="none"/>
          <w:tab w:val="left" w:pos="900" w:leader="none"/>
        </w:tabs>
        <w:rPr>
          <w:rFonts w:ascii="宋体" w:hAnsi="宋体" w:cs="宋体"/>
          <w:b/>
          <w:color w:val="000000"/>
          <w:sz w:val="24"/>
          <w:highlight w:val="none"/>
        </w:rPr>
        <w:outlineLvl w:val="1"/>
      </w:pPr>
      <w:r>
        <w:rPr>
          <w:rFonts w:hint="eastAsia" w:ascii="宋体" w:hAnsi="宋体" w:cs="宋体"/>
          <w:b/>
          <w:color w:val="000000"/>
          <w:sz w:val="24"/>
          <w:highlight w:val="none"/>
        </w:rPr>
        <w:t xml:space="preserve">资格审查要求</w:t>
      </w:r>
      <w:r/>
    </w:p>
    <w:tbl>
      <w:tblPr>
        <w:tblStyle w:val="90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2435"/>
        <w:gridCol w:w="4508"/>
        <w:gridCol w:w="1637"/>
      </w:tblGrid>
      <w:tr>
        <w:trPr>
          <w:cantSplit/>
          <w:trHeight w:val="471"/>
        </w:trPr>
        <w:tc>
          <w:tcPr>
            <w:tcW w:w="7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2435"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4508"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c>
          <w:tcPr>
            <w:tcW w:w="1637" w:type="dxa"/>
            <w:vAlign w:val="center"/>
            <w:textDirection w:val="lrTb"/>
            <w:noWrap w:val="false"/>
          </w:tcPr>
          <w:p>
            <w:pPr>
              <w:jc w:val="center"/>
              <w:tabs>
                <w:tab w:val="left" w:pos="1080" w:leader="none"/>
              </w:tabs>
              <w:rPr>
                <w:rFonts w:ascii="宋体" w:hAnsi="宋体" w:cs="宋体"/>
                <w:b/>
                <w:color w:val="000000"/>
                <w:sz w:val="24"/>
                <w:highlight w:val="none"/>
              </w:rPr>
            </w:pPr>
            <w:r>
              <w:rPr>
                <w:rFonts w:hint="eastAsia" w:ascii="宋体" w:hAnsi="宋体" w:cs="宋体"/>
                <w:b/>
                <w:color w:val="000000"/>
                <w:sz w:val="24"/>
                <w:highlight w:val="none"/>
              </w:rPr>
              <w:t xml:space="preserve">格式要求</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1</w:t>
            </w:r>
            <w:r/>
          </w:p>
        </w:tc>
        <w:tc>
          <w:tcPr>
            <w:gridSpan w:val="3"/>
            <w:tcW w:w="8580" w:type="dxa"/>
            <w:vAlign w:val="center"/>
            <w:textDirection w:val="lrTb"/>
            <w:noWrap w:val="false"/>
          </w:tcPr>
          <w:p>
            <w:pPr>
              <w:jc w:val="center"/>
              <w:spacing w:line="360" w:lineRule="auto"/>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满足《中华人民共和国政府采购法》第二十二条规定及法律法规的其他规定</w:t>
            </w:r>
            <w:r/>
          </w:p>
        </w:tc>
      </w:tr>
      <w:tr>
        <w:trPr>
          <w:cantSplit/>
          <w:trHeight w:val="471"/>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(1)具有独立承担民事责任的能力；须提供法人或者其他组织的营业执照等证明文件，如为自然人则提供自然人的身份证明。</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(2)具有良好的商业信誉和健全的财务会计制度；须提供</w:t>
            </w:r>
            <w:r>
              <w:rPr>
                <w:rFonts w:hint="eastAsia" w:ascii="宋体" w:hAnsi="宋体" w:cs="宋体"/>
                <w:color w:val="000000"/>
                <w:sz w:val="24"/>
                <w:highlight w:val="none"/>
                <w:lang w:val="en-US" w:eastAsia="zh-CN"/>
              </w:rPr>
              <w:t xml:space="preserve">2025</w:t>
            </w:r>
            <w:r>
              <w:rPr>
                <w:rFonts w:hint="eastAsia" w:ascii="宋体" w:hAnsi="宋体" w:cs="宋体"/>
                <w:color w:val="000000"/>
                <w:sz w:val="24"/>
                <w:highlight w:val="none"/>
              </w:rPr>
              <w:t xml:space="preserve">年度的财务状况，内容至少须包含资产负债表和利润表；成立时间至提交投标文件截止时间不足一年的无需提供。</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(3)具有履行合同所必需的设备和专业技术能力；须提供《供应商资格声明函》，格式见《投标文件格式》。</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4）有依法缴纳税收和社会保障资金的良好记录；须提供近期依法缴纳税收和社会保障资金的相关材料，相关材料应是：相关主管部门出具的证明材料或银行代扣证明或缴纳流水明细。投标人依法享受缓缴、免缴税收、社会保障资金的，应提供相关主管部门出具的证明材料。</w:t>
            </w:r>
            <w:r/>
          </w:p>
          <w:p>
            <w:pPr>
              <w:spacing w:line="360" w:lineRule="auto"/>
              <w:tabs>
                <w:tab w:val="left" w:pos="1080" w:leader="none"/>
              </w:tabs>
              <w:rPr>
                <w:rFonts w:ascii="宋体" w:hAnsi="宋体" w:cs="宋体"/>
                <w:b/>
                <w:color w:val="000000"/>
                <w:sz w:val="24"/>
                <w:highlight w:val="none"/>
              </w:rPr>
            </w:pPr>
            <w:r>
              <w:rPr>
                <w:rFonts w:hint="eastAsia" w:ascii="宋体" w:hAnsi="宋体" w:cs="宋体"/>
                <w:color w:val="000000"/>
                <w:sz w:val="24"/>
                <w:highlight w:val="none"/>
              </w:rPr>
              <w:t xml:space="preserve">(5)参加政府采购活动前三年内，在经营活动中没有重大违法记录；须提供《供应商资格声明函》，格式见《投标文件格式》。</w:t>
            </w:r>
            <w:r/>
          </w:p>
        </w:tc>
        <w:tc>
          <w:tcPr>
            <w:tcW w:w="1637" w:type="dxa"/>
            <w:vAlign w:val="center"/>
            <w:textDirection w:val="lrTb"/>
            <w:noWrap w:val="false"/>
          </w:tcPr>
          <w:p>
            <w:pPr>
              <w:jc w:val="center"/>
              <w:tabs>
                <w:tab w:val="left" w:pos="1080" w:leader="none"/>
              </w:tabs>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提供相关材料</w:t>
            </w:r>
            <w:r/>
          </w:p>
        </w:tc>
      </w:tr>
      <w:tr>
        <w:trPr>
          <w:cantSplit/>
          <w:trHeight w:val="5658"/>
        </w:trPr>
        <w:tc>
          <w:tcPr>
            <w:tcW w:w="708" w:type="dxa"/>
            <w:vAlign w:val="center"/>
            <w:textDirection w:val="lrTb"/>
            <w:noWrap w:val="false"/>
          </w:tcPr>
          <w:p>
            <w:pPr>
              <w:jc w:val="cente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未被“信用中国”网站（www.creditchina.gov.cn）、“中国政府采购网”网站（www.ccgp.gov.cn）列入失信被执行人、重大 税收违法案件当事人名单、政府采购严重失信行为记录名单；</w:t>
            </w:r>
            <w:r/>
          </w:p>
        </w:tc>
        <w:tc>
          <w:tcPr>
            <w:tcW w:w="4508" w:type="dxa"/>
            <w:vAlign w:val="center"/>
            <w:textDirection w:val="lrTb"/>
            <w:noWrap w:val="false"/>
          </w:tcPr>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投标截止时间以后、资格审查阶段</w:t>
            </w:r>
            <w:r>
              <w:rPr>
                <w:rFonts w:hint="eastAsia" w:ascii="宋体" w:hAnsi="宋体" w:cs="宋体"/>
                <w:color w:val="000000"/>
                <w:sz w:val="24"/>
                <w:highlight w:val="none"/>
                <w:lang w:val="en-US" w:eastAsia="zh-CN"/>
              </w:rPr>
              <w:t xml:space="preserve">以</w:t>
            </w:r>
            <w:r>
              <w:rPr>
                <w:rFonts w:hint="eastAsia" w:ascii="宋体" w:hAnsi="宋体" w:cs="宋体"/>
                <w:color w:val="000000"/>
                <w:sz w:val="24"/>
                <w:highlight w:val="none"/>
              </w:rPr>
              <w:t xml:space="preserve">采购</w:t>
            </w:r>
            <w:r>
              <w:rPr>
                <w:rFonts w:hint="eastAsia" w:ascii="宋体" w:hAnsi="宋体" w:cs="宋体"/>
                <w:color w:val="000000"/>
                <w:sz w:val="24"/>
                <w:highlight w:val="none"/>
                <w:lang w:val="en-US" w:eastAsia="zh-CN"/>
              </w:rPr>
              <w:t xml:space="preserve">人</w:t>
            </w:r>
            <w:r>
              <w:rPr>
                <w:rFonts w:hint="eastAsia" w:ascii="宋体" w:hAnsi="宋体" w:cs="宋体"/>
                <w:color w:val="000000"/>
                <w:sz w:val="24"/>
                <w:highlight w:val="none"/>
              </w:rPr>
              <w:t xml:space="preserve">的实际查询结果；</w:t>
            </w:r>
            <w:r/>
          </w:p>
          <w:p>
            <w:pPr>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查询结果网页打印页作为查询记录和证据，与其他资料一并保存；</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无须供应商提供，</w:t>
            </w:r>
            <w:r>
              <w:rPr>
                <w:rFonts w:hint="eastAsia" w:ascii="宋体" w:hAnsi="宋体" w:eastAsia="宋体" w:cs="宋体"/>
                <w:color w:val="000000"/>
                <w:sz w:val="24"/>
                <w:highlight w:val="none"/>
                <w:lang w:val="en-US" w:eastAsia="zh-CN" w:bidi="ar-SA"/>
              </w:rPr>
              <w:t xml:space="preserve">由采购代理机构查询。</w:t>
            </w:r>
            <w:r/>
          </w:p>
        </w:tc>
      </w:tr>
      <w:tr>
        <w:trPr>
          <w:cantSplit/>
          <w:trHeight w:val="471"/>
        </w:trPr>
        <w:tc>
          <w:tcPr>
            <w:tcW w:w="708" w:type="dxa"/>
            <w:vAlign w:val="center"/>
            <w:textDirection w:val="lrTb"/>
            <w:noWrap w:val="false"/>
          </w:tcPr>
          <w:p>
            <w:pPr>
              <w:jc w:val="center"/>
              <w:spacing w:line="360" w:lineRule="auto"/>
              <w:tabs>
                <w:tab w:val="left" w:pos="1080" w:leader="none"/>
              </w:tabs>
              <w:rPr>
                <w:highlight w:val="none"/>
              </w:rPr>
            </w:pPr>
            <w:r>
              <w:rPr>
                <w:rFonts w:hint="eastAsia" w:ascii="宋体" w:hAnsi="宋体" w:cs="宋体"/>
                <w:color w:val="000000"/>
                <w:sz w:val="24"/>
                <w:highlight w:val="none"/>
              </w:rPr>
              <w:t xml:space="preserve">1-3</w:t>
            </w:r>
            <w:r/>
          </w:p>
        </w:tc>
        <w:tc>
          <w:tcPr>
            <w:tcW w:w="2435"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sz w:val="24"/>
                <w:highlight w:val="none"/>
              </w:rPr>
              <w:t xml:space="preserve">单位负责人为同一人或者存在直接控股、管理关系的不同供应商不得参加同一合同项下的政府采购活动</w:t>
            </w:r>
            <w:r/>
          </w:p>
        </w:tc>
        <w:tc>
          <w:tcPr>
            <w:tcW w:w="450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须提供《供应商资格声明函》。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2</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落实政府采购政策需满足的资格要求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中小企业声明函</w:t>
            </w:r>
            <w:r/>
          </w:p>
        </w:tc>
        <w:tc>
          <w:tcPr>
            <w:tcW w:w="4508" w:type="dxa"/>
            <w:vAlign w:val="center"/>
            <w:textDirection w:val="lrTb"/>
            <w:noWrap w:val="false"/>
          </w:tcPr>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投标人单独投标的，应提供中小企业声明函；如为监狱企业或残疾人福利性单位，不必提供中小企业声明函，但须按注1或注2要求提供证明材料。</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注1：监狱企业须提供由省级以上监狱管理局（常州市含教育矫治局）、戒毒管理局（含新疆生产建设兵团）出具的属于监狱企业的证明文件。</w:t>
            </w:r>
            <w:r/>
          </w:p>
          <w:p>
            <w:p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注2：残疾人福利性单位须按</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要求提供《残疾人福利性单位声明函》。</w:t>
            </w:r>
            <w:r/>
          </w:p>
        </w:tc>
        <w:tc>
          <w:tcPr>
            <w:tcW w:w="1637"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格式见《投标文件格式》</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3</w:t>
            </w:r>
            <w:r/>
          </w:p>
        </w:tc>
        <w:tc>
          <w:tcPr>
            <w:gridSpan w:val="3"/>
            <w:tcW w:w="8580" w:type="dxa"/>
            <w:vAlign w:val="center"/>
            <w:textDirection w:val="lrTb"/>
            <w:noWrap w:val="false"/>
          </w:tcPr>
          <w:p>
            <w:pPr>
              <w:jc w:val="center"/>
              <w:tabs>
                <w:tab w:val="left" w:pos="1080" w:leader="none"/>
              </w:tabs>
              <w:rPr>
                <w:rFonts w:ascii="宋体" w:hAnsi="宋体" w:cs="宋体"/>
                <w:b/>
                <w:bCs/>
                <w:color w:val="000000"/>
                <w:sz w:val="24"/>
                <w:highlight w:val="none"/>
              </w:rPr>
            </w:pPr>
            <w:r>
              <w:rPr>
                <w:rFonts w:hint="eastAsia" w:ascii="宋体" w:hAnsi="宋体" w:cs="宋体"/>
                <w:b/>
                <w:bCs/>
                <w:color w:val="000000"/>
                <w:sz w:val="24"/>
                <w:highlight w:val="none"/>
              </w:rPr>
              <w:t xml:space="preserve">本项目的特定资格要求</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不接受分支机构参与投标</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restart"/>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无需提供证明材料。</w:t>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3-2</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不属于政府购买服务</w:t>
            </w:r>
            <w:r/>
          </w:p>
        </w:tc>
        <w:tc>
          <w:tcPr>
            <w:tcW w:w="4508"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r>
        <w:trPr>
          <w:cantSplit/>
          <w:trHeight w:val="471"/>
        </w:trPr>
        <w:tc>
          <w:tcPr>
            <w:tcW w:w="708" w:type="dxa"/>
            <w:vAlign w:val="center"/>
            <w:textDirection w:val="lrTb"/>
            <w:noWrap w:val="false"/>
          </w:tcPr>
          <w:p>
            <w:pPr>
              <w:jc w:val="cente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3-3</w:t>
            </w:r>
            <w:r/>
          </w:p>
        </w:tc>
        <w:tc>
          <w:tcPr>
            <w:tcW w:w="2435" w:type="dxa"/>
            <w:vAlign w:val="center"/>
            <w:textDirection w:val="lrTb"/>
            <w:noWrap w:val="false"/>
          </w:tcPr>
          <w:p>
            <w:pPr>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其他特定资格要求</w:t>
            </w:r>
            <w:r/>
          </w:p>
        </w:tc>
        <w:tc>
          <w:tcPr>
            <w:tcW w:w="4508" w:type="dxa"/>
            <w:vAlign w:val="center"/>
            <w:textDirection w:val="lrTb"/>
            <w:noWrap w:val="false"/>
          </w:tcPr>
          <w:p>
            <w:pPr>
              <w:tabs>
                <w:tab w:val="left" w:pos="108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w:t>
            </w:r>
            <w:r/>
          </w:p>
        </w:tc>
        <w:tc>
          <w:tcPr>
            <w:tcW w:w="1637" w:type="dxa"/>
            <w:vAlign w:val="center"/>
            <w:vMerge w:val="continue"/>
            <w:textDirection w:val="lrTb"/>
            <w:noWrap w:val="false"/>
          </w:tcPr>
          <w:p>
            <w:pPr>
              <w:tabs>
                <w:tab w:val="left" w:pos="1080" w:leader="none"/>
              </w:tabs>
              <w:rPr>
                <w:rFonts w:ascii="宋体" w:hAnsi="宋体" w:cs="宋体"/>
                <w:color w:val="000000"/>
                <w:sz w:val="24"/>
                <w:highlight w:val="none"/>
              </w:rPr>
            </w:pPr>
            <w:r>
              <w:rPr>
                <w:rFonts w:ascii="宋体" w:hAnsi="宋体" w:cs="宋体"/>
                <w:color w:val="000000"/>
                <w:sz w:val="24"/>
                <w:highlight w:val="none"/>
              </w:rPr>
            </w:r>
            <w:r/>
          </w:p>
        </w:tc>
      </w:tr>
    </w:tbl>
    <w:p>
      <w:pPr>
        <w:pStyle w:val="907"/>
        <w:rPr>
          <w:highlight w:val="none"/>
        </w:rPr>
      </w:pPr>
      <w:r>
        <w:rPr>
          <w:highlight w:val="none"/>
        </w:rPr>
      </w:r>
      <w:r/>
    </w:p>
    <w:p>
      <w:pPr>
        <w:rPr>
          <w:highlight w:val="none"/>
        </w:rPr>
      </w:pPr>
      <w:r>
        <w:rPr>
          <w:highlight w:val="none"/>
        </w:r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p>
      <w:pPr>
        <w:jc w:val="center"/>
        <w:widowControl/>
        <w:rPr>
          <w:rFonts w:ascii="宋体" w:hAnsi="宋体" w:cs="宋体"/>
          <w:b/>
          <w:color w:val="000000"/>
          <w:sz w:val="36"/>
          <w:szCs w:val="36"/>
          <w:highlight w:val="none"/>
        </w:rPr>
      </w:pPr>
      <w:r/>
      <w:bookmarkStart w:id="729" w:name="_Hlt487972895"/>
      <w:r/>
      <w:bookmarkEnd w:id="729"/>
      <w:r/>
      <w:bookmarkStart w:id="730" w:name="_Toc353825550"/>
      <w:r/>
      <w:bookmarkStart w:id="731" w:name="_Toc226965858"/>
      <w:r/>
      <w:bookmarkStart w:id="732" w:name="_Toc353873940"/>
      <w:r/>
      <w:bookmarkStart w:id="733" w:name="_Toc127161490"/>
      <w:r/>
      <w:bookmarkStart w:id="734" w:name="_Toc127151779"/>
      <w:r>
        <w:rPr>
          <w:rFonts w:hint="eastAsia" w:ascii="宋体" w:hAnsi="宋体" w:cs="宋体"/>
          <w:color w:val="000000"/>
          <w:sz w:val="24"/>
          <w:highlight w:val="none"/>
        </w:rPr>
        <w:br w:type="page" w:clear="all"/>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
    </w:p>
    <w:p>
      <w:pPr>
        <w:jc w:val="center"/>
        <w:spacing w:line="360" w:lineRule="auto"/>
        <w:tabs>
          <w:tab w:val="left" w:pos="360" w:leader="none"/>
          <w:tab w:val="left" w:pos="900" w:leader="none"/>
        </w:tabs>
        <w:rPr>
          <w:rFonts w:ascii="宋体" w:hAnsi="宋体" w:cs="宋体"/>
          <w:b/>
          <w:color w:val="000000"/>
          <w:highlight w:val="none"/>
        </w:rPr>
        <w:outlineLvl w:val="1"/>
      </w:pPr>
      <w:r>
        <w:rPr>
          <w:rFonts w:hint="eastAsia" w:ascii="宋体" w:hAnsi="宋体" w:cs="宋体"/>
          <w:b/>
          <w:color w:val="000000"/>
          <w:sz w:val="24"/>
          <w:highlight w:val="none"/>
        </w:rPr>
        <w:t xml:space="preserve">一、评标程序</w:t>
      </w:r>
      <w:r/>
    </w:p>
    <w:p>
      <w:pPr>
        <w:numPr>
          <w:ilvl w:val="0"/>
          <w:numId w:val="13"/>
        </w:numPr>
        <w:spacing w:line="360" w:lineRule="auto"/>
        <w:tabs>
          <w:tab w:val="left" w:pos="360" w:leader="none"/>
        </w:tabs>
        <w:rPr>
          <w:rFonts w:ascii="宋体" w:hAnsi="宋体" w:cs="宋体"/>
          <w:color w:val="000000"/>
          <w:sz w:val="24"/>
          <w:highlight w:val="none"/>
        </w:rPr>
        <w:outlineLvl w:val="1"/>
      </w:pPr>
      <w:r/>
      <w:bookmarkStart w:id="737" w:name="_Toc150480779"/>
      <w:r/>
      <w:bookmarkStart w:id="738" w:name="_Toc195842906"/>
      <w:r/>
      <w:bookmarkStart w:id="739" w:name="_Toc142311043"/>
      <w:r/>
      <w:bookmarkStart w:id="740" w:name="_Toc226965731"/>
      <w:r/>
      <w:bookmarkStart w:id="741" w:name="_Toc150509292"/>
      <w:r/>
      <w:bookmarkStart w:id="742" w:name="_Toc151193855"/>
      <w:r/>
      <w:bookmarkStart w:id="743" w:name="_Toc127151742"/>
      <w:r/>
      <w:bookmarkStart w:id="744" w:name="_Toc164229382"/>
      <w:r/>
      <w:bookmarkStart w:id="745" w:name="_Toc150774746"/>
      <w:r/>
      <w:bookmarkStart w:id="746" w:name="_Toc305158809"/>
      <w:r/>
      <w:bookmarkStart w:id="747" w:name="_Toc164351635"/>
      <w:r/>
      <w:bookmarkStart w:id="748" w:name="_Toc164608655"/>
      <w:r/>
      <w:bookmarkStart w:id="749" w:name="_Toc127151541"/>
      <w:r/>
      <w:bookmarkStart w:id="750" w:name="_Toc151193711"/>
      <w:r/>
      <w:bookmarkStart w:id="751" w:name="_Toc226309785"/>
      <w:r/>
      <w:bookmarkStart w:id="752" w:name="_Toc164608810"/>
      <w:r/>
      <w:bookmarkStart w:id="753" w:name="_Toc151190168"/>
      <w:r/>
      <w:bookmarkStart w:id="754" w:name="_Toc151193639"/>
      <w:r/>
      <w:bookmarkStart w:id="755" w:name="_Toc151193929"/>
      <w:r/>
      <w:bookmarkStart w:id="756" w:name="_Toc305158883"/>
      <w:r/>
      <w:bookmarkStart w:id="757" w:name="_Toc264969231"/>
      <w:r/>
      <w:bookmarkStart w:id="758" w:name="_Toc226965814"/>
      <w:r/>
      <w:bookmarkStart w:id="759" w:name="_Toc265228379"/>
      <w:r/>
      <w:bookmarkStart w:id="760" w:name="_Toc151193783"/>
      <w:r/>
      <w:bookmarkStart w:id="761" w:name="_Toc164229236"/>
      <w:r/>
      <w:bookmarkStart w:id="762" w:name="_Toc149720834"/>
      <w:r/>
      <w:bookmarkStart w:id="763" w:name="_Toc150774641"/>
      <w:r/>
      <w:bookmarkStart w:id="764" w:name="_Toc226337237"/>
      <w:r/>
      <w:bookmarkStart w:id="765" w:name="_Toc127161455"/>
      <w:r/>
      <w:bookmarkStart w:id="766" w:name="_Toc353873941"/>
      <w:r/>
      <w:bookmarkStart w:id="767" w:name="_Toc353825551"/>
      <w:r/>
      <w:bookmarkStart w:id="768" w:name="_Toc150774760"/>
      <w:r/>
      <w:bookmarkStart w:id="769" w:name="_Toc226965828"/>
      <w:r/>
      <w:bookmarkStart w:id="770" w:name="_Toc353825545"/>
      <w:r/>
      <w:bookmarkStart w:id="771" w:name="_Toc305158823"/>
      <w:r/>
      <w:bookmarkStart w:id="772" w:name="_Toc195842920"/>
      <w:r/>
      <w:bookmarkStart w:id="773" w:name="_Toc265228393"/>
      <w:r/>
      <w:bookmarkStart w:id="774" w:name="_Toc305158897"/>
      <w:r/>
      <w:bookmarkStart w:id="775" w:name="_Toc142311057"/>
      <w:r/>
      <w:bookmarkStart w:id="776" w:name="_Toc150480793"/>
      <w:r/>
      <w:bookmarkStart w:id="777" w:name="_Toc353873935"/>
      <w:r/>
      <w:bookmarkStart w:id="778" w:name="_Toc226337251"/>
      <w:r/>
      <w:bookmarkStart w:id="779" w:name="_Toc127151555"/>
      <w:r/>
      <w:bookmarkStart w:id="780" w:name="_Toc264969245"/>
      <w:r/>
      <w:bookmarkStart w:id="781" w:name="_Toc353873665"/>
      <w:r>
        <w:rPr>
          <w:rFonts w:hint="eastAsia" w:ascii="宋体" w:hAnsi="宋体" w:cs="宋体"/>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评标委员会对资格审查合格的供应商的投标文件进行符合性审查，以确定其是否满足采购文件的实质性要求。</w:t>
      </w:r>
      <w:bookmarkStart w:id="782" w:name="_Toc520356167"/>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供应商的投标文件是否实质上投标采购文件进行符合性审查，并形成符合性审查评审结果。供应商《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cs="宋体"/>
          <w:b/>
          <w:color w:val="000000"/>
          <w:sz w:val="24"/>
          <w:highlight w:val="none"/>
        </w:rPr>
      </w:pPr>
      <w:r>
        <w:rPr>
          <w:rFonts w:hint="eastAsia" w:ascii="宋体" w:hAnsi="宋体" w:cs="宋体"/>
          <w:b/>
          <w:color w:val="000000"/>
          <w:sz w:val="24"/>
          <w:highlight w:val="none"/>
        </w:rPr>
        <w:t xml:space="preserve">符合性审查要求</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3"/>
        <w:gridCol w:w="1870"/>
        <w:gridCol w:w="6945"/>
      </w:tblGrid>
      <w:tr>
        <w:trPr>
          <w:jc w:val="center"/>
          <w:trHeight w:val="300"/>
        </w:trPr>
        <w:tc>
          <w:tcPr>
            <w:tcW w:w="402"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序号</w:t>
            </w:r>
            <w:r/>
          </w:p>
        </w:tc>
        <w:tc>
          <w:tcPr>
            <w:tcW w:w="975"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审查因素</w:t>
            </w:r>
            <w:r/>
          </w:p>
        </w:tc>
        <w:tc>
          <w:tcPr>
            <w:tcW w:w="3621" w:type="dxa"/>
            <w:vAlign w:val="center"/>
            <w:textDirection w:val="lrTb"/>
            <w:noWrap w:val="false"/>
          </w:tcPr>
          <w:p>
            <w:pPr>
              <w:jc w:val="center"/>
              <w:widowControl/>
              <w:rPr>
                <w:rFonts w:ascii="宋体" w:hAnsi="宋体" w:cs="宋体"/>
                <w:b/>
                <w:color w:val="000000"/>
                <w:sz w:val="24"/>
                <w:highlight w:val="none"/>
              </w:rPr>
            </w:pPr>
            <w:r>
              <w:rPr>
                <w:rFonts w:hint="eastAsia" w:ascii="宋体" w:hAnsi="宋体" w:cs="宋体"/>
                <w:b/>
                <w:color w:val="000000"/>
                <w:sz w:val="24"/>
                <w:highlight w:val="none"/>
              </w:rPr>
              <w:t xml:space="preserve">审查内容</w:t>
            </w:r>
            <w:r/>
          </w:p>
        </w:tc>
      </w:tr>
      <w:tr>
        <w:trPr>
          <w:jc w:val="center"/>
          <w:trHeight w:val="1529"/>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按采购文件要求提供投标函、法定代表人资格证明书和政府采购供应商信用承诺书；</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投标完整性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投标报价未超过采购文件中规定的项目预算金额、</w:t>
            </w:r>
            <w:r>
              <w:rPr>
                <w:rFonts w:hint="eastAsia" w:ascii="宋体" w:hAnsi="宋体" w:cs="宋体"/>
                <w:b/>
                <w:bCs/>
                <w:color w:val="000000"/>
                <w:sz w:val="24"/>
                <w:highlight w:val="none"/>
                <w:lang w:val="en-US" w:eastAsia="zh-CN"/>
              </w:rPr>
              <w:t xml:space="preserve">相应采购包</w:t>
            </w:r>
            <w:r>
              <w:rPr>
                <w:rFonts w:hint="eastAsia" w:ascii="宋体" w:hAnsi="宋体" w:cs="宋体"/>
                <w:b/>
                <w:bCs/>
                <w:color w:val="000000"/>
                <w:sz w:val="24"/>
                <w:highlight w:val="none"/>
              </w:rPr>
              <w:t xml:space="preserve">最高限价；</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报价唯一性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投标文件未出现可选择性或可调整的报价（采购文件另有规定的除外）；</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投标有效期</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投标文件中承诺的投标有效期满足采购文件中载明的投标有效期的；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签署、加盖公章</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按照采购文件要求签署、加盖公章的；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7</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实质性格式</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标记为“实质性格式”的文件均按采购文件要求提供；</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8</w:t>
            </w:r>
            <w:r/>
          </w:p>
        </w:tc>
        <w:tc>
          <w:tcPr>
            <w:tcW w:w="975"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★号条款投标</w:t>
            </w:r>
            <w:r/>
          </w:p>
        </w:tc>
        <w:tc>
          <w:tcPr>
            <w:tcW w:w="3621" w:type="dxa"/>
            <w:vAlign w:val="center"/>
            <w:textDirection w:val="lrTb"/>
            <w:noWrap w:val="false"/>
          </w:tcPr>
          <w:p>
            <w:pPr>
              <w:jc w:val="lef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投标文件满足采购文件第五章《采购需求》中★号条款要求的；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9</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报价的修正（如有）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不涉及报价修正，或投标文件报价出现前后不一致时，供应商对修正后的报价予以确认；（如有）</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报价合理性</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报价合理，或供应商的报价明显低于其他通过符合性审查供应商的报价，有可能影响货物质量或者不能诚信履约的，能够应评标委员会要求在规定时间内证明其报价合理性的；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11</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公平竞争</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串通投标</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供应商串通投标的情形：（一）不同供应商的投标文件由同一单位或者个人编制（包含使用同一MAC地址的计算机制作电子投标文件的情形）；（二）不同供应商委托同一单位或者个人办理投标事宜（包含使用同一MAC地址的计算机提交或者解密电子投标文件的情形）；（三）不同供应商的投标文件载明的项目管理成员或者联系人员为同一人；（四）不同供应商的投标文件异常一致或者投标报价呈规律性差异；（五）不同供应商的投标文件相互混装；</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p>
        </w:tc>
        <w:tc>
          <w:tcPr>
            <w:tcW w:w="1812"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核心产品</w:t>
            </w:r>
            <w:r/>
          </w:p>
        </w:tc>
        <w:tc>
          <w:tcPr>
            <w:tcW w:w="6729"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b/>
                <w:color w:val="000000"/>
                <w:sz w:val="24"/>
                <w:highlight w:val="none"/>
              </w:rPr>
              <w:t xml:space="preserve">供应商投标</w:t>
            </w:r>
            <w:r>
              <w:rPr>
                <w:rFonts w:hint="eastAsia" w:ascii="宋体" w:hAnsi="宋体" w:cs="宋体"/>
                <w:b/>
                <w:color w:val="000000"/>
                <w:sz w:val="24"/>
                <w:highlight w:val="none"/>
                <w:lang w:val="en-US" w:eastAsia="zh-CN"/>
              </w:rPr>
              <w:t xml:space="preserve">时，同一采购包内所投全部</w:t>
            </w:r>
            <w:r>
              <w:rPr>
                <w:rFonts w:hint="eastAsia" w:ascii="宋体" w:hAnsi="宋体" w:cs="宋体"/>
                <w:b/>
                <w:color w:val="000000"/>
                <w:sz w:val="24"/>
                <w:highlight w:val="none"/>
              </w:rPr>
              <w:t xml:space="preserve">核心产品品牌一致的；</w:t>
            </w:r>
            <w:r/>
          </w:p>
        </w:tc>
      </w:tr>
      <w:tr>
        <w:trPr>
          <w:jc w:val="center"/>
          <w:trHeight w:val="685"/>
        </w:trPr>
        <w:tc>
          <w:tcPr>
            <w:tcW w:w="402" w:type="dxa"/>
            <w:vAlign w:val="center"/>
            <w:textDirection w:val="lrTb"/>
            <w:noWrap w:val="false"/>
          </w:tcPr>
          <w:p>
            <w:pPr>
              <w:jc w:val="center"/>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14</w:t>
            </w:r>
            <w:r/>
          </w:p>
        </w:tc>
        <w:tc>
          <w:tcPr>
            <w:tcW w:w="1812"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清单</w:t>
            </w:r>
            <w:r/>
          </w:p>
        </w:tc>
        <w:tc>
          <w:tcPr>
            <w:tcW w:w="6729" w:type="dxa"/>
            <w:vAlign w:val="center"/>
            <w:textDirection w:val="lrTb"/>
            <w:noWrap w:val="false"/>
          </w:tcPr>
          <w:p>
            <w:pPr>
              <w:jc w:val="left"/>
              <w:spacing w:line="360" w:lineRule="auto"/>
              <w:widowControl/>
              <w:rPr>
                <w:rFonts w:ascii="宋体" w:hAnsi="宋体" w:cs="宋体"/>
                <w:b/>
                <w:color w:val="000000"/>
                <w:sz w:val="24"/>
                <w:highlight w:val="none"/>
              </w:rPr>
            </w:pPr>
            <w:r>
              <w:rPr>
                <w:rFonts w:hint="eastAsia" w:ascii="宋体" w:hAnsi="宋体" w:cs="宋体"/>
                <w:b/>
                <w:color w:val="000000"/>
                <w:sz w:val="24"/>
                <w:highlight w:val="none"/>
              </w:rPr>
              <w:t xml:space="preserve">投标文件中提供了货物清单且不存在缺项、漏项或改变清单数量等情况的；</w:t>
            </w:r>
            <w:r/>
          </w:p>
        </w:tc>
      </w:tr>
      <w:tr>
        <w:trPr>
          <w:jc w:val="center"/>
          <w:trHeight w:val="658"/>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附加条件</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p>
        </w:tc>
      </w:tr>
      <w:tr>
        <w:trPr>
          <w:jc w:val="center"/>
          <w:trHeight w:val="685"/>
        </w:trPr>
        <w:tc>
          <w:tcPr>
            <w:tcW w:w="40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color w:val="000000"/>
                <w:sz w:val="24"/>
                <w:highlight w:val="none"/>
              </w:rPr>
              <w:t xml:space="preserve">16</w:t>
            </w:r>
            <w:r/>
          </w:p>
        </w:tc>
        <w:tc>
          <w:tcPr>
            <w:tcW w:w="975"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其他无效情形</w:t>
            </w:r>
            <w:r/>
          </w:p>
        </w:tc>
        <w:tc>
          <w:tcPr>
            <w:tcW w:w="3621" w:type="dxa"/>
            <w:vAlign w:val="center"/>
            <w:textDirection w:val="lrTb"/>
            <w:noWrap w:val="false"/>
          </w:tcPr>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供应商、投标文件不存在不符合法律、法规和采购文件规定的其他无效情形。</w:t>
            </w:r>
            <w:r/>
          </w:p>
        </w:tc>
      </w:tr>
    </w:tbl>
    <w:p>
      <w:pPr>
        <w:numPr>
          <w:ilvl w:val="0"/>
          <w:numId w:val="14"/>
        </w:numPr>
        <w:spacing w:line="360" w:lineRule="auto"/>
        <w:tabs>
          <w:tab w:val="left" w:pos="1080" w:leader="none"/>
          <w:tab w:val="left" w:pos="1589" w:leader="none"/>
        </w:tabs>
        <w:rPr>
          <w:rFonts w:ascii="宋体" w:hAnsi="宋体" w:cs="宋体"/>
          <w:color w:val="000000"/>
          <w:sz w:val="24"/>
          <w:highlight w:val="none"/>
        </w:rPr>
        <w:sectPr>
          <w:footerReference w:type="default" r:id="rId17"/>
          <w:footnotePr/>
          <w:endnotePr/>
          <w:type w:val="nextPage"/>
          <w:pgSz w:w="11907" w:h="16840" w:orient="portrait"/>
          <w:pgMar w:top="1418" w:right="1134" w:bottom="1418" w:left="1701" w:header="851" w:footer="851" w:gutter="0"/>
          <w:pgNumType w:start="1"/>
          <w:cols w:num="1" w:sep="0" w:space="1701" w:equalWidth="1"/>
          <w:docGrid w:linePitch="360"/>
        </w:sectPr>
      </w:pPr>
      <w:r>
        <w:rPr>
          <w:rFonts w:ascii="宋体" w:hAnsi="宋体" w:cs="宋体"/>
          <w:color w:val="000000"/>
          <w:sz w:val="24"/>
          <w:highlight w:val="none"/>
        </w:rPr>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hint="eastAsia" w:ascii="Times New Roman" w:hAnsi="Times New Roman" w:eastAsia="宋体" w:cs="Times New Roman"/>
          <w:color w:val="000000"/>
          <w:sz w:val="24"/>
          <w:szCs w:val="24"/>
          <w:highlight w:val="none"/>
          <w:lang w:val="en-US" w:eastAsia="zh-CN" w:bidi="ar-SA"/>
        </w:rPr>
      </w:pPr>
      <w:r>
        <w:rPr>
          <w:rFonts w:hint="eastAsia" w:ascii="宋体" w:hAnsi="宋体" w:cs="宋体"/>
          <w:color w:val="000000"/>
          <w:sz w:val="24"/>
          <w:highlight w:val="none"/>
        </w:rPr>
        <w:t xml:space="preserve">评标过程中，评标委员会将通过</w:t>
      </w:r>
      <w:r>
        <w:rPr>
          <w:rFonts w:hint="eastAsia" w:ascii="宋体" w:hAnsi="宋体" w:cs="宋体"/>
          <w:color w:val="000000"/>
          <w:sz w:val="24"/>
          <w:highlight w:val="none"/>
          <w:lang w:bidi="ar"/>
        </w:rPr>
        <w:t xml:space="preserve">“苏采云”</w:t>
      </w:r>
      <w:r>
        <w:rPr>
          <w:rFonts w:hint="eastAsia" w:ascii="宋体" w:hAnsi="宋体" w:cs="宋体"/>
          <w:color w:val="000000"/>
          <w:sz w:val="24"/>
          <w:highlight w:val="none"/>
        </w:rPr>
        <w:t xml:space="preserve">系统以书面形式要求供应商对其投标文件中含义不明确、同类问题表述不一致或者有明显文字和计算错误的内容，作出必要的澄清、说明或者补正。供应商的澄清、说明或者补正应当采用书面形式，并加盖电子公章。供应商的澄清、说明或者补正不得超出投标文件的范围或者改变投标文件的实质性内容。澄清文件将作为投标文件内容的一部分。</w:t>
      </w:r>
      <w:r/>
    </w:p>
    <w:p>
      <w:pPr>
        <w:numPr>
          <w:ilvl w:val="1"/>
          <w:numId w:val="0"/>
        </w:numPr>
        <w:ind w:firstLine="24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2.</w:t>
      </w:r>
      <w:r>
        <w:rPr>
          <w:rFonts w:hint="eastAsia" w:ascii="Times New Roman" w:hAnsi="Times New Roman" w:cs="Times New Roman"/>
          <w:color w:val="000000"/>
          <w:sz w:val="24"/>
          <w:szCs w:val="24"/>
          <w:highlight w:val="none"/>
          <w:lang w:val="en-US" w:eastAsia="zh-CN" w:bidi="ar-SA"/>
        </w:rPr>
        <w:t xml:space="preserve">1.1</w:t>
      </w:r>
      <w:r>
        <w:rPr>
          <w:rFonts w:hint="eastAsia" w:ascii="Times New Roman" w:hAnsi="Times New Roman" w:eastAsia="宋体" w:cs="Times New Roman"/>
          <w:color w:val="000000"/>
          <w:sz w:val="24"/>
          <w:szCs w:val="24"/>
          <w:highlight w:val="none"/>
          <w:lang w:val="en-US" w:eastAsia="zh-CN" w:bidi="ar-SA"/>
        </w:rPr>
        <w:t xml:space="preserve"> </w:t>
      </w:r>
      <w:r>
        <w:rPr>
          <w:rFonts w:hint="eastAsia" w:ascii="Times New Roman" w:hAnsi="Times New Roman" w:eastAsia="宋体" w:cs="Times New Roman"/>
          <w:b/>
          <w:bCs/>
          <w:color w:val="000000"/>
          <w:sz w:val="24"/>
          <w:highlight w:val="none"/>
          <w:lang w:val="en-US" w:eastAsia="zh-CN"/>
        </w:rPr>
        <w:t xml:space="preserve">采购人应当在采购文件中明确，政府采购评审中出现下列情形之一的，评审委员会应当启动异常低价投标审查程序</w:t>
      </w:r>
      <w:r>
        <w:rPr>
          <w:rFonts w:hint="eastAsia" w:ascii="Times New Roman" w:hAnsi="Times New Roman" w:eastAsia="宋体" w:cs="Times New Roman"/>
          <w:b/>
          <w:bCs/>
          <w:color w:val="000000"/>
          <w:sz w:val="24"/>
          <w:highlight w:val="none"/>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1、投标报价低于全部通过符合性审查供应商投标报价平均值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%的，即投标报价&lt;全部通过符合性审查供应商投标报价平均值×</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2、投标报价低于通过符合性审查的次低报价供应商投标报价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%的，即投标报价&lt;通过符合性审查的次低报价供应商投标报价×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 </w:t>
      </w:r>
      <w:r/>
    </w:p>
    <w:p>
      <w:pPr>
        <w:numPr>
          <w:ilvl w:val="1"/>
          <w:numId w:val="0"/>
        </w:numPr>
        <w:ind w:left="0" w:firstLine="964"/>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3、投标报价低于采购项目最高限价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%的，即投标报价&lt;采购项目最高限价×</w:t>
      </w:r>
      <w:r>
        <w:rPr>
          <w:rFonts w:hint="eastAsia" w:ascii="Times New Roman" w:hAnsi="Times New Roman" w:cs="Times New Roman"/>
          <w:b/>
          <w:bCs/>
          <w:color w:val="000000"/>
          <w:sz w:val="24"/>
          <w:highlight w:val="none"/>
          <w:lang w:val="en-US" w:eastAsia="zh-CN"/>
        </w:rPr>
        <w:t xml:space="preserve">65</w:t>
      </w:r>
      <w:r>
        <w:rPr>
          <w:rFonts w:hint="eastAsia" w:ascii="Times New Roman" w:hAnsi="Times New Roman" w:eastAsia="宋体" w:cs="Times New Roman"/>
          <w:b/>
          <w:bCs/>
          <w:color w:val="000000"/>
          <w:sz w:val="24"/>
          <w:highlight w:val="none"/>
          <w:lang w:val="en-US" w:eastAsia="zh-CN"/>
        </w:rPr>
        <w:t xml:space="preserve">%；</w:t>
      </w:r>
      <w:r/>
    </w:p>
    <w:p>
      <w:pPr>
        <w:numPr>
          <w:ilvl w:val="1"/>
          <w:numId w:val="0"/>
        </w:numPr>
        <w:ind w:left="0" w:firstLine="964"/>
        <w:keepLines w:val="0"/>
        <w:keepNext w:val="0"/>
        <w:pageBreakBefore w:val="0"/>
        <w:spacing w:line="360" w:lineRule="auto"/>
        <w:widowControl w:val="off"/>
        <w:tabs>
          <w:tab w:val="left" w:pos="1080" w:leader="none"/>
        </w:tabs>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b/>
          <w:bCs/>
          <w:color w:val="000000"/>
          <w:sz w:val="24"/>
          <w:highlight w:val="none"/>
          <w:lang w:val="en-US" w:eastAsia="zh-CN"/>
        </w:rPr>
        <w:t xml:space="preserve">4、评审委员会基于专业判断，认为供应商报价过低，有可能影响服务质量或者不能诚信履约的其他情形。</w:t>
      </w:r>
      <w:r>
        <w:rPr>
          <w:rFonts w:hint="eastAsia" w:ascii="Times New Roman" w:hAnsi="Times New Roman" w:eastAsia="宋体" w:cs="Times New Roman"/>
          <w:color w:val="000000"/>
          <w:sz w:val="24"/>
          <w:highlight w:val="none"/>
          <w:lang w:val="en-US" w:eastAsia="zh-CN"/>
        </w:rPr>
        <w:t xml:space="preserve"> </w:t>
      </w:r>
      <w:r/>
    </w:p>
    <w:p>
      <w:pPr>
        <w:numPr>
          <w:ilvl w:val="1"/>
          <w:numId w:val="0"/>
        </w:numPr>
        <w:ind w:left="0" w:firstLine="960"/>
        <w:keepLines w:val="0"/>
        <w:keepNext w:val="0"/>
        <w:pageBreakBefore w:val="0"/>
        <w:spacing w:line="360" w:lineRule="auto"/>
        <w:widowControl w:val="off"/>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评审委员会启动异常低价投标审查后，属于前述第1项至第4项情形的，应当要求相关供应商在评审现场合理的时间</w:t>
      </w:r>
      <w:r>
        <w:rPr>
          <w:rFonts w:hint="eastAsia" w:ascii="Times New Roman" w:hAnsi="Times New Roman" w:eastAsia="宋体" w:cs="Times New Roman"/>
          <w:b/>
          <w:bCs/>
          <w:color w:val="000000"/>
          <w:sz w:val="24"/>
          <w:highlight w:val="none"/>
          <w:lang w:val="en-US" w:eastAsia="zh-CN"/>
        </w:rPr>
        <w:t xml:space="preserve">（30分钟）</w:t>
      </w:r>
      <w:r>
        <w:rPr>
          <w:rFonts w:hint="eastAsia" w:ascii="Times New Roman" w:hAnsi="Times New Roman" w:eastAsia="宋体" w:cs="Times New Roman"/>
          <w:color w:val="000000"/>
          <w:sz w:val="24"/>
          <w:highlight w:val="none"/>
          <w:lang w:val="en-US" w:eastAsia="zh-CN"/>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Times New Roman" w:hAnsi="Times New Roman" w:eastAsia="宋体" w:cs="Times New Roman"/>
          <w:color w:val="000000"/>
          <w:sz w:val="24"/>
          <w:highlight w:val="none"/>
        </w:rPr>
        <w:t xml:space="preserve">。</w:t>
      </w:r>
      <w:r/>
    </w:p>
    <w:p>
      <w:pPr>
        <w:numPr>
          <w:ilvl w:val="1"/>
          <w:numId w:val="0"/>
        </w:numPr>
        <w:ind w:firstLine="482"/>
        <w:keepLines w:val="0"/>
        <w:keepNext w:val="0"/>
        <w:pageBreakBefore w:val="0"/>
        <w:spacing w:line="360" w:lineRule="auto"/>
        <w:widowControl w:val="off"/>
        <w:tabs>
          <w:tab w:val="left" w:pos="10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numPr>
          <w:ilvl w:val="0"/>
          <w:numId w:val="0"/>
        </w:numPr>
        <w:ind w:firstLine="482"/>
        <w:keepLines w:val="0"/>
        <w:keepNext w:val="0"/>
        <w:pageBreakBefore w:val="0"/>
        <w:spacing w:line="360" w:lineRule="auto"/>
        <w:widowControl w:val="off"/>
        <w:tabs>
          <w:tab w:val="left" w:pos="1080" w:leader="none"/>
        </w:tabs>
        <w:rPr>
          <w:rFonts w:hint="default" w:ascii="Times New Roman" w:hAnsi="Times New Roman" w:cs="Times New Roman"/>
          <w:color w:val="000000" w:themeColor="text1"/>
          <w:sz w:val="24"/>
          <w:highlight w:val="none"/>
          <w14:textFill>
            <w14:solidFill>
              <w14:schemeClr w14:val="tx1"/>
            </w14:solidFill>
          </w14:textFill>
        </w:rPr>
      </w:pPr>
      <w:r>
        <w:rPr>
          <w:rFonts w:hint="eastAsia" w:ascii="Times New Roman" w:hAnsi="Times New Roman" w:eastAsia="宋体" w:cs="Times New Roman"/>
          <w:b/>
          <w:bCs/>
          <w:color w:val="000000"/>
          <w:sz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报价须包含采购文件全部内容，如分项报价表有缺漏视为已含在其他各项报价中，将不对投标总价进行调整。评标委员会有权要求供应商在规定的时间内对此进行书面确认，供应商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采购文件对于报价修正是否另有规定：无，按下述2.4.2-2.4.7项规定修正。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p>
    <w:p>
      <w:pPr>
        <w:numPr>
          <w:ilvl w:val="2"/>
          <w:numId w:val="13"/>
        </w:numPr>
        <w:ind w:left="2035"/>
        <w:spacing w:line="360" w:lineRule="auto"/>
        <w:tabs>
          <w:tab w:val="left" w:pos="1080" w:leader="none"/>
          <w:tab w:val="left" w:pos="1589" w:leader="none"/>
          <w:tab w:val="left" w:pos="2014" w:leader="none"/>
        </w:tabs>
        <w:rPr>
          <w:rFonts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p>
    <w:p>
      <w:pPr>
        <w:numPr>
          <w:ilvl w:val="2"/>
          <w:numId w:val="0"/>
        </w:numPr>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 采购本国产品的支持政策</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.2 当采购项目或者采购包中含有多种产品，</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为该采购项目或者采购包提供的符合本国产品标准的产品成本之和占该供应商提供的全部产品成本之和的比例达到80%以上时（</w:t>
      </w:r>
      <w:r>
        <w:rPr>
          <w:rFonts w:hint="default" w:ascii="Times New Roman" w:hAnsi="Times New Roman" w:eastAsia="宋体" w:cs="Times New Roman"/>
          <w:b/>
          <w:bCs/>
          <w:sz w:val="24"/>
          <w:highlight w:val="none"/>
        </w:rPr>
        <w:t xml:space="preserve">投标人</w:t>
      </w:r>
      <w:r>
        <w:rPr>
          <w:rFonts w:hint="eastAsia" w:ascii="Times New Roman" w:hAnsi="Times New Roman" w:eastAsia="宋体" w:cs="Times New Roman"/>
          <w:b/>
          <w:bCs/>
          <w:sz w:val="24"/>
          <w:highlight w:val="none"/>
        </w:rPr>
        <w:t xml:space="preserve">需在“投标文件格式”的“投标分项报价表”中填写比例数值）</w:t>
      </w:r>
      <w:r>
        <w:rPr>
          <w:rFonts w:hint="eastAsia" w:ascii="Times New Roman" w:hAnsi="Times New Roman" w:eastAsia="宋体" w:cs="Times New Roman"/>
          <w:sz w:val="24"/>
          <w:highlight w:val="none"/>
        </w:rPr>
        <w:t xml:space="preserve">，依法对该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提供的全部产品给予价格评审优惠，即对该</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提供的全部产品的总报价给予20%的价格扣除，用扣除后的价格参与评审。</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未填写比例数值，或比例数值未达到80%的，将不享受本国产品价格评审优惠。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.3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需按照招标文件的要求提供《关于符合本国产品标准的声明函》（以下简称《声明函》），</w:t>
      </w:r>
      <w:r>
        <w:rPr>
          <w:rFonts w:hint="eastAsia" w:cs="Times New Roman"/>
          <w:sz w:val="24"/>
          <w:highlight w:val="none"/>
          <w:lang w:val="en-US" w:eastAsia="zh-CN"/>
        </w:rPr>
        <w:t xml:space="preserve">或财政部会同有关部门规定的相关证明文件</w:t>
      </w:r>
      <w:r>
        <w:rPr>
          <w:rFonts w:hint="eastAsia" w:ascii="Times New Roman" w:hAnsi="Times New Roman" w:eastAsia="宋体" w:cs="Times New Roman"/>
          <w:sz w:val="24"/>
          <w:highlight w:val="none"/>
        </w:rPr>
        <w:t xml:space="preserve">，如不提供将不享受本国产品价格评审优惠。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.4 </w:t>
      </w:r>
      <w:r>
        <w:rPr>
          <w:rFonts w:hint="default" w:ascii="Times New Roman" w:hAnsi="Times New Roman" w:eastAsia="宋体" w:cs="Times New Roman"/>
          <w:sz w:val="24"/>
          <w:highlight w:val="none"/>
        </w:rPr>
        <w:t xml:space="preserve">投标人</w:t>
      </w:r>
      <w:r>
        <w:rPr>
          <w:rFonts w:hint="eastAsia" w:ascii="Times New Roman" w:hAnsi="Times New Roman" w:eastAsia="宋体" w:cs="Times New Roman"/>
          <w:sz w:val="24"/>
          <w:highlight w:val="none"/>
        </w:rPr>
        <w:t xml:space="preserve">需在《声明函》中逐一、</w:t>
      </w:r>
      <w:r>
        <w:rPr>
          <w:rFonts w:hint="default" w:ascii="Times New Roman" w:hAnsi="Times New Roman" w:eastAsia="宋体" w:cs="Times New Roman"/>
          <w:sz w:val="24"/>
          <w:highlight w:val="none"/>
        </w:rPr>
        <w:t xml:space="preserve">准确</w:t>
      </w:r>
      <w:r>
        <w:rPr>
          <w:rFonts w:hint="eastAsia" w:ascii="Times New Roman" w:hAnsi="Times New Roman" w:eastAsia="宋体" w:cs="Times New Roman"/>
          <w:sz w:val="24"/>
          <w:highlight w:val="none"/>
        </w:rPr>
        <w:t xml:space="preserve">填写产品名称、厂名、生产厂址三项信息（《声明函》中用删除线划除的地方无需填写），三</w:t>
      </w:r>
      <w:r>
        <w:rPr>
          <w:rFonts w:hint="default" w:ascii="Times New Roman" w:hAnsi="Times New Roman" w:eastAsia="宋体" w:cs="Times New Roman"/>
          <w:sz w:val="24"/>
          <w:highlight w:val="none"/>
        </w:rPr>
        <w:t xml:space="preserve">项信息中</w:t>
      </w:r>
      <w:r>
        <w:rPr>
          <w:rFonts w:hint="eastAsia" w:ascii="Times New Roman" w:hAnsi="Times New Roman" w:eastAsia="宋体" w:cs="Times New Roman"/>
          <w:sz w:val="24"/>
          <w:highlight w:val="none"/>
        </w:rPr>
        <w:t xml:space="preserve">任意一项未填写的视为该项产品不符合本国产品标准，不享受本国产品价格评审优惠。</w:t>
      </w:r>
      <w:r/>
    </w:p>
    <w:p>
      <w:pPr>
        <w:numPr>
          <w:ilvl w:val="2"/>
          <w:numId w:val="0"/>
        </w:numPr>
        <w:ind w:left="2035" w:hanging="90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.5 评标过程中，如发现供应商在《声明函》内容</w:t>
      </w:r>
      <w:r>
        <w:rPr>
          <w:rFonts w:hint="default" w:ascii="Times New Roman" w:hAnsi="Times New Roman" w:eastAsia="宋体" w:cs="Times New Roman"/>
          <w:sz w:val="24"/>
          <w:highlight w:val="none"/>
        </w:rPr>
        <w:t xml:space="preserve">含义不明确、同类事项与投</w:t>
      </w:r>
      <w:r>
        <w:rPr>
          <w:rFonts w:hint="eastAsia" w:ascii="Times New Roman" w:hAnsi="Times New Roman" w:eastAsia="宋体" w:cs="Times New Roman"/>
          <w:sz w:val="24"/>
          <w:highlight w:val="none"/>
        </w:rPr>
        <w:t xml:space="preserve">标</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响应</w:t>
      </w:r>
      <w:r>
        <w:rPr>
          <w:rFonts w:hint="default"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文件</w:t>
      </w:r>
      <w:r>
        <w:rPr>
          <w:rFonts w:hint="default" w:ascii="Times New Roman" w:hAnsi="Times New Roman" w:eastAsia="宋体" w:cs="Times New Roman"/>
          <w:sz w:val="24"/>
          <w:highlight w:val="none"/>
        </w:rPr>
        <w:t xml:space="preserve">表述不一致或者有</w:t>
      </w:r>
      <w:r>
        <w:rPr>
          <w:rFonts w:hint="eastAsia" w:ascii="Times New Roman" w:hAnsi="Times New Roman" w:eastAsia="宋体" w:cs="Times New Roman"/>
          <w:sz w:val="24"/>
          <w:highlight w:val="none"/>
        </w:rPr>
        <w:t xml:space="preserve">明显</w:t>
      </w:r>
      <w:r>
        <w:rPr>
          <w:rFonts w:hint="default" w:ascii="Times New Roman" w:hAnsi="Times New Roman" w:eastAsia="宋体" w:cs="Times New Roman"/>
          <w:sz w:val="24"/>
          <w:highlight w:val="none"/>
        </w:rPr>
        <w:t xml:space="preserve">文字错误等情况的</w:t>
      </w:r>
      <w:r>
        <w:rPr>
          <w:rFonts w:hint="eastAsia" w:ascii="Times New Roman" w:hAnsi="Times New Roman" w:eastAsia="宋体" w:cs="Times New Roman"/>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0"/>
        </w:numPr>
        <w:ind w:firstLine="480"/>
        <w:spacing w:line="360" w:lineRule="auto"/>
        <w:tabs>
          <w:tab w:val="left" w:pos="1080" w:leader="none"/>
          <w:tab w:val="left" w:pos="1589" w:leader="none"/>
          <w:tab w:val="left" w:pos="2035" w:leader="none"/>
        </w:tabs>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8"/>
        <w:ind w:firstLine="720"/>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2.4.7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投标文件的比较和评价</w:t>
      </w:r>
      <w:bookmarkEnd w:id="766"/>
      <w:r/>
      <w:bookmarkEnd w:id="767"/>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评标委员会将按照采购文件中规定的评标方法和标准，对符合性审查合格的投标文件进行商务和技术评估，综合比较与评价；未通过符合性审查的投标文件不得进入比较与评价。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本项目采用的评标方法为：综合评分法，指投标文件满足采购文件全部实质性要求，且按照评审因素的量化指标评审得分最高的供应商为中标候选人的评标方法，见《评标标准》，采购文件中没有规定的评标标准不得作为评审的依据。</w:t>
      </w:r>
      <w:r/>
    </w:p>
    <w:p>
      <w:pPr>
        <w:numPr>
          <w:ilvl w:val="2"/>
          <w:numId w:val="13"/>
        </w:numPr>
        <w:ind w:left="2035"/>
        <w:spacing w:line="360" w:lineRule="auto"/>
        <w:tabs>
          <w:tab w:val="left" w:pos="1080" w:leader="none"/>
          <w:tab w:val="left" w:pos="1589" w:leader="none"/>
          <w:tab w:val="left" w:pos="2035" w:leader="none"/>
        </w:tabs>
        <w:rPr>
          <w:rFonts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详见评分细则</w:t>
      </w:r>
      <w:r>
        <w:rPr>
          <w:rFonts w:hint="eastAsia" w:ascii="宋体" w:hAnsi="宋体" w:cs="宋体"/>
          <w:color w:val="000000"/>
          <w:sz w:val="24"/>
          <w:highlight w:val="none"/>
        </w:rPr>
        <w:t xml:space="preserve">。</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确定</w:t>
      </w:r>
      <w:bookmarkStart w:id="783" w:name="_Toc150774646"/>
      <w:r/>
      <w:bookmarkStart w:id="784" w:name="_Toc150774751"/>
      <w:r/>
      <w:bookmarkStart w:id="785" w:name="_Ref467307010"/>
      <w:r/>
      <w:bookmarkStart w:id="786" w:name="_Toc305158888"/>
      <w:r/>
      <w:bookmarkStart w:id="787" w:name="_Toc226965736"/>
      <w:r/>
      <w:bookmarkStart w:id="788" w:name="_Toc127151747"/>
      <w:r/>
      <w:bookmarkStart w:id="789" w:name="_Toc164229241"/>
      <w:r/>
      <w:bookmarkStart w:id="790" w:name="_Toc127151546"/>
      <w:r/>
      <w:bookmarkStart w:id="791" w:name="_Toc164229387"/>
      <w:r/>
      <w:bookmarkStart w:id="792" w:name="_Toc265228384"/>
      <w:r/>
      <w:bookmarkStart w:id="793" w:name="_Toc151193716"/>
      <w:r/>
      <w:bookmarkStart w:id="794" w:name="_Toc164608660"/>
      <w:r/>
      <w:bookmarkStart w:id="795" w:name="_Toc305158814"/>
      <w:r/>
      <w:bookmarkStart w:id="796" w:name="_Toc520356170"/>
      <w:r/>
      <w:bookmarkStart w:id="797" w:name="_Toc164608815"/>
      <w:r/>
      <w:bookmarkStart w:id="798" w:name="_Toc164351640"/>
      <w:r/>
      <w:bookmarkStart w:id="799" w:name="_Toc127161460"/>
      <w:r/>
      <w:bookmarkStart w:id="800" w:name="_Toc151193934"/>
      <w:r/>
      <w:bookmarkStart w:id="801" w:name="_Toc151193788"/>
      <w:r/>
      <w:bookmarkStart w:id="802" w:name="_Toc149720839"/>
      <w:r/>
      <w:bookmarkStart w:id="803" w:name="_Toc226337242"/>
      <w:r/>
      <w:bookmarkStart w:id="804" w:name="_Toc151190173"/>
      <w:r/>
      <w:bookmarkStart w:id="805" w:name="_Toc226309790"/>
      <w:r/>
      <w:bookmarkStart w:id="806" w:name="_Toc151193860"/>
      <w:r/>
      <w:bookmarkStart w:id="807" w:name="_Toc195842911"/>
      <w:r/>
      <w:bookmarkStart w:id="808" w:name="_Toc151193644"/>
      <w:r/>
      <w:bookmarkStart w:id="809" w:name="_Toc226965819"/>
      <w:r/>
      <w:bookmarkStart w:id="810" w:name="_Toc150480784"/>
      <w:r/>
      <w:bookmarkStart w:id="811" w:name="_Toc264969236"/>
      <w:r/>
      <w:bookmarkStart w:id="812" w:name="_Toc150509297"/>
      <w:r/>
      <w:bookmarkStart w:id="813" w:name="_Toc142311048"/>
      <w:r>
        <w:rPr>
          <w:rFonts w:hint="eastAsia" w:ascii="宋体" w:hAnsi="宋体" w:cs="宋体"/>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ind w:left="993" w:firstLine="136"/>
        <w:jc w:val="both"/>
        <w:spacing w:line="360" w:lineRule="auto"/>
        <w:widowControl w:val="off"/>
        <w:tabs>
          <w:tab w:val="left" w:pos="900" w:leader="none"/>
          <w:tab w:val="left" w:pos="2127" w:leader="none"/>
        </w:tabs>
        <w:rPr>
          <w:rFonts w:ascii="Times New Roman" w:hAnsi="Times New Roman" w:eastAsia="宋体" w:cs="Times New Roman"/>
          <w:sz w:val="24"/>
          <w:highlight w:val="none"/>
        </w:rPr>
      </w:pPr>
      <w:r>
        <w:rPr>
          <w:rFonts w:hint="eastAsia"/>
          <w:sz w:val="24"/>
          <w:highlight w:val="none"/>
          <w:lang w:val="en-US" w:eastAsia="zh-CN"/>
        </w:rPr>
        <w:t xml:space="preserve">4.1</w:t>
      </w:r>
      <w:r>
        <w:rPr>
          <w:rFonts w:ascii="Times New Roman" w:hAnsi="Times New Roman" w:eastAsia="宋体" w:cs="Times New Roman"/>
          <w:sz w:val="24"/>
          <w:highlight w:val="none"/>
        </w:rPr>
        <w:t xml:space="preserve">采用综合评分法时，</w:t>
      </w:r>
      <w:r>
        <w:rPr>
          <w:rFonts w:hint="eastAsia" w:ascii="Times New Roman" w:hAnsi="Times New Roman" w:eastAsia="宋体" w:cs="Times New Roman"/>
          <w:sz w:val="24"/>
          <w:highlight w:val="none"/>
          <w:lang w:val="en-US" w:eastAsia="zh-CN"/>
        </w:rPr>
        <w:t xml:space="preserve">同一采购包中，</w:t>
      </w:r>
      <w:r>
        <w:rPr>
          <w:rFonts w:ascii="Times New Roman" w:hAnsi="Times New Roman" w:eastAsia="宋体" w:cs="Times New Roman"/>
          <w:sz w:val="24"/>
          <w:highlight w:val="none"/>
        </w:rPr>
        <w:t xml:space="preserve">提供相同品牌产品（核心产品品牌</w:t>
      </w:r>
      <w:r/>
    </w:p>
    <w:p>
      <w:pPr>
        <w:numPr>
          <w:ilvl w:val="1"/>
          <w:numId w:val="0"/>
        </w:numPr>
        <w:spacing w:line="360" w:lineRule="auto"/>
        <w:tabs>
          <w:tab w:val="left" w:pos="1080" w:leader="none"/>
        </w:tabs>
        <w:rPr>
          <w:rFonts w:hint="eastAsia" w:ascii="宋体" w:hAnsi="宋体" w:eastAsia="宋体" w:cs="宋体"/>
          <w:color w:val="000000"/>
          <w:sz w:val="24"/>
          <w:highlight w:val="none"/>
          <w:lang w:eastAsia="zh-CN"/>
        </w:rPr>
      </w:pPr>
      <w:r>
        <w:rPr>
          <w:rFonts w:ascii="Times New Roman" w:hAnsi="Times New Roman" w:eastAsia="宋体" w:cs="Times New Roman"/>
          <w:sz w:val="24"/>
          <w:highlight w:val="none"/>
        </w:rPr>
        <w:t xml:space="preserve">相同）且通过资格审查、符合性审查的不同投标人参加同一合同项下投标的，按一家投标人计算，评审后得分最高的同品牌投标人获得中标人推荐资格</w:t>
      </w:r>
      <w:r>
        <w:rPr>
          <w:rFonts w:hint="eastAsia" w:ascii="Times New Roman" w:hAnsi="Times New Roman" w:eastAsia="宋体" w:cs="Times New Roman"/>
          <w:sz w:val="24"/>
          <w:highlight w:val="none"/>
          <w:lang w:eastAsia="zh-CN"/>
        </w:rPr>
        <w:t xml:space="preserve">；</w:t>
      </w:r>
      <w:r>
        <w:rPr>
          <w:rFonts w:hint="eastAsia" w:ascii="宋体" w:hAnsi="宋体" w:cs="宋体"/>
          <w:color w:val="000000"/>
          <w:sz w:val="24"/>
          <w:highlight w:val="none"/>
        </w:rPr>
        <w:t xml:space="preserve">如得分相同的，按投标报价由低到高顺序获得中标人推荐资格。如得分相同，报价相同，则由采购人抽签获得中标人推荐资格。</w:t>
      </w:r>
      <w:r/>
    </w:p>
    <w:p>
      <w:pPr>
        <w:numPr>
          <w:ilvl w:val="1"/>
          <w:numId w:val="0"/>
        </w:numPr>
        <w:ind w:left="1077" w:hanging="720"/>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4.2</w:t>
      </w:r>
      <w:r>
        <w:rPr>
          <w:rFonts w:hint="default" w:ascii="Times New Roman" w:hAnsi="Times New Roman" w:eastAsia="宋体" w:cs="Times New Roman"/>
          <w:sz w:val="24"/>
          <w:highlight w:val="none"/>
        </w:rPr>
        <w:t xml:space="preserve">采用综合评分法时，</w:t>
      </w:r>
      <w:r>
        <w:rPr>
          <w:rFonts w:hint="eastAsia" w:ascii="宋体" w:hAnsi="宋体" w:cs="宋体"/>
          <w:color w:val="000000"/>
          <w:sz w:val="24"/>
          <w:highlight w:val="none"/>
        </w:rPr>
        <w:t xml:space="preserve">由评标委员会对所有有效投标文件进行详细的评分，采用</w:t>
      </w:r>
      <w:r/>
    </w:p>
    <w:p>
      <w:pPr>
        <w:numPr>
          <w:ilvl w:val="1"/>
          <w:numId w:val="0"/>
        </w:numPr>
        <w:spacing w:line="360" w:lineRule="auto"/>
        <w:tabs>
          <w:tab w:val="left" w:pos="1080" w:leader="none"/>
        </w:tabs>
        <w:rPr>
          <w:rFonts w:hint="default" w:ascii="Times New Roman" w:hAnsi="Times New Roman" w:eastAsia="宋体" w:cs="Times New Roman"/>
          <w:sz w:val="24"/>
          <w:highlight w:val="none"/>
        </w:rPr>
      </w:pPr>
      <w:r>
        <w:rPr>
          <w:rFonts w:hint="eastAsia" w:ascii="宋体" w:hAnsi="宋体" w:cs="宋体"/>
          <w:color w:val="000000"/>
          <w:sz w:val="24"/>
          <w:highlight w:val="none"/>
        </w:rPr>
        <w:t xml:space="preserve">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w:t>
      </w:r>
      <w:r/>
    </w:p>
    <w:p>
      <w:pPr>
        <w:numPr>
          <w:ilvl w:val="0"/>
          <w:numId w:val="0"/>
        </w:numPr>
        <w:ind w:left="357"/>
        <w:spacing w:line="360" w:lineRule="auto"/>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4.3</w:t>
      </w:r>
      <w:r>
        <w:rPr>
          <w:rFonts w:hint="eastAsia" w:ascii="宋体" w:hAnsi="宋体" w:cs="宋体"/>
          <w:color w:val="000000"/>
          <w:sz w:val="24"/>
          <w:highlight w:val="none"/>
        </w:rPr>
        <w:t xml:space="preserve">评标委员会要对评分汇总情况进行复核，特别是对排名第一的、报价最低的、</w:t>
      </w:r>
      <w:r/>
    </w:p>
    <w:p>
      <w:pPr>
        <w:numPr>
          <w:ilvl w:val="0"/>
          <w:numId w:val="0"/>
        </w:num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投标或投标文件被认定为无效的情形进行重点复核。</w:t>
      </w:r>
      <w:r/>
    </w:p>
    <w:p>
      <w:pPr>
        <w:numPr>
          <w:ilvl w:val="0"/>
          <w:numId w:val="0"/>
        </w:numPr>
        <w:ind w:left="357"/>
        <w:spacing w:line="360" w:lineRule="auto"/>
        <w:tabs>
          <w:tab w:val="left" w:pos="1080" w:leader="none"/>
        </w:tabs>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4.4评标委员会将根据各投标人的评标排序，依次推荐本项目（各采购包）的中标</w:t>
      </w:r>
      <w:r/>
    </w:p>
    <w:p>
      <w:pPr>
        <w:numPr>
          <w:ilvl w:val="0"/>
          <w:numId w:val="0"/>
        </w:numPr>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lang w:val="en-US" w:eastAsia="zh-CN"/>
        </w:rPr>
        <w:t xml:space="preserve">候选人，起草并签署评标报告。本项目（各采购包）评标委员会共（各）推荐不少于3名中标候选人。</w:t>
      </w:r>
      <w:r/>
    </w:p>
    <w:p>
      <w:pPr>
        <w:numPr>
          <w:ilvl w:val="0"/>
          <w:numId w:val="13"/>
        </w:numPr>
        <w:spacing w:line="360" w:lineRule="auto"/>
        <w:tabs>
          <w:tab w:val="left" w:pos="360" w:leader="none"/>
        </w:tabs>
        <w:rPr>
          <w:rFonts w:ascii="宋体" w:hAnsi="宋体" w:cs="宋体"/>
          <w:color w:val="000000"/>
          <w:sz w:val="24"/>
          <w:highlight w:val="none"/>
        </w:rPr>
        <w:outlineLvl w:val="1"/>
      </w:pPr>
      <w:r>
        <w:rPr>
          <w:rFonts w:hint="eastAsia" w:ascii="宋体" w:hAnsi="宋体" w:cs="宋体"/>
          <w:color w:val="000000"/>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评标委员会在评标过程中发现供应商有行贿、提供虚假材料或者串通等违法行为时，有向采购人、采购代理机构或者有关部门报告的职责。</w:t>
      </w:r>
      <w:r/>
    </w:p>
    <w:p>
      <w:pPr>
        <w:jc w:val="center"/>
        <w:widowControl/>
        <w:rPr>
          <w:rFonts w:ascii="宋体" w:hAnsi="宋体" w:cs="宋体"/>
          <w:b/>
          <w:color w:val="000000"/>
          <w:highlight w:val="none"/>
        </w:rPr>
      </w:pPr>
      <w:r>
        <w:rPr>
          <w:rFonts w:hint="eastAsia" w:ascii="宋体" w:hAnsi="宋体" w:cs="宋体"/>
          <w:b/>
          <w:color w:val="000000"/>
          <w:sz w:val="24"/>
          <w:highlight w:val="none"/>
        </w:rPr>
        <w:br w:type="page" w:clear="all"/>
      </w:r>
      <w:r>
        <w:rPr>
          <w:rFonts w:hint="eastAsia" w:ascii="宋体" w:hAnsi="宋体" w:cs="宋体"/>
          <w:b/>
          <w:color w:val="000000"/>
          <w:sz w:val="24"/>
          <w:highlight w:val="none"/>
        </w:rPr>
        <w:t xml:space="preserve">二、评标标准</w:t>
      </w:r>
      <w:r/>
    </w:p>
    <w:p>
      <w:pPr>
        <w:ind w:firstLine="480"/>
        <w:spacing w:line="360" w:lineRule="auto"/>
        <w:tabs>
          <w:tab w:val="left" w:pos="360" w:leader="none"/>
          <w:tab w:val="left" w:pos="900" w:leader="none"/>
          <w:tab w:val="left" w:pos="10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综合评分法，由评标委员会对所有有效投标文件进行详细的评分，采用百分制计分方法。评标时，评标委员会各成员遵循公平、公正、择优原则，独立对每个有效供应商的投标文件进行评价、打分，各个供应商的最终得分为汇总计算所有评标委员会成员所评定分值的平均值（保留2位小数）。评标委员会按评审后最终综合得分由高到低顺序排列名次，并推荐第一中标候选供应商。如得分相同的，按投标报价由低到高顺序推荐成第一中标候选供应商。如得分相同，报价相同，则由采购人抽签确定第一中标候选供应商。评分细则如下：</w:t>
      </w:r>
      <w:r/>
    </w:p>
    <w:p>
      <w:pPr>
        <w:pStyle w:val="928"/>
        <w:rPr>
          <w:rFonts w:hint="default" w:eastAsia="宋体"/>
          <w:highlight w:val="none"/>
          <w:lang w:val="en-US" w:eastAsia="zh-CN"/>
        </w:rPr>
      </w:pPr>
      <w:r>
        <w:rPr>
          <w:rFonts w:hint="eastAsia" w:cs="宋体"/>
          <w:color w:val="000000"/>
          <w:sz w:val="24"/>
          <w:highlight w:val="none"/>
          <w:lang w:val="en-US" w:eastAsia="zh-CN"/>
        </w:rPr>
        <w:t xml:space="preserve">采购包1：</w:t>
      </w:r>
      <w:r/>
    </w:p>
    <w:tbl>
      <w:tblPr>
        <w:tblStyle w:val="904"/>
        <w:tblW w:w="9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839"/>
        <w:gridCol w:w="590"/>
        <w:gridCol w:w="713"/>
        <w:gridCol w:w="4220"/>
        <w:gridCol w:w="2306"/>
      </w:tblGrid>
      <w:tr>
        <w:trPr>
          <w:cantSplit/>
          <w:tblHeader/>
        </w:trPr>
        <w:tc>
          <w:tcPr>
            <w:tcW w:w="741"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序号</w:t>
            </w:r>
            <w:r/>
          </w:p>
        </w:tc>
        <w:tc>
          <w:tcPr>
            <w:gridSpan w:val="2"/>
            <w:tcW w:w="1429"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评分因素</w:t>
            </w:r>
            <w:r/>
          </w:p>
        </w:tc>
        <w:tc>
          <w:tcPr>
            <w:tcW w:w="713"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分值</w:t>
            </w:r>
            <w:r/>
          </w:p>
        </w:tc>
        <w:tc>
          <w:tcPr>
            <w:tcW w:w="4220" w:type="dxa"/>
            <w:vAlign w:val="center"/>
            <w:textDirection w:val="lrTb"/>
            <w:noWrap w:val="false"/>
          </w:tcPr>
          <w:p>
            <w:pPr>
              <w:ind w:firstLine="28"/>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 xml:space="preserve">评分标准</w:t>
            </w:r>
            <w:r/>
          </w:p>
        </w:tc>
        <w:tc>
          <w:tcPr>
            <w:tcW w:w="2306" w:type="dxa"/>
            <w:vAlign w:val="center"/>
            <w:textDirection w:val="lrTb"/>
            <w:noWrap w:val="false"/>
          </w:tcPr>
          <w:p>
            <w:pPr>
              <w:jc w:val="center"/>
              <w:spacing w:before="0" w:after="0" w:line="240" w:lineRule="auto"/>
              <w:widowControl w:val="off"/>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说明</w:t>
            </w:r>
            <w:r/>
          </w:p>
        </w:tc>
      </w:tr>
      <w:tr>
        <w:trPr>
          <w:cantSplit/>
          <w:trHeight w:val="631"/>
        </w:trPr>
        <w:tc>
          <w:tcPr>
            <w:tcW w:w="741"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gridSpan w:val="2"/>
            <w:tcW w:w="1429"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价格分</w:t>
            </w:r>
            <w:r/>
          </w:p>
        </w:tc>
        <w:tc>
          <w:tcPr>
            <w:tcW w:w="713" w:type="dxa"/>
            <w:vAlign w:val="center"/>
            <w:textDirection w:val="lrTb"/>
            <w:noWrap w:val="false"/>
          </w:tcPr>
          <w:p>
            <w:pPr>
              <w:ind w:firstLine="28"/>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W w:w="4220"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满足招标文件要求且投标价格最低的投标报价为评标基准价，其价格分为满分。其他投标人的价格分统一按照下列公式计算：</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投标报价得分＝（评标基准价/投标报价）×分值。</w:t>
            </w:r>
            <w:r/>
          </w:p>
        </w:tc>
        <w:tc>
          <w:tcPr>
            <w:tcW w:w="2306" w:type="dxa"/>
            <w:vAlign w:val="center"/>
            <w:textDirection w:val="lrTb"/>
            <w:noWrap w:val="false"/>
          </w:tcPr>
          <w:p>
            <w:pPr>
              <w:ind w:left="-38"/>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Pr>
        <w:tc>
          <w:tcPr>
            <w:tcW w:w="741"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gridSpan w:val="2"/>
            <w:tcW w:w="142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主观</w:t>
            </w:r>
            <w:r>
              <w:rPr>
                <w:rFonts w:hint="eastAsia" w:ascii="宋体" w:hAnsi="宋体" w:eastAsia="宋体" w:cs="宋体"/>
                <w:sz w:val="24"/>
                <w:szCs w:val="24"/>
                <w:highlight w:val="none"/>
              </w:rPr>
              <w:t xml:space="preserve">分</w:t>
            </w:r>
            <w:r/>
          </w:p>
        </w:tc>
        <w:tc>
          <w:tcPr>
            <w:tcW w:w="713"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50</w:t>
            </w:r>
            <w:r/>
          </w:p>
        </w:tc>
        <w:tc>
          <w:tcPr>
            <w:tcW w:w="422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30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2.1</w:t>
            </w:r>
            <w:r/>
          </w:p>
        </w:tc>
        <w:tc>
          <w:tcPr>
            <w:gridSpan w:val="2"/>
            <w:tcW w:w="14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b w:val="0"/>
                <w:bCs w:val="0"/>
                <w:i w:val="0"/>
                <w:iCs w:val="0"/>
                <w:color w:val="000000"/>
                <w:sz w:val="24"/>
                <w:szCs w:val="24"/>
                <w:highlight w:val="none"/>
                <w:u w:val="none"/>
                <w:lang w:val="en-US" w:eastAsia="zh-CN" w:bidi="ar"/>
              </w:rPr>
              <w:t xml:space="preserve">硅PU面层铺设方案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sz w:val="24"/>
                <w:szCs w:val="24"/>
                <w:highlight w:val="none"/>
                <w:lang w:val="en-US" w:eastAsia="zh-CN"/>
              </w:rPr>
              <w:t xml:space="preserve">10</w:t>
            </w:r>
            <w:r/>
          </w:p>
        </w:tc>
        <w:tc>
          <w:tcPr>
            <w:tcW w:w="4220"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b w:val="0"/>
                <w:bCs w:val="0"/>
                <w:i w:val="0"/>
                <w:iCs w:val="0"/>
                <w:color w:val="000000"/>
                <w:sz w:val="24"/>
                <w:szCs w:val="24"/>
                <w:highlight w:val="none"/>
                <w:u w:val="none"/>
                <w:lang w:val="en-US" w:eastAsia="zh-CN" w:bidi="ar"/>
              </w:rPr>
              <w:t xml:space="preserve">硅PU球场面层铺设方案</w:t>
            </w:r>
            <w:r>
              <w:rPr>
                <w:rFonts w:hint="eastAsia" w:ascii="宋体" w:hAnsi="宋体" w:eastAsia="宋体" w:cs="宋体"/>
                <w:color w:val="auto"/>
                <w:sz w:val="24"/>
                <w:szCs w:val="24"/>
                <w:highlight w:val="none"/>
                <w:lang w:val="en-US" w:eastAsia="zh-CN"/>
              </w:rPr>
              <w:t xml:space="preserve">进行评分，内容须包含：</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防水底漆、缓冲层和加强层、面漆、球场划线等制作工艺</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、安全、环境</w:t>
            </w:r>
            <w:r>
              <w:rPr>
                <w:rFonts w:hint="eastAsia" w:ascii="宋体" w:hAnsi="宋体" w:eastAsia="宋体" w:cs="宋体"/>
                <w:color w:val="auto"/>
                <w:sz w:val="24"/>
                <w:szCs w:val="24"/>
                <w:highlight w:val="none"/>
                <w:lang w:val="en-US" w:eastAsia="zh-CN"/>
              </w:rPr>
              <w:t xml:space="preserve">管理措施</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②各场地深化设计方案及不同功能区的色彩设计</w:t>
            </w:r>
            <w:r/>
          </w:p>
          <w:p>
            <w:pPr>
              <w:spacing w:line="240" w:lineRule="auto"/>
              <w:rPr>
                <w:rFonts w:hint="eastAsia" w:ascii="宋体" w:hAnsi="宋体" w:eastAsia="宋体" w:cs="宋体"/>
                <w:color w:val="000000"/>
                <w:sz w:val="24"/>
                <w:szCs w:val="24"/>
                <w:highlight w:val="none"/>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10</w:t>
            </w:r>
            <w:r>
              <w:rPr>
                <w:rFonts w:hint="eastAsia"/>
                <w:color w:val="auto"/>
                <w:sz w:val="24"/>
                <w:highlight w:val="none"/>
              </w:rPr>
              <w:t xml:space="preserve">分，每缺少一项内容扣</w:t>
            </w:r>
            <w:r>
              <w:rPr>
                <w:rFonts w:hint="eastAsia"/>
                <w:color w:val="auto"/>
                <w:sz w:val="24"/>
                <w:highlight w:val="none"/>
                <w:lang w:val="en-US" w:eastAsia="zh-CN"/>
              </w:rPr>
              <w:t xml:space="preserve">5</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1</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2.2</w:t>
            </w:r>
            <w:r/>
          </w:p>
        </w:tc>
        <w:tc>
          <w:tcPr>
            <w:gridSpan w:val="2"/>
            <w:tcW w:w="1429"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框架式球场围网</w:t>
            </w:r>
            <w:r>
              <w:rPr>
                <w:rFonts w:hint="eastAsia" w:ascii="宋体" w:hAnsi="宋体" w:cs="宋体"/>
                <w:color w:val="auto"/>
                <w:sz w:val="24"/>
                <w:szCs w:val="24"/>
                <w:highlight w:val="none"/>
                <w:lang w:val="en-US" w:eastAsia="zh-CN"/>
              </w:rPr>
              <w:t xml:space="preserve">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10</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b w:val="0"/>
                <w:bCs w:val="0"/>
                <w:i w:val="0"/>
                <w:iCs w:val="0"/>
                <w:color w:val="000000"/>
                <w:sz w:val="24"/>
                <w:szCs w:val="24"/>
                <w:highlight w:val="none"/>
                <w:u w:val="none"/>
                <w:lang w:val="en-US" w:eastAsia="zh-CN" w:bidi="ar"/>
              </w:rPr>
              <w:t xml:space="preserve">框架式球场围网方案</w:t>
            </w:r>
            <w:r>
              <w:rPr>
                <w:rFonts w:hint="eastAsia" w:ascii="宋体" w:hAnsi="宋体" w:eastAsia="宋体" w:cs="宋体"/>
                <w:color w:val="auto"/>
                <w:sz w:val="24"/>
                <w:szCs w:val="24"/>
                <w:highlight w:val="none"/>
                <w:lang w:val="en-US" w:eastAsia="zh-CN"/>
              </w:rPr>
              <w:t xml:space="preserve">进行评分，内容须包含：</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原材料配备</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、安全、环境</w:t>
            </w:r>
            <w:r>
              <w:rPr>
                <w:rFonts w:hint="eastAsia" w:ascii="宋体" w:hAnsi="宋体" w:eastAsia="宋体" w:cs="宋体"/>
                <w:color w:val="auto"/>
                <w:sz w:val="24"/>
                <w:szCs w:val="24"/>
                <w:highlight w:val="none"/>
                <w:lang w:val="en-US" w:eastAsia="zh-CN"/>
              </w:rPr>
              <w:t xml:space="preserve">管理措施</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②各场地</w:t>
            </w:r>
            <w:r>
              <w:rPr>
                <w:rFonts w:hint="eastAsia" w:ascii="宋体" w:hAnsi="宋体" w:cs="宋体"/>
                <w:color w:val="auto"/>
                <w:sz w:val="24"/>
                <w:szCs w:val="24"/>
                <w:highlight w:val="none"/>
                <w:lang w:val="en-US" w:eastAsia="zh-CN"/>
              </w:rPr>
              <w:t xml:space="preserve">围网</w:t>
            </w:r>
            <w:r>
              <w:rPr>
                <w:rFonts w:hint="eastAsia" w:ascii="宋体" w:hAnsi="宋体" w:eastAsia="宋体" w:cs="宋体"/>
                <w:color w:val="auto"/>
                <w:sz w:val="24"/>
                <w:szCs w:val="24"/>
                <w:highlight w:val="none"/>
                <w:lang w:val="en-US" w:eastAsia="zh-CN"/>
              </w:rPr>
              <w:t xml:space="preserve">深化设计方案</w:t>
            </w:r>
            <w:r/>
          </w:p>
          <w:p>
            <w:pPr>
              <w:spacing w:line="240" w:lineRule="auto"/>
              <w:rPr>
                <w:rFonts w:hint="default" w:ascii="宋体" w:hAnsi="宋体" w:eastAsia="宋体" w:cs="宋体"/>
                <w:color w:val="000000"/>
                <w:sz w:val="24"/>
                <w:szCs w:val="24"/>
                <w:highlight w:val="none"/>
                <w:lang w:val="en-US" w:eastAsia="zh-CN" w:bidi="ar-SA"/>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10</w:t>
            </w:r>
            <w:r>
              <w:rPr>
                <w:rFonts w:hint="eastAsia"/>
                <w:color w:val="auto"/>
                <w:sz w:val="24"/>
                <w:highlight w:val="none"/>
              </w:rPr>
              <w:t xml:space="preserve">分，每缺少一项内容扣</w:t>
            </w:r>
            <w:r>
              <w:rPr>
                <w:rFonts w:hint="eastAsia"/>
                <w:color w:val="auto"/>
                <w:sz w:val="24"/>
                <w:highlight w:val="none"/>
                <w:lang w:val="en-US" w:eastAsia="zh-CN"/>
              </w:rPr>
              <w:t xml:space="preserve">5</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1</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p>
        </w:tc>
        <w:tc>
          <w:tcPr>
            <w:gridSpan w:val="2"/>
            <w:tcW w:w="1429"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球场LED灯光系统</w:t>
            </w:r>
            <w:r>
              <w:rPr>
                <w:rFonts w:hint="eastAsia" w:ascii="宋体" w:hAnsi="宋体" w:cs="宋体"/>
                <w:color w:val="auto"/>
                <w:sz w:val="24"/>
                <w:szCs w:val="24"/>
                <w:highlight w:val="none"/>
                <w:lang w:val="en-US" w:eastAsia="zh-CN"/>
              </w:rPr>
              <w:t xml:space="preserve">及标志标牌设计</w:t>
            </w:r>
            <w:r>
              <w:rPr>
                <w:rFonts w:hint="eastAsia" w:ascii="宋体" w:hAnsi="宋体" w:eastAsia="宋体" w:cs="宋体"/>
                <w:color w:val="auto"/>
                <w:sz w:val="24"/>
                <w:szCs w:val="24"/>
                <w:highlight w:val="none"/>
                <w:lang w:val="en-US" w:eastAsia="zh-CN"/>
              </w:rPr>
              <w:t xml:space="preserve">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根据投标单位对本项目的球场LED灯光系统及标志标牌设计方案进行评分，内容须包含：</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原材料配备</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质量</w:t>
            </w:r>
            <w:r>
              <w:rPr>
                <w:rFonts w:hint="eastAsia" w:ascii="宋体" w:hAnsi="宋体" w:cs="宋体"/>
                <w:color w:val="auto"/>
                <w:sz w:val="24"/>
                <w:szCs w:val="24"/>
                <w:highlight w:val="none"/>
                <w:lang w:val="en-US" w:eastAsia="zh-CN"/>
              </w:rPr>
              <w:t xml:space="preserve">管理、用电安全措施</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②安装技术措施（含灯光点位分布）</w:t>
            </w:r>
            <w:r>
              <w:rPr>
                <w:rFonts w:hint="eastAsia" w:ascii="宋体" w:hAnsi="宋体" w:cs="宋体"/>
                <w:color w:val="auto"/>
                <w:sz w:val="24"/>
                <w:szCs w:val="24"/>
                <w:highlight w:val="none"/>
                <w:lang w:val="en-US" w:eastAsia="zh-CN"/>
              </w:rPr>
              <w:t xml:space="preserve">及各场地标志标牌设计方案</w:t>
            </w:r>
            <w:r/>
          </w:p>
          <w:p>
            <w:pPr>
              <w:spacing w:line="240" w:lineRule="auto"/>
              <w:rPr>
                <w:rFonts w:hint="eastAsia" w:ascii="宋体" w:hAnsi="宋体" w:eastAsia="宋体" w:cs="宋体"/>
                <w:color w:val="auto"/>
                <w:sz w:val="24"/>
                <w:szCs w:val="24"/>
                <w:highlight w:val="none"/>
                <w:lang w:val="en-US" w:eastAsia="zh-CN"/>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②</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6</w:t>
            </w:r>
            <w:r>
              <w:rPr>
                <w:rFonts w:hint="eastAsia"/>
                <w:color w:val="auto"/>
                <w:sz w:val="24"/>
                <w:highlight w:val="none"/>
              </w:rPr>
              <w:t xml:space="preserve">分，每缺少一项内容扣</w:t>
            </w:r>
            <w:r>
              <w:rPr>
                <w:rFonts w:hint="eastAsia"/>
                <w:color w:val="auto"/>
                <w:sz w:val="24"/>
                <w:highlight w:val="none"/>
                <w:lang w:val="en-US" w:eastAsia="zh-CN"/>
              </w:rPr>
              <w:t xml:space="preserve">3</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1</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w:t>
            </w:r>
            <w:r/>
          </w:p>
        </w:tc>
        <w:tc>
          <w:tcPr>
            <w:gridSpan w:val="2"/>
            <w:tcW w:w="1429" w:type="dxa"/>
            <w:vAlign w:val="center"/>
            <w:textDirection w:val="lrTb"/>
            <w:noWrap w:val="false"/>
          </w:tcPr>
          <w:p>
            <w:pPr>
              <w:ind w:firstLine="28"/>
              <w:jc w:val="cente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供货方案（</w:t>
            </w:r>
            <w:r>
              <w:rPr>
                <w:rFonts w:hint="eastAsia" w:ascii="宋体" w:hAnsi="宋体" w:eastAsia="宋体" w:cs="宋体"/>
                <w:b w:val="0"/>
                <w:bCs w:val="0"/>
                <w:i w:val="0"/>
                <w:iCs w:val="0"/>
                <w:color w:val="000000"/>
                <w:sz w:val="24"/>
                <w:szCs w:val="24"/>
                <w:highlight w:val="none"/>
                <w:u w:val="none"/>
                <w:lang w:val="en-US" w:eastAsia="zh-CN" w:bidi="ar"/>
              </w:rPr>
              <w:t xml:space="preserve">篮球架、足球门、门球门等设施设备</w:t>
            </w:r>
            <w:r>
              <w:rPr>
                <w:rFonts w:hint="eastAsia" w:ascii="宋体" w:hAnsi="宋体" w:eastAsia="宋体" w:cs="宋体"/>
                <w:color w:val="auto"/>
                <w:sz w:val="24"/>
                <w:szCs w:val="24"/>
                <w:highlight w:val="none"/>
                <w:lang w:val="en-US" w:eastAsia="zh-CN"/>
              </w:rPr>
              <w:t xml:space="preserve">）</w:t>
            </w:r>
            <w:r/>
          </w:p>
        </w:tc>
        <w:tc>
          <w:tcPr>
            <w:tcW w:w="713"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6</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highlight w:val="none"/>
                <w:lang w:val="en-US" w:eastAsia="zh-CN"/>
              </w:rPr>
              <w:t xml:space="preserve">供货方案（</w:t>
            </w:r>
            <w:r>
              <w:rPr>
                <w:rFonts w:hint="eastAsia" w:ascii="宋体" w:hAnsi="宋体" w:eastAsia="宋体" w:cs="宋体"/>
                <w:b w:val="0"/>
                <w:bCs w:val="0"/>
                <w:i w:val="0"/>
                <w:iCs w:val="0"/>
                <w:color w:val="000000"/>
                <w:sz w:val="24"/>
                <w:szCs w:val="24"/>
                <w:highlight w:val="none"/>
                <w:u w:val="none"/>
                <w:lang w:val="en-US" w:eastAsia="zh-CN" w:bidi="ar"/>
              </w:rPr>
              <w:t xml:space="preserve">篮球架、足球门、门球门等设施设备</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进行评分，内容须包含：</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供货计划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包装运输方案</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②质量保证措施</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③应急预案等</w:t>
            </w:r>
            <w:r/>
          </w:p>
          <w:p>
            <w:pPr>
              <w:spacing w:line="240" w:lineRule="auto"/>
              <w:rPr>
                <w:rFonts w:hint="eastAsia" w:ascii="宋体" w:hAnsi="宋体" w:eastAsia="宋体" w:cs="宋体"/>
                <w:b/>
                <w:bCs/>
                <w:color w:val="auto"/>
                <w:sz w:val="24"/>
                <w:szCs w:val="24"/>
                <w:highlight w:val="none"/>
                <w:lang w:val="en-US" w:eastAsia="zh-CN"/>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③</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6</w:t>
            </w:r>
            <w:r>
              <w:rPr>
                <w:rFonts w:hint="eastAsia"/>
                <w:color w:val="auto"/>
                <w:sz w:val="24"/>
                <w:highlight w:val="none"/>
              </w:rPr>
              <w:t xml:space="preserve">分，每缺少一项内容扣</w:t>
            </w:r>
            <w:r>
              <w:rPr>
                <w:rFonts w:hint="eastAsia" w:eastAsia="宋体"/>
                <w:color w:val="auto"/>
                <w:sz w:val="24"/>
                <w:highlight w:val="none"/>
                <w:lang w:val="en-US" w:eastAsia="zh-CN"/>
              </w:rPr>
              <w:t xml:space="preserve">2</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0.5</w:t>
            </w:r>
            <w:r>
              <w:rPr>
                <w:rFonts w:hint="eastAsia"/>
                <w:color w:val="auto"/>
                <w:sz w:val="24"/>
                <w:highlight w:val="none"/>
              </w:rPr>
              <w:t xml:space="preserve">分，扣完为止。未提供不得分。</w:t>
            </w:r>
            <w:r/>
          </w:p>
        </w:tc>
        <w:tc>
          <w:tcPr>
            <w:tcW w:w="2306" w:type="dxa"/>
            <w:vAlign w:val="center"/>
            <w:textDirection w:val="lrTb"/>
            <w:noWrap w:val="false"/>
          </w:tcPr>
          <w:p>
            <w:pPr>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tc>
      </w:tr>
      <w:tr>
        <w:trPr>
          <w:cantSplit/>
          <w:trHeight w:val="90"/>
        </w:trPr>
        <w:tc>
          <w:tcPr>
            <w:tcW w:w="741"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2.5</w:t>
            </w:r>
            <w:r/>
          </w:p>
        </w:tc>
        <w:tc>
          <w:tcPr>
            <w:gridSpan w:val="2"/>
            <w:tcW w:w="1429" w:type="dxa"/>
            <w:vAlign w:val="center"/>
            <w:textDirection w:val="lrTb"/>
            <w:noWrap w:val="false"/>
          </w:tcPr>
          <w:p>
            <w:pPr>
              <w:ind w:firstLine="28"/>
              <w:jc w:val="center"/>
              <w:spacing w:line="24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 xml:space="preserve">保养维护、维修方案</w:t>
            </w:r>
            <w:r/>
          </w:p>
        </w:tc>
        <w:tc>
          <w:tcPr>
            <w:tcW w:w="713" w:type="dxa"/>
            <w:vAlign w:val="center"/>
            <w:textDirection w:val="lrTb"/>
            <w:noWrap w:val="false"/>
          </w:tcPr>
          <w:p>
            <w:pPr>
              <w:ind w:firstLine="28"/>
              <w:jc w:val="center"/>
              <w:spacing w:line="240" w:lineRule="auto"/>
              <w:rPr>
                <w:rFonts w:hint="default" w:ascii="宋体" w:hAnsi="宋体" w:eastAsia="宋体" w:cs="宋体"/>
                <w:color w:val="ff0000"/>
                <w:sz w:val="24"/>
                <w:szCs w:val="24"/>
                <w:highlight w:val="none"/>
                <w:lang w:val="en-US"/>
              </w:rPr>
            </w:pPr>
            <w:r>
              <w:rPr>
                <w:rFonts w:hint="eastAsia" w:ascii="宋体" w:hAnsi="宋体" w:cs="宋体"/>
                <w:sz w:val="24"/>
                <w:szCs w:val="24"/>
                <w:highlight w:val="none"/>
                <w:lang w:val="en-US" w:eastAsia="zh-CN"/>
              </w:rPr>
              <w:t xml:space="preserve">8</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根据投标单位对本项目的</w:t>
            </w:r>
            <w:r>
              <w:rPr>
                <w:rFonts w:hint="eastAsia" w:ascii="宋体" w:hAnsi="宋体" w:eastAsia="宋体" w:cs="宋体"/>
                <w:color w:val="auto"/>
                <w:sz w:val="24"/>
                <w:szCs w:val="24"/>
                <w:highlight w:val="none"/>
                <w:lang w:eastAsia="zh-CN"/>
              </w:rPr>
              <w:t xml:space="preserve">保养维护、维修方案</w:t>
            </w:r>
            <w:r>
              <w:rPr>
                <w:rFonts w:hint="eastAsia" w:ascii="宋体" w:hAnsi="宋体" w:eastAsia="宋体" w:cs="宋体"/>
                <w:color w:val="auto"/>
                <w:sz w:val="24"/>
                <w:szCs w:val="24"/>
                <w:highlight w:val="none"/>
                <w:lang w:val="en-US" w:eastAsia="zh-CN"/>
              </w:rPr>
              <w:t xml:space="preserve">进行评分，内容须包含：</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1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承诺的</w:t>
            </w:r>
            <w:r>
              <w:rPr>
                <w:rFonts w:hint="eastAsia" w:ascii="宋体" w:hAnsi="宋体" w:eastAsia="宋体" w:cs="宋体"/>
                <w:color w:val="auto"/>
                <w:sz w:val="24"/>
                <w:szCs w:val="24"/>
                <w:highlight w:val="none"/>
                <w:lang w:val="en-US" w:eastAsia="zh-CN"/>
              </w:rPr>
              <w:t xml:space="preserve">服务响应时间</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2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维修服务能力</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备品备件供应</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4 \* GB3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定期维护计划</w:t>
            </w:r>
            <w:r/>
          </w:p>
          <w:p>
            <w:pPr>
              <w:spacing w:line="240" w:lineRule="auto"/>
              <w:rPr>
                <w:rFonts w:hint="eastAsia" w:eastAsia="宋体"/>
                <w:highlight w:val="none"/>
              </w:rPr>
            </w:pPr>
            <w:r>
              <w:rPr>
                <w:rFonts w:hint="eastAsia"/>
                <w:color w:val="auto"/>
                <w:sz w:val="24"/>
                <w:highlight w:val="none"/>
              </w:rPr>
              <w:t xml:space="preserve">上述</w:t>
            </w:r>
            <w:r>
              <w:rPr>
                <w:rFonts w:hint="eastAsia" w:ascii="宋体" w:hAnsi="宋体" w:eastAsia="宋体" w:cs="Times New Roman"/>
                <w:color w:val="auto"/>
                <w:sz w:val="24"/>
                <w:szCs w:val="24"/>
                <w:highlight w:val="none"/>
                <w:lang w:val="en-US" w:eastAsia="zh-CN"/>
              </w:rPr>
              <w:t xml:space="preserve">①</w:t>
            </w:r>
            <w:r>
              <w:rPr>
                <w:rFonts w:hint="eastAsia" w:ascii="宋体" w:hAnsi="宋体" w:cs="Times New Roman"/>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④</w:t>
            </w:r>
            <w:r>
              <w:rPr>
                <w:rFonts w:hint="eastAsia"/>
                <w:color w:val="000000"/>
                <w:sz w:val="24"/>
                <w:highlight w:val="none"/>
              </w:rPr>
              <w:t xml:space="preserve">内</w:t>
            </w:r>
            <w:r>
              <w:rPr>
                <w:rFonts w:hint="eastAsia"/>
                <w:color w:val="auto"/>
                <w:sz w:val="24"/>
                <w:highlight w:val="none"/>
              </w:rPr>
              <w:t xml:space="preserve">容齐全且无缺陷（缺陷是指：内容所阐述的项目信息与本项目实际信息不一致、内容涉及的规范或标准错误、套用其他项目内容、内容与本项目无关、内容不利于项目实施、内容描述前后不一致</w:t>
            </w:r>
            <w:r>
              <w:rPr>
                <w:rFonts w:hint="eastAsia"/>
                <w:color w:val="000000"/>
                <w:sz w:val="24"/>
                <w:highlight w:val="none"/>
              </w:rPr>
              <w:t xml:space="preserve">、</w:t>
            </w:r>
            <w:r>
              <w:rPr>
                <w:rFonts w:hint="eastAsia" w:eastAsia="宋体"/>
                <w:color w:val="000000"/>
                <w:sz w:val="24"/>
                <w:highlight w:val="none"/>
                <w:lang w:eastAsia="zh-CN"/>
              </w:rPr>
              <w:t xml:space="preserve">内容仅有框架或标题的任意一种情形</w:t>
            </w:r>
            <w:r>
              <w:rPr>
                <w:rFonts w:hint="eastAsia"/>
                <w:color w:val="000000"/>
                <w:sz w:val="24"/>
                <w:highlight w:val="none"/>
              </w:rPr>
              <w:t xml:space="preserve">）</w:t>
            </w:r>
            <w:r>
              <w:rPr>
                <w:rFonts w:hint="eastAsia"/>
                <w:color w:val="auto"/>
                <w:sz w:val="24"/>
                <w:highlight w:val="none"/>
              </w:rPr>
              <w:t xml:space="preserve">的得</w:t>
            </w:r>
            <w:r>
              <w:rPr>
                <w:rFonts w:hint="eastAsia"/>
                <w:color w:val="auto"/>
                <w:sz w:val="24"/>
                <w:highlight w:val="none"/>
                <w:lang w:val="en-US" w:eastAsia="zh-CN"/>
              </w:rPr>
              <w:t xml:space="preserve">8</w:t>
            </w:r>
            <w:r>
              <w:rPr>
                <w:rFonts w:hint="eastAsia"/>
                <w:color w:val="auto"/>
                <w:sz w:val="24"/>
                <w:highlight w:val="none"/>
              </w:rPr>
              <w:t xml:space="preserve">分，每缺少一项内容扣</w:t>
            </w:r>
            <w:r>
              <w:rPr>
                <w:rFonts w:hint="eastAsia" w:eastAsia="宋体"/>
                <w:color w:val="auto"/>
                <w:sz w:val="24"/>
                <w:highlight w:val="none"/>
                <w:lang w:val="en-US" w:eastAsia="zh-CN"/>
              </w:rPr>
              <w:t xml:space="preserve">2</w:t>
            </w:r>
            <w:r>
              <w:rPr>
                <w:rFonts w:hint="eastAsia"/>
                <w:color w:val="auto"/>
                <w:sz w:val="24"/>
                <w:highlight w:val="none"/>
              </w:rPr>
              <w:t xml:space="preserve">分，扣完为止；每存在一处缺陷扣</w:t>
            </w:r>
            <w:r>
              <w:rPr>
                <w:rFonts w:hint="eastAsia"/>
                <w:color w:val="auto"/>
                <w:sz w:val="24"/>
                <w:highlight w:val="none"/>
                <w:lang w:val="en-US" w:eastAsia="zh-CN"/>
              </w:rPr>
              <w:t xml:space="preserve">0.5</w:t>
            </w:r>
            <w:r>
              <w:rPr>
                <w:rFonts w:hint="eastAsia"/>
                <w:color w:val="auto"/>
                <w:sz w:val="24"/>
                <w:highlight w:val="none"/>
              </w:rPr>
              <w:t xml:space="preserve">分，扣完为止。未提供不得分。</w:t>
            </w:r>
            <w:r/>
          </w:p>
        </w:tc>
        <w:tc>
          <w:tcPr>
            <w:tcW w:w="2306" w:type="dxa"/>
            <w:vAlign w:val="center"/>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2.6</w:t>
            </w:r>
            <w:r/>
          </w:p>
        </w:tc>
        <w:tc>
          <w:tcPr>
            <w:tcBorders>
              <w:right w:val="single" w:color="auto" w:sz="4" w:space="0"/>
            </w:tcBorders>
            <w:tcW w:w="839" w:type="dxa"/>
            <w:vAlign w:val="center"/>
            <w:vMerge w:val="restart"/>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样品</w:t>
            </w:r>
            <w:r/>
          </w:p>
        </w:tc>
        <w:tc>
          <w:tcPr>
            <w:tcBorders>
              <w:left w:val="single" w:color="auto" w:sz="4" w:space="0"/>
            </w:tcBorders>
            <w:tcW w:w="590" w:type="dxa"/>
            <w:vAlign w:val="center"/>
            <w:textDirection w:val="lrTb"/>
            <w:noWrap w:val="false"/>
          </w:tcPr>
          <w:p>
            <w:pPr>
              <w:ind w:firstLine="28"/>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硅PU面层</w:t>
            </w:r>
            <w:r/>
          </w:p>
        </w:tc>
        <w:tc>
          <w:tcPr>
            <w:tcW w:w="713"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对“硅PU面层”小样的颜色均匀度、厚度及厚度均匀度、面层粗糙度（网球场粗糙度高，排球、羽毛球场要润滑，篮球场取中值）、外表面平坦度、有无脱层和气泡现象、耐磨耐刮程度（以非锋利性硬物如钥匙、如火机等硬塑在外表刮划，合格的产品应不受损害或无颗粒脱落）、有无明显异味进行评价。</w:t>
            </w:r>
            <w:r>
              <w:rPr>
                <w:rFonts w:hint="eastAsia" w:ascii="宋体" w:hAnsi="宋体" w:eastAsia="宋体" w:cs="宋体"/>
                <w:sz w:val="24"/>
                <w:szCs w:val="24"/>
                <w:highlight w:val="none"/>
                <w:lang w:val="en-US" w:eastAsia="zh-CN"/>
              </w:rPr>
              <w:t xml:space="preserve">样品全面合理符合采购需求的得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306" w:type="dxa"/>
            <w:vAlign w:val="center"/>
            <w:vMerge w:val="restart"/>
            <w:textDirection w:val="lrTb"/>
            <w:noWrap w:val="false"/>
          </w:tcPr>
          <w:p>
            <w:pPr>
              <w:ind w:left="-38"/>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注：1、投标供应商应做好样品标识封样工作，样品不能出现制造厂或投标供应商的标志、标记，否则不得分。 2、各投标供应商的样品由工作人员进行编号登记，评委以编号为单位进行独立评审。</w:t>
            </w:r>
            <w:r>
              <w:rPr>
                <w:rFonts w:hint="eastAsia" w:ascii="Times New Roman" w:hAnsi="Times New Roman" w:eastAsia="宋体" w:cs="Times New Roman"/>
                <w:sz w:val="24"/>
                <w:highlight w:val="none"/>
                <w:lang w:val="en-US" w:eastAsia="zh-CN"/>
              </w:rPr>
              <w:t xml:space="preserve">      3、未提供样品不得分。</w:t>
            </w:r>
            <w:r/>
          </w:p>
          <w:p>
            <w:pPr>
              <w:ind w:left="-38"/>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90"/>
        </w:trPr>
        <w:tc>
          <w:tcPr>
            <w:tcW w:w="741" w:type="dxa"/>
            <w:vAlign w:val="center"/>
            <w:textDirection w:val="lrTb"/>
            <w:noWrap w:val="false"/>
          </w:tcPr>
          <w:p>
            <w:pPr>
              <w:ind w:firstLine="0"/>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2.7</w:t>
            </w:r>
            <w:r/>
          </w:p>
        </w:tc>
        <w:tc>
          <w:tcPr>
            <w:tcBorders>
              <w:right w:val="single" w:color="auto" w:sz="4" w:space="0"/>
            </w:tcBorders>
            <w:tcW w:w="839" w:type="dxa"/>
            <w:vAlign w:val="center"/>
            <w:vMerge w:val="continue"/>
            <w:textDirection w:val="lrTb"/>
            <w:noWrap w:val="false"/>
          </w:tcPr>
          <w:p>
            <w:pPr>
              <w:ind w:firstLine="28"/>
              <w:jc w:val="center"/>
              <w:spacing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left w:val="single" w:color="auto" w:sz="4" w:space="0"/>
            </w:tcBorders>
            <w:tcW w:w="590" w:type="dxa"/>
            <w:vAlign w:val="center"/>
            <w:textDirection w:val="lrTb"/>
            <w:noWrap w:val="false"/>
          </w:tcPr>
          <w:p>
            <w:pPr>
              <w:ind w:firstLine="28"/>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框架式球场围网</w:t>
            </w:r>
            <w:r/>
          </w:p>
        </w:tc>
        <w:tc>
          <w:tcPr>
            <w:tcW w:w="713"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4220" w:type="dxa"/>
            <w:vAlign w:val="center"/>
            <w:textDirection w:val="lrTb"/>
            <w:noWrap w:val="false"/>
          </w:tcPr>
          <w:p>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对“框架式球场围网”小样的制作工艺（各部位螺钉、螺母紧固件应紧固且防锈防松，勾花网或链式网，包塑网片丝浸塑处理）、结构牢固性、围网平整度、焊接质量牢固焊点光滑、防腐处理、网孔大小（50mm，不应存在对手指的卡夹），立柱和横梁（网框）材质、立柱壁厚、横梁（网框）直径，网丝的材质和直径、表面是否光滑细腻、是否有锐角或毛刺、面层涂料厚度是否均匀（面层涂料有无起泡、开裂、脱皮）、</w:t>
            </w:r>
            <w:r>
              <w:rPr>
                <w:rFonts w:hint="default" w:ascii="宋体" w:hAnsi="宋体" w:eastAsia="宋体" w:cs="宋体"/>
                <w:color w:val="000000"/>
                <w:spacing w:val="-2"/>
                <w:sz w:val="24"/>
                <w:szCs w:val="24"/>
                <w:highlight w:val="none"/>
                <w:lang w:val="en-US" w:eastAsia="en-US" w:bidi="ar-SA"/>
              </w:rPr>
              <w:t xml:space="preserve">面层</w:t>
            </w:r>
            <w:r>
              <w:rPr>
                <w:rFonts w:hint="default" w:ascii="宋体" w:hAnsi="宋体" w:eastAsia="宋体" w:cs="宋体"/>
                <w:color w:val="000000"/>
                <w:spacing w:val="-1"/>
                <w:sz w:val="24"/>
                <w:szCs w:val="24"/>
                <w:highlight w:val="none"/>
                <w:lang w:val="en-US" w:eastAsia="en-US" w:bidi="ar-SA"/>
              </w:rPr>
              <w:t xml:space="preserve">涂料颜色（墨绿色）</w:t>
            </w:r>
            <w:r>
              <w:rPr>
                <w:rFonts w:hint="eastAsia" w:ascii="宋体" w:hAnsi="宋体" w:eastAsia="宋体" w:cs="宋体"/>
                <w:color w:val="auto"/>
                <w:sz w:val="24"/>
                <w:szCs w:val="24"/>
                <w:highlight w:val="none"/>
                <w:lang w:val="en-US" w:eastAsia="zh-CN"/>
              </w:rPr>
              <w:t xml:space="preserve">进行评价。</w:t>
            </w:r>
            <w:r>
              <w:rPr>
                <w:rFonts w:hint="eastAsia" w:ascii="宋体" w:hAnsi="宋体" w:eastAsia="宋体" w:cs="宋体"/>
                <w:sz w:val="24"/>
                <w:szCs w:val="24"/>
                <w:highlight w:val="none"/>
                <w:lang w:val="en-US" w:eastAsia="zh-CN"/>
              </w:rPr>
              <w:t xml:space="preserve">样品全面合理符合采购需求的得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306" w:type="dxa"/>
            <w:vAlign w:val="center"/>
            <w:vMerge w:val="continue"/>
            <w:textDirection w:val="lrTb"/>
            <w:noWrap w:val="false"/>
          </w:tcPr>
          <w:p>
            <w:pPr>
              <w:jc w:val="lef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r>
            <w:r/>
          </w:p>
        </w:tc>
      </w:tr>
      <w:tr>
        <w:trPr>
          <w:cantSplit/>
          <w:trHeight w:val="196"/>
        </w:trPr>
        <w:tc>
          <w:tcPr>
            <w:tcW w:w="741" w:type="dxa"/>
            <w:vAlign w:val="center"/>
            <w:textDirection w:val="lrTb"/>
            <w:noWrap w:val="false"/>
          </w:tcPr>
          <w:p>
            <w:pPr>
              <w:ind w:firstLine="28"/>
              <w:jc w:val="center"/>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gridSpan w:val="2"/>
            <w:tcW w:w="1429" w:type="dxa"/>
            <w:vAlign w:val="center"/>
            <w:textDirection w:val="lrTb"/>
            <w:noWrap w:val="false"/>
          </w:tcPr>
          <w:p>
            <w:pPr>
              <w:ind w:firstLine="28"/>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客观</w:t>
            </w:r>
            <w:r>
              <w:rPr>
                <w:rFonts w:hint="eastAsia" w:ascii="宋体" w:hAnsi="宋体" w:eastAsia="宋体" w:cs="宋体"/>
                <w:sz w:val="24"/>
                <w:szCs w:val="24"/>
                <w:highlight w:val="none"/>
              </w:rPr>
              <w:t xml:space="preserve">分</w:t>
            </w:r>
            <w:r/>
          </w:p>
        </w:tc>
        <w:tc>
          <w:tcPr>
            <w:tcW w:w="713" w:type="dxa"/>
            <w:vAlign w:val="center"/>
            <w:textDirection w:val="lrTb"/>
            <w:noWrap w:val="false"/>
          </w:tcPr>
          <w:p>
            <w:pPr>
              <w:ind w:firstLine="28"/>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20</w:t>
            </w:r>
            <w:r/>
          </w:p>
        </w:tc>
        <w:tc>
          <w:tcPr>
            <w:tcW w:w="4220" w:type="dxa"/>
            <w:vAlign w:val="center"/>
            <w:textDirection w:val="lrTb"/>
            <w:noWrap w:val="false"/>
          </w:tcPr>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2306" w:type="dxa"/>
            <w:vAlign w:val="center"/>
            <w:textDirection w:val="lrTb"/>
            <w:noWrap w:val="false"/>
          </w:tcPr>
          <w:p>
            <w:pPr>
              <w:ind w:left="-38"/>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r>
            <w:r/>
          </w:p>
        </w:tc>
      </w:tr>
      <w:tr>
        <w:trPr>
          <w:cantSplit/>
          <w:trHeight w:val="158"/>
        </w:trPr>
        <w:tc>
          <w:tcPr>
            <w:tcW w:w="741"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3.1</w:t>
            </w:r>
            <w:r/>
          </w:p>
        </w:tc>
        <w:tc>
          <w:tcPr>
            <w:gridSpan w:val="2"/>
            <w:shd w:val="clear" w:color="auto" w:fill="auto"/>
            <w:tcW w:w="1429" w:type="dxa"/>
            <w:vAlign w:val="center"/>
            <w:textDirection w:val="lrTb"/>
            <w:noWrap w:val="false"/>
          </w:tcPr>
          <w:p>
            <w:pPr>
              <w:ind w:firstLine="28"/>
              <w:jc w:val="cente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类似业绩</w:t>
            </w:r>
            <w:r/>
          </w:p>
        </w:tc>
        <w:tc>
          <w:tcPr>
            <w:shd w:val="clear" w:color="auto" w:fill="auto"/>
            <w:tcW w:w="713" w:type="dxa"/>
            <w:vAlign w:val="center"/>
            <w:textDirection w:val="lrTb"/>
            <w:noWrap w:val="false"/>
          </w:tcPr>
          <w:p>
            <w:pPr>
              <w:jc w:val="center"/>
              <w:spacing w:line="240" w:lineRule="auto"/>
              <w:rPr>
                <w:rFonts w:hint="default" w:ascii="宋体" w:hAnsi="宋体" w:eastAsia="宋体" w:cs="宋体"/>
                <w:sz w:val="24"/>
                <w:szCs w:val="24"/>
                <w:highlight w:val="none"/>
                <w:lang w:val="en-US" w:eastAsia="zh-CN" w:bidi="ar-SA"/>
              </w:rPr>
            </w:pPr>
            <w:r>
              <w:rPr>
                <w:rFonts w:hint="eastAsia" w:ascii="宋体" w:hAnsi="宋体" w:cs="宋体"/>
                <w:sz w:val="24"/>
                <w:highlight w:val="none"/>
                <w:lang w:val="en-US" w:eastAsia="zh-CN"/>
              </w:rPr>
              <w:t xml:space="preserve">10</w:t>
            </w:r>
            <w:r/>
          </w:p>
        </w:tc>
        <w:tc>
          <w:tcPr>
            <w:shd w:val="clear" w:color="auto" w:fill="auto"/>
            <w:tcW w:w="4220" w:type="dxa"/>
            <w:vAlign w:val="center"/>
            <w:textDirection w:val="lrTb"/>
            <w:noWrap w:val="false"/>
          </w:tcPr>
          <w:p>
            <w:pPr>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投标供应商自2023年9月1日以来具有类似项目业绩的，有一个得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分，最高得</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t xml:space="preserve">分。 </w:t>
            </w:r>
            <w:r/>
          </w:p>
        </w:tc>
        <w:tc>
          <w:tcPr>
            <w:tcW w:w="2306" w:type="dxa"/>
            <w:vAlign w:val="center"/>
            <w:textDirection w:val="lrTb"/>
            <w:noWrap w:val="false"/>
          </w:tcPr>
          <w:p>
            <w:pPr>
              <w:rPr>
                <w:rFonts w:hint="eastAsia" w:ascii="宋体" w:hAnsi="宋体" w:eastAsia="宋体" w:cs="宋体"/>
                <w:b/>
                <w:bCs/>
                <w:color w:val="000000"/>
                <w:sz w:val="24"/>
                <w:highlight w:val="none"/>
              </w:rPr>
            </w:pPr>
            <w:r>
              <w:rPr>
                <w:rFonts w:hint="eastAsia" w:ascii="宋体" w:hAnsi="宋体" w:cs="宋体"/>
                <w:b/>
                <w:color w:val="000000"/>
                <w:sz w:val="24"/>
                <w:highlight w:val="none"/>
              </w:rPr>
              <w:t xml:space="preserve">须提供合同</w:t>
            </w:r>
            <w:r>
              <w:rPr>
                <w:rFonts w:hint="eastAsia" w:ascii="宋体" w:hAnsi="宋体" w:cs="宋体"/>
                <w:b/>
                <w:color w:val="000000"/>
                <w:sz w:val="24"/>
                <w:highlight w:val="none"/>
                <w:lang w:val="en-US" w:eastAsia="zh-CN"/>
              </w:rPr>
              <w:t xml:space="preserve">以及</w:t>
            </w:r>
            <w:r>
              <w:rPr>
                <w:rFonts w:hint="eastAsia" w:ascii="宋体" w:hAnsi="宋体" w:eastAsia="宋体" w:cs="宋体"/>
                <w:b/>
                <w:color w:val="000000"/>
                <w:sz w:val="24"/>
                <w:highlight w:val="none"/>
                <w:lang w:val="en-US" w:eastAsia="zh-CN"/>
              </w:rPr>
              <w:t xml:space="preserve">合同价款部分发票</w:t>
            </w:r>
            <w:r>
              <w:rPr>
                <w:rFonts w:hint="eastAsia" w:ascii="宋体" w:hAnsi="宋体" w:cs="宋体"/>
                <w:b/>
                <w:color w:val="000000"/>
                <w:sz w:val="24"/>
                <w:highlight w:val="none"/>
              </w:rPr>
              <w:t xml:space="preserve">，时间以合同签订时间为准，不提供不得分。</w:t>
            </w:r>
            <w:r/>
          </w:p>
        </w:tc>
      </w:tr>
      <w:tr>
        <w:trPr>
          <w:cantSplit/>
          <w:trHeight w:val="158"/>
        </w:trPr>
        <w:tc>
          <w:tcPr>
            <w:tcW w:w="741" w:type="dxa"/>
            <w:vAlign w:val="center"/>
            <w:textDirection w:val="lrTb"/>
            <w:noWrap w:val="false"/>
          </w:tcPr>
          <w:p>
            <w:pPr>
              <w:ind w:firstLine="28"/>
              <w:jc w:val="center"/>
              <w:spacing w:line="240" w:lineRule="auto"/>
              <w:rPr>
                <w:rFonts w:hint="default"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gridSpan w:val="2"/>
            <w:tcW w:w="1429" w:type="dxa"/>
            <w:vAlign w:val="center"/>
            <w:textDirection w:val="lrTb"/>
            <w:noWrap w:val="false"/>
          </w:tcPr>
          <w:p>
            <w:pPr>
              <w:jc w:val="center"/>
              <w:spacing w:line="360" w:lineRule="auto"/>
              <w:rPr>
                <w:rFonts w:hint="default" w:ascii="宋体" w:hAnsi="宋体" w:eastAsia="宋体" w:cs="宋体"/>
                <w:sz w:val="24"/>
                <w:szCs w:val="24"/>
                <w:highlight w:val="none"/>
                <w:lang w:val="en-US" w:eastAsia="zh-CN"/>
              </w:rPr>
            </w:pPr>
            <w:r>
              <w:rPr>
                <w:rFonts w:hint="eastAsia"/>
                <w:sz w:val="24"/>
                <w:highlight w:val="none"/>
              </w:rPr>
              <w:t xml:space="preserve">所投标产品生产厂家</w:t>
            </w:r>
            <w:r>
              <w:rPr>
                <w:rFonts w:hint="eastAsia" w:ascii="Times New Roman" w:eastAsia="宋体"/>
                <w:sz w:val="24"/>
                <w:highlight w:val="none"/>
                <w:lang w:val="en-US" w:eastAsia="zh-CN"/>
              </w:rPr>
              <w:t xml:space="preserve">履约</w:t>
            </w:r>
            <w:r>
              <w:rPr>
                <w:rFonts w:hint="eastAsia"/>
                <w:sz w:val="24"/>
                <w:highlight w:val="none"/>
              </w:rPr>
              <w:t xml:space="preserve">实力</w:t>
            </w:r>
            <w:r/>
          </w:p>
        </w:tc>
        <w:tc>
          <w:tcPr>
            <w:tcW w:w="713"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6</w:t>
            </w:r>
            <w:r/>
          </w:p>
        </w:tc>
        <w:tc>
          <w:tcPr>
            <w:tcW w:w="4220" w:type="dxa"/>
            <w:vAlign w:val="center"/>
            <w:textDirection w:val="lrTb"/>
            <w:noWrap w:val="false"/>
          </w:tcPr>
          <w:p>
            <w:pPr>
              <w:numPr>
                <w:ilvl w:val="1"/>
                <w:numId w:val="0"/>
              </w:numPr>
              <w:spacing w:line="360" w:lineRule="auto"/>
              <w:tabs>
                <w:tab w:val="left" w:pos="1080" w:leader="none"/>
              </w:tabs>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核心产品生产厂家具有有效的质量体系认证、环境管理体系认证、职业健康安全管理体系认证</w:t>
            </w:r>
            <w:r>
              <w:rPr>
                <w:rFonts w:hint="eastAsia" w:ascii="Times New Roman" w:hAnsi="Times New Roman" w:eastAsia="宋体" w:cs="Times New Roman"/>
                <w:sz w:val="24"/>
                <w:highlight w:val="none"/>
                <w:lang w:val="en-US" w:eastAsia="zh-CN"/>
              </w:rPr>
              <w:t xml:space="preserve">；每有一个得2分，本项最高6分。</w:t>
            </w:r>
            <w:r/>
          </w:p>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306" w:type="dxa"/>
            <w:vAlign w:val="center"/>
            <w:textDirection w:val="lrTb"/>
            <w:noWrap w:val="false"/>
          </w:tcPr>
          <w:p>
            <w:pPr>
              <w:rPr>
                <w:rFonts w:hint="eastAsia" w:ascii="宋体" w:hAnsi="宋体" w:eastAsia="宋体" w:cs="宋体"/>
                <w:b/>
                <w:bCs/>
                <w:sz w:val="24"/>
                <w:szCs w:val="24"/>
                <w:highlight w:val="none"/>
                <w:lang w:eastAsia="zh-CN"/>
              </w:rPr>
            </w:pPr>
            <w:r>
              <w:rPr>
                <w:rFonts w:hint="eastAsia" w:ascii="宋体" w:hAnsi="宋体" w:eastAsia="宋体" w:cs="宋体"/>
                <w:b/>
                <w:bCs/>
                <w:color w:val="000000"/>
                <w:sz w:val="24"/>
                <w:highlight w:val="none"/>
              </w:rPr>
              <w:t xml:space="preserve">须提供生产厂家的有效期内</w:t>
            </w:r>
            <w:r>
              <w:rPr>
                <w:rFonts w:hint="eastAsia" w:ascii="宋体" w:hAnsi="宋体" w:cs="宋体"/>
                <w:b/>
                <w:bCs/>
                <w:color w:val="000000"/>
                <w:sz w:val="24"/>
                <w:highlight w:val="none"/>
                <w:lang w:val="en-US" w:eastAsia="zh-CN"/>
              </w:rPr>
              <w:t xml:space="preserve">的</w:t>
            </w:r>
            <w:r>
              <w:rPr>
                <w:rFonts w:hint="eastAsia" w:ascii="宋体" w:hAnsi="宋体" w:eastAsia="宋体" w:cs="宋体"/>
                <w:b/>
                <w:bCs/>
                <w:color w:val="000000"/>
                <w:sz w:val="24"/>
                <w:highlight w:val="none"/>
              </w:rPr>
              <w:t xml:space="preserve">认证证书</w:t>
            </w:r>
            <w:r>
              <w:rPr>
                <w:rFonts w:hint="eastAsia" w:ascii="宋体" w:hAnsi="宋体" w:eastAsia="宋体" w:cs="宋体"/>
                <w:b/>
                <w:bCs/>
                <w:color w:val="000000"/>
                <w:sz w:val="24"/>
                <w:highlight w:val="none"/>
                <w:lang w:val="en-US" w:eastAsia="zh-CN"/>
              </w:rPr>
              <w:t xml:space="preserve">和</w:t>
            </w:r>
            <w:r>
              <w:rPr>
                <w:rFonts w:hint="eastAsia" w:ascii="宋体" w:hAnsi="宋体" w:eastAsia="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tc>
      </w:tr>
      <w:tr>
        <w:trPr>
          <w:cantSplit/>
          <w:trHeight w:val="662"/>
        </w:trPr>
        <w:tc>
          <w:tcPr>
            <w:tcW w:w="741" w:type="dxa"/>
            <w:vAlign w:val="center"/>
            <w:textDirection w:val="lrTb"/>
            <w:noWrap w:val="false"/>
          </w:tcPr>
          <w:p>
            <w:pPr>
              <w:ind w:firstLine="28"/>
              <w:jc w:val="center"/>
              <w:spacing w:line="24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3.3</w:t>
            </w:r>
            <w:r/>
          </w:p>
        </w:tc>
        <w:tc>
          <w:tcPr>
            <w:gridSpan w:val="2"/>
            <w:tcW w:w="1429"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Times New Roman" w:hAnsi="Times New Roman" w:eastAsia="宋体" w:cs="Times New Roman"/>
                <w:sz w:val="24"/>
                <w:highlight w:val="none"/>
              </w:rPr>
              <w:t xml:space="preserve">售后服务</w:t>
            </w:r>
            <w:r>
              <w:rPr>
                <w:rFonts w:hint="eastAsia" w:cs="Times New Roman"/>
                <w:sz w:val="24"/>
                <w:highlight w:val="none"/>
                <w:lang w:val="en-US" w:eastAsia="zh-CN"/>
              </w:rPr>
              <w:t xml:space="preserve">能力</w:t>
            </w:r>
            <w:r/>
          </w:p>
        </w:tc>
        <w:tc>
          <w:tcPr>
            <w:tcW w:w="713" w:type="dxa"/>
            <w:vAlign w:val="center"/>
            <w:textDirection w:val="lrTb"/>
            <w:noWrap w:val="false"/>
          </w:tcPr>
          <w:p>
            <w:pPr>
              <w:jc w:val="center"/>
              <w:spacing w:line="360" w:lineRule="auto"/>
              <w:rPr>
                <w:rFonts w:hint="eastAsia" w:ascii="宋体" w:hAnsi="宋体" w:eastAsia="宋体" w:cs="宋体"/>
                <w:sz w:val="24"/>
                <w:highlight w:val="none"/>
                <w:lang w:val="en-US" w:eastAsia="zh-CN"/>
              </w:rPr>
            </w:pPr>
            <w:r>
              <w:rPr>
                <w:rFonts w:hint="eastAsia" w:ascii="宋体" w:hAnsi="宋体" w:cs="宋体"/>
                <w:color w:val="000000"/>
                <w:sz w:val="24"/>
                <w:highlight w:val="none"/>
                <w:lang w:val="en-US" w:eastAsia="zh-CN"/>
              </w:rPr>
              <w:t xml:space="preserve">4</w:t>
            </w:r>
            <w:r/>
          </w:p>
        </w:tc>
        <w:tc>
          <w:tcPr>
            <w:tcW w:w="4220" w:type="dxa"/>
            <w:vAlign w:val="center"/>
            <w:textDirection w:val="lrTb"/>
            <w:noWrap w:val="false"/>
          </w:tcPr>
          <w:p>
            <w:pPr>
              <w:ind w:left="0" w:firstLine="0"/>
              <w:jc w:val="both"/>
              <w:widowControl w:val="off"/>
              <w:rPr>
                <w:rFonts w:hint="default" w:ascii="Calibri" w:hAnsi="Calibri" w:eastAsia="宋体" w:cs="Times New Roman"/>
                <w:sz w:val="21"/>
                <w:szCs w:val="22"/>
                <w:highlight w:val="none"/>
                <w:lang w:val="en-US" w:eastAsia="zh-CN" w:bidi="ar-SA"/>
              </w:rPr>
            </w:pPr>
            <w:r>
              <w:rPr>
                <w:rFonts w:hint="eastAsia" w:ascii="宋体" w:hAnsi="宋体" w:eastAsia="宋体" w:cs="宋体"/>
                <w:color w:val="000000"/>
                <w:sz w:val="24"/>
                <w:szCs w:val="22"/>
                <w:highlight w:val="none"/>
                <w:lang w:val="en-US" w:eastAsia="zh-CN" w:bidi="ar-SA"/>
              </w:rPr>
              <w:t xml:space="preserve">1、投标人或</w:t>
            </w:r>
            <w:r>
              <w:rPr>
                <w:rFonts w:hint="eastAsia" w:ascii="宋体" w:hAnsi="宋体" w:cs="宋体"/>
                <w:color w:val="000000"/>
                <w:sz w:val="24"/>
                <w:szCs w:val="22"/>
                <w:highlight w:val="none"/>
                <w:lang w:val="en-US" w:eastAsia="zh-CN" w:bidi="ar-SA"/>
              </w:rPr>
              <w:t xml:space="preserve">其委托的</w:t>
            </w:r>
            <w:r>
              <w:rPr>
                <w:rFonts w:hint="eastAsia" w:ascii="宋体" w:hAnsi="宋体" w:eastAsia="宋体" w:cs="宋体"/>
                <w:color w:val="000000"/>
                <w:sz w:val="24"/>
                <w:szCs w:val="22"/>
                <w:highlight w:val="none"/>
                <w:lang w:val="en-US" w:eastAsia="zh-CN" w:bidi="ar-SA"/>
              </w:rPr>
              <w:t xml:space="preserve">售后服务机构</w:t>
            </w:r>
            <w:r>
              <w:rPr>
                <w:rFonts w:hint="eastAsia" w:ascii="宋体" w:hAnsi="宋体" w:cs="宋体"/>
                <w:color w:val="000000"/>
                <w:sz w:val="24"/>
                <w:szCs w:val="22"/>
                <w:highlight w:val="none"/>
                <w:lang w:val="en-US" w:eastAsia="zh-CN" w:bidi="ar-SA"/>
              </w:rPr>
              <w:t xml:space="preserve">拟派</w:t>
            </w:r>
            <w:r>
              <w:rPr>
                <w:rFonts w:hint="eastAsia" w:ascii="宋体" w:hAnsi="宋体" w:eastAsia="宋体" w:cs="宋体"/>
                <w:color w:val="000000"/>
                <w:sz w:val="24"/>
                <w:szCs w:val="22"/>
                <w:highlight w:val="none"/>
                <w:lang w:val="en-US" w:eastAsia="zh-CN" w:bidi="ar-SA"/>
              </w:rPr>
              <w:t xml:space="preserve">巡检售后人员2人</w:t>
            </w:r>
            <w:r>
              <w:rPr>
                <w:rFonts w:hint="eastAsia" w:ascii="宋体" w:hAnsi="宋体" w:cs="宋体"/>
                <w:color w:val="000000"/>
                <w:sz w:val="24"/>
                <w:szCs w:val="22"/>
                <w:highlight w:val="none"/>
                <w:lang w:val="en-US" w:eastAsia="zh-CN" w:bidi="ar-SA"/>
              </w:rPr>
              <w:t xml:space="preserve">及以上</w:t>
            </w:r>
            <w:r>
              <w:rPr>
                <w:rFonts w:hint="eastAsia" w:ascii="宋体" w:hAnsi="宋体" w:eastAsia="宋体" w:cs="宋体"/>
                <w:color w:val="000000"/>
                <w:sz w:val="24"/>
                <w:szCs w:val="22"/>
                <w:highlight w:val="none"/>
                <w:lang w:val="en-US" w:eastAsia="zh-CN" w:bidi="ar-SA"/>
              </w:rPr>
              <w:t xml:space="preserve">的得2分。</w:t>
            </w:r>
            <w:r/>
          </w:p>
          <w:p>
            <w:pPr>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2、投标人或</w:t>
            </w:r>
            <w:r>
              <w:rPr>
                <w:rFonts w:hint="eastAsia" w:ascii="宋体" w:hAnsi="宋体" w:cs="宋体"/>
                <w:color w:val="000000"/>
                <w:sz w:val="24"/>
                <w:szCs w:val="22"/>
                <w:highlight w:val="none"/>
                <w:lang w:val="en-US" w:eastAsia="zh-CN" w:bidi="ar-SA"/>
              </w:rPr>
              <w:t xml:space="preserve">其委托的</w:t>
            </w:r>
            <w:r>
              <w:rPr>
                <w:rFonts w:hint="eastAsia" w:ascii="宋体" w:hAnsi="宋体" w:eastAsia="宋体" w:cs="宋体"/>
                <w:color w:val="000000"/>
                <w:sz w:val="24"/>
                <w:highlight w:val="none"/>
                <w:lang w:val="en-US" w:eastAsia="zh-CN"/>
              </w:rPr>
              <w:t xml:space="preserve">售后服务机构自有或租赁1辆售后服务车辆得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t xml:space="preserve">分。</w:t>
            </w:r>
            <w:r/>
          </w:p>
          <w:p>
            <w:pPr>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306" w:type="dxa"/>
            <w:vAlign w:val="center"/>
            <w:textDirection w:val="lrTb"/>
            <w:noWrap w:val="false"/>
          </w:tcPr>
          <w:p>
            <w:pPr>
              <w:ind w:left="0" w:firstLine="0"/>
              <w:jc w:val="both"/>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1、须提供投标人或其委托的售后服务机构为其巡检售后人员缴纳的近期养老保险证明及承诺书（格式自拟，但承诺书中须列明巡检售后人员名单及联系方式）</w:t>
            </w:r>
            <w:r/>
          </w:p>
          <w:p>
            <w:pPr>
              <w:ind w:left="0" w:firstLine="0"/>
              <w:jc w:val="both"/>
              <w:widowControl w:val="off"/>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color w:val="auto"/>
                <w:sz w:val="24"/>
                <w:szCs w:val="24"/>
                <w:highlight w:val="none"/>
                <w:lang w:val="en-US" w:eastAsia="zh-CN" w:bidi="ar-SA"/>
              </w:rPr>
              <w:t xml:space="preserve">若为售后服务机构还需提供投标人与售后服务机构签订的售后服务协议或授权书，</w:t>
            </w:r>
            <w:r>
              <w:rPr>
                <w:rFonts w:hint="eastAsia" w:ascii="宋体" w:hAnsi="宋体" w:eastAsia="宋体" w:cs="宋体"/>
                <w:b/>
                <w:color w:val="auto"/>
                <w:sz w:val="24"/>
                <w:szCs w:val="22"/>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color w:val="auto"/>
                <w:sz w:val="24"/>
                <w:szCs w:val="22"/>
                <w:highlight w:val="none"/>
                <w:lang w:val="en-US" w:eastAsia="zh-CN" w:bidi="ar-SA"/>
              </w:rPr>
              <w:t xml:space="preserve">2、须提供承诺书（格式自拟）、车辆权属登记证（或租赁合同）、行驶证；不提供不得分。</w:t>
            </w:r>
            <w:r/>
          </w:p>
          <w:p>
            <w:pPr>
              <w:ind w:firstLine="0"/>
              <w:jc w:val="both"/>
              <w:widowControl w:val="off"/>
              <w:rPr>
                <w:rFonts w:hint="eastAsia" w:ascii="宋体" w:hAnsi="宋体" w:cs="宋体"/>
                <w:b/>
                <w:color w:val="000000"/>
                <w:sz w:val="24"/>
                <w:highlight w:val="none"/>
              </w:rPr>
            </w:pPr>
            <w:r>
              <w:rPr>
                <w:rFonts w:hint="eastAsia" w:ascii="宋体" w:hAnsi="宋体" w:cs="宋体"/>
                <w:b/>
                <w:color w:val="000000"/>
                <w:sz w:val="24"/>
                <w:highlight w:val="none"/>
              </w:rPr>
            </w:r>
            <w:r/>
          </w:p>
        </w:tc>
      </w:tr>
      <w:tr>
        <w:trPr>
          <w:cantSplit/>
        </w:trPr>
        <w:tc>
          <w:tcPr>
            <w:gridSpan w:val="3"/>
            <w:tcW w:w="2170"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合计</w:t>
            </w:r>
            <w:r/>
          </w:p>
        </w:tc>
        <w:tc>
          <w:tcPr>
            <w:tcW w:w="713" w:type="dxa"/>
            <w:vAlign w:val="center"/>
            <w:textDirection w:val="lrTb"/>
            <w:noWrap w:val="false"/>
          </w:tcPr>
          <w:p>
            <w:pPr>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w:t>
            </w:r>
            <w:r/>
          </w:p>
        </w:tc>
        <w:tc>
          <w:tcPr>
            <w:gridSpan w:val="2"/>
            <w:tcW w:w="652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注：本项目评分细则中需要提供的相关证明材料由供应商自行提供，评审专家根据供应商提供的相关证明材料进行评审，相关证明材料的全面性、有效性、完整性、真实性由供应商自行负责。如发现供应商涉嫌资料造假等，采购人将取消其中标资格，并保留进一步追究其法律责任的权利。</w:t>
      </w:r>
      <w:r/>
    </w:p>
    <w:p>
      <w:pPr>
        <w:rPr>
          <w:rFonts w:hint="eastAsia" w:ascii="宋体" w:hAnsi="宋体" w:cs="宋体"/>
          <w:b/>
          <w:color w:val="000000"/>
          <w:sz w:val="24"/>
          <w:highlight w:val="none"/>
        </w:rPr>
      </w:pPr>
      <w:r>
        <w:rPr>
          <w:rFonts w:hint="eastAsia" w:ascii="宋体" w:hAnsi="宋体" w:cs="宋体"/>
          <w:b/>
          <w:color w:val="000000"/>
          <w:sz w:val="24"/>
          <w:highlight w:val="none"/>
        </w:rPr>
        <w:br w:type="page" w:clear="all"/>
      </w:r>
      <w:r/>
    </w:p>
    <w:p>
      <w:pPr>
        <w:jc w:val="left"/>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jc w:val="both"/>
        <w:spacing w:before="120" w:line="22" w:lineRule="atLeast"/>
        <w:widowControl w:val="off"/>
        <w:rPr>
          <w:rFonts w:hint="default" w:ascii="宋体" w:hAnsi="宋体" w:eastAsia="宋体" w:cs="Times New Roman"/>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采购包2：</w:t>
      </w:r>
      <w:r/>
    </w:p>
    <w:tbl>
      <w:tblPr>
        <w:tblStyle w:val="904"/>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rPr>
                <w:rFonts w:ascii="宋体" w:hAnsi="宋体" w:cs="宋体"/>
                <w:b/>
                <w:color w:val="000000"/>
                <w:sz w:val="24"/>
                <w:highlight w:val="none"/>
              </w:rPr>
            </w:pPr>
            <w:r/>
            <w:bookmarkStart w:id="814" w:name="_Toc99301424"/>
            <w:r>
              <w:rPr>
                <w:rFonts w:hint="eastAsia" w:ascii="宋体" w:hAnsi="宋体" w:cs="宋体"/>
                <w:b/>
                <w:color w:val="000000"/>
                <w:sz w:val="24"/>
                <w:highlight w:val="none"/>
              </w:rPr>
              <w:t xml:space="preserve">序号</w:t>
            </w:r>
            <w:r/>
          </w:p>
        </w:tc>
        <w:tc>
          <w:tcPr>
            <w:tcW w:w="1462"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评分因素</w:t>
            </w:r>
            <w:r/>
          </w:p>
        </w:tc>
        <w:tc>
          <w:tcPr>
            <w:tcW w:w="913"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分值</w:t>
            </w:r>
            <w:r/>
          </w:p>
        </w:tc>
        <w:tc>
          <w:tcPr>
            <w:tcW w:w="3978"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评分标准</w:t>
            </w:r>
            <w:r/>
          </w:p>
        </w:tc>
        <w:tc>
          <w:tcPr>
            <w:tcW w:w="2440" w:type="dxa"/>
            <w:vAlign w:val="center"/>
            <w:textDirection w:val="lrTb"/>
            <w:noWrap w:val="false"/>
          </w:tcPr>
          <w:p>
            <w:pPr>
              <w:pStyle w:val="1324"/>
              <w:spacing w:before="0" w:after="0" w:line="24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说明</w:t>
            </w:r>
            <w:r/>
          </w:p>
        </w:tc>
      </w:tr>
      <w:tr>
        <w:trPr>
          <w:trHeight w:val="631"/>
        </w:trPr>
        <w:tc>
          <w:tcPr>
            <w:tcW w:w="835" w:type="dxa"/>
            <w:vAlign w:val="center"/>
            <w:textDirection w:val="lrTb"/>
            <w:noWrap w:val="false"/>
          </w:tcPr>
          <w:p>
            <w:pPr>
              <w:ind w:firstLine="28"/>
              <w:jc w:val="center"/>
              <w:rPr>
                <w:rFonts w:ascii="宋体" w:hAnsi="宋体" w:cs="宋体"/>
                <w:b/>
                <w:color w:val="000000"/>
                <w:sz w:val="24"/>
                <w:highlight w:val="none"/>
              </w:rPr>
            </w:pPr>
            <w:r>
              <w:rPr>
                <w:rFonts w:hint="eastAsia" w:ascii="宋体" w:hAnsi="宋体" w:cs="宋体"/>
                <w:b/>
                <w:color w:val="000000"/>
                <w:sz w:val="24"/>
                <w:highlight w:val="none"/>
              </w:rPr>
              <w:t xml:space="preserve">1</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价格分</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30</w:t>
            </w:r>
            <w:r/>
          </w:p>
        </w:tc>
        <w:tc>
          <w:tcPr>
            <w:tcW w:w="3978" w:type="dxa"/>
            <w:vAlign w:val="center"/>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满足采购文件要求且投标价格最低的投标报价为评标基准价，其价格分为满分。其他供应商的价格分统一按照下列公式计算：</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投标报价得分＝（评标基准价/投标报价）×分值。</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主观分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rHeight w:val="2546"/>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w:t>
            </w:r>
            <w:r/>
          </w:p>
        </w:tc>
        <w:tc>
          <w:tcPr>
            <w:tcW w:w="1462" w:type="dxa"/>
            <w:vAlign w:val="center"/>
            <w:textDirection w:val="lrTb"/>
            <w:noWrap w:val="false"/>
          </w:tcPr>
          <w:p>
            <w:pPr>
              <w:jc w:val="center"/>
              <w:widowControl/>
              <w:rPr>
                <w:rFonts w:ascii="宋体" w:hAnsi="宋体" w:cs="宋体"/>
                <w:color w:val="000000"/>
                <w:sz w:val="24"/>
                <w:highlight w:val="none"/>
              </w:rPr>
            </w:pPr>
            <w:r>
              <w:rPr>
                <w:rFonts w:hint="eastAsia" w:ascii="宋体" w:hAnsi="宋体" w:cs="宋体"/>
                <w:sz w:val="24"/>
                <w:highlight w:val="none"/>
              </w:rPr>
              <w:t xml:space="preserve">实施方案</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sz w:val="24"/>
                <w:highlight w:val="none"/>
                <w:lang w:val="en-US" w:eastAsia="zh-CN"/>
              </w:rPr>
              <w:t xml:space="preserve">30</w:t>
            </w:r>
            <w:r/>
          </w:p>
        </w:tc>
        <w:tc>
          <w:tcPr>
            <w:tcW w:w="3978" w:type="dxa"/>
            <w:vAlign w:val="center"/>
            <w:textDirection w:val="lrTb"/>
            <w:noWrap w:val="false"/>
          </w:tcPr>
          <w:p>
            <w:pPr>
              <w:spacing w:line="360" w:lineRule="auto"/>
              <w:rPr>
                <w:rFonts w:ascii="宋体" w:hAnsi="宋体" w:cs="宋体"/>
                <w:sz w:val="24"/>
                <w:highlight w:val="none"/>
              </w:rPr>
            </w:pPr>
            <w:r>
              <w:rPr>
                <w:rFonts w:hint="eastAsia" w:ascii="宋体" w:hAnsi="宋体" w:cs="宋体"/>
                <w:sz w:val="24"/>
                <w:highlight w:val="none"/>
              </w:rPr>
              <w:t xml:space="preserve">供应商提供的实施方案，应包括：</w:t>
            </w:r>
            <w:r/>
          </w:p>
          <w:p>
            <w:pPr>
              <w:spacing w:line="360" w:lineRule="auto"/>
              <w:rPr>
                <w:rFonts w:ascii="宋体" w:hAnsi="宋体" w:cs="宋体"/>
                <w:sz w:val="24"/>
                <w:highlight w:val="none"/>
              </w:rPr>
            </w:pPr>
            <w:r>
              <w:rPr>
                <w:rFonts w:hint="eastAsia" w:ascii="宋体" w:hAnsi="宋体" w:cs="宋体"/>
                <w:sz w:val="24"/>
                <w:highlight w:val="none"/>
              </w:rPr>
              <w:t xml:space="preserve">①</w:t>
            </w:r>
            <w:r>
              <w:rPr>
                <w:rFonts w:hint="eastAsia"/>
                <w:sz w:val="24"/>
                <w:highlight w:val="none"/>
              </w:rPr>
              <w:t xml:space="preserve">生产</w:t>
            </w:r>
            <w:r>
              <w:rPr>
                <w:rFonts w:hint="eastAsia" w:ascii="Times New Roman" w:eastAsia="宋体"/>
                <w:sz w:val="24"/>
                <w:highlight w:val="none"/>
                <w:lang w:val="en-US" w:eastAsia="zh-CN"/>
              </w:rPr>
              <w:t xml:space="preserve">技术水平</w:t>
            </w:r>
            <w:r>
              <w:rPr>
                <w:rFonts w:hint="eastAsia"/>
                <w:sz w:val="24"/>
                <w:highlight w:val="none"/>
              </w:rPr>
              <w:t xml:space="preserve">（生产设备、生产工艺</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使用材料、结构功能等创新器材</w:t>
            </w:r>
            <w:r>
              <w:rPr>
                <w:rFonts w:hint="eastAsia"/>
                <w:sz w:val="24"/>
                <w:highlight w:val="none"/>
              </w:rPr>
              <w:t xml:space="preserve">）</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②供货和运输计划（</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③出厂检验方案、检测设备情况（</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④</w:t>
            </w:r>
            <w:r>
              <w:rPr>
                <w:rFonts w:hint="eastAsia" w:ascii="Times New Roman" w:hAnsi="Times New Roman" w:eastAsia="宋体" w:cs="Times New Roman"/>
                <w:sz w:val="24"/>
                <w:highlight w:val="none"/>
              </w:rPr>
              <w:t xml:space="preserve">旧器材的拆除</w:t>
            </w:r>
            <w:r>
              <w:rPr>
                <w:rFonts w:hint="eastAsia" w:cs="Times New Roman"/>
                <w:sz w:val="24"/>
                <w:highlight w:val="none"/>
                <w:lang w:val="en-US" w:eastAsia="zh-CN"/>
              </w:rPr>
              <w:t xml:space="preserve">方案和</w:t>
            </w:r>
            <w:r>
              <w:rPr>
                <w:rFonts w:hint="eastAsia" w:ascii="Times New Roman" w:hAnsi="Times New Roman" w:eastAsia="宋体" w:cs="Times New Roman"/>
                <w:sz w:val="24"/>
                <w:highlight w:val="none"/>
              </w:rPr>
              <w:t xml:space="preserve">新器材</w:t>
            </w:r>
            <w:r>
              <w:rPr>
                <w:rFonts w:hint="eastAsia" w:cs="Times New Roman"/>
                <w:sz w:val="24"/>
                <w:highlight w:val="none"/>
                <w:lang w:val="en-US" w:eastAsia="zh-CN"/>
              </w:rPr>
              <w:t xml:space="preserve">安装方案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w:t>
            </w:r>
            <w:r/>
          </w:p>
          <w:p>
            <w:pPr>
              <w:spacing w:line="360" w:lineRule="auto"/>
              <w:rPr>
                <w:rFonts w:ascii="宋体" w:hAnsi="宋体" w:cs="宋体"/>
                <w:sz w:val="24"/>
                <w:highlight w:val="none"/>
              </w:rPr>
            </w:pPr>
            <w:r>
              <w:rPr>
                <w:rFonts w:hint="eastAsia" w:ascii="宋体" w:hAnsi="宋体" w:cs="宋体"/>
                <w:sz w:val="24"/>
                <w:highlight w:val="none"/>
              </w:rPr>
              <w:t xml:space="preserve">⑤售后服务方案（包含</w:t>
            </w:r>
            <w:r>
              <w:rPr>
                <w:rFonts w:hint="eastAsia"/>
                <w:sz w:val="24"/>
                <w:highlight w:val="none"/>
              </w:rPr>
              <w:t xml:space="preserve">器材巡检维修</w:t>
            </w:r>
            <w:r>
              <w:rPr>
                <w:rFonts w:hint="eastAsia" w:ascii="Times New Roman" w:eastAsia="宋体"/>
                <w:sz w:val="24"/>
                <w:highlight w:val="none"/>
                <w:lang w:val="en-US" w:eastAsia="zh-CN"/>
              </w:rPr>
              <w:t xml:space="preserve">服务</w:t>
            </w:r>
            <w:r>
              <w:rPr>
                <w:rFonts w:hint="eastAsia"/>
                <w:sz w:val="24"/>
                <w:highlight w:val="none"/>
              </w:rPr>
              <w:t xml:space="preserve">、8年质保全生命周期服务</w:t>
            </w:r>
            <w:r>
              <w:rPr>
                <w:rFonts w:hint="eastAsia" w:eastAsia="宋体"/>
                <w:sz w:val="24"/>
                <w:highlight w:val="none"/>
                <w:lang w:eastAsia="zh-CN"/>
              </w:rPr>
              <w:t xml:space="preserve">、</w:t>
            </w:r>
            <w:r>
              <w:rPr>
                <w:rFonts w:hint="eastAsia" w:ascii="Times New Roman" w:eastAsia="宋体"/>
                <w:sz w:val="24"/>
                <w:highlight w:val="none"/>
                <w:lang w:val="en-US" w:eastAsia="zh-CN"/>
              </w:rPr>
              <w:t xml:space="preserve">供应商承诺的应急抢险响应时间及响应能力证明材料、应急备件保障方案</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分）</w:t>
            </w:r>
            <w:r/>
          </w:p>
          <w:p>
            <w:pPr>
              <w:jc w:val="left"/>
              <w:spacing w:line="360" w:lineRule="auto"/>
              <w:widowControl/>
              <w:rPr>
                <w:rFonts w:ascii="宋体" w:hAnsi="宋体" w:cs="宋体"/>
                <w:color w:val="000000"/>
                <w:sz w:val="24"/>
                <w:highlight w:val="none"/>
              </w:rPr>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w:t>
            </w:r>
            <w:r>
              <w:rPr>
                <w:rFonts w:hint="eastAsia" w:ascii="宋体" w:hAnsi="宋体" w:cs="宋体"/>
                <w:sz w:val="24"/>
                <w:highlight w:val="none"/>
              </w:rPr>
              <w:t xml:space="preserve">⑤</w:t>
            </w:r>
            <w:r>
              <w:rPr>
                <w:rFonts w:hint="eastAsia" w:ascii="宋体" w:hAnsi="宋体" w:eastAsia="宋体" w:cs="宋体"/>
                <w:color w:val="auto"/>
                <w:sz w:val="24"/>
                <w:szCs w:val="24"/>
                <w:highlight w:val="none"/>
              </w:rPr>
              <w:t xml:space="preserve">项内容齐全且无缺陷（</w:t>
            </w:r>
            <w:r>
              <w:rPr>
                <w:rFonts w:hint="eastAsia" w:ascii="宋体" w:hAnsi="宋体" w:cs="宋体"/>
                <w:color w:val="auto"/>
                <w:sz w:val="24"/>
                <w:szCs w:val="24"/>
                <w:highlight w:val="none"/>
                <w:lang w:eastAsia="zh-CN"/>
              </w:rPr>
              <w:t xml:space="preserve">缺陷是指：内容所阐述的项目信息与本项目实际信息不一致、内容涉及的规范或标准错误、套用其他项目内容、内容与本项目无关、内容不利于项目实施、内容描述前后不一致、仅有框架或标题的任意一种情形</w:t>
            </w:r>
            <w:r>
              <w:rPr>
                <w:rFonts w:hint="eastAsia" w:ascii="宋体" w:hAnsi="宋体" w:eastAsia="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分，每缺少一项内容扣</w:t>
            </w:r>
            <w:r>
              <w:rPr>
                <w:rFonts w:hint="eastAsia" w:ascii="宋体" w:hAnsi="宋体" w:cs="宋体"/>
                <w:color w:val="auto"/>
                <w:sz w:val="24"/>
                <w:szCs w:val="24"/>
                <w:highlight w:val="none"/>
                <w:lang w:val="en-US" w:eastAsia="zh-CN"/>
              </w:rPr>
              <w:t xml:space="preserve">对应项分值</w:t>
            </w:r>
            <w:r>
              <w:rPr>
                <w:rFonts w:hint="eastAsia" w:ascii="宋体" w:hAnsi="宋体" w:eastAsia="宋体" w:cs="宋体"/>
                <w:color w:val="auto"/>
                <w:sz w:val="24"/>
                <w:szCs w:val="24"/>
                <w:highlight w:val="none"/>
              </w:rPr>
              <w:t xml:space="preserve">，扣完为止；每存在一处缺陷扣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分，扣完为止。未提供不得分。</w:t>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p>
            <w:pPr>
              <w:pStyle w:val="1091"/>
              <w:rPr>
                <w:rFonts w:cs="宋体"/>
                <w:color w:val="000000"/>
                <w:highlight w:val="none"/>
              </w:rPr>
            </w:pPr>
            <w:r>
              <w:rPr>
                <w:rFonts w:cs="宋体"/>
                <w:color w:val="000000"/>
                <w:highlight w:val="none"/>
              </w:rPr>
            </w:r>
            <w:r/>
          </w:p>
        </w:tc>
      </w:tr>
      <w:tr>
        <w:trPr>
          <w:trHeight w:val="386"/>
        </w:trPr>
        <w:tc>
          <w:tcPr>
            <w:tcW w:w="835" w:type="dxa"/>
            <w:vAlign w:val="center"/>
            <w:textDirection w:val="lrTb"/>
            <w:noWrap w:val="false"/>
          </w:tcPr>
          <w:p>
            <w:pPr>
              <w:ind w:firstLine="28"/>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w:t>
            </w:r>
            <w:r/>
          </w:p>
        </w:tc>
        <w:tc>
          <w:tcPr>
            <w:tcW w:w="1462"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样品</w:t>
            </w:r>
            <w:r>
              <w:rPr>
                <w:rFonts w:hint="eastAsia" w:ascii="宋体" w:hAnsi="宋体" w:cs="宋体"/>
                <w:color w:val="000000"/>
                <w:sz w:val="24"/>
                <w:highlight w:val="none"/>
                <w:lang w:eastAsia="zh-CN"/>
              </w:rPr>
              <w:t xml:space="preserve">（双位太空漫步机）</w:t>
            </w:r>
            <w:r/>
          </w:p>
        </w:tc>
        <w:tc>
          <w:tcPr>
            <w:tcW w:w="913" w:type="dxa"/>
            <w:vAlign w:val="center"/>
            <w:textDirection w:val="lrTb"/>
            <w:noWrap w:val="false"/>
          </w:tcPr>
          <w:p>
            <w:pPr>
              <w:jc w:val="center"/>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评委根据投标人针对本项目提供的样品的</w:t>
            </w:r>
            <w:r>
              <w:rPr>
                <w:rFonts w:hint="eastAsia" w:ascii="宋体" w:hAnsi="宋体" w:cs="宋体"/>
                <w:sz w:val="24"/>
                <w:szCs w:val="24"/>
                <w:highlight w:val="none"/>
                <w:lang w:val="en-US" w:eastAsia="zh-CN"/>
              </w:rPr>
              <w:t xml:space="preserve">进行评审：</w:t>
            </w: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jc w:val="left"/>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sz w:val="24"/>
                <w:szCs w:val="24"/>
                <w:highlight w:val="none"/>
                <w:lang w:val="en-US" w:eastAsia="zh-CN"/>
              </w:rPr>
              <w:t xml:space="preserve">样品全面合理符合采购需求的得10分，</w:t>
            </w:r>
            <w:r>
              <w:rPr>
                <w:rFonts w:hint="eastAsia" w:ascii="宋体" w:hAnsi="宋体" w:eastAsia="宋体" w:cs="宋体"/>
                <w:sz w:val="24"/>
                <w:szCs w:val="24"/>
                <w:highlight w:val="none"/>
              </w:rPr>
              <w:t xml:space="preserve">每有一处内容存在缺陷的扣</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扣完为止。</w:t>
            </w:r>
            <w:r/>
          </w:p>
        </w:tc>
        <w:tc>
          <w:tcPr>
            <w:tcW w:w="2440" w:type="dxa"/>
            <w:vAlign w:val="center"/>
            <w:textDirection w:val="lrTb"/>
            <w:noWrap w:val="false"/>
          </w:tcPr>
          <w:p>
            <w:pPr>
              <w:ind w:left="-38"/>
              <w:spacing w:line="360" w:lineRule="auto"/>
              <w:rPr>
                <w:rFonts w:hint="default"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注：1、投标供应商应做好样品标识封样工作，样品不能出现制造厂或投标供应商的标志、标记，否则不得分。 2、各投标供应商的样品由工作人员进行编号登记，评委以编号为单位进行独立评审。</w:t>
            </w:r>
            <w:r>
              <w:rPr>
                <w:rFonts w:hint="eastAsia" w:ascii="Times New Roman" w:hAnsi="Times New Roman" w:eastAsia="宋体" w:cs="Times New Roman"/>
                <w:sz w:val="24"/>
                <w:highlight w:val="none"/>
                <w:lang w:val="en-US" w:eastAsia="zh-CN"/>
              </w:rPr>
              <w:t xml:space="preserve">      3、未提供样品不得分。</w:t>
            </w:r>
            <w:r/>
          </w:p>
          <w:p>
            <w:pPr>
              <w:ind w:left="-38"/>
              <w:rPr>
                <w:rFonts w:ascii="宋体" w:hAnsi="宋体" w:cs="宋体"/>
                <w:color w:val="000000"/>
                <w:sz w:val="24"/>
                <w:highlight w:val="none"/>
              </w:rPr>
            </w:pPr>
            <w:r>
              <w:rPr>
                <w:rFonts w:ascii="宋体" w:hAnsi="宋体" w:cs="宋体"/>
                <w:color w:val="000000"/>
                <w:sz w:val="24"/>
                <w:highlight w:val="none"/>
              </w:rPr>
            </w:r>
            <w:r/>
          </w:p>
        </w:tc>
      </w:tr>
      <w:tr>
        <w:trPr>
          <w:trHeight w:val="90"/>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462"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客观分</w:t>
            </w:r>
            <w:r/>
          </w:p>
        </w:tc>
        <w:tc>
          <w:tcPr>
            <w:tcW w:w="913" w:type="dxa"/>
            <w:vAlign w:val="center"/>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30</w:t>
            </w:r>
            <w:r/>
          </w:p>
        </w:tc>
        <w:tc>
          <w:tcPr>
            <w:tcW w:w="397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ind w:left="-38"/>
              <w:rPr>
                <w:rFonts w:ascii="宋体" w:hAnsi="宋体" w:cs="宋体"/>
                <w:color w:val="000000"/>
                <w:sz w:val="24"/>
                <w:highlight w:val="none"/>
              </w:rPr>
            </w:pPr>
            <w:r>
              <w:rPr>
                <w:rFonts w:ascii="宋体" w:hAnsi="宋体" w:cs="宋体"/>
                <w:color w:val="000000"/>
                <w:sz w:val="24"/>
                <w:highlight w:val="none"/>
              </w:rPr>
            </w:r>
            <w:r/>
          </w:p>
        </w:tc>
      </w:tr>
      <w:tr>
        <w:trPr/>
        <w:tc>
          <w:tcPr>
            <w:tcW w:w="835"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3.1</w:t>
            </w:r>
            <w:r/>
          </w:p>
        </w:tc>
        <w:tc>
          <w:tcPr>
            <w:tcW w:w="1462" w:type="dxa"/>
            <w:vAlign w:val="center"/>
            <w:textDirection w:val="lrTb"/>
            <w:noWrap w:val="false"/>
          </w:tcPr>
          <w:p>
            <w:pPr>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类似业绩</w:t>
            </w:r>
            <w:r/>
          </w:p>
        </w:tc>
        <w:tc>
          <w:tcPr>
            <w:tcW w:w="913" w:type="dxa"/>
            <w:vAlign w:val="center"/>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p>
        </w:tc>
        <w:tc>
          <w:tcPr>
            <w:tcW w:w="3978" w:type="dxa"/>
            <w:vAlign w:val="center"/>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投标人</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ascii="Times New Roman" w:eastAsia="宋体"/>
                <w:sz w:val="24"/>
                <w:highlight w:val="none"/>
                <w:lang w:val="en-US" w:eastAsia="zh-CN"/>
              </w:rPr>
              <w:t xml:space="preserve">供货及安装</w:t>
            </w:r>
            <w:r>
              <w:rPr>
                <w:rFonts w:hint="eastAsia" w:ascii="宋体" w:hAnsi="宋体" w:cs="宋体"/>
                <w:color w:val="000000"/>
                <w:sz w:val="24"/>
                <w:highlight w:val="none"/>
              </w:rPr>
              <w:t xml:space="preserve">业绩的，有1个得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分，本项最高</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w:t>
            </w:r>
            <w:r/>
          </w:p>
        </w:tc>
        <w:tc>
          <w:tcPr>
            <w:tcW w:w="2440" w:type="dxa"/>
            <w:vAlign w:val="center"/>
            <w:textDirection w:val="lrTb"/>
            <w:noWrap w:val="false"/>
          </w:tcPr>
          <w:p>
            <w:pPr>
              <w:ind w:left="-38"/>
              <w:rPr>
                <w:rFonts w:ascii="宋体" w:hAnsi="宋体" w:cs="宋体"/>
                <w:b/>
                <w:color w:val="000000"/>
                <w:sz w:val="24"/>
                <w:highlight w:val="none"/>
              </w:rPr>
            </w:pPr>
            <w:r>
              <w:rPr>
                <w:rFonts w:hint="eastAsia" w:ascii="宋体" w:hAnsi="宋体" w:cs="宋体"/>
                <w:b/>
                <w:color w:val="000000"/>
                <w:sz w:val="24"/>
                <w:highlight w:val="none"/>
              </w:rPr>
              <w:t xml:space="preserve">须提供合同</w:t>
            </w:r>
            <w:r>
              <w:rPr>
                <w:rFonts w:hint="eastAsia" w:ascii="宋体" w:hAnsi="宋体" w:cs="宋体"/>
                <w:b/>
                <w:color w:val="000000"/>
                <w:sz w:val="24"/>
                <w:highlight w:val="none"/>
                <w:lang w:val="en-US" w:eastAsia="zh-CN"/>
              </w:rPr>
              <w:t xml:space="preserve">以及</w:t>
            </w:r>
            <w:r>
              <w:rPr>
                <w:rFonts w:hint="eastAsia" w:ascii="宋体" w:hAnsi="宋体" w:eastAsia="宋体" w:cs="宋体"/>
                <w:b/>
                <w:color w:val="000000"/>
                <w:sz w:val="24"/>
                <w:highlight w:val="none"/>
                <w:lang w:val="en-US" w:eastAsia="zh-CN"/>
              </w:rPr>
              <w:t xml:space="preserve">合同价款部分发票</w:t>
            </w:r>
            <w:r>
              <w:rPr>
                <w:rFonts w:hint="eastAsia" w:ascii="宋体" w:hAnsi="宋体" w:cs="宋体"/>
                <w:b/>
                <w:color w:val="000000"/>
                <w:sz w:val="24"/>
                <w:highlight w:val="none"/>
              </w:rPr>
              <w:t xml:space="preserve">，时间以合同</w:t>
            </w:r>
            <w:r>
              <w:rPr>
                <w:rFonts w:hint="eastAsia" w:ascii="宋体" w:hAnsi="宋体" w:cs="宋体"/>
                <w:b/>
                <w:color w:val="000000"/>
                <w:sz w:val="24"/>
                <w:highlight w:val="none"/>
                <w:lang w:val="en-US" w:eastAsia="zh-CN"/>
              </w:rPr>
              <w:t xml:space="preserve">签订</w:t>
            </w:r>
            <w:r>
              <w:rPr>
                <w:rFonts w:hint="eastAsia" w:ascii="宋体" w:hAnsi="宋体" w:cs="宋体"/>
                <w:b/>
                <w:color w:val="000000"/>
                <w:sz w:val="24"/>
                <w:highlight w:val="none"/>
              </w:rPr>
              <w:t xml:space="preserve">时间为准，不提供不得分。</w:t>
            </w:r>
            <w:r/>
          </w:p>
        </w:tc>
      </w:tr>
      <w:tr>
        <w:trPr/>
        <w:tc>
          <w:tcPr>
            <w:tcW w:w="835" w:type="dxa"/>
            <w:vAlign w:val="center"/>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2</w:t>
            </w:r>
            <w:r/>
          </w:p>
        </w:tc>
        <w:tc>
          <w:tcPr>
            <w:tcW w:w="1462" w:type="dxa"/>
            <w:vAlign w:val="center"/>
            <w:textDirection w:val="lrTb"/>
            <w:noWrap w:val="false"/>
          </w:tcPr>
          <w:p>
            <w:pPr>
              <w:jc w:val="center"/>
              <w:spacing w:line="360" w:lineRule="auto"/>
              <w:rPr>
                <w:sz w:val="24"/>
                <w:highlight w:val="none"/>
              </w:rPr>
            </w:pPr>
            <w:r>
              <w:rPr>
                <w:rFonts w:hint="eastAsia"/>
                <w:sz w:val="24"/>
                <w:highlight w:val="none"/>
              </w:rPr>
              <w:t xml:space="preserve">所投标产品生产厂家</w:t>
            </w:r>
            <w:r>
              <w:rPr>
                <w:rFonts w:hint="eastAsia" w:ascii="Times New Roman" w:eastAsia="宋体"/>
                <w:sz w:val="24"/>
                <w:highlight w:val="none"/>
                <w:lang w:val="en-US" w:eastAsia="zh-CN"/>
              </w:rPr>
              <w:t xml:space="preserve">履约</w:t>
            </w:r>
            <w:r>
              <w:rPr>
                <w:rFonts w:hint="eastAsia"/>
                <w:sz w:val="24"/>
                <w:highlight w:val="none"/>
              </w:rPr>
              <w:t xml:space="preserve">实力</w:t>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p>
        </w:tc>
        <w:tc>
          <w:tcPr>
            <w:tcW w:w="3978" w:type="dxa"/>
            <w:vAlign w:val="center"/>
            <w:textDirection w:val="lrTb"/>
            <w:noWrap w:val="false"/>
          </w:tcPr>
          <w:p>
            <w:pPr>
              <w:numPr>
                <w:ilvl w:val="1"/>
                <w:numId w:val="0"/>
              </w:numPr>
              <w:spacing w:line="360" w:lineRule="auto"/>
              <w:tabs>
                <w:tab w:val="left" w:pos="1080" w:leader="none"/>
              </w:tabs>
              <w:rPr>
                <w:rFonts w:hint="default" w:eastAsia="宋体"/>
                <w:sz w:val="24"/>
                <w:highlight w:val="none"/>
                <w:lang w:val="en-US" w:eastAsia="zh-CN"/>
              </w:rPr>
            </w:pPr>
            <w:r>
              <w:rPr>
                <w:rFonts w:hint="eastAsia"/>
                <w:sz w:val="24"/>
                <w:highlight w:val="none"/>
              </w:rPr>
              <w:t xml:space="preserve">核心产品生产厂家具有有效的质量体系认证、环境管理体系认证、职业健康安全管理体系认证</w:t>
            </w:r>
            <w:r>
              <w:rPr>
                <w:rFonts w:hint="eastAsia" w:ascii="Times New Roman" w:eastAsia="宋体"/>
                <w:sz w:val="24"/>
                <w:highlight w:val="none"/>
                <w:lang w:val="en-US" w:eastAsia="zh-CN"/>
              </w:rPr>
              <w:t xml:space="preserve">；每有一个得2分，本项最高6分。</w:t>
            </w:r>
            <w:r/>
          </w:p>
          <w:p>
            <w:pPr>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2440" w:type="dxa"/>
            <w:vAlign w:val="center"/>
            <w:textDirection w:val="lrTb"/>
            <w:noWrap w:val="false"/>
          </w:tcPr>
          <w:p>
            <w:pP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须提供生产厂家的有效期内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tc>
      </w:tr>
      <w:tr>
        <w:trPr/>
        <w:tc>
          <w:tcPr>
            <w:tcW w:w="835" w:type="dxa"/>
            <w:vAlign w:val="center"/>
            <w:vMerge w:val="restart"/>
            <w:textDirection w:val="lrTb"/>
            <w:noWrap w:val="false"/>
          </w:tcPr>
          <w:p>
            <w:pPr>
              <w:ind w:firstLine="28"/>
              <w:jc w:val="cente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3.2</w:t>
            </w:r>
            <w:r/>
          </w:p>
        </w:tc>
        <w:tc>
          <w:tcPr>
            <w:tcW w:w="1462" w:type="dxa"/>
            <w:vAlign w:val="center"/>
            <w:vMerge w:val="restart"/>
            <w:textDirection w:val="lrTb"/>
            <w:noWrap w:val="false"/>
          </w:tcPr>
          <w:p>
            <w:pPr>
              <w:jc w:val="center"/>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售后服务能力</w:t>
            </w:r>
            <w:r/>
          </w:p>
        </w:tc>
        <w:tc>
          <w:tcPr>
            <w:tcW w:w="913" w:type="dxa"/>
            <w:vAlign w:val="center"/>
            <w:textDirection w:val="lrTb"/>
            <w:noWrap w:val="false"/>
          </w:tcPr>
          <w:p>
            <w:pPr>
              <w:jc w:val="center"/>
              <w:spacing w:line="36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c>
          <w:tcPr>
            <w:tcW w:w="3978" w:type="dxa"/>
            <w:vAlign w:val="center"/>
            <w:textDirection w:val="lrTb"/>
            <w:noWrap w:val="false"/>
          </w:tcPr>
          <w:p>
            <w:pPr>
              <w:numPr>
                <w:ilvl w:val="0"/>
                <w:numId w:val="15"/>
              </w:numPr>
              <w:jc w:val="left"/>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投标人或其委托的售后服务机构</w:t>
            </w:r>
            <w:r>
              <w:rPr>
                <w:rFonts w:hint="eastAsia" w:ascii="宋体" w:hAnsi="宋体" w:cs="宋体"/>
                <w:color w:val="000000"/>
                <w:sz w:val="24"/>
                <w:highlight w:val="none"/>
              </w:rPr>
              <w:t xml:space="preserve">自202</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月1日以来具有</w:t>
            </w:r>
            <w:r>
              <w:rPr>
                <w:rFonts w:hint="eastAsia" w:ascii="宋体" w:hAnsi="宋体" w:cs="宋体"/>
                <w:color w:val="000000"/>
                <w:sz w:val="24"/>
                <w:highlight w:val="none"/>
                <w:lang w:val="en-US" w:eastAsia="zh-CN"/>
              </w:rPr>
              <w:t xml:space="preserve">室外</w:t>
            </w:r>
            <w:r>
              <w:rPr>
                <w:rFonts w:hint="eastAsia"/>
                <w:sz w:val="24"/>
                <w:highlight w:val="none"/>
              </w:rPr>
              <w:t xml:space="preserve">健身器材</w:t>
            </w:r>
            <w:r>
              <w:rPr>
                <w:rFonts w:hint="eastAsia" w:ascii="宋体" w:hAnsi="宋体" w:cs="宋体"/>
                <w:color w:val="000000"/>
                <w:sz w:val="24"/>
                <w:highlight w:val="none"/>
                <w:lang w:val="en-US" w:eastAsia="zh-CN"/>
              </w:rPr>
              <w:t xml:space="preserve">售后巡检服务业绩</w:t>
            </w:r>
            <w:r>
              <w:rPr>
                <w:rFonts w:hint="eastAsia" w:ascii="宋体" w:hAnsi="宋体" w:cs="宋体"/>
                <w:color w:val="000000"/>
                <w:sz w:val="24"/>
                <w:highlight w:val="none"/>
              </w:rPr>
              <w:t xml:space="preserve">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有1个得3分，</w:t>
            </w:r>
            <w:r>
              <w:rPr>
                <w:rFonts w:hint="eastAsia" w:ascii="宋体" w:hAnsi="宋体" w:cs="宋体"/>
                <w:color w:val="000000"/>
                <w:sz w:val="24"/>
                <w:highlight w:val="none"/>
              </w:rPr>
              <w:t xml:space="preserve">最高</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p>
          <w:p>
            <w:pPr>
              <w:jc w:val="left"/>
              <w:spacing w:line="360" w:lineRule="auto"/>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tc>
        <w:tc>
          <w:tcPr>
            <w:tcW w:w="2440" w:type="dxa"/>
            <w:vAlign w:val="center"/>
            <w:textDirection w:val="lrTb"/>
            <w:noWrap w:val="false"/>
          </w:tcPr>
          <w:p>
            <w:pPr>
              <w:ind w:left="-38"/>
              <w:rPr>
                <w:rFonts w:hint="eastAsia" w:ascii="宋体" w:hAnsi="宋体" w:cs="宋体"/>
                <w:b/>
                <w:color w:val="auto"/>
                <w:sz w:val="24"/>
                <w:highlight w:val="none"/>
              </w:rPr>
            </w:pPr>
            <w:r>
              <w:rPr>
                <w:rFonts w:hint="eastAsia" w:ascii="宋体" w:hAnsi="宋体" w:cs="宋体"/>
                <w:b/>
                <w:color w:val="auto"/>
                <w:sz w:val="24"/>
                <w:highlight w:val="none"/>
              </w:rPr>
              <w:t xml:space="preserve">须</w:t>
            </w:r>
            <w:r>
              <w:rPr>
                <w:rFonts w:hint="eastAsia" w:ascii="宋体" w:hAnsi="宋体" w:cs="宋体"/>
                <w:b/>
                <w:color w:val="auto"/>
                <w:sz w:val="24"/>
                <w:highlight w:val="none"/>
                <w:lang w:val="en-US" w:eastAsia="zh-CN"/>
              </w:rPr>
              <w:t xml:space="preserve">提供合同及售后巡检服务报告，内容须包含《巡检记录登记表》</w:t>
            </w:r>
            <w:r>
              <w:rPr>
                <w:rFonts w:hint="eastAsia" w:ascii="宋体" w:hAnsi="宋体" w:eastAsia="宋体" w:cs="宋体"/>
                <w:b/>
                <w:color w:val="auto"/>
                <w:sz w:val="24"/>
                <w:highlight w:val="none"/>
                <w:lang w:val="en-US" w:eastAsia="zh-CN"/>
              </w:rPr>
              <w:t xml:space="preserve">，</w:t>
            </w:r>
            <w:r>
              <w:rPr>
                <w:rFonts w:hint="eastAsia" w:ascii="宋体" w:hAnsi="宋体" w:cs="宋体"/>
                <w:b/>
                <w:color w:val="auto"/>
                <w:sz w:val="24"/>
                <w:highlight w:val="none"/>
              </w:rPr>
              <w:t xml:space="preserve">时间以合同签订时间为准，不提供不得分。</w:t>
            </w:r>
            <w:r/>
          </w:p>
          <w:p>
            <w:pPr>
              <w:pStyle w:val="930"/>
              <w:ind w:left="0" w:firstLine="0"/>
              <w:rPr>
                <w:rFonts w:hint="eastAsia" w:ascii="宋体" w:hAnsi="宋体" w:cs="宋体"/>
                <w:b/>
                <w:color w:val="auto"/>
                <w:sz w:val="24"/>
                <w:highlight w:val="none"/>
              </w:rPr>
            </w:pPr>
            <w:r>
              <w:rPr>
                <w:rFonts w:hint="eastAsia" w:ascii="宋体" w:hAnsi="宋体" w:cs="宋体"/>
                <w:b/>
                <w:color w:val="auto"/>
                <w:sz w:val="24"/>
                <w:szCs w:val="24"/>
                <w:highlight w:val="none"/>
                <w:lang w:val="en-US" w:eastAsia="zh-CN" w:bidi="ar-SA"/>
              </w:rPr>
              <w:t xml:space="preserve">若为售后服务机构还需提供</w:t>
            </w:r>
            <w:r>
              <w:rPr>
                <w:rFonts w:hint="eastAsia" w:ascii="宋体" w:hAnsi="宋体" w:eastAsia="宋体" w:cs="宋体"/>
                <w:b/>
                <w:color w:val="auto"/>
                <w:sz w:val="24"/>
                <w:szCs w:val="24"/>
                <w:highlight w:val="none"/>
                <w:lang w:val="en-US" w:eastAsia="zh-CN" w:bidi="ar-SA"/>
              </w:rPr>
              <w:t xml:space="preserve">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cs="宋体"/>
                <w:b/>
                <w:color w:val="auto"/>
                <w:sz w:val="24"/>
                <w:szCs w:val="24"/>
                <w:highlight w:val="none"/>
                <w:lang w:val="en-US" w:eastAsia="zh-CN" w:bidi="ar-SA"/>
              </w:rPr>
              <w:t xml:space="preserve">，</w:t>
            </w:r>
            <w:r>
              <w:rPr>
                <w:rFonts w:hint="eastAsia" w:ascii="宋体" w:hAnsi="宋体" w:cs="宋体"/>
                <w:b/>
                <w:color w:val="auto"/>
                <w:sz w:val="24"/>
                <w:highlight w:val="none"/>
              </w:rPr>
              <w:t xml:space="preserve">不提供不得分。</w:t>
            </w:r>
            <w:r/>
          </w:p>
          <w:p>
            <w:pPr>
              <w:pStyle w:val="930"/>
              <w:ind w:left="0" w:firstLine="0"/>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注：合同中须体现室外健身器材售后巡检服务，否则不予认可</w:t>
            </w:r>
            <w:r/>
          </w:p>
        </w:tc>
      </w:tr>
      <w:tr>
        <w:trPr/>
        <w:tc>
          <w:tcPr>
            <w:tcW w:w="835" w:type="dxa"/>
            <w:vAlign w:val="center"/>
            <w:vMerge w:val="continue"/>
            <w:textDirection w:val="lrTb"/>
            <w:noWrap w:val="false"/>
          </w:tcPr>
          <w:p>
            <w:pPr>
              <w:ind w:firstLine="2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shd w:val="clear" w:color="auto" w:fill="auto"/>
            <w:tcW w:w="1462" w:type="dxa"/>
            <w:vAlign w:val="center"/>
            <w:vMerge w:val="continue"/>
            <w:textDirection w:val="lrTb"/>
            <w:noWrap w:val="false"/>
          </w:tcPr>
          <w:p>
            <w:pPr>
              <w:jc w:val="center"/>
              <w:spacing w:line="360" w:lineRule="auto"/>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r>
            <w:r/>
          </w:p>
        </w:tc>
        <w:tc>
          <w:tcPr>
            <w:shd w:val="clear" w:color="auto" w:fill="auto"/>
            <w:tcW w:w="913"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2</w:t>
            </w:r>
            <w:r/>
          </w:p>
        </w:tc>
        <w:tc>
          <w:tcPr>
            <w:shd w:val="clear" w:color="auto" w:fill="auto"/>
            <w:tcW w:w="3978" w:type="dxa"/>
            <w:vAlign w:val="center"/>
            <w:textDirection w:val="lrTb"/>
            <w:noWrap w:val="false"/>
          </w:tcPr>
          <w:p>
            <w:pPr>
              <w:jc w:val="left"/>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投标人或</w:t>
            </w:r>
            <w:r>
              <w:rPr>
                <w:rFonts w:hint="eastAsia" w:ascii="宋体" w:hAnsi="宋体" w:cs="宋体"/>
                <w:color w:val="000000"/>
                <w:sz w:val="24"/>
                <w:szCs w:val="24"/>
                <w:highlight w:val="none"/>
                <w:lang w:val="en-US" w:eastAsia="zh-CN" w:bidi="ar-SA"/>
              </w:rPr>
              <w:t xml:space="preserve">其</w:t>
            </w:r>
            <w:r>
              <w:rPr>
                <w:rFonts w:hint="eastAsia" w:ascii="宋体" w:hAnsi="宋体" w:eastAsia="宋体" w:cs="宋体"/>
                <w:color w:val="000000"/>
                <w:sz w:val="24"/>
                <w:szCs w:val="24"/>
                <w:highlight w:val="none"/>
                <w:lang w:val="en-US" w:eastAsia="zh-CN" w:bidi="ar-SA"/>
              </w:rPr>
              <w:t xml:space="preserve">委托的售后服务机构获得国家认可的健身器材售后</w:t>
            </w:r>
            <w:r>
              <w:rPr>
                <w:rFonts w:hint="eastAsia" w:ascii="宋体" w:hAnsi="宋体" w:cs="宋体"/>
                <w:color w:val="000000"/>
                <w:sz w:val="24"/>
                <w:szCs w:val="24"/>
                <w:highlight w:val="none"/>
                <w:lang w:val="en-US" w:eastAsia="zh-CN" w:bidi="ar-SA"/>
              </w:rPr>
              <w:t xml:space="preserve">服务相关认证</w:t>
            </w:r>
            <w:r>
              <w:rPr>
                <w:rFonts w:hint="eastAsia" w:ascii="宋体" w:hAnsi="宋体" w:eastAsia="宋体" w:cs="宋体"/>
                <w:color w:val="000000"/>
                <w:sz w:val="24"/>
                <w:szCs w:val="24"/>
                <w:highlight w:val="none"/>
                <w:lang w:val="en-US" w:eastAsia="zh-CN" w:bidi="ar-SA"/>
              </w:rPr>
              <w:t xml:space="preserve">证书的</w:t>
            </w:r>
            <w:r>
              <w:rPr>
                <w:rFonts w:hint="eastAsia" w:ascii="宋体" w:hAnsi="宋体" w:cs="宋体"/>
                <w:color w:val="000000"/>
                <w:sz w:val="24"/>
                <w:szCs w:val="24"/>
                <w:highlight w:val="none"/>
                <w:lang w:val="en-US" w:eastAsia="zh-CN" w:bidi="ar-SA"/>
              </w:rPr>
              <w:t xml:space="preserve">(认证依据须为GB/T 27922-2011）</w:t>
            </w:r>
            <w:r>
              <w:rPr>
                <w:rFonts w:hint="eastAsia"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rPr>
                <w:rFonts w:hint="eastAsia" w:ascii="宋体" w:hAnsi="宋体" w:cs="宋体"/>
                <w:color w:val="000000"/>
                <w:sz w:val="24"/>
                <w:szCs w:val="24"/>
                <w:highlight w:val="none"/>
                <w:lang w:val="en-US" w:eastAsia="zh-CN" w:bidi="ar-SA"/>
              </w:rPr>
              <w:t xml:space="preserve">。</w:t>
            </w:r>
            <w:r/>
          </w:p>
        </w:tc>
        <w:tc>
          <w:tcPr>
            <w:shd w:val="clear" w:color="auto" w:fill="auto"/>
            <w:tcW w:w="2440" w:type="dxa"/>
            <w:vAlign w:val="center"/>
            <w:textDirection w:val="lrTb"/>
            <w:noWrap w:val="false"/>
          </w:tcPr>
          <w:p>
            <w:pPr>
              <w:pStyle w:val="930"/>
              <w:ind w:firstLine="0"/>
              <w:rPr>
                <w:rFonts w:hint="eastAsia" w:ascii="宋体" w:hAnsi="宋体" w:cs="宋体"/>
                <w:b/>
                <w:bCs/>
                <w:color w:val="000000"/>
                <w:sz w:val="24"/>
                <w:highlight w:val="none"/>
                <w:lang w:eastAsia="zh-CN"/>
              </w:rPr>
            </w:pPr>
            <w:r>
              <w:rPr>
                <w:rFonts w:hint="eastAsia" w:ascii="宋体" w:hAnsi="宋体" w:cs="宋体"/>
                <w:b/>
                <w:bCs/>
                <w:color w:val="000000"/>
                <w:sz w:val="24"/>
                <w:highlight w:val="none"/>
              </w:rPr>
              <w:t xml:space="preserve">须提供有效期内</w:t>
            </w:r>
            <w:r>
              <w:rPr>
                <w:rFonts w:hint="eastAsia" w:ascii="宋体" w:hAnsi="宋体" w:cs="宋体"/>
                <w:b/>
                <w:bCs/>
                <w:color w:val="000000"/>
                <w:sz w:val="24"/>
                <w:highlight w:val="none"/>
                <w:lang w:val="en-US" w:eastAsia="zh-CN"/>
              </w:rPr>
              <w:t xml:space="preserve">的</w:t>
            </w:r>
            <w:r>
              <w:rPr>
                <w:rFonts w:hint="eastAsia" w:ascii="宋体" w:hAnsi="宋体" w:cs="宋体"/>
                <w:b/>
                <w:bCs/>
                <w:color w:val="000000"/>
                <w:sz w:val="24"/>
                <w:highlight w:val="none"/>
              </w:rPr>
              <w:t xml:space="preserve">认证证书</w:t>
            </w:r>
            <w:r>
              <w:rPr>
                <w:rFonts w:hint="eastAsia" w:ascii="宋体" w:hAnsi="宋体" w:cs="宋体"/>
                <w:b/>
                <w:bCs/>
                <w:color w:val="000000"/>
                <w:sz w:val="24"/>
                <w:highlight w:val="none"/>
                <w:lang w:val="en-US" w:eastAsia="zh-CN"/>
              </w:rPr>
              <w:t xml:space="preserve">和</w:t>
            </w:r>
            <w:r>
              <w:rPr>
                <w:rFonts w:hint="eastAsia" w:ascii="宋体" w:hAnsi="宋体" w:cs="宋体"/>
                <w:b/>
                <w:bCs/>
                <w:color w:val="000000"/>
                <w:sz w:val="24"/>
                <w:highlight w:val="none"/>
                <w:lang w:eastAsia="zh-CN"/>
              </w:rPr>
              <w:t xml:space="preserve">在国家市场监督管理总局全国认证认可信息公共服务平台网站http://cx.cnca.cn/CertECloud/index/index/page的完整查询截图，否则不得分。</w:t>
            </w:r>
            <w:r/>
          </w:p>
          <w:p>
            <w:pPr>
              <w:pStyle w:val="930"/>
              <w:ind w:firstLine="0"/>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r>
            <w:r/>
          </w:p>
        </w:tc>
      </w:tr>
      <w:tr>
        <w:trPr>
          <w:trHeight w:val="90"/>
        </w:trPr>
        <w:tc>
          <w:tcPr>
            <w:tcW w:w="835" w:type="dxa"/>
            <w:vAlign w:val="center"/>
            <w:vMerge w:val="continue"/>
            <w:textDirection w:val="lrTb"/>
            <w:noWrap w:val="false"/>
          </w:tcPr>
          <w:p>
            <w:pPr>
              <w:ind w:firstLine="28"/>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tc>
        <w:tc>
          <w:tcPr>
            <w:tcW w:w="1462" w:type="dxa"/>
            <w:vAlign w:val="center"/>
            <w:vMerge w:val="continue"/>
            <w:textDirection w:val="lrTb"/>
            <w:noWrap w:val="false"/>
          </w:tcPr>
          <w:p>
            <w:pPr>
              <w:jc w:val="center"/>
              <w:spacing w:line="360" w:lineRule="auto"/>
              <w:rPr>
                <w:sz w:val="24"/>
                <w:highlight w:val="none"/>
              </w:rPr>
            </w:pPr>
            <w:r>
              <w:rPr>
                <w:sz w:val="24"/>
                <w:highlight w:val="none"/>
              </w:rPr>
            </w:r>
            <w:r/>
          </w:p>
        </w:tc>
        <w:tc>
          <w:tcPr>
            <w:tcW w:w="913" w:type="dxa"/>
            <w:vAlign w:val="center"/>
            <w:textDirection w:val="lrTb"/>
            <w:noWrap w:val="false"/>
          </w:tcPr>
          <w:p>
            <w:pPr>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p>
        </w:tc>
        <w:tc>
          <w:tcPr>
            <w:tcW w:w="3978" w:type="dxa"/>
            <w:vAlign w:val="center"/>
            <w:textDirection w:val="lrTb"/>
            <w:noWrap w:val="false"/>
          </w:tcPr>
          <w:p>
            <w:pPr>
              <w:pStyle w:val="930"/>
              <w:ind w:left="0" w:firstLine="0"/>
              <w:rPr>
                <w:rFonts w:hint="default" w:eastAsia="宋体"/>
                <w:highlight w:val="none"/>
                <w:lang w:val="en-US" w:eastAsia="zh-CN"/>
              </w:rPr>
            </w:pPr>
            <w:r/>
            <w:bookmarkStart w:id="920" w:name="_GoBack"/>
            <w:r>
              <w:rPr>
                <w:rFonts w:hint="eastAsia" w:ascii="宋体" w:hAnsi="宋体" w:cs="宋体"/>
                <w:color w:val="000000"/>
                <w:sz w:val="24"/>
                <w:highlight w:val="none"/>
                <w:lang w:val="en-US" w:eastAsia="zh-CN"/>
              </w:rPr>
              <w:t xml:space="preserve">1、投标人或其委托的售后服务机构承诺中标后为本项目拟派巡检售后人员2人及以上的得2分。</w:t>
            </w:r>
            <w:r/>
          </w:p>
          <w:p>
            <w:pPr>
              <w:jc w:val="left"/>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2、投标人或委托的售后服务机构承诺为本项目配备应急服务车辆的得1分。</w:t>
            </w:r>
            <w:bookmarkEnd w:id="920"/>
            <w:r/>
            <w:r/>
          </w:p>
          <w:p>
            <w:pPr>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c>
          <w:tcPr>
            <w:tcW w:w="2440" w:type="dxa"/>
            <w:vAlign w:val="center"/>
            <w:textDirection w:val="lrTb"/>
            <w:noWrap w:val="false"/>
          </w:tcPr>
          <w:p>
            <w:pPr>
              <w:pStyle w:val="930"/>
              <w:ind w:left="0" w:firstLine="0"/>
              <w:rPr>
                <w:rFonts w:hint="eastAsia"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bidi="ar-SA"/>
              </w:rPr>
              <w:t xml:space="preserve">须提供投标人或其委托的售后服务机构为其巡检售后人员缴纳的近期养老保险证明及承诺书（格式自拟，但承诺书中须列明巡检售后人员名单及联系方式）</w:t>
            </w:r>
            <w:r/>
          </w:p>
          <w:p>
            <w:pPr>
              <w:pStyle w:val="930"/>
              <w:ind w:left="0" w:firstLine="0"/>
              <w:rPr>
                <w:rFonts w:hint="default" w:ascii="宋体" w:hAnsi="宋体" w:eastAsia="宋体" w:cs="宋体"/>
                <w:b/>
                <w:bCs/>
                <w:color w:val="000000"/>
                <w:sz w:val="24"/>
                <w:szCs w:val="24"/>
                <w:highlight w:val="none"/>
                <w:lang w:val="en-US" w:eastAsia="zh-CN" w:bidi="ar-SA"/>
              </w:rPr>
            </w:pPr>
            <w:r>
              <w:rPr>
                <w:rFonts w:hint="eastAsia" w:ascii="宋体" w:hAnsi="宋体" w:cs="宋体"/>
                <w:b/>
                <w:bCs/>
                <w:color w:val="000000"/>
                <w:sz w:val="24"/>
                <w:szCs w:val="24"/>
                <w:highlight w:val="none"/>
                <w:lang w:val="en-US" w:eastAsia="zh-CN" w:bidi="ar-SA"/>
              </w:rPr>
              <w:t xml:space="preserve">不提供不得分。</w:t>
            </w:r>
            <w:r/>
          </w:p>
          <w:p>
            <w:pPr>
              <w:ind w:left="0" w:firstLine="0"/>
              <w:jc w:val="both"/>
              <w:widowControl w:val="off"/>
              <w:rPr>
                <w:rFonts w:hint="eastAsia" w:ascii="宋体" w:hAnsi="宋体" w:eastAsia="宋体" w:cs="宋体"/>
                <w:b/>
                <w:color w:val="auto"/>
                <w:sz w:val="24"/>
                <w:szCs w:val="22"/>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color w:val="auto"/>
                <w:sz w:val="24"/>
                <w:szCs w:val="24"/>
                <w:highlight w:val="none"/>
                <w:lang w:val="en-US" w:eastAsia="zh-CN" w:bidi="ar-SA"/>
              </w:rPr>
              <w:t xml:space="preserve">若为售后服务机构还需提供投标人与售后服务机构</w:t>
            </w:r>
            <w:r>
              <w:rPr>
                <w:rFonts w:hint="eastAsia" w:ascii="宋体" w:hAnsi="宋体" w:cs="宋体"/>
                <w:b/>
                <w:color w:val="auto"/>
                <w:sz w:val="24"/>
                <w:szCs w:val="24"/>
                <w:highlight w:val="none"/>
                <w:lang w:val="en-US" w:eastAsia="zh-CN" w:bidi="ar-SA"/>
              </w:rPr>
              <w:t xml:space="preserve">签订</w:t>
            </w:r>
            <w:r>
              <w:rPr>
                <w:rFonts w:hint="eastAsia" w:ascii="宋体" w:hAnsi="宋体" w:eastAsia="宋体" w:cs="宋体"/>
                <w:b/>
                <w:color w:val="auto"/>
                <w:sz w:val="24"/>
                <w:szCs w:val="24"/>
                <w:highlight w:val="none"/>
                <w:lang w:val="en-US" w:eastAsia="zh-CN" w:bidi="ar-SA"/>
              </w:rPr>
              <w:t xml:space="preserve">的售后服务协议或授权书，</w:t>
            </w:r>
            <w:r>
              <w:rPr>
                <w:rFonts w:hint="eastAsia" w:ascii="宋体" w:hAnsi="宋体" w:eastAsia="宋体" w:cs="宋体"/>
                <w:b/>
                <w:color w:val="auto"/>
                <w:sz w:val="24"/>
                <w:szCs w:val="22"/>
                <w:highlight w:val="none"/>
                <w:lang w:val="en-US" w:eastAsia="zh-CN" w:bidi="ar-SA"/>
              </w:rPr>
              <w:t xml:space="preserve">不提供不得分。</w:t>
            </w:r>
            <w:r/>
          </w:p>
          <w:p>
            <w:pPr>
              <w:pStyle w:val="930"/>
              <w:ind w:left="0" w:firstLine="0"/>
              <w:rPr>
                <w:rFonts w:hint="eastAsia" w:ascii="宋体" w:hAnsi="宋体" w:cs="宋体"/>
                <w:b/>
                <w:color w:val="auto"/>
                <w:sz w:val="24"/>
                <w:highlight w:val="none"/>
              </w:rPr>
            </w:pPr>
            <w:r>
              <w:rPr>
                <w:rFonts w:hint="eastAsia" w:ascii="宋体" w:hAnsi="宋体" w:cs="宋体"/>
                <w:b/>
                <w:color w:val="auto"/>
                <w:sz w:val="24"/>
                <w:highlight w:val="none"/>
              </w:rPr>
            </w:r>
            <w:r/>
          </w:p>
          <w:p>
            <w:pPr>
              <w:pStyle w:val="930"/>
              <w:ind w:left="0" w:firstLine="0"/>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2、须提供承诺书（格式自拟）、车辆权属登记证、行驶证；若不是自有的还需提供租赁合同；不提供不得分。</w:t>
            </w:r>
            <w:r/>
          </w:p>
          <w:p>
            <w:pPr>
              <w:pStyle w:val="930"/>
              <w:ind w:firstLine="0"/>
              <w:rPr>
                <w:highlight w:val="none"/>
              </w:rPr>
            </w:pPr>
            <w:r>
              <w:rPr>
                <w:highlight w:val="none"/>
              </w:rPr>
            </w:r>
            <w:r/>
          </w:p>
        </w:tc>
      </w:tr>
      <w:tr>
        <w:trPr>
          <w:trHeight w:val="594"/>
        </w:trPr>
        <w:tc>
          <w:tcPr>
            <w:gridSpan w:val="2"/>
            <w:tcW w:w="2297"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合计</w:t>
            </w:r>
            <w:r/>
          </w:p>
        </w:tc>
        <w:tc>
          <w:tcPr>
            <w:tcW w:w="913" w:type="dxa"/>
            <w:vAlign w:val="center"/>
            <w:textDirection w:val="lrTb"/>
            <w:noWrap w:val="false"/>
          </w:tcPr>
          <w:p>
            <w:pPr>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100</w:t>
            </w:r>
            <w:r/>
          </w:p>
        </w:tc>
        <w:tc>
          <w:tcPr>
            <w:gridSpan w:val="2"/>
            <w:tcW w:w="6418"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r>
    </w:tbl>
    <w:p>
      <w:pPr>
        <w:jc w:val="left"/>
        <w:widowControl/>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注：本项目评分细则中需要提供的相关证明材料由供应商自行提供，评审专家根据供应商提供的相关证明材料进行评审，相关证明材料的全面性、有效性、完整性、真实性由供应商自行负责。如发现供应商涉嫌资料造假等，采购人将取消其中标资格，并保留进一步追究其法律责任的权利。</w:t>
      </w:r>
      <w:r/>
    </w:p>
    <w:p>
      <w:pPr>
        <w:spacing w:line="360" w:lineRule="auto"/>
        <w:rPr>
          <w:rFonts w:ascii="宋体" w:hAnsi="宋体" w:cs="宋体"/>
          <w:b/>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ascii="宋体" w:hAnsi="宋体" w:cs="宋体"/>
          <w:b/>
          <w:color w:val="000000"/>
          <w:sz w:val="24"/>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第五章   采购需求</w:t>
      </w:r>
      <w:bookmarkEnd w:id="814"/>
      <w:r/>
      <w:r/>
    </w:p>
    <w:p>
      <w:pPr>
        <w:pStyle w:val="1175"/>
        <w:contextualSpacing/>
        <w:ind w:left="500" w:hanging="50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一、</w:t>
      </w:r>
      <w:r>
        <w:rPr>
          <w:rFonts w:hint="eastAsia" w:ascii="宋体" w:hAnsi="宋体" w:cs="宋体"/>
          <w:b/>
          <w:color w:val="000000"/>
          <w:sz w:val="24"/>
          <w:szCs w:val="24"/>
          <w:highlight w:val="none"/>
        </w:rPr>
        <w:t xml:space="preserve">采购标的</w:t>
      </w:r>
      <w:r/>
    </w:p>
    <w:p>
      <w:pPr>
        <w:ind w:firstLine="480"/>
        <w:spacing w:line="360" w:lineRule="auto"/>
        <w:rPr>
          <w:rFonts w:ascii="宋体" w:hAnsi="宋体" w:cs="宋体"/>
          <w:bCs/>
          <w:color w:val="000000"/>
          <w:sz w:val="24"/>
          <w:szCs w:val="24"/>
          <w:highlight w:val="none"/>
        </w:rPr>
      </w:pPr>
      <w:r>
        <w:rPr>
          <w:rFonts w:hint="eastAsia" w:ascii="宋体" w:hAnsi="宋体"/>
          <w:color w:val="000000"/>
          <w:sz w:val="24"/>
          <w:szCs w:val="24"/>
          <w:highlight w:val="none"/>
        </w:rPr>
        <w:t xml:space="preserve">本项目为</w:t>
      </w:r>
      <w:r>
        <w:rPr>
          <w:rFonts w:hint="eastAsia" w:ascii="宋体" w:hAnsi="宋体"/>
          <w:color w:val="000000"/>
          <w:sz w:val="24"/>
          <w:szCs w:val="24"/>
          <w:highlight w:val="none"/>
          <w:lang w:eastAsia="zh-CN"/>
        </w:rPr>
        <w:t xml:space="preserve">2026溧阳市嵌入式健身场地采购项目</w:t>
      </w:r>
      <w:r>
        <w:rPr>
          <w:rFonts w:hint="eastAsia" w:ascii="宋体" w:hAnsi="宋体"/>
          <w:color w:val="000000"/>
          <w:sz w:val="24"/>
          <w:szCs w:val="24"/>
          <w:highlight w:val="none"/>
        </w:rPr>
        <w:t xml:space="preserve">，共分2个采购包，投标人可投单个采购包或全部采购包，投某一采购包时，必须对该采购包的全部内容响应，并在投标文件中注明所投采购包。由于</w:t>
      </w:r>
      <w:r>
        <w:rPr>
          <w:rFonts w:hint="eastAsia" w:ascii="宋体" w:hAnsi="宋体"/>
          <w:color w:val="000000"/>
          <w:sz w:val="24"/>
          <w:szCs w:val="24"/>
          <w:highlight w:val="none"/>
          <w:lang w:val="en-US" w:eastAsia="zh-CN"/>
        </w:rPr>
        <w:t xml:space="preserve">本项目</w:t>
      </w:r>
      <w:r>
        <w:rPr>
          <w:rFonts w:hint="eastAsia" w:ascii="宋体" w:hAnsi="宋体"/>
          <w:color w:val="000000"/>
          <w:sz w:val="24"/>
          <w:szCs w:val="24"/>
          <w:highlight w:val="none"/>
        </w:rPr>
        <w:t xml:space="preserve">工期较短，为保障项目的顺利实施，投标人仅限中一个采购包。评审小组根据采购包的顺序进行评审，如采购包1综合评审得分排名第一的投标人同时在采购包</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也排名第一，则</w:t>
      </w:r>
      <w:r>
        <w:rPr>
          <w:rFonts w:hint="eastAsia" w:ascii="宋体" w:hAnsi="宋体"/>
          <w:color w:val="000000"/>
          <w:sz w:val="24"/>
          <w:szCs w:val="24"/>
          <w:highlight w:val="none"/>
          <w:lang w:val="en-US" w:eastAsia="zh-CN"/>
        </w:rPr>
        <w:t xml:space="preserve">采购包2中</w:t>
      </w:r>
      <w:r>
        <w:rPr>
          <w:rFonts w:hint="eastAsia" w:ascii="宋体" w:hAnsi="宋体"/>
          <w:color w:val="000000"/>
          <w:sz w:val="24"/>
          <w:szCs w:val="24"/>
          <w:highlight w:val="none"/>
        </w:rPr>
        <w:t xml:space="preserve">排名第二的投标人递补成为第一。</w:t>
      </w:r>
      <w:r/>
    </w:p>
    <w:p>
      <w:pPr>
        <w:pStyle w:val="1175"/>
        <w:numPr>
          <w:ilvl w:val="0"/>
          <w:numId w:val="16"/>
        </w:numPr>
        <w:contextualSpacing/>
        <w:ind w:firstLine="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货物清单</w:t>
      </w:r>
      <w:r/>
    </w:p>
    <w:p>
      <w:pPr>
        <w:pStyle w:val="1175"/>
        <w:contextualSpacing/>
        <w:ind w:firstLine="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采购包</w:t>
      </w:r>
      <w:r>
        <w:rPr>
          <w:rFonts w:hint="eastAsia" w:ascii="宋体" w:hAnsi="宋体" w:cs="宋体"/>
          <w:bCs/>
          <w:color w:val="000000"/>
          <w:sz w:val="24"/>
          <w:szCs w:val="24"/>
          <w:highlight w:val="none"/>
          <w:lang w:val="en-US" w:eastAsia="zh-CN"/>
        </w:rPr>
        <w:t xml:space="preserve">1</w:t>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嵌入式球场：码头街体育公园笼式灯光足球场一片、笼式灯光篮球场和圆形灯光篮球场各一片；燕鸣园口袋公园笼式灯光门球场一片；昆仑街道城中村改造余桥村笼式灯光3人制篮球场一片；燕山公园二片笼式灯光足球场围网与灯光改建。</w:t>
      </w:r>
      <w:r/>
    </w:p>
    <w:p>
      <w:pPr>
        <w:ind w:firstLine="420"/>
        <w:jc w:val="both"/>
        <w:widowControl w:val="off"/>
        <w:rPr>
          <w:rFonts w:hint="default" w:ascii="仿宋_GB2312" w:hAnsi="仿宋_GB2312" w:eastAsia="仿宋_GB2312" w:cs="仿宋_GB2312"/>
          <w:sz w:val="32"/>
          <w:szCs w:val="32"/>
          <w:highlight w:val="none"/>
          <w:lang w:val="en-US" w:eastAsia="zh-CN" w:bidi="ar-SA"/>
        </w:rPr>
      </w:pPr>
      <w:r>
        <w:rPr>
          <w:rFonts w:hint="eastAsia" w:ascii="宋体" w:hAnsi="宋体" w:eastAsia="宋体" w:cs="宋体"/>
          <w:b/>
          <w:bCs/>
          <w:sz w:val="22"/>
          <w:szCs w:val="22"/>
          <w:highlight w:val="none"/>
          <w:lang w:val="en-US" w:eastAsia="zh-CN" w:bidi="ar-SA"/>
        </w:rPr>
        <w:t xml:space="preserve">清单附表：</w:t>
      </w:r>
      <w:r/>
    </w:p>
    <w:tbl>
      <w:tblPr>
        <w:tblStyle w:val="904"/>
        <w:tblW w:w="5081" w:type="pct"/>
        <w:tblInd w:w="-21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35"/>
        <w:gridCol w:w="2234"/>
        <w:gridCol w:w="2234"/>
        <w:gridCol w:w="1736"/>
      </w:tblGrid>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设施器材种类</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位置</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新建笼式灯光足球场</w:t>
            </w:r>
            <w:r/>
          </w:p>
        </w:tc>
        <w:tc>
          <w:tcPr>
            <w:tcBorders>
              <w:top w:val="single" w:color="000000" w:sz="4" w:space="0"/>
              <w:left w:val="single" w:color="000000" w:sz="4" w:space="0"/>
              <w:right w:val="single" w:color="000000" w:sz="4" w:space="0"/>
            </w:tcBorders>
            <w:tcW w:w="2234"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码头街体育公园</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新建笼式灯光篮球场</w:t>
            </w:r>
            <w:r/>
          </w:p>
        </w:tc>
        <w:tc>
          <w:tcPr>
            <w:tcBorders>
              <w:left w:val="single" w:color="000000" w:sz="4" w:space="0"/>
              <w:right w:val="single" w:color="000000" w:sz="4" w:space="0"/>
            </w:tcBorders>
            <w:tcW w:w="22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圆形灯光篮球场</w:t>
            </w:r>
            <w:r/>
          </w:p>
        </w:tc>
        <w:tc>
          <w:tcPr>
            <w:tcBorders>
              <w:left w:val="single" w:color="000000" w:sz="4" w:space="0"/>
              <w:bottom w:val="single" w:color="000000" w:sz="4" w:space="0"/>
              <w:right w:val="single" w:color="000000" w:sz="4" w:space="0"/>
            </w:tcBorders>
            <w:tcW w:w="2234" w:type="dxa"/>
            <w:vAlign w:val="center"/>
            <w:vMerge w:val="continue"/>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笼式灯光门球场</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燕鸣园口袋公园</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笼式灯光3人制篮球场</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昆仑街道城中村改造余桥村</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r>
        <w:trPr>
          <w:trHeight w:val="348"/>
        </w:trPr>
        <w:tc>
          <w:tcPr>
            <w:tcBorders>
              <w:top w:val="single" w:color="000000" w:sz="4" w:space="0"/>
              <w:left w:val="single" w:color="000000" w:sz="4" w:space="0"/>
              <w:bottom w:val="single" w:color="000000" w:sz="4" w:space="0"/>
              <w:right w:val="single" w:color="000000" w:sz="4" w:space="0"/>
            </w:tcBorders>
            <w:tcW w:w="3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笼式灯光足球场围网与灯光改建</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燕山公园</w:t>
            </w:r>
            <w:r/>
          </w:p>
        </w:tc>
        <w:tc>
          <w:tcPr>
            <w:tcBorders>
              <w:top w:val="single" w:color="000000" w:sz="4" w:space="0"/>
              <w:left w:val="single" w:color="000000" w:sz="4" w:space="0"/>
              <w:bottom w:val="single" w:color="000000" w:sz="4" w:space="0"/>
              <w:right w:val="single" w:color="000000" w:sz="4" w:space="0"/>
            </w:tcBorders>
            <w:tcW w:w="2234"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p>
        </w:tc>
      </w:tr>
    </w:tbl>
    <w:p>
      <w:pPr>
        <w:pStyle w:val="1175"/>
        <w:contextualSpacing/>
        <w:ind w:firstLine="0"/>
        <w:spacing w:line="360" w:lineRule="auto"/>
        <w:rPr>
          <w:rFonts w:hint="eastAsia" w:ascii="宋体" w:hAnsi="宋体" w:eastAsia="宋体" w:cs="宋体"/>
          <w:b/>
          <w:color w:val="ff0000"/>
          <w:sz w:val="24"/>
          <w:szCs w:val="22"/>
          <w:highlight w:val="none"/>
          <w:lang w:val="en-US" w:eastAsia="zh-CN" w:bidi="ar-SA"/>
        </w:rPr>
      </w:pPr>
      <w:r>
        <w:rPr>
          <w:rFonts w:hint="eastAsia" w:ascii="宋体" w:hAnsi="宋体" w:eastAsia="宋体" w:cs="宋体"/>
          <w:b/>
          <w:color w:val="ff0000"/>
          <w:sz w:val="24"/>
          <w:szCs w:val="22"/>
          <w:highlight w:val="none"/>
          <w:lang w:val="en-US" w:eastAsia="zh-CN" w:bidi="ar-SA"/>
        </w:rPr>
        <w:t xml:space="preserve">注：</w:t>
      </w:r>
      <w:r>
        <w:rPr>
          <w:rFonts w:hint="eastAsia" w:ascii="宋体" w:hAnsi="宋体" w:eastAsia="宋体" w:cs="宋体"/>
          <w:b/>
          <w:bCs/>
          <w:color w:val="ff0000"/>
          <w:sz w:val="24"/>
          <w:szCs w:val="22"/>
          <w:highlight w:val="none"/>
          <w:lang w:val="en-US" w:eastAsia="zh-CN" w:bidi="ar-SA"/>
        </w:rPr>
        <w:t xml:space="preserve">★</w:t>
      </w:r>
      <w:r>
        <w:rPr>
          <w:rFonts w:hint="eastAsia" w:ascii="宋体" w:hAnsi="宋体" w:eastAsia="宋体" w:cs="宋体"/>
          <w:b/>
          <w:color w:val="ff0000"/>
          <w:sz w:val="24"/>
          <w:szCs w:val="22"/>
          <w:highlight w:val="none"/>
          <w:lang w:val="en-US" w:eastAsia="zh-CN" w:bidi="ar-SA"/>
        </w:rPr>
        <w:t xml:space="preserve">上述硅PU面层为核心产品，</w:t>
      </w:r>
      <w:r>
        <w:rPr>
          <w:rFonts w:hint="eastAsia" w:ascii="宋体" w:hAnsi="宋体" w:cs="宋体"/>
          <w:b/>
          <w:color w:val="ff0000"/>
          <w:sz w:val="24"/>
          <w:highlight w:val="none"/>
        </w:rPr>
        <w:t xml:space="preserve">核心产品品牌应一致</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lang w:val="en-US" w:eastAsia="zh-CN"/>
        </w:rPr>
        <w:t xml:space="preserve">仅指同一采购包内核心产品</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rPr>
        <w:t xml:space="preserve">，否则作无效投标处理。</w:t>
      </w:r>
      <w:r/>
    </w:p>
    <w:p>
      <w:pPr>
        <w:contextualSpacing/>
        <w:ind w:firstLine="0"/>
        <w:jc w:val="both"/>
        <w:spacing w:line="360" w:lineRule="auto"/>
        <w:widowControl w:val="off"/>
        <w:rPr>
          <w:rFonts w:hint="default" w:ascii="宋体" w:hAnsi="宋体" w:eastAsia="宋体" w:cs="宋体"/>
          <w:b/>
          <w:bCs/>
          <w:color w:val="ff0000"/>
          <w:sz w:val="24"/>
          <w:szCs w:val="22"/>
          <w:highlight w:val="none"/>
          <w:lang w:val="en-US" w:eastAsia="zh-CN" w:bidi="ar-SA"/>
        </w:rPr>
      </w:pPr>
      <w:r>
        <w:rPr>
          <w:rFonts w:hint="eastAsia" w:ascii="宋体" w:hAnsi="宋体" w:eastAsia="宋体" w:cs="宋体"/>
          <w:b/>
          <w:bCs/>
          <w:color w:val="ff0000"/>
          <w:sz w:val="24"/>
          <w:szCs w:val="22"/>
          <w:highlight w:val="none"/>
          <w:lang w:val="en-US" w:eastAsia="zh-CN" w:bidi="ar-SA"/>
        </w:rPr>
        <w:t xml:space="preserve">★所有器材上必须有能够通过“江苏省全民健身设施管理平台”进行报修的金属标签二维码；所有健身器材定位等信息需上传至该平台。若验收时不满足要求，则采购人有权不支付剩余款项。</w:t>
      </w:r>
      <w:r/>
    </w:p>
    <w:p>
      <w:pPr>
        <w:contextualSpacing/>
        <w:ind w:firstLine="0"/>
        <w:jc w:val="both"/>
        <w:spacing w:line="360" w:lineRule="auto"/>
        <w:widowControl w:val="off"/>
        <w:rPr>
          <w:rFonts w:hint="eastAsia" w:ascii="宋体" w:hAnsi="宋体" w:eastAsia="宋体" w:cs="宋体"/>
          <w:b/>
          <w:bCs/>
          <w:color w:val="ff0000"/>
          <w:sz w:val="24"/>
          <w:szCs w:val="22"/>
          <w:highlight w:val="none"/>
          <w:lang w:val="en-US" w:eastAsia="zh-CN" w:bidi="ar-SA"/>
        </w:rPr>
      </w:pPr>
      <w:r>
        <w:rPr>
          <w:rFonts w:hint="eastAsia" w:ascii="宋体" w:hAnsi="宋体" w:eastAsia="宋体" w:cs="宋体"/>
          <w:b/>
          <w:bCs/>
          <w:color w:val="ff0000"/>
          <w:sz w:val="24"/>
          <w:szCs w:val="22"/>
          <w:highlight w:val="none"/>
          <w:lang w:val="en-US" w:eastAsia="zh-CN" w:bidi="ar-SA"/>
        </w:rPr>
        <w:t xml:space="preserve">★所有器材上必须以显著方式标明“彩票公益金资助中国体育彩票”标志标识，并在使用期间对标志标识进行有效维护。</w:t>
      </w:r>
      <w:r/>
    </w:p>
    <w:p>
      <w:pPr>
        <w:contextualSpacing/>
        <w:ind w:firstLine="0"/>
        <w:jc w:val="both"/>
        <w:spacing w:line="360" w:lineRule="auto"/>
        <w:widowControl w:val="off"/>
        <w:rPr>
          <w:rFonts w:hint="default" w:ascii="宋体" w:hAnsi="宋体" w:eastAsia="宋体" w:cs="宋体"/>
          <w:b/>
          <w:bCs/>
          <w:color w:val="ff0000"/>
          <w:sz w:val="24"/>
          <w:szCs w:val="22"/>
          <w:highlight w:val="none"/>
          <w:lang w:val="en-US" w:eastAsia="zh-CN" w:bidi="ar-SA"/>
        </w:rPr>
      </w:pPr>
      <w:r>
        <w:rPr>
          <w:rFonts w:hint="eastAsia" w:ascii="宋体" w:hAnsi="宋体" w:eastAsia="宋体" w:cs="宋体"/>
          <w:b/>
          <w:bCs/>
          <w:color w:val="ff0000"/>
          <w:sz w:val="24"/>
          <w:szCs w:val="22"/>
          <w:highlight w:val="none"/>
          <w:lang w:val="en-US" w:eastAsia="zh-CN" w:bidi="ar-SA"/>
        </w:rPr>
        <w:t xml:space="preserve">★所购器材应投保产品责任保险或产品质量保险和公众责任保险（第三者责任险、意外伤害险）。中标供应商应在发布中标结果公告后5日内提供所有器材的保险证明材料，若逾期未提供证明材料或提供不全的，采购人取消其中标资格。</w:t>
      </w:r>
      <w:r/>
    </w:p>
    <w:p>
      <w:pPr>
        <w:contextualSpacing/>
        <w:ind w:firstLine="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采购包</w:t>
      </w:r>
      <w:r>
        <w:rPr>
          <w:rFonts w:hint="eastAsia" w:ascii="宋体" w:hAnsi="宋体" w:cs="宋体"/>
          <w:bCs/>
          <w:color w:val="000000"/>
          <w:sz w:val="24"/>
          <w:szCs w:val="24"/>
          <w:highlight w:val="none"/>
          <w:lang w:val="en-US" w:eastAsia="zh-CN" w:bidi="ar-SA"/>
        </w:rPr>
        <w:t xml:space="preserve">2</w:t>
      </w:r>
      <w:r/>
    </w:p>
    <w:p>
      <w:pPr>
        <w:contextualSpacing/>
        <w:ind w:firstLine="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嵌入式健身空间：城中村改造和全市口袋公园的5套一代健身路径、6处全龄段的组合型器材和体育场地胶更新、4张乒乓球台和6只足球门。</w:t>
      </w:r>
      <w:r/>
    </w:p>
    <w:tbl>
      <w:tblPr>
        <w:tblStyle w:val="924"/>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3"/>
        <w:gridCol w:w="1467"/>
        <w:gridCol w:w="2473"/>
        <w:gridCol w:w="1791"/>
        <w:gridCol w:w="1207"/>
      </w:tblGrid>
      <w:tr>
        <w:trPr/>
        <w:tc>
          <w:tcPr>
            <w:tcW w:w="202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47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791" w:type="dxa"/>
            <w:vAlign w:val="center"/>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名称</w:t>
            </w:r>
            <w:r/>
          </w:p>
        </w:tc>
        <w:tc>
          <w:tcPr>
            <w:tcW w:w="1207"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rHeight w:val="135"/>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码头街体育公园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清溪路西侧、码头街北侧</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3件负重力量路径、1件亲子类器材、5件一代健身路径（含告示牌）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90"/>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亲子互动骑马机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双位</w:t>
            </w:r>
            <w:r>
              <w:rPr>
                <w:rFonts w:hint="eastAsia" w:ascii="宋体" w:hAnsi="宋体" w:eastAsia="宋体" w:cs="宋体"/>
                <w:i w:val="0"/>
                <w:iCs w:val="0"/>
                <w:color w:val="000000"/>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35"/>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立式腰背按摩器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202"/>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翰林苑南侧口袋公园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昆仑南路与东升路东北角</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t xml:space="preserve">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202"/>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99"/>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67"/>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埭头镇人民北路口袋公园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埭头镇人民北路</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组合式儿童攀爬类器材、10件一代健身路径（含告示牌）</w:t>
            </w:r>
            <w:r/>
          </w:p>
        </w:tc>
        <w:tc>
          <w:tcPr>
            <w:tcW w:w="179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小型组合式儿童攀爬类器材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椭圆机</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背部训练器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上肢牵引器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67"/>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跷跷板</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南渡镇体育公园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春晖公园东南面空地</w:t>
            </w:r>
            <w:r/>
          </w:p>
        </w:tc>
        <w:tc>
          <w:tcPr>
            <w:tcW w:w="2473" w:type="dxa"/>
            <w:vAlign w:val="center"/>
            <w:vMerge w:val="restart"/>
            <w:textDirection w:val="lrTb"/>
            <w:noWrap w:val="false"/>
          </w:tcPr>
          <w:p>
            <w:pPr>
              <w:jc w:val="center"/>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组合式儿童攀爬类器材，10件一代健身路径（含告示牌）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大型</w:t>
            </w:r>
            <w:r>
              <w:rPr>
                <w:rFonts w:hint="eastAsia" w:ascii="宋体" w:hAnsi="宋体" w:eastAsia="宋体" w:cs="宋体"/>
                <w:i w:val="0"/>
                <w:iCs w:val="0"/>
                <w:color w:val="000000"/>
                <w:sz w:val="20"/>
                <w:szCs w:val="20"/>
                <w:highlight w:val="none"/>
                <w:u w:val="none"/>
                <w:lang w:val="en-US" w:eastAsia="zh-CN" w:bidi="ar"/>
              </w:rPr>
              <w:t xml:space="preserve">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双位</w:t>
            </w:r>
            <w:r>
              <w:rPr>
                <w:rFonts w:hint="eastAsia" w:ascii="宋体" w:hAnsi="宋体" w:eastAsia="宋体" w:cs="宋体"/>
                <w:i w:val="0"/>
                <w:iCs w:val="0"/>
                <w:color w:val="auto"/>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骑马机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椭圆机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背部训练器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上肢牵引器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7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跷跷板</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别桥镇口袋公园</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丹金溧漕河西岸提升项目</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组合式儿童攀爬类器材，综合6件套+告示牌</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小型</w:t>
            </w:r>
            <w:r>
              <w:rPr>
                <w:rFonts w:hint="eastAsia" w:ascii="宋体" w:hAnsi="宋体" w:eastAsia="宋体" w:cs="宋体"/>
                <w:i w:val="0"/>
                <w:iCs w:val="0"/>
                <w:color w:val="000000"/>
                <w:sz w:val="20"/>
                <w:szCs w:val="20"/>
                <w:highlight w:val="none"/>
                <w:u w:val="none"/>
                <w:lang w:val="en-US" w:eastAsia="zh-CN" w:bidi="ar"/>
              </w:rPr>
              <w:t xml:space="preserve">组合式儿童攀爬类器材</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cs="宋体"/>
                <w:i w:val="0"/>
                <w:iCs w:val="0"/>
                <w:color w:val="000000"/>
                <w:sz w:val="20"/>
                <w:szCs w:val="20"/>
                <w:highlight w:val="none"/>
                <w:u w:val="none"/>
                <w:lang w:val="en-US" w:eastAsia="zh-CN" w:bidi="ar"/>
              </w:rPr>
              <w:t xml:space="preserve">双位</w:t>
            </w:r>
            <w:r>
              <w:rPr>
                <w:rFonts w:hint="eastAsia" w:ascii="宋体" w:hAnsi="宋体" w:eastAsia="宋体" w:cs="宋体"/>
                <w:i w:val="0"/>
                <w:iCs w:val="0"/>
                <w:color w:val="000000"/>
                <w:sz w:val="20"/>
                <w:szCs w:val="20"/>
                <w:highlight w:val="none"/>
                <w:u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三位扭腰器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151"/>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溧城街道体育场</w:t>
            </w:r>
            <w:r/>
          </w:p>
        </w:tc>
        <w:tc>
          <w:tcPr>
            <w:tcW w:w="1467" w:type="dxa"/>
            <w:vAlign w:val="center"/>
            <w:vMerge w:val="restart"/>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健身路径提升改造</w:t>
            </w:r>
            <w:r/>
          </w:p>
        </w:tc>
        <w:tc>
          <w:tcPr>
            <w:tcW w:w="2473" w:type="dxa"/>
            <w:vAlign w:val="center"/>
            <w:vMerge w:val="restart"/>
            <w:textDirection w:val="lrTb"/>
            <w:noWrap w:val="false"/>
          </w:tcPr>
          <w:p>
            <w:pPr>
              <w:jc w:val="left"/>
              <w:keepLines w:val="0"/>
              <w:keepNext w:val="0"/>
              <w:widowControl/>
              <w:rPr>
                <w:rFonts w:hint="eastAsia" w:ascii="宋体" w:hAnsi="宋体" w:eastAsia="宋体" w:cs="宋体"/>
                <w:b/>
                <w:bCs/>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组合式训练器+提重训练器+负重力量路径3件套+一代健身路径10件套+EPDM颗粒更新</w:t>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组合训练器</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1套</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467"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2473" w:type="dxa"/>
            <w:vAlign w:val="center"/>
            <w:vMerge w:val="continue"/>
            <w:textDirection w:val="lrTb"/>
            <w:noWrap w:val="false"/>
          </w:tcPr>
          <w:p>
            <w:pPr>
              <w:contextualSpacing/>
              <w:ind w:firstLine="0"/>
              <w:jc w:val="center"/>
              <w:spacing w:line="360" w:lineRule="auto"/>
              <w:widowControl w:val="off"/>
              <w:rPr>
                <w:highlight w:val="none"/>
              </w:rPr>
            </w:pPr>
            <w:r>
              <w:rPr>
                <w:highlight w:val="none"/>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不锈钢提重训练器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双位</w:t>
            </w:r>
            <w:r>
              <w:rPr>
                <w:rStyle w:val="1344"/>
                <w:highlight w:val="none"/>
                <w:lang w:val="en-US" w:eastAsia="zh-CN" w:bidi="ar"/>
              </w:rPr>
              <w:t xml:space="preserve">太空漫步机</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肋木架</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二位单杠</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双杠</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太极揉推器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平行天梯</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负重推肩训练器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负重高拉训练器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负重深蹲训练器</w:t>
            </w:r>
            <w:r/>
          </w:p>
        </w:tc>
        <w:tc>
          <w:tcPr>
            <w:tcW w:w="120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1件</w:t>
            </w:r>
            <w:r/>
          </w:p>
        </w:tc>
      </w:tr>
      <w:tr>
        <w:trPr>
          <w:trHeight w:val="83"/>
        </w:trPr>
        <w:tc>
          <w:tcPr>
            <w:tcW w:w="202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2473"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91" w:type="dxa"/>
            <w:vAlign w:val="center"/>
            <w:textDirection w:val="lrTb"/>
            <w:noWrap w:val="false"/>
          </w:tcPr>
          <w:p>
            <w:pPr>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
              </w:rPr>
              <w:t xml:space="preserve">EPDM颗粒更新（含原旧地面铲除）</w:t>
            </w:r>
            <w:r/>
          </w:p>
        </w:tc>
        <w:tc>
          <w:tcPr>
            <w:tcW w:w="1207"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约280平方米</w:t>
            </w:r>
            <w:r/>
          </w:p>
        </w:tc>
      </w:tr>
    </w:tbl>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bl>
      <w:tblPr>
        <w:tblStyle w:val="924"/>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23"/>
        <w:gridCol w:w="1467"/>
        <w:gridCol w:w="2859"/>
        <w:gridCol w:w="1499"/>
      </w:tblGrid>
      <w:tr>
        <w:trPr/>
        <w:tc>
          <w:tcPr>
            <w:tcW w:w="2023"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85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c>
          <w:tcPr>
            <w:tcW w:w="2023"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溧城街道燕鸣园</w:t>
            </w:r>
            <w:r/>
          </w:p>
        </w:tc>
        <w:tc>
          <w:tcPr>
            <w:tcW w:w="1467" w:type="dxa"/>
            <w:vAlign w:val="center"/>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燕湖路与燕山中路东南角</w:t>
            </w:r>
            <w:r/>
          </w:p>
        </w:tc>
        <w:tc>
          <w:tcPr>
            <w:tcW w:w="2859" w:type="dxa"/>
            <w:vAlign w:val="center"/>
            <w:vMerge w:val="restart"/>
            <w:textDirection w:val="lrTb"/>
            <w:noWrap w:val="false"/>
          </w:tcPr>
          <w:p>
            <w:pPr>
              <w:contextualSpacing/>
              <w:ind w:firstLine="0"/>
              <w:jc w:val="both"/>
              <w:spacing w:line="360" w:lineRule="auto"/>
              <w:widowControl w:val="off"/>
              <w:rPr>
                <w:rFonts w:hint="eastAsia" w:ascii="宋体" w:hAnsi="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一代健身路径（10件）</w:t>
            </w:r>
            <w:r>
              <w:rPr>
                <w:rFonts w:hint="eastAsia" w:ascii="宋体" w:hAnsi="宋体" w:cs="宋体"/>
                <w:bCs/>
                <w:color w:val="000000"/>
                <w:sz w:val="21"/>
                <w:szCs w:val="21"/>
                <w:highlight w:val="none"/>
                <w:lang w:val="en-US" w:eastAsia="zh-CN" w:bidi="ar-SA"/>
              </w:rPr>
              <w:t xml:space="preserve">：</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告示牌</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双位太空漫步机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三位扭腰器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太极揉推器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骑马机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椭圆机</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肋木架</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背部训练器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上肢牵引器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四联压腿按摩器</w:t>
            </w:r>
            <w:r/>
          </w:p>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昆仑街道（城中村改造）</w:t>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余桥村村委会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徐格笪村周格笪村委会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新庄村委会</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r>
        <w:trPr>
          <w:trHeight w:val="475"/>
        </w:trPr>
        <w:tc>
          <w:tcPr>
            <w:tcW w:w="2023" w:type="dxa"/>
            <w:vAlign w:val="center"/>
            <w:vMerge w:val="continue"/>
            <w:textDirection w:val="lrTb"/>
            <w:noWrap w:val="false"/>
          </w:tcPr>
          <w:p>
            <w:pPr>
              <w:contextualSpacing/>
              <w:ind w:firstLine="0"/>
              <w:jc w:val="both"/>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46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后小渚村</w:t>
            </w:r>
            <w:r/>
          </w:p>
        </w:tc>
        <w:tc>
          <w:tcPr>
            <w:tcW w:w="2859" w:type="dxa"/>
            <w:vAlign w:val="center"/>
            <w:vMerge w:val="continue"/>
            <w:textDirection w:val="lrTb"/>
            <w:noWrap w:val="false"/>
          </w:tcPr>
          <w:p>
            <w:pPr>
              <w:contextualSpacing/>
              <w:ind w:firstLine="0"/>
              <w:jc w:val="both"/>
              <w:spacing w:line="360" w:lineRule="auto"/>
              <w:widowControl w:val="off"/>
              <w:rPr>
                <w:rFonts w:hint="default" w:ascii="宋体" w:hAnsi="宋体" w:eastAsia="宋体" w:cs="宋体"/>
                <w:bCs/>
                <w:color w:val="000000"/>
                <w:sz w:val="21"/>
                <w:szCs w:val="21"/>
                <w:highlight w:val="none"/>
                <w:lang w:val="en-US" w:eastAsia="zh-CN" w:bidi="ar-SA"/>
              </w:rPr>
            </w:pPr>
            <w:r>
              <w:rPr>
                <w:rFonts w:hint="default" w:ascii="宋体" w:hAnsi="宋体" w:eastAsia="宋体" w:cs="宋体"/>
                <w:bCs/>
                <w:color w:val="000000"/>
                <w:sz w:val="21"/>
                <w:szCs w:val="21"/>
                <w:highlight w:val="none"/>
                <w:lang w:val="en-US" w:eastAsia="zh-CN" w:bidi="ar-SA"/>
              </w:rPr>
            </w:r>
            <w:r/>
          </w:p>
        </w:tc>
        <w:tc>
          <w:tcPr>
            <w:tcW w:w="1499"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1套</w:t>
            </w:r>
            <w:r/>
          </w:p>
        </w:tc>
      </w:tr>
    </w:tbl>
    <w:p>
      <w:pPr>
        <w:pStyle w:val="1175"/>
        <w:contextualSpacing/>
        <w:ind w:firstLine="0"/>
        <w:spacing w:line="360" w:lineRule="auto"/>
        <w:rPr>
          <w:rFonts w:hint="default" w:ascii="宋体" w:hAnsi="宋体" w:eastAsia="宋体" w:cs="宋体"/>
          <w:b/>
          <w:bCs/>
          <w:color w:val="000000"/>
          <w:sz w:val="24"/>
          <w:highlight w:val="none"/>
          <w:lang w:val="en-US" w:eastAsia="zh-CN"/>
        </w:rPr>
      </w:pPr>
      <w:r>
        <w:rPr>
          <w:rFonts w:hint="default" w:ascii="宋体" w:hAnsi="宋体" w:eastAsia="宋体" w:cs="宋体"/>
          <w:b/>
          <w:bCs/>
          <w:color w:val="000000"/>
          <w:sz w:val="24"/>
          <w:highlight w:val="none"/>
          <w:lang w:val="en-US" w:eastAsia="zh-CN"/>
        </w:rPr>
      </w:r>
      <w:r/>
    </w:p>
    <w:tbl>
      <w:tblPr>
        <w:tblStyle w:val="924"/>
        <w:tblW w:w="0" w:type="auto"/>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0"/>
        <w:gridCol w:w="1737"/>
        <w:gridCol w:w="2541"/>
        <w:gridCol w:w="1541"/>
      </w:tblGrid>
      <w:tr>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乡镇（公园）</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地址</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建设内容</w:t>
            </w:r>
            <w:r/>
          </w:p>
        </w:tc>
        <w:tc>
          <w:tcPr>
            <w:tcW w:w="1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数量</w:t>
            </w:r>
            <w:r/>
          </w:p>
        </w:tc>
      </w:tr>
      <w:tr>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别桥镇</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丹金溧漕河西岸提升项目</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乒乓球台</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3</w:t>
            </w:r>
            <w:r/>
          </w:p>
        </w:tc>
      </w:tr>
      <w:tr>
        <w:trPr>
          <w:trHeight w:val="505"/>
        </w:trPr>
        <w:tc>
          <w:tcPr>
            <w:tcW w:w="1850"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埭头镇</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埭头体育公园</w:t>
            </w:r>
            <w:r/>
          </w:p>
        </w:tc>
        <w:tc>
          <w:tcPr>
            <w:tcW w:w="2541"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足球门</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r>
        <w:trPr/>
        <w:tc>
          <w:tcPr>
            <w:tcW w:w="1850"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城管局</w:t>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时光童趣园南侧草坪</w:t>
            </w:r>
            <w:r/>
          </w:p>
        </w:tc>
        <w:tc>
          <w:tcPr>
            <w:tcW w:w="2541" w:type="dxa"/>
            <w:vAlign w:val="center"/>
            <w:vMerge w:val="restart"/>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足球门</w:t>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r>
        <w:trPr/>
        <w:tc>
          <w:tcPr>
            <w:tcW w:w="1850"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737" w:type="dxa"/>
            <w:vAlign w:val="center"/>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琴园路北侧草坪</w:t>
            </w:r>
            <w:r/>
          </w:p>
        </w:tc>
        <w:tc>
          <w:tcPr>
            <w:tcW w:w="2541" w:type="dxa"/>
            <w:vAlign w:val="center"/>
            <w:vMerge w:val="continue"/>
            <w:textDirection w:val="lrTb"/>
            <w:noWrap w:val="false"/>
          </w:tcPr>
          <w:p>
            <w:pPr>
              <w:contextualSpacing/>
              <w:ind w:firstLine="0"/>
              <w:jc w:val="center"/>
              <w:spacing w:line="360" w:lineRule="auto"/>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W w:w="1541" w:type="dxa"/>
            <w:vAlign w:val="center"/>
            <w:textDirection w:val="lrTb"/>
            <w:noWrap w:val="false"/>
          </w:tcPr>
          <w:p>
            <w:pPr>
              <w:contextualSpacing/>
              <w:ind w:firstLine="0"/>
              <w:jc w:val="center"/>
              <w:spacing w:line="360" w:lineRule="auto"/>
              <w:widowControl w:val="off"/>
              <w:rPr>
                <w:rFonts w:hint="default"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bidi="ar-SA"/>
              </w:rPr>
              <w:t xml:space="preserve">2</w:t>
            </w:r>
            <w:r/>
          </w:p>
        </w:tc>
      </w:tr>
    </w:tbl>
    <w:p>
      <w:pPr>
        <w:pStyle w:val="1175"/>
        <w:contextualSpacing/>
        <w:ind w:firstLine="0"/>
        <w:spacing w:line="360" w:lineRule="auto"/>
        <w:rPr>
          <w:rFonts w:hint="eastAsia" w:ascii="宋体" w:hAnsi="宋体" w:eastAsia="宋体" w:cs="宋体"/>
          <w:b/>
          <w:color w:val="ff0000"/>
          <w:sz w:val="24"/>
          <w:szCs w:val="22"/>
          <w:highlight w:val="none"/>
          <w:lang w:val="en-US" w:eastAsia="zh-CN" w:bidi="ar-SA"/>
        </w:rPr>
      </w:pPr>
      <w:r>
        <w:rPr>
          <w:rFonts w:hint="eastAsia" w:ascii="宋体" w:hAnsi="宋体" w:eastAsia="宋体" w:cs="宋体"/>
          <w:b/>
          <w:color w:val="ff0000"/>
          <w:sz w:val="24"/>
          <w:szCs w:val="22"/>
          <w:highlight w:val="none"/>
          <w:lang w:val="en-US" w:eastAsia="zh-CN" w:bidi="ar-SA"/>
        </w:rPr>
        <w:t xml:space="preserve">注：</w:t>
      </w:r>
      <w:r>
        <w:rPr>
          <w:rFonts w:hint="eastAsia" w:ascii="宋体" w:hAnsi="宋体" w:eastAsia="宋体" w:cs="宋体"/>
          <w:b/>
          <w:bCs/>
          <w:color w:val="ff0000"/>
          <w:sz w:val="24"/>
          <w:szCs w:val="22"/>
          <w:highlight w:val="none"/>
          <w:lang w:val="en-US" w:eastAsia="zh-CN" w:bidi="ar-SA"/>
        </w:rPr>
        <w:t xml:space="preserve">★</w:t>
      </w:r>
      <w:r>
        <w:rPr>
          <w:rFonts w:hint="eastAsia" w:ascii="宋体" w:hAnsi="宋体" w:eastAsia="宋体" w:cs="宋体"/>
          <w:b/>
          <w:color w:val="ff0000"/>
          <w:sz w:val="24"/>
          <w:szCs w:val="22"/>
          <w:highlight w:val="none"/>
          <w:lang w:val="en-US" w:eastAsia="zh-CN" w:bidi="ar-SA"/>
        </w:rPr>
        <w:t xml:space="preserve">上述</w:t>
      </w:r>
      <w:r>
        <w:rPr>
          <w:rFonts w:hint="eastAsia" w:ascii="宋体" w:hAnsi="宋体" w:cs="宋体"/>
          <w:b/>
          <w:bCs/>
          <w:color w:val="ff0000"/>
          <w:sz w:val="24"/>
          <w:highlight w:val="none"/>
          <w:lang w:val="en-US" w:eastAsia="zh-CN"/>
        </w:rPr>
        <w:t xml:space="preserve">双位太空漫步机为核心产品，</w:t>
      </w:r>
      <w:r>
        <w:rPr>
          <w:rFonts w:hint="eastAsia" w:ascii="宋体" w:hAnsi="宋体" w:cs="宋体"/>
          <w:b/>
          <w:bCs/>
          <w:color w:val="ff0000"/>
          <w:sz w:val="24"/>
          <w:highlight w:val="none"/>
        </w:rPr>
        <w:t xml:space="preserve">核心产品品牌应</w:t>
      </w:r>
      <w:r>
        <w:rPr>
          <w:rFonts w:hint="eastAsia" w:ascii="宋体" w:hAnsi="宋体" w:cs="宋体"/>
          <w:b/>
          <w:color w:val="ff0000"/>
          <w:sz w:val="24"/>
          <w:highlight w:val="none"/>
        </w:rPr>
        <w:t xml:space="preserve">一致</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lang w:val="en-US" w:eastAsia="zh-CN"/>
        </w:rPr>
        <w:t xml:space="preserve">仅指同一采购包内核心产品</w:t>
      </w:r>
      <w:r>
        <w:rPr>
          <w:rFonts w:hint="eastAsia" w:ascii="宋体" w:hAnsi="宋体" w:cs="宋体"/>
          <w:b/>
          <w:color w:val="ff0000"/>
          <w:sz w:val="24"/>
          <w:highlight w:val="none"/>
          <w:lang w:eastAsia="zh-CN"/>
        </w:rPr>
        <w:t xml:space="preserve">）</w:t>
      </w:r>
      <w:r>
        <w:rPr>
          <w:rFonts w:hint="eastAsia" w:ascii="宋体" w:hAnsi="宋体" w:cs="宋体"/>
          <w:b/>
          <w:color w:val="ff0000"/>
          <w:sz w:val="24"/>
          <w:highlight w:val="none"/>
        </w:rPr>
        <w:t xml:space="preserve">，否则作无效投标处理。</w:t>
      </w:r>
      <w:r/>
    </w:p>
    <w:p>
      <w:pPr>
        <w:pStyle w:val="1175"/>
        <w:contextualSpacing/>
        <w:ind w:firstLine="0"/>
        <w:spacing w:line="360" w:lineRule="auto"/>
        <w:rPr>
          <w:rFonts w:hint="default" w:ascii="宋体" w:hAnsi="宋体" w:eastAsia="宋体" w:cs="宋体"/>
          <w:b/>
          <w:bCs/>
          <w:color w:val="ff0000"/>
          <w:sz w:val="24"/>
          <w:highlight w:val="none"/>
          <w:lang w:val="en-US" w:eastAsia="zh-CN"/>
        </w:rPr>
      </w:pPr>
      <w:r>
        <w:rPr>
          <w:rFonts w:hint="eastAsia" w:ascii="宋体" w:hAnsi="宋体" w:cs="宋体"/>
          <w:b/>
          <w:bCs/>
          <w:color w:val="ff0000"/>
          <w:sz w:val="24"/>
          <w:highlight w:val="none"/>
        </w:rPr>
        <w:t xml:space="preserve">★所有健身器材上必须有能够通过“江苏省全民健身设施管理平台”进行报修的金属标签二维码</w:t>
      </w:r>
      <w:r>
        <w:rPr>
          <w:rFonts w:hint="eastAsia" w:ascii="宋体" w:hAnsi="宋体" w:cs="宋体"/>
          <w:b/>
          <w:bCs/>
          <w:color w:val="ff0000"/>
          <w:sz w:val="24"/>
          <w:highlight w:val="none"/>
          <w:lang w:eastAsia="zh-CN"/>
        </w:rPr>
        <w:t xml:space="preserve">；</w:t>
      </w:r>
      <w:r>
        <w:rPr>
          <w:rFonts w:hint="eastAsia" w:ascii="宋体" w:hAnsi="宋体" w:cs="宋体"/>
          <w:b/>
          <w:bCs/>
          <w:color w:val="ff0000"/>
          <w:sz w:val="24"/>
          <w:highlight w:val="none"/>
          <w:lang w:val="en-US" w:eastAsia="zh-CN"/>
        </w:rPr>
        <w:t xml:space="preserve">所有健身器材定位等信息需上传至该平台。若验收时不满足要求，则采购人有权不支付剩余款项。</w:t>
      </w:r>
      <w:r/>
    </w:p>
    <w:p>
      <w:pPr>
        <w:pStyle w:val="1175"/>
        <w:contextualSpacing/>
        <w:ind w:firstLine="0"/>
        <w:spacing w:line="360" w:lineRule="auto"/>
        <w:rPr>
          <w:rFonts w:hint="eastAsia" w:ascii="宋体" w:hAnsi="宋体" w:cs="宋体"/>
          <w:b/>
          <w:bCs/>
          <w:color w:val="ff0000"/>
          <w:sz w:val="24"/>
          <w:highlight w:val="none"/>
        </w:rPr>
      </w:pPr>
      <w:r>
        <w:rPr>
          <w:rFonts w:hint="eastAsia" w:ascii="宋体" w:hAnsi="宋体" w:cs="宋体"/>
          <w:b/>
          <w:bCs/>
          <w:color w:val="ff0000"/>
          <w:sz w:val="24"/>
          <w:highlight w:val="none"/>
        </w:rPr>
        <w:t xml:space="preserve">★所有器材上必须以显著方式标明“彩票公益金资助中国体育彩票”标志标识，并在使用期间对标志标识进行有效维护。</w:t>
      </w:r>
      <w:r/>
    </w:p>
    <w:p>
      <w:pPr>
        <w:pStyle w:val="1175"/>
        <w:contextualSpacing/>
        <w:ind w:firstLine="0"/>
        <w:spacing w:line="360" w:lineRule="auto"/>
        <w:rPr>
          <w:rFonts w:hint="default" w:ascii="宋体" w:hAnsi="宋体" w:cs="宋体"/>
          <w:b/>
          <w:bCs/>
          <w:color w:val="ff0000"/>
          <w:sz w:val="24"/>
          <w:highlight w:val="none"/>
          <w:lang w:val="en-US"/>
        </w:rPr>
      </w:pPr>
      <w:r>
        <w:rPr>
          <w:rFonts w:hint="eastAsia" w:ascii="宋体" w:hAnsi="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所购器材应投保产品责任保险或产品质量保险和公众责任保险（第三者责任险、意外伤害险）。中标供应商应在发布中标结果公告后5日内提供所有器材的保险证明材料，若逾期未提供证明材料或提供不全的，采购人取消其中标资格。</w:t>
      </w:r>
      <w:r/>
    </w:p>
    <w:p>
      <w:pPr>
        <w:pStyle w:val="1338"/>
        <w:jc w:val="lef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二、技术标准与要求</w:t>
      </w:r>
      <w:r/>
    </w:p>
    <w:p>
      <w:pPr>
        <w:spacing w:line="360" w:lineRule="auto"/>
        <w:rPr>
          <w:rFonts w:hint="default"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采购包1：</w:t>
      </w:r>
      <w:r>
        <w:rPr>
          <w:rFonts w:hint="eastAsia" w:ascii="宋体" w:hAnsi="宋体" w:cs="宋体"/>
          <w:b/>
          <w:bCs/>
          <w:color w:val="000000"/>
          <w:szCs w:val="21"/>
          <w:highlight w:val="none"/>
        </w:rPr>
        <w:t xml:space="preserve">技术参数</w:t>
      </w:r>
      <w:r/>
    </w:p>
    <w:tbl>
      <w:tblPr>
        <w:tblStyle w:val="9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009"/>
        <w:gridCol w:w="1407"/>
        <w:gridCol w:w="1221"/>
        <w:gridCol w:w="4271"/>
      </w:tblGrid>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乡镇（公园）</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地址</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场地类型</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c>
          <w:tcPr>
            <w:tcW w:w="427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p>
        </w:tc>
      </w:tr>
      <w:tr>
        <w:trPr/>
        <w:tc>
          <w:tcPr>
            <w:tcW w:w="1380" w:type="dxa"/>
            <w:vAlign w:val="center"/>
            <w:vMerge w:val="restart"/>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码头街体育公园</w:t>
            </w:r>
            <w:r/>
          </w:p>
        </w:tc>
        <w:tc>
          <w:tcPr>
            <w:tcW w:w="1009" w:type="dxa"/>
            <w:vAlign w:val="center"/>
            <w:vMerge w:val="restart"/>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清溪路西侧、码头街北侧</w:t>
            </w:r>
            <w:r/>
          </w:p>
        </w:tc>
        <w:tc>
          <w:tcPr>
            <w:tcW w:w="140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笼式灯光足球场</w:t>
            </w:r>
            <w:r/>
          </w:p>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44*25米</w:t>
            </w:r>
            <w:r>
              <w:rPr>
                <w:rFonts w:hint="eastAsia" w:ascii="宋体" w:hAnsi="宋体" w:cs="宋体"/>
                <w:i w:val="0"/>
                <w:iCs w:val="0"/>
                <w:color w:val="000000"/>
                <w:sz w:val="21"/>
                <w:szCs w:val="21"/>
                <w:highlight w:val="none"/>
                <w:u w:val="none"/>
                <w:lang w:val="en-US" w:eastAsia="zh-CN" w:bidi="ar"/>
              </w:rPr>
              <w:t xml:space="preserve">（具体尺寸详见图纸）</w:t>
            </w:r>
            <w:r/>
          </w:p>
        </w:tc>
        <w:tc>
          <w:tcPr>
            <w:tcW w:w="1221" w:type="dxa"/>
            <w:vAlign w:val="center"/>
            <w:textDirection w:val="lrTb"/>
            <w:noWrap w:val="false"/>
          </w:tcPr>
          <w:p>
            <w:pPr>
              <w:jc w:val="center"/>
              <w:keepLines w:val="0"/>
              <w:keepNext w:val="0"/>
              <w:widowControl/>
              <w:rPr>
                <w:rFonts w:hint="default" w:ascii="宋体" w:hAnsi="宋体" w:eastAsia="宋体" w:cs="宋体"/>
                <w:b/>
                <w:color w:val="000000"/>
                <w:sz w:val="21"/>
                <w:szCs w:val="21"/>
                <w:highlight w:val="none"/>
                <w:vertAlign w:val="baseli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cs="宋体"/>
                <w:i w:val="0"/>
                <w:iCs w:val="0"/>
                <w:color w:val="000000"/>
                <w:sz w:val="21"/>
                <w:szCs w:val="21"/>
                <w:highlight w:val="none"/>
                <w:u w:val="none"/>
                <w:lang w:val="en-US" w:eastAsia="zh-CN" w:bidi="ar"/>
              </w:rPr>
              <w:t xml:space="preserve">片</w:t>
            </w:r>
            <w:r/>
          </w:p>
        </w:tc>
        <w:tc>
          <w:tcPr>
            <w:tcW w:w="4271"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1.填充型人造草：草高（mm）：50±1；磅重：≥1</w:t>
            </w:r>
            <w:r>
              <w:rPr>
                <w:rFonts w:hint="eastAsia" w:ascii="宋体" w:hAnsi="宋体" w:cs="宋体"/>
                <w:i w:val="0"/>
                <w:iCs w:val="0"/>
                <w:color w:val="000000"/>
                <w:sz w:val="21"/>
                <w:szCs w:val="21"/>
                <w:highlight w:val="none"/>
                <w:u w:val="none"/>
                <w:lang w:val="en-US" w:eastAsia="zh-CN" w:bidi="ar"/>
              </w:rPr>
              <w:t xml:space="preserve">00</w:t>
            </w:r>
            <w:r>
              <w:rPr>
                <w:rFonts w:hint="eastAsia" w:ascii="宋体" w:hAnsi="宋体" w:eastAsia="宋体" w:cs="宋体"/>
                <w:i w:val="0"/>
                <w:iCs w:val="0"/>
                <w:color w:val="000000"/>
                <w:sz w:val="21"/>
                <w:szCs w:val="21"/>
                <w:highlight w:val="none"/>
                <w:u w:val="none"/>
                <w:lang w:val="en-US" w:eastAsia="zh-CN" w:bidi="ar"/>
              </w:rPr>
              <w:t xml:space="preserve">00分特（单簇根数不低于1</w:t>
            </w:r>
            <w:r>
              <w:rPr>
                <w:rFonts w:hint="eastAsia" w:ascii="宋体" w:hAnsi="宋体" w:cs="宋体"/>
                <w:i w:val="0"/>
                <w:iCs w:val="0"/>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根）密度：≥1</w:t>
            </w:r>
            <w:r>
              <w:rPr>
                <w:rFonts w:hint="eastAsia" w:ascii="宋体" w:hAnsi="宋体" w:cs="宋体"/>
                <w:i w:val="0"/>
                <w:iCs w:val="0"/>
                <w:color w:val="000000"/>
                <w:sz w:val="21"/>
                <w:szCs w:val="21"/>
                <w:highlight w:val="none"/>
                <w:u w:val="none"/>
                <w:lang w:val="en-US" w:eastAsia="zh-CN" w:bidi="ar"/>
              </w:rPr>
              <w:t xml:space="preserve">00</w:t>
            </w:r>
            <w:r>
              <w:rPr>
                <w:rFonts w:hint="eastAsia" w:ascii="宋体" w:hAnsi="宋体" w:eastAsia="宋体" w:cs="宋体"/>
                <w:i w:val="0"/>
                <w:iCs w:val="0"/>
                <w:color w:val="000000"/>
                <w:sz w:val="21"/>
                <w:szCs w:val="21"/>
                <w:highlight w:val="none"/>
                <w:u w:val="none"/>
                <w:lang w:val="en-US" w:eastAsia="zh-CN" w:bidi="ar"/>
              </w:rPr>
              <w:t xml:space="preserve">00针/㎡。底布为双层加强网格基布。弹性垫XPE聚乙烯环保发泡型减震垫，外观：中间镂空带孔，垫层厚度：不小于10mm；具体做法详见图纸。</w:t>
            </w:r>
            <w:r>
              <w:rPr>
                <w:rFonts w:hint="eastAsia" w:ascii="宋体" w:hAnsi="宋体" w:eastAsia="宋体" w:cs="宋体"/>
                <w:i w:val="0"/>
                <w:iCs w:val="0"/>
                <w:color w:val="ff0000"/>
                <w:sz w:val="21"/>
                <w:szCs w:val="21"/>
                <w:highlight w:val="none"/>
                <w:u w:val="none"/>
                <w:lang w:val="en-US" w:eastAsia="zh-CN" w:bidi="ar"/>
              </w:rPr>
              <w:t xml:space="preserve">★人造草坪成品及原材料有害物质限量、物理性能须符合GB36246-2018《中小学合成材料面层运动场地》要求，</w:t>
            </w:r>
            <w:r>
              <w:rPr>
                <w:rFonts w:hint="eastAsia" w:ascii="宋体" w:hAnsi="宋体" w:cs="宋体"/>
                <w:color w:val="ff0000"/>
                <w:sz w:val="21"/>
                <w:szCs w:val="21"/>
                <w:highlight w:val="none"/>
                <w:lang w:val="en-US" w:eastAsia="zh-CN"/>
              </w:rPr>
              <w:t xml:space="preserve">具备CMA资质的第三方检测机构出具的</w:t>
            </w:r>
            <w:r>
              <w:rPr>
                <w:rFonts w:hint="eastAsia" w:ascii="宋体" w:hAnsi="宋体" w:eastAsia="宋体" w:cs="宋体"/>
                <w:color w:val="ff0000"/>
                <w:sz w:val="21"/>
                <w:szCs w:val="21"/>
                <w:highlight w:val="none"/>
              </w:rPr>
              <w:t xml:space="preserve">检测报告</w:t>
            </w:r>
            <w:r>
              <w:rPr>
                <w:rFonts w:hint="eastAsia" w:ascii="宋体" w:hAnsi="宋体" w:eastAsia="宋体" w:cs="宋体"/>
                <w:color w:val="ff0000"/>
                <w:sz w:val="21"/>
                <w:szCs w:val="21"/>
                <w:highlight w:val="none"/>
                <w:lang w:val="en-US" w:eastAsia="zh-CN"/>
              </w:rPr>
              <w:t xml:space="preserve">扫描件</w:t>
            </w:r>
            <w:r>
              <w:rPr>
                <w:rFonts w:hint="eastAsia" w:ascii="宋体" w:hAnsi="宋体" w:eastAsia="宋体" w:cs="宋体"/>
                <w:i w:val="0"/>
                <w:iCs w:val="0"/>
                <w:color w:val="ff0000"/>
                <w:sz w:val="21"/>
                <w:szCs w:val="21"/>
                <w:highlight w:val="none"/>
                <w:u w:val="none"/>
                <w:lang w:val="en-US" w:eastAsia="zh-CN" w:bidi="ar"/>
              </w:rPr>
              <w:t xml:space="preserve">；</w:t>
            </w:r>
            <w:r/>
          </w:p>
          <w:p>
            <w:pPr>
              <w:jc w:val="left"/>
              <w:keepLines w:val="0"/>
              <w:keepNext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2.围网：选用喷塑镀锌钢管作为主要支架材料，内嵌勾花网。立柱选用≥80*80*4.0mm喷塑镀锌管，灯杆立柱选用≥100*100*4.0mm喷塑镀锌管，预埋长度400–800mm。网架部分选用≥40*60*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U型耳连接立柱框架。场地围网应设置专用出入门，门体材质、网孔、管材规格应与主体围网保持一致；门开启灵活，配置防盗锁具，满足人员正常进出、设备搬运及场地管理使用。</w:t>
            </w:r>
            <w:r>
              <w:rPr>
                <w:rFonts w:hint="eastAsia" w:ascii="宋体" w:hAnsi="宋体" w:cs="宋体"/>
                <w:i w:val="0"/>
                <w:iCs w:val="0"/>
                <w:color w:val="000000"/>
                <w:sz w:val="21"/>
                <w:szCs w:val="21"/>
                <w:highlight w:val="none"/>
                <w:u w:val="none"/>
                <w:lang w:val="en-US" w:eastAsia="zh-CN" w:bidi="ar"/>
              </w:rPr>
              <w:t xml:space="preserve">围网颜色按图纸实施，临水处需增加</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2米的软网，网孔不大于100*100，丝径不小于3.0mm。</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3.足球门规格：标准五人制足球门，内宽不小于3米，内高不小于2米，球网为尼龙/麻制；</w:t>
            </w:r>
            <w:r>
              <w:rPr>
                <w:rFonts w:hint="eastAsia" w:ascii="宋体" w:hAnsi="宋体" w:eastAsia="宋体" w:cs="宋体"/>
                <w:i w:val="0"/>
                <w:iCs w:val="0"/>
                <w:color w:val="ff0000"/>
                <w:sz w:val="21"/>
                <w:szCs w:val="21"/>
                <w:highlight w:val="none"/>
                <w:u w:val="none"/>
                <w:lang w:val="en-US" w:eastAsia="zh-CN" w:bidi="ar"/>
              </w:rPr>
              <w:t xml:space="preserve">★</w:t>
            </w:r>
            <w:r>
              <w:rPr>
                <w:rFonts w:hint="eastAsia" w:ascii="宋体" w:hAnsi="宋体" w:eastAsia="宋体" w:cs="宋体"/>
                <w:i w:val="0"/>
                <w:iCs w:val="0"/>
                <w:color w:val="ff0000"/>
                <w:sz w:val="21"/>
                <w:szCs w:val="21"/>
                <w:highlight w:val="none"/>
                <w:u w:val="none"/>
                <w:lang w:val="en-US" w:eastAsia="zh-CN" w:bidi="ar"/>
              </w:rPr>
              <w:t xml:space="preserve">产品符合GB19272-2024国标要求，</w:t>
            </w:r>
            <w:r>
              <w:rPr>
                <w:rFonts w:hint="eastAsia" w:ascii="宋体" w:hAnsi="宋体" w:eastAsia="宋体" w:cs="宋体"/>
                <w:color w:val="ff0000"/>
                <w:sz w:val="21"/>
                <w:szCs w:val="21"/>
                <w:highlight w:val="none"/>
              </w:rPr>
              <w:t xml:space="preserve">提供</w:t>
            </w:r>
            <w:r>
              <w:rPr>
                <w:rFonts w:hint="eastAsia" w:ascii="宋体" w:hAnsi="宋体" w:cs="宋体"/>
                <w:color w:val="ff0000"/>
                <w:sz w:val="21"/>
                <w:szCs w:val="21"/>
                <w:highlight w:val="none"/>
                <w:lang w:val="en-US" w:eastAsia="zh-CN"/>
              </w:rPr>
              <w:t xml:space="preserve">经国家认可的器材质量认证机构出具的有效产品质量</w:t>
            </w:r>
            <w:r>
              <w:rPr>
                <w:rFonts w:hint="eastAsia" w:ascii="宋体" w:hAnsi="宋体" w:eastAsia="宋体" w:cs="宋体"/>
                <w:color w:val="ff0000"/>
                <w:sz w:val="21"/>
                <w:szCs w:val="21"/>
                <w:highlight w:val="none"/>
              </w:rPr>
              <w:t xml:space="preserve">认证证书和</w:t>
            </w:r>
            <w:r>
              <w:rPr>
                <w:rFonts w:hint="eastAsia" w:ascii="宋体" w:hAnsi="宋体" w:cs="宋体"/>
                <w:color w:val="ff0000"/>
                <w:sz w:val="21"/>
                <w:szCs w:val="21"/>
                <w:highlight w:val="none"/>
                <w:lang w:val="en-US" w:eastAsia="zh-CN"/>
              </w:rPr>
              <w:t xml:space="preserve">具备CMA资质的第三方检测机构出具的</w:t>
            </w:r>
            <w:r>
              <w:rPr>
                <w:rFonts w:hint="eastAsia" w:ascii="宋体" w:hAnsi="宋体" w:eastAsia="宋体" w:cs="宋体"/>
                <w:color w:val="ff0000"/>
                <w:sz w:val="21"/>
                <w:szCs w:val="21"/>
                <w:highlight w:val="none"/>
              </w:rPr>
              <w:t xml:space="preserve">检测报告</w:t>
            </w:r>
            <w:r>
              <w:rPr>
                <w:rFonts w:hint="eastAsia" w:ascii="宋体" w:hAnsi="宋体" w:eastAsia="宋体" w:cs="宋体"/>
                <w:color w:val="ff0000"/>
                <w:sz w:val="21"/>
                <w:szCs w:val="21"/>
                <w:highlight w:val="none"/>
                <w:lang w:val="en-US" w:eastAsia="zh-CN"/>
              </w:rPr>
              <w:t xml:space="preserve">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照明：8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5.座椅：尺寸:不少于2*2*0.9米。底座</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50*50*4</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的镀锌管表面喷塑制作。颜色为白色。雨棚支架</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20*40*1.5</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不锈钢管。安装轮子，方便移动。雨棚为优质</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3MM厚PC耐力板。每片球场配备球场座椅4张。所有金属构件经过除锈、防腐喷涂处理，适应室外露天长期使用。</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6.双通道全高闸：闸机规格不小于长2100×宽1450×高2200(mm)，带扫码系统；并配套独立安全门。</w:t>
            </w:r>
            <w:r/>
          </w:p>
          <w:p>
            <w:pPr>
              <w:jc w:val="left"/>
              <w:keepLines w:val="0"/>
              <w:keepNext w:val="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7.衣架及标识标牌设计安装</w:t>
            </w:r>
            <w:r/>
          </w:p>
        </w:tc>
      </w:tr>
      <w:tr>
        <w:trPr/>
        <w:tc>
          <w:tcPr>
            <w:tcW w:w="1380"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009"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笼式灯光篮球场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19*32米</w:t>
            </w:r>
            <w:r>
              <w:rPr>
                <w:rFonts w:hint="eastAsia" w:ascii="宋体" w:hAnsi="宋体" w:cs="宋体"/>
                <w:i w:val="0"/>
                <w:iCs w:val="0"/>
                <w:color w:val="000000"/>
                <w:sz w:val="21"/>
                <w:szCs w:val="21"/>
                <w:highlight w:val="none"/>
                <w:u w:val="none"/>
                <w:lang w:val="en-US" w:eastAsia="zh-CN" w:bidi="ar"/>
              </w:rPr>
              <w:t xml:space="preserve">（具体尺寸详见图纸）</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1.面层：8mm弹性硅PU面层浇筑，弹性层不低于5–6mm，面漆、加强层不低于1mm；</w:t>
            </w:r>
            <w:r>
              <w:rPr>
                <w:rFonts w:hint="eastAsia" w:ascii="宋体" w:hAnsi="宋体" w:eastAsia="宋体" w:cs="宋体"/>
                <w:i w:val="0"/>
                <w:iCs w:val="0"/>
                <w:color w:val="ff0000"/>
                <w:sz w:val="21"/>
                <w:szCs w:val="21"/>
                <w:highlight w:val="none"/>
                <w:u w:val="none"/>
                <w:lang w:val="en-US" w:eastAsia="zh-CN" w:bidi="ar"/>
              </w:rPr>
              <w:t xml:space="preserve">★硅PU面层系统须符合GB 36246-2018《中小学合成材料面层运动场地》对成品全项检验要求，具备CMA资质的第三方检测机构出具的检测报告扫描件。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2.围网：≥4米框架式场地围网系统，选用喷塑镀锌钢管作为主要支架材料，内嵌勾花网。立柱选用≥80*80*4.0mm喷塑镀锌管，灯杆立柱选用≥100*100*4.0mm喷塑镀锌管，预埋长度400–800mm。网架部分选用≥40*60*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U型耳连接立柱框架。场地围网应设置专用出入门，门体材质、网孔、管材规格应与主体围网保持一致；门开启灵活，配置防盗锁具，满足人员正常进出、设备搬运及场地管理使用。</w:t>
            </w:r>
            <w:r>
              <w:rPr>
                <w:rFonts w:hint="eastAsia" w:ascii="宋体" w:hAnsi="宋体" w:cs="宋体"/>
                <w:i w:val="0"/>
                <w:iCs w:val="0"/>
                <w:color w:val="000000"/>
                <w:sz w:val="21"/>
                <w:szCs w:val="21"/>
                <w:highlight w:val="none"/>
                <w:u w:val="none"/>
                <w:lang w:val="en-US" w:eastAsia="zh-CN" w:bidi="ar"/>
              </w:rPr>
              <w:t xml:space="preserve">围网颜色按图纸实施。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3.篮球架：1副（2个）地埋/预埋式篮球架、伸臂约2.25米、篮固高度约3.05米；产品结构由预埋件、立柱、拉杆、伸臂、玻璃篮板、篮圈和护套等组成；各部件要求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立柱：承重部位采用约δ10mm铁板、约150*150*4的优质大圆角方管和820mm浇铸件；拉杆：采用约φ48*2的圆管与约50*40*2.5的方管；伸臂：采用约83、84mm铁板，材质：Q235B；配套防腐处理；篮圈固定座板：规格约（1800*1050*38）</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材料：篮板框约δ3mm铝方管，篮板为高强度安全玻璃篮板；包扎物：玻璃篮板标配篮板护套；篮圈：采用约φ16-20mm实心圆钢和86mm铁板，材质Q235B；篮网：白色尼龙绳，半硬式；其他技术要求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紧固件：篮架所有紧固件均采用热镀锌处理，能保证长年不生锈</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调整：拉杆固定处配有长孔压板，可微调篮板，保证垂直度</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防护措施：篮架前立柱、底座前部配有专用护套，能有效地保护运动员免受撞击，能有效的保证使用时的安全性及美观性；颜色：黑色                                                                                              </w:t>
            </w:r>
            <w:r>
              <w:rPr>
                <w:rFonts w:hint="eastAsia" w:ascii="宋体" w:hAnsi="宋体" w:eastAsia="宋体" w:cs="宋体"/>
                <w:i w:val="0"/>
                <w:iCs w:val="0"/>
                <w:color w:val="ff0000"/>
                <w:sz w:val="21"/>
                <w:szCs w:val="21"/>
                <w:highlight w:val="none"/>
                <w:u w:val="none"/>
                <w:lang w:val="en-US" w:eastAsia="zh-CN" w:bidi="ar"/>
              </w:rPr>
              <w:t xml:space="preserve">★产品符合GB19272-2024国标要求，提供经国家认可的器材质量认证机构出具的有效产品质量认证证书和具备CMA资质的第三方检测机构出具的检测报告扫描件；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照明：6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5.座椅：尺寸：不小于2*0.45*0.45米，不小于50*50*3MM/30*50*3MM镀锌管制作，表面喷塑，颜色可选。</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6.双通道全高闸：闸机规格不小于长2100×宽1450×高2200(mm)，带扫码系统；并配套独立安全门。</w:t>
            </w:r>
            <w:r/>
          </w:p>
          <w:p>
            <w:pPr>
              <w:jc w:val="left"/>
              <w:keepLines w:val="0"/>
              <w:keepNext w:val="0"/>
              <w:widowControl/>
              <w:rPr>
                <w:rFonts w:hint="default"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7.衣架及标识标牌设计安装</w:t>
            </w:r>
            <w:r/>
          </w:p>
        </w:tc>
      </w:tr>
      <w:tr>
        <w:trPr/>
        <w:tc>
          <w:tcPr>
            <w:tcW w:w="1380"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009" w:type="dxa"/>
            <w:vAlign w:val="center"/>
            <w:vMerge w:val="continue"/>
            <w:textDirection w:val="lrTb"/>
            <w:noWrap w:val="false"/>
          </w:tcPr>
          <w:p>
            <w:pPr>
              <w:jc w:val="center"/>
              <w:rPr>
                <w:rFonts w:hint="eastAsia" w:ascii="宋体" w:hAnsi="宋体" w:eastAsia="宋体" w:cs="宋体"/>
                <w:b/>
                <w:color w:val="000000"/>
                <w:sz w:val="21"/>
                <w:szCs w:val="21"/>
                <w:highlight w:val="none"/>
                <w:vertAlign w:val="baseline"/>
              </w:rPr>
            </w:pPr>
            <w:r>
              <w:rPr>
                <w:rFonts w:hint="eastAsia" w:ascii="宋体" w:hAnsi="宋体" w:eastAsia="宋体" w:cs="宋体"/>
                <w:b/>
                <w:color w:val="000000"/>
                <w:sz w:val="21"/>
                <w:szCs w:val="21"/>
                <w:highlight w:val="none"/>
                <w:vertAlign w:val="baseline"/>
              </w:rPr>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笼式灯光圆形篮球场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R=24米</w:t>
            </w:r>
            <w:r>
              <w:rPr>
                <w:rFonts w:hint="eastAsia" w:ascii="宋体" w:hAnsi="宋体" w:cs="宋体"/>
                <w:i w:val="0"/>
                <w:iCs w:val="0"/>
                <w:color w:val="000000"/>
                <w:sz w:val="21"/>
                <w:szCs w:val="21"/>
                <w:highlight w:val="none"/>
                <w:u w:val="none"/>
                <w:lang w:val="en-US" w:eastAsia="zh-CN" w:bidi="ar"/>
              </w:rPr>
              <w:t xml:space="preserve">（具体尺寸详见图纸）</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1.面层：8mm弹性硅PU面层浇筑，弹性层不低于5–6mm，面漆、加强层不低于1mm；</w:t>
            </w:r>
            <w:r>
              <w:rPr>
                <w:rFonts w:hint="eastAsia" w:ascii="宋体" w:hAnsi="宋体" w:eastAsia="宋体" w:cs="宋体"/>
                <w:i w:val="0"/>
                <w:iCs w:val="0"/>
                <w:color w:val="ff0000"/>
                <w:sz w:val="21"/>
                <w:szCs w:val="21"/>
                <w:highlight w:val="none"/>
                <w:u w:val="none"/>
                <w:lang w:val="en-US" w:eastAsia="zh-CN" w:bidi="ar"/>
              </w:rPr>
              <w:t xml:space="preserve">★硅PU面层系统须符合GB 36246-2018《中小学合成材料面层运动场地》对成品全项检验要求，具备CMA资质的第三方检测机构出具的检测报告扫描件。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2.围网：≥4米框架式场地围网系统，选用喷塑镀锌钢管作为主要支架材料，内嵌勾花网。立柱选用≥80*80*4.0mm喷塑镀锌管，灯杆立柱选用≥100*100*4.0mm喷塑镀锌管，预埋长度400–800mm。网架部分选用≥40*60*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U型耳连接立柱框架。场地围网应设置专用出入门，门体材质、网孔、管材规格应与主体围网保持一致；门开启灵活，配置防盗锁具，满足人员正常进出、设备搬运及场地管理使用。</w:t>
            </w:r>
            <w:r>
              <w:rPr>
                <w:rFonts w:hint="eastAsia" w:ascii="宋体" w:hAnsi="宋体" w:cs="宋体"/>
                <w:i w:val="0"/>
                <w:iCs w:val="0"/>
                <w:color w:val="000000"/>
                <w:sz w:val="21"/>
                <w:szCs w:val="21"/>
                <w:highlight w:val="none"/>
                <w:u w:val="none"/>
                <w:lang w:val="en-US" w:eastAsia="zh-CN" w:bidi="ar"/>
              </w:rPr>
              <w:t xml:space="preserve">围网颜色按图纸实施。</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3.篮球架：1副（2个）地埋/预埋式篮球架、伸臂约2.25米、篮固高度约3.05米；产品结构由预埋件、立柱、拉杆、伸臂、玻璃篮板、篮圈和护套等组成；各部件要求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立柱：承重部位采用约δ10mm铁板、约150*150*4的优质大圆角方管和820mm浇铸件；拉杆：采用约φ48*2的圆管与约50*40*2.5的方管；伸臂：采用约83、84mm铁板，材质：Q235B；配套防腐处理；篮圈固定座板：规格约（1800*1050*38）</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材料：篮板框约δ3mm铝方管，篮板为高强度安全玻璃篮板；包扎物：玻璃篮板标配篮板护套；篮圈：采用约φ16-20mm实心圆钢和86mm铁板，材质Q235B；篮网：白色尼龙绳，半硬式；其他技术要求</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紧固件：篮架所有紧固件均采用热镀锌处理，能保证长年不生锈</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调整：拉杆固定处配有长孔压板，可微调篮板，保证垂直度</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防护措施：篮架前立柱、底座前部配有专用护套，能有效地保护运动员免受撞击，能有效的保证使用时的安全性及美观性；颜色：黑色                                                                                              </w:t>
            </w:r>
            <w:r>
              <w:rPr>
                <w:rFonts w:hint="eastAsia" w:ascii="宋体" w:hAnsi="宋体" w:eastAsia="宋体" w:cs="宋体"/>
                <w:i w:val="0"/>
                <w:iCs w:val="0"/>
                <w:color w:val="ff0000"/>
                <w:sz w:val="21"/>
                <w:szCs w:val="21"/>
                <w:highlight w:val="none"/>
                <w:u w:val="none"/>
                <w:lang w:val="en-US" w:eastAsia="zh-CN" w:bidi="ar"/>
              </w:rPr>
              <w:t xml:space="preserve">★符合GB19272-2024《室外健身器材的安全通用要求》提供国家认证认可监督管理委员会批准的第三方质量检测认证机构出具的有效期内的认证证书和检测报告扫描件</w:t>
            </w:r>
            <w:r/>
          </w:p>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照明：2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5.座椅：4张，尺寸：不小于2*0.45*0.45米，不小于50*50*3MM/30*50*3MM镀锌管制作</w:t>
            </w:r>
            <w:r>
              <w:rPr>
                <w:rFonts w:hint="eastAsia" w:ascii="宋体" w:hAnsi="宋体" w:eastAsia="宋体" w:cs="宋体"/>
                <w:i w:val="0"/>
                <w:iCs w:val="0"/>
                <w:color w:val="auto"/>
                <w:sz w:val="21"/>
                <w:szCs w:val="21"/>
                <w:highlight w:val="none"/>
                <w:u w:val="none"/>
                <w:lang w:val="en-US" w:eastAsia="zh-CN" w:bidi="ar"/>
              </w:rPr>
              <w:t xml:space="preserve">，表面喷塑，颜色可选。</w:t>
            </w:r>
            <w:r/>
          </w:p>
          <w:p>
            <w:pPr>
              <w:jc w:val="left"/>
              <w:keepLines w:val="0"/>
              <w:keepNext w:val="0"/>
              <w:widowControl/>
              <w:rPr>
                <w:rFonts w:hint="default" w:ascii="宋体" w:hAnsi="宋体" w:eastAsia="宋体" w:cs="宋体"/>
                <w:b/>
                <w:color w:val="000000"/>
                <w:sz w:val="21"/>
                <w:szCs w:val="21"/>
                <w:highlight w:val="none"/>
                <w:vertAlign w:val="baseli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6.衣架及标识标牌设计安装</w:t>
            </w:r>
            <w:r/>
          </w:p>
        </w:tc>
      </w:tr>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燕鸣园</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燕湖路与燕山中路东南角</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笼式灯光门球场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22.3*18.4米</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b w:val="0"/>
                <w:bCs w:val="0"/>
                <w:i w:val="0"/>
                <w:iCs w:val="0"/>
                <w:color w:val="ff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1.免填充型人造草：草高（mm）：约15mm；磅重：≥5200分特（单簇根数不低于</w:t>
            </w:r>
            <w:r>
              <w:rPr>
                <w:rFonts w:hint="eastAsia" w:ascii="宋体" w:hAnsi="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lang w:val="en-US" w:eastAsia="zh-CN" w:bidi="ar"/>
              </w:rPr>
              <w:t xml:space="preserve">根）密度：≥42000针/㎡，填充5-6kg/平60-80目细砂；</w:t>
            </w:r>
            <w:r>
              <w:rPr>
                <w:rFonts w:hint="eastAsia" w:ascii="宋体" w:hAnsi="宋体" w:eastAsia="宋体" w:cs="宋体"/>
                <w:b w:val="0"/>
                <w:bCs w:val="0"/>
                <w:i w:val="0"/>
                <w:iCs w:val="0"/>
                <w:color w:val="ff0000"/>
                <w:sz w:val="21"/>
                <w:szCs w:val="21"/>
                <w:highlight w:val="none"/>
                <w:u w:val="none"/>
                <w:lang w:val="en-US" w:eastAsia="zh-CN" w:bidi="ar"/>
              </w:rPr>
              <w:t xml:space="preserve">★人造草坪成品及原材料有害物质限量、物理性能须符合GB36246-2018《中小学合成材料面层运动场地》要求，具备CMA资质的第三方检测机构出具的检测报告扫描件。</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2.围网：≥2米高场地围网，选用喷塑镀锌钢管作为主要支架材料，内嵌勾花网。立柱选用≥60×60×3m</w:t>
            </w:r>
            <w:r>
              <w:rPr>
                <w:rFonts w:hint="eastAsia" w:ascii="宋体" w:hAnsi="宋体" w:cs="宋体"/>
                <w:b w:val="0"/>
                <w:bCs w:val="0"/>
                <w:i w:val="0"/>
                <w:iCs w:val="0"/>
                <w:color w:val="000000"/>
                <w:sz w:val="21"/>
                <w:szCs w:val="21"/>
                <w:highlight w:val="none"/>
                <w:u w:val="none"/>
                <w:lang w:val="en-US" w:eastAsia="zh-CN" w:bidi="ar"/>
              </w:rPr>
              <w:t xml:space="preserve">m</w:t>
            </w:r>
            <w:r>
              <w:rPr>
                <w:rFonts w:hint="eastAsia" w:ascii="宋体" w:hAnsi="宋体" w:eastAsia="宋体" w:cs="宋体"/>
                <w:b w:val="0"/>
                <w:bCs w:val="0"/>
                <w:i w:val="0"/>
                <w:iCs w:val="0"/>
                <w:color w:val="000000"/>
                <w:sz w:val="21"/>
                <w:szCs w:val="21"/>
                <w:highlight w:val="none"/>
                <w:u w:val="none"/>
                <w:lang w:val="en-US" w:eastAsia="zh-CN" w:bidi="ar"/>
              </w:rPr>
              <w:t xml:space="preserve">喷塑镀锌管，预埋长度不低于500mm。网架部分选用</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b w:val="0"/>
                <w:bCs w:val="0"/>
                <w:i w:val="0"/>
                <w:iCs w:val="0"/>
                <w:color w:val="000000"/>
                <w:sz w:val="21"/>
                <w:szCs w:val="21"/>
                <w:highlight w:val="none"/>
                <w:u w:val="none"/>
                <w:lang w:val="en-US" w:eastAsia="zh-CN" w:bidi="ar"/>
              </w:rPr>
              <w:t xml:space="preserve">40*60*2.5mm喷塑镀锌管+勾花网约50*50*3.5mmPVC。U型耳连接立柱框架。场地围网应设置专用出入门，门体材质、网孔、管材规格应与主体围网保持一致；门开启灵活，配置防盗锁具，满足人员正常进出、设备搬运及场地管理使用。</w:t>
            </w:r>
            <w:r/>
          </w:p>
          <w:p>
            <w:pPr>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照明：2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4.门球门：倒U形（∩形），金属圆棒制成，材质直径不小于10mm（±1mm） 内宽（门柱内侧）不小于220mm，内高（横梁下</w:t>
            </w:r>
            <w:r>
              <w:rPr>
                <w:rFonts w:hint="eastAsia" w:ascii="宋体" w:hAnsi="宋体" w:eastAsia="宋体" w:cs="宋体"/>
                <w:b w:val="0"/>
                <w:bCs w:val="0"/>
                <w:i w:val="0"/>
                <w:iCs w:val="0"/>
                <w:color w:val="auto"/>
                <w:sz w:val="21"/>
                <w:szCs w:val="21"/>
                <w:highlight w:val="none"/>
                <w:u w:val="none"/>
                <w:lang w:val="en-US" w:eastAsia="zh-CN" w:bidi="ar"/>
              </w:rPr>
              <w:t xml:space="preserve">沿离地）不小于190mm。</w:t>
            </w:r>
            <w:r/>
          </w:p>
          <w:p>
            <w:pPr>
              <w:jc w:val="left"/>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5.衣架及标识标牌设计安装；                                                                                     6.投标供应商进行深化设计，设计方案经采购人同意后方可安装。若供应商自行安装不满足采购人要求，采购人有权让供应商拆除并重新安装，费用由供应商自行承担。</w:t>
            </w:r>
            <w:r/>
          </w:p>
        </w:tc>
      </w:tr>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昆仑街道（城中村改造）</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余桥村村委会</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笼式3人制篮球场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2"/>
                <w:rFonts w:hint="eastAsia" w:ascii="宋体" w:hAnsi="宋体" w:eastAsia="宋体" w:cs="宋体"/>
                <w:sz w:val="21"/>
                <w:szCs w:val="21"/>
                <w:highlight w:val="none"/>
                <w:lang w:val="en-US" w:eastAsia="zh-CN" w:bidi="ar"/>
              </w:rPr>
              <w:t xml:space="preserve">18*15米</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W w:w="4271" w:type="dxa"/>
            <w:vAlign w:val="center"/>
            <w:textDirection w:val="lrTb"/>
            <w:noWrap w:val="false"/>
          </w:tcPr>
          <w:p>
            <w:pPr>
              <w:jc w:val="left"/>
              <w:keepLines w:val="0"/>
              <w:keepNext w:val="0"/>
              <w:widowControl/>
              <w:rPr>
                <w:rFonts w:hint="eastAsia" w:ascii="宋体" w:hAnsi="宋体" w:eastAsia="宋体" w:cs="宋体"/>
                <w:b w:val="0"/>
                <w:bCs/>
                <w:color w:val="ff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1.面层：8mm弹性硅PU面层浇筑，弹性层不低于5–6mm，面漆、加强层不低于1mm；</w:t>
            </w:r>
            <w:r>
              <w:rPr>
                <w:rFonts w:hint="eastAsia" w:ascii="宋体" w:hAnsi="宋体" w:eastAsia="宋体" w:cs="宋体"/>
                <w:b w:val="0"/>
                <w:bCs/>
                <w:color w:val="ff0000"/>
                <w:sz w:val="21"/>
                <w:szCs w:val="21"/>
                <w:highlight w:val="none"/>
                <w:vertAlign w:val="baseline"/>
              </w:rPr>
              <w:t xml:space="preserve">★硅PU面层系统须符合GB 36246-2018《中小学合成材料面层运动场地》对成品全项检验要求，具备CMA资质的第三方检测机构出具的检测报告扫描件。</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2.围网：</w:t>
            </w:r>
            <w:r>
              <w:rPr>
                <w:rFonts w:hint="eastAsia" w:ascii="宋体" w:hAnsi="宋体" w:eastAsia="宋体" w:cs="宋体"/>
                <w:i w:val="0"/>
                <w:iCs w:val="0"/>
                <w:color w:val="000000"/>
                <w:sz w:val="21"/>
                <w:szCs w:val="21"/>
                <w:highlight w:val="none"/>
                <w:u w:val="none"/>
                <w:lang w:val="en-US" w:eastAsia="zh-CN" w:bidi="ar"/>
              </w:rPr>
              <w:t xml:space="preserve">≥4米框架式场地围网系统，选用喷塑镀锌钢管作为主要支架材料，内嵌勾花网。立柱选用≥80*80*4.0mm喷塑镀锌管，灯杆立柱选用≥100*100*4.0mm喷塑镀锌管，预埋长度400–800mm。网架部分选用≥40*60*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w:t>
            </w:r>
            <w:r>
              <w:rPr>
                <w:rFonts w:hint="eastAsia" w:ascii="宋体" w:hAnsi="宋体" w:eastAsia="宋体" w:cs="宋体"/>
                <w:b w:val="0"/>
                <w:bCs/>
                <w:color w:val="000000"/>
                <w:sz w:val="21"/>
                <w:szCs w:val="21"/>
                <w:highlight w:val="none"/>
                <w:vertAlign w:val="baseline"/>
              </w:rPr>
              <w:t xml:space="preserve">。U 型耳连接立柱框架。场地围网应设置专用出入门，门体材质、网孔、管材规格应与主体围网保持一致；门开启灵活，配置防盗锁具，满足人员正常进出、设备搬运及场地管理使用。</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3.篮球架规格：1个地埋/预埋式篮球架、伸臂约2.25米、篮固高度约3.05米；产品结构由预埋件、立柱、拉杆、伸臂、玻璃篮板、篮圈和护套等组成；各部件要求</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立柱：承重部位采用约δ10mm铁板、约150*150*4的优质大圆角方管和820mm浇铸件；拉杆：采用约φ48*2的圆管与约50*40*2.5的方管；伸臂：采用约83、84mm铁板，材质：Q235B；配套防腐处理；篮圈固定座板：规格约（1800*1050*38）</w:t>
            </w:r>
            <w:r>
              <w:rPr>
                <w:rFonts w:hint="eastAsia" w:ascii="宋体" w:hAnsi="宋体" w:cs="宋体"/>
                <w:b w:val="0"/>
                <w:bCs/>
                <w:color w:val="000000"/>
                <w:sz w:val="21"/>
                <w:szCs w:val="21"/>
                <w:highlight w:val="none"/>
                <w:vertAlign w:val="baseline"/>
                <w:lang w:eastAsia="zh-CN"/>
              </w:rPr>
              <w:t xml:space="preserve">；</w:t>
            </w:r>
            <w:r>
              <w:rPr>
                <w:rFonts w:hint="eastAsia" w:ascii="宋体" w:hAnsi="宋体" w:eastAsia="宋体" w:cs="宋体"/>
                <w:b w:val="0"/>
                <w:bCs/>
                <w:color w:val="000000"/>
                <w:sz w:val="21"/>
                <w:szCs w:val="21"/>
                <w:highlight w:val="none"/>
                <w:vertAlign w:val="baseline"/>
              </w:rPr>
              <w:t xml:space="preserve">材料：篮板框约δ3mm铝方管，篮板为高强度安全玻璃篮板；包扎物：玻璃篮板标配篮板护套；篮圈：采用约φ16-20mm实心圆钢和86mm铁板，材质Q235B；篮网：白色尼龙绳，半硬式；其他技术要求</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紧固件：篮架所有紧固件均采用热镀锌处理，能保证长年不生锈</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调整：拉杆固定处配有长孔压板，可微调篮板，保证垂直度</w:t>
            </w:r>
            <w:r/>
          </w:p>
          <w:p>
            <w:pPr>
              <w:jc w:val="left"/>
              <w:keepLines w:val="0"/>
              <w:keepNext w:val="0"/>
              <w:widowControl/>
              <w:rPr>
                <w:rFonts w:hint="eastAsia" w:ascii="宋体" w:hAnsi="宋体" w:eastAsia="宋体" w:cs="宋体"/>
                <w:b w:val="0"/>
                <w:bCs/>
                <w:color w:val="ff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防护措施：篮架前立柱、底座前部配有专用护套，能有效地保护运动员免受撞击，能有效的保证使用时的安全性及美观性；颜色：黑色                                                                                                 ★</w:t>
            </w:r>
            <w:r>
              <w:rPr>
                <w:rFonts w:hint="eastAsia" w:ascii="宋体" w:hAnsi="宋体" w:eastAsia="宋体" w:cs="宋体"/>
                <w:b w:val="0"/>
                <w:bCs/>
                <w:color w:val="ff0000"/>
                <w:sz w:val="21"/>
                <w:szCs w:val="21"/>
                <w:highlight w:val="none"/>
                <w:vertAlign w:val="baseline"/>
              </w:rPr>
              <w:t xml:space="preserve">产品符合GB19272-2024国标要求，提供经国家认可的器材质量认证机构出具的有效产品质量认证证书和具备CMA资质的第三方检测机构出具的检测报告扫描件；</w:t>
            </w:r>
            <w:r/>
          </w:p>
          <w:p>
            <w:pPr>
              <w:jc w:val="left"/>
              <w:keepLines w:val="0"/>
              <w:keepNext w:val="0"/>
              <w:widowControl/>
              <w:rPr>
                <w:rFonts w:hint="eastAsia" w:ascii="宋体" w:hAnsi="宋体" w:eastAsia="宋体" w:cs="宋体"/>
                <w:b w:val="0"/>
                <w:bCs/>
                <w:color w:val="auto"/>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4.照明：4组，每组2个投光灯，单个灯200W。（包括配电箱，电缆，线管等），设备具备时控定时控制功能，支持设置多组定时开关灯时段，可按日、周循环执行定时策略；内置RTC实时时钟，配置断电记忆备份电池，断电情况下可保存系统时间、定时参数，</w:t>
            </w:r>
            <w:r>
              <w:rPr>
                <w:rFonts w:hint="eastAsia" w:ascii="宋体" w:hAnsi="宋体" w:eastAsia="宋体" w:cs="宋体"/>
                <w:b w:val="0"/>
                <w:bCs/>
                <w:color w:val="auto"/>
                <w:sz w:val="21"/>
                <w:szCs w:val="21"/>
                <w:highlight w:val="none"/>
                <w:vertAlign w:val="baseline"/>
              </w:rPr>
              <w:t xml:space="preserve">恢复供电后自动按预设策略运行；具备手动/自动模式切换，支持手动强制开灯、关灯，便于现场调试、检修操作。</w:t>
            </w:r>
            <w:r/>
          </w:p>
          <w:p>
            <w:pPr>
              <w:jc w:val="left"/>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t xml:space="preserve">5.衣架及标识标牌设计安装                                                                                      6.投标供应商进行深化设计，设计方</w:t>
            </w:r>
            <w:r>
              <w:rPr>
                <w:rFonts w:hint="eastAsia" w:ascii="宋体" w:hAnsi="宋体" w:eastAsia="宋体" w:cs="宋体"/>
                <w:b w:val="0"/>
                <w:bCs/>
                <w:color w:val="000000"/>
                <w:sz w:val="21"/>
                <w:szCs w:val="21"/>
                <w:highlight w:val="none"/>
                <w:vertAlign w:val="baseline"/>
              </w:rPr>
              <w:t xml:space="preserve">案经采购人同意后方可安装。若供应商自行安装不满足采购人要求，采购人有权让供应商拆除并重新安装，费用由供应商自行承担。</w:t>
            </w:r>
            <w:r/>
          </w:p>
        </w:tc>
      </w:tr>
      <w:tr>
        <w:trPr/>
        <w:tc>
          <w:tcPr>
            <w:tcW w:w="1380"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燕山公园</w:t>
            </w:r>
            <w:r/>
          </w:p>
        </w:tc>
        <w:tc>
          <w:tcPr>
            <w:tcW w:w="1009"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西大门</w:t>
            </w:r>
            <w:r/>
          </w:p>
        </w:tc>
        <w:tc>
          <w:tcPr>
            <w:tcW w:w="1407"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笼式足球场改建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cs="宋体"/>
                <w:i w:val="0"/>
                <w:iCs w:val="0"/>
                <w:color w:val="000000"/>
                <w:sz w:val="21"/>
                <w:szCs w:val="21"/>
                <w:highlight w:val="none"/>
                <w:u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35*20米</w:t>
            </w:r>
            <w:r>
              <w:rPr>
                <w:rStyle w:val="1341"/>
                <w:rFonts w:hint="eastAsia" w:ascii="宋体" w:hAnsi="宋体" w:eastAsia="宋体" w:cs="宋体"/>
                <w:sz w:val="21"/>
                <w:szCs w:val="21"/>
                <w:highlight w:val="none"/>
                <w:lang w:val="en-US" w:eastAsia="zh-CN" w:bidi="ar"/>
              </w:rPr>
              <w:br/>
            </w:r>
            <w:r>
              <w:rPr>
                <w:rStyle w:val="1341"/>
                <w:rFonts w:hint="eastAsia" w:ascii="宋体" w:hAnsi="宋体" w:cs="宋体"/>
                <w:sz w:val="21"/>
                <w:szCs w:val="21"/>
                <w:highlight w:val="none"/>
                <w:lang w:val="en-US" w:eastAsia="zh-CN" w:bidi="ar"/>
              </w:rPr>
              <w:t xml:space="preserve">约</w:t>
            </w:r>
            <w:r>
              <w:rPr>
                <w:rStyle w:val="1341"/>
                <w:rFonts w:hint="eastAsia" w:ascii="宋体" w:hAnsi="宋体" w:eastAsia="宋体" w:cs="宋体"/>
                <w:sz w:val="21"/>
                <w:szCs w:val="21"/>
                <w:highlight w:val="none"/>
                <w:lang w:val="en-US" w:eastAsia="zh-CN" w:bidi="ar"/>
              </w:rPr>
              <w:t xml:space="preserve">32*19米</w:t>
            </w:r>
            <w:r/>
          </w:p>
        </w:tc>
        <w:tc>
          <w:tcPr>
            <w:tcW w:w="1221" w:type="dxa"/>
            <w:vAlign w:val="center"/>
            <w:textDirection w:val="lrTb"/>
            <w:noWrap w:val="false"/>
          </w:tcPr>
          <w:p>
            <w:pPr>
              <w:jc w:val="center"/>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W w:w="4271" w:type="dxa"/>
            <w:vAlign w:val="center"/>
            <w:textDirection w:val="lrTb"/>
            <w:noWrap w:val="false"/>
          </w:tcPr>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1.原围网的拆除</w:t>
            </w:r>
            <w:r>
              <w:rPr>
                <w:rFonts w:hint="eastAsia" w:ascii="宋体" w:hAnsi="宋体" w:eastAsia="宋体" w:cs="宋体"/>
                <w:b w:val="0"/>
                <w:bCs/>
                <w:color w:val="000000"/>
                <w:sz w:val="21"/>
                <w:szCs w:val="21"/>
                <w:highlight w:val="none"/>
                <w:vertAlign w:val="baseline"/>
                <w:lang w:eastAsia="zh-CN"/>
              </w:rPr>
              <w:t xml:space="preserve">，</w:t>
            </w:r>
            <w:r>
              <w:rPr>
                <w:rFonts w:hint="eastAsia" w:ascii="宋体" w:hAnsi="宋体" w:eastAsia="宋体" w:cs="宋体"/>
                <w:b w:val="0"/>
                <w:bCs/>
                <w:color w:val="000000"/>
                <w:sz w:val="21"/>
                <w:szCs w:val="21"/>
                <w:highlight w:val="none"/>
                <w:vertAlign w:val="baseline"/>
                <w:lang w:val="en-US" w:eastAsia="zh-CN"/>
              </w:rPr>
              <w:t xml:space="preserve">原</w:t>
            </w:r>
            <w:r>
              <w:rPr>
                <w:rFonts w:hint="eastAsia" w:ascii="宋体" w:hAnsi="宋体" w:cs="宋体"/>
                <w:b w:val="0"/>
                <w:bCs/>
                <w:color w:val="000000"/>
                <w:sz w:val="21"/>
                <w:szCs w:val="21"/>
                <w:highlight w:val="none"/>
                <w:vertAlign w:val="baseline"/>
                <w:lang w:val="en-US" w:eastAsia="zh-CN"/>
              </w:rPr>
              <w:t xml:space="preserve">围网</w:t>
            </w:r>
            <w:r>
              <w:rPr>
                <w:rFonts w:hint="eastAsia" w:ascii="宋体" w:hAnsi="宋体" w:eastAsia="宋体" w:cs="宋体"/>
                <w:b w:val="0"/>
                <w:bCs/>
                <w:color w:val="000000"/>
                <w:sz w:val="21"/>
                <w:szCs w:val="21"/>
                <w:highlight w:val="none"/>
                <w:vertAlign w:val="baseline"/>
                <w:lang w:val="en-US" w:eastAsia="zh-CN"/>
              </w:rPr>
              <w:t xml:space="preserve">残值费用用于支付拆除的成本</w:t>
            </w:r>
            <w:r>
              <w:rPr>
                <w:rFonts w:hint="eastAsia" w:ascii="宋体" w:hAnsi="宋体" w:cs="宋体"/>
                <w:b w:val="0"/>
                <w:bCs/>
                <w:color w:val="000000"/>
                <w:sz w:val="21"/>
                <w:szCs w:val="21"/>
                <w:highlight w:val="none"/>
                <w:vertAlign w:val="baseline"/>
                <w:lang w:val="en-US" w:eastAsia="zh-CN"/>
              </w:rPr>
              <w:t xml:space="preserve">。</w:t>
            </w:r>
            <w:r>
              <w:rPr>
                <w:rFonts w:hint="eastAsia" w:ascii="宋体" w:hAnsi="宋体" w:eastAsia="宋体" w:cs="宋体"/>
                <w:b w:val="0"/>
                <w:bCs/>
                <w:color w:val="000000"/>
                <w:sz w:val="21"/>
                <w:szCs w:val="21"/>
                <w:highlight w:val="none"/>
                <w:vertAlign w:val="baseline"/>
              </w:rPr>
              <w:t xml:space="preserve">                                                                                     2.围网：</w:t>
            </w:r>
            <w:r>
              <w:rPr>
                <w:rFonts w:hint="eastAsia" w:ascii="宋体" w:hAnsi="宋体" w:eastAsia="宋体" w:cs="宋体"/>
                <w:i w:val="0"/>
                <w:iCs w:val="0"/>
                <w:color w:val="000000"/>
                <w:sz w:val="21"/>
                <w:szCs w:val="21"/>
                <w:highlight w:val="none"/>
                <w:u w:val="none"/>
                <w:lang w:val="en-US" w:eastAsia="zh-CN" w:bidi="ar"/>
              </w:rPr>
              <w:t xml:space="preserve">≥4米框架式场地围网系统，选用喷塑镀锌钢管作为主要支架材料，内嵌勾花网。立柱选用≥80*80*4.0mm喷塑镀锌管，灯杆立柱选用≥100*100*4.0mm喷塑镀锌管，预埋长度400–800mm。网架部分选用≥40*60*</w:t>
            </w:r>
            <w:r>
              <w:rPr>
                <w:rFonts w:hint="eastAsia" w:ascii="宋体" w:hAnsi="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lang w:val="en-US" w:eastAsia="zh-CN" w:bidi="ar"/>
              </w:rPr>
              <w:t xml:space="preserve">mm喷塑镀锌管+勾花网50*50*3.5/5.0mmPVC</w:t>
            </w:r>
            <w:r>
              <w:rPr>
                <w:rFonts w:hint="eastAsia" w:ascii="宋体" w:hAnsi="宋体" w:eastAsia="宋体" w:cs="宋体"/>
                <w:b w:val="0"/>
                <w:bCs/>
                <w:color w:val="000000"/>
                <w:sz w:val="21"/>
                <w:szCs w:val="21"/>
                <w:highlight w:val="none"/>
                <w:vertAlign w:val="baseline"/>
              </w:rPr>
              <w:t xml:space="preserve">。U 型耳连接立柱框架。场地围网应设置专用出入门，门体材质、网孔、管材规格应与主体围网保持一致；门开启灵活，配置防盗锁具，满足人员正常进出、设备搬运及场地管理使用。</w:t>
            </w:r>
            <w:r/>
          </w:p>
          <w:p>
            <w:pPr>
              <w:jc w:val="left"/>
              <w:keepLines w:val="0"/>
              <w:keepNext w:val="0"/>
              <w:widowControl/>
              <w:rPr>
                <w:rFonts w:hint="eastAsia" w:ascii="宋体" w:hAnsi="宋体" w:eastAsia="宋体" w:cs="宋体"/>
                <w:b w:val="0"/>
                <w:bCs/>
                <w:color w:val="000000"/>
                <w:sz w:val="21"/>
                <w:szCs w:val="21"/>
                <w:highlight w:val="none"/>
                <w:vertAlign w:val="baseline"/>
              </w:rPr>
              <w:suppressLineNumbers w:val="0"/>
            </w:pPr>
            <w:r>
              <w:rPr>
                <w:rFonts w:hint="eastAsia" w:ascii="宋体" w:hAnsi="宋体" w:eastAsia="宋体" w:cs="宋体"/>
                <w:b w:val="0"/>
                <w:bCs/>
                <w:color w:val="000000"/>
                <w:sz w:val="21"/>
                <w:szCs w:val="21"/>
                <w:highlight w:val="none"/>
                <w:vertAlign w:val="baseline"/>
              </w:rPr>
              <w:t xml:space="preserve">3.照明：8组，每组2个投光灯，单个灯200W。（包括配电箱，电缆，线管等）；设备具备时控定时控制功能，支持设置多组定时开关灯时段，可按日、周循环执行定时策略；内置RTC实时时钟，配置断电记忆备份电池，断电情况下可保存系统时间、定时参数，恢复供电后自动按预设策略运行；具备手动/自动模式切换，支持手动强制开灯、关灯，便于现场调试、检修操作。                                                                                  4.</w:t>
            </w:r>
            <w:r>
              <w:rPr>
                <w:rFonts w:hint="eastAsia" w:ascii="宋体" w:hAnsi="宋体" w:cs="宋体"/>
                <w:b w:val="0"/>
                <w:bCs/>
                <w:color w:val="000000"/>
                <w:sz w:val="21"/>
                <w:szCs w:val="21"/>
                <w:highlight w:val="none"/>
                <w:vertAlign w:val="baseline"/>
                <w:lang w:val="en-US" w:eastAsia="zh-CN"/>
              </w:rPr>
              <w:t xml:space="preserve">双</w:t>
            </w:r>
            <w:r>
              <w:rPr>
                <w:rFonts w:hint="eastAsia" w:ascii="宋体" w:hAnsi="宋体" w:eastAsia="宋体" w:cs="宋体"/>
                <w:b w:val="0"/>
                <w:bCs/>
                <w:color w:val="000000"/>
                <w:sz w:val="21"/>
                <w:szCs w:val="21"/>
                <w:highlight w:val="none"/>
                <w:vertAlign w:val="baseline"/>
              </w:rPr>
              <w:t xml:space="preserve">通道全高闸：闸机规格不小于长2100×宽1450×高2200(mm)，带扫码系统，并配套独立安全门。 </w:t>
            </w:r>
            <w:r>
              <w:rPr>
                <w:rFonts w:hint="eastAsia" w:ascii="宋体" w:hAnsi="宋体" w:cs="宋体"/>
                <w:b w:val="0"/>
                <w:bCs/>
                <w:color w:val="000000"/>
                <w:sz w:val="21"/>
                <w:szCs w:val="21"/>
                <w:highlight w:val="none"/>
                <w:vertAlign w:val="baseline"/>
                <w:lang w:val="en-US" w:eastAsia="zh-CN"/>
              </w:rPr>
              <w:t xml:space="preserve">  </w:t>
            </w:r>
            <w:r>
              <w:rPr>
                <w:rFonts w:hint="eastAsia" w:ascii="宋体" w:hAnsi="宋体" w:eastAsia="宋体" w:cs="宋体"/>
                <w:b w:val="0"/>
                <w:bCs/>
                <w:color w:val="000000"/>
                <w:sz w:val="21"/>
                <w:szCs w:val="21"/>
                <w:highlight w:val="none"/>
                <w:vertAlign w:val="baseline"/>
              </w:rPr>
              <w:t xml:space="preserve">               </w:t>
            </w:r>
            <w:r>
              <w:rPr>
                <w:rFonts w:hint="eastAsia" w:ascii="宋体" w:hAnsi="宋体" w:cs="宋体"/>
                <w:b w:val="0"/>
                <w:bCs/>
                <w:color w:val="000000"/>
                <w:sz w:val="21"/>
                <w:szCs w:val="21"/>
                <w:highlight w:val="none"/>
                <w:vertAlign w:val="baseline"/>
                <w:lang w:val="en-US" w:eastAsia="zh-CN"/>
              </w:rPr>
              <w:t xml:space="preserve">  </w:t>
            </w:r>
            <w:r>
              <w:rPr>
                <w:rFonts w:hint="eastAsia" w:ascii="宋体" w:hAnsi="宋体" w:eastAsia="宋体" w:cs="宋体"/>
                <w:b w:val="0"/>
                <w:bCs/>
                <w:color w:val="000000"/>
                <w:sz w:val="21"/>
                <w:szCs w:val="21"/>
                <w:highlight w:val="none"/>
                <w:vertAlign w:val="baseline"/>
              </w:rPr>
              <w:t xml:space="preserve">   6.</w:t>
            </w:r>
            <w:r>
              <w:rPr>
                <w:rFonts w:hint="eastAsia" w:ascii="宋体" w:hAnsi="宋体" w:eastAsia="宋体" w:cs="宋体"/>
                <w:i w:val="0"/>
                <w:iCs w:val="0"/>
                <w:color w:val="000000"/>
                <w:sz w:val="21"/>
                <w:szCs w:val="21"/>
                <w:highlight w:val="none"/>
                <w:u w:val="none"/>
                <w:lang w:val="en-US" w:eastAsia="zh-CN" w:bidi="ar"/>
              </w:rPr>
              <w:t xml:space="preserve">座椅：尺寸:不少于2*2*0.9米。底座</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50*50*4</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的镀锌管表面喷塑制作。颜色为白色。雨棚支架</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20*40*1.5</w:t>
            </w:r>
            <w:r>
              <w:rPr>
                <w:rFonts w:hint="eastAsia" w:ascii="宋体" w:hAnsi="宋体" w:cs="宋体"/>
                <w:i w:val="0"/>
                <w:iCs w:val="0"/>
                <w:color w:val="000000"/>
                <w:sz w:val="21"/>
                <w:szCs w:val="21"/>
                <w:highlight w:val="none"/>
                <w:u w:val="none"/>
                <w:lang w:val="en-US" w:eastAsia="zh-CN" w:bidi="ar"/>
              </w:rPr>
              <w:t xml:space="preserve">mm</w:t>
            </w:r>
            <w:r>
              <w:rPr>
                <w:rFonts w:hint="eastAsia" w:ascii="宋体" w:hAnsi="宋体" w:eastAsia="宋体" w:cs="宋体"/>
                <w:i w:val="0"/>
                <w:iCs w:val="0"/>
                <w:color w:val="000000"/>
                <w:sz w:val="21"/>
                <w:szCs w:val="21"/>
                <w:highlight w:val="none"/>
                <w:u w:val="none"/>
                <w:lang w:val="en-US" w:eastAsia="zh-CN" w:bidi="ar"/>
              </w:rPr>
              <w:t xml:space="preserve">不锈钢管。安装轮子，方便移动。雨棚为优质</w:t>
            </w:r>
            <w:r>
              <w:rPr>
                <w:rFonts w:hint="eastAsia" w:ascii="宋体" w:hAnsi="宋体" w:cs="宋体"/>
                <w:i w:val="0"/>
                <w:iCs w:val="0"/>
                <w:color w:val="000000"/>
                <w:sz w:val="21"/>
                <w:szCs w:val="21"/>
                <w:highlight w:val="none"/>
                <w:u w:val="none"/>
                <w:lang w:val="en-US" w:eastAsia="zh-CN" w:bidi="ar"/>
              </w:rPr>
              <w:t xml:space="preserve">约</w:t>
            </w:r>
            <w:r>
              <w:rPr>
                <w:rFonts w:hint="eastAsia" w:ascii="宋体" w:hAnsi="宋体" w:eastAsia="宋体" w:cs="宋体"/>
                <w:i w:val="0"/>
                <w:iCs w:val="0"/>
                <w:color w:val="000000"/>
                <w:sz w:val="21"/>
                <w:szCs w:val="21"/>
                <w:highlight w:val="none"/>
                <w:u w:val="none"/>
                <w:lang w:val="en-US" w:eastAsia="zh-CN" w:bidi="ar"/>
              </w:rPr>
              <w:t xml:space="preserve">3MM厚PC耐力板。每片球场配备球场座椅4张。所有金属构件经过除锈、防腐喷涂处理，适应室外露天长期使用。</w:t>
            </w:r>
            <w:r/>
          </w:p>
          <w:p>
            <w:pPr>
              <w:jc w:val="left"/>
              <w:keepLines w:val="0"/>
              <w:keepNext w:val="0"/>
              <w:widowControl/>
              <w:rPr>
                <w:rFonts w:hint="eastAsia" w:ascii="宋体" w:hAnsi="宋体" w:eastAsia="宋体" w:cs="宋体"/>
                <w:b/>
                <w:color w:val="000000"/>
                <w:sz w:val="21"/>
                <w:szCs w:val="21"/>
                <w:highlight w:val="none"/>
                <w:vertAlign w:val="baseline"/>
              </w:rPr>
              <w:suppressLineNumbers w:val="0"/>
            </w:pPr>
            <w:r>
              <w:rPr>
                <w:rFonts w:hint="eastAsia" w:ascii="宋体" w:hAnsi="宋体" w:eastAsia="宋体" w:cs="宋体"/>
                <w:b w:val="0"/>
                <w:bCs/>
                <w:color w:val="auto"/>
                <w:sz w:val="21"/>
                <w:szCs w:val="21"/>
                <w:highlight w:val="none"/>
                <w:vertAlign w:val="baseline"/>
              </w:rPr>
              <w:t xml:space="preserve">7.衣架及标识标牌设计安装    </w:t>
            </w:r>
            <w:r>
              <w:rPr>
                <w:rFonts w:hint="eastAsia" w:ascii="宋体" w:hAnsi="宋体" w:eastAsia="宋体" w:cs="宋体"/>
                <w:b w:val="0"/>
                <w:bCs/>
                <w:color w:val="000000"/>
                <w:sz w:val="21"/>
                <w:szCs w:val="21"/>
                <w:highlight w:val="none"/>
                <w:vertAlign w:val="baseline"/>
              </w:rPr>
              <w:t xml:space="preserve">                                                                                    8.投标供应商进行深化设计，设计方案经采购人同意后方可安装。若供应商自行安装不满足采购人要求，采购人有权让供应商拆除并重新安装，费用由供应商自行承担。</w:t>
            </w:r>
            <w:r/>
          </w:p>
        </w:tc>
      </w:tr>
      <w:tr>
        <w:trPr/>
        <w:tc>
          <w:tcPr>
            <w:gridSpan w:val="5"/>
            <w:tcW w:w="9288" w:type="dxa"/>
            <w:vAlign w:val="center"/>
            <w:textDirection w:val="lrTb"/>
            <w:noWrap w:val="false"/>
          </w:tcPr>
          <w:p>
            <w:pPr>
              <w:numPr>
                <w:ilvl w:val="0"/>
                <w:numId w:val="17"/>
              </w:numPr>
              <w:jc w:val="left"/>
              <w:keepLines w:val="0"/>
              <w:keepNext w:val="0"/>
              <w:widowControl/>
              <w:rPr>
                <w:rFonts w:hint="default" w:ascii="宋体" w:hAnsi="宋体" w:cs="宋体"/>
                <w:b/>
                <w:bCs/>
                <w:color w:val="000000"/>
                <w:sz w:val="24"/>
                <w:highlight w:val="none"/>
                <w:lang w:val="en-US" w:eastAsia="zh-CN"/>
              </w:rPr>
              <w:suppressLineNumbers w:val="0"/>
            </w:pPr>
            <w:r>
              <w:rPr>
                <w:rFonts w:hint="eastAsia" w:ascii="宋体" w:hAnsi="宋体" w:cs="宋体"/>
                <w:b/>
                <w:bCs/>
                <w:color w:val="000000"/>
                <w:sz w:val="24"/>
                <w:highlight w:val="none"/>
                <w:lang w:val="en-US" w:eastAsia="zh-CN"/>
              </w:rPr>
              <w:t xml:space="preserve">以上</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内容在对应采购包中需提供相应的证明材料，未提供做无效标处理。        2、本项所投产品商品名称与采购文件所列名称存在厂家命名差异，但全部技术参数、功能指标应当完全满足采购文件要求，用途一致，视同符合响应要求。</w:t>
            </w:r>
            <w:r/>
          </w:p>
        </w:tc>
      </w:tr>
    </w:tbl>
    <w:p>
      <w:pPr>
        <w:spacing w:line="360" w:lineRule="auto"/>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p>
      <w:pPr>
        <w:spacing w:line="360" w:lineRule="auto"/>
        <w:rPr>
          <w:rFonts w:hint="eastAsia" w:ascii="宋体" w:hAnsi="宋体" w:cs="宋体"/>
          <w:b/>
          <w:bCs/>
          <w:color w:val="000000"/>
          <w:sz w:val="24"/>
          <w:highlight w:val="none"/>
        </w:rPr>
      </w:pPr>
      <w:r>
        <w:rPr>
          <w:rFonts w:hint="eastAsia" w:ascii="宋体" w:hAnsi="宋体" w:cs="宋体"/>
          <w:b/>
          <w:bCs/>
          <w:color w:val="000000"/>
          <w:szCs w:val="21"/>
          <w:highlight w:val="none"/>
          <w:lang w:val="en-US" w:eastAsia="zh-CN"/>
        </w:rPr>
        <w:t xml:space="preserve">采购包2：</w:t>
      </w:r>
      <w:r>
        <w:rPr>
          <w:rFonts w:hint="eastAsia" w:ascii="宋体" w:hAnsi="宋体" w:cs="宋体"/>
          <w:b/>
          <w:bCs/>
          <w:color w:val="000000"/>
          <w:szCs w:val="21"/>
          <w:highlight w:val="none"/>
        </w:rPr>
        <w:t xml:space="preserve">技术参数</w:t>
      </w:r>
      <w:r/>
    </w:p>
    <w:tbl>
      <w:tblPr>
        <w:tblStyle w:val="904"/>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6"/>
        <w:gridCol w:w="1368"/>
        <w:gridCol w:w="6736"/>
      </w:tblGrid>
      <w:tr>
        <w:trPr>
          <w:trHeight w:val="270"/>
        </w:trPr>
        <w:tc>
          <w:tcPr>
            <w:shd w:val="clear" w:color="auto" w:fill="auto"/>
            <w:tcBorders>
              <w:top w:val="single" w:color="000000" w:sz="8" w:space="0"/>
              <w:left w:val="single" w:color="000000" w:sz="8" w:space="0"/>
              <w:bottom w:val="none" w:color="000000" w:sz="4" w:space="0"/>
              <w:right w:val="single" w:color="000000" w:sz="8"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none" w:color="000000" w:sz="4" w:space="0"/>
              <w:bottom w:val="none" w:color="000000" w:sz="4" w:space="0"/>
              <w:right w:val="single" w:color="000000" w:sz="8"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采购内容</w:t>
            </w:r>
            <w:r/>
          </w:p>
        </w:tc>
        <w:tc>
          <w:tcPr>
            <w:shd w:val="clear" w:color="auto" w:fill="auto"/>
            <w:tcBorders>
              <w:top w:val="single" w:color="000000" w:sz="8" w:space="0"/>
              <w:left w:val="none" w:color="000000" w:sz="4" w:space="0"/>
              <w:bottom w:val="none" w:color="000000" w:sz="4" w:space="0"/>
              <w:right w:val="single" w:color="000000" w:sz="8" w:space="0"/>
            </w:tcBorders>
            <w:tcW w:w="673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技术要求</w:t>
            </w:r>
            <w:r/>
          </w:p>
        </w:tc>
      </w:tr>
      <w:tr>
        <w:trPr>
          <w:trHeight w:val="1039"/>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EPDM颗粒更新（含原旧地面铲除）</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numPr>
                <w:ilvl w:val="0"/>
                <w:numId w:val="18"/>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旧场地铲除参数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1.铲除范围：原有老化、脱粒、起皮、空鼓EPDM面层全部彻底铲除，直至坚实基面。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2.基面要求：铲除后基面平整、无残留颗粒、无油污、无松动起砂，清扫吸尘干净。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二、新面层结构（双层颗粒、总厚度≥13mm）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底层：≥原生EPDM颗粒8mm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面层：≥彩色EPDM颗粒5mm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整体总厚度：≥13mm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统一含胶量：≥20%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三、材料配比参数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1.颗粒含胶量：底层、面层EPDM颗粒含胶量均≥20%，颗粒粒径均匀、无杂质。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2.胶水配比：颗粒与专用聚氨酯胶水按标准配比搅拌，搅拌均匀、无干粉、无结团。</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3.辅料：添加适量环保色粉（面层），色泽均匀一致。</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四、摊铺施工参数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1.摊铺方式：机械搅拌、人工摊铺机整平压实，双层分层摊铺、分层固化。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2.底层施工：一次性摊铺压实，表面平整密实，无空鼓、无蜂窝孔。</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3.面层施工：底层固化后摊铺彩色颗粒，整体收边顺直、厚薄均匀。</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4.压实密度：整体压实密实，粘结牢固，无脱粒、起皮、松动现象。</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ff0000"/>
                <w:sz w:val="22"/>
                <w:szCs w:val="22"/>
                <w:highlight w:val="none"/>
                <w:u w:val="none"/>
                <w:lang w:val="en-US" w:eastAsia="zh-CN" w:bidi="ar"/>
              </w:rPr>
              <w:t xml:space="preserve">5.供应商须提供设计方案，色彩、划线等设计方案须经采购人确认后才能施工</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五、养护及验收参数</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1.常温固化养护：常温养护24小时可行走，7天完全固化投入使用。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2.成品标准：整体厚度均匀≥13mm，弹性适中、平整度达标、色泽一致、无积水坑洼，符合户外健身场地EPDM施工验收标准。</w:t>
            </w:r>
            <w:r>
              <w:rPr>
                <w:rFonts w:hint="eastAsia" w:ascii="宋体" w:hAnsi="宋体" w:eastAsia="宋体" w:cs="宋体"/>
                <w:i w:val="0"/>
                <w:iCs w:val="0"/>
                <w:color w:val="000000"/>
                <w:sz w:val="22"/>
                <w:szCs w:val="22"/>
                <w:highlight w:val="none"/>
                <w:u w:val="none"/>
                <w:lang w:val="en-US" w:eastAsia="zh-CN" w:bidi="ar"/>
              </w:rPr>
              <w:br/>
            </w:r>
            <w:r>
              <w:rPr>
                <w:rStyle w:val="1345"/>
                <w:highlight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成品及原材料有害物质限量、物理性能须符合GB 36246-2018《中小学合成材料面层运动场地》 ，</w:t>
            </w:r>
            <w:r>
              <w:rPr>
                <w:rFonts w:hint="eastAsia" w:ascii="宋体" w:hAnsi="宋体" w:eastAsia="宋体" w:cs="宋体"/>
                <w:b/>
                <w:bCs/>
                <w:i w:val="0"/>
                <w:iCs w:val="0"/>
                <w:color w:val="ff0000"/>
                <w:sz w:val="22"/>
                <w:szCs w:val="22"/>
                <w:highlight w:val="none"/>
                <w:u w:val="none"/>
                <w:lang w:val="en-US" w:eastAsia="zh-CN" w:bidi="ar"/>
              </w:rPr>
              <w:t xml:space="preserve">具备CMA资质的第三方检测机构出具的检测报告扫描件</w:t>
            </w:r>
            <w:r>
              <w:rPr>
                <w:rFonts w:hint="eastAsia" w:ascii="宋体" w:hAnsi="宋体" w:eastAsia="宋体" w:cs="宋体"/>
                <w:i w:val="0"/>
                <w:iCs w:val="0"/>
                <w:color w:val="ff0000"/>
                <w:sz w:val="22"/>
                <w:szCs w:val="22"/>
                <w:highlight w:val="none"/>
                <w:u w:val="none"/>
                <w:lang w:val="en-US" w:eastAsia="zh-CN" w:bidi="ar"/>
              </w:rPr>
              <w:t xml:space="preserve">。</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告示牌</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1.立柱规格≥φ114mm×3mm；钢管，钢制盖帽；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2.告示牌面板采用不锈钢材质，图样及字样蚀刻处理；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3.告示牌双面图文按照采购人详细要求制作，制作前需经采购人确认。须包含：安全提示、承保单位及电话、报修方式（报修电话、全省统一的报修二维码等）、安装日期、管护单位、联系电话等；</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ff0000"/>
                <w:sz w:val="22"/>
                <w:szCs w:val="22"/>
                <w:highlight w:val="none"/>
                <w:u w:val="none"/>
                <w:lang w:val="en-US" w:eastAsia="zh-CN" w:bidi="ar"/>
              </w:rPr>
              <w:t xml:space="preserve">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5.安装和地基需符合GB 19272-2024的要求。</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双位太空漫步机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功能：锻炼下肢肌群、改善髋关节灵活性、提升平衡与身体协调性、有氧锻炼，增强心肺功能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三位扭腰器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功能：活动腰腹，锻炼腰腹部肌群、提升躯干协调性、促进腰胯部位血液循环</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太极推揉器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numPr>
                <w:ilvl w:val="0"/>
                <w:numId w:val="19"/>
              </w:num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主立柱为钢管厚度不小于φ114×3mm标准管材；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2.两转盘间的开口距离不小于230mm；转盘为金属材质；共4个转盘，转盘上带把手；</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★4.产品符合GB19272-2024国标要求，提供经国家认可的器材质量认证机构出具的有效产品质量认证证书和具备CMA资质的第三方检测机构出具的检测报告扫描件；</w:t>
            </w:r>
            <w:r/>
          </w:p>
          <w:p>
            <w:pPr>
              <w:numPr>
                <w:ilvl w:val="0"/>
                <w:numId w:val="0"/>
              </w:num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功能：锻炼肩带肌群，增强肩部肌肉力量，活动肘关节、腕关节</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立式腰背按摩器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19272-2024的要求。功能：按摩放松腰背部两侧肌肉，活动腰椎，改善腰背部柔韧性</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肋木架</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功能：拉伸舒展四肢躯干、锻炼上肢握力、肩背肌群、强化腰腹核心力量</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骑马机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 ：综合锻炼上下肢肌群，锻炼腰腹背部肌群，提升四肢协同与身体协调性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椭圆机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1.主立柱为钢管厚度不小于φ114×3mm标准管材；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                 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 锻炼下肢肌群，手脚联动，锻炼上肢肩臂肌群</w:t>
            </w:r>
            <w:r/>
          </w:p>
        </w:tc>
      </w:tr>
      <w:tr>
        <w:trPr>
          <w:trHeight w:val="1252"/>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四联压腿按摩器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1.立柱规格为钢管厚度不小于φ114mm×3mm标准管材；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功能：拉伸下肢韧带，提升腿部柔韧性，按摩腿部肌肉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背部训练器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功能：锻炼背阔肌、斜方肌中下束、菱形肌，模拟坐姿划船，强化背部肌肉力量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上肢牵引器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1.主立柱为钢管厚度不小于φ114mm×3mm标准管材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2.器材金属构件基材完成热浸镀锌防腐处理后，采用户外聚酯粉末静电喷塑（俗称烤漆）；涂层色泽均匀，无流挂、起泡、露底、脱落；涂层附着力满足户外使用，抗紫外线、耐老化，适应露天室外环境。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                4.安装和地基需符合GB 19272-2024的要求。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 功能：活动肩关节，提升肩部柔韧性，锻炼手臂、手腕、肩背部位肌肉   </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跷跷板</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2.主要承载横梁尺寸不小于φ89×3.0mm；  3.器材金属构件基材完成热浸镀锌防腐处理后，采用户外聚酯粉末静电喷塑（俗称烤漆）；涂层色泽均匀，无流挂、起泡、露底、脱落；涂层附着力满足户外使用，抗紫外线、耐老化，适应露天室外环境。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ff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19272-2024的要求。功能：锻炼上下肢肌肉力量，提升身体平衡感与肢体协调性，增加健身趣味性</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二位单杠</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1.主要承载立柱尺寸不小于φ114×3.0mm； 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ff0000"/>
                <w:sz w:val="22"/>
                <w:szCs w:val="22"/>
                <w:highlight w:val="none"/>
                <w:u w:val="none"/>
                <w:lang w:val="en-US" w:eastAsia="zh-CN" w:bidi="ar"/>
              </w:rPr>
              <w:t xml:space="preserve">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19272-2024的要求。功能：锻炼上肢、肩背肌群，可悬垂拉伸躯干，锻炼腰腹核心力量</w:t>
            </w:r>
            <w:r/>
          </w:p>
        </w:tc>
      </w:tr>
      <w:tr>
        <w:trPr>
          <w:trHeight w:val="929"/>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双杠</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2.器材金属构件基材完成热浸镀锌防腐处理后，采用户外聚酯粉末静电喷塑（俗称烤漆）；涂层色泽均匀，无流挂、起泡、露底、脱落；涂层附着力满足户外使用，抗紫外线、耐老化，适应露天室外环境。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19272-2024的要求。功能：锻炼上肢胸、肩、臂部肌群，锻炼背阔肌及核心腰腹力量</w:t>
            </w:r>
            <w:r/>
          </w:p>
        </w:tc>
      </w:tr>
      <w:tr>
        <w:trPr>
          <w:trHeight w:val="1890"/>
        </w:trPr>
        <w:tc>
          <w:tcPr>
            <w:shd w:val="clear" w:color="auto" w:fill="auto"/>
            <w:tcBorders>
              <w:top w:val="single" w:color="auto" w:sz="4" w:space="0"/>
              <w:left w:val="single" w:color="auto" w:sz="4" w:space="0"/>
              <w:bottom w:val="single" w:color="auto" w:sz="4" w:space="0"/>
              <w:right w:val="single" w:color="auto"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cs="宋体"/>
                <w:i w:val="0"/>
                <w:iCs w:val="0"/>
                <w:color w:val="000000"/>
                <w:sz w:val="22"/>
                <w:szCs w:val="22"/>
                <w:highlight w:val="none"/>
                <w:u w:val="none"/>
                <w:lang w:val="en-US" w:eastAsia="zh-CN"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平行天梯</w:t>
            </w:r>
            <w:r/>
          </w:p>
        </w:tc>
        <w:tc>
          <w:tcPr>
            <w:shd w:val="clear" w:color="auto" w:fill="auto"/>
            <w:tcBorders>
              <w:top w:val="single" w:color="auto" w:sz="4" w:space="0"/>
              <w:left w:val="single" w:color="auto" w:sz="4" w:space="0"/>
              <w:bottom w:val="single" w:color="auto" w:sz="4" w:space="0"/>
              <w:right w:val="single" w:color="auto"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2.主要承载横梁尺寸不小于φ60×3.0mm；                                   ★</w:t>
            </w:r>
            <w:r>
              <w:rPr>
                <w:rFonts w:hint="eastAsia" w:ascii="宋体" w:hAnsi="宋体" w:eastAsia="宋体" w:cs="宋体"/>
                <w:i w:val="0"/>
                <w:iCs w:val="0"/>
                <w:color w:val="ff0000"/>
                <w:sz w:val="22"/>
                <w:szCs w:val="22"/>
                <w:highlight w:val="none"/>
                <w:u w:val="none"/>
                <w:lang w:val="en-US" w:eastAsia="zh-CN" w:bidi="ar"/>
              </w:rPr>
              <w:t xml:space="preserve">3.产品符合GB19272-2024国标要求，提供经国家认可的器材质量认证机构出具的有效产品质量认证证书和具备CMA资质的第三方检测机构出具的检测报告扫描件；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4.安装和地基需符合GB 19272-2024的要求。功能：锻炼上肢、肩背肌群，提升握力、臂部肌肉力量与耐力，提升肩关节灵活性，拉伸肩背韧带，改善上肢血液循环，锻炼身体协调性与本体控制能力</w:t>
            </w:r>
            <w:r/>
          </w:p>
        </w:tc>
      </w:tr>
      <w:tr>
        <w:trPr>
          <w:trHeight w:val="2430"/>
        </w:trPr>
        <w:tc>
          <w:tcPr>
            <w:shd w:val="clear" w:color="auto" w:fill="auto"/>
            <w:tcBorders>
              <w:top w:val="single" w:color="auto" w:sz="4" w:space="0"/>
              <w:left w:val="single" w:color="auto" w:sz="4" w:space="0"/>
              <w:bottom w:val="single" w:color="auto" w:sz="4" w:space="0"/>
              <w:right w:val="single" w:color="auto"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负重推肩训练器</w:t>
            </w:r>
            <w:r/>
          </w:p>
        </w:tc>
        <w:tc>
          <w:tcPr>
            <w:shd w:val="clear" w:color="auto" w:fill="auto"/>
            <w:tcBorders>
              <w:top w:val="single" w:color="auto" w:sz="4" w:space="0"/>
              <w:left w:val="single" w:color="auto" w:sz="4" w:space="0"/>
              <w:bottom w:val="single" w:color="auto" w:sz="4" w:space="0"/>
              <w:right w:val="single" w:color="auto"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3.摆臂主管不小于φ60×3.0mm，扶手管不小于φ38×3.0mm，扶手端部采用软性包覆；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★5.产品符合GB19272-2024国标要求，提供具备CMA资质的第三方检测机构出具的检测报告扫描件；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6.安装和地基需符合GB 19272-2024的要求。功能：主要锻炼三角肌（肩前、中束）、斜方肌上部、肱三头肌</w:t>
            </w:r>
            <w:r/>
          </w:p>
        </w:tc>
      </w:tr>
      <w:tr>
        <w:trPr>
          <w:trHeight w:val="2970"/>
        </w:trPr>
        <w:tc>
          <w:tcPr>
            <w:shd w:val="clear" w:color="auto" w:fill="auto"/>
            <w:tcBorders>
              <w:top w:val="single" w:color="auto"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p>
        </w:tc>
        <w:tc>
          <w:tcPr>
            <w:shd w:val="clear" w:color="auto" w:fill="auto"/>
            <w:tcBorders>
              <w:top w:val="single" w:color="auto"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负重高拉训练器</w:t>
            </w:r>
            <w:r/>
          </w:p>
        </w:tc>
        <w:tc>
          <w:tcPr>
            <w:shd w:val="clear" w:color="auto" w:fill="auto"/>
            <w:tcBorders>
              <w:top w:val="single" w:color="auto"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1.主要承载立柱尺寸不小于180×60×2.5mm、φ76×3.0mm；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4.摆臂主管不小于φ60×3.0mm，扶手管不小于φ38×3.0mm，扶手端部采用软性包覆；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6.产品符合GB19272-2024国标要求，提供具备CMA资质的第三方检测机构出具的检测报告扫描件；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7.安装和地基需符合GB 19272-2024的要求。功能：主要锻炼背阔肌、斜方肌中下束、菱形肌、肱二头肌；通过负重阻尼抗阻训练，改善圆肩体态，拉伸肩背肌群，提升肩关节活动度</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负重深蹲训练器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1.主要承载立柱尺寸不小于180×60×2.5mm；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2.主要承载横梁尺寸不小于180×60×2.5mm、φ60×3.0mm；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4.摆臂主管手管不小于φ60×3.0mm，扶手管不小于φ38×3.0mm，扶手端部采用软性包覆；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5.阻力不小于10级可调；</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★6.产品符合GB19272-2024国标要求，提供具备CMA资质的第三方检测机构出具的检测报告扫描件；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7.安装和地基需符合GB 19272-2024的要求。功能：锻炼股四头肌、臀大肌、腘绳肌；提升躯干稳定性，活动髋、膝关节，改善下肢关节活动度。</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亲子互动骑马机</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2.主要承载横梁材料及尺寸不小于Φ60×3.0mm；Φ50×3.0mm；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3.加强板厚度不小于8mm；采用内限位结构；</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4.儿童座椅周边配备扶手护栏不小于φ32*3.0mm花纹管防止跌落；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★5.产品符合GB19272-2024国标要求，提供具备CMA资质的第三方检测机构出具的检测报告扫描件；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6.安装和地基需符合GB 19272-2024的要求。功能：锻炼上下肢、腰腹背部及臀部肌群，双人联动亲子互动</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小型组合式儿童攀爬类器材</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小型组合式器材包含：爬网、攀岩板面 、悬挂式圆盘吊桩步道、地面三连独立脚踏踏板、三角吊环和云梯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1.主立柱采用不小于φ89mm、壁厚不小于2mm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2.镀锌层最小厚度不小于60μm，不易生锈。</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3.焊接采用氩弧焊及二氧化碳气体保护焊， 整体加工成型经专业技术人员除油、抛砂处理后，表面再经过自动化控制的静电粉末喷涂流水线高温固化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4.附件管不小于φ32mm、φ28mm，壁厚不小于2mm钢管，渗透性热镀锌工艺表面镀锌，镀锌层最小厚度不小于60μm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5.绳网采用直径不小于16mm航海船用高强度缆绳，中芯不少于6股钢丝绳，外层再覆以涤纶纤维，强度大，抗磨损，耐腐蚀，防紫外线，抗老化；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6.攀岩板采用厚度不小于15mm</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ff0000"/>
                <w:sz w:val="22"/>
                <w:szCs w:val="22"/>
                <w:highlight w:val="none"/>
                <w:u w:val="none"/>
                <w:lang w:val="en-US" w:eastAsia="zh-CN" w:bidi="ar"/>
              </w:rPr>
              <w:t xml:space="preserve">.规格不小于480×840×320cm</w:t>
            </w:r>
            <w:r>
              <w:rPr>
                <w:rFonts w:hint="eastAsia" w:ascii="宋体" w:hAnsi="宋体" w:cs="宋体"/>
                <w:i w:val="0"/>
                <w:iCs w:val="0"/>
                <w:color w:val="ff0000"/>
                <w:sz w:val="22"/>
                <w:szCs w:val="22"/>
                <w:highlight w:val="none"/>
                <w:u w:val="none"/>
                <w:lang w:val="en-US" w:eastAsia="zh-CN" w:bidi="ar"/>
              </w:rPr>
              <w:t xml:space="preserve">；</w:t>
            </w:r>
            <w:r>
              <w:rPr>
                <w:rFonts w:hint="eastAsia" w:ascii="宋体" w:hAnsi="宋体" w:eastAsia="宋体" w:cs="宋体"/>
                <w:i w:val="0"/>
                <w:iCs w:val="0"/>
                <w:color w:val="ff0000"/>
                <w:sz w:val="22"/>
                <w:szCs w:val="22"/>
                <w:highlight w:val="none"/>
                <w:u w:val="none"/>
                <w:lang w:val="en-US" w:eastAsia="zh-CN" w:bidi="ar"/>
              </w:rPr>
              <w:t xml:space="preserve">                                            8.供应商需根据现场场地深化设计，设计方案需满足采购人要求后方可安装。</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大型组合式儿童攀爬类器材</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ff0000"/>
                <w:sz w:val="22"/>
                <w:szCs w:val="22"/>
                <w:highlight w:val="none"/>
                <w:u w:val="none"/>
                <w:lang w:val="en-US" w:eastAsia="zh-CN" w:bidi="ar"/>
              </w:rPr>
              <w:t xml:space="preserve">大型组合式器材包含：旋转座椅、爬网、攀岩板面、悬挂式圆盘吊桩步道、双组深蹲壶、梅花桩、双人健身拉环、云梯；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1.主立柱采用不小于φ89mm、壁厚不小于2mm钢管，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3.焊接采用氩弧焊及二氧化碳气体保护焊， 整体加工成型经专业技术人员除油、抛砂处理后，表面再经过自动化控制的静电粉末喷涂流水线高温固化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4.附件管不小于φ32mm、φ28mm，壁厚不小于2mm钢管，渗透性热镀锌工艺表面镀锌，镀锌层最小厚度不小于60μm，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5.绳网采用直径不小于16mm航海船用高强度缆绳，中芯不少于6股钢丝绳，外层再覆以涤纶纤维，强度大，抗磨损，耐腐蚀，防紫外线，抗老化；</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6.攀岩板采用厚度不小于15mm</w:t>
            </w:r>
            <w:r>
              <w:rPr>
                <w:rFonts w:hint="eastAsia" w:ascii="宋体" w:hAnsi="宋体" w:cs="宋体"/>
                <w:i w:val="0"/>
                <w:iCs w:val="0"/>
                <w:color w:val="000000"/>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ff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7.塑料件采用低密度线性聚乙烯（LLDPE）工程塑料。滚塑工艺一次成型，成型塑料件壁厚不小于6mm，抗紫外光（UV）能力不小于8级；</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8.规格不小于800cm×800cm×320cm；</w:t>
            </w:r>
            <w:r>
              <w:rPr>
                <w:rFonts w:hint="eastAsia" w:ascii="宋体" w:hAnsi="宋体" w:eastAsia="宋体" w:cs="宋体"/>
                <w:i w:val="0"/>
                <w:iCs w:val="0"/>
                <w:color w:val="ff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9.供应商需根据现场场地深化设计，设计方案需满足采购人要求后方可安装。</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组合训练器内容包含：肋木、爬杆、爬链、吊环、引体向上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1.主要承载立柱规格为钢管厚度不小于φ114×3mm标准管材；</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2.主要承载横梁尺寸不小于φ42×3.0mm；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3.肋木：跌落高度不高于1800mm；横管间距不小于300mm；最下方横杠距底面的高度不小于420mm;使用宽度不小于1100mm；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4.爬杆：跌落高度不高于1100mm；使用宽度不小于1100mm；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5.爬链：跌落高度不高于550mm；使用宽度不小于1100mm；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6.吊环：活动把手（不含柔性部件）质量不小于423g；跌落高度不高于1600mm；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7.引体向上：使用宽度不小于1186mm，杠面高度不小于2000mm，横杠外径不小于30mm；杠面距地高度不超过3米；                                                 8.安装和地基需符合GB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ff0000"/>
                <w:sz w:val="22"/>
                <w:szCs w:val="22"/>
                <w:highlight w:val="none"/>
                <w:u w:val="none"/>
                <w:lang w:val="en-US" w:eastAsia="zh-CN" w:bidi="ar"/>
              </w:rPr>
              <w:t xml:space="preserve">.产品符合GB19272-2024国标要求，提供经国家认可的器材质量认证机构出具的有效产品质量认证证书和具备CMA资质的第三方检测机构出具的检测报告扫描件；</w:t>
            </w:r>
            <w:r/>
          </w:p>
        </w:tc>
      </w:tr>
      <w:tr>
        <w:trPr>
          <w:trHeight w:val="357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不锈钢提重训练器</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1.采用框架式结构。至少可满足3人同时使用。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2.所有管材均采用304不锈钢,产品表面采用拉丝工艺处理。</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3.主要承载立柱尺寸不小于φ89×3.0mm；±5%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4.主要承载横梁尺寸不小于φ89×3.0mm；±5%</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5.配置有三种不同重量的提壶，提壶在下落过程中自带阻尼，能缓慢下落，重物底下带橡胶缓冲垫；</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6.器材上配置有双层700×400×10.0mm告示牌，采用透明PC耐力板喷绘制作而成。告示牌上有多种锻炼方式展示及健身知识宣导。</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8.安装和地基需符合GB 19272-2024的要求；</w:t>
            </w:r>
            <w:r>
              <w:rPr>
                <w:rFonts w:hint="eastAsia" w:ascii="宋体" w:hAnsi="宋体" w:eastAsia="宋体" w:cs="宋体"/>
                <w:i w:val="0"/>
                <w:iCs w:val="0"/>
                <w:color w:val="000000"/>
                <w:sz w:val="22"/>
                <w:szCs w:val="22"/>
                <w:highlight w:val="none"/>
                <w:u w:val="none"/>
                <w:lang w:val="en-US" w:eastAsia="zh-CN" w:bidi="ar"/>
              </w:rPr>
              <w:br/>
            </w:r>
            <w:r>
              <w:rPr>
                <w:rStyle w:val="1345"/>
                <w:highlight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ff0000"/>
                <w:sz w:val="22"/>
                <w:szCs w:val="22"/>
                <w:highlight w:val="none"/>
                <w:u w:val="none"/>
                <w:lang w:val="en-US" w:eastAsia="zh-CN" w:bidi="ar"/>
              </w:rPr>
              <w:t xml:space="preserve">产品符合GB19272-2024国标要求，具备CMA资质的第三方检测机构出具的检测报告扫描件；</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10、规格不小于3900mm×900mm×2500mm；功能：锻炼背部、臀部、大腿后侧肌群（竖脊肌、臀大肌、腘绳肌）</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室外乒乓球桌</w:t>
            </w:r>
            <w:r/>
          </w:p>
        </w:tc>
        <w:tc>
          <w:tcPr>
            <w:shd w:val="clear" w:color="auto" w:fill="auto"/>
            <w:tcBorders>
              <w:top w:val="single" w:color="000000" w:sz="4" w:space="0"/>
              <w:left w:val="single" w:color="000000" w:sz="4" w:space="0"/>
              <w:bottom w:val="single" w:color="000000"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1、主要承载立柱尺寸不小于φ60×3.0mm。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2、主要承载横梁尺寸不小于30×20×2.0mm。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3、球台长度不小于2740mm，球台宽度不小于1500mm，球台高度不小于760mm。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4、台腿使用φ60×3mm钢管，撑管采用30×20×2.0mm钢管</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5、产品地埋采用防腐加强措施。</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6、安装方式：采用预埋式  埋地深度：400mm。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7、地基尺寸：400×400×500mm。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8、规格不小于2700×1500×900mm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★9、产品符合GB19272-2024国标要求，提供经国家认可的器材质量认证机构出具的有效产品质量认证证书和具备CMA资质的第三方检测机构出具的检测报告扫描件；</w:t>
            </w:r>
            <w:r/>
          </w:p>
        </w:tc>
      </w:tr>
      <w:tr>
        <w:trPr>
          <w:trHeight w:val="787"/>
        </w:trPr>
        <w:tc>
          <w:tcPr>
            <w:shd w:val="clear" w:color="auto" w:fill="auto"/>
            <w:tcBorders>
              <w:top w:val="single" w:color="000000" w:sz="4" w:space="0"/>
              <w:left w:val="single" w:color="000000" w:sz="4" w:space="0"/>
              <w:bottom w:val="single" w:color="auto" w:sz="4" w:space="0"/>
              <w:right w:val="single" w:color="000000" w:sz="4" w:space="0"/>
            </w:tcBorders>
            <w:tcW w:w="1076"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auto" w:sz="4" w:space="0"/>
              <w:right w:val="single" w:color="000000" w:sz="4" w:space="0"/>
            </w:tcBorders>
            <w:tcW w:w="1368"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五人制足球门</w:t>
            </w:r>
            <w:r/>
          </w:p>
        </w:tc>
        <w:tc>
          <w:tcPr>
            <w:shd w:val="clear" w:color="auto" w:fill="auto"/>
            <w:tcBorders>
              <w:top w:val="single" w:color="000000" w:sz="4" w:space="0"/>
              <w:left w:val="single" w:color="000000" w:sz="4" w:space="0"/>
              <w:bottom w:val="single" w:color="auto" w:sz="4" w:space="0"/>
              <w:right w:val="single" w:color="000000" w:sz="4" w:space="0"/>
            </w:tcBorders>
            <w:tcW w:w="673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1、主要承载立柱尺寸不小于φ76×3.0mm；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2、主要承载横梁尺寸不小于φ76×3.0mm；φ48×3.0mm；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3、足球门内宽度为不小于3000，内高度不小于2000m；球门上深度不小于900，下深度不小于1500；</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4、安装方式：预埋式；地埋深度：500mm；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5、地基尺寸：500×500×600mm。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6、规格不小于3100×1600×2000mm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ff0000"/>
                <w:sz w:val="22"/>
                <w:szCs w:val="22"/>
                <w:highlight w:val="none"/>
                <w:u w:val="none"/>
                <w:lang w:val="en-US" w:eastAsia="zh-CN" w:bidi="ar"/>
              </w:rPr>
              <w:t xml:space="preserve">★7.产品符合GB19272-2024国标要求，提供经国家认可的器材质量认证机构出具的有效产品质量认证证书和具备CMA资质的第三方检测机构出具的检测报告扫描件；</w:t>
            </w:r>
            <w:r/>
          </w:p>
        </w:tc>
      </w:tr>
      <w:tr>
        <w:trPr>
          <w:trHeight w:val="540"/>
        </w:trPr>
        <w:tc>
          <w:tcPr>
            <w:gridSpan w:val="3"/>
            <w:shd w:val="clear" w:color="auto" w:fill="auto"/>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cs="宋体"/>
                <w:b/>
                <w:bCs/>
                <w:color w:val="000000"/>
                <w:sz w:val="24"/>
                <w:highlight w:val="none"/>
                <w:lang w:val="en-US" w:eastAsia="zh-CN"/>
              </w:rPr>
              <w:t xml:space="preserve">以上</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内容在对应采购包中需提供相应的证明材料，未提供做无效标处理。        本项所投产品商品名称与采购文件所列名称存在厂家命名差异，但全部技术参数、功能指标应当完全满足采购文件要求，用途一致，视同符合响应要求。</w:t>
            </w:r>
            <w:r/>
          </w:p>
        </w:tc>
      </w:tr>
    </w:tbl>
    <w:p>
      <w:pPr>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175"/>
        <w:contextualSpacing/>
        <w:ind w:firstLine="0"/>
        <w:spacing w:line="360" w:lineRule="auto"/>
        <w:rPr>
          <w:rFonts w:ascii="宋体" w:hAnsi="宋体" w:cs="宋体"/>
          <w:b/>
          <w:color w:val="000000"/>
          <w:sz w:val="24"/>
          <w:szCs w:val="24"/>
          <w:highlight w:val="none"/>
        </w:rPr>
      </w:pPr>
      <w:r>
        <w:rPr>
          <w:rFonts w:hint="eastAsia" w:ascii="宋体" w:hAnsi="宋体" w:cs="宋体"/>
          <w:b/>
          <w:bCs/>
          <w:color w:val="000000"/>
          <w:sz w:val="24"/>
          <w:highlight w:val="none"/>
        </w:rPr>
        <w:t xml:space="preserve">二、</w:t>
      </w:r>
      <w:r>
        <w:rPr>
          <w:rFonts w:hint="eastAsia" w:ascii="宋体" w:hAnsi="宋体" w:cs="宋体"/>
          <w:b/>
          <w:color w:val="000000"/>
          <w:sz w:val="24"/>
          <w:szCs w:val="24"/>
          <w:highlight w:val="none"/>
        </w:rPr>
        <w:t xml:space="preserve">商务要求</w:t>
      </w:r>
      <w:r/>
    </w:p>
    <w:p>
      <w:pPr>
        <w:contextualSpacing/>
        <w:spacing w:line="360" w:lineRule="auto"/>
        <w:rPr>
          <w:rFonts w:ascii="宋体" w:hAnsi="宋体" w:cs="宋体"/>
          <w:b/>
          <w:i/>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1. 服务期限和地点</w:t>
      </w:r>
      <w:r/>
    </w:p>
    <w:p>
      <w:pPr>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服务期限：</w:t>
      </w:r>
      <w:r>
        <w:rPr>
          <w:rFonts w:hint="eastAsia" w:ascii="宋体" w:hAnsi="宋体" w:cs="宋体"/>
          <w:color w:val="000000"/>
          <w:sz w:val="24"/>
          <w:highlight w:val="none"/>
          <w:lang w:val="en-US" w:eastAsia="zh-CN"/>
        </w:rPr>
        <w:t xml:space="preserve">根据采购人的要求分批供货，但各采购包均须确保在2026年11月30日前完成供货并安装调试</w:t>
      </w:r>
      <w:r>
        <w:rPr>
          <w:rFonts w:hint="eastAsia" w:ascii="宋体" w:hAnsi="宋体" w:cs="宋体"/>
          <w:color w:val="000000"/>
          <w:sz w:val="24"/>
          <w:highlight w:val="none"/>
        </w:rPr>
        <w:t xml:space="preserve">。</w:t>
      </w:r>
      <w:r/>
    </w:p>
    <w:p>
      <w:pPr>
        <w:contextualSpacing/>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服务地点：采购人指定地点。未送货前货物的堆放地点由中标供应商自行解决并承担场地费用。</w:t>
      </w:r>
      <w:r/>
    </w:p>
    <w:p>
      <w:pPr>
        <w:contextualSpacing/>
        <w:spacing w:line="360" w:lineRule="auto"/>
        <w:rPr>
          <w:rFonts w:ascii="宋体" w:hAnsi="宋体" w:cs="宋体"/>
          <w:b/>
          <w:color w:val="000000"/>
          <w:sz w:val="24"/>
          <w:highlight w:val="none"/>
        </w:rPr>
      </w:pPr>
      <w:r>
        <w:rPr>
          <w:rFonts w:hint="eastAsia" w:ascii="宋体" w:hAnsi="宋体" w:cs="宋体"/>
          <w:b/>
          <w:bCs/>
          <w:color w:val="000000"/>
          <w:sz w:val="24"/>
          <w:highlight w:val="none"/>
        </w:rPr>
        <w:t xml:space="preserve">2.结算方式、</w:t>
      </w:r>
      <w:r>
        <w:rPr>
          <w:rFonts w:hint="eastAsia" w:ascii="宋体" w:hAnsi="宋体" w:cs="宋体"/>
          <w:b/>
          <w:color w:val="000000"/>
          <w:sz w:val="24"/>
          <w:highlight w:val="none"/>
        </w:rPr>
        <w:t xml:space="preserve">付款条件</w:t>
      </w:r>
      <w:r/>
    </w:p>
    <w:p>
      <w:pPr>
        <w:pStyle w:val="1175"/>
        <w:contextualSpacing/>
        <w:ind w:firstLine="0"/>
        <w:spacing w:line="360" w:lineRule="auto"/>
        <w:rPr>
          <w:rFonts w:hint="eastAsia" w:ascii="宋体" w:hAnsi="宋体" w:cs="宋体"/>
          <w:b/>
          <w:bCs/>
          <w:color w:val="0000ff"/>
          <w:sz w:val="24"/>
          <w:highlight w:val="none"/>
        </w:rPr>
      </w:pPr>
      <w:r>
        <w:rPr>
          <w:rFonts w:hint="eastAsia" w:ascii="宋体" w:hAnsi="宋体" w:cs="宋体"/>
          <w:b/>
          <w:bCs/>
          <w:color w:val="0000ff"/>
          <w:sz w:val="24"/>
          <w:highlight w:val="none"/>
        </w:rPr>
        <w:t xml:space="preserve">本项目合同采用固定总价结算，结算时不作调整。</w:t>
      </w:r>
      <w:r/>
    </w:p>
    <w:p>
      <w:pPr>
        <w:pStyle w:val="1175"/>
        <w:contextualSpacing/>
        <w:ind w:firstLine="0"/>
        <w:rPr>
          <w:rFonts w:ascii="宋体" w:hAnsi="宋体" w:cs="宋体"/>
          <w:b/>
          <w:bCs/>
          <w:color w:val="0000ff"/>
          <w:sz w:val="24"/>
          <w:highlight w:val="none"/>
        </w:rPr>
      </w:pPr>
      <w:r>
        <w:rPr>
          <w:rFonts w:hint="eastAsia" w:ascii="宋体" w:hAnsi="宋体" w:cs="宋体"/>
          <w:b/>
          <w:bCs/>
          <w:color w:val="0000ff"/>
          <w:sz w:val="24"/>
          <w:highlight w:val="none"/>
        </w:rPr>
        <w:t xml:space="preserve">签订合同前，</w:t>
      </w:r>
      <w:r>
        <w:rPr>
          <w:rFonts w:ascii="宋体" w:hAnsi="宋体" w:cs="宋体"/>
          <w:b/>
          <w:bCs/>
          <w:color w:val="0000ff"/>
          <w:sz w:val="24"/>
          <w:highlight w:val="none"/>
        </w:rPr>
        <w:t xml:space="preserve">中标人应向采购人</w:t>
      </w:r>
      <w:bookmarkStart w:id="815" w:name="_Hlk153790273"/>
      <w:r>
        <w:rPr>
          <w:rFonts w:ascii="宋体" w:hAnsi="宋体" w:cs="宋体"/>
          <w:b/>
          <w:bCs/>
          <w:color w:val="0000ff"/>
          <w:sz w:val="24"/>
          <w:highlight w:val="none"/>
        </w:rPr>
        <w:t xml:space="preserve">提交电子履约保函</w:t>
      </w:r>
      <w:bookmarkEnd w:id="815"/>
      <w:r>
        <w:rPr>
          <w:rFonts w:ascii="宋体" w:hAnsi="宋体" w:cs="宋体"/>
          <w:b/>
          <w:bCs/>
          <w:color w:val="0000ff"/>
          <w:sz w:val="24"/>
          <w:highlight w:val="none"/>
        </w:rPr>
        <w:t xml:space="preserve">（保函金额为中标合同金额的</w:t>
      </w:r>
      <w:r>
        <w:rPr>
          <w:rFonts w:hint="eastAsia" w:ascii="宋体" w:hAnsi="宋体" w:cs="宋体"/>
          <w:b/>
          <w:bCs/>
          <w:color w:val="0000ff"/>
          <w:sz w:val="24"/>
          <w:highlight w:val="none"/>
        </w:rPr>
        <w:t xml:space="preserve">5%</w:t>
      </w:r>
      <w:r>
        <w:rPr>
          <w:rFonts w:ascii="宋体" w:hAnsi="宋体" w:cs="宋体"/>
          <w:b/>
          <w:bCs/>
          <w:color w:val="0000ff"/>
          <w:sz w:val="24"/>
          <w:highlight w:val="none"/>
        </w:rPr>
        <w:t xml:space="preserve">）。</w:t>
      </w:r>
      <w:r/>
    </w:p>
    <w:p>
      <w:pPr>
        <w:pStyle w:val="1175"/>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电子履约保函有效期：大于等于本项目免费质量保证期。</w:t>
      </w:r>
      <w:r/>
    </w:p>
    <w:p>
      <w:pPr>
        <w:pStyle w:val="1175"/>
        <w:contextualSpacing/>
        <w:ind w:firstLine="0"/>
        <w:rPr>
          <w:rFonts w:ascii="宋体" w:hAnsi="宋体" w:cs="宋体"/>
          <w:b/>
          <w:bCs/>
          <w:color w:val="0000ff"/>
          <w:sz w:val="24"/>
          <w:highlight w:val="none"/>
        </w:rPr>
      </w:pPr>
      <w:r>
        <w:rPr>
          <w:rFonts w:ascii="宋体" w:hAnsi="宋体" w:cs="宋体"/>
          <w:b/>
          <w:bCs/>
          <w:color w:val="0000ff"/>
          <w:sz w:val="24"/>
          <w:highlight w:val="none"/>
        </w:rPr>
        <w:t xml:space="preserve">电子履约保函流程：</w:t>
      </w:r>
      <w:r/>
    </w:p>
    <w:p>
      <w:pPr>
        <w:pStyle w:val="1175"/>
        <w:contextualSpacing/>
        <w:spacing w:line="360" w:lineRule="auto"/>
        <w:rPr>
          <w:rFonts w:hint="eastAsia" w:ascii="宋体" w:hAnsi="宋体" w:cs="宋体"/>
          <w:b/>
          <w:bCs/>
          <w:color w:val="0000ff"/>
          <w:sz w:val="24"/>
          <w:highlight w:val="none"/>
        </w:rPr>
      </w:pPr>
      <w:r/>
      <w:bookmarkStart w:id="816" w:name="OLE_LINK11"/>
      <w:r/>
      <w:bookmarkStart w:id="817" w:name="OLE_LINK10"/>
      <w:r>
        <w:rPr>
          <w:rFonts w:hint="eastAsia" w:ascii="宋体" w:hAnsi="宋体" w:cs="宋体"/>
          <w:b/>
          <w:bCs/>
          <w:color w:val="0000ff"/>
          <w:sz w:val="24"/>
          <w:highlight w:val="none"/>
        </w:rPr>
        <w:fldChar w:fldCharType="begin"/>
      </w:r>
      <w:r>
        <w:rPr>
          <w:rFonts w:hint="eastAsia" w:ascii="宋体" w:hAnsi="宋体" w:cs="宋体"/>
          <w:b/>
          <w:bCs/>
          <w:color w:val="0000ff"/>
          <w:sz w:val="24"/>
          <w:highlight w:val="none"/>
        </w:rPr>
        <w:instrText xml:space="preserve"> HYPERLINK "https://zfcg.changzhou.gov.cn/html/ns/tzgg/653859231062288.html" </w:instrText>
      </w:r>
      <w:r>
        <w:rPr>
          <w:rFonts w:hint="eastAsia" w:ascii="宋体" w:hAnsi="宋体" w:cs="宋体"/>
          <w:b/>
          <w:bCs/>
          <w:color w:val="0000ff"/>
          <w:sz w:val="24"/>
          <w:highlight w:val="none"/>
        </w:rPr>
        <w:fldChar w:fldCharType="separate"/>
      </w:r>
      <w:r>
        <w:rPr>
          <w:rStyle w:val="926"/>
          <w:rFonts w:hint="eastAsia" w:ascii="宋体" w:hAnsi="宋体" w:cs="宋体"/>
          <w:b/>
          <w:bCs/>
          <w:sz w:val="24"/>
          <w:szCs w:val="24"/>
          <w:highlight w:val="none"/>
        </w:rPr>
        <w:t xml:space="preserve">https://zfcg.changzhou.gov.cn/html/ns/tzgg/653859231062288.html</w:t>
      </w:r>
      <w:r>
        <w:rPr>
          <w:rFonts w:hint="eastAsia" w:ascii="宋体" w:hAnsi="宋体" w:cs="宋体"/>
          <w:b/>
          <w:bCs/>
          <w:color w:val="0000ff"/>
          <w:sz w:val="24"/>
          <w:highlight w:val="none"/>
        </w:rPr>
        <w:fldChar w:fldCharType="end"/>
      </w:r>
      <w:bookmarkEnd w:id="816"/>
      <w:r/>
      <w:bookmarkEnd w:id="817"/>
      <w:r/>
      <w:r/>
    </w:p>
    <w:p>
      <w:pPr>
        <w:pStyle w:val="1175"/>
        <w:contextualSpacing/>
        <w:ind w:firstLine="0"/>
        <w:rPr>
          <w:rFonts w:hint="eastAsia" w:ascii="宋体" w:hAnsi="宋体" w:cs="宋体"/>
          <w:b/>
          <w:bCs/>
          <w:color w:val="0000ff"/>
          <w:sz w:val="24"/>
          <w:highlight w:val="none"/>
        </w:rPr>
      </w:pPr>
      <w:r>
        <w:rPr>
          <w:rFonts w:hint="eastAsia" w:ascii="宋体" w:hAnsi="宋体" w:cs="宋体"/>
          <w:b/>
          <w:bCs/>
          <w:color w:val="0000ff"/>
          <w:sz w:val="24"/>
          <w:highlight w:val="none"/>
        </w:rPr>
        <w:t xml:space="preserve">合同签订后15个工作日内支付合同价的30%</w:t>
      </w:r>
      <w:r>
        <w:rPr>
          <w:rFonts w:hint="eastAsia" w:ascii="宋体" w:hAnsi="宋体" w:cs="宋体"/>
          <w:b/>
          <w:bCs/>
          <w:color w:val="0000ff"/>
          <w:sz w:val="24"/>
          <w:highlight w:val="none"/>
          <w:lang w:val="en-US" w:eastAsia="zh-CN"/>
        </w:rPr>
        <w:t xml:space="preserve">预付款</w:t>
      </w:r>
      <w:r>
        <w:rPr>
          <w:rFonts w:hint="eastAsia" w:ascii="宋体" w:hAnsi="宋体" w:cs="宋体"/>
          <w:b/>
          <w:bCs/>
          <w:color w:val="0000ff"/>
          <w:sz w:val="24"/>
          <w:highlight w:val="none"/>
        </w:rPr>
        <w:t xml:space="preserve">，余款在</w:t>
      </w:r>
      <w:r>
        <w:rPr>
          <w:rFonts w:hint="eastAsia" w:ascii="宋体" w:hAnsi="宋体" w:cs="宋体"/>
          <w:b/>
          <w:bCs/>
          <w:color w:val="0000ff"/>
          <w:sz w:val="24"/>
          <w:highlight w:val="none"/>
          <w:lang w:val="en-US" w:eastAsia="zh-CN"/>
        </w:rPr>
        <w:t xml:space="preserve">所有器材</w:t>
      </w:r>
      <w:r>
        <w:rPr>
          <w:rFonts w:hint="eastAsia" w:ascii="宋体" w:hAnsi="宋体" w:cs="宋体"/>
          <w:b/>
          <w:bCs/>
          <w:color w:val="0000ff"/>
          <w:sz w:val="24"/>
          <w:highlight w:val="none"/>
        </w:rPr>
        <w:t xml:space="preserve">安装</w:t>
      </w:r>
      <w:r>
        <w:rPr>
          <w:rFonts w:hint="eastAsia" w:ascii="宋体" w:hAnsi="宋体" w:cs="宋体"/>
          <w:b/>
          <w:bCs/>
          <w:color w:val="0000ff"/>
          <w:sz w:val="24"/>
          <w:highlight w:val="none"/>
          <w:lang w:val="en-US" w:eastAsia="zh-CN"/>
        </w:rPr>
        <w:t xml:space="preserve">调试</w:t>
      </w:r>
      <w:r>
        <w:rPr>
          <w:rFonts w:hint="eastAsia" w:ascii="宋体" w:hAnsi="宋体" w:cs="宋体"/>
          <w:b/>
          <w:bCs/>
          <w:color w:val="0000ff"/>
          <w:sz w:val="24"/>
          <w:highlight w:val="none"/>
        </w:rPr>
        <w:t xml:space="preserve">验收合格</w:t>
      </w:r>
      <w:r>
        <w:rPr>
          <w:rFonts w:hint="eastAsia" w:ascii="宋体" w:hAnsi="宋体" w:cs="宋体"/>
          <w:b/>
          <w:bCs/>
          <w:color w:val="0000ff"/>
          <w:sz w:val="24"/>
          <w:highlight w:val="none"/>
          <w:lang w:val="en-US" w:eastAsia="zh-CN"/>
        </w:rPr>
        <w:t xml:space="preserve">后</w:t>
      </w:r>
      <w:r>
        <w:rPr>
          <w:rFonts w:hint="eastAsia" w:ascii="宋体" w:hAnsi="宋体" w:cs="宋体"/>
          <w:b/>
          <w:bCs/>
          <w:color w:val="0000ff"/>
          <w:sz w:val="24"/>
          <w:highlight w:val="none"/>
        </w:rPr>
        <w:t xml:space="preserve">一次性付清。上述甲方付款前，乙方必须先行开具有效税票给甲方，否则，甲方有权拒绝付款。</w:t>
      </w:r>
      <w:r/>
    </w:p>
    <w:p>
      <w:pPr>
        <w:pStyle w:val="1175"/>
        <w:contextualSpacing/>
        <w:ind w:firstLine="0"/>
        <w:rPr>
          <w:rFonts w:hint="eastAsia" w:ascii="宋体" w:hAnsi="宋体" w:cs="宋体"/>
          <w:b/>
          <w:bCs/>
          <w:color w:val="0000ff"/>
          <w:sz w:val="24"/>
          <w:highlight w:val="none"/>
        </w:rPr>
      </w:pPr>
      <w:r>
        <w:rPr>
          <w:rFonts w:hint="eastAsia" w:ascii="宋体" w:hAnsi="宋体" w:cs="宋体"/>
          <w:b/>
          <w:bCs/>
          <w:color w:val="0000ff"/>
          <w:sz w:val="24"/>
          <w:highlight w:val="none"/>
        </w:rPr>
        <w:t xml:space="preserve">。</w:t>
      </w:r>
      <w:r/>
    </w:p>
    <w:p>
      <w:pPr>
        <w:pStyle w:val="1175"/>
        <w:contextualSpacing/>
        <w:ind w:left="0" w:firstLine="0"/>
        <w:spacing w:line="360" w:lineRule="auto"/>
        <w:rPr>
          <w:rFonts w:hint="default" w:ascii="宋体" w:hAnsi="宋体" w:cs="宋体"/>
          <w:color w:val="000000"/>
          <w:sz w:val="24"/>
          <w:highlight w:val="none"/>
          <w:lang w:val="en-US" w:eastAsia="zh-CN"/>
        </w:rPr>
      </w:pPr>
      <w:r>
        <w:rPr>
          <w:rFonts w:hint="eastAsia" w:ascii="宋体" w:hAnsi="宋体" w:cs="宋体"/>
          <w:b/>
          <w:bCs/>
          <w:color w:val="000000"/>
          <w:sz w:val="24"/>
          <w:highlight w:val="none"/>
        </w:rPr>
        <w:t xml:space="preserve">★</w:t>
      </w:r>
      <w:r>
        <w:rPr>
          <w:rFonts w:hint="eastAsia" w:ascii="宋体" w:hAnsi="宋体" w:cs="宋体"/>
          <w:b/>
          <w:bCs w:val="0"/>
          <w:color w:val="000000"/>
          <w:sz w:val="24"/>
          <w:highlight w:val="none"/>
        </w:rPr>
        <w:t xml:space="preserve">3.售后服务（质保期）</w:t>
      </w:r>
      <w:r>
        <w:rPr>
          <w:rFonts w:hint="eastAsia" w:ascii="宋体" w:hAnsi="宋体" w:cs="宋体"/>
          <w:color w:val="000000"/>
          <w:sz w:val="24"/>
          <w:highlight w:val="none"/>
        </w:rPr>
        <w:t xml:space="preserve">：产品质量、使用寿命符合国家相关标准。</w:t>
      </w:r>
      <w:r>
        <w:rPr>
          <w:rFonts w:hint="eastAsia" w:ascii="宋体" w:hAnsi="宋体" w:cs="宋体"/>
          <w:color w:val="000000"/>
          <w:sz w:val="24"/>
          <w:highlight w:val="none"/>
          <w:lang w:val="en-US" w:eastAsia="zh-CN"/>
        </w:rPr>
        <w:t xml:space="preserve">采购包1中的</w:t>
      </w:r>
      <w:r>
        <w:rPr>
          <w:rFonts w:hint="eastAsia" w:cs="Times New Roman"/>
          <w:bCs/>
          <w:color w:val="auto"/>
          <w:sz w:val="24"/>
          <w:szCs w:val="24"/>
          <w:highlight w:val="none"/>
          <w:lang w:val="en-US" w:eastAsia="zh-CN" w:bidi="ar-SA"/>
        </w:rPr>
        <w:t xml:space="preserve">硅PU面层</w:t>
      </w:r>
      <w:r>
        <w:rPr>
          <w:rFonts w:hint="eastAsia" w:ascii="Times New Roman" w:hAnsi="Times New Roman" w:eastAsia="宋体" w:cs="Times New Roman"/>
          <w:bCs/>
          <w:color w:val="auto"/>
          <w:sz w:val="24"/>
          <w:szCs w:val="24"/>
          <w:highlight w:val="none"/>
          <w:lang w:val="en-US" w:eastAsia="zh-CN" w:bidi="ar-SA"/>
        </w:rPr>
        <w:t xml:space="preserve">免费质保期</w:t>
      </w:r>
      <w:r>
        <w:rPr>
          <w:rFonts w:hint="eastAsia" w:cs="Times New Roman"/>
          <w:bCs/>
          <w:color w:val="auto"/>
          <w:sz w:val="24"/>
          <w:szCs w:val="24"/>
          <w:highlight w:val="none"/>
          <w:lang w:val="en-US" w:eastAsia="zh-CN" w:bidi="ar-SA"/>
        </w:rPr>
        <w:t xml:space="preserve">为5</w:t>
      </w:r>
      <w:r>
        <w:rPr>
          <w:rFonts w:hint="eastAsia" w:ascii="Times New Roman" w:hAnsi="Times New Roman" w:eastAsia="宋体" w:cs="Times New Roman"/>
          <w:bCs/>
          <w:color w:val="auto"/>
          <w:sz w:val="24"/>
          <w:szCs w:val="24"/>
          <w:highlight w:val="none"/>
          <w:lang w:val="en-US" w:eastAsia="zh-CN" w:bidi="ar-SA"/>
        </w:rPr>
        <w:t xml:space="preserve">年</w:t>
      </w:r>
      <w:r>
        <w:rPr>
          <w:rFonts w:hint="eastAsia" w:cs="Times New Roman"/>
          <w:bCs/>
          <w:color w:val="auto"/>
          <w:sz w:val="24"/>
          <w:szCs w:val="24"/>
          <w:highlight w:val="none"/>
          <w:lang w:val="en-US" w:eastAsia="zh-CN" w:bidi="ar-SA"/>
        </w:rPr>
        <w:t xml:space="preserve">；器材免费质保期为8年。采购包2中的EPDM面层免费质保期为5年，器材免费质保期为8年。</w:t>
      </w:r>
      <w:r>
        <w:rPr>
          <w:rFonts w:hint="eastAsia" w:ascii="宋体" w:hAnsi="宋体" w:cs="宋体"/>
          <w:color w:val="000000"/>
          <w:sz w:val="24"/>
          <w:highlight w:val="none"/>
        </w:rPr>
        <w:t xml:space="preserve">免费质保期自</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验收合格后开始计算，免费质保期内发生与保修相关的一切费用由供应商承担。</w:t>
      </w:r>
      <w:r/>
    </w:p>
    <w:p>
      <w:pPr>
        <w:pStyle w:val="1175"/>
        <w:contextualSpacing/>
        <w:spacing w:line="360" w:lineRule="auto"/>
        <w:rPr>
          <w:rFonts w:hint="default" w:ascii="宋体" w:hAnsi="宋体" w:cs="宋体"/>
          <w:color w:val="000000"/>
          <w:sz w:val="24"/>
          <w:highlight w:val="none"/>
          <w:lang w:val="en-US" w:eastAsia="zh-CN"/>
        </w:rPr>
      </w:pP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需</w:t>
      </w:r>
      <w:r>
        <w:rPr>
          <w:rFonts w:hint="eastAsia" w:ascii="宋体" w:hAnsi="宋体" w:cs="宋体"/>
          <w:color w:val="000000"/>
          <w:sz w:val="24"/>
          <w:highlight w:val="none"/>
        </w:rPr>
        <w:t xml:space="preserve">设有售后服务机构</w:t>
      </w:r>
      <w:r>
        <w:rPr>
          <w:rFonts w:hint="eastAsia" w:ascii="宋体" w:hAnsi="宋体" w:cs="宋体"/>
          <w:color w:val="000000"/>
          <w:sz w:val="24"/>
          <w:highlight w:val="none"/>
          <w:lang w:eastAsia="zh-CN"/>
        </w:rPr>
        <w:t xml:space="preserve">，售后服务保障范围以溧阳市</w:t>
      </w:r>
      <w:r>
        <w:rPr>
          <w:rFonts w:hint="eastAsia" w:ascii="宋体" w:hAnsi="宋体" w:cs="宋体"/>
          <w:color w:val="000000"/>
          <w:sz w:val="24"/>
          <w:highlight w:val="none"/>
          <w:lang w:val="en-US" w:eastAsia="zh-CN"/>
        </w:rPr>
        <w:t xml:space="preserve">市政府</w:t>
      </w:r>
      <w:r>
        <w:rPr>
          <w:rFonts w:hint="eastAsia" w:ascii="宋体" w:hAnsi="宋体" w:cs="宋体"/>
          <w:color w:val="000000"/>
          <w:sz w:val="24"/>
          <w:highlight w:val="none"/>
          <w:lang w:eastAsia="zh-CN"/>
        </w:rPr>
        <w:t xml:space="preserve">为中心，辐射半径 200公里</w:t>
      </w:r>
      <w:r>
        <w:rPr>
          <w:rFonts w:hint="eastAsia" w:ascii="宋体" w:hAnsi="宋体" w:cs="宋体"/>
          <w:color w:val="000000"/>
          <w:sz w:val="24"/>
          <w:highlight w:val="none"/>
          <w:lang w:val="en-US" w:eastAsia="zh-CN"/>
        </w:rPr>
        <w:t xml:space="preserve">内</w:t>
      </w:r>
      <w:r>
        <w:rPr>
          <w:rFonts w:hint="eastAsia" w:ascii="宋体" w:hAnsi="宋体" w:cs="宋体"/>
          <w:color w:val="000000"/>
          <w:sz w:val="24"/>
          <w:highlight w:val="none"/>
        </w:rPr>
        <w:t xml:space="preserve">；售后服务机构设有零配件、成品仓库。</w:t>
      </w:r>
      <w:r>
        <w:rPr>
          <w:rFonts w:hint="eastAsia" w:ascii="宋体" w:hAnsi="宋体" w:cs="宋体"/>
          <w:color w:val="000000"/>
          <w:sz w:val="24"/>
          <w:highlight w:val="none"/>
          <w:lang w:val="en-US" w:eastAsia="zh-CN"/>
        </w:rPr>
        <w:t xml:space="preserve">投标人中标后需向采购人提供</w:t>
      </w:r>
      <w:r>
        <w:rPr>
          <w:rFonts w:hint="eastAsia" w:ascii="宋体" w:hAnsi="宋体" w:cs="宋体"/>
          <w:color w:val="000000"/>
          <w:sz w:val="24"/>
          <w:highlight w:val="none"/>
        </w:rPr>
        <w:t xml:space="preserve">自有售后服务机构和仓库的产权证或租赁合同证明材料；</w:t>
      </w:r>
      <w:r>
        <w:rPr>
          <w:rFonts w:hint="eastAsia" w:ascii="宋体" w:hAnsi="宋体" w:cs="宋体"/>
          <w:color w:val="000000"/>
          <w:sz w:val="24"/>
          <w:highlight w:val="none"/>
          <w:lang w:val="en-US" w:eastAsia="zh-CN"/>
        </w:rPr>
        <w:t xml:space="preserve">自有</w:t>
      </w:r>
      <w:r>
        <w:rPr>
          <w:rFonts w:hint="eastAsia" w:ascii="宋体" w:hAnsi="宋体" w:cs="宋体"/>
          <w:color w:val="000000"/>
          <w:sz w:val="24"/>
          <w:highlight w:val="none"/>
        </w:rPr>
        <w:t xml:space="preserve">零配件、成品仓库</w:t>
      </w:r>
      <w:r>
        <w:rPr>
          <w:rFonts w:hint="eastAsia" w:ascii="宋体" w:hAnsi="宋体" w:cs="宋体"/>
          <w:color w:val="000000"/>
          <w:sz w:val="24"/>
          <w:highlight w:val="none"/>
          <w:lang w:val="en-US" w:eastAsia="zh-CN"/>
        </w:rPr>
        <w:t xml:space="preserve">的须提供带有定位的水印照片。若不是自有</w:t>
      </w:r>
      <w:r>
        <w:rPr>
          <w:rFonts w:hint="eastAsia" w:ascii="宋体" w:hAnsi="宋体" w:cs="宋体"/>
          <w:color w:val="000000"/>
          <w:sz w:val="24"/>
          <w:highlight w:val="none"/>
        </w:rPr>
        <w:t xml:space="preserve">售后服务机构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则须提供</w:t>
      </w:r>
      <w:r>
        <w:rPr>
          <w:rFonts w:hint="eastAsia" w:ascii="宋体" w:hAnsi="宋体" w:cs="宋体"/>
          <w:color w:val="000000"/>
          <w:sz w:val="24"/>
          <w:highlight w:val="none"/>
        </w:rPr>
        <w:t xml:space="preserve">投标</w:t>
      </w:r>
      <w:r>
        <w:rPr>
          <w:rFonts w:hint="eastAsia" w:ascii="宋体" w:hAnsi="宋体" w:cs="宋体"/>
          <w:color w:val="000000"/>
          <w:sz w:val="24"/>
          <w:highlight w:val="none"/>
          <w:lang w:val="en-US" w:eastAsia="zh-CN"/>
        </w:rPr>
        <w:t xml:space="preserve">人与售后服务机构</w:t>
      </w:r>
      <w:r>
        <w:rPr>
          <w:rFonts w:hint="eastAsia" w:ascii="宋体" w:hAnsi="宋体" w:cs="宋体"/>
          <w:color w:val="000000"/>
          <w:sz w:val="24"/>
          <w:highlight w:val="none"/>
        </w:rPr>
        <w:t xml:space="preserve">签</w:t>
      </w:r>
      <w:r>
        <w:rPr>
          <w:rFonts w:hint="eastAsia" w:ascii="宋体" w:hAnsi="宋体" w:cs="宋体"/>
          <w:color w:val="000000"/>
          <w:sz w:val="24"/>
          <w:highlight w:val="none"/>
          <w:lang w:val="en-US" w:eastAsia="zh-CN"/>
        </w:rPr>
        <w:t xml:space="preserve">订的</w:t>
      </w:r>
      <w:r>
        <w:rPr>
          <w:rFonts w:hint="eastAsia" w:ascii="宋体" w:hAnsi="宋体" w:cs="宋体"/>
          <w:color w:val="000000"/>
          <w:sz w:val="24"/>
          <w:highlight w:val="none"/>
        </w:rPr>
        <w:t xml:space="preserve">售后服务协议</w:t>
      </w:r>
      <w:r>
        <w:rPr>
          <w:rFonts w:hint="eastAsia" w:ascii="宋体" w:hAnsi="宋体" w:cs="宋体"/>
          <w:color w:val="000000"/>
          <w:sz w:val="24"/>
          <w:highlight w:val="none"/>
          <w:lang w:val="en-US" w:eastAsia="zh-CN"/>
        </w:rPr>
        <w:t xml:space="preserve">或授权书</w:t>
      </w:r>
      <w:r>
        <w:rPr>
          <w:rFonts w:hint="eastAsia" w:ascii="宋体" w:hAnsi="宋体" w:cs="宋体"/>
          <w:color w:val="000000"/>
          <w:sz w:val="24"/>
          <w:highlight w:val="none"/>
        </w:rPr>
        <w:t xml:space="preserve">，零配件、成品仓库整体情况及维修权利义务、违约责任说明等证明材料</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委托的售后服务机构</w:t>
      </w:r>
      <w:r>
        <w:rPr>
          <w:rFonts w:hint="eastAsia" w:ascii="宋体" w:hAnsi="宋体" w:cs="宋体"/>
          <w:color w:val="000000"/>
          <w:sz w:val="24"/>
          <w:highlight w:val="none"/>
        </w:rPr>
        <w:t xml:space="preserve">还须提供该机构零配件、成品仓库带有定位水印的现场照片</w:t>
      </w:r>
      <w:r>
        <w:rPr>
          <w:rFonts w:hint="eastAsia" w:ascii="宋体" w:hAnsi="宋体" w:cs="宋体"/>
          <w:color w:val="000000"/>
          <w:sz w:val="24"/>
          <w:highlight w:val="none"/>
          <w:lang w:val="en-US" w:eastAsia="zh-CN"/>
        </w:rPr>
        <w:t xml:space="preserve">。</w:t>
      </w:r>
      <w:r>
        <w:rPr>
          <w:rFonts w:hint="eastAsia" w:ascii="宋体" w:hAnsi="宋体" w:cs="宋体"/>
          <w:b/>
          <w:bCs/>
          <w:color w:val="ff0000"/>
          <w:sz w:val="24"/>
          <w:highlight w:val="none"/>
          <w:lang w:val="en-US" w:eastAsia="zh-CN"/>
        </w:rPr>
        <w:t xml:space="preserve">中标供应商应在发布中标结果公告后5日内提交以上证明材料，若未提供证明材料或提交的材料不能满足本项目售后服务履约要求，采购人取消其中标资格。</w:t>
      </w:r>
      <w:r/>
    </w:p>
    <w:p>
      <w:pPr>
        <w:pStyle w:val="1175"/>
        <w:contextualSpacing/>
        <w:spacing w:line="360" w:lineRule="auto"/>
        <w:rPr>
          <w:rFonts w:hint="eastAsia" w:ascii="宋体" w:hAnsi="宋体" w:cs="宋体"/>
          <w:color w:val="0000ff"/>
          <w:sz w:val="24"/>
          <w:highlight w:val="none"/>
        </w:rPr>
      </w:pPr>
      <w:r>
        <w:rPr>
          <w:rFonts w:hint="eastAsia" w:ascii="宋体" w:hAnsi="宋体" w:cs="宋体"/>
          <w:color w:val="0000ff"/>
          <w:sz w:val="24"/>
          <w:highlight w:val="none"/>
        </w:rPr>
        <w:t xml:space="preserve">免费质量保证期内免费更换</w:t>
      </w:r>
      <w:r>
        <w:rPr>
          <w:rFonts w:hint="eastAsia" w:ascii="宋体" w:hAnsi="宋体" w:cs="宋体"/>
          <w:color w:val="0000ff"/>
          <w:sz w:val="24"/>
          <w:highlight w:val="none"/>
          <w:lang w:val="en-US" w:eastAsia="zh-CN"/>
        </w:rPr>
        <w:t xml:space="preserve">器材</w:t>
      </w:r>
      <w:r>
        <w:rPr>
          <w:rFonts w:hint="eastAsia" w:ascii="宋体" w:hAnsi="宋体" w:cs="宋体"/>
          <w:color w:val="0000ff"/>
          <w:sz w:val="24"/>
          <w:highlight w:val="none"/>
        </w:rPr>
        <w:t xml:space="preserve">零配件（包括群众使用过程中出现的损坏），免费质量保证期满后实行终身有偿维修保养。</w:t>
      </w:r>
      <w:r/>
    </w:p>
    <w:p>
      <w:pPr>
        <w:pStyle w:val="1175"/>
        <w:contextualSpacing/>
        <w:ind w:left="0"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免费质量保证期内接到用户报修电话后</w:t>
      </w:r>
      <w:r>
        <w:rPr>
          <w:rFonts w:hint="eastAsia" w:ascii="宋体" w:hAnsi="宋体" w:cs="宋体"/>
          <w:color w:val="000000"/>
          <w:sz w:val="24"/>
          <w:highlight w:val="none"/>
          <w:lang w:val="en-US" w:eastAsia="zh-CN"/>
        </w:rPr>
        <w:t xml:space="preserve">在</w:t>
      </w:r>
      <w:r>
        <w:rPr>
          <w:rFonts w:hint="eastAsia" w:ascii="宋体" w:hAnsi="宋体" w:cs="宋体"/>
          <w:color w:val="000000"/>
          <w:sz w:val="24"/>
          <w:highlight w:val="none"/>
        </w:rPr>
        <w:t xml:space="preserve">内</w:t>
      </w:r>
      <w:r>
        <w:rPr>
          <w:rFonts w:hint="eastAsia" w:ascii="宋体" w:hAnsi="宋体" w:cs="宋体"/>
          <w:color w:val="000000"/>
          <w:sz w:val="24"/>
          <w:highlight w:val="none"/>
          <w:lang w:val="en-US" w:eastAsia="zh-CN"/>
        </w:rPr>
        <w:t xml:space="preserve">供应商承诺的应急响应时间内</w:t>
      </w:r>
      <w:r>
        <w:rPr>
          <w:rFonts w:hint="eastAsia" w:ascii="宋体" w:hAnsi="宋体" w:cs="宋体"/>
          <w:color w:val="000000"/>
          <w:sz w:val="24"/>
          <w:highlight w:val="none"/>
        </w:rPr>
        <w:t xml:space="preserve">维修人员赶到现场检修处理。</w:t>
      </w:r>
      <w:r>
        <w:rPr>
          <w:rFonts w:hint="eastAsia" w:ascii="宋体" w:hAnsi="宋体" w:cs="宋体"/>
          <w:color w:val="000000"/>
          <w:sz w:val="24"/>
          <w:highlight w:val="none"/>
          <w:lang w:val="en-US" w:eastAsia="zh-CN"/>
        </w:rPr>
        <w:t xml:space="preserve">应急响应时间不得超过12小时内响应，24小时内到现场拍照给采购人。未满足承诺的巡检或维修服务时间要求的，供就商将支付采购人5万元/次的违约金。</w:t>
      </w:r>
      <w:r/>
    </w:p>
    <w:p>
      <w:pPr>
        <w:pStyle w:val="1175"/>
        <w:contextualSpacing/>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免费质量保证期内免费提供一年4次的巡检服务。巡检情况应报备县（区）体育主管部门和市体育局。具体详见巡检服务要求。</w:t>
      </w:r>
      <w:r/>
    </w:p>
    <w:p>
      <w:pPr>
        <w:pStyle w:val="1175"/>
        <w:contextualSpacing/>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pStyle w:val="1175"/>
        <w:contextualSpacing/>
        <w:ind w:firstLine="0"/>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b/>
          <w:color w:val="000000"/>
          <w:sz w:val="24"/>
          <w:highlight w:val="none"/>
        </w:rPr>
        <w:t xml:space="preserve">4.巡检服务要求：</w:t>
      </w:r>
      <w:r/>
    </w:p>
    <w:p>
      <w:pPr>
        <w:pStyle w:val="1175"/>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（一）江苏省全民健身设施管理维护信息平台运维。</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1.工作日全天8小时在线服务，及时响应江苏省全民健身设施平台使用过程中的任何问题。</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（二）设施器材巡检工作</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1.检查设施器材的使用年限，是否过保质期。</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2.检查设施器材的完整度，</w:t>
      </w:r>
      <w:r>
        <w:rPr>
          <w:rFonts w:hint="eastAsia" w:ascii="宋体" w:hAnsi="宋体" w:cs="宋体"/>
          <w:color w:val="000000"/>
          <w:sz w:val="24"/>
          <w:highlight w:val="none"/>
          <w:lang w:val="en-US" w:eastAsia="zh-CN"/>
        </w:rPr>
        <w:t xml:space="preserve">发现问题及时维修</w:t>
      </w:r>
      <w:r>
        <w:rPr>
          <w:rFonts w:hint="eastAsia" w:ascii="宋体" w:hAnsi="宋体" w:cs="宋体"/>
          <w:color w:val="000000"/>
          <w:sz w:val="24"/>
          <w:highlight w:val="none"/>
        </w:rPr>
        <w:t xml:space="preserve">。</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3.检查设施器材的安装位置，是否合理。</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4.检查设施器材的安装环境，是否影响健身。</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5.检查设施器材本身及周围是否有安全隐患。</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6.检查是否有维修更换过的设施器材，补录设施管理平台。</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7.检查现场设施器材的基本数据（照片、管护信息、基本信息）是否有变更，需平台同步变更。</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.抽检中发现有明显安全隐患的器材先行设立故障标识、采取封存保护措施，并通知</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，进一步加强故障器材管控。</w:t>
      </w:r>
      <w:r>
        <w:rPr>
          <w:rFonts w:hint="eastAsia" w:ascii="宋体" w:hAnsi="宋体" w:eastAsia="宋体" w:cs="宋体"/>
          <w:color w:val="000000"/>
          <w:sz w:val="24"/>
          <w:highlight w:val="none"/>
        </w:rPr>
        <w:t xml:space="preserve">按照采购人要求24小时内完成维修或拆除工作。</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.抽检维护人员在实施设施维修工作时，应注意维修现场的安全，维修时要张贴设置醒目警示标志。</w:t>
      </w:r>
      <w:r/>
    </w:p>
    <w:p>
      <w:pPr>
        <w:pStyle w:val="1175"/>
        <w:contextualSpacing/>
        <w:ind w:firstLine="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.出具巡检报告总结。</w:t>
      </w:r>
      <w:r>
        <w:rPr>
          <w:rFonts w:hint="eastAsia" w:ascii="宋体" w:hAnsi="宋体" w:cs="宋体"/>
          <w:color w:val="000000"/>
          <w:sz w:val="24"/>
          <w:highlight w:val="none"/>
          <w:lang w:val="en-US" w:eastAsia="zh-CN"/>
        </w:rPr>
        <w:t xml:space="preserve">巡检</w:t>
      </w:r>
      <w:r>
        <w:rPr>
          <w:rFonts w:hint="eastAsia" w:ascii="宋体" w:hAnsi="宋体" w:cs="宋体"/>
          <w:color w:val="000000"/>
          <w:sz w:val="24"/>
          <w:highlight w:val="none"/>
        </w:rPr>
        <w:t xml:space="preserve">情况应填写《巡检记录登记表》，并经过</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签字盖章确认后，留档备查。</w:t>
      </w:r>
      <w:r>
        <w:rPr>
          <w:rFonts w:hint="eastAsia" w:ascii="宋体" w:hAnsi="宋体" w:cs="宋体"/>
          <w:color w:val="000000"/>
          <w:sz w:val="24"/>
          <w:highlight w:val="none"/>
          <w:lang w:val="en-US" w:eastAsia="zh-CN"/>
        </w:rPr>
        <w:t xml:space="preserve">每年巡检</w:t>
      </w:r>
      <w:r>
        <w:rPr>
          <w:rFonts w:hint="eastAsia" w:ascii="宋体" w:hAnsi="宋体" w:cs="宋体"/>
          <w:color w:val="000000"/>
          <w:sz w:val="24"/>
          <w:highlight w:val="none"/>
        </w:rPr>
        <w:t xml:space="preserve">完成后应提交完整的报告，报告内容需体现</w:t>
      </w:r>
      <w:r>
        <w:rPr>
          <w:rFonts w:hint="eastAsia" w:ascii="宋体" w:hAnsi="宋体" w:cs="宋体"/>
          <w:color w:val="000000"/>
          <w:sz w:val="24"/>
          <w:highlight w:val="none"/>
          <w:lang w:val="en-US" w:eastAsia="zh-CN"/>
        </w:rPr>
        <w:t xml:space="preserve">本次采购安装</w:t>
      </w:r>
      <w:r>
        <w:rPr>
          <w:rFonts w:hint="eastAsia" w:ascii="宋体" w:hAnsi="宋体" w:cs="宋体"/>
          <w:color w:val="000000"/>
          <w:sz w:val="24"/>
          <w:highlight w:val="none"/>
        </w:rPr>
        <w:t xml:space="preserve">器材</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完好率。</w:t>
      </w:r>
      <w:r/>
    </w:p>
    <w:p>
      <w:pPr>
        <w:pStyle w:val="1175"/>
        <w:contextualSpacing/>
        <w:ind w:firstLine="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.每季度完成1次</w:t>
      </w:r>
      <w:r>
        <w:rPr>
          <w:rFonts w:hint="eastAsia" w:ascii="宋体" w:hAnsi="宋体" w:cs="宋体"/>
          <w:color w:val="000000"/>
          <w:sz w:val="24"/>
          <w:highlight w:val="none"/>
          <w:lang w:val="en-US" w:eastAsia="zh-CN"/>
        </w:rPr>
        <w:t xml:space="preserve">巡检服务</w:t>
      </w:r>
      <w:r>
        <w:rPr>
          <w:rFonts w:hint="eastAsia" w:ascii="宋体" w:hAnsi="宋体" w:cs="宋体"/>
          <w:color w:val="000000"/>
          <w:sz w:val="24"/>
          <w:highlight w:val="none"/>
        </w:rPr>
        <w:t xml:space="preserve">，全年不少于4次巡检</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在质保期内供应商或其委托的售后机构未满足巡检服务要求的，供应商将支付采购人1万元/次的违约金。</w:t>
      </w:r>
      <w:r/>
    </w:p>
    <w:p>
      <w:pPr>
        <w:pStyle w:val="1175"/>
        <w:contextualSpacing/>
        <w:ind w:firstLine="0"/>
        <w:spacing w:line="360" w:lineRule="auto"/>
        <w:rPr>
          <w:rFonts w:ascii="宋体" w:hAnsi="宋体" w:cs="宋体"/>
          <w:color w:val="000000"/>
          <w:sz w:val="24"/>
          <w:highlight w:val="none"/>
        </w:rPr>
      </w:pPr>
      <w:r>
        <w:rPr>
          <w:rFonts w:hint="eastAsia" w:ascii="宋体" w:hAnsi="宋体" w:cs="宋体"/>
          <w:b/>
          <w:bCs/>
          <w:color w:val="000000"/>
          <w:sz w:val="24"/>
          <w:szCs w:val="24"/>
          <w:highlight w:val="none"/>
        </w:rPr>
        <w:t xml:space="preserve">三、技术要求</w:t>
      </w:r>
      <w:r/>
    </w:p>
    <w:p>
      <w:pPr>
        <w:ind w:firstLine="482"/>
        <w:spacing w:line="360" w:lineRule="auto"/>
        <w:rPr>
          <w:rFonts w:ascii="宋体" w:hAnsi="宋体" w:cs="宋体"/>
          <w:b/>
          <w:color w:val="000000"/>
          <w:sz w:val="24"/>
          <w:highlight w:val="none"/>
        </w:rPr>
      </w:pPr>
      <w:r/>
      <w:bookmarkStart w:id="818" w:name="OLE_LINK4"/>
      <w:r/>
      <w:bookmarkStart w:id="819" w:name="OLE_LINK5"/>
      <w:r>
        <w:rPr>
          <w:rFonts w:hint="eastAsia" w:ascii="宋体" w:hAnsi="宋体" w:cs="宋体"/>
          <w:b/>
          <w:color w:val="000000"/>
          <w:sz w:val="24"/>
          <w:highlight w:val="none"/>
        </w:rPr>
        <w:t xml:space="preserve">★</w:t>
      </w:r>
      <w:bookmarkEnd w:id="818"/>
      <w:r/>
      <w:bookmarkEnd w:id="819"/>
      <w:r>
        <w:rPr>
          <w:rFonts w:hint="eastAsia" w:ascii="宋体" w:hAnsi="宋体" w:cs="宋体"/>
          <w:b/>
          <w:color w:val="000000"/>
          <w:sz w:val="24"/>
          <w:highlight w:val="none"/>
        </w:rPr>
        <w:t xml:space="preserve">1、包装和运输</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须满足《关于印发〈商品包装政府采购需求标准（试行）〉、〈快递包装政府采购需求标准（试行）〉的通知》（财办库﹝2020﹞123号））文件要求。</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★2、所有产品供货时需符合</w:t>
      </w:r>
      <w:bookmarkStart w:id="820" w:name="OLE_LINK8"/>
      <w:r/>
      <w:bookmarkStart w:id="821" w:name="OLE_LINK9"/>
      <w:r>
        <w:rPr>
          <w:rFonts w:hint="eastAsia" w:ascii="宋体" w:hAnsi="宋体" w:cs="宋体"/>
          <w:b/>
          <w:color w:val="000000"/>
          <w:sz w:val="24"/>
          <w:highlight w:val="none"/>
        </w:rPr>
        <w:t xml:space="preserve">GB19272-2024《室外健身器材的安全通用要求》</w:t>
      </w:r>
      <w:bookmarkEnd w:id="820"/>
      <w:r/>
      <w:bookmarkEnd w:id="821"/>
      <w:r>
        <w:rPr>
          <w:rFonts w:hint="eastAsia" w:ascii="宋体" w:hAnsi="宋体" w:cs="宋体"/>
          <w:b/>
          <w:color w:val="000000"/>
          <w:sz w:val="24"/>
          <w:highlight w:val="none"/>
          <w:lang w:eastAsia="zh-CN"/>
        </w:rPr>
        <w:t xml:space="preserve">、GB 36246-2018《中小学合成材料面层运动场地》</w:t>
      </w:r>
      <w:r>
        <w:rPr>
          <w:rFonts w:hint="eastAsia" w:ascii="宋体" w:hAnsi="宋体" w:cs="宋体"/>
          <w:b/>
          <w:color w:val="000000"/>
          <w:sz w:val="24"/>
          <w:highlight w:val="none"/>
        </w:rPr>
        <w:t xml:space="preserve">。供应商未提供经国家认可的器材质量认证机构出具的有效产品质量认证证书</w:t>
      </w:r>
      <w:r>
        <w:rPr>
          <w:rFonts w:hint="eastAsia" w:ascii="宋体" w:hAnsi="宋体" w:cs="宋体"/>
          <w:b/>
          <w:color w:val="000000"/>
          <w:sz w:val="24"/>
          <w:highlight w:val="none"/>
          <w:lang w:val="en-US" w:eastAsia="zh-CN"/>
        </w:rPr>
        <w:t xml:space="preserve">或</w:t>
      </w:r>
      <w:r>
        <w:rPr>
          <w:rFonts w:hint="eastAsia" w:ascii="宋体" w:hAnsi="宋体" w:cs="宋体"/>
          <w:b/>
          <w:color w:val="000000"/>
          <w:sz w:val="24"/>
          <w:highlight w:val="none"/>
        </w:rPr>
        <w:t xml:space="preserve">具备CMA资质的第三方检测机构出具的检测报告扫描件，采购人拒绝验收，若因供应商原因未在规定时间内完成验收导致财政资金回收而未能支付款项，由供应商自行承担。</w:t>
      </w:r>
      <w:r/>
    </w:p>
    <w:p>
      <w:pPr>
        <w:ind w:firstLine="482"/>
        <w:spacing w:line="360" w:lineRule="auto"/>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3、产品涉及到颜色的，均需在成交后签定合同前提供色卡供采购方选择，经采购方确定后的颜色方可进行生产及供货，否则损失自负。</w:t>
      </w:r>
      <w:r/>
    </w:p>
    <w:p>
      <w:pPr>
        <w:ind w:firstLine="482"/>
        <w:spacing w:line="360" w:lineRule="auto"/>
        <w:rPr>
          <w:rFonts w:hint="default"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4、器材在安装前和安装后要由采购人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numPr>
          <w:ilvl w:val="0"/>
          <w:numId w:val="0"/>
        </w:numPr>
        <w:ind w:left="42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样品说明：</w:t>
      </w:r>
      <w:r/>
    </w:p>
    <w:p>
      <w:pPr>
        <w:numPr>
          <w:ilvl w:val="0"/>
          <w:numId w:val="0"/>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highlight w:val="none"/>
        </w:rPr>
        <w:t xml:space="preserve">样品的制作要求：</w:t>
      </w:r>
      <w:r/>
    </w:p>
    <w:p>
      <w:pPr>
        <w:ind w:left="0" w:right="0"/>
        <w:jc w:val="both"/>
        <w:keepLines w:val="0"/>
        <w:keepNext w:val="0"/>
        <w:pageBreakBefore w:val="0"/>
        <w:spacing w:before="0" w:after="0" w:line="360" w:lineRule="auto"/>
        <w:widowControl w:val="off"/>
        <w:rPr>
          <w:rFonts w:hint="eastAsia" w:ascii="宋体" w:hAnsi="宋体" w:eastAsia="宋体" w:cs="宋体"/>
          <w:b/>
          <w:bCs/>
          <w:color w:val="auto"/>
          <w:spacing w:val="-1"/>
          <w:sz w:val="24"/>
          <w:szCs w:val="24"/>
          <w:highlight w:val="none"/>
          <w:lang w:val="en-US" w:eastAsia="en-US" w:bidi="ar-SA"/>
        </w:rPr>
      </w:pPr>
      <w:r>
        <w:rPr>
          <w:rFonts w:hint="default" w:ascii="Calibri" w:hAnsi="Calibri" w:eastAsia="宋体" w:cs="Calibri"/>
          <w:b/>
          <w:bCs/>
          <w:color w:val="auto"/>
          <w:spacing w:val="-1"/>
          <w:sz w:val="24"/>
          <w:szCs w:val="24"/>
          <w:highlight w:val="none"/>
          <w:lang w:val="en-US" w:eastAsia="zh-CN" w:bidi="ar-SA"/>
        </w:rPr>
        <w:t xml:space="preserve">①</w:t>
      </w:r>
      <w:r>
        <w:rPr>
          <w:rFonts w:hint="eastAsia" w:ascii="宋体" w:hAnsi="宋体" w:eastAsia="宋体" w:cs="宋体"/>
          <w:b/>
          <w:bCs/>
          <w:color w:val="auto"/>
          <w:spacing w:val="-1"/>
          <w:sz w:val="24"/>
          <w:szCs w:val="24"/>
          <w:highlight w:val="none"/>
          <w:lang w:val="en-US" w:eastAsia="en-US" w:bidi="ar-SA"/>
        </w:rPr>
        <w:t xml:space="preserve">提供“硅PU面层”样品</w:t>
      </w:r>
      <w:r/>
    </w:p>
    <w:p>
      <w:pPr>
        <w:ind w:right="0" w:firstLine="476"/>
        <w:jc w:val="both"/>
        <w:keepLines w:val="0"/>
        <w:keepNext w:val="0"/>
        <w:pageBreakBefore w:val="0"/>
        <w:spacing w:before="0" w:after="0" w:line="360" w:lineRule="auto"/>
        <w:widowControl w:val="off"/>
        <w:rPr>
          <w:rFonts w:hint="eastAsia" w:ascii="宋体" w:hAnsi="宋体" w:eastAsia="宋体" w:cs="宋体"/>
          <w:color w:val="auto"/>
          <w:spacing w:val="-6"/>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(1)样品制作标准：球场面层材料采用硅PU球场面层，厚度8mm。弹性层为闭孔发泡微气囊有机硅改性聚氨酯结构，加强层为纯聚氨酯高强度抗压浆料，面漆层为双组份反应型丙烯酸类聚氨酯材质作为耐磨面层</w:t>
      </w:r>
      <w:r>
        <w:rPr>
          <w:rFonts w:hint="eastAsia" w:ascii="宋体" w:hAnsi="宋体" w:eastAsia="宋体" w:cs="宋体"/>
          <w:color w:val="auto"/>
          <w:spacing w:val="-2"/>
          <w:sz w:val="24"/>
          <w:szCs w:val="24"/>
          <w:highlight w:val="none"/>
          <w:lang w:val="en-US" w:eastAsia="en-US" w:bidi="ar-SA"/>
        </w:rPr>
        <w:t xml:space="preserve">。形状为：正方形（或长方形</w:t>
      </w:r>
      <w:r>
        <w:rPr>
          <w:rFonts w:hint="eastAsia" w:ascii="宋体" w:hAnsi="宋体" w:eastAsia="宋体" w:cs="宋体"/>
          <w:color w:val="auto"/>
          <w:spacing w:val="-3"/>
          <w:sz w:val="24"/>
          <w:szCs w:val="24"/>
          <w:highlight w:val="none"/>
          <w:lang w:val="en-US" w:eastAsia="en-US" w:bidi="ar-SA"/>
        </w:rPr>
        <w:t xml:space="preserve">），</w:t>
      </w:r>
      <w:r>
        <w:rPr>
          <w:rFonts w:hint="eastAsia" w:ascii="宋体" w:hAnsi="宋体" w:eastAsia="宋体" w:cs="宋体"/>
          <w:color w:val="auto"/>
          <w:spacing w:val="-2"/>
          <w:sz w:val="24"/>
          <w:szCs w:val="24"/>
          <w:highlight w:val="none"/>
          <w:lang w:val="en-US" w:eastAsia="en-US" w:bidi="ar-SA"/>
        </w:rPr>
        <w:t xml:space="preserve">边长≥50</w:t>
      </w:r>
      <w:r>
        <w:rPr>
          <w:rFonts w:hint="eastAsia" w:ascii="宋体" w:hAnsi="宋体" w:eastAsia="宋体" w:cs="宋体"/>
          <w:color w:val="auto"/>
          <w:spacing w:val="-46"/>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厘米（长和宽都≥50</w:t>
      </w:r>
      <w:r>
        <w:rPr>
          <w:rFonts w:hint="eastAsia" w:ascii="宋体" w:hAnsi="宋体" w:eastAsia="宋体" w:cs="宋体"/>
          <w:color w:val="auto"/>
          <w:spacing w:val="-48"/>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厘米</w:t>
      </w:r>
      <w:r>
        <w:rPr>
          <w:rFonts w:hint="eastAsia" w:ascii="宋体" w:hAnsi="宋体" w:eastAsia="宋体" w:cs="宋体"/>
          <w:color w:val="auto"/>
          <w:spacing w:val="7"/>
          <w:sz w:val="24"/>
          <w:szCs w:val="24"/>
          <w:highlight w:val="none"/>
          <w:lang w:val="en-US" w:eastAsia="en-US" w:bidi="ar-SA"/>
        </w:rPr>
        <w:t xml:space="preserve">），</w:t>
      </w:r>
      <w:r>
        <w:rPr>
          <w:rFonts w:hint="eastAsia" w:ascii="宋体" w:hAnsi="宋体" w:eastAsia="宋体" w:cs="宋体"/>
          <w:color w:val="auto"/>
          <w:spacing w:val="-2"/>
          <w:sz w:val="24"/>
          <w:szCs w:val="24"/>
          <w:highlight w:val="none"/>
          <w:lang w:val="en-US" w:eastAsia="en-US" w:bidi="ar-SA"/>
        </w:rPr>
        <w:t xml:space="preserve">厚度为</w:t>
      </w:r>
      <w:r>
        <w:rPr>
          <w:rFonts w:hint="eastAsia" w:ascii="宋体" w:hAnsi="宋体" w:eastAsia="宋体" w:cs="宋体"/>
          <w:color w:val="auto"/>
          <w:spacing w:val="-50"/>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8mm；</w:t>
      </w:r>
      <w:r>
        <w:rPr>
          <w:rFonts w:hint="eastAsia" w:ascii="宋体" w:hAnsi="宋体" w:eastAsia="宋体" w:cs="宋体"/>
          <w:color w:val="auto"/>
          <w:spacing w:val="-3"/>
          <w:sz w:val="24"/>
          <w:szCs w:val="24"/>
          <w:highlight w:val="none"/>
          <w:lang w:val="en-US" w:eastAsia="en-US" w:bidi="ar-SA"/>
        </w:rPr>
        <w:t xml:space="preserve">颜色自拟。</w:t>
      </w:r>
      <w:r/>
    </w:p>
    <w:p>
      <w:pPr>
        <w:ind w:right="0" w:firstLine="45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①样品的各项技术质量指标标准应符合招标文件要求；</w:t>
      </w:r>
      <w:r/>
    </w:p>
    <w:p>
      <w:pPr>
        <w:ind w:left="0" w:right="0" w:firstLine="47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②样品制作工艺与投标文件中的“</w:t>
      </w:r>
      <w:r>
        <w:rPr>
          <w:rFonts w:hint="eastAsia" w:ascii="宋体" w:hAnsi="宋体" w:eastAsia="宋体" w:cs="宋体"/>
          <w:color w:val="auto"/>
          <w:spacing w:val="-2"/>
          <w:sz w:val="24"/>
          <w:szCs w:val="24"/>
          <w:highlight w:val="none"/>
          <w:lang w:val="en-US" w:eastAsia="zh-CN" w:bidi="ar-SA"/>
        </w:rPr>
        <w:t xml:space="preserve">制作工艺</w:t>
      </w:r>
      <w:r>
        <w:rPr>
          <w:rFonts w:hint="eastAsia" w:ascii="宋体" w:hAnsi="宋体" w:eastAsia="宋体" w:cs="宋体"/>
          <w:color w:val="auto"/>
          <w:spacing w:val="-79"/>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”完全一致；</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numPr>
          <w:ilvl w:val="0"/>
          <w:numId w:val="20"/>
        </w:numPr>
        <w:ind w:left="0" w:right="0" w:firstLine="468"/>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提交相关检测报告：</w:t>
      </w:r>
      <w:r>
        <w:rPr>
          <w:rFonts w:hint="eastAsia" w:ascii="宋体" w:hAnsi="宋体" w:cs="宋体"/>
          <w:b/>
          <w:color w:val="000000"/>
          <w:sz w:val="24"/>
          <w:highlight w:val="none"/>
          <w:lang w:val="en-US" w:eastAsia="zh-CN"/>
        </w:rPr>
        <w:t xml:space="preserve">不需要</w:t>
      </w:r>
      <w:r>
        <w:rPr>
          <w:rFonts w:hint="eastAsia" w:ascii="宋体" w:hAnsi="宋体" w:eastAsia="宋体" w:cs="宋体"/>
          <w:color w:val="auto"/>
          <w:spacing w:val="-3"/>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left="0"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ind w:left="0" w:right="0" w:firstLine="419"/>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评委对硅PU小样的颜色均匀度、厚度及厚度均匀度、面层粗糙度（网球场粗糙度高，</w:t>
      </w:r>
      <w:r>
        <w:rPr>
          <w:rFonts w:hint="eastAsia" w:ascii="宋体" w:hAnsi="宋体" w:eastAsia="宋体" w:cs="宋体"/>
          <w:color w:val="000000"/>
          <w:spacing w:val="15"/>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排球、羽毛球场要润滑，篮球场取中值）、外表面平坦度、有无脱层和气泡现象、耐磨</w:t>
      </w:r>
      <w:r>
        <w:rPr>
          <w:rFonts w:hint="eastAsia" w:ascii="宋体" w:hAnsi="宋体" w:eastAsia="宋体" w:cs="宋体"/>
          <w:color w:val="000000"/>
          <w:spacing w:val="17"/>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耐刮程度（以非锋利性硬物如钥匙、如火机等硬塑在外表刮划，合格的产品应不受损害</w:t>
      </w:r>
      <w:r>
        <w:rPr>
          <w:rFonts w:hint="eastAsia" w:ascii="宋体" w:hAnsi="宋体" w:eastAsia="宋体" w:cs="宋体"/>
          <w:color w:val="000000"/>
          <w:spacing w:val="17"/>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或无颗粒脱落）、有无明显异味进行评价。</w:t>
      </w:r>
      <w:r/>
    </w:p>
    <w:p>
      <w:pPr>
        <w:ind w:left="0" w:right="0" w:firstLine="46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3"/>
          <w:sz w:val="24"/>
          <w:szCs w:val="24"/>
          <w:highlight w:val="none"/>
          <w:lang w:val="en-US" w:eastAsia="en-US" w:bidi="ar-SA"/>
        </w:rPr>
        <w:t xml:space="preserve">(6)样品的规格：正方形（或长方形</w:t>
      </w:r>
      <w:r>
        <w:rPr>
          <w:rFonts w:hint="eastAsia" w:ascii="宋体" w:hAnsi="宋体" w:eastAsia="宋体" w:cs="宋体"/>
          <w:color w:val="000000"/>
          <w:spacing w:val="-10"/>
          <w:sz w:val="24"/>
          <w:szCs w:val="24"/>
          <w:highlight w:val="none"/>
          <w:lang w:val="en-US" w:eastAsia="en-US" w:bidi="ar-SA"/>
        </w:rPr>
        <w:t xml:space="preserve">）；</w:t>
      </w:r>
      <w:r>
        <w:rPr>
          <w:rFonts w:hint="eastAsia" w:ascii="宋体" w:hAnsi="宋体" w:eastAsia="宋体" w:cs="宋体"/>
          <w:color w:val="000000"/>
          <w:spacing w:val="-3"/>
          <w:sz w:val="24"/>
          <w:szCs w:val="24"/>
          <w:highlight w:val="none"/>
          <w:lang w:val="en-US" w:eastAsia="en-US" w:bidi="ar-SA"/>
        </w:rPr>
        <w:t xml:space="preserve">边长</w:t>
      </w:r>
      <w:r>
        <w:rPr>
          <w:rFonts w:hint="eastAsia" w:ascii="宋体" w:hAnsi="宋体" w:eastAsia="宋体" w:cs="宋体"/>
          <w:color w:val="000000"/>
          <w:spacing w:val="-4"/>
          <w:sz w:val="24"/>
          <w:szCs w:val="24"/>
          <w:highlight w:val="none"/>
          <w:lang w:val="en-US" w:eastAsia="en-US" w:bidi="ar-SA"/>
        </w:rPr>
        <w:t xml:space="preserve">≥50厘米（或长和宽都≥50厘米</w:t>
      </w:r>
      <w:r>
        <w:rPr>
          <w:rFonts w:hint="eastAsia" w:ascii="宋体" w:hAnsi="宋体" w:eastAsia="宋体" w:cs="宋体"/>
          <w:color w:val="000000"/>
          <w:spacing w:val="-10"/>
          <w:sz w:val="24"/>
          <w:szCs w:val="24"/>
          <w:highlight w:val="none"/>
          <w:lang w:val="en-US" w:eastAsia="en-US" w:bidi="ar-SA"/>
        </w:rPr>
        <w:t xml:space="preserve">）；</w:t>
      </w:r>
      <w:r>
        <w:rPr>
          <w:rFonts w:hint="eastAsia" w:ascii="宋体" w:hAnsi="宋体" w:eastAsia="宋体" w:cs="宋体"/>
          <w:color w:val="000000"/>
          <w:spacing w:val="-4"/>
          <w:sz w:val="24"/>
          <w:szCs w:val="24"/>
          <w:highlight w:val="none"/>
          <w:lang w:val="en-US" w:eastAsia="en-US" w:bidi="ar-SA"/>
        </w:rPr>
        <w:t xml:space="preserve">厚</w:t>
      </w:r>
      <w:r>
        <w:rPr>
          <w:rFonts w:hint="eastAsia" w:ascii="宋体" w:hAnsi="宋体" w:eastAsia="宋体" w:cs="宋体"/>
          <w:color w:val="000000"/>
          <w:spacing w:val="1"/>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度为8mm。</w:t>
      </w:r>
      <w:r/>
    </w:p>
    <w:p>
      <w:pPr>
        <w:ind w:left="0" w:right="0" w:firstLine="460"/>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(7)样品的数量：一件</w:t>
      </w:r>
      <w:r/>
    </w:p>
    <w:p>
      <w:pPr>
        <w:ind w:left="0" w:right="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default" w:ascii="Calibri" w:hAnsi="Calibri" w:eastAsia="宋体" w:cs="Calibri"/>
          <w:color w:val="auto"/>
          <w:spacing w:val="-3"/>
          <w:sz w:val="24"/>
          <w:szCs w:val="24"/>
          <w:highlight w:val="none"/>
          <w:lang w:val="en-US" w:eastAsia="en-US" w:bidi="ar-SA"/>
        </w:rPr>
        <w:t xml:space="preserve">②</w:t>
      </w:r>
      <w:r>
        <w:rPr>
          <w:rFonts w:hint="eastAsia" w:ascii="宋体" w:hAnsi="宋体" w:eastAsia="宋体" w:cs="宋体"/>
          <w:b/>
          <w:bCs/>
          <w:color w:val="000000"/>
          <w:spacing w:val="-5"/>
          <w:sz w:val="24"/>
          <w:szCs w:val="24"/>
          <w:highlight w:val="none"/>
          <w:lang w:val="en-US" w:eastAsia="en-US" w:bidi="ar-SA"/>
        </w:rPr>
        <w:t xml:space="preserve">提供“框架式场地围网</w:t>
      </w:r>
      <w:r>
        <w:rPr>
          <w:rFonts w:hint="eastAsia" w:ascii="宋体" w:hAnsi="宋体" w:eastAsia="宋体" w:cs="宋体"/>
          <w:color w:val="000000"/>
          <w:spacing w:val="-86"/>
          <w:sz w:val="24"/>
          <w:szCs w:val="24"/>
          <w:highlight w:val="none"/>
          <w:lang w:val="en-US" w:eastAsia="en-US" w:bidi="ar-SA"/>
        </w:rPr>
        <w:t xml:space="preserve"> </w:t>
      </w:r>
      <w:r>
        <w:rPr>
          <w:rFonts w:hint="eastAsia" w:ascii="宋体" w:hAnsi="宋体" w:eastAsia="宋体" w:cs="宋体"/>
          <w:b/>
          <w:bCs/>
          <w:color w:val="000000"/>
          <w:spacing w:val="-5"/>
          <w:sz w:val="24"/>
          <w:szCs w:val="24"/>
          <w:highlight w:val="none"/>
          <w:lang w:val="en-US" w:eastAsia="en-US" w:bidi="ar-SA"/>
        </w:rPr>
        <w:t xml:space="preserve">”样品</w:t>
      </w:r>
      <w:r/>
    </w:p>
    <w:p>
      <w:pPr>
        <w:ind w:left="0" w:right="0" w:firstLine="45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6"/>
          <w:sz w:val="24"/>
          <w:szCs w:val="24"/>
          <w:highlight w:val="none"/>
          <w:lang w:val="en-US" w:eastAsia="en-US" w:bidi="ar-SA"/>
        </w:rPr>
        <w:t xml:space="preserve">(1)样品制作标准：</w:t>
      </w:r>
      <w:r/>
    </w:p>
    <w:p>
      <w:pPr>
        <w:ind w:left="0" w:right="0"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white"/>
          <w:lang w:val="en-US" w:eastAsia="en-US" w:bidi="ar-SA"/>
        </w:rPr>
        <w:t xml:space="preserve">“框架式场地围网</w:t>
      </w:r>
      <w:r>
        <w:rPr>
          <w:rFonts w:hint="eastAsia" w:ascii="宋体" w:hAnsi="宋体" w:eastAsia="宋体" w:cs="宋体"/>
          <w:color w:val="auto"/>
          <w:spacing w:val="-88"/>
          <w:sz w:val="24"/>
          <w:szCs w:val="24"/>
          <w:highlight w:val="white"/>
          <w:lang w:val="en-US" w:eastAsia="en-US" w:bidi="ar-SA"/>
        </w:rPr>
        <w:t xml:space="preserve"> </w:t>
      </w:r>
      <w:r>
        <w:rPr>
          <w:rFonts w:hint="eastAsia" w:ascii="宋体" w:hAnsi="宋体" w:eastAsia="宋体" w:cs="宋体"/>
          <w:color w:val="auto"/>
          <w:sz w:val="24"/>
          <w:szCs w:val="24"/>
          <w:highlight w:val="white"/>
          <w:lang w:val="en-US" w:eastAsia="en-US" w:bidi="ar-SA"/>
        </w:rPr>
        <w:t xml:space="preserve">”样品由立柱、横梁（网框）和网片组成</w:t>
      </w:r>
      <w:r>
        <w:rPr>
          <w:rFonts w:hint="eastAsia" w:ascii="宋体" w:hAnsi="宋体" w:eastAsia="宋体" w:cs="宋体"/>
          <w:color w:val="auto"/>
          <w:spacing w:val="-1"/>
          <w:sz w:val="24"/>
          <w:szCs w:val="24"/>
          <w:highlight w:val="white"/>
          <w:lang w:val="en-US" w:eastAsia="en-US" w:bidi="ar-SA"/>
        </w:rPr>
        <w:t xml:space="preserve">。</w:t>
      </w:r>
      <w:r>
        <w:rPr>
          <w:rFonts w:hint="eastAsia" w:ascii="宋体" w:hAnsi="宋体" w:eastAsia="宋体" w:cs="宋体"/>
          <w:color w:val="auto"/>
          <w:sz w:val="24"/>
          <w:szCs w:val="24"/>
          <w:highlight w:val="none"/>
          <w:lang w:val="en-US" w:eastAsia="en-US" w:bidi="ar-SA"/>
        </w:rPr>
        <w:t xml:space="preserve"> </w:t>
      </w:r>
      <w:r>
        <w:rPr>
          <w:rFonts w:hint="eastAsia" w:ascii="宋体" w:hAnsi="宋体" w:eastAsia="宋体" w:cs="宋体"/>
          <w:color w:val="auto"/>
          <w:spacing w:val="-3"/>
          <w:sz w:val="24"/>
          <w:szCs w:val="24"/>
          <w:highlight w:val="none"/>
          <w:lang w:val="en-US" w:eastAsia="en-US" w:bidi="ar-SA"/>
        </w:rPr>
        <w:t xml:space="preserve">“框架式场地围网</w:t>
      </w:r>
      <w:r>
        <w:rPr>
          <w:rFonts w:hint="eastAsia" w:ascii="宋体" w:hAnsi="宋体" w:eastAsia="宋体" w:cs="宋体"/>
          <w:color w:val="auto"/>
          <w:spacing w:val="-87"/>
          <w:sz w:val="24"/>
          <w:szCs w:val="24"/>
          <w:highlight w:val="none"/>
          <w:lang w:val="en-US" w:eastAsia="en-US" w:bidi="ar-SA"/>
        </w:rPr>
        <w:t xml:space="preserve"> </w:t>
      </w:r>
      <w:r>
        <w:rPr>
          <w:rFonts w:hint="eastAsia" w:ascii="宋体" w:hAnsi="宋体" w:eastAsia="宋体" w:cs="宋体"/>
          <w:color w:val="auto"/>
          <w:spacing w:val="-3"/>
          <w:sz w:val="24"/>
          <w:szCs w:val="24"/>
          <w:highlight w:val="none"/>
          <w:lang w:val="en-US" w:eastAsia="en-US" w:bidi="ar-SA"/>
        </w:rPr>
        <w:t xml:space="preserve">”样品中间为网片，网片四周为横梁（网框</w:t>
      </w:r>
      <w:r>
        <w:rPr>
          <w:rFonts w:hint="eastAsia" w:ascii="宋体" w:hAnsi="宋体" w:eastAsia="宋体" w:cs="宋体"/>
          <w:color w:val="auto"/>
          <w:spacing w:val="15"/>
          <w:sz w:val="24"/>
          <w:szCs w:val="24"/>
          <w:highlight w:val="none"/>
          <w:lang w:val="en-US" w:eastAsia="en-US" w:bidi="ar-SA"/>
        </w:rPr>
        <w:t xml:space="preserve">），</w:t>
      </w:r>
      <w:r>
        <w:rPr>
          <w:rFonts w:hint="eastAsia" w:ascii="宋体" w:hAnsi="宋体" w:eastAsia="宋体" w:cs="宋体"/>
          <w:color w:val="auto"/>
          <w:spacing w:val="-3"/>
          <w:sz w:val="24"/>
          <w:szCs w:val="24"/>
          <w:highlight w:val="none"/>
          <w:lang w:val="en-US" w:eastAsia="en-US" w:bidi="ar-SA"/>
        </w:rPr>
        <w:t xml:space="preserve">围网两侧为立柱</w:t>
      </w:r>
      <w:r>
        <w:rPr>
          <w:rFonts w:hint="eastAsia" w:ascii="宋体" w:hAnsi="宋体" w:eastAsia="宋体" w:cs="宋体"/>
          <w:b w:val="0"/>
          <w:bCs w:val="0"/>
          <w:color w:val="auto"/>
          <w:spacing w:val="-3"/>
          <w:sz w:val="24"/>
          <w:szCs w:val="24"/>
          <w:highlight w:val="none"/>
          <w:lang w:val="en-US" w:eastAsia="en-US" w:bidi="ar-SA"/>
        </w:rPr>
        <w:t xml:space="preserve">，围</w:t>
      </w:r>
      <w:r>
        <w:rPr>
          <w:rFonts w:hint="eastAsia" w:ascii="宋体" w:hAnsi="宋体" w:eastAsia="宋体" w:cs="宋体"/>
          <w:b w:val="0"/>
          <w:bCs w:val="0"/>
          <w:color w:val="auto"/>
          <w:sz w:val="24"/>
          <w:szCs w:val="24"/>
          <w:highlight w:val="none"/>
          <w:lang w:val="en-US" w:eastAsia="en-US" w:bidi="ar-SA"/>
        </w:rPr>
        <w:t xml:space="preserve"> </w:t>
      </w:r>
      <w:r>
        <w:rPr>
          <w:rFonts w:hint="eastAsia" w:ascii="宋体" w:hAnsi="宋体" w:eastAsia="宋体" w:cs="宋体"/>
          <w:b w:val="0"/>
          <w:bCs w:val="0"/>
          <w:color w:val="auto"/>
          <w:spacing w:val="-3"/>
          <w:sz w:val="24"/>
          <w:szCs w:val="24"/>
          <w:highlight w:val="none"/>
          <w:lang w:val="en-US" w:eastAsia="en-US" w:bidi="ar-SA"/>
        </w:rPr>
        <w:t xml:space="preserve">网通过连接件与立柱连接安装。样品形状为：正方形（或长方形），网片边长≥50</w:t>
      </w:r>
      <w:r>
        <w:rPr>
          <w:rFonts w:hint="eastAsia" w:ascii="宋体" w:hAnsi="宋体" w:eastAsia="宋体" w:cs="宋体"/>
          <w:b w:val="0"/>
          <w:bCs w:val="0"/>
          <w:color w:val="auto"/>
          <w:spacing w:val="-48"/>
          <w:sz w:val="24"/>
          <w:szCs w:val="24"/>
          <w:highlight w:val="none"/>
          <w:lang w:val="en-US" w:eastAsia="en-US" w:bidi="ar-SA"/>
        </w:rPr>
        <w:t xml:space="preserve"> </w:t>
      </w:r>
      <w:r>
        <w:rPr>
          <w:rFonts w:hint="eastAsia" w:ascii="宋体" w:hAnsi="宋体" w:eastAsia="宋体" w:cs="宋体"/>
          <w:b w:val="0"/>
          <w:bCs w:val="0"/>
          <w:color w:val="auto"/>
          <w:spacing w:val="-3"/>
          <w:sz w:val="24"/>
          <w:szCs w:val="24"/>
          <w:highlight w:val="none"/>
          <w:lang w:val="en-US" w:eastAsia="en-US" w:bidi="ar-SA"/>
        </w:rPr>
        <w:t xml:space="preserve">厘米（长和宽都≥50</w:t>
      </w:r>
      <w:r>
        <w:rPr>
          <w:rFonts w:hint="eastAsia" w:ascii="宋体" w:hAnsi="宋体" w:eastAsia="宋体" w:cs="宋体"/>
          <w:b w:val="0"/>
          <w:bCs w:val="0"/>
          <w:color w:val="auto"/>
          <w:spacing w:val="-48"/>
          <w:sz w:val="24"/>
          <w:szCs w:val="24"/>
          <w:highlight w:val="none"/>
          <w:lang w:val="en-US" w:eastAsia="en-US" w:bidi="ar-SA"/>
        </w:rPr>
        <w:t xml:space="preserve"> </w:t>
      </w:r>
      <w:r>
        <w:rPr>
          <w:rFonts w:hint="eastAsia" w:ascii="宋体" w:hAnsi="宋体" w:eastAsia="宋体" w:cs="宋体"/>
          <w:b w:val="0"/>
          <w:bCs w:val="0"/>
          <w:color w:val="auto"/>
          <w:spacing w:val="-3"/>
          <w:sz w:val="24"/>
          <w:szCs w:val="24"/>
          <w:highlight w:val="none"/>
          <w:lang w:val="en-US" w:eastAsia="en-US" w:bidi="ar-SA"/>
        </w:rPr>
        <w:t xml:space="preserve">厘米）</w:t>
      </w:r>
      <w:r>
        <w:rPr>
          <w:rFonts w:hint="eastAsia" w:ascii="宋体" w:hAnsi="宋体" w:eastAsia="宋体" w:cs="宋体"/>
          <w:b w:val="0"/>
          <w:bCs w:val="0"/>
          <w:color w:val="auto"/>
          <w:spacing w:val="-3"/>
          <w:sz w:val="24"/>
          <w:szCs w:val="24"/>
          <w:highlight w:val="none"/>
          <w:lang w:val="en-US" w:eastAsia="zh-CN" w:bidi="ar-SA"/>
        </w:rPr>
        <w:t xml:space="preserve">。</w:t>
      </w:r>
      <w:r/>
    </w:p>
    <w:p>
      <w:pPr>
        <w:ind w:left="0" w:right="0" w:firstLine="456"/>
        <w:jc w:val="left"/>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en-US" w:bidi="ar-SA"/>
        </w:rPr>
      </w:pPr>
      <w:r>
        <w:rPr>
          <w:rFonts w:hint="eastAsia" w:ascii="宋体" w:hAnsi="宋体" w:eastAsia="宋体" w:cs="宋体"/>
          <w:b w:val="0"/>
          <w:bCs w:val="0"/>
          <w:color w:val="000000"/>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①样品的各项技术质量指标标准应符合招标文件要求；</w:t>
      </w:r>
      <w:r/>
    </w:p>
    <w:p>
      <w:pPr>
        <w:ind w:left="0" w:right="0" w:firstLine="47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1"/>
          <w:sz w:val="24"/>
          <w:szCs w:val="24"/>
          <w:highlight w:val="none"/>
          <w:lang w:val="en-US" w:eastAsia="en-US" w:bidi="ar-SA"/>
        </w:rPr>
        <w:t xml:space="preserve">②样品制作工艺采用勾花网；</w:t>
      </w:r>
      <w:r/>
    </w:p>
    <w:p>
      <w:pPr>
        <w:ind w:left="0" w:right="0" w:firstLine="415"/>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w:t>
      </w:r>
      <w:r>
        <w:rPr>
          <w:rFonts w:hint="eastAsia" w:ascii="宋体" w:hAnsi="宋体" w:eastAsia="宋体" w:cs="宋体"/>
          <w:color w:val="auto"/>
          <w:sz w:val="24"/>
          <w:szCs w:val="24"/>
          <w:highlight w:val="none"/>
          <w:lang w:val="en-US" w:eastAsia="en-US" w:bidi="ar-SA"/>
        </w:rPr>
        <w:t xml:space="preserve"> </w:t>
      </w:r>
      <w:r>
        <w:rPr>
          <w:rFonts w:hint="eastAsia" w:ascii="宋体" w:hAnsi="宋体" w:eastAsia="宋体" w:cs="宋体"/>
          <w:color w:val="auto"/>
          <w:spacing w:val="-1"/>
          <w:sz w:val="24"/>
          <w:szCs w:val="24"/>
          <w:highlight w:val="none"/>
          <w:lang w:val="en-US" w:eastAsia="en-US" w:bidi="ar-SA"/>
        </w:rPr>
        <w:t xml:space="preserve">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ind w:left="0" w:right="0" w:firstLine="468"/>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(3)提交相关检测报告：样品不需要。</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评委对“框架式场地围网</w:t>
      </w:r>
      <w:r>
        <w:rPr>
          <w:rFonts w:hint="eastAsia" w:ascii="宋体" w:hAnsi="宋体" w:eastAsia="宋体" w:cs="宋体"/>
          <w:color w:val="000000"/>
          <w:spacing w:val="-88"/>
          <w:sz w:val="24"/>
          <w:szCs w:val="24"/>
          <w:highlight w:val="none"/>
          <w:lang w:val="en-US" w:eastAsia="en-US" w:bidi="ar-SA"/>
        </w:rPr>
        <w:t xml:space="preserve"> </w:t>
      </w:r>
      <w:r>
        <w:rPr>
          <w:rFonts w:hint="eastAsia" w:ascii="宋体" w:hAnsi="宋体" w:eastAsia="宋体" w:cs="宋体"/>
          <w:color w:val="000000"/>
          <w:spacing w:val="-1"/>
          <w:sz w:val="24"/>
          <w:szCs w:val="24"/>
          <w:highlight w:val="none"/>
          <w:lang w:val="en-US" w:eastAsia="en-US" w:bidi="ar-SA"/>
        </w:rPr>
        <w:t xml:space="preserve">”小样的制作工艺（各部位螺钉、螺母紧固</w:t>
      </w:r>
      <w:r>
        <w:rPr>
          <w:rFonts w:hint="eastAsia" w:ascii="宋体" w:hAnsi="宋体" w:eastAsia="宋体" w:cs="宋体"/>
          <w:color w:val="000000"/>
          <w:spacing w:val="-2"/>
          <w:sz w:val="24"/>
          <w:szCs w:val="24"/>
          <w:highlight w:val="none"/>
          <w:lang w:val="en-US" w:eastAsia="en-US" w:bidi="ar-SA"/>
        </w:rPr>
        <w:t xml:space="preserve">件应紧固且防锈防</w:t>
      </w:r>
      <w:r>
        <w:rPr>
          <w:rFonts w:hint="eastAsia" w:ascii="宋体" w:hAnsi="宋体" w:eastAsia="宋体" w:cs="宋体"/>
          <w:color w:val="auto"/>
          <w:spacing w:val="-2"/>
          <w:sz w:val="24"/>
          <w:szCs w:val="24"/>
          <w:highlight w:val="none"/>
          <w:lang w:val="en-US" w:eastAsia="en-US" w:bidi="ar-SA"/>
        </w:rPr>
        <w:t xml:space="preserve">松，勾花网，包</w:t>
      </w:r>
      <w:r>
        <w:rPr>
          <w:rFonts w:hint="eastAsia" w:ascii="宋体" w:hAnsi="宋体" w:eastAsia="宋体" w:cs="宋体"/>
          <w:color w:val="000000"/>
          <w:spacing w:val="-2"/>
          <w:sz w:val="24"/>
          <w:szCs w:val="24"/>
          <w:highlight w:val="none"/>
          <w:lang w:val="en-US" w:eastAsia="en-US" w:bidi="ar-SA"/>
        </w:rPr>
        <w:t xml:space="preserve">塑网片丝浸塑处理）、结构牢固性、围网平整度、焊接质</w:t>
      </w:r>
      <w:r>
        <w:rPr>
          <w:rFonts w:hint="eastAsia" w:ascii="宋体" w:hAnsi="宋体" w:eastAsia="宋体" w:cs="宋体"/>
          <w:color w:val="000000"/>
          <w:spacing w:val="-1"/>
          <w:sz w:val="24"/>
          <w:szCs w:val="24"/>
          <w:highlight w:val="none"/>
          <w:lang w:val="en-US" w:eastAsia="en-US" w:bidi="ar-SA"/>
        </w:rPr>
        <w:t xml:space="preserve">量牢固焊点光滑、防腐处理、网孔大小（50mm</w:t>
      </w:r>
      <w:r>
        <w:rPr>
          <w:rFonts w:hint="eastAsia" w:ascii="宋体" w:hAnsi="宋体" w:eastAsia="宋体" w:cs="宋体"/>
          <w:color w:val="000000"/>
          <w:spacing w:val="-2"/>
          <w:sz w:val="24"/>
          <w:szCs w:val="24"/>
          <w:highlight w:val="none"/>
          <w:lang w:val="en-US" w:eastAsia="en-US" w:bidi="ar-SA"/>
        </w:rPr>
        <w:t xml:space="preserve">，不应存在对手指的卡夹</w:t>
      </w:r>
      <w:r>
        <w:rPr>
          <w:rFonts w:hint="eastAsia" w:ascii="宋体" w:hAnsi="宋体" w:eastAsia="宋体" w:cs="宋体"/>
          <w:color w:val="000000"/>
          <w:spacing w:val="-3"/>
          <w:sz w:val="24"/>
          <w:szCs w:val="24"/>
          <w:highlight w:val="none"/>
          <w:lang w:val="en-US" w:eastAsia="en-US" w:bidi="ar-SA"/>
        </w:rPr>
        <w:t xml:space="preserve">），</w:t>
      </w:r>
      <w:r>
        <w:rPr>
          <w:rFonts w:hint="eastAsia" w:ascii="宋体" w:hAnsi="宋体" w:eastAsia="宋体" w:cs="宋体"/>
          <w:color w:val="000000"/>
          <w:spacing w:val="-2"/>
          <w:sz w:val="24"/>
          <w:szCs w:val="24"/>
          <w:highlight w:val="none"/>
          <w:lang w:val="en-US" w:eastAsia="en-US" w:bidi="ar-SA"/>
        </w:rPr>
        <w:t xml:space="preserve">立柱和横梁</w:t>
      </w:r>
      <w:r>
        <w:rPr>
          <w:rFonts w:hint="eastAsia" w:ascii="宋体" w:hAnsi="宋体" w:eastAsia="宋体" w:cs="宋体"/>
          <w:color w:val="000000"/>
          <w:spacing w:val="1"/>
          <w:sz w:val="24"/>
          <w:szCs w:val="24"/>
          <w:highlight w:val="none"/>
          <w:lang w:val="en-US" w:eastAsia="en-US" w:bidi="ar-SA"/>
        </w:rPr>
        <w:t xml:space="preserve"> </w:t>
      </w:r>
      <w:r>
        <w:rPr>
          <w:rFonts w:hint="eastAsia" w:ascii="宋体" w:hAnsi="宋体" w:eastAsia="宋体" w:cs="宋体"/>
          <w:color w:val="000000"/>
          <w:spacing w:val="-6"/>
          <w:sz w:val="24"/>
          <w:szCs w:val="24"/>
          <w:highlight w:val="none"/>
          <w:lang w:val="en-US" w:eastAsia="en-US" w:bidi="ar-SA"/>
        </w:rPr>
        <w:t xml:space="preserve">（网框）材质、立柱壁厚、横梁（网框）直径，网丝的材质和直径、表面是否光滑细腻、</w:t>
      </w:r>
      <w:r>
        <w:rPr>
          <w:rFonts w:hint="eastAsia" w:ascii="宋体" w:hAnsi="宋体" w:eastAsia="宋体" w:cs="宋体"/>
          <w:color w:val="000000"/>
          <w:spacing w:val="12"/>
          <w:sz w:val="24"/>
          <w:szCs w:val="24"/>
          <w:highlight w:val="none"/>
          <w:lang w:val="en-US" w:eastAsia="en-US" w:bidi="ar-SA"/>
        </w:rPr>
        <w:t xml:space="preserve"> </w:t>
      </w:r>
      <w:r>
        <w:rPr>
          <w:rFonts w:hint="eastAsia" w:ascii="宋体" w:hAnsi="宋体" w:eastAsia="宋体" w:cs="宋体"/>
          <w:color w:val="000000"/>
          <w:spacing w:val="-2"/>
          <w:sz w:val="24"/>
          <w:szCs w:val="24"/>
          <w:highlight w:val="none"/>
          <w:lang w:val="en-US" w:eastAsia="en-US" w:bidi="ar-SA"/>
        </w:rPr>
        <w:t xml:space="preserve">是否有锐角或毛刺、面层涂料厚度是否均匀（面层涂料有无起泡、开裂、脱皮）、面层</w:t>
      </w:r>
      <w:r>
        <w:rPr>
          <w:rFonts w:hint="eastAsia" w:ascii="宋体" w:hAnsi="宋体" w:eastAsia="宋体" w:cs="宋体"/>
          <w:color w:val="000000"/>
          <w:spacing w:val="-2"/>
          <w:sz w:val="24"/>
          <w:szCs w:val="24"/>
          <w:highlight w:val="none"/>
          <w:lang w:val="en-US" w:eastAsia="zh-CN" w:bidi="ar-SA"/>
        </w:rPr>
        <w:t xml:space="preserve">、</w:t>
      </w:r>
      <w:r>
        <w:rPr>
          <w:rFonts w:hint="eastAsia" w:ascii="宋体" w:hAnsi="宋体" w:eastAsia="宋体" w:cs="宋体"/>
          <w:color w:val="000000"/>
          <w:spacing w:val="-1"/>
          <w:sz w:val="24"/>
          <w:szCs w:val="24"/>
          <w:highlight w:val="none"/>
          <w:lang w:val="en-US" w:eastAsia="en-US" w:bidi="ar-SA"/>
        </w:rPr>
        <w:t xml:space="preserve">涂料颜色（墨绿色）进行评价。</w:t>
      </w:r>
      <w:r/>
    </w:p>
    <w:p>
      <w:pPr>
        <w:ind w:left="0" w:right="0" w:firstLine="472"/>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2"/>
          <w:sz w:val="24"/>
          <w:szCs w:val="24"/>
          <w:highlight w:val="none"/>
          <w:lang w:val="en-US" w:eastAsia="en-US" w:bidi="ar-SA"/>
        </w:rPr>
        <w:t xml:space="preserve">(6)样品的规格：正方形（或长方形</w:t>
      </w:r>
      <w:r>
        <w:rPr>
          <w:rFonts w:hint="eastAsia" w:ascii="宋体" w:hAnsi="宋体" w:eastAsia="宋体" w:cs="宋体"/>
          <w:color w:val="000000"/>
          <w:spacing w:val="4"/>
          <w:sz w:val="24"/>
          <w:szCs w:val="24"/>
          <w:highlight w:val="none"/>
          <w:lang w:val="en-US" w:eastAsia="en-US" w:bidi="ar-SA"/>
        </w:rPr>
        <w:t xml:space="preserve">）；</w:t>
      </w:r>
      <w:r>
        <w:rPr>
          <w:rFonts w:hint="eastAsia" w:ascii="宋体" w:hAnsi="宋体" w:eastAsia="宋体" w:cs="宋体"/>
          <w:color w:val="000000"/>
          <w:spacing w:val="-2"/>
          <w:sz w:val="24"/>
          <w:szCs w:val="24"/>
          <w:highlight w:val="none"/>
          <w:lang w:val="en-US" w:eastAsia="en-US" w:bidi="ar-SA"/>
        </w:rPr>
        <w:t xml:space="preserve">边长≥50厘米（或长和宽都≥50厘米</w:t>
      </w:r>
      <w:r>
        <w:rPr>
          <w:rFonts w:hint="eastAsia" w:ascii="宋体" w:hAnsi="宋体" w:eastAsia="宋体" w:cs="宋体"/>
          <w:color w:val="000000"/>
          <w:spacing w:val="4"/>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pacing w:val="-5"/>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(7)样品的数量：一件</w:t>
      </w:r>
      <w:r/>
    </w:p>
    <w:p>
      <w:pPr>
        <w:numPr>
          <w:ilvl w:val="0"/>
          <w:numId w:val="0"/>
        </w:numPr>
        <w:ind w:firstLine="460"/>
        <w:spacing w:line="360" w:lineRule="auto"/>
        <w:rPr>
          <w:rFonts w:ascii="宋体" w:hAnsi="宋体" w:eastAsia="宋体" w:cs="宋体"/>
          <w:color w:val="000000"/>
          <w:sz w:val="24"/>
          <w:highlight w:val="none"/>
        </w:rPr>
      </w:pPr>
      <w:r>
        <w:rPr>
          <w:rFonts w:hint="eastAsia" w:ascii="宋体" w:hAnsi="宋体" w:cs="宋体"/>
          <w:color w:val="auto"/>
          <w:spacing w:val="-5"/>
          <w:sz w:val="24"/>
          <w:szCs w:val="24"/>
          <w:highlight w:val="none"/>
          <w:lang w:val="en-US" w:eastAsia="zh-CN" w:bidi="ar-SA"/>
        </w:rPr>
        <w:t xml:space="preserve">4.2采购包2</w:t>
      </w:r>
      <w:r>
        <w:rPr>
          <w:rFonts w:hint="eastAsia" w:ascii="宋体" w:hAnsi="宋体" w:eastAsia="宋体" w:cs="宋体"/>
          <w:color w:val="000000"/>
          <w:sz w:val="24"/>
          <w:highlight w:val="none"/>
        </w:rPr>
        <w:t xml:space="preserve">样品的制作要求：</w:t>
      </w:r>
      <w:r/>
    </w:p>
    <w:p>
      <w:pPr>
        <w:ind w:left="0" w:right="0"/>
        <w:jc w:val="both"/>
        <w:keepLines w:val="0"/>
        <w:keepNext w:val="0"/>
        <w:pageBreakBefore w:val="0"/>
        <w:spacing w:before="0" w:after="0" w:line="360" w:lineRule="auto"/>
        <w:widowControl w:val="off"/>
        <w:rPr>
          <w:rFonts w:hint="eastAsia" w:ascii="宋体" w:hAnsi="宋体" w:eastAsia="宋体" w:cs="宋体"/>
          <w:b/>
          <w:bCs/>
          <w:color w:val="auto"/>
          <w:spacing w:val="-1"/>
          <w:sz w:val="24"/>
          <w:szCs w:val="24"/>
          <w:highlight w:val="none"/>
          <w:lang w:val="en-US" w:eastAsia="en-US" w:bidi="ar-SA"/>
        </w:rPr>
      </w:pPr>
      <w:r>
        <w:rPr>
          <w:rFonts w:hint="default" w:ascii="Calibri" w:hAnsi="Calibri" w:eastAsia="宋体" w:cs="Calibri"/>
          <w:b/>
          <w:bCs/>
          <w:color w:val="auto"/>
          <w:spacing w:val="-1"/>
          <w:sz w:val="24"/>
          <w:szCs w:val="24"/>
          <w:highlight w:val="none"/>
          <w:lang w:val="en-US" w:eastAsia="zh-CN" w:bidi="ar-SA"/>
        </w:rPr>
        <w:t xml:space="preserve">①</w:t>
      </w:r>
      <w:r>
        <w:rPr>
          <w:rFonts w:hint="eastAsia" w:ascii="宋体" w:hAnsi="宋体" w:eastAsia="宋体" w:cs="宋体"/>
          <w:b/>
          <w:bCs/>
          <w:color w:val="auto"/>
          <w:spacing w:val="-1"/>
          <w:sz w:val="24"/>
          <w:szCs w:val="24"/>
          <w:highlight w:val="none"/>
          <w:lang w:val="en-US" w:eastAsia="en-US" w:bidi="ar-SA"/>
        </w:rPr>
        <w:t xml:space="preserve">提供“</w:t>
      </w:r>
      <w:r>
        <w:rPr>
          <w:rFonts w:hint="eastAsia" w:ascii="宋体" w:hAnsi="宋体" w:cs="宋体"/>
          <w:b/>
          <w:bCs/>
          <w:color w:val="auto"/>
          <w:spacing w:val="-1"/>
          <w:sz w:val="24"/>
          <w:szCs w:val="24"/>
          <w:highlight w:val="none"/>
          <w:lang w:val="en-US" w:eastAsia="zh-CN" w:bidi="ar-SA"/>
        </w:rPr>
        <w:t xml:space="preserve">双位太空漫步机</w:t>
      </w:r>
      <w:r>
        <w:rPr>
          <w:rFonts w:hint="eastAsia" w:ascii="宋体" w:hAnsi="宋体" w:eastAsia="宋体" w:cs="宋体"/>
          <w:b/>
          <w:bCs/>
          <w:color w:val="auto"/>
          <w:spacing w:val="-1"/>
          <w:sz w:val="24"/>
          <w:szCs w:val="24"/>
          <w:highlight w:val="none"/>
          <w:lang w:val="en-US" w:eastAsia="en-US" w:bidi="ar-SA"/>
        </w:rPr>
        <w:t xml:space="preserve">”样品</w:t>
      </w:r>
      <w:r/>
    </w:p>
    <w:p>
      <w:pPr>
        <w:numPr>
          <w:ilvl w:val="0"/>
          <w:numId w:val="0"/>
        </w:num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采购包2</w:t>
      </w:r>
      <w:r>
        <w:rPr>
          <w:rFonts w:hint="eastAsia" w:ascii="宋体" w:hAnsi="宋体" w:cs="宋体"/>
          <w:color w:val="000000"/>
          <w:sz w:val="24"/>
          <w:highlight w:val="none"/>
        </w:rPr>
        <w:t xml:space="preserve">样品的制作要求：</w:t>
      </w:r>
      <w:r/>
    </w:p>
    <w:p>
      <w:pPr>
        <w:ind w:right="0" w:firstLine="480"/>
        <w:jc w:val="left"/>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样品制作标准：双位太空漫步机1件，立柱规格为钢管厚度不小于φ114×3mm标准管材；器材金属构件基材完成热浸镀锌防腐处理后，采用户外聚酯粉末静电喷塑（俗称烤漆）；涂层色泽均匀，无流挂、起泡、露底、脱落；涂层附着力满足户外使用，抗紫外线、耐老化，适应露天室外环境。功能：锻炼下肢肌群、改善髋关节灵活性、提升平衡与身体协调性、有氧锻炼，增强心肺功能。</w:t>
      </w:r>
      <w:r/>
    </w:p>
    <w:p>
      <w:pPr>
        <w:ind w:right="0" w:firstLine="456"/>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6"/>
          <w:sz w:val="24"/>
          <w:szCs w:val="24"/>
          <w:highlight w:val="none"/>
          <w:lang w:val="en-US" w:eastAsia="en-US" w:bidi="ar-SA"/>
        </w:rPr>
        <w:t xml:space="preserve">(2)样品制作要求：</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①样品的各项技术质量指标标准应符合招标文件要求；</w:t>
      </w:r>
      <w:r/>
    </w:p>
    <w:p>
      <w:pPr>
        <w:ind w:left="0" w:right="0" w:firstLine="47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2"/>
          <w:sz w:val="24"/>
          <w:szCs w:val="24"/>
          <w:highlight w:val="none"/>
          <w:lang w:val="en-US" w:eastAsia="en-US" w:bidi="ar-SA"/>
        </w:rPr>
        <w:t xml:space="preserve">②样品制作工艺与投标文件中的“</w:t>
      </w:r>
      <w:r>
        <w:rPr>
          <w:rFonts w:hint="eastAsia" w:ascii="宋体" w:hAnsi="宋体" w:eastAsia="宋体" w:cs="宋体"/>
          <w:color w:val="auto"/>
          <w:spacing w:val="-2"/>
          <w:sz w:val="24"/>
          <w:szCs w:val="24"/>
          <w:highlight w:val="none"/>
          <w:lang w:val="en-US" w:eastAsia="zh-CN" w:bidi="ar-SA"/>
        </w:rPr>
        <w:t xml:space="preserve">制作工艺</w:t>
      </w:r>
      <w:r>
        <w:rPr>
          <w:rFonts w:hint="eastAsia" w:ascii="宋体" w:hAnsi="宋体" w:eastAsia="宋体" w:cs="宋体"/>
          <w:color w:val="auto"/>
          <w:spacing w:val="-79"/>
          <w:sz w:val="24"/>
          <w:szCs w:val="24"/>
          <w:highlight w:val="none"/>
          <w:lang w:val="en-US" w:eastAsia="en-US" w:bidi="ar-SA"/>
        </w:rPr>
        <w:t xml:space="preserve"> </w:t>
      </w:r>
      <w:r>
        <w:rPr>
          <w:rFonts w:hint="eastAsia" w:ascii="宋体" w:hAnsi="宋体" w:eastAsia="宋体" w:cs="宋体"/>
          <w:color w:val="auto"/>
          <w:spacing w:val="-2"/>
          <w:sz w:val="24"/>
          <w:szCs w:val="24"/>
          <w:highlight w:val="none"/>
          <w:lang w:val="en-US" w:eastAsia="en-US" w:bidi="ar-SA"/>
        </w:rPr>
        <w:t xml:space="preserve">”完全一致；</w:t>
      </w:r>
      <w:r/>
    </w:p>
    <w:p>
      <w:pPr>
        <w:ind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③任何显示投标单位、投标产品名称的商标、品牌或其他显示</w:t>
      </w:r>
      <w:r>
        <w:rPr>
          <w:rFonts w:hint="eastAsia" w:ascii="宋体" w:hAnsi="宋体" w:eastAsia="宋体" w:cs="宋体"/>
          <w:color w:val="auto"/>
          <w:spacing w:val="-1"/>
          <w:sz w:val="24"/>
          <w:szCs w:val="24"/>
          <w:highlight w:val="none"/>
          <w:lang w:val="en-US" w:eastAsia="en-US" w:bidi="ar-SA"/>
        </w:rPr>
        <w:t xml:space="preserve">投标单位、投标产品名称的标志都必须用不透明的白纸粘贴遮盖</w:t>
      </w:r>
      <w:r>
        <w:rPr>
          <w:rFonts w:hint="eastAsia" w:ascii="宋体" w:hAnsi="宋体" w:eastAsia="宋体" w:cs="宋体"/>
          <w:b w:val="0"/>
          <w:bCs/>
          <w:color w:val="auto"/>
          <w:sz w:val="24"/>
          <w:szCs w:val="24"/>
          <w:highlight w:val="none"/>
          <w:lang w:val="en-US" w:eastAsia="zh-CN"/>
        </w:rPr>
        <w:t xml:space="preserve">。</w:t>
      </w:r>
      <w:r/>
    </w:p>
    <w:p>
      <w:pPr>
        <w:numPr>
          <w:ilvl w:val="0"/>
          <w:numId w:val="21"/>
        </w:numPr>
        <w:ind w:left="0" w:right="0" w:firstLine="468"/>
        <w:jc w:val="left"/>
        <w:keepLines w:val="0"/>
        <w:keepNext w:val="0"/>
        <w:pageBreakBefore w:val="0"/>
        <w:spacing w:line="360" w:lineRule="auto"/>
        <w:widowControl w:val="off"/>
        <w:rPr>
          <w:rFonts w:hint="eastAsia" w:ascii="宋体" w:hAnsi="宋体" w:eastAsia="宋体" w:cs="宋体"/>
          <w:color w:val="auto"/>
          <w:spacing w:val="-3"/>
          <w:sz w:val="24"/>
          <w:szCs w:val="24"/>
          <w:highlight w:val="none"/>
          <w:lang w:val="en-US" w:eastAsia="en-US" w:bidi="ar-SA"/>
        </w:rPr>
      </w:pPr>
      <w:r>
        <w:rPr>
          <w:rFonts w:hint="eastAsia" w:ascii="宋体" w:hAnsi="宋体" w:eastAsia="宋体" w:cs="宋体"/>
          <w:color w:val="auto"/>
          <w:spacing w:val="-3"/>
          <w:sz w:val="24"/>
          <w:szCs w:val="24"/>
          <w:highlight w:val="none"/>
          <w:lang w:val="en-US" w:eastAsia="en-US" w:bidi="ar-SA"/>
        </w:rPr>
        <w:t xml:space="preserve">提交相关检测报告：</w:t>
      </w:r>
      <w:r>
        <w:rPr>
          <w:rFonts w:hint="eastAsia" w:ascii="宋体" w:hAnsi="宋体" w:eastAsia="宋体" w:cs="宋体"/>
          <w:b/>
          <w:color w:val="000000"/>
          <w:sz w:val="24"/>
          <w:highlight w:val="none"/>
          <w:lang w:val="en-US" w:eastAsia="zh-CN"/>
        </w:rPr>
        <w:t xml:space="preserve">不需要</w:t>
      </w:r>
      <w:r>
        <w:rPr>
          <w:rFonts w:hint="eastAsia" w:ascii="宋体" w:hAnsi="宋体" w:eastAsia="宋体" w:cs="宋体"/>
          <w:color w:val="auto"/>
          <w:spacing w:val="-3"/>
          <w:sz w:val="24"/>
          <w:szCs w:val="24"/>
          <w:highlight w:val="none"/>
          <w:lang w:val="en-US" w:eastAsia="en-US" w:bidi="ar-SA"/>
        </w:rPr>
        <w:t xml:space="preserve">。</w:t>
      </w:r>
      <w:r/>
    </w:p>
    <w:p>
      <w:pPr>
        <w:ind w:left="0" w:right="0" w:firstLine="46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pacing w:val="-5"/>
          <w:sz w:val="24"/>
          <w:szCs w:val="24"/>
          <w:highlight w:val="none"/>
          <w:lang w:val="en-US" w:eastAsia="en-US" w:bidi="ar-SA"/>
        </w:rPr>
        <w:t xml:space="preserve">(4)样品的评审办法：</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①样品评审采取暗标方式；</w:t>
      </w:r>
      <w:r/>
    </w:p>
    <w:p>
      <w:pPr>
        <w:ind w:left="0" w:right="0" w:firstLine="476"/>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1"/>
          <w:sz w:val="24"/>
          <w:szCs w:val="24"/>
          <w:highlight w:val="none"/>
          <w:lang w:val="en-US" w:eastAsia="en-US" w:bidi="ar-SA"/>
        </w:rPr>
        <w:t xml:space="preserve">②投标人提交样品后，由</w:t>
      </w:r>
      <w:r>
        <w:rPr>
          <w:rFonts w:hint="eastAsia" w:ascii="宋体" w:hAnsi="宋体" w:eastAsia="宋体" w:cs="宋体"/>
          <w:color w:val="000000"/>
          <w:spacing w:val="-1"/>
          <w:sz w:val="24"/>
          <w:szCs w:val="24"/>
          <w:highlight w:val="none"/>
          <w:lang w:val="en-US" w:eastAsia="zh-CN" w:bidi="ar-SA"/>
        </w:rPr>
        <w:t xml:space="preserve">代理机构统一</w:t>
      </w:r>
      <w:r>
        <w:rPr>
          <w:rFonts w:hint="eastAsia" w:ascii="宋体" w:hAnsi="宋体" w:eastAsia="宋体" w:cs="宋体"/>
          <w:color w:val="000000"/>
          <w:sz w:val="24"/>
          <w:szCs w:val="24"/>
          <w:highlight w:val="none"/>
          <w:lang w:val="en-US" w:eastAsia="en-US" w:bidi="ar-SA"/>
        </w:rPr>
        <w:t xml:space="preserve">存放于招标代理机构指定的样品</w:t>
      </w:r>
      <w:r>
        <w:rPr>
          <w:rFonts w:hint="eastAsia" w:ascii="宋体" w:hAnsi="宋体" w:eastAsia="宋体" w:cs="宋体"/>
          <w:color w:val="000000"/>
          <w:spacing w:val="-1"/>
          <w:sz w:val="24"/>
          <w:szCs w:val="24"/>
          <w:highlight w:val="none"/>
          <w:lang w:val="en-US" w:eastAsia="en-US" w:bidi="ar-SA"/>
        </w:rPr>
        <w:t xml:space="preserve">室，</w:t>
      </w:r>
      <w:r>
        <w:rPr>
          <w:rFonts w:hint="eastAsia" w:ascii="宋体" w:hAnsi="宋体" w:eastAsia="宋体" w:cs="宋体"/>
          <w:color w:val="000000"/>
          <w:spacing w:val="-1"/>
          <w:sz w:val="24"/>
          <w:szCs w:val="24"/>
          <w:highlight w:val="none"/>
          <w:lang w:val="en-US" w:eastAsia="zh-CN" w:bidi="ar-SA"/>
        </w:rPr>
        <w:t xml:space="preserve">开标时</w:t>
      </w:r>
      <w:r>
        <w:rPr>
          <w:rFonts w:hint="eastAsia" w:ascii="宋体" w:hAnsi="宋体" w:eastAsia="宋体" w:cs="宋体"/>
          <w:color w:val="000000"/>
          <w:spacing w:val="-1"/>
          <w:sz w:val="24"/>
          <w:szCs w:val="24"/>
          <w:highlight w:val="none"/>
          <w:lang w:val="en-US" w:eastAsia="en-US" w:bidi="ar-SA"/>
        </w:rPr>
        <w:t xml:space="preserve">评委按照样品评</w:t>
      </w:r>
      <w:r>
        <w:rPr>
          <w:rFonts w:hint="eastAsia" w:ascii="宋体" w:hAnsi="宋体" w:eastAsia="宋体" w:cs="宋体"/>
          <w:color w:val="000000"/>
          <w:spacing w:val="-2"/>
          <w:sz w:val="24"/>
          <w:szCs w:val="24"/>
          <w:highlight w:val="none"/>
          <w:lang w:val="en-US" w:eastAsia="en-US" w:bidi="ar-SA"/>
        </w:rPr>
        <w:t xml:space="preserve">审标准对样品进行评分。</w:t>
      </w:r>
      <w:r/>
    </w:p>
    <w:p>
      <w:pPr>
        <w:ind w:left="0" w:right="0" w:firstLine="46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5"/>
          <w:sz w:val="24"/>
          <w:szCs w:val="24"/>
          <w:highlight w:val="none"/>
          <w:lang w:val="en-US" w:eastAsia="en-US" w:bidi="ar-SA"/>
        </w:rPr>
        <w:t xml:space="preserve">(5)样品的评审标准：</w:t>
      </w:r>
      <w:r/>
    </w:p>
    <w:p>
      <w:pPr>
        <w:numPr>
          <w:ilvl w:val="0"/>
          <w:numId w:val="0"/>
        </w:numPr>
        <w:ind w:right="210" w:firstLine="480"/>
        <w:jc w:val="left"/>
        <w:spacing w:line="360" w:lineRule="auto"/>
        <w:rPr>
          <w:rFonts w:hint="eastAsia" w:ascii="宋体" w:hAnsi="宋体" w:cs="宋体"/>
          <w:color w:val="000000"/>
          <w:sz w:val="24"/>
          <w:highlight w:val="none"/>
          <w:lang w:val="en-US" w:eastAsia="zh-CN"/>
        </w:rPr>
      </w:pPr>
      <w:r>
        <w:rPr>
          <w:rFonts w:hint="default" w:ascii="宋体" w:hAnsi="宋体" w:cs="宋体"/>
          <w:sz w:val="24"/>
          <w:highlight w:val="none"/>
          <w:lang w:val="en-US" w:eastAsia="zh-CN"/>
        </w:rPr>
        <w:t xml:space="preserve">①</w:t>
      </w:r>
      <w:r>
        <w:rPr>
          <w:rFonts w:hint="eastAsia" w:ascii="宋体" w:hAnsi="宋体" w:cs="宋体"/>
          <w:sz w:val="24"/>
          <w:highlight w:val="none"/>
          <w:lang w:val="en-US" w:eastAsia="zh-CN"/>
        </w:rPr>
        <w:t xml:space="preserve">器材金属涂饰件外表面须色泽均匀，无流挂、起泡、露底、脱落、结合牢固，无起皮脱落、漏涂、锈蚀、裂痕及明显流痕、花斑、结点等缺陷；</w:t>
      </w:r>
      <w:r>
        <w:rPr>
          <w:rFonts w:hint="default" w:ascii="宋体" w:hAnsi="宋体" w:cs="宋体"/>
          <w:sz w:val="24"/>
          <w:highlight w:val="none"/>
          <w:lang w:val="en-US" w:eastAsia="zh-CN"/>
        </w:rPr>
        <w:t xml:space="preserve">②</w:t>
      </w:r>
      <w:r>
        <w:rPr>
          <w:rFonts w:hint="eastAsia" w:ascii="宋体" w:hAnsi="宋体" w:cs="宋体"/>
          <w:sz w:val="24"/>
          <w:highlight w:val="none"/>
        </w:rPr>
        <w:t xml:space="preserve">器材所有棱边和尖角须圆滑过渡</w:t>
      </w:r>
      <w:r>
        <w:rPr>
          <w:rFonts w:hint="eastAsia" w:ascii="宋体" w:hAnsi="宋体" w:cs="宋体"/>
          <w:sz w:val="24"/>
          <w:highlight w:val="none"/>
          <w:lang w:eastAsia="zh-CN"/>
        </w:rPr>
        <w:t xml:space="preserve">，</w:t>
      </w:r>
      <w:r>
        <w:rPr>
          <w:rFonts w:hint="eastAsia" w:ascii="宋体" w:hAnsi="宋体" w:cs="宋体"/>
          <w:sz w:val="24"/>
          <w:highlight w:val="none"/>
        </w:rPr>
        <w:t xml:space="preserve">人体易接触区域无剪切点、卡夹、钩挂、缠绕结构及无关凸出物；</w:t>
      </w:r>
      <w:r>
        <w:rPr>
          <w:rFonts w:hint="default" w:ascii="宋体" w:hAnsi="宋体" w:cs="宋体"/>
          <w:sz w:val="24"/>
          <w:highlight w:val="none"/>
        </w:rPr>
        <w:t xml:space="preserve">③</w:t>
      </w:r>
      <w:r>
        <w:rPr>
          <w:rFonts w:ascii="Segoe UI" w:hAnsi="Segoe UI" w:eastAsia="Segoe UI" w:cs="Segoe UI"/>
          <w:i w:val="0"/>
          <w:iCs w:val="0"/>
          <w:caps w:val="0"/>
          <w:color w:val="0f1115"/>
          <w:spacing w:val="0"/>
          <w:sz w:val="24"/>
          <w:szCs w:val="24"/>
          <w:highlight w:val="none"/>
          <w:shd w:val="clear" w:color="auto" w:fill="ffffff"/>
        </w:rPr>
        <w:t xml:space="preserve">立柱顶端设封口堵盖，防止雨水侵入</w:t>
      </w:r>
      <w:r>
        <w:rPr>
          <w:rFonts w:hint="eastAsia" w:ascii="宋体" w:hAnsi="宋体" w:eastAsia="宋体" w:cs="宋体"/>
          <w:sz w:val="24"/>
          <w:szCs w:val="24"/>
          <w:highlight w:val="none"/>
          <w:lang w:val="en-US" w:eastAsia="zh-CN"/>
        </w:rPr>
        <w:t xml:space="preserve">、结构稳定顺滑</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④</w:t>
      </w:r>
      <w:r>
        <w:rPr>
          <w:rFonts w:hint="eastAsia" w:ascii="宋体" w:hAnsi="宋体" w:eastAsia="宋体" w:cs="宋体"/>
          <w:sz w:val="24"/>
          <w:szCs w:val="24"/>
          <w:highlight w:val="none"/>
          <w:lang w:val="en-US" w:eastAsia="zh-CN"/>
        </w:rPr>
        <w:t xml:space="preserve">设计美观（样品设计、色彩、有二维码标识（必须要有报修二维码）和彩票公益金资助中国体育彩票标志标识）</w:t>
      </w:r>
      <w:r>
        <w:rPr>
          <w:rFonts w:hint="eastAsia" w:ascii="宋体" w:hAnsi="宋体" w:cs="宋体"/>
          <w:sz w:val="24"/>
          <w:szCs w:val="24"/>
          <w:highlight w:val="none"/>
          <w:lang w:val="en-US" w:eastAsia="zh-CN"/>
        </w:rPr>
        <w:t xml:space="preserve">；</w:t>
      </w:r>
      <w:r>
        <w:rPr>
          <w:rFonts w:hint="eastAsia" w:ascii="宋体" w:hAnsi="宋体" w:cs="宋体"/>
          <w:sz w:val="24"/>
          <w:highlight w:val="none"/>
        </w:rPr>
        <w:t xml:space="preserve">⑤</w:t>
      </w:r>
      <w:r>
        <w:rPr>
          <w:rFonts w:ascii="Segoe UI" w:hAnsi="Segoe UI" w:eastAsia="Segoe UI" w:cs="Segoe UI"/>
          <w:i w:val="0"/>
          <w:iCs w:val="0"/>
          <w:caps w:val="0"/>
          <w:color w:val="0f1115"/>
          <w:spacing w:val="0"/>
          <w:sz w:val="24"/>
          <w:szCs w:val="24"/>
          <w:highlight w:val="none"/>
          <w:shd w:val="clear" w:color="auto" w:fill="ffffff"/>
        </w:rPr>
        <w:t xml:space="preserve">焊接件须经二氧化碳气体保护焊焊接，采用满焊工艺，焊缝饱满，焊道平整美观、严密牢固，无漏焊、虚焊、夹渣、裂纹、气孔、未焊透等缺陷；焊后须经喷丸除锈及震动除锈处理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样品的送达起止时间、地点：</w:t>
      </w:r>
      <w:r/>
    </w:p>
    <w:p>
      <w:pPr>
        <w:ind w:right="210" w:firstLine="480"/>
        <w:jc w:val="left"/>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样品送达起止时间：202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28</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：00~</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:00（逾时不再接收）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送样时需携带送样表（详见附件）</w:t>
      </w:r>
      <w:r/>
    </w:p>
    <w:p>
      <w:pPr>
        <w:ind w:right="210"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样品送达地点：溧阳市体育馆（溧阳市奥体大道36号）</w:t>
      </w:r>
      <w:r/>
    </w:p>
    <w:p>
      <w:pPr>
        <w:ind w:right="210"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联系人：丁女士  13914317261</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样品的其他要求： </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）投标供应商应做好样品的标识封样工作，样品不能出现制造厂或投标供应商的标志、标记，否则样品分均为0。各投标供应商的样品由工作人员进行编号登记，评委以编号为单位进行独立评定。</w:t>
      </w:r>
      <w:r/>
    </w:p>
    <w:p>
      <w:pPr>
        <w:ind w:right="210" w:firstLine="480"/>
        <w:jc w:val="left"/>
        <w:spacing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）所有样品于评标结束后一周内搬走，逾期由</w:t>
      </w:r>
      <w:r>
        <w:rPr>
          <w:rFonts w:hint="eastAsia" w:ascii="宋体" w:hAnsi="宋体" w:cs="宋体"/>
          <w:b w:val="0"/>
          <w:bCs w:val="0"/>
          <w:color w:val="auto"/>
          <w:sz w:val="24"/>
          <w:highlight w:val="none"/>
          <w:lang w:val="en-US" w:eastAsia="zh-CN"/>
        </w:rPr>
        <w:t xml:space="preserve">采购人</w:t>
      </w:r>
      <w:r>
        <w:rPr>
          <w:rFonts w:hint="eastAsia" w:ascii="宋体" w:hAnsi="宋体" w:cs="宋体"/>
          <w:b w:val="0"/>
          <w:bCs w:val="0"/>
          <w:color w:val="auto"/>
          <w:sz w:val="24"/>
          <w:highlight w:val="none"/>
        </w:rPr>
        <w:t xml:space="preserve">自行处置，中标的样品</w:t>
      </w:r>
      <w:r>
        <w:rPr>
          <w:rFonts w:hint="eastAsia" w:ascii="宋体" w:hAnsi="宋体" w:cs="宋体"/>
          <w:b w:val="0"/>
          <w:bCs w:val="0"/>
          <w:color w:val="auto"/>
          <w:sz w:val="24"/>
          <w:highlight w:val="none"/>
          <w:lang w:val="en-US" w:eastAsia="zh-CN"/>
        </w:rPr>
        <w:t xml:space="preserve">移交采购人</w:t>
      </w:r>
      <w:r>
        <w:rPr>
          <w:rFonts w:hint="eastAsia" w:ascii="宋体" w:hAnsi="宋体" w:cs="宋体"/>
          <w:b w:val="0"/>
          <w:bCs w:val="0"/>
          <w:color w:val="auto"/>
          <w:sz w:val="24"/>
          <w:highlight w:val="none"/>
        </w:rPr>
        <w:t xml:space="preserve">保存，作为验收依据，在整个项目验收合格后一次性退还。</w:t>
      </w:r>
      <w:r/>
    </w:p>
    <w:p>
      <w:pPr>
        <w:ind w:right="210"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）投标样品费用（含制作、安装、运输等）为投标供应商应承担的费用，无论采购结果如何，代理机构和采购人在任何情况下均无义务和责任承担这些费用。</w:t>
      </w:r>
      <w:r/>
    </w:p>
    <w:p>
      <w:pPr>
        <w:pStyle w:val="1175"/>
        <w:contextualSpacing/>
        <w:ind w:left="500" w:hanging="500"/>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w:t>
      </w:r>
      <w:r>
        <w:rPr>
          <w:rFonts w:ascii="宋体" w:hAnsi="宋体" w:cs="宋体"/>
          <w:b/>
          <w:bCs/>
          <w:color w:val="000000"/>
          <w:sz w:val="24"/>
          <w:szCs w:val="24"/>
          <w:highlight w:val="none"/>
        </w:rPr>
        <w:t xml:space="preserve">、</w:t>
      </w:r>
      <w:r>
        <w:rPr>
          <w:rFonts w:hint="eastAsia" w:ascii="宋体" w:hAnsi="宋体" w:cs="宋体"/>
          <w:b/>
          <w:bCs/>
          <w:color w:val="000000"/>
          <w:sz w:val="24"/>
          <w:szCs w:val="24"/>
          <w:highlight w:val="none"/>
        </w:rPr>
        <w:t xml:space="preserve">其他说明</w:t>
      </w:r>
      <w:r/>
    </w:p>
    <w:p>
      <w:pPr>
        <w:contextualSpacing/>
        <w:ind w:firstLine="482"/>
        <w:spacing w:line="360" w:lineRule="auto"/>
        <w:rPr>
          <w:rFonts w:ascii="宋体" w:hAnsi="宋体" w:eastAsia="宋体" w:cs="Times New Roman"/>
          <w:b/>
          <w:bCs/>
          <w:sz w:val="24"/>
          <w:highlight w:val="none"/>
        </w:rPr>
      </w:pPr>
      <w:r>
        <w:rPr>
          <w:rFonts w:hint="eastAsia" w:ascii="宋体" w:hAnsi="宋体" w:eastAsia="宋体" w:cs="Times New Roman"/>
          <w:b/>
          <w:bCs/>
          <w:sz w:val="24"/>
          <w:highlight w:val="none"/>
        </w:rPr>
        <w:t xml:space="preserve">1.供应商应为本项目</w:t>
      </w:r>
      <w:r>
        <w:rPr>
          <w:rFonts w:hint="eastAsia" w:ascii="宋体" w:hAnsi="宋体" w:eastAsia="宋体" w:cs="Times New Roman"/>
          <w:b/>
          <w:bCs/>
          <w:sz w:val="24"/>
          <w:highlight w:val="none"/>
          <w:lang w:val="en-US" w:eastAsia="zh-CN"/>
        </w:rPr>
        <w:t xml:space="preserve">各采购包</w:t>
      </w:r>
      <w:r>
        <w:rPr>
          <w:rFonts w:hint="eastAsia" w:ascii="宋体" w:hAnsi="宋体" w:eastAsia="宋体" w:cs="Times New Roman"/>
          <w:b/>
          <w:bCs/>
          <w:sz w:val="24"/>
          <w:highlight w:val="none"/>
        </w:rPr>
        <w:t xml:space="preserve">提供详细的实施方案，后期实施过程严格按照方案内容执行，实际过程中若有相应调整，及时同采购人协商修订相关方案。</w:t>
      </w:r>
      <w:r/>
    </w:p>
    <w:p>
      <w:pPr>
        <w:contextualSpacing/>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2.供应商</w:t>
      </w:r>
      <w:r>
        <w:rPr>
          <w:rFonts w:hint="eastAsia" w:ascii="宋体" w:hAnsi="宋体" w:cs="Times New Roman"/>
          <w:b/>
          <w:bCs/>
          <w:sz w:val="24"/>
          <w:highlight w:val="none"/>
          <w:lang w:val="en-US" w:eastAsia="zh-CN"/>
        </w:rPr>
        <w:t xml:space="preserve">应</w:t>
      </w:r>
      <w:r>
        <w:rPr>
          <w:rFonts w:hint="eastAsia" w:ascii="宋体" w:hAnsi="宋体" w:eastAsia="宋体" w:cs="Times New Roman"/>
          <w:b/>
          <w:bCs/>
          <w:sz w:val="24"/>
          <w:highlight w:val="none"/>
        </w:rPr>
        <w:t xml:space="preserve">提供样品。</w:t>
      </w:r>
      <w:r/>
    </w:p>
    <w:p>
      <w:pPr>
        <w:contextualSpacing/>
        <w:ind w:firstLine="482"/>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3.供应商应提供以往</w:t>
      </w:r>
      <w:r>
        <w:rPr>
          <w:rFonts w:hint="eastAsia" w:ascii="宋体" w:hAnsi="宋体" w:eastAsia="宋体" w:cs="Times New Roman"/>
          <w:b/>
          <w:bCs/>
          <w:sz w:val="24"/>
          <w:highlight w:val="none"/>
          <w:lang w:val="en-US" w:eastAsia="zh-CN"/>
        </w:rPr>
        <w:t xml:space="preserve">类似</w:t>
      </w:r>
      <w:r>
        <w:rPr>
          <w:rFonts w:hint="eastAsia" w:ascii="宋体" w:hAnsi="宋体" w:eastAsia="宋体" w:cs="Times New Roman"/>
          <w:b/>
          <w:bCs/>
          <w:sz w:val="24"/>
          <w:highlight w:val="none"/>
        </w:rPr>
        <w:t xml:space="preserve">业绩。</w:t>
      </w:r>
      <w:r/>
    </w:p>
    <w:p>
      <w:pPr>
        <w:contextualSpacing/>
        <w:ind w:firstLine="482"/>
        <w:spacing w:line="360" w:lineRule="auto"/>
        <w:rPr>
          <w:rFonts w:hint="eastAsia" w:ascii="Times New Roman" w:hAnsi="Times New Roman" w:eastAsia="宋体" w:cs="Times New Roman"/>
          <w:sz w:val="24"/>
          <w:highlight w:val="none"/>
          <w:lang w:val="en-US" w:eastAsia="zh-CN"/>
        </w:rPr>
      </w:pPr>
      <w:r>
        <w:rPr>
          <w:rFonts w:hint="eastAsia" w:ascii="宋体" w:hAnsi="宋体" w:eastAsia="宋体" w:cs="Times New Roman"/>
          <w:b/>
          <w:bCs/>
          <w:sz w:val="24"/>
          <w:highlight w:val="none"/>
          <w:lang w:val="en-US" w:eastAsia="zh-CN"/>
        </w:rPr>
        <w:t xml:space="preserve">4.</w:t>
      </w:r>
      <w:r>
        <w:rPr>
          <w:rFonts w:hint="eastAsia" w:ascii="宋体" w:hAnsi="宋体" w:eastAsia="宋体" w:cs="Times New Roman"/>
          <w:b/>
          <w:bCs/>
          <w:sz w:val="24"/>
          <w:highlight w:val="none"/>
        </w:rPr>
        <w:t xml:space="preserve">所投标产品生产厂家</w:t>
      </w:r>
      <w:r>
        <w:rPr>
          <w:rFonts w:hint="eastAsia" w:ascii="宋体" w:hAnsi="宋体" w:eastAsia="宋体" w:cs="Times New Roman"/>
          <w:b/>
          <w:bCs/>
          <w:sz w:val="24"/>
          <w:highlight w:val="none"/>
          <w:lang w:val="en-US" w:eastAsia="zh-CN"/>
        </w:rPr>
        <w:t xml:space="preserve">履约实力</w:t>
      </w:r>
      <w:r>
        <w:rPr>
          <w:rFonts w:hint="eastAsia" w:ascii="Times New Roman" w:hAnsi="Times New Roman" w:eastAsia="宋体" w:cs="Times New Roman"/>
          <w:sz w:val="24"/>
          <w:highlight w:val="none"/>
          <w:lang w:val="en-US" w:eastAsia="zh-CN"/>
        </w:rPr>
        <w:t xml:space="preserve">。</w:t>
      </w:r>
      <w:r/>
    </w:p>
    <w:p>
      <w:pPr>
        <w:contextualSpacing/>
        <w:ind w:firstLine="482"/>
        <w:spacing w:line="360" w:lineRule="auto"/>
        <w:rPr>
          <w:rFonts w:hint="default" w:ascii="Times New Roman" w:hAnsi="Times New Roman" w:eastAsia="宋体" w:cs="Times New Roman"/>
          <w:sz w:val="24"/>
          <w:highlight w:val="none"/>
          <w:lang w:val="en-US" w:eastAsia="zh-CN"/>
        </w:rPr>
      </w:pPr>
      <w:r>
        <w:rPr>
          <w:rFonts w:hint="eastAsia" w:ascii="宋体" w:hAnsi="宋体" w:eastAsia="宋体" w:cs="Times New Roman"/>
          <w:b/>
          <w:bCs/>
          <w:sz w:val="24"/>
          <w:szCs w:val="24"/>
          <w:highlight w:val="none"/>
          <w:lang w:val="en-US" w:eastAsia="zh-CN" w:bidi="ar-SA"/>
        </w:rPr>
        <w:t xml:space="preserve">5.售后服务能力。</w:t>
      </w:r>
      <w:r/>
    </w:p>
    <w:p>
      <w:pPr>
        <w:contextualSpacing/>
        <w:ind w:firstLine="48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注：上述内容无需在偏离表中注明是否偏离。</w:t>
      </w:r>
      <w:r/>
    </w:p>
    <w:p>
      <w:pPr>
        <w:contextualSpacing/>
        <w:ind w:firstLine="480"/>
        <w:jc w:val="left"/>
        <w:spacing w:line="360" w:lineRule="auto"/>
        <w:widowControl w:val="off"/>
        <w:rPr>
          <w:rFonts w:ascii="宋体" w:hAnsi="宋体" w:eastAsia="宋体" w:cs="宋体"/>
          <w:b/>
          <w:color w:val="000000"/>
          <w:sz w:val="36"/>
          <w:szCs w:val="36"/>
          <w:highlight w:val="none"/>
        </w:rPr>
      </w:pPr>
      <w:r>
        <w:rPr>
          <w:rFonts w:hint="eastAsia" w:ascii="Times New Roman" w:hAnsi="Times New Roman" w:eastAsia="宋体" w:cs="Times New Roman"/>
          <w:color w:val="000000"/>
          <w:sz w:val="24"/>
          <w:szCs w:val="24"/>
          <w:highlight w:val="none"/>
          <w:lang w:val="en-US" w:eastAsia="zh-CN" w:bidi="ar-SA"/>
        </w:rPr>
        <w:t xml:space="preserve">按照《政府采购促进中小企业发展管理办法》（财库</w:t>
      </w:r>
      <w:r>
        <w:rPr>
          <w:rFonts w:hint="default" w:ascii="Times New Roman" w:hAnsi="Times New Roman" w:eastAsia="宋体" w:cs="Times New Roman"/>
          <w:color w:val="000000"/>
          <w:sz w:val="24"/>
          <w:szCs w:val="24"/>
          <w:highlight w:val="none"/>
          <w:lang w:val="en-US" w:eastAsia="zh-CN" w:bidi="ar-SA"/>
        </w:rPr>
        <w:t xml:space="preserve">〔20</w:t>
      </w:r>
      <w:r>
        <w:rPr>
          <w:rFonts w:hint="eastAsia" w:ascii="Times New Roman" w:hAnsi="Times New Roman" w:eastAsia="宋体" w:cs="Times New Roman"/>
          <w:color w:val="000000"/>
          <w:sz w:val="24"/>
          <w:szCs w:val="24"/>
          <w:highlight w:val="none"/>
          <w:lang w:val="en-US" w:eastAsia="zh-CN" w:bidi="ar-SA"/>
        </w:rPr>
        <w:t xml:space="preserve">20</w:t>
      </w:r>
      <w:r>
        <w:rPr>
          <w:rFonts w:hint="default"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46</w:t>
      </w:r>
      <w:r>
        <w:rPr>
          <w:rFonts w:hint="default" w:ascii="Times New Roman" w:hAnsi="Times New Roman" w:eastAsia="宋体" w:cs="Times New Roman"/>
          <w:color w:val="000000"/>
          <w:sz w:val="24"/>
          <w:szCs w:val="24"/>
          <w:highlight w:val="none"/>
          <w:lang w:val="en-US" w:eastAsia="zh-CN" w:bidi="ar-SA"/>
        </w:rPr>
        <w:t xml:space="preserve">号</w:t>
      </w:r>
      <w:r>
        <w:rPr>
          <w:rFonts w:hint="eastAsia" w:ascii="Times New Roman" w:hAnsi="Times New Roman" w:eastAsia="宋体" w:cs="Times New Roman"/>
          <w:color w:val="000000"/>
          <w:sz w:val="24"/>
          <w:szCs w:val="24"/>
          <w:highlight w:val="none"/>
          <w:lang w:val="en-US" w:eastAsia="zh-CN" w:bidi="ar-SA"/>
        </w:rPr>
        <w:t xml:space="preserve">）的相关要求，采购人应当面向中小企业预留采购份额，本项目面向中小企业预留份额</w:t>
      </w:r>
      <w:r>
        <w:rPr>
          <w:rFonts w:hint="eastAsia" w:ascii="宋体" w:hAnsi="宋体" w:eastAsia="宋体" w:cs="Times New Roman"/>
          <w:color w:val="000000"/>
          <w:sz w:val="24"/>
          <w:szCs w:val="24"/>
          <w:highlight w:val="none"/>
          <w:u w:val="single"/>
          <w:lang w:val="en-US" w:eastAsia="zh-CN" w:bidi="ar-SA"/>
        </w:rPr>
        <w:t xml:space="preserve">100</w:t>
      </w:r>
      <w:r>
        <w:rPr>
          <w:rFonts w:hint="eastAsia" w:ascii="Times New Roman" w:hAnsi="Times New Roman" w:eastAsia="宋体" w:cs="Times New Roman"/>
          <w:color w:val="000000"/>
          <w:sz w:val="24"/>
          <w:szCs w:val="24"/>
          <w:highlight w:val="none"/>
          <w:lang w:val="en-US" w:eastAsia="zh-CN" w:bidi="ar-SA"/>
        </w:rPr>
        <w:t xml:space="preserve"> %。</w:t>
      </w:r>
      <w:r/>
    </w:p>
    <w:p>
      <w:pPr>
        <w:pStyle w:val="930"/>
        <w:rPr>
          <w:rFonts w:hint="default"/>
          <w:sz w:val="24"/>
          <w:highlight w:val="none"/>
          <w:lang w:val="en-US" w:eastAsia="zh-CN"/>
        </w:rPr>
      </w:pPr>
      <w:r>
        <w:rPr>
          <w:rFonts w:hint="default"/>
          <w:sz w:val="24"/>
          <w:highlight w:val="none"/>
          <w:lang w:val="en-US" w:eastAsia="zh-CN"/>
        </w:rPr>
      </w:r>
      <w:r/>
    </w:p>
    <w:p>
      <w:pPr>
        <w:rPr>
          <w:rFonts w:ascii="宋体" w:hAnsi="宋体" w:cs="宋体"/>
          <w:b/>
          <w:color w:val="000000"/>
          <w:sz w:val="36"/>
          <w:szCs w:val="36"/>
          <w:highlight w:val="none"/>
        </w:rPr>
      </w:pPr>
      <w:r>
        <w:rPr>
          <w:rFonts w:ascii="宋体" w:hAnsi="宋体" w:cs="宋体"/>
          <w:b/>
          <w:color w:val="000000"/>
          <w:sz w:val="36"/>
          <w:szCs w:val="36"/>
          <w:highlight w:val="none"/>
        </w:rPr>
        <w:br w:type="page" w:clear="all"/>
      </w:r>
      <w:r/>
    </w:p>
    <w:p>
      <w:pPr>
        <w:jc w:val="left"/>
        <w:widowControl/>
        <w:rPr>
          <w:rFonts w:ascii="宋体" w:hAnsi="宋体" w:cs="宋体"/>
          <w:b/>
          <w:color w:val="000000"/>
          <w:sz w:val="36"/>
          <w:szCs w:val="36"/>
          <w:highlight w:val="none"/>
        </w:rPr>
      </w:pPr>
      <w:r>
        <w:rPr>
          <w:rFonts w:ascii="宋体" w:hAnsi="宋体" w:cs="宋体"/>
          <w:b/>
          <w:color w:val="000000"/>
          <w:sz w:val="36"/>
          <w:szCs w:val="36"/>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 </w:t>
      </w:r>
      <w:bookmarkStart w:id="822" w:name="_Toc99301425"/>
      <w:r>
        <w:rPr>
          <w:rFonts w:hint="eastAsia" w:ascii="宋体" w:hAnsi="宋体" w:cs="宋体"/>
          <w:b/>
          <w:color w:val="000000"/>
          <w:sz w:val="36"/>
          <w:szCs w:val="36"/>
          <w:highlight w:val="none"/>
        </w:rPr>
        <w:t xml:space="preserve">第六章   拟签订的合同文本</w:t>
      </w:r>
      <w:bookmarkEnd w:id="822"/>
      <w:r/>
      <w:r/>
    </w:p>
    <w:p>
      <w:pPr>
        <w:pStyle w:val="1080"/>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91"/>
        <w:jc w:val="center"/>
        <w:rPr>
          <w:rFonts w:cs="宋体"/>
          <w:b/>
          <w:bCs/>
          <w:color w:val="000000"/>
          <w:spacing w:val="-20"/>
          <w:sz w:val="48"/>
          <w:szCs w:val="48"/>
          <w:highlight w:val="none"/>
        </w:rPr>
      </w:pPr>
      <w:r>
        <w:rPr>
          <w:rFonts w:cs="宋体"/>
          <w:b/>
          <w:bCs/>
          <w:color w:val="000000"/>
          <w:spacing w:val="-20"/>
          <w:sz w:val="48"/>
          <w:szCs w:val="48"/>
          <w:highlight w:val="none"/>
        </w:rPr>
      </w:r>
      <w:r/>
    </w:p>
    <w:p>
      <w:pPr>
        <w:pStyle w:val="1091"/>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政府采购货物买卖合同</w:t>
      </w:r>
      <w:r/>
    </w:p>
    <w:p>
      <w:pPr>
        <w:pStyle w:val="1091"/>
        <w:jc w:val="center"/>
        <w:rPr>
          <w:rFonts w:cs="宋体"/>
          <w:b/>
          <w:bCs/>
          <w:color w:val="000000"/>
          <w:spacing w:val="-20"/>
          <w:sz w:val="48"/>
          <w:szCs w:val="48"/>
          <w:highlight w:val="none"/>
        </w:rPr>
      </w:pPr>
      <w:r>
        <w:rPr>
          <w:rFonts w:hint="eastAsia" w:cs="宋体"/>
          <w:b/>
          <w:bCs/>
          <w:color w:val="000000"/>
          <w:spacing w:val="-20"/>
          <w:sz w:val="48"/>
          <w:szCs w:val="48"/>
          <w:highlight w:val="none"/>
        </w:rPr>
        <w:t xml:space="preserve">（试行）</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合同编号：</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甲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u w:val="single"/>
        </w:rPr>
      </w:pPr>
      <w:r>
        <w:rPr>
          <w:rFonts w:hint="eastAsia" w:ascii="宋体" w:hAnsi="宋体" w:cs="宋体"/>
          <w:color w:val="000000"/>
          <w:sz w:val="32"/>
          <w:szCs w:val="32"/>
          <w:highlight w:val="none"/>
        </w:rPr>
        <w:t xml:space="preserve">乙    方：</w:t>
      </w:r>
      <w:r>
        <w:rPr>
          <w:rFonts w:hint="eastAsia" w:ascii="宋体" w:hAnsi="宋体" w:cs="宋体"/>
          <w:color w:val="000000"/>
          <w:sz w:val="32"/>
          <w:szCs w:val="32"/>
          <w:highlight w:val="none"/>
          <w:u w:val="single"/>
        </w:rPr>
        <w:t xml:space="preserve">                             </w:t>
      </w:r>
      <w:r/>
    </w:p>
    <w:p>
      <w:pPr>
        <w:ind w:left="420"/>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签订时间：</w:t>
      </w:r>
      <w:r>
        <w:rPr>
          <w:rFonts w:hint="eastAsia" w:ascii="宋体" w:hAnsi="宋体" w:cs="宋体"/>
          <w:color w:val="000000"/>
          <w:sz w:val="32"/>
          <w:szCs w:val="32"/>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pStyle w:val="1080"/>
        <w:jc w:val="both"/>
        <w:spacing w:line="400" w:lineRule="exact"/>
        <w:rPr>
          <w:rFonts w:ascii="宋体" w:hAnsi="宋体" w:eastAsia="宋体" w:cs="宋体"/>
          <w:color w:val="000000"/>
          <w:sz w:val="28"/>
          <w:szCs w:val="28"/>
          <w:highlight w:val="none"/>
        </w:rPr>
      </w:pPr>
      <w:r/>
      <w:bookmarkStart w:id="823" w:name="_Toc22209"/>
      <w:r/>
      <w:r/>
    </w:p>
    <w:p>
      <w:pPr>
        <w:rPr>
          <w:rFonts w:ascii="宋体" w:hAnsi="宋体" w:cs="宋体"/>
          <w:color w:val="000000"/>
          <w:sz w:val="28"/>
          <w:szCs w:val="28"/>
          <w:highlight w:val="none"/>
        </w:rPr>
      </w:pPr>
      <w:r>
        <w:rPr>
          <w:rFonts w:ascii="宋体" w:hAnsi="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56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335"/>
        <w:ind w:firstLine="0"/>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1080"/>
        <w:spacing w:line="400" w:lineRule="exact"/>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第一节 政府采购合同协议书</w:t>
      </w:r>
      <w:bookmarkEnd w:id="823"/>
      <w:r/>
      <w:r/>
    </w:p>
    <w:p>
      <w:pPr>
        <w:pStyle w:val="1080"/>
        <w:spacing w:line="400" w:lineRule="exact"/>
        <w:rPr>
          <w:rFonts w:ascii="宋体" w:hAnsi="宋体" w:eastAsia="宋体" w:cs="宋体"/>
          <w:b w:val="0"/>
          <w:color w:val="000000"/>
          <w:sz w:val="28"/>
          <w:szCs w:val="28"/>
          <w:highlight w:val="none"/>
        </w:rPr>
      </w:pPr>
      <w:r>
        <w:rPr>
          <w:rFonts w:ascii="宋体" w:hAnsi="宋体" w:eastAsia="宋体" w:cs="宋体"/>
          <w:b w:val="0"/>
          <w:color w:val="000000"/>
          <w:sz w:val="28"/>
          <w:szCs w:val="28"/>
          <w:highlight w:val="none"/>
        </w:rPr>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（采购人、受采购人委托签订合同的单位或采购</w:t>
      </w:r>
      <w:r>
        <w:rPr>
          <w:rFonts w:hint="eastAsia" w:ascii="宋体" w:hAnsi="宋体" w:cs="宋体"/>
          <w:color w:val="000000"/>
          <w:szCs w:val="21"/>
          <w:highlight w:val="none"/>
        </w:rPr>
        <w:tab/>
      </w:r>
      <w:r>
        <w:rPr>
          <w:rFonts w:hint="eastAsia" w:ascii="宋体" w:hAnsi="宋体" w:cs="宋体"/>
          <w:color w:val="000000"/>
          <w:szCs w:val="21"/>
          <w:highlight w:val="none"/>
        </w:rPr>
        <w:t xml:space="preserve">                                   文件约定的合同甲方）</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（供应商）</w:t>
      </w:r>
      <w:r/>
    </w:p>
    <w:p>
      <w:pPr>
        <w:spacing w:line="400" w:lineRule="exact"/>
        <w:rPr>
          <w:rFonts w:ascii="宋体" w:hAnsi="宋体" w:cs="宋体"/>
          <w:color w:val="000000"/>
          <w:highlight w:val="none"/>
        </w:rPr>
      </w:pPr>
      <w:r>
        <w:rPr>
          <w:rFonts w:ascii="宋体" w:hAnsi="宋体" w:cs="宋体"/>
          <w:color w:val="000000"/>
          <w:highlight w:val="none"/>
        </w:rPr>
      </w:r>
      <w:r/>
    </w:p>
    <w:p>
      <w:pPr>
        <w:pStyle w:val="1111"/>
        <w:ind w:firstLine="480"/>
        <w:spacing w:line="400" w:lineRule="exact"/>
        <w:rPr>
          <w:rFonts w:ascii="宋体" w:hAnsi="宋体" w:cs="宋体"/>
          <w:color w:val="000000"/>
          <w:szCs w:val="21"/>
          <w:highlight w:val="none"/>
        </w:rPr>
      </w:pPr>
      <w:r>
        <w:rPr>
          <w:rFonts w:hint="eastAsia" w:ascii="宋体" w:hAnsi="宋体" w:cs="宋体"/>
          <w:color w:val="000000"/>
          <w:sz w:val="21"/>
          <w:szCs w:val="21"/>
          <w:highlight w:val="none"/>
        </w:rPr>
        <w:t xml:space="preserve">依据《中华人民共和国民法典》、《中华人民共和国政府采购法》等有关的法律法规，以及本采购项目的采购文件、乙方的《投标文件》及《中标通知书》，甲乙双方同意签订本合同。具体情况及要求如下：    </w:t>
      </w:r>
      <w:r>
        <w:rPr>
          <w:rFonts w:hint="eastAsia" w:ascii="宋体" w:hAnsi="宋体" w:cs="宋体"/>
          <w:color w:val="000000"/>
          <w:szCs w:val="21"/>
          <w:highlight w:val="none"/>
        </w:rPr>
        <w:t xml:space="preserve"> </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项目信息</w:t>
      </w:r>
      <w:r/>
    </w:p>
    <w:p>
      <w:pPr>
        <w:pStyle w:val="1111"/>
        <w:numPr>
          <w:ilvl w:val="0"/>
          <w:numId w:val="23"/>
        </w:numPr>
        <w:ind w:firstLine="480"/>
        <w:spacing w:line="40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rPr>
        <w:t xml:space="preserve">采购项目名称：</w:t>
      </w:r>
      <w:r>
        <w:rPr>
          <w:rFonts w:hint="eastAsia" w:ascii="宋体" w:hAnsi="宋体" w:cs="宋体"/>
          <w:color w:val="000000"/>
          <w:sz w:val="21"/>
          <w:szCs w:val="21"/>
          <w:highlight w:val="none"/>
          <w:u w:val="single"/>
        </w:rPr>
        <w:t xml:space="preserve">                                          </w:t>
      </w:r>
      <w:r/>
    </w:p>
    <w:p>
      <w:pPr>
        <w:pStyle w:val="1111"/>
        <w:ind w:firstLine="0"/>
        <w:spacing w:line="400" w:lineRule="exact"/>
        <w:tabs>
          <w:tab w:val="left" w:pos="999" w:leader="none"/>
        </w:tabs>
        <w:rPr>
          <w:rFonts w:ascii="宋体" w:hAnsi="宋体" w:cs="宋体"/>
          <w:color w:val="000000"/>
          <w:sz w:val="21"/>
          <w:szCs w:val="21"/>
          <w:highlight w:val="none"/>
        </w:rPr>
      </w:pPr>
      <w:r>
        <w:rPr>
          <w:rFonts w:hint="eastAsia" w:ascii="宋体" w:hAnsi="宋体" w:cs="宋体"/>
          <w:color w:val="000000"/>
          <w:sz w:val="21"/>
          <w:szCs w:val="21"/>
          <w:highlight w:val="none"/>
        </w:rPr>
        <w:t xml:space="preserve">         采购项目编号：</w:t>
      </w:r>
      <w:r>
        <w:rPr>
          <w:rFonts w:hint="eastAsia" w:ascii="宋体" w:hAnsi="宋体" w:cs="宋体"/>
          <w:color w:val="000000"/>
          <w:sz w:val="21"/>
          <w:szCs w:val="21"/>
          <w:highlight w:val="none"/>
          <w:u w:val="single"/>
        </w:rPr>
        <w:t xml:space="preserve">                                          </w:t>
      </w:r>
      <w:r/>
    </w:p>
    <w:p>
      <w:pPr>
        <w:pStyle w:val="1111"/>
        <w:numPr>
          <w:ilvl w:val="0"/>
          <w:numId w:val="23"/>
        </w:numPr>
        <w:ind w:firstLine="48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采购计划编号：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pStyle w:val="1111"/>
        <w:numPr>
          <w:ilvl w:val="0"/>
          <w:numId w:val="23"/>
        </w:numPr>
        <w:ind w:firstLine="48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项目内容：</w:t>
      </w:r>
      <w:r/>
    </w:p>
    <w:p>
      <w:pPr>
        <w:ind w:firstLine="420"/>
        <w:spacing w:line="40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     采购标的及数量：</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
        </w:rPr>
        <w:t xml:space="preserve">   </w:t>
      </w:r>
      <w:r/>
    </w:p>
    <w:p>
      <w:pPr>
        <w:ind w:firstLine="945"/>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采购标的的技术要求、商务要求具体见附件。</w:t>
      </w:r>
      <w:r/>
    </w:p>
    <w:p>
      <w:pPr>
        <w:pStyle w:val="1335"/>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）政府采购组织形式：分散采购</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w:t>
      </w:r>
      <w:r>
        <w:rPr>
          <w:rFonts w:hint="eastAsia" w:ascii="宋体" w:hAnsi="宋体" w:eastAsia="宋体" w:cs="宋体"/>
          <w:color w:val="000000"/>
          <w:sz w:val="21"/>
          <w:highlight w:val="none"/>
          <w:lang w:eastAsia="zh-CN"/>
        </w:rPr>
        <w:t xml:space="preserve">采购人</w:t>
      </w:r>
      <w:r>
        <w:rPr>
          <w:rFonts w:hint="eastAsia" w:ascii="宋体" w:hAnsi="宋体" w:eastAsia="宋体" w:cs="宋体"/>
          <w:color w:val="000000"/>
          <w:sz w:val="21"/>
          <w:highlight w:val="none"/>
        </w:rPr>
        <w:t xml:space="preserve">式：公开招标 </w:t>
      </w:r>
      <w:r/>
    </w:p>
    <w:p>
      <w:pPr>
        <w:pStyle w:val="1335"/>
        <w:ind w:firstLine="220"/>
        <w:rPr>
          <w:rFonts w:ascii="宋体" w:hAnsi="宋体" w:eastAsia="宋体" w:cs="宋体"/>
          <w:color w:val="000000"/>
          <w:sz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sz w:val="21"/>
          <w:highlight w:val="none"/>
        </w:rPr>
        <w:t xml:space="preserve">中标采购标的制造商是否为中小企业：是</w:t>
      </w:r>
      <w:r/>
    </w:p>
    <w:p>
      <w:pPr>
        <w:spacing w:line="400" w:lineRule="exact"/>
        <w:rPr>
          <w:rFonts w:ascii="宋体" w:hAnsi="宋体" w:cs="宋体"/>
          <w:iCs/>
          <w:color w:val="000000"/>
          <w:szCs w:val="21"/>
          <w:highlight w:val="none"/>
        </w:rPr>
      </w:pPr>
      <w:r>
        <w:rPr>
          <w:rFonts w:hint="eastAsia" w:ascii="宋体" w:hAnsi="宋体" w:cs="宋体"/>
          <w:color w:val="000000"/>
          <w:szCs w:val="21"/>
          <w:highlight w:val="none"/>
        </w:rPr>
        <w:t xml:space="preserve">         本合同是否为专门面向中小企业的采购合同（中小企业预留合同）：</w:t>
      </w:r>
      <w:r>
        <w:rPr>
          <w:rFonts w:hint="eastAsia" w:ascii="宋体" w:hAnsi="宋体" w:cs="宋体"/>
          <w:iCs/>
          <w:color w:val="000000"/>
          <w:szCs w:val="21"/>
          <w:highlight w:val="none"/>
        </w:rPr>
        <w:t xml:space="preserve">是</w:t>
      </w:r>
      <w:r/>
    </w:p>
    <w:p>
      <w:pPr>
        <w:spacing w:line="400" w:lineRule="exact"/>
        <w:rPr>
          <w:rFonts w:ascii="宋体" w:hAnsi="宋体" w:cs="宋体"/>
          <w:iCs/>
          <w:color w:val="000000"/>
          <w:szCs w:val="21"/>
          <w:highlight w:val="none"/>
        </w:rPr>
      </w:pPr>
      <w:r>
        <w:rPr>
          <w:rFonts w:hint="eastAsia" w:ascii="宋体" w:hAnsi="宋体" w:cs="宋体"/>
          <w:color w:val="000000"/>
          <w:highlight w:val="none"/>
        </w:rPr>
        <w:t xml:space="preserve">         中标采购标的制造商是否为残疾人福利性单位：</w:t>
      </w:r>
      <w:r/>
    </w:p>
    <w:p>
      <w:pPr>
        <w:spacing w:line="400" w:lineRule="exact"/>
        <w:rPr>
          <w:rFonts w:ascii="宋体" w:hAnsi="宋体" w:cs="宋体"/>
          <w:color w:val="000000"/>
          <w:highlight w:val="none"/>
        </w:rPr>
      </w:pPr>
      <w:r>
        <w:rPr>
          <w:rFonts w:hint="eastAsia" w:ascii="宋体" w:hAnsi="宋体" w:cs="宋体"/>
          <w:color w:val="000000"/>
          <w:highlight w:val="none"/>
        </w:rPr>
        <w:t xml:space="preserve">         中标采购标的制造商是否为监狱企业：</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7</w:t>
      </w:r>
      <w:r>
        <w:rPr>
          <w:rFonts w:hint="eastAsia" w:ascii="宋体" w:hAnsi="宋体" w:cs="宋体"/>
          <w:color w:val="000000"/>
          <w:szCs w:val="21"/>
          <w:highlight w:val="none"/>
        </w:rPr>
        <w:t xml:space="preserve">）合同是否分包：</w:t>
      </w:r>
      <w:r>
        <w:rPr>
          <w:rFonts w:hint="eastAsia" w:ascii="宋体" w:hAnsi="宋体" w:cs="宋体"/>
          <w:iCs/>
          <w:color w:val="000000"/>
          <w:szCs w:val="21"/>
          <w:highlight w:val="none"/>
        </w:rPr>
        <w:t xml:space="preserve">否</w:t>
      </w:r>
      <w:r/>
    </w:p>
    <w:p>
      <w:pPr>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hint="eastAsia" w:ascii="宋体" w:hAnsi="宋体" w:cs="宋体"/>
          <w:color w:val="000000"/>
          <w:szCs w:val="21"/>
          <w:highlight w:val="none"/>
          <w:lang w:val="en"/>
        </w:rPr>
        <w:t xml:space="preserve">8</w:t>
      </w:r>
      <w:r>
        <w:rPr>
          <w:rFonts w:hint="eastAsia" w:ascii="宋体" w:hAnsi="宋体" w:cs="宋体"/>
          <w:color w:val="000000"/>
          <w:szCs w:val="21"/>
          <w:highlight w:val="none"/>
        </w:rPr>
        <w:t xml:space="preserve">）中标供应商是否为外商投资企业：</w:t>
      </w:r>
      <w:r>
        <w:rPr>
          <w:rFonts w:hint="eastAsia" w:ascii="宋体" w:hAnsi="宋体" w:cs="宋体"/>
          <w:iCs/>
          <w:color w:val="000000"/>
          <w:szCs w:val="21"/>
          <w:highlight w:val="none"/>
        </w:rPr>
        <w:t xml:space="preserve">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）是否涉及进口产品：否</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0</w:t>
      </w:r>
      <w:r>
        <w:rPr>
          <w:rFonts w:hint="eastAsia" w:ascii="宋体" w:hAnsi="宋体" w:cs="宋体"/>
          <w:color w:val="000000"/>
          <w:szCs w:val="21"/>
          <w:highlight w:val="none"/>
        </w:rPr>
        <w:t xml:space="preserve">）是否涉及节能产品：</w:t>
      </w:r>
      <w:r/>
    </w:p>
    <w:p>
      <w:pPr>
        <w:spacing w:line="400" w:lineRule="exact"/>
        <w:tabs>
          <w:tab w:val="left" w:pos="740" w:leader="none"/>
        </w:tabs>
        <w:rPr>
          <w:rFonts w:ascii="宋体" w:hAnsi="宋体" w:cs="宋体"/>
          <w:color w:val="000000"/>
          <w:szCs w:val="21"/>
          <w:highlight w:val="none"/>
        </w:rPr>
      </w:pPr>
      <w:r>
        <w:rPr>
          <w:rFonts w:hint="eastAsia" w:ascii="宋体" w:hAnsi="宋体" w:cs="宋体"/>
          <w:color w:val="000000"/>
          <w:szCs w:val="21"/>
          <w:highlight w:val="none"/>
        </w:rPr>
        <w:t xml:space="preserve">          是否涉及环境标志产品：</w:t>
      </w:r>
      <w:r/>
    </w:p>
    <w:p>
      <w:pPr>
        <w:pStyle w:val="1335"/>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是否涉及绿色产品：</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w:t>
      </w:r>
      <w:r>
        <w:rPr>
          <w:rFonts w:hint="eastAsia" w:ascii="宋体" w:hAnsi="宋体" w:cs="宋体"/>
          <w:color w:val="000000"/>
          <w:szCs w:val="21"/>
          <w:highlight w:val="none"/>
          <w:lang w:val="en"/>
        </w:rPr>
        <w:t xml:space="preserve">1</w:t>
      </w:r>
      <w:r>
        <w:rPr>
          <w:rFonts w:hint="eastAsia" w:ascii="宋体" w:hAnsi="宋体" w:cs="宋体"/>
          <w:color w:val="000000"/>
          <w:szCs w:val="21"/>
          <w:highlight w:val="none"/>
        </w:rPr>
        <w:t xml:space="preserve">）涉及商品包装和快递包装的，是否参考《商品包装政府采购需求标准（试行）》、《快递包装政府采购需求标准（试行）》明确产品及相关快递服务的具体包装要求：是</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合同金额</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（1）合同金额小写：</w:t>
      </w:r>
      <w:r>
        <w:rPr>
          <w:rFonts w:hint="eastAsia" w:ascii="宋体" w:hAnsi="宋体" w:cs="宋体"/>
          <w:color w:val="000000"/>
          <w:szCs w:val="21"/>
          <w:highlight w:val="none"/>
          <w:u w:val="single"/>
        </w:rPr>
        <w:t xml:space="preserve">                           </w:t>
      </w:r>
      <w:r/>
    </w:p>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大写：</w:t>
      </w:r>
      <w:r>
        <w:rPr>
          <w:rFonts w:hint="eastAsia" w:ascii="宋体" w:hAnsi="宋体" w:cs="宋体"/>
          <w:color w:val="000000"/>
          <w:szCs w:val="21"/>
          <w:highlight w:val="none"/>
          <w:u w:val="single"/>
        </w:rPr>
        <w:t xml:space="preserve">                           </w:t>
      </w:r>
      <w:r/>
    </w:p>
    <w:p>
      <w:pPr>
        <w:numPr>
          <w:ilvl w:val="0"/>
          <w:numId w:val="24"/>
        </w:numPr>
        <w:ind w:left="420" w:firstLine="0"/>
        <w:spacing w:line="400" w:lineRule="exact"/>
        <w:rPr>
          <w:rFonts w:hint="eastAsia" w:ascii="宋体" w:hAnsi="宋体" w:cs="宋体"/>
          <w:iCs/>
          <w:color w:val="000000"/>
          <w:szCs w:val="21"/>
          <w:highlight w:val="none"/>
        </w:rPr>
      </w:pPr>
      <w:r>
        <w:rPr>
          <w:rFonts w:hint="eastAsia" w:ascii="宋体" w:hAnsi="宋体" w:cs="宋体"/>
          <w:color w:val="000000"/>
          <w:szCs w:val="21"/>
          <w:highlight w:val="none"/>
        </w:rPr>
        <w:t xml:space="preserve">合同定价方式（采用组合定价方式的，可以勾选多项）：</w:t>
      </w:r>
      <w:r>
        <w:rPr>
          <w:rFonts w:hint="eastAsia" w:ascii="宋体" w:hAnsi="宋体" w:cs="宋体"/>
          <w:iCs/>
          <w:color w:val="000000"/>
          <w:szCs w:val="21"/>
          <w:highlight w:val="none"/>
        </w:rPr>
        <w:t xml:space="preserve">固定</w:t>
      </w:r>
      <w:r>
        <w:rPr>
          <w:rFonts w:hint="eastAsia" w:ascii="宋体" w:hAnsi="宋体" w:cs="宋体"/>
          <w:iCs/>
          <w:color w:val="000000"/>
          <w:szCs w:val="21"/>
          <w:highlight w:val="none"/>
          <w:lang w:val="en-US" w:eastAsia="zh-CN"/>
        </w:rPr>
        <w:t xml:space="preserve">总价，结算时不作调整。</w:t>
      </w:r>
      <w:r>
        <w:rPr>
          <w:rFonts w:hint="eastAsia" w:ascii="宋体" w:hAnsi="宋体" w:cs="宋体"/>
          <w:iCs/>
          <w:color w:val="000000"/>
          <w:szCs w:val="21"/>
          <w:highlight w:val="none"/>
        </w:rPr>
        <w:t xml:space="preserve"> </w:t>
      </w:r>
      <w:r/>
    </w:p>
    <w:p>
      <w:pPr>
        <w:numPr>
          <w:ilvl w:val="0"/>
          <w:numId w:val="0"/>
        </w:numPr>
        <w:ind w:firstLine="420"/>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lang w:val="en-US" w:eastAsia="zh-CN"/>
        </w:rPr>
        <w:t xml:space="preserve">合同金额包含：设备的价格、所有器材的保险费、公众责任险（第三者责任险）、包装费、运杂费、人工费、运输保险费、质保期内的备品备件费、上货费、卸货费、安装费、进退场费、旧器材的拆除费、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p>
      <w:pPr>
        <w:numPr>
          <w:ilvl w:val="0"/>
          <w:numId w:val="22"/>
        </w:numPr>
        <w:ind w:firstLine="420"/>
        <w:spacing w:line="400" w:lineRule="exact"/>
        <w:rPr>
          <w:rFonts w:ascii="宋体" w:hAnsi="宋体" w:cs="宋体"/>
          <w:b/>
          <w:bCs/>
          <w:color w:val="auto"/>
          <w:szCs w:val="21"/>
          <w:highlight w:val="none"/>
          <w:u w:val="single"/>
        </w:rPr>
      </w:pPr>
      <w:r>
        <w:rPr>
          <w:rFonts w:hint="eastAsia" w:ascii="宋体" w:hAnsi="宋体" w:cs="宋体"/>
          <w:color w:val="000000"/>
          <w:highlight w:val="none"/>
        </w:rPr>
        <w:t xml:space="preserve">付款方式（按项目实际勾选填写）：</w:t>
      </w:r>
      <w:r>
        <w:rPr>
          <w:rFonts w:hint="eastAsia" w:ascii="宋体" w:hAnsi="宋体" w:eastAsia="宋体" w:cs="宋体"/>
          <w:b/>
          <w:bCs/>
          <w:color w:val="auto"/>
          <w:szCs w:val="21"/>
          <w:highlight w:val="none"/>
        </w:rPr>
        <w:t xml:space="preserve">合同签订后15个工作日内预先支付合同价的30%，余款在</w:t>
      </w:r>
      <w:r>
        <w:rPr>
          <w:rFonts w:hint="eastAsia" w:ascii="宋体" w:hAnsi="宋体" w:eastAsia="宋体" w:cs="宋体"/>
          <w:b/>
          <w:bCs/>
          <w:color w:val="auto"/>
          <w:szCs w:val="21"/>
          <w:highlight w:val="none"/>
          <w:lang w:val="en-US" w:eastAsia="zh-CN"/>
        </w:rPr>
        <w:t xml:space="preserve">所有器材</w:t>
      </w:r>
      <w:r>
        <w:rPr>
          <w:rFonts w:hint="eastAsia" w:ascii="宋体" w:hAnsi="宋体" w:eastAsia="宋体" w:cs="宋体"/>
          <w:b/>
          <w:bCs/>
          <w:color w:val="auto"/>
          <w:szCs w:val="21"/>
          <w:highlight w:val="none"/>
        </w:rPr>
        <w:t xml:space="preserve">安装</w:t>
      </w:r>
      <w:r>
        <w:rPr>
          <w:rFonts w:hint="eastAsia" w:ascii="宋体" w:hAnsi="宋体" w:eastAsia="宋体" w:cs="宋体"/>
          <w:b/>
          <w:bCs/>
          <w:color w:val="auto"/>
          <w:szCs w:val="21"/>
          <w:highlight w:val="none"/>
          <w:lang w:val="en-US" w:eastAsia="zh-CN"/>
        </w:rPr>
        <w:t xml:space="preserve">调试</w:t>
      </w:r>
      <w:r>
        <w:rPr>
          <w:rFonts w:hint="eastAsia" w:ascii="宋体" w:hAnsi="宋体" w:eastAsia="宋体" w:cs="宋体"/>
          <w:b/>
          <w:bCs/>
          <w:color w:val="auto"/>
          <w:szCs w:val="21"/>
          <w:highlight w:val="none"/>
        </w:rPr>
        <w:t xml:space="preserve">验收合格</w:t>
      </w:r>
      <w:r>
        <w:rPr>
          <w:rFonts w:hint="eastAsia" w:ascii="宋体" w:hAnsi="宋体" w:eastAsia="宋体" w:cs="宋体"/>
          <w:b/>
          <w:bCs/>
          <w:color w:val="auto"/>
          <w:szCs w:val="21"/>
          <w:highlight w:val="none"/>
          <w:lang w:val="en-US" w:eastAsia="zh-CN"/>
        </w:rPr>
        <w:t xml:space="preserve">后</w:t>
      </w:r>
      <w:r>
        <w:rPr>
          <w:rFonts w:hint="eastAsia" w:ascii="宋体" w:hAnsi="宋体" w:eastAsia="宋体" w:cs="宋体"/>
          <w:b/>
          <w:bCs/>
          <w:color w:val="auto"/>
          <w:szCs w:val="21"/>
          <w:highlight w:val="none"/>
        </w:rPr>
        <w:t xml:space="preserve">一次性付清。上述甲方付款前，乙方必须先行开具有效税票给甲方，否则，甲方有权拒绝付款。</w:t>
      </w:r>
      <w:r/>
    </w:p>
    <w:p>
      <w:pPr>
        <w:numPr>
          <w:ilvl w:val="0"/>
          <w:numId w:val="22"/>
        </w:numPr>
        <w:ind w:firstLine="422"/>
        <w:spacing w:line="400" w:lineRule="exact"/>
        <w:rPr>
          <w:rFonts w:ascii="宋体" w:hAnsi="宋体" w:cs="宋体"/>
          <w:b/>
          <w:color w:val="auto"/>
          <w:szCs w:val="21"/>
          <w:highlight w:val="none"/>
          <w:u w:val="single"/>
        </w:rPr>
      </w:pPr>
      <w:r>
        <w:rPr>
          <w:rFonts w:hint="eastAsia" w:ascii="宋体" w:hAnsi="宋体" w:cs="宋体"/>
          <w:b/>
          <w:color w:val="auto"/>
          <w:szCs w:val="21"/>
          <w:highlight w:val="none"/>
        </w:rPr>
        <w:t xml:space="preserve">合同履行</w:t>
      </w:r>
      <w:r/>
    </w:p>
    <w:p>
      <w:pPr>
        <w:numPr>
          <w:ilvl w:val="0"/>
          <w:numId w:val="25"/>
        </w:numPr>
        <w:ind w:firstLine="420"/>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rPr>
          <w:rFonts w:hint="eastAsia" w:ascii="宋体" w:hAnsi="宋体" w:cs="宋体"/>
          <w:color w:val="auto"/>
          <w:szCs w:val="21"/>
          <w:highlight w:val="none"/>
          <w:lang w:eastAsia="zh-CN"/>
        </w:rPr>
        <w:t xml:space="preserve">；</w:t>
      </w:r>
      <w:r/>
    </w:p>
    <w:p>
      <w:pPr>
        <w:numPr>
          <w:ilvl w:val="0"/>
          <w:numId w:val="0"/>
        </w:numPr>
        <w:ind w:firstLine="420"/>
        <w:spacing w:line="400" w:lineRule="exact"/>
        <w:rPr>
          <w:rFonts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甲方指定地点    </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（3）履约担保：</w:t>
      </w:r>
      <w:r>
        <w:rPr>
          <w:rFonts w:hint="eastAsia" w:ascii="宋体" w:hAnsi="宋体" w:cs="宋体"/>
          <w:bCs/>
          <w:color w:val="auto"/>
          <w:szCs w:val="21"/>
          <w:highlight w:val="none"/>
          <w:lang w:eastAsia="zh-CN"/>
        </w:rPr>
        <w:t xml:space="preserve">是，签订合同前，中标人应向采购人提交电子履约保函（保函金额为中标合同金额的5%）。</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电子履约保函有效期：大于等于本项目免费质量保证期。</w:t>
      </w:r>
      <w:r/>
    </w:p>
    <w:p>
      <w:pPr>
        <w:ind w:firstLine="420"/>
        <w:spacing w:line="400" w:lineRule="exact"/>
        <w:rPr>
          <w:rFonts w:hint="eastAsia"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电子履约保函流程：</w:t>
      </w:r>
      <w:r/>
    </w:p>
    <w:p>
      <w:pPr>
        <w:ind w:firstLine="420"/>
        <w:spacing w:line="400" w:lineRule="exact"/>
        <w:rPr>
          <w:rFonts w:hint="eastAsia" w:ascii="宋体" w:hAnsi="宋体" w:eastAsia="宋体" w:cs="宋体"/>
          <w:color w:val="auto"/>
          <w:highlight w:val="none"/>
          <w:lang w:eastAsia="zh-CN"/>
        </w:rPr>
      </w:pPr>
      <w:r>
        <w:rPr>
          <w:rFonts w:hint="eastAsia" w:ascii="宋体" w:hAnsi="宋体" w:cs="宋体"/>
          <w:bCs/>
          <w:color w:val="auto"/>
          <w:szCs w:val="21"/>
          <w:highlight w:val="none"/>
          <w:lang w:eastAsia="zh-CN"/>
        </w:rPr>
        <w:t xml:space="preserve">https://zfcg.changzhou.gov.cn/html/ns/tzgg/653859231062288.html</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按甲方要求。</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           </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合同验收</w:t>
      </w:r>
      <w:r/>
    </w:p>
    <w:p>
      <w:pPr>
        <w:numPr>
          <w:ilvl w:val="0"/>
          <w:numId w:val="26"/>
        </w:num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验收组织方式：自行组织或委托第三方组织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验收主体：</w:t>
      </w:r>
      <w:r>
        <w:rPr>
          <w:rFonts w:hint="eastAsia" w:ascii="宋体" w:hAnsi="宋体" w:cs="宋体"/>
          <w:bCs/>
          <w:color w:val="000000"/>
          <w:szCs w:val="21"/>
          <w:highlight w:val="none"/>
          <w:u w:val="single"/>
        </w:rPr>
        <w:t xml:space="preserve"> 甲方工作人员   </w:t>
      </w:r>
      <w:r/>
    </w:p>
    <w:p>
      <w:pPr>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        是否邀请本项目的其他供应商参加验收：否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是否邀请专家参加验收：否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是否邀请服务对象参加验收：否</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是否邀请第三方检测机构参加验收：是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是否进行抽查检测：是</w:t>
      </w:r>
      <w:r/>
    </w:p>
    <w:p>
      <w:pPr>
        <w:ind w:firstLine="84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是否存在破坏性检测：是</w:t>
      </w:r>
      <w:r/>
    </w:p>
    <w:p>
      <w:pPr>
        <w:ind w:firstLine="84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验收组织的其他事项：</w:t>
      </w:r>
      <w:r>
        <w:rPr>
          <w:rFonts w:hint="eastAsia" w:ascii="宋体" w:hAnsi="宋体" w:cs="宋体"/>
          <w:bCs/>
          <w:color w:val="000000"/>
          <w:szCs w:val="21"/>
          <w:highlight w:val="none"/>
          <w:u w:val="single"/>
        </w:rPr>
        <w:t xml:space="preserve">甲方按国家相关标准和本采购文件的相关要求自行组织有关专业人员验收。在履约验收中对供应商提供的产品可进行抽查检测，必要时可委托取得相关资质的第三方机构对其进行检测、认证。因检测、认证涉及生产过程或检测时间长等原因，不能在验收过程中开展检测、认证的，可要求乙方在验收阶段提供相关有效检测报告、认证报告。  所有器材</w:t>
      </w:r>
      <w:r>
        <w:rPr>
          <w:rFonts w:hint="eastAsia" w:ascii="宋体" w:hAnsi="宋体" w:cs="宋体"/>
          <w:bCs/>
          <w:color w:val="000000"/>
          <w:szCs w:val="21"/>
          <w:highlight w:val="none"/>
          <w:u w:val="single"/>
          <w:lang w:val="en-US" w:eastAsia="zh-CN"/>
        </w:rPr>
        <w:t xml:space="preserve">和场地面层</w:t>
      </w:r>
      <w:r>
        <w:rPr>
          <w:rFonts w:hint="eastAsia" w:ascii="宋体" w:hAnsi="宋体" w:cs="宋体"/>
          <w:bCs/>
          <w:color w:val="000000"/>
          <w:szCs w:val="21"/>
          <w:highlight w:val="none"/>
          <w:u w:val="single"/>
        </w:rPr>
        <w:t xml:space="preserve">颜色、式样均由甲方确认后采购安装，投标报价时应充分考虑颜色更换导致的价格风险。结算时颜色更改，投标价格不调整。所有货物需满足设计、验收规范及甲方要求。</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（2）履约验收时间：</w:t>
      </w:r>
      <w:r>
        <w:rPr>
          <w:rFonts w:hint="eastAsia" w:ascii="宋体" w:hAnsi="宋体" w:cs="宋体"/>
          <w:bCs/>
          <w:color w:val="000000"/>
          <w:szCs w:val="21"/>
          <w:highlight w:val="none"/>
          <w:u w:val="single"/>
        </w:rPr>
        <w:t xml:space="preserve">货到后一周内组织验收 </w:t>
      </w:r>
      <w:r/>
    </w:p>
    <w:p>
      <w:pPr>
        <w:ind w:firstLine="420"/>
        <w:spacing w:line="400" w:lineRule="exact"/>
        <w:rPr>
          <w:rFonts w:hint="default"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（3）履约验收方式：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一次性验收</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（4）履约验收程序：</w:t>
      </w:r>
      <w:r>
        <w:rPr>
          <w:rFonts w:hint="eastAsia" w:ascii="宋体" w:hAnsi="宋体" w:cs="宋体"/>
          <w:bCs/>
          <w:color w:val="000000"/>
          <w:szCs w:val="21"/>
          <w:highlight w:val="none"/>
          <w:u w:val="single"/>
          <w:lang w:val="en-US" w:eastAsia="zh-CN"/>
        </w:rPr>
        <w:t xml:space="preserve">场地和</w:t>
      </w:r>
      <w:r>
        <w:rPr>
          <w:rFonts w:hint="eastAsia" w:ascii="宋体" w:hAnsi="宋体" w:cs="宋体"/>
          <w:bCs/>
          <w:color w:val="000000"/>
          <w:szCs w:val="21"/>
          <w:highlight w:val="none"/>
          <w:u w:val="single"/>
        </w:rPr>
        <w:t xml:space="preserve">器材在安装前和安装后要由</w:t>
      </w:r>
      <w:r>
        <w:rPr>
          <w:rFonts w:hint="eastAsia" w:ascii="宋体" w:hAnsi="宋体" w:cs="宋体"/>
          <w:bCs/>
          <w:color w:val="000000"/>
          <w:szCs w:val="21"/>
          <w:highlight w:val="none"/>
          <w:u w:val="single"/>
          <w:lang w:eastAsia="zh-CN"/>
        </w:rPr>
        <w:t xml:space="preserve">采购人</w:t>
      </w:r>
      <w:r>
        <w:rPr>
          <w:rFonts w:hint="eastAsia" w:ascii="宋体" w:hAnsi="宋体" w:cs="宋体"/>
          <w:bCs/>
          <w:color w:val="000000"/>
          <w:szCs w:val="21"/>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所有健身器材上必须有能够通过“江苏省全民健身设施管理平台”进行报修的金属标签二维码；所有健身器材定位等信息需上传至该平台。若验收时不满足要求，则</w:t>
      </w:r>
      <w:r>
        <w:rPr>
          <w:rFonts w:hint="eastAsia" w:ascii="宋体" w:hAnsi="宋体" w:cs="宋体"/>
          <w:bCs/>
          <w:color w:val="000000"/>
          <w:szCs w:val="21"/>
          <w:highlight w:val="none"/>
          <w:u w:val="single"/>
          <w:lang w:val="en-US" w:eastAsia="zh-CN"/>
        </w:rPr>
        <w:t xml:space="preserve">甲方</w:t>
      </w:r>
      <w:r>
        <w:rPr>
          <w:rFonts w:hint="eastAsia" w:ascii="宋体" w:hAnsi="宋体" w:cs="宋体"/>
          <w:bCs/>
          <w:color w:val="000000"/>
          <w:szCs w:val="21"/>
          <w:highlight w:val="none"/>
          <w:u w:val="single"/>
        </w:rPr>
        <w:t xml:space="preserve">有权不支付剩余款项。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（5）履约验收的内容：</w:t>
      </w:r>
      <w:r>
        <w:rPr>
          <w:rFonts w:hint="eastAsia" w:ascii="宋体" w:hAnsi="宋体" w:cs="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（6）履约验收标准：</w:t>
      </w:r>
      <w:r>
        <w:rPr>
          <w:rFonts w:hint="eastAsia" w:ascii="宋体" w:hAnsi="宋体" w:cs="宋体"/>
          <w:bCs/>
          <w:color w:val="000000"/>
          <w:szCs w:val="21"/>
          <w:highlight w:val="none"/>
          <w:u w:val="single"/>
        </w:rPr>
        <w:t xml:space="preserve">乙方提供的产品为最新生产的原装正品，各项指标符合出产国检测标准和出厂标准，各项技术参数符合采购文件要求和乙方投标文件承诺。                                       </w:t>
      </w:r>
      <w:r/>
    </w:p>
    <w:p>
      <w:pPr>
        <w:pStyle w:val="1335"/>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（7）是否以采购活动中供应商提供的样品作为参考：是 </w:t>
      </w:r>
      <w:r/>
    </w:p>
    <w:p>
      <w:pPr>
        <w:ind w:firstLine="420"/>
        <w:spacing w:line="400" w:lineRule="exact"/>
        <w:rPr>
          <w:rFonts w:hint="eastAsia" w:ascii="宋体" w:hAnsi="宋体" w:cs="宋体"/>
          <w:b w:val="0"/>
          <w:bCs/>
          <w:color w:val="auto"/>
          <w:szCs w:val="21"/>
          <w:highlight w:val="none"/>
          <w:u w:val="single"/>
        </w:rPr>
      </w:pPr>
      <w:r>
        <w:rPr>
          <w:rFonts w:hint="eastAsia" w:ascii="宋体" w:hAnsi="宋体" w:cs="宋体"/>
          <w:bCs/>
          <w:color w:val="000000"/>
          <w:szCs w:val="21"/>
          <w:highlight w:val="none"/>
        </w:rPr>
        <w:t xml:space="preserve">（8）</w:t>
      </w:r>
      <w:r>
        <w:rPr>
          <w:rFonts w:hint="eastAsia" w:ascii="宋体" w:hAnsi="宋体" w:cs="宋体"/>
          <w:b w:val="0"/>
          <w:bCs/>
          <w:color w:val="auto"/>
          <w:szCs w:val="21"/>
          <w:highlight w:val="none"/>
        </w:rPr>
        <w:t xml:space="preserve">履约验收其他事项：</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u w:val="single"/>
        </w:rPr>
        <w:t xml:space="preserve">所有产品供货时需符合GB19272-2024《室外健身器材的安全通用要求》，并提供经国家认可的室外健身器材质量认证机构的产品质量认证证书；</w:t>
      </w:r>
      <w:r/>
    </w:p>
    <w:p>
      <w:pPr>
        <w:ind w:firstLine="420"/>
        <w:spacing w:line="400" w:lineRule="exact"/>
        <w:rPr>
          <w:rFonts w:ascii="宋体" w:hAnsi="宋体" w:cs="宋体"/>
          <w:bCs/>
          <w:color w:val="auto"/>
          <w:szCs w:val="21"/>
          <w:highlight w:val="none"/>
          <w:u w:val="single"/>
        </w:rPr>
      </w:pPr>
      <w:r>
        <w:rPr>
          <w:rFonts w:hint="eastAsia" w:ascii="宋体" w:hAnsi="宋体" w:eastAsia="宋体" w:cs="宋体"/>
          <w:b w:val="0"/>
          <w:bCs/>
          <w:i w:val="0"/>
          <w:iCs w:val="0"/>
          <w:color w:val="auto"/>
          <w:sz w:val="21"/>
          <w:szCs w:val="21"/>
          <w:highlight w:val="none"/>
          <w:u w:val="single"/>
          <w:lang w:val="en-US" w:eastAsia="zh-CN" w:bidi="ar"/>
        </w:rPr>
        <w:t xml:space="preserve">球场弹性材料、球场面漆材料符合GB36246-2018对非固体原料有害物质限量检验要求</w:t>
      </w:r>
      <w:r>
        <w:rPr>
          <w:rFonts w:hint="eastAsia" w:ascii="宋体" w:hAnsi="宋体" w:cs="宋体"/>
          <w:b w:val="0"/>
          <w:bCs/>
          <w:i w:val="0"/>
          <w:iCs w:val="0"/>
          <w:color w:val="auto"/>
          <w:sz w:val="21"/>
          <w:szCs w:val="21"/>
          <w:highlight w:val="none"/>
          <w:u w:val="single"/>
          <w:lang w:val="en-US" w:eastAsia="zh-CN" w:bidi="ar"/>
        </w:rPr>
        <w:t xml:space="preserve">；</w:t>
      </w:r>
      <w:r>
        <w:rPr>
          <w:rFonts w:hint="eastAsia" w:ascii="宋体" w:hAnsi="宋体" w:cs="宋体"/>
          <w:b w:val="0"/>
          <w:bCs/>
          <w:color w:val="auto"/>
          <w:szCs w:val="21"/>
          <w:highlight w:val="none"/>
          <w:u w:val="single"/>
        </w:rPr>
        <w:t xml:space="preserve">商</w:t>
      </w:r>
      <w:r>
        <w:rPr>
          <w:rFonts w:hint="eastAsia" w:ascii="宋体" w:hAnsi="宋体" w:cs="宋体"/>
          <w:bCs/>
          <w:color w:val="auto"/>
          <w:szCs w:val="21"/>
          <w:highlight w:val="none"/>
          <w:u w:val="single"/>
        </w:rPr>
        <w:t xml:space="preserve">品包装印刷使用的油墨中挥发性有机化合物(VOCs)的检测按照 GB/T 23986-2009《色漆和清漆挥发性有机化合物(VOC)含量的测定气相色谱法》规定的方法进行；检测不合格的视作违约，乙方应承担相应违约赔偿和责任。</w:t>
      </w: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rPr>
        <w:t xml:space="preserve">2.乙方所交产品不符合规定或质量不合格的，由乙方负责包换，并承担换货而支付的一切费用。乙方不能调换的，按不能交货处理。</w:t>
      </w:r>
      <w:r>
        <w:rPr>
          <w:rFonts w:hint="eastAsia" w:ascii="宋体" w:hAnsi="宋体" w:cs="宋体"/>
          <w:color w:val="auto"/>
          <w:highlight w:val="none"/>
          <w:u w:val="single"/>
        </w:rPr>
        <w:br w:type="textWrapping" w:clear="all"/>
      </w:r>
      <w:r>
        <w:rPr>
          <w:rFonts w:hint="eastAsia" w:ascii="宋体" w:hAnsi="宋体" w:cs="宋体"/>
          <w:color w:val="auto"/>
          <w:highlight w:val="none"/>
          <w:u w:val="single"/>
        </w:rPr>
        <w:t xml:space="preserve">    3.乙方应保证所提供的产品不侵犯第三方的专利权、商标权、著作权或其他知识产权。若乙方的行为侵犯了第三方的前述权利，并造成了第三方追究甲方的责任，甲方为此所受到的损失，应由乙方承担。</w:t>
      </w:r>
      <w:r/>
    </w:p>
    <w:p>
      <w:pPr>
        <w:ind w:firstLine="420"/>
        <w:spacing w:line="400" w:lineRule="exact"/>
        <w:rPr>
          <w:rFonts w:hint="eastAsia" w:ascii="宋体" w:hAnsi="宋体" w:cs="宋体"/>
          <w:color w:val="auto"/>
          <w:highlight w:val="none"/>
          <w:u w:val="single"/>
        </w:rPr>
      </w:pPr>
      <w:r>
        <w:rPr>
          <w:rFonts w:hint="eastAsia" w:ascii="宋体" w:hAnsi="宋体" w:cs="宋体"/>
          <w:color w:val="auto"/>
          <w:highlight w:val="none"/>
          <w:u w:val="single"/>
          <w:lang w:val="en-US" w:eastAsia="zh-CN"/>
        </w:rPr>
        <w:t xml:space="preserve">4.场地面层材料和</w:t>
      </w:r>
      <w:r>
        <w:rPr>
          <w:rFonts w:hint="eastAsia" w:ascii="宋体" w:hAnsi="宋体" w:cs="宋体"/>
          <w:color w:val="auto"/>
          <w:highlight w:val="none"/>
          <w:u w:val="single"/>
        </w:rPr>
        <w:t xml:space="preserve">器材在安装前和安装后要由</w:t>
      </w:r>
      <w:r>
        <w:rPr>
          <w:rFonts w:hint="eastAsia" w:ascii="宋体" w:hAnsi="宋体" w:cs="宋体"/>
          <w:color w:val="auto"/>
          <w:highlight w:val="none"/>
          <w:u w:val="single"/>
          <w:lang w:eastAsia="zh-CN"/>
        </w:rPr>
        <w:t xml:space="preserve">采购人</w:t>
      </w:r>
      <w:r>
        <w:rPr>
          <w:rFonts w:hint="eastAsia" w:ascii="宋体" w:hAnsi="宋体" w:cs="宋体"/>
          <w:color w:val="auto"/>
          <w:highlight w:val="none"/>
          <w:u w:val="single"/>
        </w:rPr>
        <w:t xml:space="preserve">组织验收，并应有第三方检验检测认证机构等具备相应资质的专业技术力量参与，验收合格后方可配送投入使用。器材供应商应设置器材使用说明标识牌，内容包括二维码等信息监管标识、安全提示、报修方式、安装日期、联系人及联系电话等内容。</w:t>
      </w:r>
      <w:r/>
    </w:p>
    <w:p>
      <w:pPr>
        <w:ind w:firstLine="420"/>
        <w:spacing w:line="400" w:lineRule="exact"/>
        <w:rPr>
          <w:rFonts w:hint="default" w:ascii="宋体" w:hAnsi="宋体" w:cs="宋体"/>
          <w:color w:val="000000"/>
          <w:highlight w:val="none"/>
          <w:u w:val="single"/>
          <w:lang w:val="en-US"/>
        </w:rPr>
      </w:pPr>
      <w:r>
        <w:rPr>
          <w:rFonts w:hint="eastAsia" w:ascii="宋体" w:hAnsi="宋体" w:cs="宋体"/>
          <w:color w:val="auto"/>
          <w:highlight w:val="none"/>
          <w:u w:val="single"/>
          <w:lang w:val="en-US" w:eastAsia="zh-CN"/>
        </w:rPr>
        <w:t xml:space="preserve">5.乙方应在质保期内提供每年不少于4次巡检服务，若未能完成履约，</w:t>
      </w:r>
      <w:r>
        <w:rPr>
          <w:rFonts w:hint="eastAsia" w:ascii="宋体" w:hAnsi="宋体" w:eastAsia="宋体" w:cs="宋体"/>
          <w:color w:val="auto"/>
          <w:highlight w:val="none"/>
          <w:u w:val="single"/>
          <w:lang w:val="en-US" w:eastAsia="zh-CN"/>
        </w:rPr>
        <w:t xml:space="preserve">乙方需向甲方承担</w:t>
      </w:r>
      <w:r>
        <w:rPr>
          <w:rFonts w:hint="eastAsia" w:ascii="宋体" w:hAnsi="宋体" w:eastAsia="宋体" w:cs="宋体"/>
          <w:strike w:val="0"/>
          <w:color w:val="auto"/>
          <w:highlight w:val="none"/>
          <w:u w:val="single"/>
          <w:lang w:val="en-US" w:eastAsia="zh-CN"/>
        </w:rPr>
        <w:t xml:space="preserve">合同</w:t>
      </w:r>
      <w:r>
        <w:rPr>
          <w:rFonts w:hint="eastAsia" w:ascii="宋体" w:hAnsi="宋体" w:eastAsia="宋体" w:cs="宋体"/>
          <w:color w:val="auto"/>
          <w:highlight w:val="none"/>
          <w:u w:val="single"/>
          <w:lang w:val="en-US" w:eastAsia="zh-CN"/>
        </w:rPr>
        <w:t xml:space="preserve">金额的5%违约金。该违约金甲方有权在履约金中直接扣除，乙方不持任何异议。在质保期内供应商或其委托的售后机构未满足巡检服务要求的，供应商将支付采购人1万元/次的违约金。</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组成合同的文件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（1）政府采购合同协议书及其变更、补充协议</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（2）政府采购合同专用条款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（3）政府采购合同通用条款</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（4）中标通知书</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（5）投标文件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（6）采购文件</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（7）有关技术文件，图纸</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合同生效</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本合同自</w:t>
      </w:r>
      <w:r>
        <w:rPr>
          <w:rFonts w:hint="eastAsia" w:ascii="宋体" w:hAnsi="宋体" w:cs="宋体"/>
          <w:color w:val="000000"/>
          <w:szCs w:val="21"/>
          <w:highlight w:val="none"/>
          <w:u w:val="single"/>
        </w:rPr>
        <w:t xml:space="preserve">   双方签字盖章后    </w:t>
      </w:r>
      <w:r>
        <w:rPr>
          <w:rFonts w:hint="eastAsia" w:ascii="宋体" w:hAnsi="宋体" w:cs="宋体"/>
          <w:color w:val="000000"/>
          <w:szCs w:val="21"/>
          <w:highlight w:val="none"/>
        </w:rPr>
        <w:t xml:space="preserve">生效。</w:t>
      </w:r>
      <w:r/>
    </w:p>
    <w:p>
      <w:pPr>
        <w:numPr>
          <w:ilvl w:val="0"/>
          <w:numId w:val="22"/>
        </w:numPr>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合同份数</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u w:val="single"/>
        </w:rPr>
        <w:t xml:space="preserve">  6  </w:t>
      </w:r>
      <w:r>
        <w:rPr>
          <w:rFonts w:hint="eastAsia" w:ascii="宋体" w:hAnsi="宋体" w:cs="宋体"/>
          <w:color w:val="000000"/>
          <w:szCs w:val="21"/>
          <w:highlight w:val="none"/>
        </w:rPr>
        <w:t xml:space="preserve">份，甲方执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份，乙方执</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份，均具有同等法律效力。</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合同订立时间：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合同订立地点：</w:t>
      </w:r>
      <w:r>
        <w:rPr>
          <w:rFonts w:hint="eastAsia" w:ascii="宋体" w:hAnsi="宋体" w:cs="宋体"/>
          <w:color w:val="000000"/>
          <w:szCs w:val="21"/>
          <w:highlight w:val="none"/>
          <w:u w:val="single"/>
        </w:rPr>
        <w:t xml:space="preserve">    溧阳市    </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附件：具体标的及其技术要求和商务要求、联合协议、分包意向协议等。</w:t>
      </w:r>
      <w:r/>
    </w:p>
    <w:p>
      <w:pPr>
        <w:pStyle w:val="930"/>
        <w:spacing w:line="400" w:lineRule="exact"/>
        <w:rPr>
          <w:rFonts w:ascii="宋体" w:hAnsi="宋体" w:cs="宋体"/>
          <w:color w:val="000000"/>
          <w:highlight w:val="none"/>
        </w:rPr>
      </w:pPr>
      <w:r>
        <w:rPr>
          <w:rFonts w:ascii="宋体" w:hAnsi="宋体" w:cs="宋体"/>
          <w:color w:val="000000"/>
          <w:highlight w:val="none"/>
        </w:rPr>
      </w:r>
      <w:r/>
    </w:p>
    <w:p>
      <w:pPr>
        <w:pStyle w:val="1080"/>
        <w:spacing w:line="400" w:lineRule="exact"/>
        <w:rPr>
          <w:rFonts w:ascii="宋体" w:hAnsi="宋体" w:eastAsia="宋体" w:cs="宋体"/>
          <w:b w:val="0"/>
          <w:color w:val="000000"/>
          <w:sz w:val="21"/>
          <w:szCs w:val="21"/>
          <w:highlight w:val="none"/>
        </w:rPr>
      </w:pPr>
      <w:r>
        <w:rPr>
          <w:rFonts w:hint="eastAsia" w:ascii="宋体" w:hAnsi="宋体" w:eastAsia="宋体" w:cs="宋体"/>
          <w:color w:val="000000"/>
          <w:highlight w:val="none"/>
          <w:lang w:val="en"/>
        </w:rPr>
        <w:t xml:space="preserve">   </w:t>
      </w:r>
      <w:r/>
    </w:p>
    <w:p>
      <w:pPr>
        <w:rPr>
          <w:rFonts w:ascii="宋体" w:hAnsi="宋体" w:cs="宋体"/>
          <w:color w:val="000000"/>
          <w:highlight w:val="none"/>
        </w:rPr>
      </w:pPr>
      <w:r>
        <w:rPr>
          <w:rFonts w:hint="eastAsia" w:ascii="宋体" w:hAnsi="宋体" w:cs="宋体"/>
          <w:color w:val="000000"/>
          <w:highlight w:val="none"/>
        </w:rPr>
        <w:br w:type="page" w:clear="all"/>
      </w:r>
      <w:r/>
    </w:p>
    <w:p>
      <w:pPr>
        <w:pStyle w:val="930"/>
        <w:rPr>
          <w:rFonts w:ascii="宋体" w:hAnsi="宋体" w:cs="宋体"/>
          <w:color w:val="000000"/>
          <w:highlight w:val="none"/>
        </w:rPr>
      </w:pPr>
      <w:r>
        <w:rPr>
          <w:rFonts w:ascii="宋体" w:hAnsi="宋体" w:cs="宋体"/>
          <w:color w:val="000000"/>
          <w:highlight w:val="none"/>
        </w:rPr>
      </w:r>
      <w:r/>
    </w:p>
    <w:tbl>
      <w:tblPr>
        <w:tblStyle w:val="904"/>
        <w:tblW w:w="4926"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563"/>
        <w:gridCol w:w="1177"/>
        <w:gridCol w:w="3286"/>
      </w:tblGrid>
      <w:tr>
        <w:trPr>
          <w:trHeight w:val="490"/>
        </w:trPr>
        <w:tc>
          <w:tcPr>
            <w:gridSpan w:val="2"/>
            <w:tcW w:w="4688"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甲方（采购人、受采购人委托签订合同的单位或采购文件约定的合同甲方）</w:t>
            </w:r>
            <w:r/>
          </w:p>
        </w:tc>
        <w:tc>
          <w:tcPr>
            <w:gridSpan w:val="2"/>
            <w:tcW w:w="4463" w:type="dxa"/>
            <w:vAlign w:val="center"/>
            <w:textDirection w:val="lrTb"/>
            <w:noWrap w:val="false"/>
          </w:tcPr>
          <w:p>
            <w:pPr>
              <w:jc w:val="center"/>
              <w:spacing w:line="300" w:lineRule="exact"/>
              <w:rPr>
                <w:rFonts w:ascii="宋体" w:hAnsi="宋体" w:cs="宋体"/>
                <w:color w:val="000000"/>
                <w:highlight w:val="none"/>
              </w:rPr>
            </w:pPr>
            <w:r>
              <w:rPr>
                <w:rFonts w:hint="eastAsia" w:ascii="宋体" w:hAnsi="宋体" w:cs="宋体"/>
                <w:color w:val="000000"/>
                <w:szCs w:val="21"/>
                <w:highlight w:val="none"/>
              </w:rPr>
              <w:t xml:space="preserve">乙方（供应商）</w:t>
            </w:r>
            <w:r/>
          </w:p>
        </w:tc>
      </w:tr>
      <w:tr>
        <w:trPr>
          <w:trHeight w:val="917"/>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单位名称（公章或合同章）</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1171"/>
        </w:trPr>
        <w:tc>
          <w:tcPr>
            <w:tcW w:w="112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ind w:firstLine="100"/>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435" w:type="dxa"/>
            <w:vAlign w:val="center"/>
            <w:vMerge w:val="restart"/>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w:t>
            </w:r>
            <w:r/>
          </w:p>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或其委托代理人（签章）</w:t>
            </w:r>
            <w:r/>
          </w:p>
        </w:tc>
        <w:tc>
          <w:tcPr>
            <w:tcW w:w="1260"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r>
      <w:tr>
        <w:trPr>
          <w:trHeight w:val="483"/>
        </w:trPr>
        <w:tc>
          <w:tcPr>
            <w:tcW w:w="112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vMerge w:val="continue"/>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拥有者性别</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住  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 系 人</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联系电话</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通信地址</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邮政编码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电子邮箱</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统一社会信用代码</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开户名称</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开户银行</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435" w:type="dxa"/>
            <w:vAlign w:val="center"/>
            <w:textDirection w:val="lrTb"/>
            <w:noWrap w:val="false"/>
          </w:tcPr>
          <w:p>
            <w:pPr>
              <w:jc w:val="center"/>
              <w:spacing w:line="300" w:lineRule="exact"/>
              <w:rPr>
                <w:rFonts w:ascii="宋体" w:hAnsi="宋体" w:cs="宋体"/>
                <w:color w:val="000000"/>
                <w:szCs w:val="21"/>
                <w:highlight w:val="none"/>
              </w:rPr>
            </w:pPr>
            <w:r>
              <w:rPr>
                <w:rFonts w:ascii="宋体" w:hAnsi="宋体" w:cs="宋体"/>
                <w:color w:val="000000"/>
                <w:szCs w:val="21"/>
                <w:highlight w:val="none"/>
              </w:rPr>
            </w:r>
            <w:r/>
          </w:p>
        </w:tc>
        <w:tc>
          <w:tcPr>
            <w:tcW w:w="1177" w:type="dxa"/>
            <w:vAlign w:val="center"/>
            <w:textDirection w:val="lrTb"/>
            <w:noWrap w:val="false"/>
          </w:tcPr>
          <w:p>
            <w:pPr>
              <w:jc w:val="center"/>
              <w:spacing w:line="300" w:lineRule="exact"/>
              <w:rPr>
                <w:rFonts w:ascii="宋体" w:hAnsi="宋体" w:cs="宋体"/>
                <w:color w:val="000000"/>
                <w:szCs w:val="21"/>
                <w:highlight w:val="none"/>
              </w:rPr>
            </w:pPr>
            <w:r>
              <w:rPr>
                <w:rFonts w:hint="eastAsia" w:ascii="宋体" w:hAnsi="宋体" w:cs="宋体"/>
                <w:color w:val="000000"/>
                <w:szCs w:val="21"/>
                <w:highlight w:val="none"/>
              </w:rPr>
              <w:t xml:space="preserve">银行账号</w:t>
            </w:r>
            <w:r/>
          </w:p>
        </w:tc>
        <w:tc>
          <w:tcPr>
            <w:tcW w:w="1260" w:type="dxa"/>
            <w:vAlign w:val="center"/>
            <w:textDirection w:val="lrTb"/>
            <w:noWrap w:val="false"/>
          </w:tcPr>
          <w:p>
            <w:pPr>
              <w:jc w:val="center"/>
              <w:spacing w:line="300" w:lineRule="exact"/>
              <w:rPr>
                <w:rFonts w:ascii="宋体" w:hAnsi="宋体" w:cs="宋体"/>
                <w:color w:val="000000"/>
                <w:spacing w:val="20"/>
                <w:szCs w:val="21"/>
                <w:highlight w:val="none"/>
              </w:rPr>
            </w:pPr>
            <w:r>
              <w:rPr>
                <w:rFonts w:ascii="宋体" w:hAnsi="宋体" w:cs="宋体"/>
                <w:color w:val="000000"/>
                <w:spacing w:val="20"/>
                <w:szCs w:val="21"/>
                <w:highlight w:val="none"/>
              </w:rPr>
            </w:r>
            <w:r/>
          </w:p>
        </w:tc>
      </w:tr>
    </w:tbl>
    <w:p>
      <w:pPr>
        <w:pStyle w:val="1080"/>
        <w:rPr>
          <w:rFonts w:ascii="宋体" w:hAnsi="宋体" w:eastAsia="宋体" w:cs="宋体"/>
          <w:color w:val="000000"/>
          <w:sz w:val="28"/>
          <w:szCs w:val="28"/>
          <w:highlight w:val="none"/>
        </w:rPr>
      </w:pPr>
      <w:r>
        <w:rPr>
          <w:rFonts w:hint="eastAsia" w:ascii="宋体" w:hAnsi="宋体" w:eastAsia="宋体" w:cs="宋体"/>
          <w:color w:val="000000"/>
          <w:sz w:val="21"/>
          <w:szCs w:val="21"/>
          <w:highlight w:val="none"/>
          <w:u w:val="single"/>
        </w:rPr>
        <w:br w:type="page" w:clear="all"/>
      </w:r>
      <w:bookmarkStart w:id="824" w:name="_Toc27624"/>
      <w:r>
        <w:rPr>
          <w:rFonts w:hint="eastAsia" w:ascii="宋体" w:hAnsi="宋体" w:eastAsia="宋体" w:cs="宋体"/>
          <w:b w:val="0"/>
          <w:color w:val="000000"/>
          <w:sz w:val="28"/>
          <w:szCs w:val="28"/>
          <w:highlight w:val="none"/>
        </w:rPr>
        <w:t xml:space="preserve">第二节 政府采购合同通用条款</w:t>
      </w:r>
      <w:bookmarkEnd w:id="824"/>
      <w:r/>
      <w:r/>
    </w:p>
    <w:p>
      <w:pPr>
        <w:jc w:val="left"/>
        <w:spacing w:line="400" w:lineRule="exact"/>
        <w:tabs>
          <w:tab w:val="left" w:pos="8820" w:leader="none"/>
          <w:tab w:val="left" w:pos="9345" w:leader="none"/>
          <w:tab w:val="left" w:pos="9765" w:leader="none"/>
        </w:tabs>
        <w:rPr>
          <w:rFonts w:ascii="宋体" w:hAnsi="宋体" w:cs="宋体"/>
          <w:b/>
          <w:bCs/>
          <w:color w:val="000000"/>
          <w:sz w:val="24"/>
          <w:highlight w:val="none"/>
        </w:rPr>
      </w:pPr>
      <w:r>
        <w:rPr>
          <w:rFonts w:hint="eastAsia" w:ascii="宋体" w:hAnsi="宋体" w:cs="宋体"/>
          <w:b/>
          <w:color w:val="000000"/>
          <w:sz w:val="24"/>
          <w:highlight w:val="none"/>
        </w:rPr>
        <w:t xml:space="preserve">1. </w:t>
      </w:r>
      <w:r>
        <w:rPr>
          <w:rFonts w:hint="eastAsia" w:ascii="宋体" w:hAnsi="宋体" w:cs="宋体"/>
          <w:b/>
          <w:bCs/>
          <w:color w:val="000000"/>
          <w:sz w:val="24"/>
          <w:highlight w:val="none"/>
        </w:rPr>
        <w:t xml:space="preserve">定义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1.1合同当事人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（1）采购人（以下称甲方）是指使用财政性资金，通过政府</w:t>
      </w:r>
      <w:r>
        <w:rPr>
          <w:rFonts w:hint="eastAsia" w:ascii="宋体" w:hAnsi="宋体" w:cs="宋体"/>
          <w:color w:val="000000"/>
          <w:szCs w:val="21"/>
          <w:highlight w:val="none"/>
          <w:lang w:eastAsia="zh-CN"/>
        </w:rPr>
        <w:t xml:space="preserve">采购人</w:t>
      </w:r>
      <w:r>
        <w:rPr>
          <w:rFonts w:hint="eastAsia" w:ascii="宋体" w:hAnsi="宋体" w:cs="宋体"/>
          <w:color w:val="000000"/>
          <w:szCs w:val="21"/>
          <w:highlight w:val="none"/>
        </w:rPr>
        <w:t xml:space="preserve">式向供应商购买货物及其相关服务的国家机关、事业单位、团体组织。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1.2本合同下列术语应解释为：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s="宋体"/>
          <w:color w:val="000000"/>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技术资料和材料等。</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（4）“相关服务”系指根据合同规定，乙方应提供的与货物有关的技术、管理和</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highlight w:val="none"/>
        </w:rPr>
      </w:pPr>
      <w:r>
        <w:rPr>
          <w:rFonts w:hint="eastAsia" w:ascii="宋体" w:hAnsi="宋体" w:cs="宋体"/>
          <w:color w:val="000000"/>
          <w:szCs w:val="21"/>
          <w:highlight w:val="none"/>
        </w:rPr>
        <w:t xml:space="preserve">（7）其他术语解释，见【</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w:t>
      </w:r>
      <w:r/>
    </w:p>
    <w:p>
      <w:pPr>
        <w:numPr>
          <w:ilvl w:val="0"/>
          <w:numId w:val="27"/>
        </w:numPr>
        <w:jc w:val="left"/>
        <w:spacing w:line="400" w:lineRule="exact"/>
        <w:rPr>
          <w:rFonts w:ascii="宋体" w:hAnsi="宋体" w:cs="宋体"/>
          <w:b/>
          <w:bCs/>
          <w:color w:val="000000"/>
          <w:sz w:val="24"/>
          <w:highlight w:val="none"/>
        </w:rPr>
      </w:pPr>
      <w:r>
        <w:rPr>
          <w:rFonts w:hint="eastAsia" w:ascii="宋体" w:hAnsi="宋体" w:cs="宋体"/>
          <w:b/>
          <w:color w:val="000000"/>
          <w:sz w:val="24"/>
          <w:highlight w:val="none"/>
        </w:rPr>
        <w:t xml:space="preserve">合同标的及金额</w:t>
      </w:r>
      <w:r/>
    </w:p>
    <w:p>
      <w:pPr>
        <w:ind w:firstLine="420"/>
        <w:jc w:val="left"/>
        <w:spacing w:line="400" w:lineRule="exact"/>
        <w:rPr>
          <w:rFonts w:ascii="宋体" w:hAnsi="宋体" w:cs="宋体"/>
          <w:b/>
          <w:bCs/>
          <w:i/>
          <w:iCs/>
          <w:color w:val="000000"/>
          <w:szCs w:val="21"/>
          <w:highlight w:val="none"/>
        </w:rPr>
      </w:pPr>
      <w:r>
        <w:rPr>
          <w:rFonts w:hint="eastAsia" w:ascii="宋体" w:hAnsi="宋体" w:cs="宋体"/>
          <w:color w:val="000000"/>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highlight w:val="none"/>
          <w:lang w:val="en"/>
        </w:rPr>
        <w:t xml:space="preserve">其他</w:t>
      </w:r>
      <w:r>
        <w:rPr>
          <w:rFonts w:hint="eastAsia" w:ascii="宋体" w:hAnsi="宋体" w:cs="宋体"/>
          <w:color w:val="000000"/>
          <w:szCs w:val="21"/>
          <w:highlight w:val="none"/>
        </w:rPr>
        <w:t xml:space="preserve">任何费用。</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3. 履行合同的时间、地点和方式</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3.1 乙方应当在约定的时间、地点，按照约定方式履行合同。</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4. 甲方的权利和义务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4.3 甲方有权要求乙方对缺陷部分予以修复，并按合同约定享有货物保修及其他合同约定的权利。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4.4 甲方应当按照合同约定及时对交付的货物进行验收，未在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约定的期限内对乙方履约提出任何异议或者向乙方作出任何说明的，视为验收通过。</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4.6 国家法律法规规定及</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约定应由甲方承担的其他义务和责任。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5. 乙方的权利和义务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5.1 签署合同后，乙方应确定项目负责人（或项目联系人），负责与本合同有关的事务。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91"/>
        <w:ind w:firstLine="422"/>
        <w:spacing w:line="400" w:lineRule="exact"/>
        <w:rPr>
          <w:rFonts w:cs="宋体"/>
          <w:color w:val="000000"/>
          <w:szCs w:val="21"/>
          <w:highlight w:val="none"/>
        </w:rPr>
      </w:pPr>
      <w:r>
        <w:rPr>
          <w:rFonts w:hint="eastAsia" w:cs="宋体"/>
          <w:color w:val="000000"/>
          <w:szCs w:val="21"/>
          <w:highlight w:val="none"/>
        </w:rPr>
        <w:t xml:space="preserve">5.3乙方有权根据合同约定向甲方收取合同价款。</w:t>
      </w:r>
      <w:r/>
    </w:p>
    <w:p>
      <w:pPr>
        <w:pStyle w:val="1091"/>
        <w:ind w:firstLine="422"/>
        <w:spacing w:line="400" w:lineRule="exact"/>
        <w:rPr>
          <w:rFonts w:cs="宋体"/>
          <w:color w:val="000000"/>
          <w:szCs w:val="21"/>
          <w:highlight w:val="none"/>
        </w:rPr>
      </w:pPr>
      <w:r>
        <w:rPr>
          <w:rFonts w:hint="eastAsia" w:cs="宋体"/>
          <w:color w:val="000000"/>
          <w:szCs w:val="21"/>
          <w:highlight w:val="none"/>
        </w:rPr>
        <w:t xml:space="preserve">5.4国家法律法规规定及</w:t>
      </w:r>
      <w:r>
        <w:rPr>
          <w:rFonts w:hint="eastAsia" w:cs="宋体"/>
          <w:b/>
          <w:bCs/>
          <w:color w:val="000000"/>
          <w:szCs w:val="21"/>
          <w:highlight w:val="none"/>
        </w:rPr>
        <w:t xml:space="preserve">【政府采购合同专用条款】</w:t>
      </w:r>
      <w:r>
        <w:rPr>
          <w:rFonts w:hint="eastAsia" w:cs="宋体"/>
          <w:color w:val="000000"/>
          <w:szCs w:val="21"/>
          <w:highlight w:val="none"/>
        </w:rPr>
        <w:t xml:space="preserve">约定应由乙方承担的其他义务和责任。</w:t>
      </w:r>
      <w:r/>
    </w:p>
    <w:p>
      <w:pPr>
        <w:numPr>
          <w:ilvl w:val="0"/>
          <w:numId w:val="28"/>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约定顺序履行合同义务；如果没有先后顺序的，应当同时履行。</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7. 货物包装、运输、保险和交付要求</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7.1 本合同</w:t>
      </w:r>
      <w:r>
        <w:rPr>
          <w:rFonts w:hint="eastAsia" w:ascii="宋体" w:hAnsi="宋体" w:cs="宋体"/>
          <w:bCs/>
          <w:color w:val="000000"/>
          <w:szCs w:val="21"/>
          <w:highlight w:val="none"/>
        </w:rPr>
        <w:t xml:space="preserve">涉及商品包装、快递包装的，</w:t>
      </w:r>
      <w:r>
        <w:rPr>
          <w:rFonts w:hint="eastAsia" w:ascii="宋体" w:hAnsi="宋体" w:cs="宋体"/>
          <w:color w:val="000000"/>
          <w:szCs w:val="21"/>
          <w:highlight w:val="none"/>
        </w:rPr>
        <w:t xml:space="preserve">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包装应适应远距离运输、防潮、防震、防锈和防野蛮装卸等要求，确保货物安全无损地运抵</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约定的</w:t>
      </w:r>
      <w:r>
        <w:rPr>
          <w:rFonts w:hint="eastAsia" w:ascii="宋体" w:hAnsi="宋体" w:cs="宋体"/>
          <w:color w:val="000000"/>
          <w:szCs w:val="21"/>
          <w:highlight w:val="none"/>
        </w:rPr>
        <w:t xml:space="preserve">指定现场。</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7.2 除</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另有约定外，</w:t>
      </w:r>
      <w:r>
        <w:rPr>
          <w:rFonts w:hint="eastAsia" w:ascii="宋体" w:hAnsi="宋体" w:cs="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7.3 货物保险要求按</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规定执行</w:t>
      </w:r>
      <w:r>
        <w:rPr>
          <w:rFonts w:hint="eastAsia" w:ascii="宋体" w:hAnsi="宋体" w:cs="宋体"/>
          <w:color w:val="000000"/>
          <w:szCs w:val="21"/>
          <w:highlight w:val="none"/>
        </w:rPr>
        <w:t xml:space="preserve">。</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7.5 乙方在运输到达之前应提前通知甲方，并提示货物运输装卸的注意事项，甲方配合乙方做好货物的接收工作。</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8. 质量标准和保证</w:t>
      </w:r>
      <w:r/>
    </w:p>
    <w:p>
      <w:pPr>
        <w:pStyle w:val="1118"/>
        <w:ind w:firstLine="420"/>
        <w:jc w:val="left"/>
        <w:spacing w:line="400" w:lineRule="exact"/>
        <w:rPr>
          <w:rFonts w:hint="default" w:hAnsi="宋体" w:cs="宋体"/>
          <w:b/>
          <w:color w:val="000000"/>
          <w:highlight w:val="none"/>
        </w:rPr>
      </w:pPr>
      <w:r>
        <w:rPr>
          <w:rFonts w:hAnsi="宋体" w:cs="宋体"/>
          <w:color w:val="000000"/>
          <w:highlight w:val="none"/>
        </w:rPr>
        <w:t xml:space="preserve">8.1 质量标准</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118"/>
        <w:ind w:firstLine="420"/>
        <w:jc w:val="left"/>
        <w:spacing w:line="400" w:lineRule="exact"/>
        <w:rPr>
          <w:rFonts w:hint="default" w:hAnsi="宋体" w:cs="宋体"/>
          <w:color w:val="000000"/>
          <w:highlight w:val="none"/>
        </w:rPr>
      </w:pPr>
      <w:r>
        <w:rPr>
          <w:rFonts w:hAnsi="宋体" w:cs="宋体"/>
          <w:color w:val="000000"/>
          <w:highlight w:val="none"/>
        </w:rPr>
        <w:t xml:space="preserve">（2）采用中华人民共和国法定计量单位。</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8.2 保证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（3）乙方收到通知后，应在</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9. 权利瑕疵担保</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9.1 乙方保证对其出售的货物享有合法的权利。</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9.3 如甲方使用上述货物构成对第三人侵权的，则由乙方承担全部责任。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10. 知识产权保护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10.1 乙方对其所销售的货物应当享有知识产权或经权利人合法授权，保证没有侵犯任何第三人的知识产权等权利。</w:t>
      </w:r>
      <w:bookmarkStart w:id="825" w:name="_Hlk163047038"/>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bookmarkEnd w:id="825"/>
      <w:r>
        <w:rPr>
          <w:rFonts w:hint="eastAsia" w:ascii="宋体" w:hAnsi="宋体" w:cs="宋体"/>
          <w:color w:val="000000"/>
          <w:szCs w:val="21"/>
          <w:highlight w:val="none"/>
        </w:rPr>
        <w:t xml:space="preserve">。</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12. 合同价款支付</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91"/>
        <w:spacing w:line="400" w:lineRule="exact"/>
        <w:rPr>
          <w:rFonts w:cs="宋体"/>
          <w:b/>
          <w:bCs/>
          <w:color w:val="000000"/>
          <w:highlight w:val="none"/>
        </w:rPr>
      </w:pPr>
      <w:r>
        <w:rPr>
          <w:rFonts w:hint="eastAsia" w:cs="宋体"/>
          <w:b/>
          <w:bCs/>
          <w:color w:val="000000"/>
          <w:highlight w:val="none"/>
        </w:rPr>
        <w:t xml:space="preserve">13. 履约保证金</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s="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000000"/>
          <w:highlight w:val="none"/>
        </w:rPr>
      </w:pPr>
      <w:r>
        <w:rPr>
          <w:rFonts w:hint="eastAsia" w:ascii="宋体" w:hAnsi="宋体" w:cs="宋体"/>
          <w:color w:val="000000"/>
          <w:szCs w:val="21"/>
          <w:highlight w:val="none"/>
        </w:rPr>
        <w:t xml:space="preserve">13.3 甲方在项目通过验收后按照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规定的时间内将履约保证金退还乙方；逾期退还的，乙方可要求甲方支付违约金，违约金按照</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规定支付。</w:t>
      </w:r>
      <w:r/>
    </w:p>
    <w:p>
      <w:pPr>
        <w:jc w:val="left"/>
        <w:spacing w:line="400" w:lineRule="exact"/>
        <w:rPr>
          <w:rFonts w:ascii="宋体" w:hAnsi="宋体" w:cs="宋体"/>
          <w:b/>
          <w:color w:val="000000"/>
          <w:sz w:val="24"/>
          <w:highlight w:val="none"/>
        </w:rPr>
      </w:pPr>
      <w:r>
        <w:rPr>
          <w:rFonts w:hint="eastAsia" w:ascii="宋体" w:hAnsi="宋体" w:cs="宋体"/>
          <w:b/>
          <w:bCs/>
          <w:color w:val="000000"/>
          <w:sz w:val="24"/>
          <w:highlight w:val="none"/>
        </w:rPr>
        <w:t xml:space="preserve">14. </w:t>
      </w:r>
      <w:r>
        <w:rPr>
          <w:rFonts w:hint="eastAsia" w:ascii="宋体" w:hAnsi="宋体" w:cs="宋体"/>
          <w:b/>
          <w:color w:val="000000"/>
          <w:sz w:val="24"/>
          <w:highlight w:val="none"/>
        </w:rPr>
        <w:t xml:space="preserve">售后服务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（1）货物的现场移动、安装、调试、启动监督及技术支持；</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（2）提供货物组装和维修所需的专用工具和辅助材料；</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1335"/>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规定由乙方提供的其他服务。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14.2 乙方提供的售后服务的费用已包含在合同价款中，甲方不再另行支付。</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15. 违约责任</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15.1质量瑕疵的违约责任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乙方提供的产品不符合合同约定的质量标准或存在产品质量缺陷，甲方有权要求乙方根据</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要求</w:t>
      </w:r>
      <w:r>
        <w:rPr>
          <w:rFonts w:hint="eastAsia" w:ascii="宋体" w:hAnsi="宋体" w:cs="宋体"/>
          <w:color w:val="000000"/>
          <w:szCs w:val="21"/>
          <w:highlight w:val="none"/>
        </w:rPr>
        <w:t xml:space="preserve">及时修理、重作、更换，并承担由此给甲方造成的损失。</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15.2 迟延交货的违约责任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highlight w:val="none"/>
        </w:rPr>
        <w:t xml:space="preserve">【政府采购合同专用条款】</w:t>
      </w:r>
      <w:r>
        <w:rPr>
          <w:rFonts w:hint="eastAsia" w:ascii="宋体" w:hAnsi="宋体" w:cs="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15.3 迟延支付的违约责任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甲方存在迟延支付乙方合同款项的，应当承担</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规定的逾期付款利息。</w:t>
      </w:r>
      <w:r/>
    </w:p>
    <w:p>
      <w:pPr>
        <w:ind w:firstLine="420"/>
        <w:jc w:val="left"/>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15.4其他违约责任根据项目实际需要按</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规定执行。</w:t>
      </w:r>
      <w:r/>
    </w:p>
    <w:p>
      <w:pPr>
        <w:numPr>
          <w:ilvl w:val="0"/>
          <w:numId w:val="29"/>
        </w:num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合同变更、中止与终止</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16.1合同的变更</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16.2合同的中止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000000"/>
          <w:highlight w:val="none"/>
        </w:rPr>
      </w:pPr>
      <w:r>
        <w:rPr>
          <w:rFonts w:hint="eastAsia" w:ascii="宋体" w:hAnsi="宋体" w:cs="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16.3合同的终止</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（2）乙方未按合同约定履行，构成根本性违约的，甲方有权终止合同，并追究乙方的违约责任。</w:t>
      </w:r>
      <w:r/>
    </w:p>
    <w:p>
      <w:pPr>
        <w:pStyle w:val="1335"/>
        <w:rPr>
          <w:rFonts w:ascii="宋体" w:hAnsi="宋体" w:eastAsia="宋体" w:cs="宋体"/>
          <w:color w:val="000000"/>
          <w:highlight w:val="none"/>
        </w:rPr>
      </w:pPr>
      <w:r>
        <w:rPr>
          <w:rFonts w:hint="eastAsia" w:ascii="宋体" w:hAnsi="宋体" w:eastAsia="宋体" w:cs="宋体"/>
          <w:color w:val="000000"/>
          <w:highlight w:val="none"/>
        </w:rPr>
        <w:t xml:space="preserve">16.4 </w:t>
      </w:r>
      <w:r>
        <w:rPr>
          <w:rFonts w:hint="eastAsia" w:ascii="宋体" w:hAnsi="宋体" w:eastAsia="宋体" w:cs="宋体"/>
          <w:color w:val="000000"/>
          <w:sz w:val="21"/>
          <w:highlight w:val="none"/>
        </w:rPr>
        <w:t xml:space="preserve">涉及国家利益、社会公共利益的情形</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17. 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18. 不可抗力</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19. 解决争议的方法</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s="宋体"/>
          <w:color w:val="000000"/>
          <w:sz w:val="24"/>
          <w:highlight w:val="none"/>
        </w:rPr>
      </w:pPr>
      <w:r>
        <w:rPr>
          <w:rFonts w:hint="eastAsia" w:ascii="宋体" w:hAnsi="宋体" w:cs="宋体"/>
          <w:b/>
          <w:color w:val="000000"/>
          <w:sz w:val="24"/>
          <w:highlight w:val="none"/>
        </w:rPr>
        <w:t xml:space="preserve">20. 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s="宋体"/>
          <w:color w:val="000000"/>
          <w:szCs w:val="21"/>
          <w:highlight w:val="none"/>
        </w:rPr>
        <w:t xml:space="preserve">，有过错的一方应当承担赔偿责任，双方都有过错的，各自承担相应的责任。</w:t>
      </w:r>
      <w:r/>
    </w:p>
    <w:p>
      <w:pPr>
        <w:pStyle w:val="1091"/>
        <w:ind w:firstLine="480"/>
        <w:spacing w:line="400" w:lineRule="exact"/>
        <w:rPr>
          <w:rFonts w:cs="宋体"/>
          <w:color w:val="000000"/>
          <w:sz w:val="21"/>
          <w:szCs w:val="21"/>
          <w:highlight w:val="none"/>
        </w:rPr>
      </w:pPr>
      <w:r>
        <w:rPr>
          <w:rFonts w:hint="eastAsia" w:cs="宋体"/>
          <w:color w:val="000000"/>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21. 法律适用</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22. 通知</w:t>
      </w:r>
      <w:r/>
    </w:p>
    <w:p>
      <w:pPr>
        <w:pStyle w:val="1335"/>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335"/>
        <w:ind w:firstLine="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22.4通知以送达之日或通知书中规定的生效之日起生效，两者中以较迟之日为准。</w:t>
      </w:r>
      <w:r/>
    </w:p>
    <w:p>
      <w:pPr>
        <w:numPr>
          <w:ilvl w:val="0"/>
          <w:numId w:val="30"/>
        </w:numPr>
        <w:jc w:val="left"/>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合同未尽事项</w:t>
      </w:r>
      <w:r/>
    </w:p>
    <w:p>
      <w:pPr>
        <w:ind w:firstLine="420"/>
        <w:jc w:val="left"/>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23.1合同未尽事项见</w:t>
      </w:r>
      <w:r>
        <w:rPr>
          <w:rFonts w:hint="eastAsia" w:ascii="宋体" w:hAnsi="宋体" w:cs="宋体"/>
          <w:b/>
          <w:color w:val="000000"/>
          <w:szCs w:val="21"/>
          <w:highlight w:val="none"/>
        </w:rPr>
        <w:t xml:space="preserve">【政府采购合同专用条款】</w:t>
      </w:r>
      <w:r>
        <w:rPr>
          <w:rFonts w:hint="eastAsia" w:ascii="宋体" w:hAnsi="宋体" w:cs="宋体"/>
          <w:bCs/>
          <w:color w:val="000000"/>
          <w:szCs w:val="21"/>
          <w:highlight w:val="none"/>
        </w:rPr>
        <w:t xml:space="preserve">。</w:t>
      </w:r>
      <w:r/>
    </w:p>
    <w:p>
      <w:pPr>
        <w:jc w:val="left"/>
        <w:spacing w:line="400" w:lineRule="exact"/>
        <w:rPr>
          <w:rFonts w:ascii="宋体" w:hAnsi="宋体" w:cs="宋体"/>
          <w:color w:val="000000"/>
          <w:sz w:val="28"/>
          <w:szCs w:val="28"/>
          <w:highlight w:val="none"/>
        </w:rPr>
      </w:pPr>
      <w:r>
        <w:rPr>
          <w:rFonts w:hint="eastAsia" w:ascii="宋体" w:hAnsi="宋体" w:cs="宋体"/>
          <w:bCs/>
          <w:color w:val="000000"/>
          <w:szCs w:val="21"/>
          <w:highlight w:val="none"/>
        </w:rPr>
        <w:t xml:space="preserve">    23.2 合同附件与合同正文具有同等的法律效力。</w:t>
      </w:r>
      <w:bookmarkStart w:id="826" w:name="_Toc20313"/>
      <w:r/>
      <w:r/>
    </w:p>
    <w:p>
      <w:pPr>
        <w:jc w:val="center"/>
        <w:rPr>
          <w:rFonts w:ascii="宋体" w:hAnsi="宋体" w:cs="宋体"/>
          <w:color w:val="000000"/>
          <w:sz w:val="28"/>
          <w:szCs w:val="28"/>
          <w:highlight w:val="none"/>
        </w:rPr>
      </w:pPr>
      <w:r>
        <w:rPr>
          <w:rFonts w:hint="eastAsia" w:ascii="宋体" w:hAnsi="宋体" w:cs="宋体"/>
          <w:color w:val="000000"/>
          <w:sz w:val="28"/>
          <w:szCs w:val="28"/>
          <w:highlight w:val="none"/>
        </w:rPr>
        <w:br w:type="page" w:clear="all"/>
      </w:r>
      <w:r/>
    </w:p>
    <w:p>
      <w:pPr>
        <w:pStyle w:val="1080"/>
        <w:rPr>
          <w:rFonts w:ascii="宋体" w:hAnsi="宋体" w:eastAsia="宋体" w:cs="宋体"/>
          <w:b w:val="0"/>
          <w:color w:val="000000"/>
          <w:sz w:val="28"/>
          <w:szCs w:val="28"/>
          <w:highlight w:val="none"/>
        </w:rPr>
      </w:pPr>
      <w:r>
        <w:rPr>
          <w:rFonts w:hint="eastAsia" w:ascii="宋体" w:hAnsi="宋体" w:eastAsia="宋体" w:cs="宋体"/>
          <w:b w:val="0"/>
          <w:color w:val="000000"/>
          <w:sz w:val="28"/>
          <w:szCs w:val="28"/>
          <w:highlight w:val="none"/>
        </w:rPr>
        <w:t xml:space="preserve">第三节 政府采购合同专用条款</w:t>
      </w:r>
      <w:bookmarkEnd w:id="826"/>
      <w:r/>
      <w:r/>
    </w:p>
    <w:tbl>
      <w:tblPr>
        <w:tblStyle w:val="904"/>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联合体具体要求</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0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第1.2（7）项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其他术语解释</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到货后一周内</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第4.6款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约定甲方承担的其他义务和责任</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1.甲方在验收时对不符合采购文件要求的产品有权拒绝接收和追究违约责任。</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2.甲方有权监督乙方的售后服务，并对乙方的售后服务不符合投标文件承诺内容时加以指出乃至追究合同责任。</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highlight w:val="none"/>
              </w:rPr>
            </w:pPr>
            <w:r>
              <w:rPr>
                <w:rFonts w:hint="eastAsia" w:ascii="宋体" w:hAnsi="宋体" w:cs="宋体"/>
                <w:color w:val="000000"/>
                <w:szCs w:val="21"/>
                <w:highlight w:val="none"/>
              </w:rPr>
              <w:t xml:space="preserve">第5.4款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约定乙方承担的其他义务和责任</w:t>
            </w:r>
            <w:r/>
          </w:p>
        </w:tc>
        <w:tc>
          <w:tcPr>
            <w:tcW w:w="5170" w:type="dxa"/>
            <w:vAlign w:val="center"/>
            <w:textDirection w:val="lrTb"/>
            <w:noWrap w:val="false"/>
          </w:tcPr>
          <w:p>
            <w:pPr>
              <w:numPr>
                <w:ilvl w:val="0"/>
                <w:numId w:val="31"/>
              </w:numPr>
              <w:jc w:val="left"/>
              <w:rPr>
                <w:rFonts w:hint="eastAsia" w:ascii="宋体" w:hAnsi="宋体" w:cs="宋体"/>
                <w:color w:val="000000"/>
                <w:highlight w:val="none"/>
              </w:rPr>
            </w:pPr>
            <w:r>
              <w:rPr>
                <w:rFonts w:hint="eastAsia" w:ascii="宋体" w:hAnsi="宋体" w:cs="宋体"/>
                <w:color w:val="000000"/>
                <w:highlight w:val="none"/>
              </w:rPr>
              <w:t xml:space="preserve">乙方有义务按投标文件中的售后服务承诺提供良好的服务。</w:t>
            </w:r>
            <w:r>
              <w:rPr>
                <w:rFonts w:hint="eastAsia" w:ascii="宋体" w:hAnsi="宋体" w:cs="宋体"/>
                <w:color w:val="000000"/>
                <w:highlight w:val="none"/>
              </w:rPr>
              <w:br w:type="textWrapping" w:clear="all"/>
            </w:r>
            <w:r>
              <w:rPr>
                <w:rFonts w:hint="eastAsia" w:ascii="宋体" w:hAnsi="宋体" w:cs="宋体"/>
                <w:color w:val="000000"/>
                <w:highlight w:val="none"/>
              </w:rPr>
              <w:t xml:space="preserve">2.乙方有义务按时、保质、保量的完成供货任务。</w:t>
            </w:r>
            <w:r/>
          </w:p>
          <w:p>
            <w:pPr>
              <w:pStyle w:val="930"/>
              <w:numPr>
                <w:ilvl w:val="0"/>
                <w:numId w:val="0"/>
              </w:numPr>
              <w:rPr>
                <w:rFonts w:hint="eastAsia" w:eastAsia="宋体"/>
                <w:highlight w:val="none"/>
                <w:lang w:val="en-US" w:eastAsia="zh-CN"/>
              </w:rPr>
            </w:pPr>
            <w:r>
              <w:rPr>
                <w:rFonts w:hint="eastAsia" w:eastAsia="宋体"/>
                <w:highlight w:val="none"/>
                <w:lang w:val="en-US" w:eastAsia="zh-CN"/>
              </w:rPr>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第6.1款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履行合同义务的顺序</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67"/>
        </w:trPr>
        <w:tc>
          <w:tcPr>
            <w:tcW w:w="1607" w:type="dxa"/>
            <w:vAlign w:val="center"/>
            <w:vMerge w:val="restart"/>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包装特殊要求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满足《关于印发〈商品包装政府采购需求标准（试行）〉、〈快递包装政府采购需求标准（试行）〉的通知》（财办库〔2020〕123号）文件要求。</w:t>
            </w:r>
            <w:r/>
          </w:p>
        </w:tc>
      </w:tr>
      <w:tr>
        <w:trPr>
          <w:trHeight w:val="667"/>
        </w:trPr>
        <w:tc>
          <w:tcPr>
            <w:tcW w:w="1607" w:type="dxa"/>
            <w:vAlign w:val="center"/>
            <w:vMerge w:val="continue"/>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指定现场</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采购人通知地点</w:t>
            </w:r>
            <w:r/>
          </w:p>
        </w:tc>
      </w:tr>
      <w:tr>
        <w:trPr>
          <w:trHeight w:val="772"/>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运输特殊要求</w:t>
            </w:r>
            <w:r/>
          </w:p>
        </w:tc>
        <w:tc>
          <w:tcPr>
            <w:tcW w:w="5170"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运输途中所产生的的一切安全责任及相应费用由乙方自行承担。</w:t>
            </w:r>
            <w:r/>
          </w:p>
        </w:tc>
      </w:tr>
      <w:tr>
        <w:trPr>
          <w:trHeight w:val="66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第7.3款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保险要求</w:t>
            </w:r>
            <w:r/>
          </w:p>
        </w:tc>
        <w:tc>
          <w:tcPr>
            <w:tcW w:w="5170" w:type="dxa"/>
            <w:vAlign w:val="center"/>
            <w:textDirection w:val="lrTb"/>
            <w:noWrap w:val="false"/>
          </w:tcPr>
          <w:p>
            <w:pPr>
              <w:rPr>
                <w:rFonts w:hint="default" w:ascii="宋体" w:hAnsi="宋体" w:eastAsia="宋体" w:cs="宋体"/>
                <w:color w:val="000000"/>
                <w:highlight w:val="none"/>
                <w:lang w:val="en-US" w:eastAsia="zh-CN"/>
              </w:rPr>
            </w:pPr>
            <w:r>
              <w:rPr>
                <w:rFonts w:hint="eastAsia" w:ascii="宋体" w:hAnsi="宋体" w:cs="宋体"/>
                <w:color w:val="000000"/>
                <w:highlight w:val="none"/>
              </w:rPr>
              <w:t xml:space="preserve">所购器材应投保产品责任保险或产品质量保险和公众责任保险（第三者责任险）。</w:t>
            </w:r>
            <w:r>
              <w:rPr>
                <w:rFonts w:hint="eastAsia" w:ascii="宋体" w:hAnsi="宋体" w:cs="宋体"/>
                <w:color w:val="000000"/>
                <w:highlight w:val="none"/>
                <w:lang w:val="en-US" w:eastAsia="zh-CN"/>
              </w:rPr>
              <w:t xml:space="preserve">由乙方负责</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第8.2（1）项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质量保证期</w:t>
            </w:r>
            <w:r/>
          </w:p>
        </w:tc>
        <w:tc>
          <w:tcPr>
            <w:tcW w:w="5170"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（1）产品质量、使用寿命符合国家相关标准。所有产品提供8年免费质保；免费质保期自采购人验收合格后开始计算，免费质保期内发生与保修相关的一切费用由供应商承担。</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需设有售后服务机构，售后服务保障范围以溧阳市市政府为中心，辐射半径 200公里</w:t>
            </w:r>
            <w:r>
              <w:rPr>
                <w:rFonts w:hint="eastAsia" w:ascii="宋体" w:hAnsi="宋体" w:cs="宋体"/>
                <w:color w:val="000000"/>
                <w:szCs w:val="21"/>
                <w:highlight w:val="none"/>
                <w:lang w:val="en-US" w:eastAsia="zh-CN"/>
              </w:rPr>
              <w:t xml:space="preserve">内</w:t>
            </w:r>
            <w:r>
              <w:rPr>
                <w:rFonts w:hint="eastAsia" w:ascii="宋体" w:hAnsi="宋体" w:eastAsia="宋体" w:cs="宋体"/>
                <w:color w:val="000000"/>
                <w:szCs w:val="21"/>
                <w:highlight w:val="none"/>
                <w:lang w:eastAsia="zh-CN"/>
              </w:rPr>
              <w:t xml:space="preserve">；售后服务机构设有零配件、成品仓库。</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需向采购人提供自有售后服务机构和仓库的产权证或租赁合同证明材料；自有零配件、成品仓库的须提供带有定位的水印照片。若不是自有售后服务机构，则须提供</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与售后服务机构签订的售后服务协议或授权书，零配件、成品仓库整体情况及维修权利义务、违约责任说明等证明材料，委托的售后服务机构还须提供该机构零配件、成品仓库带有定位水印的现场照片。</w:t>
            </w:r>
            <w:r>
              <w:rPr>
                <w:rFonts w:hint="eastAsia" w:ascii="宋体" w:hAnsi="宋体" w:cs="宋体"/>
                <w:color w:val="000000"/>
                <w:szCs w:val="21"/>
                <w:highlight w:val="none"/>
                <w:lang w:val="en-US" w:eastAsia="zh-CN"/>
              </w:rPr>
              <w:t xml:space="preserve">乙方</w:t>
            </w:r>
            <w:r>
              <w:rPr>
                <w:rFonts w:hint="eastAsia" w:ascii="宋体" w:hAnsi="宋体" w:eastAsia="宋体" w:cs="宋体"/>
                <w:color w:val="000000"/>
                <w:szCs w:val="21"/>
                <w:highlight w:val="none"/>
                <w:lang w:eastAsia="zh-CN"/>
              </w:rPr>
              <w:t xml:space="preserve">应在发布中标结果公告后5日内提交以上证明材料，若未提供证明材料或提交的材料不能满足本项目售后服务履约要求，</w:t>
            </w:r>
            <w:r>
              <w:rPr>
                <w:rFonts w:hint="eastAsia" w:ascii="宋体" w:hAnsi="宋体" w:cs="宋体"/>
                <w:color w:val="000000"/>
                <w:szCs w:val="21"/>
                <w:highlight w:val="none"/>
                <w:lang w:val="en-US" w:eastAsia="zh-CN"/>
              </w:rPr>
              <w:t xml:space="preserve">甲方</w:t>
            </w:r>
            <w:r>
              <w:rPr>
                <w:rFonts w:hint="eastAsia" w:ascii="宋体" w:hAnsi="宋体" w:eastAsia="宋体" w:cs="宋体"/>
                <w:color w:val="000000"/>
                <w:szCs w:val="21"/>
                <w:highlight w:val="none"/>
                <w:lang w:eastAsia="zh-CN"/>
              </w:rPr>
              <w:t xml:space="preserve">取消其中标资格。</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（3）免费质量保证期内免费更换零配件（包括群众使用过程中出现的损坏），免费质量保证期满后实行终身有偿维修保养。</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（4）免费质量保证期内接到用户报修电话后12小时内维修人员赶到现场检修处理。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（5）免费质量保证期内免费提供一年4次的巡检服务。巡检情况应报备县（区）体育主管部门和市体育局。具体详见巡检服务要求。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免费质保期结束，不能视为供应商对合同货物中存在的可能引起货物损坏的潜在缺陷所应负责任的解除。潜在缺陷指货物在制造过程中未被发现的隐患，供应商对纠正潜在缺陷应负责任，其时间应延续至质保期终止后贰年。当发现这类潜在缺陷时（经双方确认），供应商应立即予以无偿修复或更换。</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巡检服务要求：</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（一）江苏省全民健身设施管理维护信息平台运维。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1.工作日全天8小时在线服务，及时响应江苏省全民健身设施平台使用过程中的任何问题。</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（二）设施器材巡检工作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1.检查设施器材的使用年限，是否过保质期。</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2.检查设施器材的完整度，发现问题及时维修。</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3.检查设施器材的安装位置，是否合理。</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4.检查设施器材的安装环境，是否影响健身。</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5.检查设施器材本身及周围是否有安全隐患。</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6.检查是否有维修更换过的设施器材，补录设施管理平台。</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7.检查现场设施器材的基本数据（照片、管护信息、基本信息）是否有变更，需平台同步变更。</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8.抽检中发现有明显安全隐患的器材先行设立故障标识、采取封存保护措施，并通知采购人，进一步加强故障器材管控。按照采购人要求24小时内完成维修或拆除工作。</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9.抽检维护人员在实施设施维修工作时，应注意维修现场的安全，维修时要张贴设置醒目警示标志。</w:t>
            </w:r>
            <w:r/>
          </w:p>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10.出具巡检报告总结。巡检情况应填写《巡检记录登记表》，并经过采购人签字盖章确认后，留档备查。每年巡检完成后应提交完整的报告，报告内容需体现本次采购安装器材的完好率。</w:t>
            </w:r>
            <w:r/>
          </w:p>
          <w:p>
            <w:pPr>
              <w:jc w:val="left"/>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11.每季度完成1次巡检服务，全年不少于4次巡检服务。</w:t>
            </w:r>
            <w:r>
              <w:rPr>
                <w:rFonts w:hint="eastAsia" w:ascii="宋体" w:hAnsi="宋体" w:cs="宋体"/>
                <w:color w:val="000000"/>
                <w:szCs w:val="21"/>
                <w:highlight w:val="none"/>
                <w:lang w:val="en-US" w:eastAsia="zh-CN"/>
              </w:rPr>
              <w:t xml:space="preserve">在质保期内乙方或其委托的售后机构未满足巡检服务要求的，乙方将支付甲方1万元/次的违约金。</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第8.2（3）项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货物质量缺陷</w:t>
            </w:r>
            <w:r/>
          </w:p>
          <w:p>
            <w:pPr>
              <w:jc w:val="left"/>
              <w:rPr>
                <w:rFonts w:ascii="宋体" w:hAnsi="宋体" w:cs="宋体"/>
                <w:color w:val="000000"/>
                <w:szCs w:val="21"/>
                <w:highlight w:val="none"/>
              </w:rPr>
            </w:pPr>
            <w:r>
              <w:rPr>
                <w:rFonts w:hint="eastAsia" w:ascii="宋体" w:hAnsi="宋体" w:cs="宋体"/>
                <w:color w:val="000000"/>
                <w:szCs w:val="21"/>
                <w:highlight w:val="none"/>
              </w:rPr>
              <w:t xml:space="preserve">响应时间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1335"/>
              <w:ind w:firstLine="0"/>
              <w:jc w:val="center"/>
              <w:rPr>
                <w:rFonts w:ascii="宋体" w:hAnsi="宋体" w:eastAsia="宋体" w:cs="宋体"/>
                <w:color w:val="000000"/>
                <w:highlight w:val="none"/>
              </w:rPr>
            </w:pPr>
            <w:r>
              <w:rPr>
                <w:rFonts w:hint="eastAsia" w:ascii="宋体" w:hAnsi="宋体" w:eastAsia="宋体" w:cs="宋体"/>
                <w:color w:val="000000"/>
                <w:highlight w:val="none"/>
              </w:rPr>
              <w:t xml:space="preserve">第11.1款</w:t>
            </w:r>
            <w:r/>
          </w:p>
        </w:tc>
        <w:tc>
          <w:tcPr>
            <w:tcW w:w="1742"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其他应当保密的信息</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第12.2款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合同价款支付时间</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合同签订后15个工作日内预先支付合同价的30%，余款在所有器材安装调试验收合格后一次性付清。上述甲方付款前，乙方必须先行开具有效税票给甲方，否则，甲方有权拒绝付款。</w:t>
            </w:r>
            <w:r/>
          </w:p>
        </w:tc>
      </w:tr>
      <w:tr>
        <w:trPr>
          <w:trHeight w:val="697"/>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履约保证金不予退还的情形</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未按期进行巡检的或产品质量问题未保修的</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第13.3款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履约保证金退还时间及逾期退还的违约金</w:t>
            </w:r>
            <w:r/>
          </w:p>
        </w:tc>
        <w:tc>
          <w:tcPr>
            <w:tcW w:w="5170" w:type="dxa"/>
            <w:vAlign w:val="center"/>
            <w:textDirection w:val="lrTb"/>
            <w:noWrap w:val="false"/>
          </w:tcPr>
          <w:p>
            <w:pPr>
              <w:jc w:val="left"/>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质保期满8年后</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第14.1（3）项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运行监督、维修期限</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84"/>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第14.1（5）项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货物回收的约定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第14.1（6）项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乙方提供的其他服务</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修理、重作、更换相关具体规定</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第15.2（2）项</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迟延交货赔偿费</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rPr>
              <w:t xml:space="preserve">按相应供货合同价的千分之二元/天进行计算</w:t>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第15.3款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逾期付款利息</w:t>
            </w:r>
            <w:r/>
          </w:p>
        </w:tc>
        <w:tc>
          <w:tcPr>
            <w:tcW w:w="5170" w:type="dxa"/>
            <w:vAlign w:val="center"/>
            <w:textDirection w:val="lrTb"/>
            <w:noWrap w:val="false"/>
          </w:tcPr>
          <w:p>
            <w:pPr>
              <w:jc w:val="left"/>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w:t>
            </w:r>
            <w:r/>
          </w:p>
        </w:tc>
      </w:tr>
      <w:tr>
        <w:trPr>
          <w:trHeight w:val="87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第15.4款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其他违约责任</w:t>
            </w:r>
            <w:r/>
          </w:p>
        </w:tc>
        <w:tc>
          <w:tcPr>
            <w:tcW w:w="5170" w:type="dxa"/>
            <w:vAlign w:val="center"/>
            <w:textDirection w:val="lrTb"/>
            <w:noWrap w:val="false"/>
          </w:tcPr>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1．在履行合同的过程中，如果</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遇到妨碍按时交货和提供服务的情况时，应及时以书面形式将拖延的事实、可能拖延的时间和原因通知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方在收到供方通知后，应尽快对情况进行核实，并有权根据情况确定是否酌情延长交货时间以及是否收取逾期交货的违约金及损害赔偿金（如有），或向</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发出书面通知书，提出解除部分或全部合同。延期应通过签订补充合同的方式由双方认可并履行。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2．如</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逾期交货且未经需方同意延长交货时间，除不可抗力外，每逾期一日，供方应按照</w:t>
            </w:r>
            <w:r>
              <w:rPr>
                <w:rFonts w:hint="eastAsia" w:ascii="宋体" w:hAnsi="宋体" w:cs="宋体"/>
                <w:color w:val="000000"/>
                <w:szCs w:val="21"/>
                <w:highlight w:val="none"/>
                <w:u w:val="none"/>
                <w:lang w:val="en-US" w:eastAsia="zh-CN"/>
              </w:rPr>
              <w:t xml:space="preserve">5000</w:t>
            </w:r>
            <w:r>
              <w:rPr>
                <w:rFonts w:hint="eastAsia" w:ascii="宋体" w:hAnsi="宋体" w:cs="宋体"/>
                <w:color w:val="000000"/>
                <w:szCs w:val="21"/>
                <w:highlight w:val="none"/>
                <w:u w:val="none"/>
              </w:rPr>
              <w:t xml:space="preserve">元/天的标准累计计算向需方支付违约金。逾期超过20个工作日的，</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有权解除合同，</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方如已支付费用的，</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全部返还；且</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应按照合同总价的30%向需方支付违约金，如给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方造成损失的，还应赔偿损失。</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3．</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方无正当理由逾期付款时，每逾期一日，</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方应按照逾期付款金额的万分之五的标准累计计算向供方支付违约金。</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4．由于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方的原因要求延期交货，</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方应按规定承付货款，并承担</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提供的代为保管费。（有关仓储规定另议）</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5．</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如无不可抗力，又未履行招标文件、投标文件</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lang w:val="en-US" w:eastAsia="zh-CN"/>
              </w:rPr>
              <w:t xml:space="preserve">包含相关承诺</w:t>
            </w:r>
            <w:r>
              <w:rPr>
                <w:rFonts w:hint="eastAsia" w:ascii="宋体" w:hAnsi="宋体" w:cs="宋体"/>
                <w:color w:val="000000"/>
                <w:szCs w:val="21"/>
                <w:highlight w:val="none"/>
                <w:u w:val="none"/>
                <w:lang w:eastAsia="zh-CN"/>
              </w:rPr>
              <w:t xml:space="preserve">）</w:t>
            </w:r>
            <w:r>
              <w:rPr>
                <w:rFonts w:hint="eastAsia" w:ascii="宋体" w:hAnsi="宋体" w:cs="宋体"/>
                <w:color w:val="000000"/>
                <w:szCs w:val="21"/>
                <w:highlight w:val="none"/>
                <w:u w:val="none"/>
              </w:rPr>
              <w:t xml:space="preserve">和合同条款的，一经查实，由</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赔偿由此给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方造成的损失，并按照合同总价的30%向</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方支付违约金，因招、投标产生的其他责任及后果按招标文件的相关要求及处理方式执行。</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6．由于</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提供货物质量和安装存在问题和缺陷导致任何人身、财产损害的，供方应负责承担由此产生的所有责任，与</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方无关。如不可避免地造成需方损失的，</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方有权向供方追偿（该等损失包括但不限于损害赔偿金、需方为解决纠纷支付的律师费、诉讼费、差旅费等合理费用）。</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并应按照合同总价的3%向需方支付违约金，如给</w:t>
            </w:r>
            <w:r>
              <w:rPr>
                <w:rFonts w:hint="eastAsia" w:ascii="宋体" w:hAnsi="宋体" w:cs="宋体"/>
                <w:color w:val="000000"/>
                <w:szCs w:val="21"/>
                <w:highlight w:val="none"/>
                <w:u w:val="none"/>
                <w:lang w:val="en-US" w:eastAsia="zh-CN"/>
              </w:rPr>
              <w:t xml:space="preserve">甲</w:t>
            </w:r>
            <w:r>
              <w:rPr>
                <w:rFonts w:hint="eastAsia" w:ascii="宋体" w:hAnsi="宋体" w:cs="宋体"/>
                <w:color w:val="000000"/>
                <w:szCs w:val="21"/>
                <w:highlight w:val="none"/>
                <w:u w:val="none"/>
              </w:rPr>
              <w:t xml:space="preserve">方造成其他损失的，</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方还应负责赔偿。</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7．如遭遇不可抗力事件，遭遇不可抗力的一方应尽快以书面形式将不可抗力的情况和原因通知另一方，并积极采取措施防止损失扩大。因不可抗力造成的损失，</w:t>
            </w:r>
            <w:r>
              <w:rPr>
                <w:rFonts w:hint="eastAsia" w:ascii="宋体" w:hAnsi="宋体" w:cs="宋体"/>
                <w:color w:val="000000"/>
                <w:szCs w:val="21"/>
                <w:highlight w:val="none"/>
                <w:u w:val="none"/>
                <w:lang w:val="en-US" w:eastAsia="zh-CN"/>
              </w:rPr>
              <w:t xml:space="preserve">甲、乙</w:t>
            </w:r>
            <w:r>
              <w:rPr>
                <w:rFonts w:hint="eastAsia" w:ascii="宋体" w:hAnsi="宋体" w:cs="宋体"/>
                <w:color w:val="000000"/>
                <w:szCs w:val="21"/>
                <w:highlight w:val="none"/>
                <w:u w:val="none"/>
              </w:rPr>
              <w:t xml:space="preserve">双方按照法律规定处理。</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8．招标文件及合同中所述之“不可抗力”系指不可预见、不可避免、不可克服的事件，包括但不限于：战争、洪水、台风、地震及其他法律、法规规定的事件。</w:t>
            </w:r>
            <w:r/>
          </w:p>
          <w:p>
            <w:pPr>
              <w:jc w:val="left"/>
              <w:rPr>
                <w:rFonts w:hint="eastAsia" w:ascii="宋体" w:hAnsi="宋体" w:cs="宋体"/>
                <w:color w:val="000000"/>
                <w:szCs w:val="21"/>
                <w:highlight w:val="none"/>
                <w:u w:val="none"/>
              </w:rPr>
            </w:pPr>
            <w:r>
              <w:rPr>
                <w:rFonts w:hint="eastAsia" w:ascii="宋体" w:hAnsi="宋体" w:cs="宋体"/>
                <w:color w:val="000000"/>
                <w:szCs w:val="21"/>
                <w:highlight w:val="none"/>
                <w:u w:val="none"/>
              </w:rPr>
              <w:t xml:space="preserve">9．如果</w:t>
            </w:r>
            <w:r>
              <w:rPr>
                <w:rFonts w:hint="eastAsia" w:ascii="宋体" w:hAnsi="宋体" w:cs="宋体"/>
                <w:color w:val="000000"/>
                <w:szCs w:val="21"/>
                <w:highlight w:val="none"/>
                <w:u w:val="none"/>
                <w:lang w:val="en-US" w:eastAsia="zh-CN"/>
              </w:rPr>
              <w:t xml:space="preserve">乙</w:t>
            </w:r>
            <w:r>
              <w:rPr>
                <w:rFonts w:hint="eastAsia" w:ascii="宋体" w:hAnsi="宋体" w:cs="宋体"/>
                <w:color w:val="000000"/>
                <w:szCs w:val="21"/>
                <w:highlight w:val="none"/>
                <w:u w:val="none"/>
              </w:rPr>
              <w:t xml:space="preserve">方在本合同履行完毕之前破产或无清偿能力，</w:t>
            </w:r>
            <w:r>
              <w:rPr>
                <w:rFonts w:hint="eastAsia" w:ascii="宋体" w:hAnsi="宋体" w:cs="宋体"/>
                <w:color w:val="000000"/>
                <w:szCs w:val="21"/>
                <w:highlight w:val="none"/>
                <w:u w:val="none"/>
                <w:lang w:val="en-US" w:eastAsia="zh-CN"/>
              </w:rPr>
              <w:t xml:space="preserve">甲方</w:t>
            </w:r>
            <w:r>
              <w:rPr>
                <w:rFonts w:hint="eastAsia" w:ascii="宋体" w:hAnsi="宋体" w:cs="宋体"/>
                <w:color w:val="000000"/>
                <w:szCs w:val="21"/>
                <w:highlight w:val="none"/>
                <w:u w:val="none"/>
              </w:rPr>
              <w:t xml:space="preserve">可在任何时候以书面形式通知</w:t>
            </w:r>
            <w:r>
              <w:rPr>
                <w:rFonts w:hint="eastAsia" w:ascii="宋体" w:hAnsi="宋体" w:cs="宋体"/>
                <w:color w:val="000000"/>
                <w:szCs w:val="21"/>
                <w:highlight w:val="none"/>
                <w:u w:val="none"/>
                <w:lang w:val="en-US" w:eastAsia="zh-CN"/>
              </w:rPr>
              <w:t xml:space="preserve">乙方</w:t>
            </w:r>
            <w:r>
              <w:rPr>
                <w:rFonts w:hint="eastAsia" w:ascii="宋体" w:hAnsi="宋体" w:cs="宋体"/>
                <w:color w:val="000000"/>
                <w:szCs w:val="21"/>
                <w:highlight w:val="none"/>
                <w:u w:val="none"/>
              </w:rPr>
              <w:t xml:space="preserve">，提出解除合同。该终止合同将不损害或影响需方已经采取或将要采取的任何行动或补救措施的权力。</w:t>
            </w:r>
            <w:r/>
          </w:p>
          <w:p>
            <w:pPr>
              <w:jc w:val="left"/>
              <w:rPr>
                <w:rFonts w:hint="default" w:ascii="宋体" w:hAnsi="宋体" w:eastAsia="宋体" w:cs="宋体"/>
                <w:color w:val="000000"/>
                <w:szCs w:val="21"/>
                <w:highlight w:val="none"/>
                <w:u w:val="none"/>
                <w:lang w:val="en-US" w:eastAsia="zh-CN"/>
              </w:rPr>
            </w:pPr>
            <w:r>
              <w:rPr>
                <w:rFonts w:hint="eastAsia" w:ascii="宋体" w:hAnsi="宋体" w:cs="宋体"/>
                <w:color w:val="000000"/>
                <w:szCs w:val="21"/>
                <w:highlight w:val="none"/>
                <w:u w:val="none"/>
                <w:lang w:val="en-US" w:eastAsia="zh-CN"/>
              </w:rPr>
              <w:t xml:space="preserve">10.应急响应时间不得超过12小时内响应，24小时内到现场拍照给采购人。未满足承诺的巡检或维修服务时间要求的，供就商将支付采购人5万元/次的违约金。</w:t>
            </w:r>
            <w:r/>
          </w:p>
        </w:tc>
      </w:tr>
      <w:tr>
        <w:trPr>
          <w:trHeight w:val="9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第19.2款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2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cs="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项目所在地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jc w:val="center"/>
              <w:rPr>
                <w:rFonts w:ascii="宋体" w:hAnsi="宋体" w:cs="宋体"/>
                <w:color w:val="000000"/>
                <w:szCs w:val="21"/>
                <w:highlight w:val="none"/>
              </w:rPr>
            </w:pPr>
            <w:r>
              <w:rPr>
                <w:rFonts w:hint="eastAsia" w:ascii="宋体" w:hAnsi="宋体" w:cs="宋体"/>
                <w:color w:val="000000"/>
                <w:szCs w:val="21"/>
                <w:highlight w:val="none"/>
              </w:rPr>
              <w:t xml:space="preserve">第23.1款</w:t>
            </w:r>
            <w:r/>
          </w:p>
        </w:tc>
        <w:tc>
          <w:tcPr>
            <w:tcW w:w="1742" w:type="dxa"/>
            <w:vAlign w:val="center"/>
            <w:textDirection w:val="lrTb"/>
            <w:noWrap w:val="false"/>
          </w:tcPr>
          <w:p>
            <w:pPr>
              <w:jc w:val="left"/>
              <w:rPr>
                <w:rFonts w:ascii="宋体" w:hAnsi="宋体" w:cs="宋体"/>
                <w:color w:val="000000"/>
                <w:szCs w:val="21"/>
                <w:highlight w:val="none"/>
              </w:rPr>
            </w:pPr>
            <w:r>
              <w:rPr>
                <w:rFonts w:hint="eastAsia" w:ascii="宋体" w:hAnsi="宋体" w:cs="宋体"/>
                <w:bCs/>
                <w:color w:val="000000"/>
                <w:szCs w:val="21"/>
                <w:highlight w:val="none"/>
              </w:rPr>
              <w:t xml:space="preserve">其他专用条款</w:t>
            </w:r>
            <w:r/>
          </w:p>
        </w:tc>
        <w:tc>
          <w:tcPr>
            <w:tcW w:w="5170"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本项目质保期为</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年，时间以交付验收合格之日起计算。</w:t>
            </w:r>
            <w:r/>
          </w:p>
        </w:tc>
      </w:tr>
    </w:tbl>
    <w:p>
      <w:pPr>
        <w:rPr>
          <w:rFonts w:ascii="宋体" w:hAnsi="宋体" w:cs="宋体"/>
          <w:color w:val="000000"/>
          <w:highlight w:val="none"/>
        </w:rPr>
      </w:pPr>
      <w:r>
        <w:rPr>
          <w:rFonts w:ascii="宋体" w:hAnsi="宋体" w:cs="宋体"/>
          <w:color w:val="000000"/>
          <w:highlight w:val="none"/>
        </w:rPr>
      </w:r>
      <w:r/>
    </w:p>
    <w:tbl>
      <w:tblPr>
        <w:tblStyle w:val="904"/>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96"/>
        <w:gridCol w:w="3096"/>
      </w:tblGrid>
      <w:tr>
        <w:trPr>
          <w:trHeight w:val="1602"/>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甲方（采购单位）：                  </w:t>
            </w:r>
            <w:r/>
          </w:p>
          <w:p>
            <w:pPr>
              <w:pStyle w:val="1080"/>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乙方（供应商）：    </w:t>
            </w:r>
            <w:r/>
          </w:p>
          <w:p>
            <w:pPr>
              <w:pStyle w:val="1080"/>
              <w:jc w:val="both"/>
              <w:rPr>
                <w:rFonts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（公章）</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（签字或盖章）  </w:t>
            </w:r>
            <w:r/>
          </w:p>
        </w:tc>
      </w:tr>
      <w:tr>
        <w:trPr/>
        <w:tc>
          <w:tcPr>
            <w:tcBorders>
              <w:top w:val="none" w:color="000000" w:sz="4" w:space="0"/>
              <w:left w:val="none" w:color="000000" w:sz="4" w:space="0"/>
              <w:bottom w:val="none" w:color="000000" w:sz="4" w:space="0"/>
              <w:right w:val="none" w:color="000000" w:sz="4" w:space="0"/>
            </w:tcBorders>
            <w:tcW w:w="3096" w:type="dxa"/>
            <w:textDirection w:val="lrTb"/>
            <w:noWrap w:val="false"/>
          </w:tcPr>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c>
          <w:tcPr>
            <w:tcBorders>
              <w:top w:val="none" w:color="000000" w:sz="4" w:space="0"/>
              <w:left w:val="none" w:color="000000" w:sz="4" w:space="0"/>
              <w:bottom w:val="none" w:color="000000" w:sz="4" w:space="0"/>
              <w:right w:val="none" w:color="000000" w:sz="4" w:space="0"/>
            </w:tcBorders>
            <w:tcW w:w="3096"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经办人：</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（签字）</w:t>
            </w:r>
            <w:r/>
          </w:p>
        </w:tc>
      </w:tr>
    </w:tbl>
    <w:p>
      <w:pPr>
        <w:jc w:val="left"/>
        <w:spacing w:line="360" w:lineRule="auto"/>
        <w:rPr>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附件一：</w:t>
      </w:r>
      <w:r/>
    </w:p>
    <w:p>
      <w:pPr>
        <w:pStyle w:val="1080"/>
        <w:rPr>
          <w:rFonts w:ascii="宋体" w:hAnsi="宋体" w:eastAsia="宋体" w:cs="宋体"/>
          <w:color w:val="000000"/>
          <w:highlight w:val="none"/>
        </w:rPr>
      </w:pPr>
      <w:r>
        <w:rPr>
          <w:rFonts w:hint="eastAsia" w:ascii="宋体" w:hAnsi="宋体" w:eastAsia="宋体" w:cs="宋体"/>
          <w:color w:val="000000"/>
          <w:spacing w:val="30"/>
          <w:sz w:val="24"/>
          <w:szCs w:val="24"/>
          <w:highlight w:val="none"/>
        </w:rPr>
        <w:t xml:space="preserve">供货一览</w:t>
      </w:r>
      <w:r>
        <w:rPr>
          <w:rFonts w:hint="eastAsia" w:ascii="宋体" w:hAnsi="宋体" w:eastAsia="宋体" w:cs="宋体"/>
          <w:color w:val="000000"/>
          <w:sz w:val="24"/>
          <w:szCs w:val="24"/>
          <w:highlight w:val="none"/>
        </w:rPr>
        <w:t xml:space="preserve">表</w:t>
      </w:r>
      <w:r/>
    </w:p>
    <w:tbl>
      <w:tblPr>
        <w:tblStyle w:val="9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674"/>
        <w:gridCol w:w="1161"/>
        <w:gridCol w:w="1161"/>
        <w:gridCol w:w="1161"/>
        <w:gridCol w:w="1161"/>
        <w:gridCol w:w="1161"/>
      </w:tblGrid>
      <w:tr>
        <w:trPr>
          <w:trHeight w:val="732"/>
        </w:trPr>
        <w:tc>
          <w:tcPr>
            <w:tcW w:w="1809"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产品名称</w:t>
            </w:r>
            <w:r/>
          </w:p>
        </w:tc>
        <w:tc>
          <w:tcPr>
            <w:tcW w:w="1674"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品牌型号、规格</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生产厂家</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单位</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数量</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单价（元）</w:t>
            </w:r>
            <w:r/>
          </w:p>
        </w:tc>
        <w:tc>
          <w:tcPr>
            <w:tcW w:w="1161" w:type="dxa"/>
            <w:vAlign w:val="center"/>
            <w:textDirection w:val="lrTb"/>
            <w:noWrap w:val="false"/>
          </w:tcPr>
          <w:p>
            <w:pPr>
              <w:jc w:val="center"/>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合价（元）</w:t>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tcW w:w="1809"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674"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c>
          <w:tcPr>
            <w:tcW w:w="1161" w:type="dxa"/>
            <w:textDirection w:val="lrTb"/>
            <w:noWrap w:val="false"/>
          </w:tcPr>
          <w:p>
            <w:pPr>
              <w:spacing w:line="360" w:lineRule="auto"/>
              <w:rPr>
                <w:rFonts w:ascii="宋体" w:hAnsi="宋体" w:cs="宋体"/>
                <w:color w:val="000000"/>
                <w:sz w:val="24"/>
                <w:highlight w:val="none"/>
              </w:rPr>
            </w:pPr>
            <w:r>
              <w:rPr>
                <w:rFonts w:ascii="宋体" w:hAnsi="宋体" w:cs="宋体"/>
                <w:color w:val="000000"/>
                <w:sz w:val="24"/>
                <w:highlight w:val="none"/>
              </w:rPr>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合同总价：</w:t>
            </w:r>
            <w:r/>
          </w:p>
        </w:tc>
      </w:tr>
      <w:tr>
        <w:trPr/>
        <w:tc>
          <w:tcPr>
            <w:gridSpan w:val="7"/>
            <w:tcW w:w="9288" w:type="dxa"/>
            <w:textDirection w:val="lrTb"/>
            <w:noWrap w:val="false"/>
          </w:tcPr>
          <w:p>
            <w:pPr>
              <w:ind w:firstLine="480"/>
              <w:spacing w:line="360" w:lineRule="auto"/>
              <w:rPr>
                <w:rFonts w:ascii="宋体" w:hAnsi="宋体" w:cs="宋体"/>
                <w:color w:val="000000"/>
                <w:sz w:val="24"/>
                <w:highlight w:val="none"/>
              </w:rPr>
            </w:pPr>
            <w:r>
              <w:rPr>
                <w:rFonts w:hint="eastAsia" w:ascii="宋体" w:hAnsi="宋体" w:cs="宋体"/>
                <w:iCs/>
                <w:color w:val="000000"/>
                <w:szCs w:val="21"/>
                <w:highlight w:val="none"/>
                <w:lang w:val="en-US" w:eastAsia="zh-CN"/>
              </w:rPr>
              <w:t xml:space="preserve">设备的价格、所有器材的保险费、公众责任险（第三者责任险）、包装费、运杂费、人工费、运输保险费、质保期内的备品备件费、上货费、卸货费、安装费、进退场费、旧器材的拆除费、现场保管看护费、临时场地堆放费、与其他单位配合费、劳务费、资料费、培训费、免费质保期内调换费、一年至少4次的巡检服务费、利润、税金、政策性文件规定及合同包含的所有风险、责任等各项应有的费用以及乙方认为需要的其他费用等一切费用。</w:t>
            </w:r>
            <w:r/>
          </w:p>
        </w:tc>
      </w:tr>
    </w:tbl>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spacing w:line="360" w:lineRule="auto"/>
        <w:tabs>
          <w:tab w:val="left" w:pos="900" w:leader="none"/>
          <w:tab w:val="left" w:pos="10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24"/>
          <w:highlight w:val="none"/>
        </w:rPr>
        <w:outlineLvl w:val="0"/>
      </w:pPr>
      <w:r/>
      <w:bookmarkStart w:id="827" w:name="_Toc99301426"/>
      <w:r/>
      <w:r/>
    </w:p>
    <w:p>
      <w:pPr>
        <w:pStyle w:val="1080"/>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80"/>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b/>
          <w:color w:val="000000"/>
          <w:sz w:val="24"/>
          <w:highlight w:val="none"/>
        </w:rPr>
      </w:pPr>
      <w:r>
        <w:rPr>
          <w:rFonts w:ascii="宋体" w:hAnsi="宋体" w:cs="宋体"/>
          <w:b/>
          <w:color w:val="000000"/>
          <w:sz w:val="24"/>
          <w:highlight w:val="none"/>
        </w:rPr>
      </w:r>
      <w:r/>
    </w:p>
    <w:p>
      <w:pPr>
        <w:pStyle w:val="1080"/>
        <w:rPr>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p>
      <w:pPr>
        <w:rPr>
          <w:rFonts w:ascii="宋体" w:hAnsi="宋体" w:cs="宋体"/>
          <w:color w:val="000000"/>
          <w:highlight w:val="none"/>
        </w:rPr>
      </w:pPr>
      <w:r>
        <w:rPr>
          <w:rFonts w:ascii="宋体" w:hAnsi="宋体" w:cs="宋体"/>
          <w:color w:val="000000"/>
          <w:highlight w:val="none"/>
        </w:rPr>
      </w:r>
      <w:r/>
    </w:p>
    <w:p>
      <w:pPr>
        <w:pStyle w:val="1080"/>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91"/>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91"/>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pStyle w:val="1080"/>
        <w:rPr>
          <w:rFonts w:ascii="宋体" w:hAnsi="宋体" w:eastAsia="宋体" w:cs="宋体"/>
          <w:color w:val="000000"/>
          <w:highlight w:val="none"/>
        </w:rPr>
      </w:pPr>
      <w:r>
        <w:rPr>
          <w:rFonts w:ascii="宋体" w:hAnsi="宋体" w:eastAsia="宋体" w:cs="宋体"/>
          <w:color w:val="000000"/>
          <w:highlight w:val="none"/>
        </w:rPr>
      </w:r>
      <w:r/>
    </w:p>
    <w:p>
      <w:pPr>
        <w:spacing w:line="360" w:lineRule="auto"/>
        <w:rPr>
          <w:rFonts w:ascii="宋体" w:hAnsi="宋体" w:cs="宋体"/>
          <w:b/>
          <w:color w:val="000000"/>
          <w:sz w:val="36"/>
          <w:szCs w:val="36"/>
          <w:highlight w:val="none"/>
        </w:rPr>
        <w:outlineLvl w:val="0"/>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outlineLvl w:val="0"/>
      </w:pPr>
      <w:r>
        <w:rPr>
          <w:rFonts w:hint="eastAsia" w:ascii="宋体" w:hAnsi="宋体" w:cs="宋体"/>
          <w:b/>
          <w:color w:val="000000"/>
          <w:sz w:val="36"/>
          <w:szCs w:val="36"/>
          <w:highlight w:val="none"/>
        </w:rPr>
        <w:t xml:space="preserve">第七章   投标文件格式</w:t>
      </w:r>
      <w:bookmarkEnd w:id="827"/>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b/>
          <w:color w:val="000000"/>
          <w:sz w:val="24"/>
          <w:highlight w:val="none"/>
        </w:rPr>
      </w:pPr>
      <w:r>
        <w:rPr>
          <w:rFonts w:ascii="宋体" w:hAnsi="宋体" w:cs="宋体"/>
          <w:b/>
          <w:color w:val="000000"/>
          <w:sz w:val="24"/>
          <w:highlight w:val="none"/>
        </w:rPr>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b/>
          <w:color w:val="000000"/>
          <w:sz w:val="24"/>
          <w:highlight w:val="none"/>
        </w:rPr>
        <w:t xml:space="preserve">供应商编制文件须知</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1、供应商按照本部分的顺序编制投标文件（资格证明文件）、投标文件（商务技术文件），编制中涉及格式资料的，应按照本部分提供的内容和格式（所有表格的格式可扩展）填写提交。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2、对于采购文件中标记了“实质性格式”文件的，供应商不得改变格式中给定的文字所表达的含义，不得删减格式中的实质性内容，不得自行添加与格式中给定的文字内容相矛盾的内容，不得对应当填写的空格不填写或不实质性投标，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。未标记“实质性格式”的文件和采购文件未提供格式的内容，可由供应商自行编写。</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rPr>
        <w:t xml:space="preserve">4、实行电子化不见面交易方式的，加盖公章、签名等均通过投标文件编制工具加盖电子公章、</w:t>
      </w:r>
      <w:r>
        <w:rPr>
          <w:rFonts w:hint="eastAsia" w:ascii="宋体" w:hAnsi="宋体" w:cs="宋体"/>
          <w:color w:val="000000"/>
          <w:sz w:val="24"/>
          <w:szCs w:val="20"/>
          <w:highlight w:val="none"/>
        </w:rPr>
        <w:t xml:space="preserve">签字、签章或印鉴</w:t>
      </w:r>
      <w:r>
        <w:rPr>
          <w:rFonts w:hint="eastAsia" w:ascii="宋体" w:hAnsi="宋体" w:cs="宋体"/>
          <w:color w:val="000000"/>
          <w:sz w:val="24"/>
          <w:highlight w:val="none"/>
        </w:rPr>
        <w:t xml:space="preserve">。</w:t>
      </w:r>
      <w:r/>
    </w:p>
    <w:p>
      <w:pPr>
        <w:jc w:val="left"/>
        <w:widowControl/>
        <w:rPr>
          <w:rFonts w:ascii="宋体" w:hAnsi="宋体" w:cs="宋体"/>
          <w:color w:val="000000"/>
          <w:sz w:val="24"/>
          <w:highlight w:val="none"/>
        </w:rPr>
      </w:pPr>
      <w:r>
        <w:rPr>
          <w:rFonts w:hint="eastAsia" w:ascii="宋体" w:hAnsi="宋体" w:cs="宋体"/>
          <w:color w:val="000000"/>
          <w:sz w:val="24"/>
          <w:highlight w:val="none"/>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ascii="宋体" w:hAnsi="宋体" w:cs="宋体"/>
          <w:b/>
          <w:color w:val="000000"/>
          <w:sz w:val="30"/>
          <w:szCs w:val="20"/>
          <w:highlight w:val="none"/>
        </w:rPr>
        <w:outlineLvl w:val="1"/>
      </w:pPr>
      <w:r>
        <w:rPr>
          <w:rFonts w:hint="eastAsia" w:ascii="宋体" w:hAnsi="宋体" w:cs="宋体"/>
          <w:b/>
          <w:color w:val="000000"/>
          <w:spacing w:val="20"/>
          <w:sz w:val="24"/>
          <w:highlight w:val="none"/>
        </w:rPr>
        <w:t xml:space="preserve">一、资格证明文件格式</w:t>
      </w:r>
      <w:r/>
    </w:p>
    <w:p>
      <w:pPr>
        <w:rPr>
          <w:rFonts w:ascii="宋体" w:hAnsi="宋体" w:cs="宋体"/>
          <w:b/>
          <w:color w:val="000000"/>
          <w:spacing w:val="20"/>
          <w:szCs w:val="21"/>
          <w:highlight w:val="none"/>
        </w:rPr>
      </w:pPr>
      <w:r>
        <w:rPr>
          <w:rFonts w:ascii="宋体" w:hAnsi="宋体" w:cs="宋体"/>
          <w:b/>
          <w:color w:val="000000"/>
          <w:spacing w:val="20"/>
          <w:szCs w:val="21"/>
          <w:highlight w:val="none"/>
        </w:rPr>
      </w:r>
      <w:r/>
    </w:p>
    <w:p>
      <w:pPr>
        <w:rPr>
          <w:rFonts w:ascii="宋体" w:hAnsi="宋体" w:cs="宋体"/>
          <w:b/>
          <w:color w:val="000000"/>
          <w:sz w:val="24"/>
          <w:highlight w:val="none"/>
        </w:rPr>
      </w:pPr>
      <w:r>
        <w:rPr>
          <w:rFonts w:hint="eastAsia" w:ascii="宋体" w:hAnsi="宋体" w:cs="宋体"/>
          <w:b/>
          <w:color w:val="000000"/>
          <w:spacing w:val="20"/>
          <w:sz w:val="24"/>
          <w:highlight w:val="none"/>
        </w:rPr>
        <w:t xml:space="preserve">投标文件</w:t>
      </w:r>
      <w:r>
        <w:rPr>
          <w:rFonts w:hint="eastAsia" w:ascii="宋体" w:hAnsi="宋体" w:cs="宋体"/>
          <w:b/>
          <w:color w:val="000000"/>
          <w:sz w:val="24"/>
          <w:highlight w:val="none"/>
        </w:rPr>
        <w:t xml:space="preserve">封面（非实质性格式）</w:t>
      </w:r>
      <w:r/>
    </w:p>
    <w:p>
      <w:pPr>
        <w:jc w:val="center"/>
        <w:rPr>
          <w:rFonts w:ascii="宋体" w:hAnsi="宋体" w:cs="宋体"/>
          <w:color w:val="000000"/>
          <w:szCs w:val="21"/>
          <w:highlight w:val="none"/>
        </w:rPr>
      </w:pPr>
      <w:r>
        <w:rPr>
          <w:rFonts w:ascii="宋体" w:hAnsi="宋体" w:cs="宋体"/>
          <w:color w:val="000000"/>
          <w:szCs w:val="21"/>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ascii="宋体" w:hAnsi="宋体" w:cs="宋体"/>
          <w:b/>
          <w:color w:val="000000"/>
          <w:spacing w:val="60"/>
          <w:sz w:val="84"/>
          <w:szCs w:val="84"/>
          <w:highlight w:val="none"/>
        </w:rPr>
      </w:r>
      <w:r/>
    </w:p>
    <w:p>
      <w:pPr>
        <w:jc w:val="center"/>
        <w:rPr>
          <w:rFonts w:ascii="宋体" w:hAnsi="宋体" w:cs="宋体"/>
          <w:b/>
          <w:color w:val="000000"/>
          <w:spacing w:val="60"/>
          <w:sz w:val="84"/>
          <w:szCs w:val="84"/>
          <w:highlight w:val="none"/>
        </w:rPr>
      </w:pPr>
      <w:r>
        <w:rPr>
          <w:rFonts w:hint="eastAsia" w:ascii="宋体" w:hAnsi="宋体" w:cs="宋体"/>
          <w:b/>
          <w:color w:val="000000"/>
          <w:spacing w:val="60"/>
          <w:sz w:val="84"/>
          <w:szCs w:val="84"/>
          <w:highlight w:val="none"/>
        </w:rPr>
        <w:t xml:space="preserve">投 标 文 件</w:t>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963"/>
        <w:rPr>
          <w:rFonts w:ascii="宋体" w:hAnsi="宋体" w:cs="宋体"/>
          <w:b/>
          <w:color w:val="000000"/>
          <w:spacing w:val="60"/>
          <w:sz w:val="52"/>
          <w:szCs w:val="52"/>
          <w:highlight w:val="none"/>
        </w:rPr>
      </w:pPr>
      <w:r>
        <w:rPr>
          <w:rFonts w:ascii="宋体" w:hAnsi="宋体" w:cs="宋体"/>
          <w:b/>
          <w:color w:val="000000"/>
          <w:spacing w:val="60"/>
          <w:sz w:val="52"/>
          <w:szCs w:val="5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542"/>
        <w:rPr>
          <w:rFonts w:ascii="宋体" w:hAnsi="宋体" w:cs="宋体"/>
          <w:b/>
          <w:color w:val="000000"/>
          <w:spacing w:val="20"/>
          <w:sz w:val="32"/>
          <w:szCs w:val="32"/>
          <w:highlight w:val="none"/>
        </w:rPr>
      </w:pPr>
      <w:r>
        <w:rPr>
          <w:rFonts w:ascii="宋体" w:hAnsi="宋体" w:cs="宋体"/>
          <w:b/>
          <w:color w:val="000000"/>
          <w:spacing w:val="20"/>
          <w:sz w:val="32"/>
          <w:szCs w:val="32"/>
          <w:highlight w:val="none"/>
        </w:rPr>
      </w:r>
      <w:r/>
    </w:p>
    <w:p>
      <w:pPr>
        <w:ind w:firstLine="1084"/>
        <w:rPr>
          <w:rFonts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p>
    <w:p>
      <w:pPr>
        <w:ind w:firstLine="1084"/>
        <w:rPr>
          <w:rFonts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               </w:t>
      </w:r>
      <w:r/>
    </w:p>
    <w:p>
      <w:pPr>
        <w:rPr>
          <w:rFonts w:ascii="宋体" w:hAnsi="宋体" w:cs="宋体"/>
          <w:b/>
          <w:color w:val="000000"/>
          <w:sz w:val="36"/>
          <w:highlight w:val="non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p>
    <w:p>
      <w:pPr>
        <w:jc w:val="center"/>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rPr>
          <w:rFonts w:ascii="宋体" w:hAnsi="宋体" w:cs="宋体"/>
          <w:b/>
          <w:color w:val="000000"/>
          <w:sz w:val="32"/>
          <w:szCs w:val="32"/>
          <w:highlight w:val="none"/>
        </w:rPr>
      </w:pPr>
      <w:r>
        <w:rPr>
          <w:rFonts w:hint="eastAsia" w:ascii="宋体" w:hAnsi="宋体" w:cs="宋体"/>
          <w:b/>
          <w:color w:val="000000"/>
          <w:spacing w:val="20"/>
          <w:sz w:val="32"/>
          <w:szCs w:val="32"/>
          <w:highlight w:val="none"/>
        </w:rPr>
        <w:br w:type="page" w:clear="all"/>
      </w:r>
      <w:r>
        <w:rPr>
          <w:rFonts w:hint="eastAsia" w:ascii="宋体" w:hAnsi="宋体" w:cs="宋体"/>
          <w:b/>
          <w:color w:val="000000"/>
          <w:sz w:val="32"/>
          <w:szCs w:val="32"/>
          <w:highlight w:val="none"/>
        </w:rPr>
        <w:t xml:space="preserve">一、资格证明文件</w:t>
      </w:r>
      <w:r/>
    </w:p>
    <w:p>
      <w:pPr>
        <w:rPr>
          <w:rFonts w:ascii="宋体" w:hAnsi="宋体" w:cs="宋体"/>
          <w:b/>
          <w:color w:val="000000"/>
          <w:highlight w:val="none"/>
        </w:rPr>
      </w:pPr>
      <w:r>
        <w:rPr>
          <w:rFonts w:ascii="宋体" w:hAnsi="宋体" w:cs="宋体"/>
          <w:b/>
          <w:color w:val="00000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1 </w:t>
      </w:r>
      <w:r>
        <w:rPr>
          <w:rFonts w:hint="eastAsia" w:ascii="宋体" w:hAnsi="宋体" w:cs="宋体"/>
          <w:color w:val="000000"/>
          <w:sz w:val="24"/>
          <w:highlight w:val="none"/>
        </w:rPr>
        <w:t xml:space="preserve">满足《中华人民共和国政府采购法》第二十二条规定及法律法规的其他规定</w:t>
      </w:r>
      <w:r/>
    </w:p>
    <w:p>
      <w:pPr>
        <w:pStyle w:val="1082"/>
        <w:rPr>
          <w:rFonts w:hAnsi="宋体" w:cs="宋体"/>
          <w:b w:val="0"/>
          <w:bCs/>
          <w:color w:val="000000"/>
          <w:highlight w:val="none"/>
          <w:u w:val="none"/>
        </w:rPr>
      </w:pPr>
      <w:r>
        <w:rPr>
          <w:rFonts w:hint="eastAsia" w:hAnsi="宋体" w:cs="宋体"/>
          <w:b w:val="0"/>
          <w:color w:val="000000"/>
          <w:highlight w:val="none"/>
          <w:u w:val="none"/>
        </w:rPr>
        <w:t xml:space="preserve">供应商资格声明函（实质性格式）</w:t>
      </w:r>
      <w:r/>
    </w:p>
    <w:p>
      <w:pPr>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u w:val="single"/>
        </w:rPr>
      </w:pPr>
      <w:r>
        <w:rPr>
          <w:rFonts w:hint="eastAsia" w:hAnsi="宋体" w:cs="宋体"/>
          <w:color w:val="000000"/>
          <w:highlight w:val="none"/>
        </w:rPr>
        <w:t xml:space="preserve">致：</w:t>
      </w:r>
      <w:r>
        <w:rPr>
          <w:rFonts w:hint="eastAsia" w:hAnsi="宋体" w:cs="宋体"/>
          <w:color w:val="000000"/>
          <w:highlight w:val="none"/>
          <w:u w:val="single"/>
        </w:rPr>
        <w:t xml:space="preserve">（采购人名称）</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按照《中华人民共和国政府采购法》第二十二条和采购文件的规定，我单位郑重声明如下：</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一、我单位是按照中华人民共和国法律规定登记注册的，注册地点为</w:t>
      </w:r>
      <w:r>
        <w:rPr>
          <w:rFonts w:hint="eastAsia" w:hAnsi="宋体" w:cs="宋体"/>
          <w:color w:val="000000"/>
          <w:highlight w:val="none"/>
          <w:u w:val="single"/>
        </w:rPr>
        <w:t xml:space="preserve">         </w:t>
      </w:r>
      <w:r>
        <w:rPr>
          <w:rFonts w:hint="eastAsia" w:hAnsi="宋体" w:cs="宋体"/>
          <w:color w:val="000000"/>
          <w:highlight w:val="none"/>
        </w:rPr>
        <w:t xml:space="preserve">，全称为</w:t>
      </w:r>
      <w:r>
        <w:rPr>
          <w:rFonts w:hint="eastAsia" w:hAnsi="宋体" w:cs="宋体"/>
          <w:color w:val="000000"/>
          <w:highlight w:val="none"/>
          <w:u w:val="single"/>
        </w:rPr>
        <w:t xml:space="preserve">        </w:t>
      </w:r>
      <w:r>
        <w:rPr>
          <w:rFonts w:hint="eastAsia" w:hAnsi="宋体" w:cs="宋体"/>
          <w:color w:val="000000"/>
          <w:highlight w:val="none"/>
        </w:rPr>
        <w:t xml:space="preserve">，统一社会信用代码为</w:t>
      </w:r>
      <w:r>
        <w:rPr>
          <w:rFonts w:hint="eastAsia" w:hAnsi="宋体" w:cs="宋体"/>
          <w:color w:val="000000"/>
          <w:highlight w:val="none"/>
          <w:u w:val="single"/>
        </w:rPr>
        <w:t xml:space="preserve">           </w:t>
      </w:r>
      <w:r>
        <w:rPr>
          <w:rFonts w:hint="eastAsia" w:hAnsi="宋体" w:cs="宋体"/>
          <w:color w:val="000000"/>
          <w:highlight w:val="none"/>
        </w:rPr>
        <w:t xml:space="preserve"> ，法定代表人（单位负责人）为</w:t>
      </w:r>
      <w:r>
        <w:rPr>
          <w:rFonts w:hint="eastAsia" w:hAnsi="宋体" w:cs="宋体"/>
          <w:color w:val="000000"/>
          <w:highlight w:val="none"/>
          <w:u w:val="single"/>
        </w:rPr>
        <w:t xml:space="preserve">         </w:t>
      </w:r>
      <w:r>
        <w:rPr>
          <w:rFonts w:hint="eastAsia" w:hAnsi="宋体" w:cs="宋体"/>
          <w:color w:val="000000"/>
          <w:highlight w:val="none"/>
        </w:rPr>
        <w:t xml:space="preserve">，具有独立承担民事责任的能力。</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二、我单位具有良好的商业信誉（指供应商经营状况良好，无本资格声明第九条情形）和健全的财务会计制度。</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三、我单位依法进行纳税和社会保险申报并实际履行了义务。</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主要设备有：</w:t>
      </w:r>
      <w:r>
        <w:rPr>
          <w:rFonts w:hint="eastAsia" w:hAnsi="宋体" w:cs="宋体"/>
          <w:color w:val="000000"/>
          <w:highlight w:val="none"/>
          <w:u w:val="singl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主要专业技术能力有</w:t>
      </w:r>
      <w:r>
        <w:rPr>
          <w:rFonts w:hint="eastAsia" w:hAnsi="宋体" w:cs="宋体"/>
          <w:color w:val="000000"/>
          <w:highlight w:val="none"/>
          <w:u w:val="singl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六、我单位具备法律、行政法规规定的其他条件。</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七、与我单位存在“单位负责人为同一人或者存在直接控股、管理关系”的其他单位信息如下（如无此情形的，填写“无”）：</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1、与我单位的法定代表人（单位负责人）为同一人的其他单位如下：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2、我单位直接控股的其他单位如下：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3、与我单位存在管理关系的其他单位如下：</w:t>
      </w:r>
      <w:r>
        <w:rPr>
          <w:rFonts w:hint="eastAsia" w:hAnsi="宋体" w:cs="宋体"/>
          <w:color w:val="000000"/>
          <w:highlight w:val="none"/>
          <w:u w:val="single"/>
        </w:rPr>
        <w:t xml:space="preserve">              </w:t>
      </w:r>
      <w:r>
        <w:rPr>
          <w:rFonts w:hint="eastAsia" w:hAnsi="宋体" w:cs="宋体"/>
          <w:color w:val="000000"/>
          <w:highlight w:val="none"/>
        </w:rPr>
        <w:t xml:space="preserve"> </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八、我单位不属于为本项目提供整体设计、规范编制或者项目管理、监理、检测等服务的供应商。</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九、我单位无以下不良信用记录情形：</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1、在“信用中国”网站被列入失信被执行人和重大税收违法案件当事人名单；</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2、在“中国政府采购网”网站被列入政府采购严重违法失信行为记录名单；</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3、不符合《政府采购法》第二十二条规定的条件。</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我单位保证上述声明的事项都是真实的，如有虚假，我单位愿意承担相应的法律责任，并承担因此所造成的一切损失。</w:t>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Ansi="宋体" w:cs="宋体"/>
          <w:color w:val="000000"/>
          <w:highlight w:val="none"/>
        </w:rPr>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                 供应商：（加盖公章）</w:t>
      </w:r>
      <w:r/>
    </w:p>
    <w:p>
      <w:pPr>
        <w:pStyle w:val="1081"/>
        <w:ind w:firstLine="480"/>
        <w:spacing w:line="460" w:lineRule="exact"/>
        <w:rPr>
          <w:rFonts w:hAnsi="宋体" w:cs="宋体"/>
          <w:color w:val="000000"/>
          <w:highlight w:val="none"/>
        </w:rPr>
      </w:pPr>
      <w:r>
        <w:rPr>
          <w:rFonts w:hint="eastAsia" w:hAnsi="宋体" w:cs="宋体"/>
          <w:color w:val="000000"/>
          <w:highlight w:val="none"/>
        </w:rPr>
        <w:t xml:space="preserve">                  法定代表人（或单位负责人）签字或盖章：</w:t>
      </w:r>
      <w:r/>
    </w:p>
    <w:p>
      <w:pPr>
        <w:pStyle w:val="1081"/>
        <w:ind w:firstLine="4320"/>
        <w:spacing w:line="460" w:lineRule="exact"/>
        <w:rPr>
          <w:rFonts w:hAnsi="宋体" w:cs="宋体"/>
          <w:color w:val="000000"/>
          <w:highlight w:val="none"/>
        </w:rPr>
      </w:pPr>
      <w:r>
        <w:rPr>
          <w:rFonts w:hint="eastAsia" w:hAnsi="宋体" w:cs="宋体"/>
          <w:color w:val="000000"/>
          <w:highlight w:val="none"/>
        </w:rPr>
        <w:t xml:space="preserve">日期：    年    月    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color w:val="000000"/>
          <w:sz w:val="24"/>
          <w:highlight w:val="none"/>
        </w:rPr>
        <w:sectPr>
          <w:headerReference w:type="default" r:id="rId10"/>
          <w:footerReference w:type="default" r:id="rId18"/>
          <w:footnotePr/>
          <w:endnotePr/>
          <w:type w:val="nextPage"/>
          <w:pgSz w:w="11907" w:h="16840" w:orient="portrait"/>
          <w:pgMar w:top="1417" w:right="1134" w:bottom="1417" w:left="1701" w:header="851" w:footer="850" w:gutter="0"/>
          <w:cols w:num="1" w:sep="0" w:space="1701" w:equalWidth="1"/>
          <w:docGrid w:linePitch="360"/>
        </w:sect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2 落实政府采购政策需满足的资格要求</w:t>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中小企业声明函（实质性格式）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中小企业声明函（货物）格式</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本公司郑重声明，根据《政府采购促进中小企业发展管理办法》（财库﹝2020﹞46 号）的规定，本公司参加</w:t>
      </w:r>
      <w:r>
        <w:rPr>
          <w:rFonts w:hint="eastAsia" w:ascii="宋体" w:hAnsi="宋体" w:cs="宋体"/>
          <w:color w:val="000000"/>
          <w:spacing w:val="6"/>
          <w:sz w:val="24"/>
          <w:highlight w:val="none"/>
          <w:u w:val="single"/>
        </w:rPr>
        <w:t xml:space="preserve">（单位名称）</w:t>
      </w:r>
      <w:r>
        <w:rPr>
          <w:rFonts w:hint="eastAsia" w:ascii="宋体" w:hAnsi="宋体" w:cs="宋体"/>
          <w:color w:val="000000"/>
          <w:spacing w:val="6"/>
          <w:sz w:val="24"/>
          <w:highlight w:val="none"/>
        </w:rPr>
        <w:t xml:space="preserve">的</w:t>
      </w:r>
      <w:r>
        <w:rPr>
          <w:rFonts w:hint="eastAsia" w:ascii="宋体" w:hAnsi="宋体" w:cs="宋体"/>
          <w:color w:val="000000"/>
          <w:spacing w:val="6"/>
          <w:sz w:val="24"/>
          <w:highlight w:val="none"/>
          <w:u w:val="single"/>
        </w:rPr>
        <w:t xml:space="preserve">（项目名称）</w:t>
      </w:r>
      <w:r>
        <w:rPr>
          <w:rFonts w:hint="eastAsia" w:ascii="宋体" w:hAnsi="宋体" w:cs="宋体"/>
          <w:color w:val="000000"/>
          <w:spacing w:val="6"/>
          <w:sz w:val="24"/>
          <w:highlight w:val="none"/>
        </w:rPr>
        <w:t xml:space="preserve">采购活动，提供的货物全部由符合政策要求的中小企业制造。具体情况如下：</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1.</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w:t>
      </w:r>
      <w:r>
        <w:rPr>
          <w:rFonts w:hint="eastAsia" w:ascii="宋体" w:hAnsi="宋体" w:cs="宋体"/>
          <w:color w:val="000000"/>
          <w:spacing w:val="6"/>
          <w:sz w:val="24"/>
          <w:highlight w:val="none"/>
          <w:vertAlign w:val="superscript"/>
        </w:rPr>
        <w:t xml:space="preserve">1</w:t>
      </w:r>
      <w:r>
        <w:rPr>
          <w:rFonts w:hint="eastAsia" w:ascii="宋体" w:hAnsi="宋体" w:cs="宋体"/>
          <w:color w:val="000000"/>
          <w:spacing w:val="6"/>
          <w:sz w:val="24"/>
          <w:highlight w:val="none"/>
        </w:rPr>
        <w:t xml:space="preserve">，属于（中型企业、小型企业、微型企业）；</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2.</w:t>
      </w: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行业；制造商为</w:t>
      </w:r>
      <w:r>
        <w:rPr>
          <w:rFonts w:hint="eastAsia" w:ascii="宋体" w:hAnsi="宋体" w:cs="宋体"/>
          <w:color w:val="000000"/>
          <w:spacing w:val="6"/>
          <w:sz w:val="24"/>
          <w:highlight w:val="none"/>
          <w:u w:val="single"/>
        </w:rPr>
        <w:t xml:space="preserve">（企业名称）</w:t>
      </w:r>
      <w:r>
        <w:rPr>
          <w:rFonts w:hint="eastAsia" w:ascii="宋体" w:hAnsi="宋体" w:cs="宋体"/>
          <w:color w:val="000000"/>
          <w:spacing w:val="6"/>
          <w:sz w:val="24"/>
          <w:highlight w:val="none"/>
        </w:rPr>
        <w:t xml:space="preserve">，从业人员______人，营业收入为______万元，资产总额为______万元，属于</w:t>
      </w:r>
      <w:r>
        <w:rPr>
          <w:rFonts w:hint="eastAsia" w:ascii="宋体" w:hAnsi="宋体" w:cs="宋体"/>
          <w:color w:val="000000"/>
          <w:spacing w:val="6"/>
          <w:sz w:val="24"/>
          <w:highlight w:val="none"/>
          <w:u w:val="single"/>
        </w:rPr>
        <w:t xml:space="preserve">（中型企业、小型企业、微型企业）</w:t>
      </w: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本企业对上述声明内容的真实性负责。如有虚假，将依法承担相应责任。</w:t>
      </w:r>
      <w:r/>
    </w:p>
    <w:p>
      <w:pPr>
        <w:ind w:firstLine="504"/>
        <w:spacing w:line="360" w:lineRule="auto"/>
        <w:rPr>
          <w:rFonts w:ascii="宋体" w:hAnsi="宋体" w:cs="宋体"/>
          <w:color w:val="000000"/>
          <w:spacing w:val="6"/>
          <w:sz w:val="24"/>
          <w:highlight w:val="none"/>
        </w:rPr>
      </w:pPr>
      <w:r>
        <w:rPr>
          <w:rFonts w:ascii="宋体" w:hAnsi="宋体" w:cs="宋体"/>
          <w:color w:val="000000"/>
          <w:spacing w:val="6"/>
          <w:sz w:val="24"/>
          <w:highlight w:val="none"/>
        </w:rPr>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企业名称（加盖公章）：________</w:t>
      </w:r>
      <w:r/>
    </w:p>
    <w:p>
      <w:pPr>
        <w:ind w:right="360" w:firstLine="480"/>
        <w:jc w:val="righ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 期：________</w:t>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p>
      <w:pPr>
        <w:ind w:right="360"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tbl>
      <w:tblPr>
        <w:tblStyle w:val="904"/>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vertAlign w:val="superscript"/>
              </w:rPr>
              <w:t xml:space="preserve">1</w:t>
            </w:r>
            <w:r>
              <w:rPr>
                <w:rFonts w:hint="eastAsia" w:ascii="宋体" w:hAnsi="宋体" w:cs="宋体"/>
                <w:color w:val="000000"/>
                <w:szCs w:val="21"/>
                <w:highlight w:val="none"/>
              </w:rPr>
              <w:t xml:space="preserve">从业人员、营业收入、资产总额填报上一年度数据，无上一年度数据的新成立企业可不填报。</w:t>
            </w:r>
            <w:r/>
          </w:p>
        </w:tc>
      </w:tr>
    </w:tbl>
    <w:p>
      <w:pPr>
        <w:ind w:firstLine="420"/>
        <w:jc w:val="left"/>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br w:type="page" w:clear="all"/>
      </w:r>
      <w:r/>
    </w:p>
    <w:p>
      <w:pPr>
        <w:jc w:val="center"/>
        <w:spacing w:before="240" w:after="240"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残疾人福利性单位声明函格式</w:t>
      </w:r>
      <w:r>
        <w:rPr>
          <w:rFonts w:hint="eastAsia" w:ascii="宋体" w:hAnsi="宋体" w:cs="宋体"/>
          <w:b/>
          <w:color w:val="000000"/>
          <w:sz w:val="36"/>
          <w:szCs w:val="36"/>
          <w:highlight w:val="none"/>
        </w:rPr>
        <w:t xml:space="preserve">       </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w:t>
      </w:r>
      <w:r>
        <w:rPr>
          <w:rFonts w:hint="eastAsia" w:ascii="宋体" w:hAnsi="宋体" w:cs="宋体"/>
          <w:b/>
          <w:color w:val="000000"/>
          <w:sz w:val="24"/>
          <w:highlight w:val="none"/>
        </w:rPr>
        <w:t xml:space="preserve">（请进行勾选）</w:t>
      </w:r>
      <w:r>
        <w:rPr>
          <w:rFonts w:hint="eastAsia" w:ascii="宋体" w:hAnsi="宋体" w:cs="宋体"/>
          <w:color w:val="000000"/>
          <w:spacing w:val="6"/>
          <w:sz w:val="24"/>
          <w:highlight w:val="none"/>
        </w:rPr>
        <w:t xml:space="preserve">：</w:t>
      </w:r>
      <w:r/>
    </w:p>
    <w:p>
      <w:pPr>
        <w:ind w:firstLine="482"/>
        <w:spacing w:line="588" w:lineRule="exact"/>
        <w:rPr>
          <w:rFonts w:ascii="宋体" w:hAnsi="宋体" w:cs="宋体"/>
          <w:b/>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不属于符合条件的残疾人福利性单位。</w:t>
      </w:r>
      <w:r/>
    </w:p>
    <w:p>
      <w:pPr>
        <w:ind w:firstLine="482"/>
        <w:spacing w:line="588" w:lineRule="exact"/>
        <w:rPr>
          <w:rFonts w:ascii="宋体" w:hAnsi="宋体" w:cs="宋体"/>
          <w:color w:val="000000"/>
          <w:spacing w:val="6"/>
          <w:sz w:val="24"/>
          <w:highlight w:val="none"/>
        </w:rPr>
      </w:pPr>
      <w:r>
        <w:rPr>
          <w:rFonts w:hint="eastAsia" w:ascii="宋体" w:hAnsi="宋体" w:cs="宋体"/>
          <w:b/>
          <w:color w:val="000000"/>
          <w:sz w:val="24"/>
          <w:highlight w:val="none"/>
        </w:rPr>
        <w:t xml:space="preserve">□</w:t>
      </w:r>
      <w:r>
        <w:rPr>
          <w:rFonts w:hint="eastAsia" w:ascii="宋体" w:hAnsi="宋体" w:cs="宋体"/>
          <w:b/>
          <w:color w:val="000000"/>
          <w:spacing w:val="6"/>
          <w:sz w:val="24"/>
          <w:highlight w:val="none"/>
        </w:rPr>
        <w:t xml:space="preserve">属于符合条件的残疾人福利性单位，</w:t>
      </w:r>
      <w:r>
        <w:rPr>
          <w:rFonts w:hint="eastAsia" w:ascii="宋体" w:hAnsi="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color w:val="000000"/>
          <w:spacing w:val="6"/>
          <w:sz w:val="24"/>
          <w:highlight w:val="none"/>
        </w:rPr>
      </w:pPr>
      <w:r>
        <w:rPr>
          <w:rFonts w:hint="eastAsia" w:ascii="宋体" w:hAnsi="宋体" w:cs="宋体"/>
          <w:b/>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单位名称（加盖公章）：</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ascii="宋体" w:hAnsi="宋体" w:cs="宋体"/>
          <w:color w:val="000000"/>
          <w:spacing w:val="6"/>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关于符合本国产品标准的声明函</w:t>
      </w:r>
      <w:r/>
    </w:p>
    <w:p>
      <w:pPr>
        <w:ind w:firstLine="506"/>
        <w:jc w:val="center"/>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jc w:val="center"/>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关于符合本国产品标准的声明函（采购包号：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产品名称1</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0" w:lineRule="atLeast"/>
        <w:widowControl/>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规定比例</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关键组件</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产品名称2</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的</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Style w:val="1154"/>
          <w:rFonts w:hint="eastAsia" w:ascii="Times New Roman" w:hAnsi="Times New Roman" w:eastAsia="宋体" w:cs="Times New Roman"/>
          <w:strike/>
          <w:color w:val="000000"/>
          <w:sz w:val="21"/>
          <w:szCs w:val="24"/>
          <w:highlight w:val="none"/>
          <w:u w:val="single"/>
          <w:shd w:val="clear" w:color="auto" w:fill="ffffff"/>
          <w:lang w:val="en-US" w:eastAsia="zh-CN" w:bidi="ar-SA"/>
        </w:rPr>
        <w:t xml:space="preserve">关键工序</w:t>
      </w:r>
      <w:r>
        <w:rPr>
          <w:rStyle w:val="1154"/>
          <w:rFonts w:hint="eastAsia" w:ascii="Times New Roman" w:hAnsi="Times New Roman" w:eastAsia="宋体" w:cs="Times New Roman"/>
          <w:color w:val="000000"/>
          <w:sz w:val="21"/>
          <w:szCs w:val="24"/>
          <w:highlight w:val="none"/>
          <w:u w:val="single"/>
          <w:shd w:val="clear" w:color="auto" w:fill="ffffff"/>
          <w:lang w:val="en-US" w:eastAsia="zh-CN" w:bidi="ar-SA"/>
        </w:rPr>
        <w:t xml:space="preserve">）</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p>
    <w:p>
      <w:pPr>
        <w:ind w:firstLine="506"/>
        <w:spacing w:line="360" w:lineRule="auto"/>
        <w:rPr>
          <w:rFonts w:hint="default"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本公司（单位）对上述声明内容的真实性负责。如有虚假，愿承担相应法律责任。</w:t>
      </w:r>
      <w:r/>
    </w:p>
    <w:p>
      <w:pPr>
        <w:ind w:firstLine="506"/>
        <w:spacing w:line="360" w:lineRule="auto"/>
        <w:rPr>
          <w:rFonts w:hint="default" w:ascii="Times New Roman" w:hAnsi="Times New Roman" w:eastAsia="宋体" w:cs="Times New Roman"/>
          <w:spacing w:val="6"/>
          <w:sz w:val="24"/>
          <w:highlight w:val="none"/>
        </w:rPr>
      </w:pPr>
      <w:r>
        <w:rPr>
          <w:rFonts w:hint="default" w:ascii="Times New Roman" w:hAnsi="Times New Roman" w:eastAsia="宋体" w:cs="Times New Roman"/>
          <w:spacing w:val="6"/>
          <w:sz w:val="24"/>
          <w:highlight w:val="none"/>
        </w:rPr>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公司（单位）名称（盖章）：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                    </w:t>
      </w:r>
      <w:r>
        <w:rPr>
          <w:rFonts w:hint="default" w:ascii="Times New Roman" w:hAnsi="Times New Roman" w:eastAsia="宋体" w:cs="Times New Roman"/>
          <w:spacing w:val="6"/>
          <w:sz w:val="24"/>
          <w:highlight w:val="none"/>
        </w:rPr>
        <w:t xml:space="preserve">            </w:t>
      </w:r>
      <w:r>
        <w:rPr>
          <w:rFonts w:hint="eastAsia" w:ascii="Times New Roman" w:hAnsi="Times New Roman" w:eastAsia="宋体" w:cs="Times New Roman"/>
          <w:spacing w:val="6"/>
          <w:sz w:val="24"/>
          <w:highlight w:val="none"/>
        </w:rPr>
        <w:t xml:space="preserve">日期：　   年　  月　  日         </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1.产品如有型号，请在“产品名称”栏一并填写。</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2.生产厂名与厂址应与生产厂营业执照载明的相关信息保持一致。</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3.该产品的中国境内生产的组件成本占比相关要求实施前，“规定比例”栏可不填，下同。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4.该产品的关键组件要求实施前，“关键组件”栏可不填，下同。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5.该产品的关键工序要求实施前，“关键工序”栏可不填，下同。</w:t>
      </w:r>
      <w:r/>
    </w:p>
    <w:p>
      <w:pPr>
        <w:ind w:firstLine="506"/>
        <w:spacing w:line="360" w:lineRule="auto"/>
        <w:rPr>
          <w:rFonts w:hint="default" w:ascii="Times New Roman" w:hAnsi="Times New Roman" w:eastAsia="宋体" w:cs="Times New Roman"/>
          <w:spacing w:val="6"/>
          <w:sz w:val="24"/>
          <w:highlight w:val="none"/>
        </w:rPr>
      </w:pPr>
      <w:r>
        <w:rPr>
          <w:rFonts w:hint="eastAsia" w:ascii="Times New Roman" w:hAnsi="Times New Roman" w:eastAsia="宋体" w:cs="Times New Roman"/>
          <w:spacing w:val="6"/>
          <w:sz w:val="24"/>
          <w:highlight w:val="none"/>
        </w:rPr>
        <w:t xml:space="preserve">6.用斜线划除的地方无需填写。</w:t>
      </w:r>
      <w:r/>
    </w:p>
    <w:p>
      <w:pPr>
        <w:rPr>
          <w:rFonts w:hint="eastAsia" w:ascii="宋体" w:hAnsi="宋体" w:cs="宋体"/>
          <w:color w:val="000000"/>
          <w:sz w:val="24"/>
          <w:highlight w:val="none"/>
        </w:rPr>
      </w:pPr>
      <w:r>
        <w:rPr>
          <w:rFonts w:hint="eastAsia" w:ascii="宋体" w:hAnsi="宋体" w:cs="宋体"/>
          <w:color w:val="000000"/>
          <w:sz w:val="24"/>
          <w:highlight w:val="none"/>
        </w:rPr>
        <w:br w:type="page" w:clear="all"/>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center"/>
        <w:widowControl/>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二、商务技术文件格式</w:t>
      </w:r>
      <w:bookmarkStart w:id="828" w:name="_Toc226309800"/>
      <w:r/>
      <w:bookmarkStart w:id="829" w:name="_Toc226965829"/>
      <w:r/>
      <w:bookmarkStart w:id="830" w:name="_Ref467988698"/>
      <w:r/>
      <w:bookmarkStart w:id="831" w:name="_Toc150774761"/>
      <w:r/>
      <w:bookmarkStart w:id="832" w:name="_Toc520356217"/>
      <w:r/>
      <w:bookmarkStart w:id="833" w:name="_Toc150480794"/>
      <w:r/>
      <w:bookmarkStart w:id="834" w:name="_Toc480942349"/>
      <w:r/>
      <w:bookmarkStart w:id="835" w:name="_Toc226337252"/>
      <w:r/>
      <w:bookmarkStart w:id="836" w:name="_Toc195842921"/>
      <w:r/>
      <w:bookmarkStart w:id="837" w:name="_Toc226965746"/>
      <w:r/>
      <w:bookmarkStart w:id="838" w:name="_Toc127151556"/>
      <w:r/>
      <w:bookmarkStart w:id="839" w:name="_Toc142311058"/>
      <w:r/>
      <w:r/>
    </w:p>
    <w:p>
      <w:pPr>
        <w:jc w:val="center"/>
        <w:widowControl/>
        <w:rPr>
          <w:rFonts w:ascii="宋体" w:hAnsi="宋体" w:cs="宋体"/>
          <w:b/>
          <w:color w:val="000000"/>
          <w:sz w:val="32"/>
          <w:szCs w:val="32"/>
          <w:highlight w:val="none"/>
        </w:rPr>
      </w:pPr>
      <w:r>
        <w:rPr>
          <w:rFonts w:ascii="宋体" w:hAnsi="宋体" w:cs="宋体"/>
          <w:b/>
          <w:color w:val="000000"/>
          <w:sz w:val="32"/>
          <w:szCs w:val="32"/>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highlight w:val="none"/>
        </w:rPr>
        <w:t xml:space="preserve">1</w:t>
      </w:r>
      <w:r>
        <w:rPr>
          <w:rFonts w:hint="eastAsia" w:ascii="宋体" w:hAnsi="宋体" w:cs="宋体"/>
          <w:color w:val="000000"/>
          <w:sz w:val="24"/>
          <w:szCs w:val="20"/>
          <w:highlight w:val="none"/>
        </w:rPr>
        <w:t xml:space="preserve">  </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cs="宋体"/>
          <w:color w:val="000000"/>
          <w:sz w:val="24"/>
          <w:highlight w:val="none"/>
        </w:rPr>
        <w:t xml:space="preserve">投标函</w:t>
      </w:r>
      <w:r>
        <w:rPr>
          <w:rFonts w:hint="eastAsia" w:ascii="宋体" w:hAnsi="宋体" w:cs="宋体"/>
          <w:color w:val="000000"/>
          <w:sz w:val="24"/>
          <w:szCs w:val="20"/>
          <w:highlight w:val="none"/>
        </w:rPr>
        <w:t xml:space="preserve">（实质性格式）</w:t>
      </w:r>
      <w:r/>
    </w:p>
    <w:p>
      <w:pPr>
        <w:spacing w:line="360" w:lineRule="auto"/>
        <w:tabs>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投标函</w:t>
      </w:r>
      <w:r/>
    </w:p>
    <w:p>
      <w:pPr>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（采购人）</w:t>
      </w:r>
      <w:r/>
    </w:p>
    <w:p>
      <w:pPr>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我方参加你方就___________（项目名称，项目编号/包号）组织的采购活动，并对此项目进行投标。</w:t>
      </w:r>
      <w:r/>
    </w:p>
    <w:p>
      <w:pPr>
        <w:ind w:firstLine="408"/>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 我方</w:t>
      </w:r>
      <w:r>
        <w:rPr>
          <w:rFonts w:hint="eastAsia" w:ascii="宋体" w:hAnsi="宋体" w:cs="宋体"/>
          <w:color w:val="000000"/>
          <w:sz w:val="24"/>
          <w:highlight w:val="none"/>
        </w:rPr>
        <w:t xml:space="preserve">已详细审查全部采购文件</w:t>
      </w:r>
      <w:r>
        <w:rPr>
          <w:rFonts w:hint="eastAsia" w:ascii="宋体" w:hAnsi="宋体" w:cs="宋体"/>
          <w:color w:val="000000"/>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（1）本投标有效期为自提交投标文件的截止之日起</w:t>
      </w:r>
      <w:r>
        <w:rPr>
          <w:rFonts w:hint="eastAsia" w:ascii="宋体" w:hAnsi="宋体" w:cs="宋体"/>
          <w:color w:val="000000"/>
          <w:sz w:val="24"/>
          <w:highlight w:val="none"/>
        </w:rPr>
        <w:t xml:space="preserve">60</w:t>
      </w:r>
      <w:r>
        <w:rPr>
          <w:rFonts w:hint="eastAsia" w:ascii="宋体" w:hAnsi="宋体" w:cs="宋体"/>
          <w:color w:val="000000"/>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（2）除采购需求偏离表列出的偏离外，我方响应采购文件的全部要求。</w:t>
      </w:r>
      <w:r/>
    </w:p>
    <w:p>
      <w:pPr>
        <w:ind w:firstLine="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color w:val="000000"/>
          <w:sz w:val="24"/>
          <w:highlight w:val="none"/>
        </w:rPr>
      </w:pPr>
      <w:r>
        <w:rPr>
          <w:rFonts w:hint="eastAsia" w:ascii="宋体" w:hAnsi="宋体" w:cs="宋体"/>
          <w:color w:val="000000"/>
          <w:sz w:val="24"/>
          <w:szCs w:val="20"/>
          <w:highlight w:val="none"/>
        </w:rPr>
        <w:t xml:space="preserve">（4）如我方中标，我方将在法律规定的期限内与你方签订合同，按照采购文件要求提交履约保证金，并在合同约定的期限内完成合同规定的全部义务。</w:t>
      </w:r>
      <w:r/>
    </w:p>
    <w:p>
      <w:pPr>
        <w:ind w:left="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其他补充条款（如有）：</w:t>
      </w:r>
      <w:r>
        <w:rPr>
          <w:rFonts w:hint="eastAsia" w:ascii="宋体" w:hAnsi="宋体" w:cs="宋体"/>
          <w:color w:val="000000"/>
          <w:sz w:val="24"/>
          <w:szCs w:val="20"/>
          <w:highlight w:val="none"/>
        </w:rPr>
        <w:t xml:space="preserve">___________</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与本投标有关的一切正式往来信函请寄：</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电话_________________________     电子函件________________________</w:t>
      </w:r>
      <w:r/>
    </w:p>
    <w:p>
      <w:pPr>
        <w:ind w:left="420"/>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供应商名称（加盖公章） ___________</w:t>
      </w:r>
      <w:r/>
    </w:p>
    <w:p>
      <w:pPr>
        <w:ind w:left="420"/>
        <w:spacing w:line="360" w:lineRule="auto"/>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日期：_____年______月______日    </w:t>
      </w:r>
      <w:r/>
    </w:p>
    <w:p>
      <w:pPr>
        <w:ind w:left="420"/>
        <w:spacing w:line="360" w:lineRule="auto"/>
        <w:tabs>
          <w:tab w:val="left" w:pos="5580" w:leader="none"/>
        </w:tabs>
        <w:rPr>
          <w:rFonts w:ascii="宋体" w:hAnsi="宋体" w:cs="宋体"/>
          <w:color w:val="000000"/>
          <w:sz w:val="24"/>
          <w:szCs w:val="20"/>
          <w:highlight w:val="none"/>
          <w:u w:val="single"/>
        </w:rPr>
      </w:pPr>
      <w:r>
        <w:rPr>
          <w:rFonts w:ascii="宋体" w:hAnsi="宋体" w:cs="宋体"/>
          <w:color w:val="000000"/>
          <w:sz w:val="24"/>
          <w:szCs w:val="20"/>
          <w:highlight w:val="none"/>
          <w:u w:val="single"/>
        </w:rPr>
      </w:r>
      <w:r/>
    </w:p>
    <w:p>
      <w:pPr>
        <w:jc w:val="left"/>
        <w:widowControl/>
        <w:rPr>
          <w:rFonts w:ascii="宋体" w:hAnsi="宋体" w:cs="宋体"/>
          <w:color w:val="000000"/>
          <w:sz w:val="24"/>
          <w:highlight w:val="none"/>
        </w:rPr>
      </w:pPr>
      <w:r/>
      <w:bookmarkStart w:id="840" w:name="_Hlt520355938"/>
      <w:r/>
      <w:bookmarkEnd w:id="840"/>
      <w:r/>
      <w:bookmarkStart w:id="841" w:name="_Hlt520356243"/>
      <w:r/>
      <w:bookmarkEnd w:id="841"/>
      <w:r>
        <w:rPr>
          <w:rFonts w:hint="eastAsia" w:ascii="宋体" w:hAnsi="宋体" w:cs="宋体"/>
          <w:color w:val="000000"/>
          <w:sz w:val="24"/>
          <w:highlight w:val="none"/>
        </w:rPr>
        <w:br w:type="page" w:clear="all"/>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2  法定代表人资格证明书</w:t>
      </w:r>
      <w:r>
        <w:rPr>
          <w:rFonts w:hint="eastAsia" w:ascii="宋体" w:hAnsi="宋体" w:cs="宋体"/>
          <w:color w:val="000000"/>
          <w:sz w:val="24"/>
          <w:szCs w:val="20"/>
          <w:highlight w:val="none"/>
        </w:rPr>
        <w:t xml:space="preserve">（实质性格式）</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法定代表人资格证明书</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单位名称:</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地址:</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姓名:     性别:       年龄:      职务: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（投标单位名称）</w:t>
      </w:r>
      <w:r>
        <w:rPr>
          <w:rFonts w:hint="eastAsia" w:ascii="宋体" w:hAnsi="宋体" w:cs="宋体"/>
          <w:color w:val="000000"/>
          <w:sz w:val="24"/>
          <w:highlight w:val="none"/>
        </w:rPr>
        <w:t xml:space="preserve">的法定代表人。为参与</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的政府采购活动，</w:t>
      </w:r>
      <w:r>
        <w:rPr>
          <w:rFonts w:hint="eastAsia" w:ascii="宋体" w:hAnsi="宋体" w:cs="宋体"/>
          <w:color w:val="000000"/>
          <w:sz w:val="24"/>
          <w:szCs w:val="20"/>
          <w:highlight w:val="none"/>
        </w:rPr>
        <w:t xml:space="preserve">签署、澄清确认、递交、撤回、修改</w:t>
      </w:r>
      <w:r>
        <w:rPr>
          <w:rFonts w:hint="eastAsia" w:ascii="宋体" w:hAnsi="宋体" w:cs="宋体"/>
          <w:color w:val="000000"/>
          <w:sz w:val="24"/>
          <w:highlight w:val="none"/>
        </w:rPr>
        <w:t xml:space="preserve">上述项目的投标文件、进行合同谈判、签署合同和处理与之有关的一切事务。</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特此证明。</w:t>
      </w:r>
      <w:r/>
    </w:p>
    <w:p>
      <w:pPr>
        <w:spacing w:line="560" w:lineRule="exact"/>
        <w:rPr>
          <w:rFonts w:ascii="宋体" w:hAnsi="宋体" w:cs="宋体"/>
          <w:color w:val="000000"/>
          <w:sz w:val="24"/>
          <w:highlight w:val="none"/>
        </w:rPr>
      </w:pPr>
      <w:r>
        <w:rPr>
          <w:rFonts w:ascii="宋体" w:hAnsi="宋体" w:cs="宋体"/>
          <w:color w:val="000000"/>
          <w:sz w:val="24"/>
          <w:highlight w:val="none"/>
        </w:rPr>
      </w:r>
      <w:r/>
    </w:p>
    <w:p>
      <w:pPr>
        <w:pStyle w:val="1091"/>
        <w:ind w:right="-46"/>
        <w:spacing w:line="583" w:lineRule="auto"/>
        <w:rPr>
          <w:rFonts w:cs="宋体"/>
          <w:color w:val="000000"/>
          <w:spacing w:val="-3"/>
          <w:highlight w:val="none"/>
        </w:rPr>
      </w:pPr>
      <w:r>
        <w:rPr>
          <w:rFonts w:hint="eastAsia" w:cs="宋体"/>
          <w:color w:val="000000"/>
          <w:highlight w:val="none"/>
        </w:rPr>
        <w:t xml:space="preserve">附：</w:t>
      </w:r>
      <w:r>
        <w:rPr>
          <w:rFonts w:hint="eastAsia" w:cs="宋体"/>
          <w:color w:val="000000"/>
          <w:spacing w:val="-3"/>
          <w:highlight w:val="none"/>
        </w:rPr>
        <w:t xml:space="preserve">法</w:t>
      </w:r>
      <w:r>
        <w:rPr>
          <w:rFonts w:hint="eastAsia" w:cs="宋体"/>
          <w:color w:val="000000"/>
          <w:highlight w:val="none"/>
        </w:rPr>
        <w:t xml:space="preserve">定</w:t>
      </w:r>
      <w:r>
        <w:rPr>
          <w:rFonts w:hint="eastAsia" w:cs="宋体"/>
          <w:color w:val="000000"/>
          <w:spacing w:val="-3"/>
          <w:highlight w:val="none"/>
        </w:rPr>
        <w:t xml:space="preserve">代</w:t>
      </w:r>
      <w:r>
        <w:rPr>
          <w:rFonts w:hint="eastAsia" w:cs="宋体"/>
          <w:color w:val="000000"/>
          <w:highlight w:val="none"/>
        </w:rPr>
        <w:t xml:space="preserve">表</w:t>
      </w:r>
      <w:r>
        <w:rPr>
          <w:rFonts w:hint="eastAsia" w:cs="宋体"/>
          <w:color w:val="000000"/>
          <w:spacing w:val="-3"/>
          <w:highlight w:val="none"/>
        </w:rPr>
        <w:t xml:space="preserve">人</w:t>
      </w:r>
      <w:r>
        <w:rPr>
          <w:rFonts w:hint="eastAsia" w:cs="宋体"/>
          <w:color w:val="000000"/>
          <w:highlight w:val="none"/>
        </w:rPr>
        <w:t xml:space="preserve">（</w:t>
      </w:r>
      <w:r>
        <w:rPr>
          <w:rFonts w:hint="eastAsia" w:cs="宋体"/>
          <w:color w:val="000000"/>
          <w:spacing w:val="-3"/>
          <w:highlight w:val="none"/>
        </w:rPr>
        <w:t xml:space="preserve">单</w:t>
      </w:r>
      <w:r>
        <w:rPr>
          <w:rFonts w:hint="eastAsia" w:cs="宋体"/>
          <w:color w:val="000000"/>
          <w:highlight w:val="none"/>
        </w:rPr>
        <w:t xml:space="preserve">位</w:t>
      </w:r>
      <w:r>
        <w:rPr>
          <w:rFonts w:hint="eastAsia" w:cs="宋体"/>
          <w:color w:val="000000"/>
          <w:spacing w:val="-3"/>
          <w:highlight w:val="none"/>
        </w:rPr>
        <w:t xml:space="preserve">负</w:t>
      </w:r>
      <w:r>
        <w:rPr>
          <w:rFonts w:hint="eastAsia" w:cs="宋体"/>
          <w:color w:val="000000"/>
          <w:highlight w:val="none"/>
        </w:rPr>
        <w:t xml:space="preserve">责人</w:t>
      </w:r>
      <w:r>
        <w:rPr>
          <w:rFonts w:hint="eastAsia" w:cs="宋体"/>
          <w:color w:val="000000"/>
          <w:spacing w:val="-3"/>
          <w:highlight w:val="none"/>
        </w:rPr>
        <w:t xml:space="preserve">）有效期内的身份证正反面电子件。</w:t>
      </w:r>
      <w:r/>
    </w:p>
    <w:tbl>
      <w:tblPr>
        <w:tblStyle w:val="9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p>
            <w:pPr>
              <w:jc w:val="left"/>
              <w:spacing w:line="360" w:lineRule="auto"/>
              <w:tabs>
                <w:tab w:val="left" w:pos="5580" w:leader="none"/>
              </w:tabs>
              <w:rPr>
                <w:rFonts w:ascii="宋体" w:hAnsi="宋体" w:cs="宋体"/>
                <w:color w:val="000000"/>
                <w:sz w:val="24"/>
                <w:szCs w:val="20"/>
                <w:highlight w:val="none"/>
              </w:rPr>
            </w:pPr>
            <w:r>
              <w:rPr>
                <w:rFonts w:ascii="宋体" w:hAnsi="宋体" w:cs="宋体"/>
                <w:color w:val="000000"/>
                <w:sz w:val="24"/>
                <w:szCs w:val="20"/>
                <w:highlight w:val="none"/>
              </w:rPr>
            </w:r>
            <w:r/>
          </w:p>
        </w:tc>
      </w:tr>
    </w:tbl>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供应商：（加盖公章）</w:t>
      </w:r>
      <w:r/>
    </w:p>
    <w:p>
      <w:pPr>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                       法定代表人</w:t>
      </w:r>
      <w:r>
        <w:rPr>
          <w:rFonts w:hint="eastAsia" w:ascii="宋体" w:hAnsi="宋体" w:cs="宋体"/>
          <w:color w:val="000000"/>
          <w:sz w:val="24"/>
          <w:szCs w:val="20"/>
          <w:highlight w:val="none"/>
        </w:rPr>
        <w:t xml:space="preserve">签字或签章或印鉴</w:t>
      </w:r>
      <w:r>
        <w:rPr>
          <w:rFonts w:hint="eastAsia" w:ascii="宋体" w:hAnsi="宋体" w:cs="宋体"/>
          <w:color w:val="000000"/>
          <w:sz w:val="24"/>
          <w:highlight w:val="none"/>
        </w:rPr>
        <w:t xml:space="preserve">：</w:t>
      </w:r>
      <w:r/>
    </w:p>
    <w:p>
      <w:pPr>
        <w:ind w:firstLine="432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pStyle w:val="907"/>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907"/>
        <w:rPr>
          <w:rFonts w:cs="宋体"/>
          <w:color w:val="000000"/>
          <w:highlight w:val="none"/>
        </w:rPr>
      </w:pPr>
      <w:r>
        <w:rPr>
          <w:rFonts w:cs="宋体"/>
          <w:color w:val="000000"/>
          <w:highlight w:val="none"/>
        </w:rPr>
      </w:r>
      <w:r/>
    </w:p>
    <w:p>
      <w:pPr>
        <w:rPr>
          <w:rFonts w:ascii="宋体" w:hAnsi="宋体" w:cs="宋体"/>
          <w:color w:val="000000"/>
          <w:sz w:val="24"/>
          <w:highlight w:val="none"/>
        </w:rPr>
      </w:pPr>
      <w:r>
        <w:rPr>
          <w:rFonts w:ascii="宋体" w:hAnsi="宋体" w:cs="宋体"/>
          <w:color w:val="000000"/>
          <w:sz w:val="24"/>
          <w:highlight w:val="none"/>
        </w:rPr>
      </w:r>
      <w:r/>
    </w:p>
    <w:p>
      <w:pPr>
        <w:pStyle w:val="907"/>
        <w:rPr>
          <w:highlight w:val="none"/>
        </w:rPr>
      </w:pPr>
      <w:r>
        <w:rPr>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3  政府采购供应商信用承诺书</w:t>
      </w:r>
      <w:r>
        <w:rPr>
          <w:rFonts w:hint="eastAsia" w:ascii="宋体" w:hAnsi="宋体" w:cs="宋体"/>
          <w:color w:val="000000"/>
          <w:sz w:val="24"/>
          <w:szCs w:val="20"/>
          <w:highlight w:val="none"/>
        </w:rPr>
        <w:t xml:space="preserve">（实质性格式）</w:t>
      </w:r>
      <w:r/>
    </w:p>
    <w:p>
      <w:pPr>
        <w:ind w:firstLine="321"/>
        <w:jc w:val="center"/>
        <w:spacing w:line="56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ind w:firstLine="321"/>
        <w:jc w:val="center"/>
        <w:spacing w:line="56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政府采购供应商信用承诺书</w:t>
      </w:r>
      <w:r/>
    </w:p>
    <w:p>
      <w:pPr>
        <w:ind w:firstLine="640"/>
        <w:rPr>
          <w:rFonts w:ascii="宋体" w:hAnsi="宋体" w:cs="宋体"/>
          <w:color w:val="000000"/>
          <w:highlight w:val="none"/>
        </w:rPr>
      </w:pPr>
      <w:r>
        <w:rPr>
          <w:rFonts w:ascii="宋体" w:hAnsi="宋体" w:cs="宋体"/>
          <w:color w:val="000000"/>
          <w:highlight w:val="none"/>
        </w:rPr>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五、承诺本单位自觉接受行政管理部门、行业组织、社会公众、新闻舆论的监督。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七、承诺本单位在信用中国（江苏）网站中无违法违规、较重或严重失信记录。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八、承诺本单位提出政府采购质疑和投诉坚持依法依规、诚实信用原则。</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九、根据政府采购相关法律法规的规定需要作出的其他承诺。 </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s="宋体"/>
          <w:color w:val="000000"/>
          <w:sz w:val="24"/>
          <w:highlight w:val="none"/>
        </w:rPr>
      </w:pPr>
      <w:r>
        <w:rPr>
          <w:rFonts w:hint="eastAsia" w:ascii="宋体" w:hAnsi="宋体" w:cs="宋体"/>
          <w:color w:val="000000"/>
          <w:sz w:val="24"/>
          <w:highlight w:val="none"/>
        </w:rPr>
        <w:t xml:space="preserve">十一、承诺本单位同意将以上承诺事项上网公示，违背承诺约定行为将作为失信信息，记录到常州市公共信用信息系统，并予以公开。</w:t>
      </w:r>
      <w:r/>
    </w:p>
    <w:p>
      <w:pPr>
        <w:pStyle w:val="1327"/>
        <w:ind w:right="1050" w:firstLine="2880"/>
        <w:jc w:val="both"/>
        <w:spacing w:line="276" w:lineRule="auto"/>
        <w:rPr>
          <w:rFonts w:ascii="宋体" w:hAnsi="宋体" w:eastAsia="宋体" w:cs="宋体"/>
          <w:color w:val="000000"/>
          <w:sz w:val="24"/>
          <w:szCs w:val="22"/>
          <w:highlight w:val="none"/>
        </w:rPr>
      </w:pPr>
      <w:r>
        <w:rPr>
          <w:rFonts w:ascii="宋体" w:hAnsi="宋体" w:eastAsia="宋体" w:cs="宋体"/>
          <w:color w:val="000000"/>
          <w:sz w:val="24"/>
          <w:szCs w:val="22"/>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pPr>
      <w:r/>
      <w:bookmarkStart w:id="842" w:name="_Hlt520274065"/>
      <w:r/>
      <w:bookmarkEnd w:id="842"/>
      <w:r/>
      <w:bookmarkStart w:id="843" w:name="_Hlt520274407"/>
      <w:r/>
      <w:bookmarkEnd w:id="843"/>
      <w:r/>
      <w:bookmarkStart w:id="844" w:name="_Hlt520355504"/>
      <w:r/>
      <w:bookmarkEnd w:id="844"/>
      <w:r/>
      <w:bookmarkStart w:id="845" w:name="_Hlt520350918"/>
      <w:r/>
      <w:bookmarkEnd w:id="845"/>
      <w:r/>
      <w:bookmarkStart w:id="846" w:name="_Hlt520271212"/>
      <w:r/>
      <w:bookmarkEnd w:id="846"/>
      <w:r/>
      <w:bookmarkStart w:id="847" w:name="_Hlt520274121"/>
      <w:r/>
      <w:bookmarkEnd w:id="847"/>
      <w:r/>
      <w:bookmarkStart w:id="848" w:name="_Hlt520343000"/>
      <w:r/>
      <w:bookmarkEnd w:id="848"/>
      <w:r/>
      <w:bookmarkStart w:id="849" w:name="_Hlt520274393"/>
      <w:r/>
      <w:bookmarkEnd w:id="849"/>
      <w:r/>
      <w:bookmarkStart w:id="850" w:name="_Hlt520273711"/>
      <w:r/>
      <w:bookmarkEnd w:id="850"/>
      <w:r/>
      <w:bookmarkStart w:id="851" w:name="_Hlt520343392"/>
      <w:r/>
      <w:bookmarkEnd w:id="851"/>
      <w:r/>
      <w:bookmarkStart w:id="852" w:name="_Toc480942350"/>
      <w:r/>
      <w:bookmarkStart w:id="853" w:name="_Toc150480795"/>
      <w:r/>
      <w:bookmarkStart w:id="854" w:name="_Toc226309801"/>
      <w:r/>
      <w:bookmarkStart w:id="855" w:name="_Toc127151557"/>
      <w:r/>
      <w:bookmarkStart w:id="856" w:name="_Toc226337253"/>
      <w:r/>
      <w:bookmarkStart w:id="857" w:name="_Toc195842922"/>
      <w:r/>
      <w:bookmarkStart w:id="858" w:name="_Toc265228395"/>
      <w:r/>
      <w:bookmarkStart w:id="859" w:name="_Toc520356218"/>
      <w:r/>
      <w:bookmarkStart w:id="860" w:name="_Toc226965830"/>
      <w:r/>
      <w:bookmarkStart w:id="861" w:name="_Toc142311059"/>
      <w:r/>
      <w:bookmarkStart w:id="862" w:name="_Toc305158825"/>
      <w:r/>
      <w:bookmarkStart w:id="863" w:name="_Toc305158899"/>
      <w:r/>
      <w:bookmarkStart w:id="864" w:name="_Ref467988705"/>
      <w:r/>
      <w:bookmarkStart w:id="865" w:name="_Toc264969247"/>
      <w:r/>
      <w:bookmarkStart w:id="866" w:name="_Toc150774762"/>
      <w:r/>
      <w:bookmarkStart w:id="867" w:name="_Toc226965747"/>
      <w:r>
        <w:rPr>
          <w:rFonts w:hint="eastAsia" w:ascii="宋体" w:hAnsi="宋体" w:cs="宋体"/>
          <w:color w:val="000000"/>
          <w:sz w:val="24"/>
          <w:szCs w:val="20"/>
          <w:highlight w:val="none"/>
        </w:rPr>
        <w:br w:type="page" w:clear="all"/>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4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
    </w:p>
    <w:p>
      <w:pPr>
        <w:jc w:val="center"/>
        <w:spacing w:line="360" w:lineRule="exact"/>
        <w:rPr>
          <w:rFonts w:ascii="宋体" w:hAnsi="宋体" w:cs="宋体"/>
          <w:b/>
          <w:color w:val="000000"/>
          <w:sz w:val="36"/>
          <w:szCs w:val="36"/>
          <w:highlight w:val="none"/>
        </w:rPr>
      </w:pPr>
      <w:r/>
      <w:bookmarkStart w:id="868" w:name="_Toc226337254"/>
      <w:r/>
      <w:bookmarkStart w:id="869" w:name="_Toc265228396"/>
      <w:r/>
      <w:bookmarkStart w:id="870" w:name="_Toc226309802"/>
      <w:r/>
      <w:bookmarkStart w:id="871" w:name="_Toc164608672"/>
      <w:r/>
      <w:bookmarkStart w:id="872" w:name="_Toc164608827"/>
      <w:r/>
      <w:bookmarkStart w:id="873" w:name="_Toc264969248"/>
      <w:r/>
      <w:bookmarkStart w:id="874" w:name="_Toc226965748"/>
      <w:r/>
      <w:bookmarkStart w:id="875" w:name="_Toc305158826"/>
      <w:r/>
      <w:bookmarkStart w:id="876" w:name="_Toc195842923"/>
      <w:r/>
      <w:bookmarkStart w:id="877" w:name="_Toc226965831"/>
      <w:r/>
      <w:bookmarkStart w:id="878" w:name="_Toc305158900"/>
      <w:r>
        <w:rPr>
          <w:rFonts w:hint="eastAsia" w:ascii="宋体" w:hAnsi="宋体" w:cs="宋体"/>
          <w:b/>
          <w:color w:val="000000"/>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
    </w:p>
    <w:p>
      <w:pPr>
        <w:jc w:val="left"/>
        <w:spacing w:line="360" w:lineRule="auto"/>
        <w:tabs>
          <w:tab w:val="left" w:pos="1800" w:leader="none"/>
          <w:tab w:val="left" w:pos="5580" w:leader="none"/>
        </w:tabs>
        <w:rPr>
          <w:rFonts w:ascii="宋体" w:hAnsi="宋体" w:cs="宋体"/>
          <w:i/>
          <w:color w:val="000000"/>
          <w:sz w:val="24"/>
          <w:highlight w:val="none"/>
        </w:rPr>
      </w:pPr>
      <w:r>
        <w:rPr>
          <w:rFonts w:ascii="宋体" w:hAnsi="宋体" w:cs="宋体"/>
          <w:i/>
          <w:color w:val="000000"/>
          <w:sz w:val="24"/>
          <w:highlight w:val="none"/>
        </w:rPr>
      </w:r>
      <w:r/>
    </w:p>
    <w:p>
      <w:pPr>
        <w:ind w:firstLine="24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904"/>
        <w:tblW w:w="46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77"/>
        <w:gridCol w:w="2557"/>
        <w:gridCol w:w="1508"/>
        <w:gridCol w:w="3557"/>
      </w:tblGrid>
      <w:tr>
        <w:trPr>
          <w:jc w:val="center"/>
          <w:trHeight w:val="567" w:hRule="exact"/>
        </w:trPr>
        <w:tc>
          <w:tcPr>
            <w:tcW w:w="612"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序号号</w:t>
            </w:r>
            <w:r/>
          </w:p>
        </w:tc>
        <w:tc>
          <w:tcPr>
            <w:tcW w:w="2013" w:type="dxa"/>
            <w:vAlign w:val="center"/>
            <w:vMerge w:val="restart"/>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供应商名称</w:t>
            </w:r>
            <w:r/>
          </w:p>
        </w:tc>
        <w:tc>
          <w:tcPr>
            <w:gridSpan w:val="2"/>
            <w:tcW w:w="3988"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投标报价（元）</w:t>
            </w:r>
            <w:r/>
          </w:p>
        </w:tc>
      </w:tr>
      <w:tr>
        <w:trPr>
          <w:jc w:val="center"/>
          <w:trHeight w:val="567" w:hRule="exact"/>
        </w:trPr>
        <w:tc>
          <w:tcPr>
            <w:tcW w:w="612"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2013" w:type="dxa"/>
            <w:vAlign w:val="center"/>
            <w:vMerge w:val="continue"/>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大写</w:t>
            </w:r>
            <w:r/>
          </w:p>
        </w:tc>
        <w:tc>
          <w:tcPr>
            <w:tcW w:w="1186" w:type="dxa"/>
            <w:vAlign w:val="center"/>
            <w:textDirection w:val="lrTb"/>
            <w:noWrap w:val="false"/>
          </w:tcPr>
          <w:p>
            <w:pPr>
              <w:jc w:val="center"/>
              <w:tabs>
                <w:tab w:val="left" w:pos="5580" w:leader="none"/>
              </w:tabs>
              <w:rPr>
                <w:rFonts w:ascii="宋体" w:hAnsi="宋体" w:cs="宋体"/>
                <w:b/>
                <w:color w:val="000000"/>
                <w:sz w:val="24"/>
                <w:highlight w:val="none"/>
              </w:rPr>
            </w:pPr>
            <w:r>
              <w:rPr>
                <w:rFonts w:hint="eastAsia" w:ascii="宋体" w:hAnsi="宋体" w:cs="宋体"/>
                <w:b/>
                <w:color w:val="000000"/>
                <w:sz w:val="24"/>
                <w:highlight w:val="none"/>
              </w:rPr>
              <w:t xml:space="preserve">小写</w:t>
            </w:r>
            <w:r/>
          </w:p>
        </w:tc>
      </w:tr>
      <w:tr>
        <w:trPr>
          <w:jc w:val="center"/>
          <w:trHeight w:val="567" w:hRule="exact"/>
        </w:trPr>
        <w:tc>
          <w:tcPr>
            <w:tcW w:w="612" w:type="dxa"/>
            <w:vAlign w:val="center"/>
            <w:textDirection w:val="lrTb"/>
            <w:noWrap w:val="false"/>
          </w:tcPr>
          <w:p>
            <w:pPr>
              <w:jc w:val="center"/>
              <w:tabs>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013"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7"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c>
          <w:tcPr>
            <w:tcW w:w="1186" w:type="dxa"/>
            <w:vAlign w:val="center"/>
            <w:textDirection w:val="lrTb"/>
            <w:noWrap w:val="false"/>
          </w:tcPr>
          <w:p>
            <w:pPr>
              <w:jc w:val="center"/>
              <w:tabs>
                <w:tab w:val="left" w:pos="5580" w:leader="none"/>
              </w:tabs>
              <w:rPr>
                <w:rFonts w:ascii="宋体" w:hAnsi="宋体" w:cs="宋体"/>
                <w:color w:val="000000"/>
                <w:sz w:val="24"/>
                <w:highlight w:val="none"/>
              </w:rPr>
            </w:pPr>
            <w:r>
              <w:rPr>
                <w:rFonts w:ascii="宋体" w:hAnsi="宋体" w:cs="宋体"/>
                <w:color w:val="000000"/>
                <w:sz w:val="24"/>
                <w:highlight w:val="none"/>
              </w:rPr>
            </w:r>
            <w:r/>
          </w:p>
        </w:tc>
      </w:tr>
    </w:tbl>
    <w:p>
      <w:pPr>
        <w:jc w:val="left"/>
        <w:rPr>
          <w:rFonts w:ascii="宋体" w:hAnsi="宋体" w:cs="宋体"/>
          <w:color w:val="000000"/>
          <w:sz w:val="24"/>
          <w:highlight w:val="none"/>
        </w:rPr>
      </w:pPr>
      <w:r>
        <w:rPr>
          <w:rFonts w:ascii="宋体" w:hAnsi="宋体" w:cs="宋体"/>
          <w:color w:val="000000"/>
          <w:sz w:val="24"/>
          <w:highlight w:val="none"/>
        </w:rPr>
      </w:r>
      <w:r/>
    </w:p>
    <w:p>
      <w:pPr>
        <w:jc w:val="left"/>
        <w:rPr>
          <w:rFonts w:ascii="宋体" w:hAnsi="宋体" w:cs="宋体"/>
          <w:color w:val="000000"/>
          <w:sz w:val="24"/>
          <w:szCs w:val="20"/>
          <w:highlight w:val="none"/>
        </w:rPr>
      </w:pPr>
      <w:r>
        <w:rPr>
          <w:rFonts w:hint="eastAsia" w:ascii="宋体" w:hAnsi="宋体" w:cs="宋体"/>
          <w:color w:val="000000"/>
          <w:sz w:val="24"/>
          <w:highlight w:val="none"/>
        </w:rPr>
        <w:t xml:space="preserve">注：1</w:t>
      </w:r>
      <w:r>
        <w:rPr>
          <w:rFonts w:hint="eastAsia" w:ascii="宋体" w:hAnsi="宋体" w:cs="宋体"/>
          <w:color w:val="000000"/>
          <w:sz w:val="24"/>
          <w:szCs w:val="20"/>
          <w:highlight w:val="none"/>
        </w:rPr>
        <w:t xml:space="preserve">.此表中，每包的投标报价应和《投标分项报价表》中的总价相一致。</w:t>
      </w:r>
      <w:r/>
    </w:p>
    <w:p>
      <w:pPr>
        <w:ind w:firstLine="480"/>
        <w:tabs>
          <w:tab w:val="left" w:pos="5580" w:leader="none"/>
        </w:tabs>
        <w:rPr>
          <w:rFonts w:ascii="宋体" w:hAnsi="宋体" w:cs="宋体"/>
          <w:color w:val="000000"/>
          <w:sz w:val="24"/>
          <w:szCs w:val="20"/>
          <w:highlight w:val="none"/>
        </w:rPr>
      </w:pPr>
      <w:r>
        <w:rPr>
          <w:rFonts w:hint="eastAsia" w:ascii="宋体" w:hAnsi="宋体" w:cs="宋体"/>
          <w:color w:val="000000"/>
          <w:sz w:val="24"/>
          <w:szCs w:val="20"/>
          <w:highlight w:val="none"/>
        </w:rPr>
        <w:t xml:space="preserve">2.本表必须按包分别填写。</w:t>
      </w:r>
      <w:r/>
    </w:p>
    <w:p>
      <w:pPr>
        <w:spacing w:before="25" w:after="25"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jc w:val="left"/>
        <w:widowControl/>
        <w:rPr>
          <w:rFonts w:ascii="宋体" w:hAnsi="宋体" w:cs="宋体"/>
          <w:color w:val="000000"/>
          <w:sz w:val="24"/>
          <w:szCs w:val="20"/>
          <w:highlight w:val="none"/>
        </w:rPr>
        <w:sectPr>
          <w:headerReference w:type="even" r:id="rId11"/>
          <w:headerReference w:type="first" r:id="rId12"/>
          <w:footerReference w:type="even" r:id="rId19"/>
          <w:footerReference w:type="first" r:id="rId20"/>
          <w:footnotePr/>
          <w:endnotePr/>
          <w:type w:val="nextPage"/>
          <w:pgSz w:w="11907" w:h="16840" w:orient="portrait"/>
          <w:pgMar w:top="1417" w:right="1134" w:bottom="1417" w:left="1701" w:header="851" w:footer="850" w:gutter="0"/>
          <w:cols w:num="1" w:sep="0" w:space="1701" w:equalWidth="1"/>
          <w:docGrid w:linePitch="360"/>
        </w:sectPr>
      </w:pPr>
      <w:r/>
      <w:bookmarkStart w:id="879" w:name="_Toc226965749"/>
      <w:r/>
      <w:bookmarkStart w:id="880" w:name="_Toc226965832"/>
      <w:r/>
      <w:bookmarkStart w:id="881" w:name="_Toc195842924"/>
      <w:r/>
      <w:bookmarkStart w:id="882" w:name="_Toc150774763"/>
      <w:r/>
      <w:bookmarkStart w:id="883" w:name="_Toc226337255"/>
      <w:r/>
      <w:bookmarkStart w:id="884" w:name="_Toc305158827"/>
      <w:r/>
      <w:bookmarkStart w:id="885" w:name="_Toc265228397"/>
      <w:r/>
      <w:bookmarkStart w:id="886" w:name="_Toc264969249"/>
      <w:r/>
      <w:bookmarkStart w:id="887" w:name="_Toc127151558"/>
      <w:r/>
      <w:bookmarkStart w:id="888" w:name="_Toc150480796"/>
      <w:r/>
      <w:bookmarkStart w:id="889" w:name="_Toc142311060"/>
      <w:r/>
      <w:bookmarkStart w:id="890" w:name="_Toc226309803"/>
      <w:r/>
      <w:bookmarkStart w:id="891" w:name="_Toc305158901"/>
      <w:r/>
      <w:r/>
    </w:p>
    <w:p>
      <w:pPr>
        <w:jc w:val="left"/>
        <w:widowControl/>
        <w:rPr>
          <w:rFonts w:ascii="宋体" w:hAnsi="宋体" w:cs="宋体"/>
          <w:color w:val="000000"/>
          <w:sz w:val="24"/>
          <w:szCs w:val="20"/>
          <w:highlight w:val="none"/>
        </w:rPr>
      </w:pPr>
      <w:r>
        <w:rPr>
          <w:rFonts w:hint="eastAsia" w:ascii="宋体" w:hAnsi="宋体" w:cs="宋体"/>
          <w:color w:val="000000"/>
          <w:sz w:val="24"/>
          <w:szCs w:val="20"/>
          <w:highlight w:val="none"/>
        </w:rPr>
        <w:t xml:space="preserve">5  分项报价表</w:t>
      </w:r>
      <w:r/>
    </w:p>
    <w:p>
      <w:pPr>
        <w:jc w:val="left"/>
        <w:widowControl/>
        <w:rPr>
          <w:rFonts w:ascii="宋体" w:hAnsi="宋体" w:cs="宋体"/>
          <w:color w:val="000000"/>
          <w:sz w:val="24"/>
          <w:szCs w:val="20"/>
          <w:highlight w:val="none"/>
        </w:rPr>
      </w:pPr>
      <w:r>
        <w:rPr>
          <w:rFonts w:ascii="宋体" w:hAnsi="宋体" w:cs="宋体"/>
          <w:color w:val="000000"/>
          <w:sz w:val="24"/>
          <w:szCs w:val="20"/>
          <w:highlight w:val="none"/>
        </w:rPr>
      </w:r>
      <w:r/>
    </w:p>
    <w:p>
      <w:pPr>
        <w:jc w:val="center"/>
        <w:spacing w:line="360" w:lineRule="auto"/>
        <w:tabs>
          <w:tab w:val="left" w:pos="2775" w:leader="none"/>
          <w:tab w:val="center" w:pos="4153" w:leader="none"/>
        </w:tabs>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分项报价表</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项目编号：_________     项目名称：__________     报价单位：人民币元</w:t>
      </w:r>
      <w:r/>
    </w:p>
    <w:tbl>
      <w:tblPr>
        <w:tblStyle w:val="9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2610"/>
        <w:gridCol w:w="930"/>
        <w:gridCol w:w="1560"/>
        <w:gridCol w:w="1108"/>
        <w:gridCol w:w="618"/>
        <w:gridCol w:w="919"/>
        <w:gridCol w:w="1072"/>
      </w:tblGrid>
      <w:tr>
        <w:trPr>
          <w:cantSplit/>
          <w:jc w:val="center"/>
          <w:trHeight w:val="285"/>
        </w:trPr>
        <w:tc>
          <w:tcPr>
            <w:tcW w:w="976"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261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分项名称</w:t>
            </w:r>
            <w:r/>
          </w:p>
        </w:tc>
        <w:tc>
          <w:tcPr>
            <w:tcW w:w="93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品牌</w:t>
            </w:r>
            <w:r/>
          </w:p>
        </w:tc>
        <w:tc>
          <w:tcPr>
            <w:tcW w:w="1560"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规格尺寸</w:t>
            </w:r>
            <w:r/>
          </w:p>
        </w:tc>
        <w:tc>
          <w:tcPr>
            <w:tcW w:w="110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数量</w:t>
            </w:r>
            <w:r/>
          </w:p>
        </w:tc>
        <w:tc>
          <w:tcPr>
            <w:tcW w:w="618" w:type="dxa"/>
            <w:vAlign w:val="center"/>
            <w:vMerge w:val="restart"/>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单位</w:t>
            </w:r>
            <w:r/>
          </w:p>
        </w:tc>
        <w:tc>
          <w:tcPr>
            <w:gridSpan w:val="2"/>
            <w:tcW w:w="1991"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投标价格（元）</w:t>
            </w:r>
            <w:r/>
          </w:p>
        </w:tc>
      </w:tr>
      <w:tr>
        <w:trPr>
          <w:cantSplit/>
          <w:jc w:val="center"/>
          <w:trHeight w:val="285"/>
        </w:trPr>
        <w:tc>
          <w:tcPr>
            <w:tcW w:w="976"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261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3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vMerge w:val="continue"/>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单价</w:t>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合价</w:t>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tcW w:w="97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2610" w:type="dxa"/>
            <w:vAlign w:val="center"/>
            <w:textDirection w:val="lrTb"/>
            <w:noWrap w:val="false"/>
          </w:tcPr>
          <w:p>
            <w:pPr>
              <w:jc w:val="center"/>
              <w:spacing w:line="360" w:lineRule="auto"/>
              <w:widowControl/>
              <w:rPr>
                <w:rFonts w:ascii="宋体" w:hAnsi="宋体" w:cs="宋体"/>
                <w:b/>
                <w:bCs/>
                <w:color w:val="000000"/>
                <w:sz w:val="24"/>
                <w:highlight w:val="none"/>
              </w:rPr>
            </w:pPr>
            <w:r>
              <w:rPr>
                <w:rFonts w:ascii="宋体" w:hAnsi="宋体" w:cs="宋体"/>
                <w:b/>
                <w:bCs/>
                <w:color w:val="000000"/>
                <w:sz w:val="24"/>
                <w:highlight w:val="none"/>
              </w:rPr>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480"/>
        </w:trPr>
        <w:tc>
          <w:tcPr>
            <w:gridSpan w:val="2"/>
            <w:tcW w:w="3586" w:type="dxa"/>
            <w:vAlign w:val="center"/>
            <w:textDirection w:val="lrTb"/>
            <w:noWrap w:val="false"/>
          </w:tcPr>
          <w:p>
            <w:pPr>
              <w:jc w:val="cente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合计</w:t>
            </w:r>
            <w:r/>
          </w:p>
        </w:tc>
        <w:tc>
          <w:tcPr>
            <w:tcW w:w="93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560"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10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8"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919"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1072" w:type="dxa"/>
            <w:vAlign w:val="center"/>
            <w:textDirection w:val="lrTb"/>
            <w:noWrap w:val="false"/>
          </w:tcPr>
          <w:p>
            <w:pPr>
              <w:jc w:val="center"/>
              <w:spacing w:line="360" w:lineRule="auto"/>
              <w:widowControl/>
              <w:rPr>
                <w:rFonts w:ascii="宋体" w:hAnsi="宋体" w:cs="宋体"/>
                <w:color w:val="000000"/>
                <w:sz w:val="24"/>
                <w:highlight w:val="none"/>
              </w:rPr>
            </w:pPr>
            <w:r>
              <w:rPr>
                <w:rFonts w:ascii="宋体" w:hAnsi="宋体" w:cs="宋体"/>
                <w:color w:val="000000"/>
                <w:sz w:val="24"/>
                <w:highlight w:val="none"/>
              </w:rPr>
            </w:r>
            <w:r/>
          </w:p>
        </w:tc>
      </w:tr>
    </w:tbl>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注：1.如果不提供分项报价将视为没有实质性响应采购文件。</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2.本表行数可以按照项目分项情况增加或调整。</w:t>
      </w:r>
      <w:r/>
    </w:p>
    <w:p>
      <w:pPr>
        <w:ind w:firstLine="48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3. 上述各项的详细规格、技术参数如表格中填写不下的，可以逐项另页描述。</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p>
    <w:p>
      <w:pPr>
        <w:pStyle w:val="1091"/>
        <w:rPr>
          <w:rFonts w:cs="宋体"/>
          <w:color w:val="000000"/>
          <w:highlight w:val="none"/>
        </w:rPr>
      </w:pPr>
      <w:r>
        <w:rPr>
          <w:rFonts w:cs="宋体"/>
          <w:color w:val="000000"/>
          <w:highlight w:val="none"/>
        </w:rPr>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
    </w:p>
    <w:p>
      <w:pPr>
        <w:spacing w:line="360" w:lineRule="auto"/>
        <w:rPr>
          <w:rFonts w:ascii="宋体" w:hAnsi="宋体" w:cs="宋体"/>
          <w:color w:val="000000"/>
          <w:sz w:val="24"/>
          <w:szCs w:val="20"/>
          <w:highlight w:val="none"/>
        </w:rPr>
        <w:outlineLvl w:val="2"/>
      </w:pPr>
      <w:r/>
      <w:bookmarkStart w:id="892" w:name="_Toc150774764"/>
      <w:r/>
      <w:bookmarkStart w:id="893" w:name="_Toc150480798"/>
      <w:r/>
      <w:bookmarkStart w:id="894" w:name="_Toc226965751"/>
      <w:r/>
      <w:bookmarkStart w:id="895" w:name="_Toc127151561"/>
      <w:r/>
      <w:bookmarkStart w:id="896" w:name="_Toc226965752"/>
      <w:r/>
      <w:bookmarkStart w:id="897" w:name="_Toc226965835"/>
      <w:r/>
      <w:bookmarkStart w:id="898" w:name="_Toc305158904"/>
      <w:r/>
      <w:bookmarkStart w:id="899" w:name="_Toc305158830"/>
      <w:r/>
      <w:bookmarkStart w:id="900" w:name="_Toc142311061"/>
      <w:r/>
      <w:bookmarkStart w:id="901" w:name="_Toc265228399"/>
      <w:r/>
      <w:bookmarkStart w:id="902" w:name="_Toc127151562"/>
      <w:r/>
      <w:bookmarkStart w:id="903" w:name="_Toc226309806"/>
      <w:r/>
      <w:bookmarkStart w:id="904" w:name="_Toc265228400"/>
      <w:r/>
      <w:bookmarkStart w:id="905" w:name="_Toc226965834"/>
      <w:r/>
      <w:bookmarkStart w:id="906" w:name="_Toc264969252"/>
      <w:r/>
      <w:bookmarkStart w:id="907" w:name="_Toc150480797"/>
      <w:r/>
      <w:bookmarkStart w:id="908" w:name="_Toc305158903"/>
      <w:r/>
      <w:bookmarkStart w:id="909" w:name="_Toc226309805"/>
      <w:r/>
      <w:bookmarkStart w:id="910" w:name="_Toc226337258"/>
      <w:r/>
      <w:bookmarkStart w:id="911" w:name="_Toc195842927"/>
      <w:r/>
      <w:bookmarkStart w:id="912" w:name="_Toc226337257"/>
      <w:r/>
      <w:bookmarkStart w:id="913" w:name="_Toc305158829"/>
      <w:r/>
      <w:bookmarkStart w:id="914" w:name="_Toc264969251"/>
      <w:r/>
      <w:bookmarkStart w:id="915" w:name="_Toc142311062"/>
      <w:r/>
      <w:bookmarkStart w:id="916" w:name="_Toc150774765"/>
      <w:r/>
      <w:bookmarkStart w:id="917" w:name="_Toc195842926"/>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sectPr>
          <w:footnotePr/>
          <w:endnotePr/>
          <w:type w:val="nextPage"/>
          <w:pgSz w:w="11907" w:h="16840" w:orient="portrait"/>
          <w:pgMar w:top="1417" w:right="1134" w:bottom="1417" w:left="1701" w:header="851" w:footer="850" w:gutter="0"/>
          <w:cols w:num="1" w:sep="0" w:space="1701" w:equalWidth="1"/>
          <w:docGrid w:linePitch="360"/>
        </w:sect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6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hint="eastAsia" w:ascii="宋体" w:hAnsi="宋体" w:cs="宋体"/>
          <w:color w:val="000000"/>
          <w:sz w:val="24"/>
          <w:szCs w:val="20"/>
          <w:highlight w:val="none"/>
        </w:rPr>
        <w:t xml:space="preserve">采购需求偏离表（实质性格式）</w:t>
      </w:r>
      <w:r/>
    </w:p>
    <w:p>
      <w:pPr>
        <w:jc w:val="center"/>
        <w:spacing w:line="360" w:lineRule="auto"/>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hint="eastAsia" w:ascii="宋体" w:hAnsi="宋体" w:cs="宋体"/>
          <w:color w:val="000000"/>
          <w:sz w:val="24"/>
          <w:highlight w:val="none"/>
        </w:rPr>
        <w:t xml:space="preserve">项目编号：_____________________     项目名称：____________</w:t>
      </w:r>
      <w:r/>
    </w:p>
    <w:tbl>
      <w:tblPr>
        <w:tblStyle w:val="90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宋体" w:hAnsi="宋体" w:cs="宋体"/>
                <w:b/>
                <w:color w:val="000000"/>
                <w:sz w:val="24"/>
                <w:highlight w:val="none"/>
              </w:rPr>
            </w:pPr>
            <w:r>
              <w:rPr>
                <w:rFonts w:hint="eastAsia" w:ascii="宋体" w:hAnsi="宋体" w:cs="宋体"/>
                <w:b/>
                <w:color w:val="000000"/>
                <w:sz w:val="24"/>
                <w:highlight w:val="none"/>
              </w:rPr>
              <w:t xml:space="preserve">对本项目采购需求的偏离情况（请进行勾选）：</w:t>
            </w:r>
            <w:r/>
          </w:p>
          <w:p>
            <w:pPr>
              <w:jc w:val="left"/>
              <w:rPr>
                <w:rFonts w:ascii="宋体" w:hAnsi="宋体" w:cs="宋体"/>
                <w:b/>
                <w:color w:val="000000"/>
                <w:sz w:val="24"/>
                <w:highlight w:val="none"/>
              </w:rPr>
            </w:pPr>
            <w:r>
              <w:rPr>
                <w:rFonts w:hint="eastAsia" w:ascii="宋体" w:hAnsi="宋体" w:cs="宋体"/>
                <w:b/>
                <w:color w:val="000000"/>
                <w:sz w:val="24"/>
                <w:highlight w:val="none"/>
              </w:rPr>
              <w:t xml:space="preserve">□无偏离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如无偏离，仅勾选无偏离即可</w:t>
            </w:r>
            <w:r>
              <w:rPr>
                <w:rFonts w:hint="eastAsia" w:ascii="宋体" w:hAnsi="宋体" w:cs="宋体"/>
                <w:color w:val="000000"/>
                <w:sz w:val="24"/>
                <w:highlight w:val="none"/>
              </w:rPr>
              <w:t xml:space="preserve">）</w:t>
            </w:r>
            <w:r/>
          </w:p>
          <w:p>
            <w:pPr>
              <w:rPr>
                <w:rFonts w:ascii="宋体" w:hAnsi="宋体" w:cs="宋体"/>
                <w:color w:val="000000"/>
                <w:sz w:val="24"/>
                <w:highlight w:val="none"/>
              </w:rPr>
            </w:pPr>
            <w:r>
              <w:rPr>
                <w:rFonts w:hint="eastAsia" w:ascii="宋体" w:hAnsi="宋体" w:cs="宋体"/>
                <w:b/>
                <w:color w:val="000000"/>
                <w:sz w:val="24"/>
                <w:highlight w:val="none"/>
              </w:rPr>
              <w:t xml:space="preserve">□有偏离</w:t>
            </w:r>
            <w:r>
              <w:rPr>
                <w:rFonts w:hint="eastAsia" w:ascii="宋体" w:hAnsi="宋体" w:cs="宋体"/>
                <w:color w:val="000000"/>
                <w:sz w:val="24"/>
                <w:highlight w:val="none"/>
              </w:rPr>
              <w:t xml:space="preserve">（</w:t>
            </w:r>
            <w:r>
              <w:rPr>
                <w:rFonts w:hint="eastAsia" w:ascii="宋体" w:hAnsi="宋体" w:cs="宋体"/>
                <w:color w:val="000000"/>
                <w:sz w:val="24"/>
                <w:szCs w:val="21"/>
                <w:highlight w:val="none"/>
              </w:rPr>
              <w:t xml:space="preserve">如有偏离，</w:t>
            </w:r>
            <w:r>
              <w:rPr>
                <w:rFonts w:hint="eastAsia" w:ascii="宋体" w:hAnsi="宋体" w:cs="宋体"/>
                <w:color w:val="000000"/>
                <w:sz w:val="24"/>
                <w:highlight w:val="none"/>
              </w:rPr>
              <w:t xml:space="preserve">则应在本表中对偏离项逐一列明）</w:t>
            </w:r>
            <w:r/>
          </w:p>
        </w:tc>
      </w:tr>
      <w:tr>
        <w:trPr>
          <w:jc w:val="center"/>
          <w:trHeight w:val="1053"/>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1482"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采购文件条目号(页码)</w:t>
            </w:r>
            <w:r/>
          </w:p>
        </w:tc>
        <w:tc>
          <w:tcPr>
            <w:tcW w:w="2384"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采购文件要求</w:t>
            </w:r>
            <w:r/>
          </w:p>
        </w:tc>
        <w:tc>
          <w:tcPr>
            <w:tcW w:w="2126"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投标内容</w:t>
            </w:r>
            <w:r/>
          </w:p>
        </w:tc>
        <w:tc>
          <w:tcPr>
            <w:tcW w:w="18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偏离情况</w:t>
            </w:r>
            <w:r/>
          </w:p>
        </w:tc>
        <w:tc>
          <w:tcPr>
            <w:tcW w:w="1009"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930"/>
        </w:trPr>
        <w:tc>
          <w:tcPr>
            <w:tcW w:w="775" w:type="dxa"/>
            <w:vAlign w:val="center"/>
            <w:textDirection w:val="lrTb"/>
            <w:noWrap w:val="false"/>
          </w:tcPr>
          <w:p>
            <w:pPr>
              <w:jc w:val="center"/>
              <w:rPr>
                <w:rFonts w:ascii="宋体" w:hAnsi="宋体" w:cs="宋体"/>
                <w:color w:val="000000"/>
                <w:sz w:val="24"/>
                <w:highlight w:val="none"/>
              </w:rPr>
            </w:pPr>
            <w:r>
              <w:rPr>
                <w:rFonts w:hint="eastAsia" w:ascii="宋体" w:hAnsi="宋体" w:cs="宋体"/>
                <w:color w:val="000000"/>
                <w:sz w:val="24"/>
                <w:highlight w:val="none"/>
              </w:rPr>
              <w:t xml:space="preserve">……</w:t>
            </w:r>
            <w:r/>
          </w:p>
        </w:tc>
        <w:tc>
          <w:tcPr>
            <w:tcW w:w="1482"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384"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6"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8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ind w:firstLine="360"/>
        <w:jc w:val="left"/>
        <w:spacing w:line="360" w:lineRule="auto"/>
        <w:tabs>
          <w:tab w:val="left" w:pos="1800" w:leader="none"/>
          <w:tab w:val="left" w:pos="5580" w:leader="none"/>
        </w:tabs>
        <w:rPr>
          <w:rFonts w:ascii="宋体" w:hAnsi="宋体" w:cs="宋体"/>
          <w:color w:val="000000"/>
          <w:sz w:val="24"/>
          <w:highlight w:val="none"/>
          <w:u w:val="single"/>
        </w:rPr>
      </w:pPr>
      <w:r>
        <w:rPr>
          <w:rFonts w:ascii="宋体" w:hAnsi="宋体" w:cs="宋体"/>
          <w:color w:val="000000"/>
          <w:sz w:val="24"/>
          <w:highlight w:val="none"/>
          <w:u w:val="single"/>
        </w:rPr>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注：</w:t>
      </w:r>
      <w:r/>
    </w:p>
    <w:p>
      <w:pPr>
        <w:numPr>
          <w:ilvl w:val="0"/>
          <w:numId w:val="32"/>
        </w:num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对采购文件中的所有商务、技术要求，除本表所列明的所有偏离外，均视作供应商已对之理解和投标。</w:t>
      </w:r>
      <w:r/>
    </w:p>
    <w:p>
      <w:pPr>
        <w:jc w:val="left"/>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2.“偏离情况”列应据实填写“正偏离”或“负偏离”。</w:t>
      </w:r>
      <w:r/>
    </w:p>
    <w:p>
      <w:pPr>
        <w:jc w:val="left"/>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                  </w:t>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spacing w:line="360" w:lineRule="auto"/>
        <w:rPr>
          <w:rFonts w:hint="default" w:ascii="Times New Roman" w:hAnsi="Times New Roman" w:eastAsia="宋体" w:cs="Times New Roman"/>
          <w:color w:val="auto"/>
          <w:sz w:val="24"/>
          <w:szCs w:val="20"/>
          <w:highlight w:val="none"/>
        </w:rPr>
      </w:pPr>
      <w:r>
        <w:rPr>
          <w:rFonts w:hint="eastAsia" w:ascii="宋体" w:hAnsi="宋体" w:cs="宋体"/>
          <w:color w:val="000000"/>
          <w:sz w:val="24"/>
          <w:szCs w:val="20"/>
          <w:highlight w:val="none"/>
        </w:rPr>
        <w:br w:type="page" w:clear="all"/>
      </w:r>
      <w:r/>
    </w:p>
    <w:p>
      <w:pPr>
        <w:jc w:val="center"/>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 xml:space="preserve">合同条款偏离表</w:t>
      </w:r>
      <w:r/>
    </w:p>
    <w:p>
      <w:pPr>
        <w:jc w:val="cente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项目编号/包号：_______________     项目名称：_____________________</w:t>
      </w:r>
      <w:r/>
    </w:p>
    <w:tbl>
      <w:tblPr>
        <w:tblStyle w:val="9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396" w:type="dxa"/>
            <w:vAlign w:val="center"/>
            <w:textDirection w:val="lrTb"/>
            <w:noWrap w:val="false"/>
          </w:tcPr>
          <w:p>
            <w:pPr>
              <w:jc w:val="left"/>
              <w:rPr>
                <w:rFonts w:hint="default" w:ascii="Times New Roman" w:hAnsi="Times New Roman" w:eastAsia="宋体" w:cs="Times New Roman"/>
                <w:b/>
                <w:color w:val="auto"/>
                <w:sz w:val="24"/>
                <w:highlight w:val="none"/>
              </w:rPr>
            </w:pPr>
            <w:r>
              <w:rPr>
                <w:rFonts w:hint="eastAsia" w:ascii="Times New Roman" w:hAnsi="Times New Roman" w:eastAsia="宋体" w:cs="Times New Roman"/>
                <w:b/>
                <w:color w:val="auto"/>
                <w:sz w:val="24"/>
                <w:highlight w:val="none"/>
              </w:rPr>
              <w:t xml:space="preserve">对本项目合同条款的偏离情况（请进行勾选）：</w:t>
            </w:r>
            <w:r/>
          </w:p>
          <w:p>
            <w:pPr>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 xml:space="preserve">□无偏离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如无偏离，仅勾选无偏离即可</w:t>
            </w:r>
            <w:r>
              <w:rPr>
                <w:rFonts w:hint="default" w:ascii="Times New Roman" w:hAnsi="Times New Roman" w:eastAsia="宋体" w:cs="Times New Roman"/>
                <w:color w:val="auto"/>
                <w:sz w:val="24"/>
                <w:highlight w:val="none"/>
              </w:rPr>
              <w:t xml:space="preserve">）</w:t>
            </w:r>
            <w:r/>
          </w:p>
          <w:p>
            <w:pPr>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 xml:space="preserve">□有偏离</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1"/>
                <w:highlight w:val="none"/>
              </w:rPr>
              <w:t xml:space="preserve">如有负偏离，</w:t>
            </w:r>
            <w:r>
              <w:rPr>
                <w:rFonts w:hint="default" w:ascii="Times New Roman" w:hAnsi="Times New Roman" w:eastAsia="宋体" w:cs="Times New Roman"/>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1"/>
                <w:highlight w:val="none"/>
              </w:rPr>
              <w:t xml:space="preserve">磋商文件</w:t>
            </w:r>
            <w:r>
              <w:rPr>
                <w:rFonts w:hint="default" w:ascii="Times New Roman" w:hAnsi="Times New Roman" w:eastAsia="宋体" w:cs="Times New Roman"/>
                <w:color w:val="auto"/>
                <w:sz w:val="24"/>
                <w:highlight w:val="none"/>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响应文件内容</w:t>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偏离情况</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（据实填写）</w:t>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301"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00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245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78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注：</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 </w:t>
      </w:r>
      <w:r>
        <w:rPr>
          <w:rFonts w:hint="eastAsia" w:ascii="Times New Roman" w:hAnsi="Times New Roman" w:eastAsia="宋体" w:cs="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 </w:t>
      </w:r>
      <w:r>
        <w:rPr>
          <w:rFonts w:hint="eastAsia" w:ascii="Times New Roman" w:hAnsi="Times New Roman" w:eastAsia="宋体" w:cs="Times New Roman"/>
          <w:color w:val="auto"/>
          <w:sz w:val="24"/>
          <w:highlight w:val="none"/>
        </w:rPr>
        <w:t xml:space="preserve">“偏离情况”列应据实填写“正偏离”或“负偏离”。</w:t>
      </w:r>
      <w:r/>
    </w:p>
    <w:p>
      <w:pPr>
        <w:spacing w:line="360" w:lineRule="auto"/>
        <w:rPr>
          <w:rFonts w:hint="default" w:ascii="Times New Roman" w:hAnsi="Times New Roman" w:eastAsia="宋体" w:cs="Times New Roman"/>
          <w:color w:val="auto"/>
          <w:sz w:val="24"/>
          <w:szCs w:val="20"/>
          <w:highlight w:val="none"/>
        </w:rPr>
      </w:pPr>
      <w:r>
        <w:rPr>
          <w:rFonts w:hint="default" w:ascii="Times New Roman" w:hAnsi="Times New Roman" w:eastAsia="宋体" w:cs="Times New Roman"/>
          <w:color w:val="auto"/>
          <w:sz w:val="24"/>
          <w:szCs w:val="20"/>
          <w:highlight w:val="none"/>
        </w:rPr>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lang w:val="zh-CN"/>
        </w:rPr>
        <w:t xml:space="preserve">                      </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供应商名称（加盖公章）</w:t>
      </w:r>
      <w:r>
        <w:rPr>
          <w:rFonts w:hint="default" w:ascii="Times New Roman" w:hAnsi="Times New Roman" w:eastAsia="宋体" w:cs="Times New Roman"/>
          <w:color w:val="auto"/>
          <w:sz w:val="24"/>
          <w:highlight w:val="none"/>
          <w:lang w:val="zh-CN"/>
        </w:rPr>
        <w:t xml:space="preserve">：    ____________</w:t>
      </w:r>
      <w:r/>
    </w:p>
    <w:p>
      <w:pPr>
        <w:spacing w:before="25" w:after="25"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0"/>
          <w:highlight w:val="none"/>
        </w:rPr>
        <w:t xml:space="preserve">日期：_____年______月______日   </w:t>
      </w:r>
      <w:r/>
    </w:p>
    <w:p>
      <w:pPr>
        <w:spacing w:line="360" w:lineRule="auto"/>
        <w:rPr>
          <w:rFonts w:hint="eastAsia" w:ascii="Times New Roman" w:hAnsi="Times New Roman" w:eastAsia="宋体" w:cs="Times New Roman"/>
          <w:color w:val="auto"/>
          <w:sz w:val="24"/>
          <w:szCs w:val="20"/>
          <w:highlight w:val="none"/>
        </w:rPr>
        <w:outlineLvl w:val="2"/>
      </w:pPr>
      <w:r>
        <w:rPr>
          <w:rFonts w:hint="default" w:ascii="Times New Roman" w:hAnsi="Times New Roman" w:eastAsia="宋体" w:cs="Times New Roman"/>
          <w:color w:val="auto"/>
          <w:sz w:val="24"/>
          <w:szCs w:val="20"/>
          <w:highlight w:val="none"/>
        </w:rPr>
        <w:br w:type="page" w:clear="all"/>
      </w:r>
      <w:r/>
    </w:p>
    <w:p>
      <w:pPr>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7  参加本项目人员一览表</w:t>
      </w:r>
      <w:r/>
    </w:p>
    <w:p>
      <w:pPr>
        <w:jc w:val="cente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参加本项目人员一览表</w:t>
      </w:r>
      <w:r/>
    </w:p>
    <w:p>
      <w:pPr>
        <w:spacing w:line="360" w:lineRule="auto"/>
        <w:rPr>
          <w:rFonts w:ascii="宋体" w:hAnsi="宋体" w:cs="宋体"/>
          <w:color w:val="000000"/>
          <w:sz w:val="22"/>
          <w:highlight w:val="none"/>
        </w:rPr>
      </w:pPr>
      <w:r>
        <w:rPr>
          <w:rFonts w:ascii="宋体" w:hAnsi="宋体" w:cs="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04"/>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rPr>
      </w:pPr>
      <w:r>
        <w:rPr>
          <w:rFonts w:ascii="宋体" w:hAnsi="宋体" w:cs="宋体"/>
          <w:b/>
          <w:color w:val="000000"/>
          <w:sz w:val="24"/>
          <w:highlight w:val="none"/>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sz w:val="22"/>
          <w:highlight w:val="none"/>
        </w:rPr>
      </w:pPr>
      <w:r>
        <w:rPr>
          <w:rFonts w:hint="eastAsia" w:ascii="宋体" w:hAnsi="宋体" w:cs="宋体"/>
          <w:color w:val="000000"/>
          <w:sz w:val="22"/>
          <w:highlight w:val="none"/>
        </w:rPr>
        <w:br w:type="page" w:clear="all"/>
      </w:r>
      <w:bookmarkStart w:id="918" w:name="_Toc288738839"/>
      <w:r/>
      <w:bookmarkStart w:id="919" w:name="_Toc288738397"/>
      <w:r/>
      <w:r/>
    </w:p>
    <w:p>
      <w:pPr>
        <w:rPr>
          <w:rFonts w:ascii="宋体" w:hAnsi="宋体" w:cs="宋体"/>
          <w:color w:val="000000"/>
          <w:sz w:val="24"/>
          <w:szCs w:val="20"/>
          <w:highlight w:val="none"/>
        </w:rPr>
      </w:pPr>
      <w:r>
        <w:rPr>
          <w:rFonts w:hint="eastAsia" w:ascii="宋体" w:hAnsi="宋体" w:cs="宋体"/>
          <w:color w:val="000000"/>
          <w:sz w:val="24"/>
          <w:szCs w:val="20"/>
          <w:highlight w:val="none"/>
        </w:rPr>
        <w:t xml:space="preserve">8  相关业绩案例一览表</w:t>
      </w:r>
      <w:r/>
    </w:p>
    <w:p>
      <w:pPr>
        <w:rPr>
          <w:rFonts w:ascii="宋体" w:hAnsi="宋体" w:cs="宋体"/>
          <w:color w:val="000000"/>
          <w:sz w:val="24"/>
          <w:szCs w:val="20"/>
          <w:highlight w:val="none"/>
        </w:rPr>
      </w:pPr>
      <w:r>
        <w:rPr>
          <w:rFonts w:ascii="宋体" w:hAnsi="宋体" w:cs="宋体"/>
          <w:color w:val="000000"/>
          <w:sz w:val="24"/>
          <w:szCs w:val="20"/>
          <w:highlight w:val="none"/>
        </w:rPr>
      </w:r>
      <w:r/>
    </w:p>
    <w:p>
      <w:pPr>
        <w:jc w:val="center"/>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相关业绩案例一览表</w:t>
      </w:r>
      <w:bookmarkEnd w:id="918"/>
      <w:r/>
      <w:bookmarkEnd w:id="919"/>
      <w:r/>
      <w:r/>
    </w:p>
    <w:p>
      <w:pPr>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90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before="25" w:after="25"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供应商名称（加盖公章）</w:t>
      </w:r>
      <w:r>
        <w:rPr>
          <w:rFonts w:hint="eastAsia" w:ascii="宋体" w:hAnsi="宋体" w:cs="宋体"/>
          <w:color w:val="000000"/>
          <w:sz w:val="24"/>
          <w:highlight w:val="none"/>
          <w:lang w:val="zh-CN"/>
        </w:rPr>
        <w:t xml:space="preserve">：    ____________</w:t>
      </w:r>
      <w:r/>
    </w:p>
    <w:p>
      <w:pPr>
        <w:spacing w:before="25" w:after="25" w:line="360" w:lineRule="auto"/>
        <w:rPr>
          <w:rFonts w:ascii="宋体" w:hAnsi="宋体" w:cs="宋体"/>
          <w:color w:val="000000"/>
          <w:sz w:val="24"/>
          <w:highlight w:val="none"/>
        </w:rPr>
      </w:pPr>
      <w:r>
        <w:rPr>
          <w:rFonts w:hint="eastAsia" w:ascii="宋体" w:hAnsi="宋体" w:cs="宋体"/>
          <w:color w:val="000000"/>
          <w:sz w:val="24"/>
          <w:szCs w:val="20"/>
          <w:highlight w:val="none"/>
        </w:rPr>
        <w:t xml:space="preserve">日期：_____年______月______日   </w:t>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ascii="宋体" w:hAnsi="宋体" w:cs="宋体"/>
          <w:color w:val="000000"/>
          <w:sz w:val="24"/>
          <w:szCs w:val="20"/>
          <w:highlight w:val="none"/>
        </w:rPr>
      </w:r>
      <w:r/>
    </w:p>
    <w:p>
      <w:pPr>
        <w:spacing w:line="360" w:lineRule="auto"/>
        <w:rPr>
          <w:rFonts w:ascii="宋体" w:hAnsi="宋体" w:cs="宋体"/>
          <w:color w:val="000000"/>
          <w:sz w:val="24"/>
          <w:szCs w:val="20"/>
          <w:highlight w:val="none"/>
        </w:rPr>
        <w:outlineLvl w:val="2"/>
      </w:pPr>
      <w:r>
        <w:rPr>
          <w:rFonts w:hint="eastAsia" w:ascii="宋体" w:hAnsi="宋体" w:cs="宋体"/>
          <w:color w:val="000000"/>
          <w:sz w:val="24"/>
          <w:szCs w:val="20"/>
          <w:highlight w:val="none"/>
        </w:rPr>
        <w:t xml:space="preserve">9   采购文件要求提供或供应商认为应附的其他材料</w:t>
      </w:r>
      <w:r/>
    </w:p>
    <w:p>
      <w:pPr>
        <w:rPr>
          <w:rFonts w:ascii="宋体" w:hAnsi="宋体" w:cs="宋体"/>
          <w:b/>
          <w:color w:val="000000"/>
          <w:sz w:val="36"/>
          <w:szCs w:val="36"/>
          <w:highlight w:val="none"/>
        </w:rPr>
      </w:pPr>
      <w:r>
        <w:rPr>
          <w:rFonts w:ascii="宋体" w:hAnsi="宋体" w:cs="宋体"/>
          <w:b/>
          <w:color w:val="000000"/>
          <w:sz w:val="36"/>
          <w:szCs w:val="36"/>
          <w:highlight w:val="none"/>
        </w:rPr>
        <w:br w:type="page" w:clear="all"/>
      </w:r>
      <w:r/>
    </w:p>
    <w:tbl>
      <w:tblPr>
        <w:tblStyle w:val="904"/>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77"/>
        <w:gridCol w:w="3369"/>
        <w:gridCol w:w="720"/>
        <w:gridCol w:w="1156"/>
        <w:gridCol w:w="1562"/>
        <w:gridCol w:w="1680"/>
        <w:gridCol w:w="258"/>
      </w:tblGrid>
      <w:tr>
        <w:trPr>
          <w:gridAfter w:val="1"/>
          <w:trHeight w:val="518"/>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送  样  表</w:t>
            </w:r>
            <w:r/>
          </w:p>
        </w:tc>
      </w:tr>
      <w:tr>
        <w:trPr>
          <w:gridAfter w:val="1"/>
          <w:trHeight w:val="521"/>
        </w:trPr>
        <w:tc>
          <w:tcPr>
            <w:gridSpan w:val="2"/>
            <w:tcBorders>
              <w:top w:val="none" w:color="000000" w:sz="4" w:space="0"/>
              <w:left w:val="none" w:color="000000" w:sz="4" w:space="0"/>
              <w:bottom w:val="non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项目名称：</w:t>
            </w:r>
            <w:r/>
          </w:p>
        </w:tc>
        <w:tc>
          <w:tcPr>
            <w:gridSpan w:val="4"/>
            <w:tcBorders>
              <w:top w:val="none" w:color="000000" w:sz="4" w:space="0"/>
              <w:left w:val="none" w:color="000000" w:sz="4" w:space="0"/>
              <w:bottom w:val="none" w:color="000000" w:sz="4" w:space="0"/>
              <w:right w:val="none" w:color="000000" w:sz="4" w:space="0"/>
            </w:tcBorders>
            <w:tcW w:w="5118"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项目编号： </w:t>
            </w:r>
            <w:r/>
          </w:p>
        </w:tc>
      </w:tr>
      <w:tr>
        <w:trPr>
          <w:gridAfter w:val="1"/>
          <w:trHeight w:val="379"/>
        </w:trPr>
        <w:tc>
          <w:tcPr>
            <w:gridSpan w:val="2"/>
            <w:tcBorders>
              <w:top w:val="none" w:color="000000" w:sz="4" w:space="0"/>
              <w:left w:val="none" w:color="000000" w:sz="4" w:space="0"/>
              <w:bottom w:val="single" w:color="000000" w:sz="4" w:space="0"/>
              <w:right w:val="none" w:color="000000" w:sz="4" w:space="0"/>
            </w:tcBorders>
            <w:tcW w:w="3946" w:type="dxa"/>
            <w:vAlign w:val="center"/>
            <w:textDirection w:val="lrTb"/>
            <w:noWrap/>
          </w:tcPr>
          <w:p>
            <w:pPr>
              <w:jc w:val="left"/>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投标人（盖章）：</w:t>
            </w:r>
            <w:r/>
          </w:p>
        </w:tc>
        <w:tc>
          <w:tcPr>
            <w:tcBorders>
              <w:top w:val="none" w:color="000000" w:sz="4" w:space="0"/>
              <w:left w:val="none" w:color="000000" w:sz="4" w:space="0"/>
              <w:bottom w:val="single" w:color="000000" w:sz="4" w:space="0"/>
              <w:right w:val="non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156"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562"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non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1800"/>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序号</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样品名称                      （按照</w:t>
            </w:r>
            <w:r>
              <w:rPr>
                <w:rFonts w:hint="eastAsia" w:ascii="等线" w:hAnsi="等线" w:cs="宋体"/>
                <w:color w:val="000000"/>
                <w:sz w:val="24"/>
                <w:szCs w:val="24"/>
                <w:highlight w:val="none"/>
                <w:lang w:val="en-US" w:eastAsia="zh-CN"/>
              </w:rPr>
              <w:t xml:space="preserve">采购文件</w:t>
            </w:r>
            <w:r>
              <w:rPr>
                <w:rFonts w:hint="default" w:ascii="等线" w:hAnsi="等线" w:eastAsia="宋体" w:cs="宋体"/>
                <w:color w:val="000000"/>
                <w:sz w:val="24"/>
                <w:szCs w:val="24"/>
                <w:highlight w:val="none"/>
              </w:rPr>
              <w:t xml:space="preserve">样品要求逐一填写）</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送样数量</w:t>
            </w:r>
            <w:r/>
          </w:p>
        </w:tc>
        <w:tc>
          <w:tcPr>
            <w:tcBorders>
              <w:top w:val="none" w:color="000000" w:sz="4" w:space="0"/>
              <w:left w:val="none" w:color="000000" w:sz="4" w:space="0"/>
              <w:bottom w:val="single" w:color="000000" w:sz="4" w:space="0"/>
              <w:right w:val="single" w:color="000000" w:sz="4" w:space="0"/>
            </w:tcBorders>
            <w:tcW w:w="1156"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送样人</w:t>
            </w:r>
            <w:r/>
          </w:p>
        </w:tc>
        <w:tc>
          <w:tcPr>
            <w:tcBorders>
              <w:top w:val="none" w:color="000000" w:sz="4" w:space="0"/>
              <w:left w:val="none" w:color="000000" w:sz="4" w:space="0"/>
              <w:bottom w:val="single" w:color="000000" w:sz="4" w:space="0"/>
              <w:right w:val="single" w:color="000000" w:sz="4" w:space="0"/>
            </w:tcBorders>
            <w:tcW w:w="1562"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联系电话</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562" w:type="dxa"/>
            <w:vAlign w:val="center"/>
            <w:vMerge w:val="restart"/>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val="false"/>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eastAsia" w:ascii="等线" w:hAnsi="等线" w:eastAsia="宋体" w:cs="宋体"/>
                <w:color w:val="000000"/>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r>
      <w:tr>
        <w:trPr>
          <w:cantSplit/>
          <w:gridAfter w:val="1"/>
          <w:trHeight w:val="614"/>
        </w:trPr>
        <w:tc>
          <w:tcPr>
            <w:tcBorders>
              <w:top w:val="none" w:color="000000" w:sz="4" w:space="0"/>
              <w:left w:val="single" w:color="000000" w:sz="4" w:space="0"/>
              <w:bottom w:val="single" w:color="000000" w:sz="4" w:space="0"/>
              <w:right w:val="single" w:color="000000" w:sz="4" w:space="0"/>
            </w:tcBorders>
            <w:tcW w:w="577" w:type="dxa"/>
            <w:vAlign w:val="center"/>
            <w:textDirection w:val="lrTb"/>
            <w:noWrap/>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w:t>
            </w:r>
            <w:r/>
          </w:p>
        </w:tc>
        <w:tc>
          <w:tcPr>
            <w:tcBorders>
              <w:top w:val="none" w:color="000000" w:sz="4" w:space="0"/>
              <w:left w:val="none" w:color="000000" w:sz="4" w:space="0"/>
              <w:bottom w:val="single" w:color="000000" w:sz="4" w:space="0"/>
              <w:right w:val="single" w:color="000000" w:sz="4" w:space="0"/>
            </w:tcBorders>
            <w:tcW w:w="3369" w:type="dxa"/>
            <w:vAlign w:val="center"/>
            <w:textDirection w:val="lrTb"/>
            <w:noWrap/>
          </w:tcPr>
          <w:p>
            <w:pPr>
              <w:ind w:firstLine="640"/>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72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1156"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562" w:type="dxa"/>
            <w:vAlign w:val="center"/>
            <w:vMerge w:val="continue"/>
            <w:textDirection w:val="lrTb"/>
            <w:noWrap w:val="false"/>
          </w:tcPr>
          <w:p>
            <w:pPr>
              <w:jc w:val="left"/>
              <w:spacing w:line="360" w:lineRule="auto"/>
              <w:widowControl/>
              <w:rPr>
                <w:rFonts w:hint="default" w:ascii="宋体" w:hAnsi="宋体" w:eastAsia="宋体" w:cs="Times New Roman"/>
                <w:color w:val="000000"/>
                <w:sz w:val="24"/>
                <w:szCs w:val="21"/>
                <w:highlight w:val="none"/>
              </w:rPr>
            </w:pPr>
            <w:r>
              <w:rPr>
                <w:rFonts w:hint="default" w:ascii="宋体" w:hAnsi="宋体" w:eastAsia="宋体" w:cs="Times New Roman"/>
                <w:color w:val="000000"/>
                <w:sz w:val="24"/>
                <w:szCs w:val="21"/>
                <w:highlight w:val="none"/>
              </w:rPr>
            </w:r>
            <w:r/>
          </w:p>
        </w:tc>
        <w:tc>
          <w:tcPr>
            <w:tcBorders>
              <w:top w:val="none" w:color="000000" w:sz="4" w:space="0"/>
              <w:left w:val="none" w:color="000000" w:sz="4" w:space="0"/>
              <w:bottom w:val="single" w:color="000000" w:sz="4" w:space="0"/>
              <w:right w:val="single" w:color="000000" w:sz="4" w:space="0"/>
            </w:tcBorders>
            <w:tcW w:w="1680" w:type="dxa"/>
            <w:vAlign w:val="center"/>
            <w:textDirection w:val="lrTb"/>
            <w:noWrap/>
          </w:tcPr>
          <w:p>
            <w:pPr>
              <w:ind w:firstLine="640"/>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w:t>
            </w:r>
            <w:r/>
          </w:p>
        </w:tc>
      </w:tr>
      <w:tr>
        <w:trPr>
          <w:gridAfter w:val="1"/>
          <w:trHeight w:val="614"/>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送达时间：      年  　月    日    时   分</w:t>
            </w:r>
            <w:r/>
          </w:p>
        </w:tc>
      </w:tr>
      <w:tr>
        <w:trPr>
          <w:gridAfter w:val="1"/>
          <w:trHeight w:val="772"/>
        </w:trPr>
        <w:tc>
          <w:tcPr>
            <w:gridSpan w:val="6"/>
            <w:tcBorders>
              <w:top w:val="single" w:color="000000" w:sz="4" w:space="0"/>
              <w:left w:val="single" w:color="000000" w:sz="4" w:space="0"/>
              <w:bottom w:val="single" w:color="000000" w:sz="4" w:space="0"/>
              <w:right w:val="single" w:color="000000" w:sz="4" w:space="0"/>
            </w:tcBorders>
            <w:tcW w:w="9064" w:type="dxa"/>
            <w:vAlign w:val="center"/>
            <w:textDirection w:val="lrTb"/>
            <w:noWrap/>
          </w:tcPr>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接收人（签字）：                                                          </w:t>
            </w:r>
            <w:r/>
          </w:p>
          <w:p>
            <w:pPr>
              <w:jc w:val="center"/>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送样人确认（签字）：</w:t>
            </w:r>
            <w:r/>
          </w:p>
        </w:tc>
      </w:tr>
      <w:tr>
        <w:trPr>
          <w:trHeight w:val="772"/>
        </w:trPr>
        <w:tc>
          <w:tcPr>
            <w:gridSpan w:val="6"/>
            <w:tcBorders>
              <w:top w:val="none" w:color="000000" w:sz="4" w:space="0"/>
              <w:left w:val="none" w:color="000000" w:sz="4" w:space="0"/>
              <w:bottom w:val="none" w:color="000000" w:sz="4" w:space="0"/>
              <w:right w:val="none" w:color="000000" w:sz="4" w:space="0"/>
            </w:tcBorders>
            <w:tcW w:w="9064" w:type="dxa"/>
            <w:vAlign w:val="center"/>
            <w:textDirection w:val="lrTb"/>
            <w:noWrap/>
          </w:tcPr>
          <w:p>
            <w:pPr>
              <w:jc w:val="left"/>
              <w:spacing w:before="0" w:beforeAutospacing="0" w:after="0" w:afterAutospacing="0" w:line="360" w:lineRule="auto"/>
              <w:widowControl/>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bidi="ar-SA"/>
              </w:rPr>
              <w:t xml:space="preserve">注：此表填写后一式两份（投标人与采购人各一份）</w:t>
            </w:r>
            <w:r/>
          </w:p>
        </w:tc>
        <w:tc>
          <w:tcPr>
            <w:tcBorders>
              <w:top w:val="none" w:color="000000" w:sz="4" w:space="0"/>
              <w:left w:val="none" w:color="000000" w:sz="4" w:space="0"/>
              <w:bottom w:val="none" w:color="000000" w:sz="4" w:space="0"/>
              <w:right w:val="none" w:color="000000" w:sz="4" w:space="0"/>
            </w:tcBorders>
            <w:tcW w:w="258" w:type="dxa"/>
            <w:vAlign w:val="center"/>
            <w:textDirection w:val="lrTb"/>
            <w:noWrap w:val="false"/>
          </w:tcPr>
          <w:p>
            <w:pPr>
              <w:jc w:val="center"/>
              <w:spacing w:before="0" w:beforeAutospacing="0" w:after="0" w:afterAutospacing="0" w:line="360" w:lineRule="auto"/>
              <w:widowControl/>
              <w:rPr>
                <w:rFonts w:hint="default" w:ascii="等线" w:hAnsi="等线" w:eastAsia="宋体" w:cs="宋体"/>
                <w:color w:val="000000"/>
                <w:sz w:val="24"/>
                <w:szCs w:val="24"/>
                <w:highlight w:val="none"/>
              </w:rPr>
            </w:pPr>
            <w:r>
              <w:rPr>
                <w:rFonts w:hint="default" w:ascii="等线" w:hAnsi="等线" w:eastAsia="宋体" w:cs="宋体"/>
                <w:color w:val="000000"/>
                <w:sz w:val="24"/>
                <w:szCs w:val="24"/>
                <w:highlight w:val="none"/>
              </w:rPr>
              <w:t xml:space="preserve"> </w:t>
            </w:r>
            <w:r/>
          </w:p>
        </w:tc>
      </w:tr>
    </w:tbl>
    <w:p>
      <w:pPr>
        <w:jc w:val="left"/>
        <w:widowControl/>
        <w:rPr>
          <w:rFonts w:hint="default" w:ascii="宋体" w:hAnsi="宋体" w:eastAsia="宋体" w:cs="宋体"/>
          <w:b/>
          <w:color w:val="000000"/>
          <w:sz w:val="36"/>
          <w:szCs w:val="36"/>
          <w:highlight w:val="none"/>
          <w:lang w:val="en-US" w:eastAsia="zh-CN"/>
        </w:rPr>
      </w:pPr>
      <w:r>
        <w:rPr>
          <w:rFonts w:hint="default" w:ascii="宋体" w:hAnsi="宋体" w:eastAsia="宋体" w:cs="宋体"/>
          <w:b/>
          <w:color w:val="000000"/>
          <w:sz w:val="36"/>
          <w:szCs w:val="36"/>
          <w:highlight w:val="none"/>
          <w:lang w:val="en-US" w:eastAsia="zh-CN"/>
        </w:rPr>
      </w:r>
      <w:r/>
    </w:p>
    <w:sectPr>
      <w:headerReference w:type="even" r:id="rId13"/>
      <w:headerReference w:type="first" r:id="rId14"/>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Wingdings">
    <w:panose1 w:val="05000000000000000000"/>
  </w:font>
  <w:font w:name="华文楷体">
    <w:panose1 w:val="02010600040101010101"/>
  </w:font>
  <w:font w:name="Symbol">
    <w:panose1 w:val="05050102010706020507"/>
  </w:font>
  <w:font w:name="Tahoma">
    <w:panose1 w:val="020B0604030504040204"/>
  </w:font>
  <w:font w:name="ˎ̥">
    <w:panose1 w:val="020B0503020202020204"/>
  </w:font>
  <w:font w:name="楷体_GB2312">
    <w:panose1 w:val="02010609060101010101"/>
  </w:font>
  <w:font w:name="国标宋体-GB / T 2312">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2"/>
      </w:rPr>
      <w:framePr w:wrap="around" w:vAnchor="text" w:hAnchor="margin" w:xAlign="right" w:y="1"/>
    </w:pPr>
    <w:r>
      <w:rPr>
        <w:rStyle w:val="1152"/>
      </w:rPr>
      <w:fldChar w:fldCharType="begin"/>
    </w:r>
    <w:r>
      <w:rPr>
        <w:rStyle w:val="1152"/>
      </w:rPr>
      <w:instrText xml:space="preserve">PAGE  </w:instrText>
    </w:r>
    <w:r>
      <w:rPr>
        <w:rStyle w:val="1152"/>
      </w:rPr>
      <w:fldChar w:fldCharType="end"/>
    </w:r>
    <w:r/>
  </w:p>
  <w:p>
    <w:pPr>
      <w:pStyle w:val="112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tabs>
        <w:tab w:val="clear" w:pos="4153" w:leader="none"/>
      </w:tabs>
    </w:pPr>
    <w:r>
      <w:rPr>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Pr>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2"/>
      </w:rPr>
      <w:framePr w:wrap="around" w:vAnchor="text" w:hAnchor="margin" w:xAlign="right" w:y="1"/>
    </w:pPr>
    <w:r>
      <w:rPr>
        <w:rStyle w:val="1152"/>
      </w:rPr>
      <w:fldChar w:fldCharType="begin"/>
    </w:r>
    <w:r>
      <w:rPr>
        <w:rStyle w:val="1152"/>
      </w:rPr>
      <w:instrText xml:space="preserve">PAGE  </w:instrText>
    </w:r>
    <w:r>
      <w:rPr>
        <w:rStyle w:val="1152"/>
      </w:rPr>
      <w:fldChar w:fldCharType="end"/>
    </w:r>
    <w:r/>
  </w:p>
  <w:p>
    <w:pPr>
      <w:pStyle w:val="1127"/>
      <w:ind w:right="360"/>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2"/>
      </w:rPr>
      <w:framePr w:wrap="around" w:vAnchor="text" w:hAnchor="margin" w:xAlign="right" w:y="1"/>
    </w:pPr>
    <w:r>
      <w:rPr>
        <w:rStyle w:val="1152"/>
      </w:rPr>
      <w:fldChar w:fldCharType="begin"/>
    </w:r>
    <w:r>
      <w:rPr>
        <w:rStyle w:val="1152"/>
      </w:rPr>
      <w:instrText xml:space="preserve">PAGE  </w:instrText>
    </w:r>
    <w:r>
      <w:rPr>
        <w:rStyle w:val="1152"/>
      </w:rPr>
      <w:fldChar w:fldCharType="end"/>
    </w:r>
    <w:r/>
  </w:p>
  <w:p>
    <w:pPr>
      <w:pStyle w:val="112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jc w:val="right"/>
      <w:rPr>
        <w:rFonts w:hint="eastAsia" w:eastAsia="宋体"/>
        <w:lang w:eastAsia="zh-CN"/>
      </w:rPr>
    </w:pPr>
    <w:r>
      <w:rPr>
        <w:rFonts w:hint="eastAsia"/>
      </w:rPr>
      <w:t xml:space="preserve">常州市政府</w:t>
    </w:r>
    <w:r>
      <w:t xml:space="preserve">采购</w:t>
    </w:r>
    <w:r>
      <w:rPr>
        <w:rFonts w:hint="eastAsia"/>
      </w:rPr>
      <w:t xml:space="preserve">项目公开</w:t>
    </w:r>
    <w:r>
      <w:rPr>
        <w:rFonts w:hint="eastAsia"/>
        <w:lang w:eastAsia="zh-CN"/>
      </w:rPr>
      <w:t xml:space="preserve">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3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8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8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8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1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18"/>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27"/>
      <w:isLgl w:val="false"/>
      <w:suff w:val="nothing"/>
      <w:lvlText w:val="%1.%2.%3.%4.%5.%6　"/>
      <w:lvlJc w:val="left"/>
      <w:pPr>
        <w:ind w:left="-25" w:firstLine="0"/>
      </w:pPr>
      <w:rPr>
        <w:rFonts w:ascii="Times New Roman" w:hAnsi="Times New Roman" w:eastAsia="宋体"/>
        <w:b/>
        <w:i w:val="0"/>
        <w:sz w:val="28"/>
      </w:rPr>
    </w:lvl>
    <w:lvl w:ilvl="6">
      <w:start w:val="1"/>
      <w:numFmt w:val="lowerLetter"/>
      <w:pStyle w:val="124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0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lowerLetter"/>
      <w:pStyle w:val="126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288"/>
      <w:isLgl w:val="false"/>
      <w:suff w:val="tab"/>
      <w:lvlText w:val="%1"/>
      <w:lvlJc w:val="left"/>
      <w:pPr>
        <w:ind w:left="680" w:hanging="680"/>
      </w:pPr>
      <w:rPr>
        <w:rFonts w:hint="eastAsia" w:ascii="宋体" w:hAnsi="宋体" w:eastAsia="宋体"/>
      </w:rPr>
    </w:lvl>
    <w:lvl w:ilvl="1">
      <w:start w:val="1"/>
      <w:numFmt w:val="decimal"/>
      <w:pStyle w:val="1289"/>
      <w:isLgl w:val="false"/>
      <w:suff w:val="tab"/>
      <w:lvlText w:val="%1.%2"/>
      <w:lvlJc w:val="left"/>
      <w:pPr>
        <w:ind w:left="851" w:hanging="851"/>
      </w:pPr>
      <w:rPr>
        <w:rFonts w:hint="eastAsia" w:ascii="宋体" w:hAnsi="宋体" w:eastAsia="宋体"/>
        <w:color w:val="000000"/>
      </w:rPr>
    </w:lvl>
    <w:lvl w:ilvl="2">
      <w:start w:val="1"/>
      <w:numFmt w:val="decimal"/>
      <w:pStyle w:val="129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pStyle w:val="118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9">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3"/>
  </w:num>
  <w:num w:numId="2">
    <w:abstractNumId w:val="8"/>
  </w:num>
  <w:num w:numId="3">
    <w:abstractNumId w:val="27"/>
  </w:num>
  <w:num w:numId="4">
    <w:abstractNumId w:val="6"/>
  </w:num>
  <w:num w:numId="5">
    <w:abstractNumId w:val="5"/>
  </w:num>
  <w:num w:numId="6">
    <w:abstractNumId w:val="15"/>
  </w:num>
  <w:num w:numId="7">
    <w:abstractNumId w:val="20"/>
  </w:num>
  <w:num w:numId="8">
    <w:abstractNumId w:val="31"/>
  </w:num>
  <w:num w:numId="9">
    <w:abstractNumId w:val="14"/>
  </w:num>
  <w:num w:numId="10">
    <w:abstractNumId w:val="1"/>
  </w:num>
  <w:num w:numId="11">
    <w:abstractNumId w:val="21"/>
  </w:num>
  <w:num w:numId="12">
    <w:abstractNumId w:val="25"/>
  </w:num>
  <w:num w:numId="13">
    <w:abstractNumId w:val="28"/>
  </w:num>
  <w:num w:numId="14">
    <w:abstractNumId w:val="7"/>
  </w:num>
  <w:num w:numId="15">
    <w:abstractNumId w:val="0"/>
  </w:num>
  <w:num w:numId="16">
    <w:abstractNumId w:val="22"/>
  </w:num>
  <w:num w:numId="17">
    <w:abstractNumId w:val="23"/>
  </w:num>
  <w:num w:numId="18">
    <w:abstractNumId w:val="2"/>
  </w:num>
  <w:num w:numId="19">
    <w:abstractNumId w:val="9"/>
  </w:num>
  <w:num w:numId="20">
    <w:abstractNumId w:val="17"/>
  </w:num>
  <w:num w:numId="21">
    <w:abstractNumId w:val="30"/>
  </w:num>
  <w:num w:numId="22">
    <w:abstractNumId w:val="19"/>
  </w:num>
  <w:num w:numId="23">
    <w:abstractNumId w:val="11"/>
  </w:num>
  <w:num w:numId="24">
    <w:abstractNumId w:val="12"/>
  </w:num>
  <w:num w:numId="25">
    <w:abstractNumId w:val="4"/>
  </w:num>
  <w:num w:numId="26">
    <w:abstractNumId w:val="10"/>
  </w:num>
  <w:num w:numId="27">
    <w:abstractNumId w:val="3"/>
  </w:num>
  <w:num w:numId="28">
    <w:abstractNumId w:val="26"/>
  </w:num>
  <w:num w:numId="29">
    <w:abstractNumId w:val="29"/>
  </w:num>
  <w:num w:numId="30">
    <w:abstractNumId w:val="16"/>
  </w:num>
  <w:num w:numId="31">
    <w:abstractNumId w:val="18"/>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5">
    <w:name w:val="Heading 1 Char"/>
    <w:basedOn w:val="903"/>
    <w:link w:val="894"/>
    <w:uiPriority w:val="9"/>
    <w:rPr>
      <w:rFonts w:ascii="Arial" w:hAnsi="Arial" w:eastAsia="Arial" w:cs="Arial"/>
      <w:sz w:val="40"/>
      <w:szCs w:val="40"/>
    </w:rPr>
  </w:style>
  <w:style w:type="character" w:styleId="876">
    <w:name w:val="Heading 2 Char"/>
    <w:basedOn w:val="903"/>
    <w:link w:val="895"/>
    <w:uiPriority w:val="9"/>
    <w:rPr>
      <w:rFonts w:ascii="Arial" w:hAnsi="Arial" w:eastAsia="Arial" w:cs="Arial"/>
      <w:sz w:val="34"/>
    </w:rPr>
  </w:style>
  <w:style w:type="character" w:styleId="877">
    <w:name w:val="Heading 3 Char"/>
    <w:basedOn w:val="903"/>
    <w:link w:val="896"/>
    <w:uiPriority w:val="9"/>
    <w:rPr>
      <w:rFonts w:ascii="Arial" w:hAnsi="Arial" w:eastAsia="Arial" w:cs="Arial"/>
      <w:sz w:val="30"/>
      <w:szCs w:val="30"/>
    </w:rPr>
  </w:style>
  <w:style w:type="character" w:styleId="878">
    <w:name w:val="Heading 4 Char"/>
    <w:basedOn w:val="903"/>
    <w:link w:val="897"/>
    <w:uiPriority w:val="9"/>
    <w:rPr>
      <w:rFonts w:ascii="Arial" w:hAnsi="Arial" w:eastAsia="Arial" w:cs="Arial"/>
      <w:b/>
      <w:bCs/>
      <w:sz w:val="26"/>
      <w:szCs w:val="26"/>
    </w:rPr>
  </w:style>
  <w:style w:type="character" w:styleId="879">
    <w:name w:val="Heading 5 Char"/>
    <w:basedOn w:val="903"/>
    <w:link w:val="898"/>
    <w:uiPriority w:val="9"/>
    <w:rPr>
      <w:rFonts w:ascii="Arial" w:hAnsi="Arial" w:eastAsia="Arial" w:cs="Arial"/>
      <w:b/>
      <w:bCs/>
      <w:sz w:val="24"/>
      <w:szCs w:val="24"/>
    </w:rPr>
  </w:style>
  <w:style w:type="character" w:styleId="880">
    <w:name w:val="Heading 6 Char"/>
    <w:basedOn w:val="903"/>
    <w:link w:val="899"/>
    <w:uiPriority w:val="9"/>
    <w:rPr>
      <w:rFonts w:ascii="Arial" w:hAnsi="Arial" w:eastAsia="Arial" w:cs="Arial"/>
      <w:b/>
      <w:bCs/>
      <w:sz w:val="22"/>
      <w:szCs w:val="22"/>
    </w:rPr>
  </w:style>
  <w:style w:type="character" w:styleId="881">
    <w:name w:val="Heading 7 Char"/>
    <w:basedOn w:val="903"/>
    <w:link w:val="900"/>
    <w:uiPriority w:val="9"/>
    <w:rPr>
      <w:rFonts w:ascii="Arial" w:hAnsi="Arial" w:eastAsia="Arial" w:cs="Arial"/>
      <w:b/>
      <w:bCs/>
      <w:i/>
      <w:iCs/>
      <w:sz w:val="22"/>
      <w:szCs w:val="22"/>
    </w:rPr>
  </w:style>
  <w:style w:type="character" w:styleId="882">
    <w:name w:val="Heading 8 Char"/>
    <w:basedOn w:val="903"/>
    <w:link w:val="901"/>
    <w:uiPriority w:val="9"/>
    <w:rPr>
      <w:rFonts w:ascii="Arial" w:hAnsi="Arial" w:eastAsia="Arial" w:cs="Arial"/>
      <w:i/>
      <w:iCs/>
      <w:sz w:val="22"/>
      <w:szCs w:val="22"/>
    </w:rPr>
  </w:style>
  <w:style w:type="character" w:styleId="883">
    <w:name w:val="Heading 9 Char"/>
    <w:basedOn w:val="903"/>
    <w:link w:val="902"/>
    <w:uiPriority w:val="9"/>
    <w:rPr>
      <w:rFonts w:ascii="Arial" w:hAnsi="Arial" w:eastAsia="Arial" w:cs="Arial"/>
      <w:i/>
      <w:iCs/>
      <w:sz w:val="21"/>
      <w:szCs w:val="21"/>
    </w:rPr>
  </w:style>
  <w:style w:type="character" w:styleId="884">
    <w:name w:val="Title Char"/>
    <w:basedOn w:val="903"/>
    <w:link w:val="923"/>
    <w:uiPriority w:val="10"/>
    <w:rPr>
      <w:sz w:val="48"/>
      <w:szCs w:val="48"/>
    </w:rPr>
  </w:style>
  <w:style w:type="character" w:styleId="885">
    <w:name w:val="Subtitle Char"/>
    <w:basedOn w:val="903"/>
    <w:link w:val="916"/>
    <w:uiPriority w:val="11"/>
    <w:rPr>
      <w:sz w:val="24"/>
      <w:szCs w:val="24"/>
    </w:rPr>
  </w:style>
  <w:style w:type="character" w:styleId="886">
    <w:name w:val="Quote Char"/>
    <w:link w:val="944"/>
    <w:uiPriority w:val="29"/>
    <w:rPr>
      <w:i/>
    </w:rPr>
  </w:style>
  <w:style w:type="character" w:styleId="887">
    <w:name w:val="Intense Quote Char"/>
    <w:link w:val="946"/>
    <w:uiPriority w:val="30"/>
    <w:rPr>
      <w:i/>
    </w:rPr>
  </w:style>
  <w:style w:type="character" w:styleId="888">
    <w:name w:val="Header Char"/>
    <w:basedOn w:val="903"/>
    <w:link w:val="913"/>
    <w:uiPriority w:val="99"/>
  </w:style>
  <w:style w:type="character" w:styleId="889">
    <w:name w:val="Caption Char"/>
    <w:basedOn w:val="906"/>
    <w:link w:val="912"/>
    <w:uiPriority w:val="99"/>
  </w:style>
  <w:style w:type="character" w:styleId="890">
    <w:name w:val="Footnote Text Char"/>
    <w:link w:val="917"/>
    <w:uiPriority w:val="99"/>
    <w:rPr>
      <w:sz w:val="18"/>
    </w:rPr>
  </w:style>
  <w:style w:type="character" w:styleId="891">
    <w:name w:val="Endnote Text Char"/>
    <w:link w:val="911"/>
    <w:uiPriority w:val="99"/>
    <w:rPr>
      <w:sz w:val="20"/>
    </w:rPr>
  </w:style>
  <w:style w:type="paragraph" w:styleId="892">
    <w:name w:val="TOC Heading"/>
    <w:uiPriority w:val="39"/>
    <w:unhideWhenUsed/>
  </w:style>
  <w:style w:type="paragraph" w:styleId="89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4">
    <w:name w:val="Heading 1"/>
    <w:basedOn w:val="893"/>
    <w:next w:val="893"/>
    <w:link w:val="931"/>
    <w:uiPriority w:val="9"/>
    <w:qFormat/>
    <w:pPr>
      <w:keepLines/>
      <w:keepNext/>
      <w:spacing w:before="480" w:after="200"/>
      <w:outlineLvl w:val="0"/>
    </w:pPr>
    <w:rPr>
      <w:rFonts w:ascii="Arial" w:hAnsi="Arial" w:eastAsia="Arial" w:cs="Arial"/>
      <w:sz w:val="40"/>
      <w:szCs w:val="40"/>
    </w:rPr>
  </w:style>
  <w:style w:type="paragraph" w:styleId="895">
    <w:name w:val="Heading 2"/>
    <w:basedOn w:val="893"/>
    <w:next w:val="893"/>
    <w:link w:val="932"/>
    <w:uiPriority w:val="9"/>
    <w:unhideWhenUsed/>
    <w:qFormat/>
    <w:pPr>
      <w:keepLines/>
      <w:keepNext/>
      <w:spacing w:before="360" w:after="200"/>
      <w:outlineLvl w:val="1"/>
    </w:pPr>
    <w:rPr>
      <w:rFonts w:ascii="Arial" w:hAnsi="Arial" w:eastAsia="Arial" w:cs="Arial"/>
      <w:sz w:val="34"/>
    </w:rPr>
  </w:style>
  <w:style w:type="paragraph" w:styleId="896">
    <w:name w:val="Heading 3"/>
    <w:basedOn w:val="893"/>
    <w:next w:val="893"/>
    <w:link w:val="933"/>
    <w:uiPriority w:val="9"/>
    <w:unhideWhenUsed/>
    <w:qFormat/>
    <w:pPr>
      <w:keepLines/>
      <w:keepNext/>
      <w:spacing w:before="320" w:after="200"/>
      <w:outlineLvl w:val="2"/>
    </w:pPr>
    <w:rPr>
      <w:rFonts w:ascii="Arial" w:hAnsi="Arial" w:eastAsia="Arial" w:cs="Arial"/>
      <w:sz w:val="30"/>
      <w:szCs w:val="30"/>
    </w:rPr>
  </w:style>
  <w:style w:type="paragraph" w:styleId="897">
    <w:name w:val="Heading 4"/>
    <w:basedOn w:val="893"/>
    <w:next w:val="893"/>
    <w:link w:val="934"/>
    <w:uiPriority w:val="9"/>
    <w:unhideWhenUsed/>
    <w:qFormat/>
    <w:pPr>
      <w:keepLines/>
      <w:keepNext/>
      <w:spacing w:before="320" w:after="200"/>
      <w:outlineLvl w:val="3"/>
    </w:pPr>
    <w:rPr>
      <w:rFonts w:ascii="Arial" w:hAnsi="Arial" w:eastAsia="Arial" w:cs="Arial"/>
      <w:b/>
      <w:bCs/>
      <w:sz w:val="26"/>
      <w:szCs w:val="26"/>
    </w:rPr>
  </w:style>
  <w:style w:type="paragraph" w:styleId="898">
    <w:name w:val="Heading 5"/>
    <w:basedOn w:val="893"/>
    <w:next w:val="893"/>
    <w:link w:val="935"/>
    <w:uiPriority w:val="9"/>
    <w:unhideWhenUsed/>
    <w:qFormat/>
    <w:pPr>
      <w:keepLines/>
      <w:keepNext/>
      <w:spacing w:before="320" w:after="200"/>
      <w:outlineLvl w:val="4"/>
    </w:pPr>
    <w:rPr>
      <w:rFonts w:ascii="Arial" w:hAnsi="Arial" w:eastAsia="Arial" w:cs="Arial"/>
      <w:b/>
      <w:bCs/>
      <w:sz w:val="24"/>
    </w:rPr>
  </w:style>
  <w:style w:type="paragraph" w:styleId="899">
    <w:name w:val="Heading 6"/>
    <w:basedOn w:val="893"/>
    <w:next w:val="893"/>
    <w:link w:val="936"/>
    <w:uiPriority w:val="9"/>
    <w:unhideWhenUsed/>
    <w:qFormat/>
    <w:pPr>
      <w:keepLines/>
      <w:keepNext/>
      <w:spacing w:before="320" w:after="200"/>
      <w:outlineLvl w:val="5"/>
    </w:pPr>
    <w:rPr>
      <w:rFonts w:ascii="Arial" w:hAnsi="Arial" w:eastAsia="Arial" w:cs="Arial"/>
      <w:b/>
      <w:bCs/>
      <w:sz w:val="22"/>
      <w:szCs w:val="22"/>
    </w:rPr>
  </w:style>
  <w:style w:type="paragraph" w:styleId="900">
    <w:name w:val="Heading 7"/>
    <w:basedOn w:val="893"/>
    <w:next w:val="893"/>
    <w:link w:val="937"/>
    <w:uiPriority w:val="9"/>
    <w:unhideWhenUsed/>
    <w:qFormat/>
    <w:pPr>
      <w:keepLines/>
      <w:keepNext/>
      <w:spacing w:before="320" w:after="200"/>
      <w:outlineLvl w:val="6"/>
    </w:pPr>
    <w:rPr>
      <w:rFonts w:ascii="Arial" w:hAnsi="Arial" w:eastAsia="Arial" w:cs="Arial"/>
      <w:b/>
      <w:bCs/>
      <w:i/>
      <w:iCs/>
      <w:sz w:val="22"/>
      <w:szCs w:val="22"/>
    </w:rPr>
  </w:style>
  <w:style w:type="paragraph" w:styleId="901">
    <w:name w:val="Heading 8"/>
    <w:basedOn w:val="893"/>
    <w:next w:val="893"/>
    <w:link w:val="938"/>
    <w:uiPriority w:val="9"/>
    <w:unhideWhenUsed/>
    <w:qFormat/>
    <w:pPr>
      <w:keepLines/>
      <w:keepNext/>
      <w:spacing w:before="320" w:after="200"/>
      <w:outlineLvl w:val="7"/>
    </w:pPr>
    <w:rPr>
      <w:rFonts w:ascii="Arial" w:hAnsi="Arial" w:eastAsia="Arial" w:cs="Arial"/>
      <w:i/>
      <w:iCs/>
      <w:sz w:val="22"/>
      <w:szCs w:val="22"/>
    </w:rPr>
  </w:style>
  <w:style w:type="paragraph" w:styleId="902">
    <w:name w:val="Heading 9"/>
    <w:basedOn w:val="893"/>
    <w:next w:val="893"/>
    <w:link w:val="939"/>
    <w:uiPriority w:val="9"/>
    <w:unhideWhenUsed/>
    <w:qFormat/>
    <w:pPr>
      <w:keepLines/>
      <w:keepNext/>
      <w:spacing w:before="320" w:after="200"/>
      <w:outlineLvl w:val="8"/>
    </w:pPr>
    <w:rPr>
      <w:rFonts w:ascii="Arial" w:hAnsi="Arial" w:eastAsia="Arial" w:cs="Arial"/>
      <w:i/>
      <w:iCs/>
      <w:szCs w:val="21"/>
    </w:rPr>
  </w:style>
  <w:style w:type="character" w:styleId="903" w:default="1">
    <w:name w:val="Default Paragraph Font"/>
    <w:uiPriority w:val="1"/>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3"/>
    <w:next w:val="893"/>
    <w:uiPriority w:val="39"/>
    <w:unhideWhenUsed/>
    <w:qFormat/>
    <w:pPr>
      <w:ind w:left="1701"/>
      <w:spacing w:after="57"/>
    </w:pPr>
  </w:style>
  <w:style w:type="paragraph" w:styleId="906">
    <w:name w:val="Caption"/>
    <w:basedOn w:val="893"/>
    <w:next w:val="8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7">
    <w:name w:val="Body Text"/>
    <w:next w:val="893"/>
    <w:uiPriority w:val="0"/>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paragraph" w:styleId="908">
    <w:name w:val="toc 5"/>
    <w:basedOn w:val="893"/>
    <w:next w:val="893"/>
    <w:uiPriority w:val="39"/>
    <w:unhideWhenUsed/>
    <w:qFormat/>
    <w:pPr>
      <w:ind w:left="1134"/>
      <w:spacing w:after="57"/>
    </w:pPr>
  </w:style>
  <w:style w:type="paragraph" w:styleId="909">
    <w:name w:val="toc 3"/>
    <w:basedOn w:val="893"/>
    <w:next w:val="893"/>
    <w:uiPriority w:val="39"/>
    <w:unhideWhenUsed/>
    <w:qFormat/>
    <w:pPr>
      <w:ind w:left="567"/>
      <w:spacing w:after="57"/>
    </w:pPr>
  </w:style>
  <w:style w:type="paragraph" w:styleId="910">
    <w:name w:val="toc 8"/>
    <w:basedOn w:val="893"/>
    <w:next w:val="893"/>
    <w:uiPriority w:val="39"/>
    <w:unhideWhenUsed/>
    <w:qFormat/>
    <w:pPr>
      <w:ind w:left="1984"/>
      <w:spacing w:after="57"/>
    </w:pPr>
  </w:style>
  <w:style w:type="paragraph" w:styleId="911">
    <w:name w:val="endnote text"/>
    <w:basedOn w:val="893"/>
    <w:link w:val="1077"/>
    <w:uiPriority w:val="99"/>
    <w:semiHidden/>
    <w:unhideWhenUsed/>
    <w:qFormat/>
    <w:rPr>
      <w:sz w:val="20"/>
    </w:rPr>
  </w:style>
  <w:style w:type="paragraph" w:styleId="912">
    <w:name w:val="Footer"/>
    <w:basedOn w:val="893"/>
    <w:link w:val="950"/>
    <w:uiPriority w:val="99"/>
    <w:unhideWhenUsed/>
    <w:qFormat/>
    <w:pPr>
      <w:tabs>
        <w:tab w:val="center" w:pos="7143" w:leader="none"/>
        <w:tab w:val="right" w:pos="14287" w:leader="none"/>
      </w:tabs>
    </w:pPr>
  </w:style>
  <w:style w:type="paragraph" w:styleId="913">
    <w:name w:val="Header"/>
    <w:basedOn w:val="893"/>
    <w:link w:val="948"/>
    <w:uiPriority w:val="99"/>
    <w:unhideWhenUsed/>
    <w:qFormat/>
    <w:pPr>
      <w:tabs>
        <w:tab w:val="center" w:pos="7143" w:leader="none"/>
        <w:tab w:val="right" w:pos="14287" w:leader="none"/>
      </w:tabs>
    </w:pPr>
  </w:style>
  <w:style w:type="paragraph" w:styleId="914">
    <w:name w:val="toc 1"/>
    <w:basedOn w:val="893"/>
    <w:next w:val="893"/>
    <w:uiPriority w:val="39"/>
    <w:unhideWhenUsed/>
    <w:qFormat/>
    <w:pPr>
      <w:spacing w:after="57"/>
    </w:pPr>
  </w:style>
  <w:style w:type="paragraph" w:styleId="915">
    <w:name w:val="toc 4"/>
    <w:basedOn w:val="893"/>
    <w:next w:val="893"/>
    <w:uiPriority w:val="39"/>
    <w:unhideWhenUsed/>
    <w:qFormat/>
    <w:pPr>
      <w:ind w:left="850"/>
      <w:spacing w:after="57"/>
    </w:pPr>
  </w:style>
  <w:style w:type="paragraph" w:styleId="916">
    <w:name w:val="Subtitle"/>
    <w:basedOn w:val="893"/>
    <w:next w:val="893"/>
    <w:link w:val="943"/>
    <w:uiPriority w:val="11"/>
    <w:qFormat/>
    <w:pPr>
      <w:spacing w:before="200" w:after="200"/>
    </w:pPr>
    <w:rPr>
      <w:sz w:val="24"/>
    </w:rPr>
  </w:style>
  <w:style w:type="paragraph" w:styleId="917">
    <w:name w:val="footnote text"/>
    <w:basedOn w:val="893"/>
    <w:link w:val="1076"/>
    <w:uiPriority w:val="99"/>
    <w:semiHidden/>
    <w:unhideWhenUsed/>
    <w:qFormat/>
    <w:pPr>
      <w:spacing w:after="40"/>
    </w:pPr>
    <w:rPr>
      <w:sz w:val="18"/>
    </w:rPr>
  </w:style>
  <w:style w:type="paragraph" w:styleId="918">
    <w:name w:val="toc 6"/>
    <w:basedOn w:val="893"/>
    <w:next w:val="893"/>
    <w:uiPriority w:val="39"/>
    <w:unhideWhenUsed/>
    <w:qFormat/>
    <w:pPr>
      <w:ind w:left="1417"/>
      <w:spacing w:after="57"/>
    </w:pPr>
  </w:style>
  <w:style w:type="paragraph" w:styleId="919">
    <w:name w:val="table of figures"/>
    <w:basedOn w:val="893"/>
    <w:next w:val="893"/>
    <w:uiPriority w:val="99"/>
    <w:unhideWhenUsed/>
    <w:qFormat/>
  </w:style>
  <w:style w:type="paragraph" w:styleId="920">
    <w:name w:val="toc 2"/>
    <w:basedOn w:val="893"/>
    <w:next w:val="893"/>
    <w:uiPriority w:val="39"/>
    <w:unhideWhenUsed/>
    <w:qFormat/>
    <w:pPr>
      <w:ind w:left="283"/>
      <w:spacing w:after="57"/>
    </w:pPr>
  </w:style>
  <w:style w:type="paragraph" w:styleId="921">
    <w:name w:val="toc 9"/>
    <w:basedOn w:val="893"/>
    <w:next w:val="893"/>
    <w:uiPriority w:val="39"/>
    <w:unhideWhenUsed/>
    <w:qFormat/>
    <w:pPr>
      <w:ind w:left="2268"/>
      <w:spacing w:after="57"/>
    </w:pPr>
  </w:style>
  <w:style w:type="paragraph" w:styleId="922">
    <w:name w:val="HTML Preformatted"/>
    <w:basedOn w:val="893"/>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23">
    <w:name w:val="Title"/>
    <w:basedOn w:val="893"/>
    <w:next w:val="893"/>
    <w:link w:val="942"/>
    <w:uiPriority w:val="10"/>
    <w:qFormat/>
    <w:pPr>
      <w:contextualSpacing/>
      <w:spacing w:before="300" w:after="200"/>
    </w:pPr>
    <w:rPr>
      <w:sz w:val="48"/>
      <w:szCs w:val="48"/>
    </w:rPr>
  </w:style>
  <w:style w:type="table" w:styleId="92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endnote reference"/>
    <w:uiPriority w:val="99"/>
    <w:semiHidden/>
    <w:unhideWhenUsed/>
    <w:qFormat/>
    <w:rPr>
      <w:vertAlign w:val="superscript"/>
    </w:rPr>
  </w:style>
  <w:style w:type="character" w:styleId="926">
    <w:name w:val="Hyperlink"/>
    <w:uiPriority w:val="99"/>
    <w:unhideWhenUsed/>
    <w:qFormat/>
    <w:rPr>
      <w:color w:val="0000ff" w:themeColor="hyperlink"/>
      <w:u w:val="single"/>
      <w14:textFill>
        <w14:solidFill>
          <w14:schemeClr w14:val="hlink"/>
        </w14:solidFill>
      </w14:textFill>
    </w:rPr>
  </w:style>
  <w:style w:type="character" w:styleId="927">
    <w:name w:val="footnote reference"/>
    <w:uiPriority w:val="99"/>
    <w:unhideWhenUsed/>
    <w:qFormat/>
    <w:rPr>
      <w:vertAlign w:val="superscript"/>
    </w:rPr>
  </w:style>
  <w:style w:type="paragraph" w:styleId="928" w:customStyle="1">
    <w:name w:val="正文文本11"/>
    <w:next w:val="929"/>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29" w:customStyle="1">
    <w:name w:val="标题1"/>
    <w:basedOn w:val="893"/>
    <w:next w:val="893"/>
    <w:link w:val="1143"/>
    <w:uiPriority w:val="0"/>
    <w:qFormat/>
    <w:pPr>
      <w:jc w:val="center"/>
      <w:outlineLvl w:val="0"/>
    </w:pPr>
    <w:rPr>
      <w:b/>
      <w:sz w:val="32"/>
      <w:szCs w:val="20"/>
    </w:rPr>
  </w:style>
  <w:style w:type="paragraph" w:styleId="930" w:customStyle="1">
    <w:name w:val="列出段落1"/>
    <w:basedOn w:val="893"/>
    <w:uiPriority w:val="0"/>
    <w:qFormat/>
    <w:pPr>
      <w:ind w:firstLine="420"/>
    </w:pPr>
    <w:rPr>
      <w:rFonts w:ascii="Calibri" w:hAnsi="Calibri"/>
      <w:szCs w:val="22"/>
    </w:rPr>
  </w:style>
  <w:style w:type="character" w:styleId="931" w:customStyle="1">
    <w:name w:val="标题 1 Char1"/>
    <w:link w:val="894"/>
    <w:uiPriority w:val="9"/>
    <w:qFormat/>
    <w:rPr>
      <w:rFonts w:ascii="Arial" w:hAnsi="Arial" w:eastAsia="Arial" w:cs="Arial"/>
      <w:sz w:val="40"/>
      <w:szCs w:val="40"/>
    </w:rPr>
  </w:style>
  <w:style w:type="character" w:styleId="932" w:customStyle="1">
    <w:name w:val="标题 2 Char2"/>
    <w:link w:val="895"/>
    <w:uiPriority w:val="9"/>
    <w:qFormat/>
    <w:rPr>
      <w:rFonts w:ascii="Arial" w:hAnsi="Arial" w:eastAsia="Arial" w:cs="Arial"/>
      <w:sz w:val="34"/>
    </w:rPr>
  </w:style>
  <w:style w:type="character" w:styleId="933" w:customStyle="1">
    <w:name w:val="标题 3 Char2"/>
    <w:link w:val="896"/>
    <w:uiPriority w:val="9"/>
    <w:qFormat/>
    <w:rPr>
      <w:rFonts w:ascii="Arial" w:hAnsi="Arial" w:eastAsia="Arial" w:cs="Arial"/>
      <w:sz w:val="30"/>
      <w:szCs w:val="30"/>
    </w:rPr>
  </w:style>
  <w:style w:type="character" w:styleId="934" w:customStyle="1">
    <w:name w:val="标题 4 Char1"/>
    <w:link w:val="897"/>
    <w:uiPriority w:val="9"/>
    <w:qFormat/>
    <w:rPr>
      <w:rFonts w:ascii="Arial" w:hAnsi="Arial" w:eastAsia="Arial" w:cs="Arial"/>
      <w:b/>
      <w:bCs/>
      <w:sz w:val="26"/>
      <w:szCs w:val="26"/>
    </w:rPr>
  </w:style>
  <w:style w:type="character" w:styleId="935" w:customStyle="1">
    <w:name w:val="标题 5 Char1"/>
    <w:link w:val="898"/>
    <w:uiPriority w:val="9"/>
    <w:qFormat/>
    <w:rPr>
      <w:rFonts w:ascii="Arial" w:hAnsi="Arial" w:eastAsia="Arial" w:cs="Arial"/>
      <w:b/>
      <w:bCs/>
      <w:sz w:val="24"/>
      <w:szCs w:val="24"/>
    </w:rPr>
  </w:style>
  <w:style w:type="character" w:styleId="936" w:customStyle="1">
    <w:name w:val="标题 6 Char1"/>
    <w:link w:val="899"/>
    <w:uiPriority w:val="9"/>
    <w:qFormat/>
    <w:rPr>
      <w:rFonts w:ascii="Arial" w:hAnsi="Arial" w:eastAsia="Arial" w:cs="Arial"/>
      <w:b/>
      <w:bCs/>
      <w:sz w:val="22"/>
      <w:szCs w:val="22"/>
    </w:rPr>
  </w:style>
  <w:style w:type="character" w:styleId="937" w:customStyle="1">
    <w:name w:val="标题 7 Char1"/>
    <w:link w:val="900"/>
    <w:uiPriority w:val="9"/>
    <w:qFormat/>
    <w:rPr>
      <w:rFonts w:ascii="Arial" w:hAnsi="Arial" w:eastAsia="Arial" w:cs="Arial"/>
      <w:b/>
      <w:bCs/>
      <w:i/>
      <w:iCs/>
      <w:sz w:val="22"/>
      <w:szCs w:val="22"/>
    </w:rPr>
  </w:style>
  <w:style w:type="character" w:styleId="938" w:customStyle="1">
    <w:name w:val="标题 8 Char1"/>
    <w:link w:val="901"/>
    <w:uiPriority w:val="9"/>
    <w:qFormat/>
    <w:rPr>
      <w:rFonts w:ascii="Arial" w:hAnsi="Arial" w:eastAsia="Arial" w:cs="Arial"/>
      <w:i/>
      <w:iCs/>
      <w:sz w:val="22"/>
      <w:szCs w:val="22"/>
    </w:rPr>
  </w:style>
  <w:style w:type="character" w:styleId="939" w:customStyle="1">
    <w:name w:val="标题 9 Char1"/>
    <w:link w:val="902"/>
    <w:uiPriority w:val="9"/>
    <w:qFormat/>
    <w:rPr>
      <w:rFonts w:ascii="Arial" w:hAnsi="Arial" w:eastAsia="Arial" w:cs="Arial"/>
      <w:i/>
      <w:iCs/>
      <w:sz w:val="21"/>
      <w:szCs w:val="21"/>
    </w:rPr>
  </w:style>
  <w:style w:type="paragraph" w:styleId="940">
    <w:name w:val="List Paragraph"/>
    <w:basedOn w:val="893"/>
    <w:uiPriority w:val="34"/>
    <w:qFormat/>
    <w:pPr>
      <w:contextualSpacing/>
      <w:ind w:left="720"/>
    </w:pPr>
  </w:style>
  <w:style w:type="paragraph" w:styleId="941">
    <w:name w:val="No Spacing"/>
    <w:uiPriority w:val="1"/>
    <w:qFormat/>
    <w:rPr>
      <w:rFonts w:ascii="Times New Roman" w:hAnsi="Times New Roman" w:eastAsia="宋体" w:cs="Times New Roman"/>
      <w:lang w:val="en-US" w:eastAsia="zh-CN" w:bidi="ar-SA"/>
    </w:rPr>
  </w:style>
  <w:style w:type="character" w:styleId="942" w:customStyle="1">
    <w:name w:val="标题 Char2"/>
    <w:link w:val="923"/>
    <w:uiPriority w:val="10"/>
    <w:qFormat/>
    <w:rPr>
      <w:sz w:val="48"/>
      <w:szCs w:val="48"/>
    </w:rPr>
  </w:style>
  <w:style w:type="character" w:styleId="943" w:customStyle="1">
    <w:name w:val="副标题 Char"/>
    <w:link w:val="916"/>
    <w:uiPriority w:val="11"/>
    <w:qFormat/>
    <w:rPr>
      <w:sz w:val="24"/>
      <w:szCs w:val="24"/>
    </w:rPr>
  </w:style>
  <w:style w:type="paragraph" w:styleId="944">
    <w:name w:val="Quote"/>
    <w:basedOn w:val="893"/>
    <w:next w:val="893"/>
    <w:link w:val="945"/>
    <w:uiPriority w:val="29"/>
    <w:qFormat/>
    <w:pPr>
      <w:ind w:left="720" w:right="720"/>
    </w:pPr>
    <w:rPr>
      <w:i/>
    </w:rPr>
  </w:style>
  <w:style w:type="character" w:styleId="945" w:customStyle="1">
    <w:name w:val="引用 Char"/>
    <w:link w:val="944"/>
    <w:uiPriority w:val="29"/>
    <w:qFormat/>
    <w:rPr>
      <w:i/>
    </w:rPr>
  </w:style>
  <w:style w:type="paragraph" w:styleId="946">
    <w:name w:val="Intense Quote"/>
    <w:basedOn w:val="893"/>
    <w:next w:val="893"/>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Char"/>
    <w:link w:val="946"/>
    <w:uiPriority w:val="30"/>
    <w:qFormat/>
    <w:rPr>
      <w:i/>
    </w:rPr>
  </w:style>
  <w:style w:type="character" w:styleId="948" w:customStyle="1">
    <w:name w:val="页眉 Char2"/>
    <w:link w:val="913"/>
    <w:uiPriority w:val="99"/>
    <w:qFormat/>
  </w:style>
  <w:style w:type="character" w:styleId="949" w:customStyle="1">
    <w:name w:val="Footer Char"/>
    <w:uiPriority w:val="99"/>
    <w:qFormat/>
  </w:style>
  <w:style w:type="character" w:styleId="950" w:customStyle="1">
    <w:name w:val="页脚 Char2"/>
    <w:link w:val="912"/>
    <w:uiPriority w:val="99"/>
    <w:qFormat/>
  </w:style>
  <w:style w:type="table" w:styleId="9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6"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3"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0"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7"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4"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6" w:customStyle="1">
    <w:name w:val="脚注文本 Char"/>
    <w:link w:val="917"/>
    <w:uiPriority w:val="99"/>
    <w:qFormat/>
    <w:rPr>
      <w:sz w:val="18"/>
    </w:rPr>
  </w:style>
  <w:style w:type="character" w:styleId="1077" w:customStyle="1">
    <w:name w:val="尾注文本 Char"/>
    <w:link w:val="911"/>
    <w:uiPriority w:val="99"/>
    <w:qFormat/>
    <w:rPr>
      <w:sz w:val="20"/>
    </w:rPr>
  </w:style>
  <w:style w:type="paragraph" w:styleId="1078" w:customStyle="1">
    <w:name w:val="TOC 标题1"/>
    <w:uiPriority w:val="39"/>
    <w:unhideWhenUsed/>
    <w:qFormat/>
    <w:rPr>
      <w:rFonts w:ascii="Times New Roman" w:hAnsi="Times New Roman" w:eastAsia="宋体" w:cs="Times New Roman"/>
      <w:lang w:val="en-US" w:eastAsia="zh-CN" w:bidi="ar-SA"/>
    </w:rPr>
  </w:style>
  <w:style w:type="paragraph" w:styleId="1079" w:customStyle="1">
    <w:name w:val="标题 11"/>
    <w:basedOn w:val="893"/>
    <w:next w:val="893"/>
    <w:link w:val="1093"/>
    <w:uiPriority w:val="0"/>
    <w:qFormat/>
    <w:pPr>
      <w:jc w:val="center"/>
      <w:keepLines/>
      <w:keepNext/>
      <w:spacing w:before="240" w:after="120" w:line="300" w:lineRule="auto"/>
      <w:outlineLvl w:val="0"/>
    </w:pPr>
    <w:rPr>
      <w:rFonts w:ascii="宋体"/>
      <w:b/>
      <w:sz w:val="32"/>
      <w:szCs w:val="20"/>
    </w:rPr>
  </w:style>
  <w:style w:type="paragraph" w:styleId="1080" w:customStyle="1">
    <w:name w:val="标题 21"/>
    <w:basedOn w:val="893"/>
    <w:next w:val="1081"/>
    <w:link w:val="1094"/>
    <w:uiPriority w:val="0"/>
    <w:qFormat/>
    <w:pPr>
      <w:jc w:val="center"/>
      <w:keepLines/>
      <w:keepNext/>
      <w:spacing w:before="120" w:line="300" w:lineRule="auto"/>
      <w:outlineLvl w:val="1"/>
    </w:pPr>
    <w:rPr>
      <w:rFonts w:ascii="Arial" w:hAnsi="Arial" w:eastAsia="黑体"/>
      <w:b/>
      <w:sz w:val="30"/>
      <w:szCs w:val="20"/>
    </w:rPr>
  </w:style>
  <w:style w:type="paragraph" w:styleId="1081" w:customStyle="1">
    <w:name w:val="正文缩进11"/>
    <w:basedOn w:val="893"/>
    <w:link w:val="1095"/>
    <w:uiPriority w:val="0"/>
    <w:qFormat/>
    <w:pPr>
      <w:ind w:firstLine="420"/>
      <w:jc w:val="left"/>
    </w:pPr>
    <w:rPr>
      <w:rFonts w:ascii="宋体"/>
      <w:sz w:val="24"/>
    </w:rPr>
  </w:style>
  <w:style w:type="paragraph" w:styleId="1082" w:customStyle="1">
    <w:name w:val="标题 31"/>
    <w:basedOn w:val="893"/>
    <w:next w:val="1081"/>
    <w:link w:val="1096"/>
    <w:uiPriority w:val="0"/>
    <w:qFormat/>
    <w:pPr>
      <w:jc w:val="left"/>
      <w:keepLines/>
      <w:keepNext/>
      <w:spacing w:before="360" w:after="120"/>
      <w:outlineLvl w:val="2"/>
    </w:pPr>
    <w:rPr>
      <w:rFonts w:ascii="宋体"/>
      <w:b/>
      <w:sz w:val="24"/>
      <w:szCs w:val="20"/>
      <w:u w:val="single"/>
    </w:rPr>
  </w:style>
  <w:style w:type="paragraph" w:styleId="1083" w:customStyle="1">
    <w:name w:val="标题 41"/>
    <w:basedOn w:val="893"/>
    <w:next w:val="893"/>
    <w:link w:val="1097"/>
    <w:uiPriority w:val="0"/>
    <w:qFormat/>
    <w:pPr>
      <w:keepLines/>
      <w:keepNext/>
      <w:spacing w:before="280" w:after="290" w:line="376" w:lineRule="atLeast"/>
      <w:outlineLvl w:val="3"/>
    </w:pPr>
    <w:rPr>
      <w:rFonts w:ascii="Arial" w:hAnsi="Arial" w:eastAsia="黑体"/>
      <w:b/>
      <w:sz w:val="28"/>
      <w:szCs w:val="20"/>
    </w:rPr>
  </w:style>
  <w:style w:type="paragraph" w:styleId="1084" w:customStyle="1">
    <w:name w:val="标题 51"/>
    <w:basedOn w:val="893"/>
    <w:next w:val="893"/>
    <w:link w:val="1098"/>
    <w:uiPriority w:val="0"/>
    <w:qFormat/>
    <w:pPr>
      <w:keepLines/>
      <w:keepNext/>
      <w:spacing w:before="280" w:after="290" w:line="376" w:lineRule="atLeast"/>
      <w:outlineLvl w:val="4"/>
    </w:pPr>
    <w:rPr>
      <w:b/>
      <w:sz w:val="28"/>
      <w:szCs w:val="20"/>
    </w:rPr>
  </w:style>
  <w:style w:type="paragraph" w:styleId="1085" w:customStyle="1">
    <w:name w:val="标题 61"/>
    <w:basedOn w:val="893"/>
    <w:next w:val="893"/>
    <w:link w:val="1099"/>
    <w:uiPriority w:val="0"/>
    <w:qFormat/>
    <w:pPr>
      <w:keepLines/>
      <w:keepNext/>
      <w:spacing w:before="240" w:after="64" w:line="320" w:lineRule="atLeast"/>
      <w:outlineLvl w:val="5"/>
    </w:pPr>
    <w:rPr>
      <w:rFonts w:ascii="Arial" w:hAnsi="Arial" w:eastAsia="黑体"/>
      <w:b/>
      <w:sz w:val="24"/>
      <w:szCs w:val="20"/>
    </w:rPr>
  </w:style>
  <w:style w:type="paragraph" w:styleId="1086" w:customStyle="1">
    <w:name w:val="标题 71"/>
    <w:basedOn w:val="893"/>
    <w:next w:val="893"/>
    <w:link w:val="1100"/>
    <w:uiPriority w:val="0"/>
    <w:qFormat/>
    <w:pPr>
      <w:keepLines/>
      <w:keepNext/>
      <w:spacing w:before="240" w:after="64" w:line="320" w:lineRule="atLeast"/>
      <w:outlineLvl w:val="6"/>
    </w:pPr>
    <w:rPr>
      <w:b/>
      <w:sz w:val="24"/>
      <w:szCs w:val="20"/>
    </w:rPr>
  </w:style>
  <w:style w:type="paragraph" w:styleId="1087" w:customStyle="1">
    <w:name w:val="标题 81"/>
    <w:basedOn w:val="893"/>
    <w:next w:val="893"/>
    <w:link w:val="1101"/>
    <w:uiPriority w:val="0"/>
    <w:qFormat/>
    <w:pPr>
      <w:keepLines/>
      <w:keepNext/>
      <w:spacing w:before="240" w:after="64" w:line="320" w:lineRule="atLeast"/>
      <w:outlineLvl w:val="7"/>
    </w:pPr>
    <w:rPr>
      <w:rFonts w:ascii="Arial" w:hAnsi="Arial" w:eastAsia="黑体"/>
      <w:sz w:val="24"/>
      <w:szCs w:val="20"/>
    </w:rPr>
  </w:style>
  <w:style w:type="paragraph" w:styleId="1088" w:customStyle="1">
    <w:name w:val="标题 91"/>
    <w:basedOn w:val="893"/>
    <w:next w:val="893"/>
    <w:link w:val="1102"/>
    <w:uiPriority w:val="0"/>
    <w:qFormat/>
    <w:pPr>
      <w:keepLines/>
      <w:keepNext/>
      <w:spacing w:before="240" w:after="64" w:line="320" w:lineRule="atLeast"/>
      <w:outlineLvl w:val="8"/>
    </w:pPr>
    <w:rPr>
      <w:rFonts w:ascii="Arial" w:hAnsi="Arial" w:eastAsia="黑体"/>
      <w:szCs w:val="20"/>
    </w:rPr>
  </w:style>
  <w:style w:type="character" w:styleId="1089" w:customStyle="1">
    <w:name w:val="默认段落字体1"/>
    <w:uiPriority w:val="1"/>
    <w:unhideWhenUsed/>
    <w:qFormat/>
  </w:style>
  <w:style w:type="table" w:styleId="1090" w:customStyle="1">
    <w:name w:val="普通表格1"/>
    <w:uiPriority w:val="99"/>
    <w:unhideWhenUsed/>
    <w:qFormat/>
    <w:tblPr>
      <w:tblCellMar>
        <w:left w:w="0" w:type="dxa"/>
        <w:top w:w="0" w:type="dxa"/>
        <w:right w:w="0" w:type="dxa"/>
        <w:bottom w:w="0" w:type="dxa"/>
      </w:tblCellMar>
    </w:tblPr>
  </w:style>
  <w:style w:type="paragraph" w:styleId="1091" w:customStyle="1">
    <w:name w:val="正文文本1"/>
    <w:basedOn w:val="893"/>
    <w:next w:val="893"/>
    <w:link w:val="1092"/>
    <w:uiPriority w:val="0"/>
    <w:qFormat/>
    <w:pPr>
      <w:spacing w:before="120" w:line="22" w:lineRule="atLeast"/>
      <w:tabs>
        <w:tab w:val="left" w:pos="567" w:leader="none"/>
      </w:tabs>
    </w:pPr>
    <w:rPr>
      <w:rFonts w:ascii="宋体" w:hAnsi="宋体"/>
      <w:sz w:val="24"/>
    </w:rPr>
  </w:style>
  <w:style w:type="character" w:styleId="1092" w:customStyle="1">
    <w:name w:val="正文文本 Char"/>
    <w:link w:val="1091"/>
    <w:uiPriority w:val="0"/>
    <w:qFormat/>
    <w:rPr>
      <w:rFonts w:ascii="宋体" w:hAnsi="宋体"/>
      <w:sz w:val="24"/>
      <w:szCs w:val="24"/>
    </w:rPr>
  </w:style>
  <w:style w:type="character" w:styleId="1093" w:customStyle="1">
    <w:name w:val="标题 1 Char"/>
    <w:link w:val="1079"/>
    <w:uiPriority w:val="0"/>
    <w:qFormat/>
    <w:rPr>
      <w:rFonts w:ascii="宋体"/>
      <w:b/>
      <w:sz w:val="32"/>
    </w:rPr>
  </w:style>
  <w:style w:type="character" w:styleId="1094" w:customStyle="1">
    <w:name w:val="标题 2 Char1"/>
    <w:link w:val="1080"/>
    <w:uiPriority w:val="0"/>
    <w:qFormat/>
    <w:rPr>
      <w:rFonts w:ascii="Arial" w:hAnsi="Arial" w:eastAsia="黑体"/>
      <w:b/>
      <w:sz w:val="30"/>
      <w:lang w:val="en-US" w:eastAsia="zh-CN" w:bidi="ar-SA"/>
    </w:rPr>
  </w:style>
  <w:style w:type="character" w:styleId="1095" w:customStyle="1">
    <w:name w:val="正文缩进 Char1"/>
    <w:link w:val="1081"/>
    <w:uiPriority w:val="0"/>
    <w:qFormat/>
    <w:rPr>
      <w:rFonts w:ascii="宋体" w:eastAsia="宋体"/>
      <w:sz w:val="24"/>
      <w:szCs w:val="24"/>
      <w:lang w:val="en-US" w:eastAsia="zh-CN" w:bidi="ar-SA"/>
    </w:rPr>
  </w:style>
  <w:style w:type="character" w:styleId="1096" w:customStyle="1">
    <w:name w:val="标题 3 Char1"/>
    <w:link w:val="1082"/>
    <w:uiPriority w:val="0"/>
    <w:qFormat/>
    <w:rPr>
      <w:rFonts w:ascii="宋体" w:eastAsia="宋体"/>
      <w:b/>
      <w:sz w:val="24"/>
      <w:u w:val="single"/>
      <w:lang w:val="en-US" w:eastAsia="zh-CN" w:bidi="ar-SA"/>
    </w:rPr>
  </w:style>
  <w:style w:type="character" w:styleId="1097" w:customStyle="1">
    <w:name w:val="标题 4 Char"/>
    <w:link w:val="1083"/>
    <w:uiPriority w:val="0"/>
    <w:qFormat/>
    <w:rPr>
      <w:rFonts w:ascii="Arial" w:hAnsi="Arial" w:eastAsia="黑体"/>
      <w:b/>
      <w:sz w:val="28"/>
    </w:rPr>
  </w:style>
  <w:style w:type="character" w:styleId="1098" w:customStyle="1">
    <w:name w:val="标题 5 Char"/>
    <w:link w:val="1084"/>
    <w:uiPriority w:val="0"/>
    <w:qFormat/>
    <w:rPr>
      <w:b/>
      <w:sz w:val="28"/>
    </w:rPr>
  </w:style>
  <w:style w:type="character" w:styleId="1099" w:customStyle="1">
    <w:name w:val="标题 6 Char"/>
    <w:link w:val="1085"/>
    <w:uiPriority w:val="0"/>
    <w:qFormat/>
    <w:rPr>
      <w:rFonts w:ascii="Arial" w:hAnsi="Arial" w:eastAsia="黑体"/>
      <w:b/>
      <w:sz w:val="24"/>
    </w:rPr>
  </w:style>
  <w:style w:type="character" w:styleId="1100" w:customStyle="1">
    <w:name w:val="标题 7 Char"/>
    <w:link w:val="1086"/>
    <w:uiPriority w:val="0"/>
    <w:qFormat/>
    <w:rPr>
      <w:b/>
      <w:sz w:val="24"/>
    </w:rPr>
  </w:style>
  <w:style w:type="character" w:styleId="1101" w:customStyle="1">
    <w:name w:val="标题 8 Char"/>
    <w:link w:val="1087"/>
    <w:uiPriority w:val="0"/>
    <w:qFormat/>
    <w:rPr>
      <w:rFonts w:ascii="Arial" w:hAnsi="Arial" w:eastAsia="黑体"/>
      <w:sz w:val="24"/>
    </w:rPr>
  </w:style>
  <w:style w:type="character" w:styleId="1102" w:customStyle="1">
    <w:name w:val="标题 9 Char"/>
    <w:link w:val="1088"/>
    <w:uiPriority w:val="0"/>
    <w:qFormat/>
    <w:rPr>
      <w:rFonts w:ascii="Arial" w:hAnsi="Arial" w:eastAsia="黑体"/>
      <w:sz w:val="21"/>
    </w:rPr>
  </w:style>
  <w:style w:type="paragraph" w:styleId="1103" w:customStyle="1">
    <w:name w:val="目录 71"/>
    <w:basedOn w:val="893"/>
    <w:next w:val="893"/>
    <w:uiPriority w:val="0"/>
    <w:qFormat/>
    <w:pPr>
      <w:ind w:left="2520"/>
    </w:pPr>
  </w:style>
  <w:style w:type="paragraph" w:styleId="1104" w:customStyle="1">
    <w:name w:val="题注1"/>
    <w:basedOn w:val="893"/>
    <w:next w:val="893"/>
    <w:uiPriority w:val="0"/>
    <w:qFormat/>
    <w:pPr>
      <w:spacing w:line="480" w:lineRule="auto"/>
    </w:pPr>
    <w:rPr>
      <w:rFonts w:ascii="华文中宋" w:hAnsi="华文中宋" w:eastAsia="华文中宋"/>
      <w:sz w:val="36"/>
      <w:szCs w:val="20"/>
    </w:rPr>
  </w:style>
  <w:style w:type="paragraph" w:styleId="1105" w:customStyle="1">
    <w:name w:val="文档结构图1"/>
    <w:basedOn w:val="893"/>
    <w:link w:val="1106"/>
    <w:uiPriority w:val="0"/>
    <w:qFormat/>
    <w:pPr>
      <w:shd w:val="clear" w:color="auto" w:fill="000080"/>
    </w:pPr>
  </w:style>
  <w:style w:type="character" w:styleId="1106" w:customStyle="1">
    <w:name w:val="文档结构图 Char"/>
    <w:link w:val="1105"/>
    <w:uiPriority w:val="0"/>
    <w:qFormat/>
    <w:rPr>
      <w:sz w:val="21"/>
      <w:szCs w:val="24"/>
      <w:shd w:val="clear" w:color="auto" w:fill="000080"/>
    </w:rPr>
  </w:style>
  <w:style w:type="paragraph" w:styleId="1107" w:customStyle="1">
    <w:name w:val="批注文字1"/>
    <w:basedOn w:val="893"/>
    <w:link w:val="1108"/>
    <w:uiPriority w:val="99"/>
    <w:qFormat/>
    <w:pPr>
      <w:jc w:val="left"/>
    </w:pPr>
  </w:style>
  <w:style w:type="character" w:styleId="1108" w:customStyle="1">
    <w:name w:val="批注文字 Char1"/>
    <w:link w:val="1107"/>
    <w:uiPriority w:val="99"/>
    <w:qFormat/>
    <w:rPr>
      <w:sz w:val="21"/>
      <w:szCs w:val="24"/>
    </w:rPr>
  </w:style>
  <w:style w:type="paragraph" w:styleId="1109" w:customStyle="1">
    <w:name w:val="正文文本 31"/>
    <w:basedOn w:val="893"/>
    <w:link w:val="1110"/>
    <w:uiPriority w:val="0"/>
    <w:qFormat/>
    <w:pPr>
      <w:spacing w:after="120"/>
    </w:pPr>
    <w:rPr>
      <w:sz w:val="16"/>
      <w:szCs w:val="16"/>
    </w:rPr>
  </w:style>
  <w:style w:type="character" w:styleId="1110" w:customStyle="1">
    <w:name w:val="正文文本 3 Char"/>
    <w:link w:val="1109"/>
    <w:uiPriority w:val="0"/>
    <w:qFormat/>
    <w:rPr>
      <w:sz w:val="16"/>
      <w:szCs w:val="16"/>
    </w:rPr>
  </w:style>
  <w:style w:type="paragraph" w:styleId="1111" w:customStyle="1">
    <w:name w:val="正文文本缩进11"/>
    <w:basedOn w:val="893"/>
    <w:link w:val="1112"/>
    <w:uiPriority w:val="0"/>
    <w:qFormat/>
    <w:pPr>
      <w:ind w:firstLine="570"/>
      <w:spacing w:line="360" w:lineRule="auto"/>
    </w:pPr>
    <w:rPr>
      <w:sz w:val="24"/>
    </w:rPr>
  </w:style>
  <w:style w:type="character" w:styleId="1112" w:customStyle="1">
    <w:name w:val="正文文本缩进 Char2"/>
    <w:link w:val="1111"/>
    <w:uiPriority w:val="0"/>
    <w:qFormat/>
    <w:rPr>
      <w:rFonts w:eastAsia="宋体"/>
      <w:sz w:val="24"/>
      <w:szCs w:val="24"/>
      <w:lang w:val="en-US" w:eastAsia="zh-CN" w:bidi="ar-SA"/>
    </w:rPr>
  </w:style>
  <w:style w:type="paragraph" w:styleId="1113" w:customStyle="1">
    <w:name w:val="列表 21"/>
    <w:basedOn w:val="893"/>
    <w:uiPriority w:val="0"/>
    <w:qFormat/>
    <w:pPr>
      <w:ind w:left="100" w:hanging="200"/>
    </w:pPr>
  </w:style>
  <w:style w:type="paragraph" w:styleId="1114" w:customStyle="1">
    <w:name w:val="文本块1"/>
    <w:basedOn w:val="893"/>
    <w:uiPriority w:val="0"/>
    <w:qFormat/>
    <w:pPr>
      <w:ind w:left="480" w:right="-341" w:firstLine="513"/>
      <w:widowControl/>
    </w:pPr>
    <w:rPr>
      <w:sz w:val="24"/>
      <w:szCs w:val="20"/>
    </w:rPr>
  </w:style>
  <w:style w:type="paragraph" w:styleId="1115" w:customStyle="1">
    <w:name w:val="索引 41"/>
    <w:basedOn w:val="893"/>
    <w:next w:val="893"/>
    <w:uiPriority w:val="0"/>
    <w:unhideWhenUsed/>
    <w:qFormat/>
    <w:pPr>
      <w:ind w:left="600"/>
    </w:pPr>
  </w:style>
  <w:style w:type="paragraph" w:styleId="1116" w:customStyle="1">
    <w:name w:val="目录 51"/>
    <w:basedOn w:val="893"/>
    <w:next w:val="893"/>
    <w:uiPriority w:val="0"/>
    <w:qFormat/>
    <w:pPr>
      <w:ind w:left="1680"/>
    </w:pPr>
  </w:style>
  <w:style w:type="paragraph" w:styleId="1117" w:customStyle="1">
    <w:name w:val="目录 31"/>
    <w:basedOn w:val="893"/>
    <w:next w:val="893"/>
    <w:uiPriority w:val="39"/>
    <w:qFormat/>
    <w:pPr>
      <w:ind w:left="840"/>
    </w:pPr>
  </w:style>
  <w:style w:type="paragraph" w:styleId="1118" w:customStyle="1">
    <w:name w:val="纯文本1"/>
    <w:basedOn w:val="893"/>
    <w:link w:val="1119"/>
    <w:uiPriority w:val="0"/>
    <w:qFormat/>
    <w:rPr>
      <w:rFonts w:hint="eastAsia" w:ascii="宋体" w:hAnsi="Courier New"/>
      <w:szCs w:val="20"/>
    </w:rPr>
  </w:style>
  <w:style w:type="character" w:styleId="1119" w:customStyle="1">
    <w:name w:val="纯文本 Char"/>
    <w:link w:val="1118"/>
    <w:uiPriority w:val="0"/>
    <w:qFormat/>
    <w:rPr>
      <w:rFonts w:hint="eastAsia" w:ascii="宋体" w:hAnsi="Courier New" w:eastAsia="宋体" w:cs="宋体"/>
      <w:sz w:val="21"/>
    </w:rPr>
  </w:style>
  <w:style w:type="paragraph" w:styleId="1120" w:customStyle="1">
    <w:name w:val="目录 81"/>
    <w:basedOn w:val="893"/>
    <w:next w:val="893"/>
    <w:uiPriority w:val="0"/>
    <w:qFormat/>
    <w:pPr>
      <w:ind w:left="2940"/>
    </w:pPr>
  </w:style>
  <w:style w:type="paragraph" w:styleId="1121" w:customStyle="1">
    <w:name w:val="日期1"/>
    <w:basedOn w:val="893"/>
    <w:next w:val="893"/>
    <w:link w:val="1122"/>
    <w:uiPriority w:val="0"/>
    <w:qFormat/>
    <w:pPr>
      <w:ind w:left="100"/>
    </w:pPr>
    <w:rPr>
      <w:rFonts w:ascii="仿宋_GB2312" w:hAnsi="宋体" w:eastAsia="仿宋_GB2312"/>
      <w:color w:val="000000"/>
      <w:sz w:val="24"/>
    </w:rPr>
  </w:style>
  <w:style w:type="character" w:styleId="1122" w:customStyle="1">
    <w:name w:val="日期 Char"/>
    <w:link w:val="1121"/>
    <w:uiPriority w:val="0"/>
    <w:qFormat/>
    <w:rPr>
      <w:rFonts w:ascii="仿宋_GB2312" w:hAnsi="宋体" w:eastAsia="仿宋_GB2312"/>
      <w:color w:val="000000"/>
      <w:sz w:val="24"/>
      <w:szCs w:val="24"/>
    </w:rPr>
  </w:style>
  <w:style w:type="paragraph" w:styleId="1123" w:customStyle="1">
    <w:name w:val="正文文本缩进 21"/>
    <w:basedOn w:val="893"/>
    <w:link w:val="1124"/>
    <w:uiPriority w:val="0"/>
    <w:qFormat/>
    <w:pPr>
      <w:ind w:firstLine="480"/>
    </w:pPr>
    <w:rPr>
      <w:rFonts w:ascii="仿宋_GB2312" w:eastAsia="仿宋_GB2312"/>
      <w:sz w:val="24"/>
    </w:rPr>
  </w:style>
  <w:style w:type="character" w:styleId="1124" w:customStyle="1">
    <w:name w:val="正文文本缩进 2 Char"/>
    <w:link w:val="1123"/>
    <w:uiPriority w:val="0"/>
    <w:qFormat/>
    <w:rPr>
      <w:rFonts w:ascii="仿宋_GB2312" w:eastAsia="仿宋_GB2312"/>
      <w:sz w:val="24"/>
      <w:szCs w:val="24"/>
    </w:rPr>
  </w:style>
  <w:style w:type="paragraph" w:styleId="1125" w:customStyle="1">
    <w:name w:val="批注框文本1"/>
    <w:basedOn w:val="893"/>
    <w:link w:val="1126"/>
    <w:uiPriority w:val="0"/>
    <w:qFormat/>
    <w:rPr>
      <w:sz w:val="18"/>
      <w:szCs w:val="18"/>
    </w:rPr>
  </w:style>
  <w:style w:type="character" w:styleId="1126" w:customStyle="1">
    <w:name w:val="批注框文本 Char"/>
    <w:link w:val="1125"/>
    <w:uiPriority w:val="0"/>
    <w:qFormat/>
    <w:rPr>
      <w:sz w:val="18"/>
      <w:szCs w:val="18"/>
    </w:rPr>
  </w:style>
  <w:style w:type="paragraph" w:styleId="1127" w:customStyle="1">
    <w:name w:val="页脚1"/>
    <w:basedOn w:val="893"/>
    <w:link w:val="1128"/>
    <w:uiPriority w:val="99"/>
    <w:qFormat/>
    <w:pPr>
      <w:jc w:val="left"/>
      <w:tabs>
        <w:tab w:val="center" w:pos="4153" w:leader="none"/>
        <w:tab w:val="right" w:pos="8306" w:leader="none"/>
      </w:tabs>
    </w:pPr>
    <w:rPr>
      <w:rFonts w:ascii="宋体"/>
      <w:sz w:val="18"/>
      <w:szCs w:val="20"/>
    </w:rPr>
  </w:style>
  <w:style w:type="character" w:styleId="1128" w:customStyle="1">
    <w:name w:val="页脚 Char1"/>
    <w:link w:val="1127"/>
    <w:uiPriority w:val="99"/>
    <w:qFormat/>
    <w:rPr>
      <w:rFonts w:ascii="宋体" w:eastAsia="宋体"/>
      <w:sz w:val="18"/>
      <w:lang w:val="en-US" w:eastAsia="zh-CN" w:bidi="ar-SA"/>
    </w:rPr>
  </w:style>
  <w:style w:type="paragraph" w:styleId="1129" w:customStyle="1">
    <w:name w:val="寄信人地址1"/>
    <w:basedOn w:val="893"/>
    <w:uiPriority w:val="0"/>
    <w:qFormat/>
    <w:rPr>
      <w:rFonts w:ascii="Arial" w:hAnsi="Arial"/>
    </w:rPr>
  </w:style>
  <w:style w:type="paragraph" w:styleId="1130" w:customStyle="1">
    <w:name w:val="页眉1"/>
    <w:basedOn w:val="893"/>
    <w:link w:val="1131"/>
    <w:uiPriority w:val="0"/>
    <w:qFormat/>
    <w:pPr>
      <w:jc w:val="center"/>
      <w:tabs>
        <w:tab w:val="center" w:pos="4153" w:leader="none"/>
        <w:tab w:val="right" w:pos="8306" w:leader="none"/>
      </w:tabs>
      <w:pBdr>
        <w:bottom w:val="single" w:color="000000" w:sz="6" w:space="1"/>
      </w:pBdr>
    </w:pPr>
    <w:rPr>
      <w:sz w:val="18"/>
      <w:szCs w:val="18"/>
    </w:rPr>
  </w:style>
  <w:style w:type="character" w:styleId="1131" w:customStyle="1">
    <w:name w:val="页眉 Char1"/>
    <w:link w:val="1130"/>
    <w:uiPriority w:val="0"/>
    <w:qFormat/>
    <w:rPr>
      <w:rFonts w:eastAsia="宋体"/>
      <w:sz w:val="18"/>
      <w:szCs w:val="18"/>
      <w:lang w:val="en-US" w:eastAsia="zh-CN" w:bidi="ar-SA"/>
    </w:rPr>
  </w:style>
  <w:style w:type="paragraph" w:styleId="1132" w:customStyle="1">
    <w:name w:val="目录 111"/>
    <w:basedOn w:val="893"/>
    <w:next w:val="893"/>
    <w:uiPriority w:val="39"/>
    <w:qFormat/>
    <w:pPr>
      <w:spacing w:line="300" w:lineRule="auto"/>
      <w:tabs>
        <w:tab w:val="left" w:pos="1050" w:leader="none"/>
        <w:tab w:val="right" w:pos="8937" w:leader="dot"/>
      </w:tabs>
    </w:pPr>
    <w:rPr>
      <w:rFonts w:ascii="宋体" w:hAnsi="宋体"/>
      <w:b/>
      <w:sz w:val="24"/>
    </w:rPr>
  </w:style>
  <w:style w:type="paragraph" w:styleId="1133" w:customStyle="1">
    <w:name w:val="目录 41"/>
    <w:basedOn w:val="893"/>
    <w:next w:val="893"/>
    <w:uiPriority w:val="0"/>
    <w:qFormat/>
    <w:pPr>
      <w:ind w:left="1260"/>
    </w:pPr>
  </w:style>
  <w:style w:type="paragraph" w:styleId="1134" w:customStyle="1">
    <w:name w:val="目录 61"/>
    <w:basedOn w:val="893"/>
    <w:next w:val="893"/>
    <w:uiPriority w:val="0"/>
    <w:qFormat/>
    <w:pPr>
      <w:ind w:left="2100"/>
    </w:pPr>
  </w:style>
  <w:style w:type="paragraph" w:styleId="1135" w:customStyle="1">
    <w:name w:val="正文文本缩进 31"/>
    <w:basedOn w:val="893"/>
    <w:link w:val="1136"/>
    <w:uiPriority w:val="0"/>
    <w:qFormat/>
    <w:pPr>
      <w:ind w:left="720" w:firstLine="480"/>
      <w:jc w:val="left"/>
      <w:spacing w:before="120" w:line="22" w:lineRule="atLeast"/>
    </w:pPr>
    <w:rPr>
      <w:rFonts w:ascii="宋体"/>
      <w:sz w:val="24"/>
      <w:szCs w:val="20"/>
    </w:rPr>
  </w:style>
  <w:style w:type="character" w:styleId="1136" w:customStyle="1">
    <w:name w:val="正文文本缩进 3 Char"/>
    <w:link w:val="1135"/>
    <w:uiPriority w:val="0"/>
    <w:qFormat/>
    <w:rPr>
      <w:rFonts w:ascii="宋体"/>
      <w:sz w:val="24"/>
    </w:rPr>
  </w:style>
  <w:style w:type="paragraph" w:styleId="1137" w:customStyle="1">
    <w:name w:val="目录 21"/>
    <w:basedOn w:val="893"/>
    <w:next w:val="893"/>
    <w:uiPriority w:val="39"/>
    <w:qFormat/>
    <w:pPr>
      <w:ind w:left="420"/>
      <w:spacing w:line="312" w:lineRule="auto"/>
      <w:tabs>
        <w:tab w:val="right" w:pos="8937" w:leader="dot"/>
      </w:tabs>
    </w:pPr>
  </w:style>
  <w:style w:type="paragraph" w:styleId="1138" w:customStyle="1">
    <w:name w:val="目录 91"/>
    <w:basedOn w:val="893"/>
    <w:next w:val="893"/>
    <w:uiPriority w:val="0"/>
    <w:qFormat/>
    <w:pPr>
      <w:ind w:left="3360"/>
    </w:pPr>
  </w:style>
  <w:style w:type="paragraph" w:styleId="1139" w:customStyle="1">
    <w:name w:val="HTML 预设格式1"/>
    <w:basedOn w:val="893"/>
    <w:link w:val="11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0" w:customStyle="1">
    <w:name w:val="HTML 预设格式 Char"/>
    <w:link w:val="1139"/>
    <w:uiPriority w:val="0"/>
    <w:qFormat/>
    <w:rPr>
      <w:rFonts w:ascii="宋体" w:hAnsi="宋体" w:cs="宋体"/>
      <w:sz w:val="24"/>
      <w:szCs w:val="24"/>
    </w:rPr>
  </w:style>
  <w:style w:type="paragraph" w:styleId="1141" w:customStyle="1">
    <w:name w:val="普通(网站)1"/>
    <w:basedOn w:val="893"/>
    <w:uiPriority w:val="99"/>
    <w:unhideWhenUsed/>
    <w:qFormat/>
    <w:pPr>
      <w:jc w:val="left"/>
      <w:spacing w:before="100" w:beforeAutospacing="1" w:after="100" w:afterAutospacing="1"/>
      <w:widowControl/>
    </w:pPr>
    <w:rPr>
      <w:rFonts w:ascii="宋体" w:hAnsi="宋体" w:cs="宋体"/>
      <w:sz w:val="24"/>
    </w:rPr>
  </w:style>
  <w:style w:type="paragraph" w:styleId="1142" w:customStyle="1">
    <w:name w:val="索引 11"/>
    <w:basedOn w:val="893"/>
    <w:next w:val="893"/>
    <w:uiPriority w:val="0"/>
    <w:qFormat/>
    <w:rPr>
      <w:szCs w:val="20"/>
    </w:rPr>
  </w:style>
  <w:style w:type="character" w:styleId="1143" w:customStyle="1">
    <w:name w:val="标题 Char1"/>
    <w:link w:val="929"/>
    <w:uiPriority w:val="0"/>
    <w:qFormat/>
    <w:rPr>
      <w:b/>
      <w:sz w:val="32"/>
    </w:rPr>
  </w:style>
  <w:style w:type="paragraph" w:styleId="1144" w:customStyle="1">
    <w:name w:val="批注主题1"/>
    <w:basedOn w:val="1107"/>
    <w:next w:val="1107"/>
    <w:link w:val="1145"/>
    <w:uiPriority w:val="0"/>
    <w:qFormat/>
    <w:rPr>
      <w:b/>
      <w:bCs/>
    </w:rPr>
  </w:style>
  <w:style w:type="character" w:styleId="1145" w:customStyle="1">
    <w:name w:val="批注主题 Char"/>
    <w:link w:val="1144"/>
    <w:uiPriority w:val="0"/>
    <w:qFormat/>
    <w:rPr>
      <w:rFonts w:ascii="Times New Roman" w:hAnsi="Times New Roman" w:eastAsia="宋体" w:cs="Times New Roman"/>
      <w:b/>
      <w:bCs/>
      <w:sz w:val="21"/>
      <w:szCs w:val="24"/>
      <w:lang w:val="en-US" w:eastAsia="zh-CN" w:bidi="ar-SA"/>
    </w:rPr>
  </w:style>
  <w:style w:type="paragraph" w:styleId="1146" w:customStyle="1">
    <w:name w:val="正文首行缩进1"/>
    <w:basedOn w:val="1091"/>
    <w:uiPriority w:val="99"/>
    <w:qFormat/>
    <w:pPr>
      <w:ind w:firstLine="420"/>
    </w:pPr>
  </w:style>
  <w:style w:type="paragraph" w:styleId="1147" w:customStyle="1">
    <w:name w:val="正文首行缩进 21"/>
    <w:basedOn w:val="1111"/>
    <w:link w:val="1148"/>
    <w:uiPriority w:val="0"/>
    <w:qFormat/>
    <w:pPr>
      <w:ind w:left="420" w:firstLine="420"/>
      <w:spacing w:after="120" w:line="480" w:lineRule="exact"/>
    </w:pPr>
    <w:rPr>
      <w:szCs w:val="20"/>
    </w:rPr>
  </w:style>
  <w:style w:type="character" w:styleId="1148" w:customStyle="1">
    <w:name w:val="正文首行缩进 2 Char"/>
    <w:link w:val="1147"/>
    <w:uiPriority w:val="0"/>
    <w:qFormat/>
    <w:rPr>
      <w:rFonts w:eastAsia="宋体"/>
      <w:sz w:val="24"/>
      <w:szCs w:val="24"/>
      <w:lang w:val="en-US" w:eastAsia="zh-CN" w:bidi="ar-SA"/>
    </w:rPr>
  </w:style>
  <w:style w:type="table" w:styleId="1149" w:customStyle="1">
    <w:name w:val="网格型1"/>
    <w:basedOn w:val="1090"/>
    <w:uiPriority w:val="39"/>
    <w:qFormat/>
    <w:tblPr>
      <w:tblCellMar>
        <w:left w:w="0" w:type="dxa"/>
        <w:top w:w="0" w:type="dxa"/>
        <w:right w:w="0" w:type="dxa"/>
        <w:bottom w:w="0" w:type="dxa"/>
      </w:tblCellMar>
    </w:tblPr>
  </w:style>
  <w:style w:type="table" w:styleId="1150" w:customStyle="1">
    <w:name w:val="中等深浅网格 1 - 强调文字颜色 21"/>
    <w:basedOn w:val="1090"/>
    <w:uiPriority w:val="0"/>
    <w:qFormat/>
    <w:rPr>
      <w:sz w:val="21"/>
      <w:szCs w:val="24"/>
    </w:rPr>
    <w:tblPr>
      <w:tblCellMar>
        <w:left w:w="0" w:type="dxa"/>
        <w:top w:w="0" w:type="dxa"/>
        <w:right w:w="0" w:type="dxa"/>
        <w:bottom w:w="0" w:type="dxa"/>
      </w:tblCellMar>
    </w:tblPr>
  </w:style>
  <w:style w:type="character" w:styleId="1151" w:customStyle="1">
    <w:name w:val="要点1"/>
    <w:uiPriority w:val="0"/>
    <w:qFormat/>
    <w:rPr>
      <w:b/>
      <w:bCs/>
    </w:rPr>
  </w:style>
  <w:style w:type="character" w:styleId="1152" w:customStyle="1">
    <w:name w:val="页码1"/>
    <w:uiPriority w:val="0"/>
    <w:qFormat/>
  </w:style>
  <w:style w:type="character" w:styleId="1153" w:customStyle="1">
    <w:name w:val="已访问的超链接1"/>
    <w:uiPriority w:val="0"/>
    <w:qFormat/>
    <w:rPr>
      <w:color w:val="800080"/>
      <w:u w:val="single"/>
    </w:rPr>
  </w:style>
  <w:style w:type="character" w:styleId="1154" w:customStyle="1">
    <w:name w:val="强调1"/>
    <w:uiPriority w:val="0"/>
    <w:qFormat/>
    <w:rPr>
      <w:color w:val="cc0033"/>
    </w:rPr>
  </w:style>
  <w:style w:type="character" w:styleId="1155" w:customStyle="1">
    <w:name w:val="超链接1"/>
    <w:uiPriority w:val="99"/>
    <w:qFormat/>
    <w:rPr>
      <w:color w:val="0000ff"/>
      <w:u w:val="single"/>
    </w:rPr>
  </w:style>
  <w:style w:type="character" w:styleId="1156" w:customStyle="1">
    <w:name w:val="批注引用1"/>
    <w:uiPriority w:val="99"/>
    <w:qFormat/>
    <w:rPr>
      <w:sz w:val="21"/>
      <w:szCs w:val="21"/>
    </w:rPr>
  </w:style>
  <w:style w:type="character" w:styleId="1157" w:customStyle="1">
    <w:name w:val="HTML 引文1"/>
    <w:uiPriority w:val="0"/>
    <w:qFormat/>
    <w:rPr>
      <w:i/>
      <w:iCs/>
    </w:rPr>
  </w:style>
  <w:style w:type="paragraph" w:styleId="1158" w:customStyle="1">
    <w:name w:val="正文文本首行缩进 2"/>
    <w:basedOn w:val="1111"/>
    <w:uiPriority w:val="99"/>
    <w:qFormat/>
    <w:pPr>
      <w:ind w:firstLine="420"/>
      <w:spacing w:line="200" w:lineRule="atLeast"/>
    </w:pPr>
    <w:rPr>
      <w:rFonts w:hAnsi="Courier New"/>
      <w:spacing w:val="-4"/>
      <w:sz w:val="18"/>
    </w:rPr>
  </w:style>
  <w:style w:type="character" w:styleId="1159" w:customStyle="1">
    <w:name w:val="批注文字 字符"/>
    <w:uiPriority w:val="99"/>
    <w:qFormat/>
    <w:rPr>
      <w:rFonts w:ascii="Times New Roman" w:hAnsi="Times New Roman" w:eastAsia="宋体" w:cs="Times New Roman"/>
      <w:sz w:val="24"/>
      <w:lang w:val="en-US" w:eastAsia="zh-CN" w:bidi="ar-SA"/>
    </w:rPr>
  </w:style>
  <w:style w:type="character" w:styleId="1160" w:customStyle="1">
    <w:name w:val="c21"/>
    <w:uiPriority w:val="0"/>
    <w:qFormat/>
    <w:rPr>
      <w:rFonts w:ascii="ˎ̥" w:hAnsi="ˎ̥"/>
      <w:color w:val="000000"/>
      <w:sz w:val="20"/>
      <w:szCs w:val="20"/>
      <w:u w:val="none"/>
    </w:rPr>
  </w:style>
  <w:style w:type="character" w:styleId="1161" w:customStyle="1">
    <w:name w:val="title4"/>
    <w:uiPriority w:val="0"/>
    <w:qFormat/>
    <w:rPr>
      <w:b/>
      <w:bCs/>
      <w:color w:val="1d87b3"/>
      <w:sz w:val="15"/>
      <w:szCs w:val="15"/>
    </w:rPr>
  </w:style>
  <w:style w:type="character" w:styleId="1162" w:customStyle="1">
    <w:name w:val="标题 2 Char Char"/>
    <w:uiPriority w:val="0"/>
    <w:qFormat/>
    <w:rPr>
      <w:rFonts w:ascii="Arial" w:hAnsi="Arial" w:eastAsia="黑体"/>
      <w:b/>
      <w:bCs/>
      <w:sz w:val="32"/>
      <w:szCs w:val="32"/>
      <w:lang w:val="en-US" w:eastAsia="zh-CN" w:bidi="ar-SA"/>
    </w:rPr>
  </w:style>
  <w:style w:type="character" w:styleId="1163" w:customStyle="1">
    <w:name w:val="black1"/>
    <w:uiPriority w:val="0"/>
    <w:qFormat/>
    <w:rPr>
      <w:color w:val="000000"/>
    </w:rPr>
  </w:style>
  <w:style w:type="character" w:styleId="1164" w:customStyle="1">
    <w:name w:val="street-address"/>
    <w:uiPriority w:val="0"/>
    <w:qFormat/>
  </w:style>
  <w:style w:type="character" w:styleId="1165" w:customStyle="1">
    <w:name w:val="locality"/>
    <w:uiPriority w:val="0"/>
    <w:qFormat/>
  </w:style>
  <w:style w:type="character" w:styleId="1166" w:customStyle="1">
    <w:name w:val="正文文本缩进 Char1"/>
    <w:link w:val="1167"/>
    <w:uiPriority w:val="0"/>
    <w:qFormat/>
    <w:rPr>
      <w:rFonts w:ascii="宋体" w:hAnsi="宋体" w:eastAsia="宋体"/>
      <w:sz w:val="24"/>
      <w:szCs w:val="24"/>
      <w:lang w:bidi="ar-SA"/>
    </w:rPr>
  </w:style>
  <w:style w:type="paragraph" w:styleId="1167" w:customStyle="1">
    <w:name w:val="正文文本缩进1"/>
    <w:basedOn w:val="893"/>
    <w:link w:val="1166"/>
    <w:uiPriority w:val="0"/>
    <w:qFormat/>
    <w:pPr>
      <w:ind w:firstLine="480"/>
      <w:spacing w:line="480" w:lineRule="exact"/>
    </w:pPr>
    <w:rPr>
      <w:rFonts w:ascii="宋体" w:hAnsi="宋体"/>
      <w:sz w:val="24"/>
    </w:rPr>
  </w:style>
  <w:style w:type="character" w:styleId="1168" w:customStyle="1">
    <w:name w:val="Char Char11"/>
    <w:uiPriority w:val="0"/>
    <w:qFormat/>
    <w:rPr>
      <w:rFonts w:ascii="宋体" w:eastAsia="宋体"/>
      <w:b/>
      <w:sz w:val="24"/>
      <w:u w:val="single"/>
      <w:lang w:val="en-US" w:eastAsia="zh-CN" w:bidi="ar-SA"/>
    </w:rPr>
  </w:style>
  <w:style w:type="character" w:styleId="1169" w:customStyle="1">
    <w:name w:val="txt"/>
    <w:uiPriority w:val="0"/>
    <w:qFormat/>
  </w:style>
  <w:style w:type="character" w:styleId="1170" w:customStyle="1">
    <w:name w:val="正文缩进 Char Char"/>
    <w:link w:val="1171"/>
    <w:uiPriority w:val="0"/>
    <w:qFormat/>
    <w:rPr>
      <w:rFonts w:ascii="宋体" w:eastAsia="宋体"/>
      <w:color w:val="000000"/>
      <w:sz w:val="28"/>
      <w:lang w:bidi="ar-SA"/>
    </w:rPr>
  </w:style>
  <w:style w:type="paragraph" w:styleId="1171" w:customStyle="1">
    <w:name w:val="正文缩进1"/>
    <w:basedOn w:val="893"/>
    <w:link w:val="1170"/>
    <w:uiPriority w:val="0"/>
    <w:qFormat/>
    <w:pPr>
      <w:ind w:firstLine="567"/>
      <w:spacing w:line="480" w:lineRule="exact"/>
      <w:widowControl/>
    </w:pPr>
    <w:rPr>
      <w:rFonts w:ascii="宋体"/>
      <w:color w:val="000000"/>
      <w:sz w:val="28"/>
      <w:szCs w:val="20"/>
    </w:rPr>
  </w:style>
  <w:style w:type="character" w:styleId="1172" w:customStyle="1">
    <w:name w:val="普通文字1 Char1"/>
    <w:uiPriority w:val="0"/>
    <w:qFormat/>
    <w:rPr>
      <w:rFonts w:ascii="宋体" w:hAnsi="Courier New" w:eastAsia="宋体"/>
      <w:sz w:val="21"/>
      <w:lang w:val="en-US" w:eastAsia="zh-CN" w:bidi="ar-SA"/>
    </w:rPr>
  </w:style>
  <w:style w:type="character" w:styleId="1173" w:customStyle="1">
    <w:name w:val="chanpin1"/>
    <w:uiPriority w:val="0"/>
    <w:qFormat/>
    <w:rPr>
      <w:rFonts w:ascii="ˎ̥" w:hAnsi="ˎ̥"/>
      <w:color w:val="000000"/>
      <w:sz w:val="20"/>
      <w:szCs w:val="20"/>
      <w:u w:val="none"/>
    </w:rPr>
  </w:style>
  <w:style w:type="character" w:styleId="1174" w:customStyle="1">
    <w:name w:val="列出段落 Char1"/>
    <w:link w:val="1175"/>
    <w:uiPriority w:val="34"/>
    <w:qFormat/>
    <w:rPr>
      <w:rFonts w:ascii="Calibri" w:hAnsi="Calibri" w:eastAsia="宋体"/>
      <w:sz w:val="21"/>
      <w:szCs w:val="22"/>
      <w:lang w:val="en-US" w:eastAsia="zh-CN" w:bidi="ar-SA"/>
    </w:rPr>
  </w:style>
  <w:style w:type="paragraph" w:styleId="1175" w:customStyle="1">
    <w:name w:val="列出段落2"/>
    <w:basedOn w:val="893"/>
    <w:link w:val="1174"/>
    <w:uiPriority w:val="34"/>
    <w:qFormat/>
    <w:pPr>
      <w:ind w:firstLine="420"/>
    </w:pPr>
    <w:rPr>
      <w:rFonts w:ascii="Calibri" w:hAnsi="Calibri"/>
      <w:szCs w:val="22"/>
    </w:rPr>
  </w:style>
  <w:style w:type="character" w:styleId="1176" w:customStyle="1">
    <w:name w:val="标题 3 Char Char"/>
    <w:uiPriority w:val="0"/>
    <w:qFormat/>
    <w:rPr>
      <w:rFonts w:eastAsia="宋体"/>
      <w:b/>
      <w:bCs/>
      <w:sz w:val="32"/>
      <w:szCs w:val="32"/>
      <w:lang w:val="en-US" w:eastAsia="zh-CN" w:bidi="ar-SA"/>
    </w:rPr>
  </w:style>
  <w:style w:type="character" w:styleId="1177" w:customStyle="1">
    <w:name w:val="段1 Char"/>
    <w:uiPriority w:val="0"/>
    <w:qFormat/>
    <w:rPr>
      <w:rFonts w:ascii="宋体" w:eastAsia="宋体"/>
      <w:sz w:val="24"/>
      <w:lang w:val="en-US" w:eastAsia="zh-CN" w:bidi="ar-SA"/>
    </w:rPr>
  </w:style>
  <w:style w:type="character" w:styleId="1178" w:customStyle="1">
    <w:name w:val="chanpin拷贝"/>
    <w:uiPriority w:val="0"/>
    <w:qFormat/>
  </w:style>
  <w:style w:type="character" w:styleId="1179" w:customStyle="1">
    <w:name w:val="纯文本 Char1"/>
    <w:uiPriority w:val="0"/>
    <w:qFormat/>
    <w:rPr>
      <w:rFonts w:ascii="宋体" w:hAnsi="Courier New" w:eastAsia="宋体"/>
      <w:sz w:val="21"/>
      <w:lang w:val="en-US" w:eastAsia="zh-CN" w:bidi="ar-SA"/>
    </w:rPr>
  </w:style>
  <w:style w:type="character" w:styleId="1180" w:customStyle="1">
    <w:name w:val="apple-style-span"/>
    <w:uiPriority w:val="0"/>
    <w:qFormat/>
    <w:rPr>
      <w:rFonts w:cs="Times New Roman"/>
    </w:rPr>
  </w:style>
  <w:style w:type="paragraph" w:styleId="1181" w:customStyle="1">
    <w:name w:val="二级条标题"/>
    <w:basedOn w:val="1182"/>
    <w:next w:val="89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82" w:customStyle="1">
    <w:name w:val="一级条标题"/>
    <w:basedOn w:val="1183"/>
    <w:next w:val="893"/>
    <w:uiPriority w:val="0"/>
    <w:qFormat/>
    <w:pPr>
      <w:numPr>
        <w:ilvl w:val="1"/>
      </w:numPr>
      <w:ind w:left="0" w:hanging="840"/>
      <w:tabs>
        <w:tab w:val="left" w:pos="360" w:leader="none"/>
        <w:tab w:val="left" w:pos="840" w:leader="none"/>
      </w:tabs>
      <w:outlineLvl w:val="1"/>
    </w:pPr>
  </w:style>
  <w:style w:type="paragraph" w:styleId="1183" w:customStyle="1">
    <w:name w:val="章标题"/>
    <w:next w:val="893"/>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84" w:customStyle="1">
    <w:name w:val="font7"/>
    <w:basedOn w:val="893"/>
    <w:uiPriority w:val="0"/>
    <w:qFormat/>
    <w:pPr>
      <w:jc w:val="left"/>
      <w:spacing w:before="100" w:beforeAutospacing="1" w:after="100" w:afterAutospacing="1"/>
      <w:widowControl/>
    </w:pPr>
    <w:rPr>
      <w:rFonts w:eastAsia="Arial Unicode MS"/>
      <w:b/>
      <w:bCs/>
      <w:color w:val="000000"/>
      <w:sz w:val="20"/>
      <w:szCs w:val="20"/>
    </w:rPr>
  </w:style>
  <w:style w:type="paragraph" w:styleId="1185" w:customStyle="1">
    <w:name w:val="字元 字元"/>
    <w:basedOn w:val="893"/>
    <w:uiPriority w:val="0"/>
    <w:qFormat/>
    <w:rPr>
      <w:rFonts w:ascii="Tahoma" w:hAnsi="Tahoma"/>
      <w:sz w:val="24"/>
      <w:szCs w:val="20"/>
    </w:rPr>
  </w:style>
  <w:style w:type="paragraph" w:styleId="1186" w:customStyle="1">
    <w:name w:val="Char3 Char Char Char"/>
    <w:basedOn w:val="893"/>
    <w:uiPriority w:val="0"/>
    <w:qFormat/>
    <w:rPr>
      <w:rFonts w:ascii="Tahoma" w:hAnsi="Tahoma"/>
      <w:sz w:val="24"/>
      <w:szCs w:val="20"/>
    </w:rPr>
  </w:style>
  <w:style w:type="paragraph" w:styleId="1187" w:customStyle="1">
    <w:name w:val="font6"/>
    <w:basedOn w:val="893"/>
    <w:uiPriority w:val="0"/>
    <w:qFormat/>
    <w:pPr>
      <w:jc w:val="left"/>
      <w:spacing w:before="100" w:beforeAutospacing="1" w:after="100" w:afterAutospacing="1"/>
      <w:widowControl/>
    </w:pPr>
    <w:rPr>
      <w:rFonts w:ascii="宋体" w:hAnsi="宋体" w:cs="宋体"/>
      <w:sz w:val="20"/>
      <w:szCs w:val="20"/>
    </w:rPr>
  </w:style>
  <w:style w:type="paragraph" w:styleId="1188" w:customStyle="1">
    <w:name w:val="项目编号2"/>
    <w:basedOn w:val="1189"/>
    <w:uiPriority w:val="0"/>
    <w:qFormat/>
    <w:pPr>
      <w:numPr>
        <w:numId w:val="2"/>
      </w:numPr>
    </w:pPr>
  </w:style>
  <w:style w:type="paragraph" w:styleId="1189" w:customStyle="1">
    <w:name w:val="项目编号1"/>
    <w:basedOn w:val="893"/>
    <w:uiPriority w:val="0"/>
    <w:qFormat/>
    <w:pPr>
      <w:numPr>
        <w:ilvl w:val="0"/>
        <w:numId w:val="3"/>
      </w:numPr>
      <w:spacing w:before="100" w:beforeAutospacing="1" w:after="100" w:afterAutospacing="1" w:line="360" w:lineRule="auto"/>
    </w:pPr>
    <w:rPr>
      <w:sz w:val="24"/>
    </w:rPr>
  </w:style>
  <w:style w:type="paragraph" w:styleId="1190" w:customStyle="1">
    <w:name w:val="图中文字"/>
    <w:basedOn w:val="893"/>
    <w:uiPriority w:val="0"/>
    <w:qFormat/>
    <w:pPr>
      <w:jc w:val="center"/>
      <w:spacing w:line="0" w:lineRule="atLeast"/>
    </w:pPr>
    <w:rPr>
      <w:sz w:val="24"/>
      <w:szCs w:val="20"/>
    </w:rPr>
  </w:style>
  <w:style w:type="paragraph" w:styleId="1191" w:customStyle="1">
    <w:name w:val="xl46"/>
    <w:basedOn w:val="89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2" w:customStyle="1">
    <w:name w:val="xl2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customStyle="1">
    <w:name w:val="Char2"/>
    <w:basedOn w:val="893"/>
    <w:uiPriority w:val="0"/>
    <w:qFormat/>
    <w:rPr>
      <w:rFonts w:ascii="Tahoma" w:hAnsi="Tahoma"/>
      <w:sz w:val="24"/>
      <w:szCs w:val="20"/>
    </w:rPr>
  </w:style>
  <w:style w:type="paragraph" w:styleId="1194" w:customStyle="1">
    <w:name w:val="xl35"/>
    <w:basedOn w:val="89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customStyle="1">
    <w:name w:val="xl40"/>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customStyle="1">
    <w:name w:val="xl52"/>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7" w:customStyle="1">
    <w:name w:val="xl43"/>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8" w:customStyle="1">
    <w:name w:val="background1"/>
    <w:basedOn w:val="893"/>
    <w:uiPriority w:val="0"/>
    <w:qFormat/>
    <w:pPr>
      <w:jc w:val="left"/>
      <w:spacing w:before="100" w:beforeAutospacing="1" w:after="100" w:afterAutospacing="1"/>
      <w:widowControl/>
    </w:pPr>
    <w:rPr>
      <w:rFonts w:ascii="宋体" w:hAnsi="宋体" w:cs="宋体"/>
      <w:sz w:val="24"/>
    </w:rPr>
  </w:style>
  <w:style w:type="paragraph" w:styleId="1199" w:customStyle="1">
    <w:name w:val="Char Char Char Char Char Char Char"/>
    <w:basedOn w:val="893"/>
    <w:uiPriority w:val="0"/>
    <w:qFormat/>
    <w:pPr>
      <w:ind w:firstLine="200"/>
      <w:spacing w:line="360" w:lineRule="auto"/>
    </w:pPr>
    <w:rPr>
      <w:rFonts w:eastAsia="仿宋_GB2312"/>
      <w:sz w:val="24"/>
    </w:rPr>
  </w:style>
  <w:style w:type="paragraph" w:styleId="1200" w:customStyle="1">
    <w:name w:val="xl38"/>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1" w:customStyle="1">
    <w:name w:val="xl36"/>
    <w:basedOn w:val="89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customStyle="1">
    <w:name w:val="正文 + 宋体"/>
    <w:basedOn w:val="893"/>
    <w:uiPriority w:val="0"/>
    <w:qFormat/>
    <w:pPr>
      <w:ind w:left="360" w:hanging="360"/>
      <w:jc w:val="left"/>
      <w:widowControl/>
    </w:pPr>
    <w:rPr>
      <w:rFonts w:ascii="宋体" w:hAnsi="宋体" w:cs="宋体"/>
      <w:b/>
      <w:bCs/>
      <w:color w:val="000000"/>
      <w:sz w:val="18"/>
      <w:szCs w:val="18"/>
    </w:rPr>
  </w:style>
  <w:style w:type="paragraph" w:styleId="1203" w:customStyle="1">
    <w:name w:val="正文列项_数字"/>
    <w:basedOn w:val="89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4" w:customStyle="1">
    <w:name w:val="xl3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customStyle="1">
    <w:name w:val="xl37"/>
    <w:basedOn w:val="89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6" w:customStyle="1">
    <w:name w:val="xl32"/>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customStyle="1">
    <w:name w:val="font8"/>
    <w:basedOn w:val="893"/>
    <w:uiPriority w:val="0"/>
    <w:qFormat/>
    <w:pPr>
      <w:jc w:val="left"/>
      <w:spacing w:before="100" w:beforeAutospacing="1" w:after="100" w:afterAutospacing="1"/>
      <w:widowControl/>
    </w:pPr>
    <w:rPr>
      <w:sz w:val="36"/>
      <w:szCs w:val="36"/>
    </w:rPr>
  </w:style>
  <w:style w:type="paragraph" w:styleId="1208" w:customStyle="1">
    <w:name w:val="Char"/>
    <w:basedOn w:val="893"/>
    <w:uiPriority w:val="0"/>
    <w:qFormat/>
    <w:pPr>
      <w:tabs>
        <w:tab w:val="left" w:pos="360" w:leader="none"/>
      </w:tabs>
    </w:pPr>
    <w:rPr>
      <w:sz w:val="24"/>
    </w:rPr>
  </w:style>
  <w:style w:type="paragraph" w:styleId="1209" w:customStyle="1">
    <w:name w:val="Char Char Char Char Char Char Char Char Char Char Char Char Char Char Char Char"/>
    <w:basedOn w:val="893"/>
    <w:uiPriority w:val="0"/>
    <w:qFormat/>
    <w:pPr>
      <w:jc w:val="center"/>
      <w:spacing w:after="160" w:line="240" w:lineRule="exact"/>
      <w:widowControl/>
    </w:pPr>
    <w:rPr>
      <w:rFonts w:ascii="宋体" w:hAnsi="宋体"/>
      <w:b/>
      <w:sz w:val="30"/>
      <w:szCs w:val="30"/>
      <w:lang w:eastAsia="en-US"/>
    </w:rPr>
  </w:style>
  <w:style w:type="paragraph" w:styleId="1210" w:customStyle="1">
    <w:name w:val="xl4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1" w:customStyle="1">
    <w:name w:val="Char Char1 Char Char Char Char Char Char"/>
    <w:basedOn w:val="893"/>
    <w:uiPriority w:val="0"/>
    <w:qFormat/>
    <w:pPr>
      <w:jc w:val="left"/>
      <w:spacing w:after="160" w:line="240" w:lineRule="exact"/>
      <w:widowControl/>
    </w:pPr>
    <w:rPr>
      <w:rFonts w:ascii="Verdana" w:hAnsi="Verdana" w:eastAsia="仿宋_GB2312"/>
      <w:sz w:val="24"/>
      <w:szCs w:val="20"/>
      <w:lang w:eastAsia="en-US"/>
    </w:rPr>
  </w:style>
  <w:style w:type="paragraph" w:styleId="1212" w:customStyle="1">
    <w:name w:val="Char Char1"/>
    <w:basedOn w:val="1105"/>
    <w:uiPriority w:val="0"/>
    <w:qFormat/>
    <w:rPr>
      <w:rFonts w:ascii="Tahoma" w:hAnsi="Tahoma"/>
      <w:sz w:val="24"/>
    </w:rPr>
  </w:style>
  <w:style w:type="paragraph" w:styleId="1213" w:customStyle="1">
    <w:name w:val="xl26"/>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4" w:customStyle="1">
    <w:name w:val="xl30"/>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5" w:customStyle="1">
    <w:name w:val="xl41"/>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6" w:customStyle="1">
    <w:name w:val="样式 宋体 五号 行距: 单倍行距"/>
    <w:basedOn w:val="893"/>
    <w:uiPriority w:val="0"/>
    <w:qFormat/>
    <w:pPr>
      <w:jc w:val="left"/>
    </w:pPr>
    <w:rPr>
      <w:rFonts w:ascii="宋体" w:hAnsi="宋体"/>
      <w:szCs w:val="20"/>
    </w:rPr>
  </w:style>
  <w:style w:type="paragraph" w:styleId="1217" w:customStyle="1">
    <w:name w:val="Char1 Char Char Char1"/>
    <w:basedOn w:val="893"/>
    <w:uiPriority w:val="0"/>
    <w:qFormat/>
    <w:rPr>
      <w:rFonts w:ascii="Tahoma" w:hAnsi="Tahoma" w:cs="仿宋_GB2312"/>
      <w:sz w:val="24"/>
      <w:szCs w:val="28"/>
    </w:rPr>
  </w:style>
  <w:style w:type="paragraph" w:styleId="1218" w:customStyle="1">
    <w:name w:val="四级条标题"/>
    <w:basedOn w:val="1219"/>
    <w:next w:val="893"/>
    <w:uiPriority w:val="0"/>
    <w:qFormat/>
    <w:pPr>
      <w:numPr>
        <w:ilvl w:val="4"/>
      </w:numPr>
      <w:ind w:left="0" w:hanging="840"/>
      <w:tabs>
        <w:tab w:val="left" w:pos="360" w:leader="none"/>
        <w:tab w:val="left" w:pos="840" w:leader="none"/>
      </w:tabs>
      <w:outlineLvl w:val="4"/>
    </w:pPr>
  </w:style>
  <w:style w:type="paragraph" w:styleId="1219" w:customStyle="1">
    <w:name w:val="三级条标题"/>
    <w:basedOn w:val="1181"/>
    <w:next w:val="893"/>
    <w:uiPriority w:val="0"/>
    <w:qFormat/>
    <w:pPr>
      <w:numPr>
        <w:ilvl w:val="3"/>
        <w:numId w:val="1"/>
      </w:numPr>
      <w:ind w:left="0" w:hanging="840"/>
      <w:outlineLvl w:val="3"/>
    </w:pPr>
  </w:style>
  <w:style w:type="paragraph" w:styleId="122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21" w:customStyle="1">
    <w:name w:val="样式 标题 2 + 宋体 五号 行距: 单倍行距"/>
    <w:basedOn w:val="1080"/>
    <w:uiPriority w:val="0"/>
    <w:qFormat/>
    <w:pPr>
      <w:numPr>
        <w:ilvl w:val="1"/>
        <w:numId w:val="4"/>
      </w:numPr>
      <w:jc w:val="left"/>
      <w:spacing w:before="260" w:after="260" w:line="240" w:lineRule="auto"/>
    </w:pPr>
    <w:rPr>
      <w:rFonts w:ascii="宋体" w:hAnsi="宋体" w:eastAsia="宋体"/>
      <w:bCs/>
      <w:sz w:val="21"/>
    </w:rPr>
  </w:style>
  <w:style w:type="paragraph" w:styleId="1222" w:customStyle="1">
    <w:name w:val="List Paragraph1"/>
    <w:basedOn w:val="893"/>
    <w:uiPriority w:val="0"/>
    <w:qFormat/>
    <w:pPr>
      <w:ind w:firstLine="420"/>
    </w:pPr>
    <w:rPr>
      <w:rFonts w:ascii="Calibri" w:hAnsi="Calibri"/>
      <w:szCs w:val="22"/>
    </w:rPr>
  </w:style>
  <w:style w:type="paragraph" w:styleId="1223" w:customStyle="1">
    <w:name w:val="项目符号1"/>
    <w:basedOn w:val="1224"/>
    <w:uiPriority w:val="0"/>
    <w:qFormat/>
    <w:pPr>
      <w:ind w:left="-25" w:firstLine="0"/>
    </w:pPr>
  </w:style>
  <w:style w:type="paragraph" w:styleId="1224" w:customStyle="1">
    <w:name w:val="正文文本样式"/>
    <w:basedOn w:val="893"/>
    <w:uiPriority w:val="0"/>
    <w:qFormat/>
    <w:pPr>
      <w:ind w:firstLine="482"/>
      <w:spacing w:line="360" w:lineRule="auto"/>
    </w:pPr>
    <w:rPr>
      <w:rFonts w:cs="宋体"/>
      <w:sz w:val="24"/>
      <w:szCs w:val="20"/>
    </w:rPr>
  </w:style>
  <w:style w:type="paragraph" w:styleId="1225" w:customStyle="1">
    <w:name w:val="xl27"/>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customStyle="1">
    <w:name w:val="font5"/>
    <w:basedOn w:val="893"/>
    <w:uiPriority w:val="0"/>
    <w:qFormat/>
    <w:pPr>
      <w:jc w:val="left"/>
      <w:spacing w:before="100" w:beforeAutospacing="1" w:after="100" w:afterAutospacing="1"/>
      <w:widowControl/>
    </w:pPr>
    <w:rPr>
      <w:rFonts w:ascii="宋体" w:hAnsi="宋体" w:cs="宋体"/>
      <w:sz w:val="18"/>
      <w:szCs w:val="18"/>
    </w:rPr>
  </w:style>
  <w:style w:type="paragraph" w:styleId="1227" w:customStyle="1">
    <w:name w:val="五级条标题"/>
    <w:basedOn w:val="1218"/>
    <w:next w:val="893"/>
    <w:uiPriority w:val="0"/>
    <w:qFormat/>
    <w:pPr>
      <w:numPr>
        <w:ilvl w:val="5"/>
      </w:numPr>
      <w:ind w:left="0" w:hanging="840"/>
      <w:outlineLvl w:val="5"/>
    </w:pPr>
  </w:style>
  <w:style w:type="paragraph" w:styleId="1228" w:customStyle="1">
    <w:name w:val="xl49"/>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9" w:customStyle="1">
    <w:name w:val="文档正文"/>
    <w:basedOn w:val="893"/>
    <w:uiPriority w:val="0"/>
    <w:qFormat/>
    <w:pPr>
      <w:spacing w:before="120" w:after="120" w:line="180" w:lineRule="auto"/>
    </w:pPr>
    <w:rPr>
      <w:rFonts w:ascii="Arial" w:hAnsi="Arial"/>
      <w:szCs w:val="20"/>
    </w:rPr>
  </w:style>
  <w:style w:type="paragraph" w:styleId="1230" w:customStyle="1">
    <w:name w:val="xl33"/>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customStyle="1">
    <w:name w:val="xl42"/>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2" w:customStyle="1">
    <w:name w:val="Char Char Char1 Char"/>
    <w:basedOn w:val="893"/>
    <w:uiPriority w:val="0"/>
    <w:qFormat/>
    <w:rPr>
      <w:rFonts w:ascii="Tahoma" w:hAnsi="Tahoma"/>
      <w:sz w:val="24"/>
      <w:szCs w:val="20"/>
    </w:rPr>
  </w:style>
  <w:style w:type="paragraph" w:styleId="1233" w:customStyle="1">
    <w:name w:val="xl44"/>
    <w:basedOn w:val="8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4" w:customStyle="1">
    <w:name w:val="1名"/>
    <w:basedOn w:val="893"/>
    <w:uiPriority w:val="0"/>
    <w:qFormat/>
    <w:pPr>
      <w:numPr>
        <w:ilvl w:val="0"/>
        <w:numId w:val="5"/>
      </w:numPr>
      <w:spacing w:before="120"/>
    </w:pPr>
    <w:rPr>
      <w:rFonts w:ascii="宋体"/>
      <w:sz w:val="28"/>
      <w:szCs w:val="20"/>
    </w:rPr>
  </w:style>
  <w:style w:type="paragraph" w:styleId="1235" w:customStyle="1">
    <w:name w:val="font9"/>
    <w:basedOn w:val="89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6" w:customStyle="1">
    <w:name w:val="Char Char Char1 Char1"/>
    <w:basedOn w:val="893"/>
    <w:uiPriority w:val="0"/>
    <w:qFormat/>
    <w:rPr>
      <w:rFonts w:ascii="Tahoma" w:hAnsi="Tahoma"/>
      <w:sz w:val="24"/>
      <w:szCs w:val="20"/>
    </w:rPr>
  </w:style>
  <w:style w:type="paragraph" w:styleId="1237" w:customStyle="1">
    <w:name w:val="Char Char Char Char Char Char Char Char Char Char"/>
    <w:basedOn w:val="893"/>
    <w:uiPriority w:val="0"/>
    <w:qFormat/>
  </w:style>
  <w:style w:type="paragraph" w:styleId="1238" w:customStyle="1">
    <w:name w:val="Char Char1 Char Char Char Char Char Char Char Char"/>
    <w:basedOn w:val="893"/>
    <w:uiPriority w:val="0"/>
    <w:qFormat/>
    <w:pPr>
      <w:jc w:val="left"/>
      <w:spacing w:after="160" w:line="240" w:lineRule="exact"/>
      <w:widowControl/>
    </w:pPr>
    <w:rPr>
      <w:rFonts w:ascii="Verdana" w:hAnsi="Verdana"/>
      <w:sz w:val="20"/>
      <w:szCs w:val="20"/>
      <w:lang w:eastAsia="en-US"/>
    </w:rPr>
  </w:style>
  <w:style w:type="paragraph" w:styleId="1239" w:customStyle="1">
    <w:name w:val="Char1"/>
    <w:basedOn w:val="893"/>
    <w:uiPriority w:val="0"/>
    <w:qFormat/>
    <w:pPr>
      <w:tabs>
        <w:tab w:val="left" w:pos="360" w:leader="none"/>
      </w:tabs>
    </w:pPr>
    <w:rPr>
      <w:sz w:val="24"/>
    </w:rPr>
  </w:style>
  <w:style w:type="paragraph" w:styleId="1240" w:customStyle="1">
    <w:name w:val="正文列项_字母"/>
    <w:basedOn w:val="89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41" w:customStyle="1">
    <w:name w:val="xl28"/>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customStyle="1">
    <w:name w:val="xl47"/>
    <w:basedOn w:val="8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customStyle="1">
    <w:name w:val="默认段落字体 Para Char Char Char Char"/>
    <w:basedOn w:val="893"/>
    <w:uiPriority w:val="0"/>
    <w:qFormat/>
    <w:rPr>
      <w:rFonts w:ascii="Arial" w:hAnsi="Arial" w:cs="Arial"/>
      <w:szCs w:val="21"/>
    </w:rPr>
  </w:style>
  <w:style w:type="paragraph" w:styleId="1244" w:customStyle="1">
    <w:name w:val="xl48"/>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5" w:customStyle="1">
    <w:name w:val="xl31"/>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6" w:customStyle="1">
    <w:name w:val="xl53"/>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customStyle="1">
    <w:name w:val="Char Char Char"/>
    <w:basedOn w:val="893"/>
    <w:uiPriority w:val="0"/>
    <w:qFormat/>
    <w:rPr>
      <w:rFonts w:ascii="Tahoma" w:hAnsi="Tahoma"/>
      <w:sz w:val="24"/>
      <w:szCs w:val="20"/>
    </w:rPr>
  </w:style>
  <w:style w:type="paragraph" w:styleId="1248" w:customStyle="1">
    <w:name w:val="xl50"/>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9" w:customStyle="1">
    <w:name w:val="缺省文本"/>
    <w:basedOn w:val="893"/>
    <w:uiPriority w:val="0"/>
    <w:qFormat/>
    <w:pPr>
      <w:jc w:val="left"/>
    </w:pPr>
    <w:rPr>
      <w:sz w:val="24"/>
    </w:rPr>
  </w:style>
  <w:style w:type="paragraph" w:styleId="1250" w:customStyle="1">
    <w:name w:val="Char Char Char1"/>
    <w:basedOn w:val="893"/>
    <w:uiPriority w:val="0"/>
    <w:qFormat/>
    <w:rPr>
      <w:rFonts w:ascii="Tahoma" w:hAnsi="Tahoma"/>
      <w:sz w:val="24"/>
      <w:szCs w:val="20"/>
    </w:rPr>
  </w:style>
  <w:style w:type="paragraph" w:styleId="1251" w:customStyle="1">
    <w:name w:val="Char Char Char Char Char Char Char1"/>
    <w:basedOn w:val="893"/>
    <w:uiPriority w:val="0"/>
    <w:qFormat/>
    <w:pPr>
      <w:ind w:firstLine="200"/>
      <w:spacing w:line="360" w:lineRule="auto"/>
    </w:pPr>
    <w:rPr>
      <w:rFonts w:eastAsia="仿宋_GB2312"/>
      <w:sz w:val="24"/>
    </w:rPr>
  </w:style>
  <w:style w:type="paragraph" w:styleId="1252" w:customStyle="1">
    <w:name w:val="xl51"/>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3" w:customStyle="1">
    <w:name w:val="样式2"/>
    <w:basedOn w:val="1142"/>
    <w:uiPriority w:val="0"/>
    <w:qFormat/>
    <w:pPr>
      <w:jc w:val="center"/>
      <w:spacing w:line="360" w:lineRule="auto"/>
    </w:pPr>
    <w:rPr>
      <w:sz w:val="24"/>
    </w:rPr>
  </w:style>
  <w:style w:type="paragraph" w:styleId="1254" w:customStyle="1">
    <w:name w:val="xl24"/>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5" w:customStyle="1">
    <w:name w:val="xl2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6" w:customStyle="1">
    <w:name w:val="正文 + 楷体_GB2312"/>
    <w:basedOn w:val="893"/>
    <w:uiPriority w:val="0"/>
    <w:qFormat/>
    <w:pPr>
      <w:jc w:val="left"/>
      <w:widowControl/>
    </w:pPr>
    <w:rPr>
      <w:rFonts w:ascii="楷体_GB2312" w:eastAsia="楷体_GB2312" w:cs="Arial"/>
      <w:sz w:val="24"/>
    </w:rPr>
  </w:style>
  <w:style w:type="paragraph" w:styleId="1257" w:customStyle="1">
    <w:name w:val="xl34"/>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8" w:customStyle="1">
    <w:name w:val="1 Char Char Char Char"/>
    <w:basedOn w:val="893"/>
    <w:uiPriority w:val="0"/>
    <w:qFormat/>
    <w:rPr>
      <w:rFonts w:ascii="Tahoma" w:hAnsi="Tahoma"/>
      <w:sz w:val="24"/>
      <w:szCs w:val="20"/>
    </w:rPr>
  </w:style>
  <w:style w:type="paragraph" w:styleId="125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260" w:customStyle="1">
    <w:name w:val="default"/>
    <w:basedOn w:val="893"/>
    <w:uiPriority w:val="0"/>
    <w:qFormat/>
    <w:pPr>
      <w:jc w:val="left"/>
      <w:spacing w:before="100" w:beforeAutospacing="1" w:after="100" w:afterAutospacing="1"/>
      <w:widowControl/>
    </w:pPr>
    <w:rPr>
      <w:rFonts w:ascii="宋体" w:hAnsi="宋体" w:cs="宋体"/>
      <w:sz w:val="24"/>
    </w:rPr>
  </w:style>
  <w:style w:type="paragraph" w:styleId="1261" w:customStyle="1">
    <w:name w:val="字元 字元1"/>
    <w:basedOn w:val="893"/>
    <w:uiPriority w:val="0"/>
    <w:qFormat/>
    <w:rPr>
      <w:rFonts w:ascii="Tahoma" w:hAnsi="Tahoma"/>
      <w:sz w:val="24"/>
      <w:szCs w:val="20"/>
    </w:rPr>
  </w:style>
  <w:style w:type="paragraph" w:styleId="1262" w:customStyle="1">
    <w:name w:val="_Style 160"/>
    <w:uiPriority w:val="0"/>
    <w:qFormat/>
    <w:rPr>
      <w:rFonts w:ascii="Times New Roman" w:hAnsi="Times New Roman" w:eastAsia="宋体" w:cs="Times New Roman"/>
      <w:sz w:val="21"/>
      <w:szCs w:val="24"/>
      <w:lang w:val="en-US" w:eastAsia="zh-CN" w:bidi="ar-SA"/>
    </w:rPr>
  </w:style>
  <w:style w:type="paragraph" w:styleId="1263" w:customStyle="1">
    <w:name w:val="项目编号3"/>
    <w:basedOn w:val="1224"/>
    <w:uiPriority w:val="0"/>
    <w:qFormat/>
    <w:pPr>
      <w:numPr>
        <w:ilvl w:val="0"/>
        <w:numId w:val="6"/>
      </w:numPr>
    </w:pPr>
  </w:style>
  <w:style w:type="paragraph" w:styleId="1264" w:customStyle="1">
    <w:name w:val="Char21"/>
    <w:basedOn w:val="893"/>
    <w:uiPriority w:val="0"/>
    <w:qFormat/>
    <w:rPr>
      <w:rFonts w:ascii="Tahoma" w:hAnsi="Tahoma"/>
      <w:sz w:val="24"/>
      <w:szCs w:val="20"/>
    </w:rPr>
  </w:style>
  <w:style w:type="paragraph" w:styleId="1265" w:customStyle="1">
    <w:name w:val="表格文字"/>
    <w:basedOn w:val="1111"/>
    <w:uiPriority w:val="0"/>
    <w:qFormat/>
    <w:pPr>
      <w:ind w:firstLine="0"/>
      <w:spacing w:before="20" w:after="20" w:line="240" w:lineRule="auto"/>
    </w:pPr>
    <w:rPr>
      <w:rFonts w:ascii="Century Gothic" w:hAnsi="Century Gothic"/>
      <w:sz w:val="20"/>
      <w:szCs w:val="20"/>
    </w:rPr>
  </w:style>
  <w:style w:type="paragraph" w:styleId="1266" w:customStyle="1">
    <w:name w:val="Char Char Char Char Char Char Char Char Char Char1"/>
    <w:basedOn w:val="893"/>
    <w:uiPriority w:val="0"/>
    <w:qFormat/>
    <w:rPr>
      <w:rFonts w:ascii="宋体" w:hAnsi="宋体" w:cs="Courier New"/>
      <w:sz w:val="32"/>
      <w:szCs w:val="32"/>
    </w:rPr>
  </w:style>
  <w:style w:type="paragraph" w:styleId="1267" w:customStyle="1">
    <w:name w:val="正文文本样式 加粗"/>
    <w:basedOn w:val="1224"/>
    <w:uiPriority w:val="0"/>
    <w:qFormat/>
    <w:rPr>
      <w:b/>
    </w:rPr>
  </w:style>
  <w:style w:type="paragraph" w:styleId="1268" w:customStyle="1">
    <w:name w:val="Char2 Char Char Char Char Char Char"/>
    <w:basedOn w:val="893"/>
    <w:uiPriority w:val="0"/>
    <w:qFormat/>
    <w:pPr>
      <w:jc w:val="center"/>
      <w:spacing w:line="400" w:lineRule="exact"/>
      <w:widowControl/>
    </w:pPr>
  </w:style>
  <w:style w:type="paragraph" w:styleId="1269" w:customStyle="1">
    <w:name w:val="Char Char4"/>
    <w:basedOn w:val="893"/>
    <w:uiPriority w:val="0"/>
    <w:qFormat/>
    <w:pPr>
      <w:jc w:val="center"/>
      <w:spacing w:line="400" w:lineRule="exact"/>
      <w:widowControl/>
    </w:pPr>
  </w:style>
  <w:style w:type="paragraph" w:styleId="1270" w:customStyle="1">
    <w:name w:val="Char3 Char Char Char1"/>
    <w:basedOn w:val="893"/>
    <w:uiPriority w:val="0"/>
    <w:qFormat/>
    <w:rPr>
      <w:rFonts w:ascii="Tahoma" w:hAnsi="Tahoma"/>
      <w:sz w:val="24"/>
      <w:szCs w:val="20"/>
    </w:rPr>
  </w:style>
  <w:style w:type="paragraph" w:styleId="127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22222222222222"/>
    <w:basedOn w:val="893"/>
    <w:uiPriority w:val="0"/>
    <w:qFormat/>
    <w:pPr>
      <w:ind w:firstLine="480"/>
      <w:jc w:val="left"/>
      <w:spacing w:line="360" w:lineRule="auto"/>
      <w:widowControl/>
    </w:pPr>
    <w:rPr>
      <w:color w:val="ff0000"/>
      <w:sz w:val="24"/>
      <w:szCs w:val="20"/>
    </w:rPr>
  </w:style>
  <w:style w:type="character" w:styleId="1273" w:customStyle="1">
    <w:name w:val="中等深浅网格 1 - 强调文字颜色 2 Char"/>
    <w:link w:val="1274"/>
    <w:uiPriority w:val="0"/>
    <w:qFormat/>
    <w:rPr>
      <w:sz w:val="21"/>
      <w:szCs w:val="24"/>
      <w:lang w:val="zh-CN" w:eastAsia="zh-CN" w:bidi="ar-SA"/>
    </w:rPr>
  </w:style>
  <w:style w:type="paragraph" w:styleId="1274" w:customStyle="1">
    <w:name w:val="1"/>
    <w:link w:val="1273"/>
    <w:uiPriority w:val="0"/>
    <w:qFormat/>
    <w:rPr>
      <w:rFonts w:ascii="Times New Roman" w:hAnsi="Times New Roman" w:eastAsia="宋体" w:cs="Times New Roman"/>
      <w:sz w:val="21"/>
      <w:szCs w:val="24"/>
      <w:lang w:val="zh-CN" w:eastAsia="zh-CN" w:bidi="ar-SA"/>
    </w:rPr>
  </w:style>
  <w:style w:type="paragraph" w:styleId="1275" w:customStyle="1">
    <w:name w:val="图文"/>
    <w:basedOn w:val="893"/>
    <w:uiPriority w:val="0"/>
    <w:qFormat/>
    <w:pPr>
      <w:spacing w:after="50" w:line="360" w:lineRule="auto"/>
    </w:pPr>
    <w:rPr>
      <w:sz w:val="24"/>
    </w:rPr>
  </w:style>
  <w:style w:type="paragraph" w:styleId="1276" w:customStyle="1">
    <w:name w:val="xl23"/>
    <w:basedOn w:val="893"/>
    <w:uiPriority w:val="0"/>
    <w:qFormat/>
    <w:pPr>
      <w:spacing w:before="100" w:beforeAutospacing="1" w:after="100" w:afterAutospacing="1" w:line="360" w:lineRule="auto"/>
      <w:widowControl/>
    </w:pPr>
    <w:rPr>
      <w:sz w:val="24"/>
      <w:szCs w:val="20"/>
    </w:rPr>
  </w:style>
  <w:style w:type="paragraph" w:styleId="1277" w:customStyle="1">
    <w:name w:val="正文表格"/>
    <w:basedOn w:val="893"/>
    <w:link w:val="1278"/>
    <w:uiPriority w:val="0"/>
    <w:qFormat/>
    <w:pPr>
      <w:jc w:val="left"/>
    </w:pPr>
    <w:rPr>
      <w:rFonts w:ascii="宋体" w:hAnsi="宋体"/>
      <w:color w:val="000000"/>
      <w:szCs w:val="21"/>
    </w:rPr>
  </w:style>
  <w:style w:type="character" w:styleId="1278" w:customStyle="1">
    <w:name w:val="正文表格 Char"/>
    <w:link w:val="1277"/>
    <w:uiPriority w:val="0"/>
    <w:qFormat/>
    <w:rPr>
      <w:rFonts w:ascii="宋体" w:hAnsi="宋体"/>
      <w:color w:val="000000"/>
      <w:sz w:val="21"/>
      <w:szCs w:val="21"/>
    </w:rPr>
  </w:style>
  <w:style w:type="paragraph" w:styleId="1279" w:customStyle="1">
    <w:name w:val="正文重点"/>
    <w:basedOn w:val="893"/>
    <w:link w:val="1280"/>
    <w:uiPriority w:val="0"/>
    <w:qFormat/>
    <w:pPr>
      <w:ind w:firstLine="482"/>
      <w:jc w:val="left"/>
      <w:spacing w:line="360" w:lineRule="auto"/>
    </w:pPr>
    <w:rPr>
      <w:b/>
      <w:sz w:val="24"/>
      <w:szCs w:val="20"/>
    </w:rPr>
  </w:style>
  <w:style w:type="character" w:styleId="1280" w:customStyle="1">
    <w:name w:val="正文重点 Char"/>
    <w:link w:val="1279"/>
    <w:uiPriority w:val="0"/>
    <w:qFormat/>
    <w:rPr>
      <w:b/>
      <w:sz w:val="24"/>
    </w:rPr>
  </w:style>
  <w:style w:type="paragraph" w:styleId="1281" w:customStyle="1">
    <w:name w:val="标题1-附件"/>
    <w:basedOn w:val="1079"/>
    <w:uiPriority w:val="0"/>
    <w:qFormat/>
    <w:pPr>
      <w:jc w:val="left"/>
    </w:pPr>
    <w:rPr>
      <w:sz w:val="24"/>
      <w:szCs w:val="24"/>
    </w:rPr>
  </w:style>
  <w:style w:type="paragraph" w:styleId="1282" w:customStyle="1">
    <w:name w:val="正文小标题"/>
    <w:basedOn w:val="893"/>
    <w:next w:val="1081"/>
    <w:link w:val="1283"/>
    <w:uiPriority w:val="0"/>
    <w:qFormat/>
    <w:pPr>
      <w:ind w:firstLine="482"/>
      <w:jc w:val="left"/>
      <w:spacing w:before="312" w:after="312"/>
    </w:pPr>
    <w:rPr>
      <w:rFonts w:ascii="宋体" w:hAnsi="宋体"/>
      <w:b/>
      <w:i/>
      <w:color w:val="ff0000"/>
      <w:sz w:val="24"/>
      <w:szCs w:val="20"/>
    </w:rPr>
  </w:style>
  <w:style w:type="character" w:styleId="1283" w:customStyle="1">
    <w:name w:val="正文小标题 Char"/>
    <w:link w:val="1282"/>
    <w:uiPriority w:val="0"/>
    <w:qFormat/>
    <w:rPr>
      <w:rFonts w:ascii="宋体" w:hAnsi="宋体"/>
      <w:b/>
      <w:i/>
      <w:color w:val="ff0000"/>
      <w:sz w:val="24"/>
    </w:rPr>
  </w:style>
  <w:style w:type="paragraph" w:styleId="1284" w:customStyle="1">
    <w:name w:val="正文大标题"/>
    <w:basedOn w:val="1282"/>
    <w:next w:val="1081"/>
    <w:link w:val="1285"/>
    <w:uiPriority w:val="0"/>
    <w:qFormat/>
    <w:pPr>
      <w:jc w:val="center"/>
    </w:pPr>
    <w:rPr>
      <w:i w:val="0"/>
      <w:color w:val="000000"/>
      <w:sz w:val="28"/>
      <w:szCs w:val="21"/>
    </w:rPr>
  </w:style>
  <w:style w:type="character" w:styleId="1285" w:customStyle="1">
    <w:name w:val="正文大标题 Char"/>
    <w:link w:val="1284"/>
    <w:uiPriority w:val="0"/>
    <w:qFormat/>
    <w:rPr>
      <w:rFonts w:ascii="宋体" w:hAnsi="宋体"/>
      <w:b/>
      <w:color w:val="000000"/>
      <w:sz w:val="28"/>
      <w:szCs w:val="21"/>
    </w:rPr>
  </w:style>
  <w:style w:type="paragraph" w:styleId="1286" w:customStyle="1">
    <w:name w:val="注释"/>
    <w:basedOn w:val="893"/>
    <w:link w:val="1287"/>
    <w:uiPriority w:val="0"/>
    <w:qFormat/>
    <w:pPr>
      <w:ind w:left="420" w:hanging="420"/>
      <w:jc w:val="left"/>
    </w:pPr>
    <w:rPr>
      <w:rFonts w:ascii="宋体" w:hAnsi="宋体"/>
      <w:szCs w:val="21"/>
    </w:rPr>
  </w:style>
  <w:style w:type="character" w:styleId="1287" w:customStyle="1">
    <w:name w:val="注释 Char"/>
    <w:link w:val="1286"/>
    <w:uiPriority w:val="0"/>
    <w:qFormat/>
    <w:rPr>
      <w:rFonts w:ascii="宋体" w:hAnsi="宋体"/>
      <w:sz w:val="21"/>
      <w:szCs w:val="21"/>
    </w:rPr>
  </w:style>
  <w:style w:type="paragraph" w:styleId="1288" w:customStyle="1">
    <w:name w:val="正文须知-1级"/>
    <w:basedOn w:val="893"/>
    <w:next w:val="893"/>
    <w:uiPriority w:val="0"/>
    <w:qFormat/>
    <w:pPr>
      <w:numPr>
        <w:ilvl w:val="0"/>
        <w:numId w:val="7"/>
      </w:numPr>
      <w:spacing w:line="300" w:lineRule="auto"/>
    </w:pPr>
    <w:rPr>
      <w:rFonts w:ascii="宋体" w:hAnsi="Calibri"/>
      <w:sz w:val="24"/>
      <w:szCs w:val="21"/>
    </w:rPr>
  </w:style>
  <w:style w:type="paragraph" w:styleId="1289" w:customStyle="1">
    <w:name w:val="正文须知-2级"/>
    <w:basedOn w:val="893"/>
    <w:uiPriority w:val="0"/>
    <w:qFormat/>
    <w:pPr>
      <w:numPr>
        <w:ilvl w:val="1"/>
        <w:numId w:val="7"/>
      </w:numPr>
      <w:spacing w:line="300" w:lineRule="auto"/>
    </w:pPr>
    <w:rPr>
      <w:rFonts w:ascii="宋体" w:hAnsi="Calibri"/>
      <w:sz w:val="24"/>
      <w:szCs w:val="21"/>
    </w:rPr>
  </w:style>
  <w:style w:type="paragraph" w:styleId="1290" w:customStyle="1">
    <w:name w:val="正文须知-3级"/>
    <w:basedOn w:val="893"/>
    <w:uiPriority w:val="0"/>
    <w:qFormat/>
    <w:pPr>
      <w:numPr>
        <w:ilvl w:val="2"/>
        <w:numId w:val="7"/>
      </w:numPr>
      <w:ind w:hanging="355"/>
      <w:spacing w:line="300" w:lineRule="auto"/>
    </w:pPr>
    <w:rPr>
      <w:rFonts w:ascii="宋体" w:hAnsi="Calibri"/>
      <w:sz w:val="24"/>
      <w:szCs w:val="21"/>
    </w:rPr>
  </w:style>
  <w:style w:type="character" w:styleId="1291" w:customStyle="1">
    <w:name w:val="纯文本 字符"/>
    <w:uiPriority w:val="99"/>
    <w:qFormat/>
    <w:rPr>
      <w:rFonts w:ascii="宋体" w:hAnsi="Courier New" w:eastAsia="宋体" w:cs="Times New Roman"/>
      <w:sz w:val="21"/>
      <w:szCs w:val="21"/>
      <w:lang w:val="en-US" w:eastAsia="zh-CN" w:bidi="ar-SA"/>
    </w:rPr>
  </w:style>
  <w:style w:type="paragraph" w:styleId="1292" w:customStyle="1">
    <w:name w:val="表格1"/>
    <w:basedOn w:val="893"/>
    <w:uiPriority w:val="0"/>
    <w:qFormat/>
    <w:pPr>
      <w:ind w:firstLine="480"/>
      <w:jc w:val="center"/>
    </w:pPr>
    <w:rPr>
      <w:sz w:val="24"/>
      <w:szCs w:val="20"/>
    </w:rPr>
  </w:style>
  <w:style w:type="character" w:styleId="1293" w:customStyle="1">
    <w:name w:val="纯文本 字符1"/>
    <w:uiPriority w:val="0"/>
    <w:qFormat/>
    <w:rPr>
      <w:rFonts w:ascii="宋体" w:hAnsi="Courier New"/>
    </w:rPr>
  </w:style>
  <w:style w:type="character" w:styleId="1294" w:customStyle="1">
    <w:name w:val="bjh-p"/>
    <w:uiPriority w:val="0"/>
    <w:qFormat/>
  </w:style>
  <w:style w:type="paragraph" w:styleId="1295" w:customStyle="1">
    <w:name w:val="无标题条"/>
    <w:next w:val="893"/>
    <w:uiPriority w:val="0"/>
    <w:qFormat/>
    <w:pPr>
      <w:jc w:val="both"/>
    </w:pPr>
    <w:rPr>
      <w:rFonts w:ascii="Times New Roman" w:hAnsi="Times New Roman" w:eastAsia="宋体" w:cs="Times New Roman"/>
      <w:sz w:val="21"/>
      <w:lang w:val="en-US" w:eastAsia="zh-CN" w:bidi="ar-SA"/>
    </w:rPr>
  </w:style>
  <w:style w:type="character" w:styleId="1296" w:customStyle="1">
    <w:name w:val="正文格式 Char"/>
    <w:link w:val="1297"/>
    <w:uiPriority w:val="0"/>
    <w:qFormat/>
    <w:rPr>
      <w:rFonts w:ascii="宋体" w:hAnsi="宋体"/>
      <w:sz w:val="24"/>
      <w:szCs w:val="24"/>
      <w:lang w:val="en-GB"/>
    </w:rPr>
  </w:style>
  <w:style w:type="paragraph" w:styleId="1297" w:customStyle="1">
    <w:name w:val="正文格式"/>
    <w:basedOn w:val="893"/>
    <w:link w:val="1296"/>
    <w:uiPriority w:val="0"/>
    <w:qFormat/>
    <w:pPr>
      <w:ind w:firstLine="480"/>
      <w:spacing w:line="360" w:lineRule="auto"/>
    </w:pPr>
    <w:rPr>
      <w:rFonts w:ascii="宋体" w:hAnsi="宋体"/>
      <w:sz w:val="24"/>
      <w:lang w:val="en-GB"/>
    </w:rPr>
  </w:style>
  <w:style w:type="character" w:styleId="1298" w:customStyle="1">
    <w:name w:val="标题 3 Char"/>
    <w:uiPriority w:val="0"/>
    <w:qFormat/>
    <w:rPr>
      <w:rFonts w:ascii="宋体" w:eastAsia="宋体"/>
      <w:b/>
      <w:sz w:val="24"/>
      <w:u w:val="single"/>
      <w:lang w:val="en-US" w:eastAsia="zh-CN" w:bidi="ar-SA"/>
    </w:rPr>
  </w:style>
  <w:style w:type="character" w:styleId="1299" w:customStyle="1">
    <w:name w:val="正文缩进 Char"/>
    <w:uiPriority w:val="0"/>
    <w:qFormat/>
    <w:rPr>
      <w:rFonts w:ascii="宋体" w:eastAsia="宋体"/>
      <w:sz w:val="24"/>
      <w:szCs w:val="24"/>
      <w:lang w:val="en-US" w:eastAsia="zh-CN" w:bidi="ar-SA"/>
    </w:rPr>
  </w:style>
  <w:style w:type="character" w:styleId="1300" w:customStyle="1">
    <w:name w:val="Char Char111"/>
    <w:uiPriority w:val="0"/>
    <w:qFormat/>
    <w:rPr>
      <w:rFonts w:ascii="宋体" w:eastAsia="宋体"/>
      <w:b/>
      <w:sz w:val="24"/>
      <w:u w:val="single"/>
      <w:lang w:val="en-US" w:eastAsia="zh-CN" w:bidi="ar-SA"/>
    </w:rPr>
  </w:style>
  <w:style w:type="character" w:styleId="1301" w:customStyle="1">
    <w:name w:val="正文文本缩进 Char"/>
    <w:uiPriority w:val="0"/>
    <w:qFormat/>
    <w:rPr>
      <w:rFonts w:eastAsia="宋体"/>
      <w:sz w:val="24"/>
      <w:szCs w:val="24"/>
      <w:lang w:val="en-US" w:eastAsia="zh-CN" w:bidi="ar-SA"/>
    </w:rPr>
  </w:style>
  <w:style w:type="character" w:styleId="1302" w:customStyle="1">
    <w:name w:val="列出段落 Char"/>
    <w:uiPriority w:val="0"/>
    <w:qFormat/>
    <w:rPr>
      <w:rFonts w:ascii="Calibri" w:hAnsi="Calibri" w:eastAsia="宋体"/>
      <w:sz w:val="21"/>
      <w:szCs w:val="22"/>
      <w:lang w:val="en-US" w:eastAsia="zh-CN" w:bidi="ar-SA"/>
    </w:rPr>
  </w:style>
  <w:style w:type="character" w:styleId="1303" w:customStyle="1">
    <w:name w:val="页眉 Char"/>
    <w:uiPriority w:val="0"/>
    <w:qFormat/>
    <w:rPr>
      <w:rFonts w:eastAsia="宋体"/>
      <w:sz w:val="18"/>
      <w:szCs w:val="18"/>
      <w:lang w:val="en-US" w:eastAsia="zh-CN" w:bidi="ar-SA"/>
    </w:rPr>
  </w:style>
  <w:style w:type="character" w:styleId="1304" w:customStyle="1">
    <w:name w:val="标题 2 Char"/>
    <w:uiPriority w:val="0"/>
    <w:qFormat/>
    <w:rPr>
      <w:rFonts w:ascii="Arial" w:hAnsi="Arial" w:eastAsia="黑体"/>
      <w:b/>
      <w:sz w:val="30"/>
      <w:lang w:val="en-US" w:eastAsia="zh-CN" w:bidi="ar-SA"/>
    </w:rPr>
  </w:style>
  <w:style w:type="paragraph" w:styleId="1305" w:customStyle="1">
    <w:name w:val="字元 字元2"/>
    <w:basedOn w:val="893"/>
    <w:uiPriority w:val="0"/>
    <w:qFormat/>
    <w:rPr>
      <w:rFonts w:ascii="Tahoma" w:hAnsi="Tahoma"/>
      <w:sz w:val="24"/>
      <w:szCs w:val="20"/>
    </w:rPr>
  </w:style>
  <w:style w:type="paragraph" w:styleId="1306" w:customStyle="1">
    <w:name w:val="Char3 Char Char Char2"/>
    <w:basedOn w:val="893"/>
    <w:uiPriority w:val="0"/>
    <w:qFormat/>
    <w:rPr>
      <w:rFonts w:ascii="Tahoma" w:hAnsi="Tahoma"/>
      <w:sz w:val="24"/>
      <w:szCs w:val="20"/>
    </w:rPr>
  </w:style>
  <w:style w:type="paragraph" w:styleId="1307" w:customStyle="1">
    <w:name w:val="正文文本缩进2"/>
    <w:basedOn w:val="893"/>
    <w:uiPriority w:val="0"/>
    <w:qFormat/>
    <w:pPr>
      <w:ind w:firstLine="480"/>
      <w:spacing w:line="480" w:lineRule="exact"/>
    </w:pPr>
    <w:rPr>
      <w:rFonts w:ascii="宋体" w:hAnsi="宋体"/>
      <w:sz w:val="24"/>
      <w:lang w:val="zh-CN"/>
    </w:rPr>
  </w:style>
  <w:style w:type="paragraph" w:styleId="1308" w:customStyle="1">
    <w:name w:val="Char3"/>
    <w:basedOn w:val="893"/>
    <w:uiPriority w:val="0"/>
    <w:qFormat/>
    <w:pPr>
      <w:tabs>
        <w:tab w:val="left" w:pos="360" w:leader="none"/>
      </w:tabs>
    </w:pPr>
    <w:rPr>
      <w:sz w:val="24"/>
    </w:rPr>
  </w:style>
  <w:style w:type="paragraph" w:styleId="1309" w:customStyle="1">
    <w:name w:val="Char Char Char Char Char Char Char Char Char Char Char Char Char Char Char Char1"/>
    <w:basedOn w:val="893"/>
    <w:uiPriority w:val="0"/>
    <w:qFormat/>
    <w:pPr>
      <w:jc w:val="center"/>
      <w:spacing w:after="160" w:line="240" w:lineRule="exact"/>
      <w:widowControl/>
    </w:pPr>
    <w:rPr>
      <w:rFonts w:ascii="宋体" w:hAnsi="宋体"/>
      <w:b/>
      <w:sz w:val="30"/>
      <w:szCs w:val="30"/>
      <w:lang w:eastAsia="en-US"/>
    </w:rPr>
  </w:style>
  <w:style w:type="paragraph" w:styleId="1310" w:customStyle="1">
    <w:name w:val="Char Char1 Char Char Char Char Char Char1"/>
    <w:basedOn w:val="893"/>
    <w:uiPriority w:val="0"/>
    <w:qFormat/>
    <w:pPr>
      <w:jc w:val="left"/>
      <w:spacing w:after="160" w:line="240" w:lineRule="exact"/>
      <w:widowControl/>
    </w:pPr>
    <w:rPr>
      <w:rFonts w:ascii="Verdana" w:hAnsi="Verdana" w:eastAsia="仿宋_GB2312"/>
      <w:sz w:val="24"/>
      <w:szCs w:val="20"/>
      <w:lang w:eastAsia="en-US"/>
    </w:rPr>
  </w:style>
  <w:style w:type="paragraph" w:styleId="1311" w:customStyle="1">
    <w:name w:val="列出段落21"/>
    <w:basedOn w:val="893"/>
    <w:uiPriority w:val="0"/>
    <w:qFormat/>
    <w:pPr>
      <w:ind w:firstLine="420"/>
    </w:pPr>
    <w:rPr>
      <w:rFonts w:ascii="Calibri" w:hAnsi="Calibri"/>
      <w:szCs w:val="22"/>
    </w:rPr>
  </w:style>
  <w:style w:type="paragraph" w:styleId="1312" w:customStyle="1">
    <w:name w:val="Char Char Char1 Char2"/>
    <w:basedOn w:val="893"/>
    <w:uiPriority w:val="0"/>
    <w:qFormat/>
    <w:rPr>
      <w:rFonts w:ascii="Tahoma" w:hAnsi="Tahoma"/>
      <w:sz w:val="24"/>
      <w:szCs w:val="20"/>
    </w:rPr>
  </w:style>
  <w:style w:type="paragraph" w:styleId="1313" w:customStyle="1">
    <w:name w:val="Char Char Char2"/>
    <w:basedOn w:val="893"/>
    <w:uiPriority w:val="0"/>
    <w:qFormat/>
    <w:rPr>
      <w:rFonts w:ascii="Tahoma" w:hAnsi="Tahoma"/>
      <w:sz w:val="24"/>
      <w:szCs w:val="20"/>
    </w:rPr>
  </w:style>
  <w:style w:type="paragraph" w:styleId="1314" w:customStyle="1">
    <w:name w:val="Char Char Char Char Char Char Char2"/>
    <w:basedOn w:val="893"/>
    <w:uiPriority w:val="0"/>
    <w:qFormat/>
    <w:pPr>
      <w:ind w:firstLine="200"/>
      <w:spacing w:line="360" w:lineRule="auto"/>
    </w:pPr>
    <w:rPr>
      <w:rFonts w:eastAsia="仿宋_GB2312"/>
      <w:sz w:val="24"/>
    </w:rPr>
  </w:style>
  <w:style w:type="paragraph" w:styleId="1315" w:customStyle="1">
    <w:name w:val="正文缩进2"/>
    <w:basedOn w:val="893"/>
    <w:uiPriority w:val="0"/>
    <w:qFormat/>
    <w:pPr>
      <w:ind w:firstLine="567"/>
      <w:spacing w:line="480" w:lineRule="exact"/>
      <w:widowControl/>
    </w:pPr>
    <w:rPr>
      <w:rFonts w:ascii="宋体"/>
      <w:color w:val="000000"/>
      <w:sz w:val="28"/>
      <w:szCs w:val="20"/>
      <w:lang w:val="zh-CN"/>
    </w:rPr>
  </w:style>
  <w:style w:type="paragraph" w:styleId="1316" w:customStyle="1">
    <w:name w:val="修订1"/>
    <w:uiPriority w:val="0"/>
    <w:qFormat/>
    <w:rPr>
      <w:rFonts w:ascii="Times New Roman" w:hAnsi="Times New Roman" w:eastAsia="宋体" w:cs="Times New Roman"/>
      <w:sz w:val="21"/>
      <w:szCs w:val="24"/>
      <w:lang w:val="en-US" w:eastAsia="zh-CN" w:bidi="ar-SA"/>
    </w:rPr>
  </w:style>
  <w:style w:type="paragraph" w:styleId="1317" w:customStyle="1">
    <w:name w:val="Char22"/>
    <w:basedOn w:val="893"/>
    <w:uiPriority w:val="0"/>
    <w:qFormat/>
    <w:rPr>
      <w:rFonts w:ascii="Tahoma" w:hAnsi="Tahoma"/>
      <w:sz w:val="24"/>
      <w:szCs w:val="20"/>
    </w:rPr>
  </w:style>
  <w:style w:type="paragraph" w:styleId="1318" w:customStyle="1">
    <w:name w:val="Char Char Char Char Char Char Char Char Char Char2"/>
    <w:basedOn w:val="893"/>
    <w:uiPriority w:val="0"/>
    <w:qFormat/>
    <w:rPr>
      <w:rFonts w:ascii="宋体" w:hAnsi="宋体" w:cs="Courier New"/>
      <w:sz w:val="32"/>
      <w:szCs w:val="32"/>
    </w:rPr>
  </w:style>
  <w:style w:type="paragraph" w:styleId="1319" w:customStyle="1">
    <w:name w:val="Char2 Char Char Char Char Char Char1"/>
    <w:basedOn w:val="893"/>
    <w:uiPriority w:val="0"/>
    <w:qFormat/>
    <w:pPr>
      <w:jc w:val="center"/>
      <w:spacing w:line="400" w:lineRule="exact"/>
      <w:widowControl/>
    </w:pPr>
  </w:style>
  <w:style w:type="character" w:styleId="1320" w:customStyle="1">
    <w:name w:val="页脚 Char"/>
    <w:uiPriority w:val="0"/>
    <w:qFormat/>
    <w:rPr>
      <w:rFonts w:ascii="宋体" w:eastAsia="宋体"/>
      <w:sz w:val="18"/>
      <w:lang w:val="en-US" w:eastAsia="zh-CN" w:bidi="ar-SA"/>
    </w:rPr>
  </w:style>
  <w:style w:type="paragraph" w:styleId="1321" w:customStyle="1">
    <w:name w:val="Char Char41"/>
    <w:basedOn w:val="893"/>
    <w:uiPriority w:val="0"/>
    <w:qFormat/>
    <w:pPr>
      <w:jc w:val="center"/>
      <w:spacing w:line="400" w:lineRule="exact"/>
      <w:widowControl/>
    </w:pPr>
  </w:style>
  <w:style w:type="character" w:styleId="1322" w:customStyle="1">
    <w:name w:val="批注文字 Char"/>
    <w:uiPriority w:val="99"/>
    <w:qFormat/>
    <w:rPr>
      <w:sz w:val="21"/>
      <w:szCs w:val="24"/>
    </w:rPr>
  </w:style>
  <w:style w:type="character" w:styleId="1323" w:customStyle="1">
    <w:name w:val="标题 Char"/>
    <w:uiPriority w:val="0"/>
    <w:qFormat/>
    <w:rPr>
      <w:b/>
      <w:sz w:val="32"/>
    </w:rPr>
  </w:style>
  <w:style w:type="paragraph" w:styleId="1324" w:customStyle="1">
    <w:name w:val="图例"/>
    <w:basedOn w:val="893"/>
    <w:uiPriority w:val="0"/>
    <w:qFormat/>
    <w:pPr>
      <w:jc w:val="center"/>
      <w:spacing w:before="120" w:after="120" w:line="360" w:lineRule="auto"/>
    </w:pPr>
    <w:rPr>
      <w:rFonts w:eastAsia="仿宋_GB2312"/>
      <w:b/>
      <w:sz w:val="24"/>
      <w:szCs w:val="20"/>
    </w:rPr>
  </w:style>
  <w:style w:type="table" w:styleId="132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26" w:customStyle="1">
    <w:name w:val="Table Paragraph"/>
    <w:basedOn w:val="893"/>
    <w:uiPriority w:val="1"/>
    <w:qFormat/>
    <w:pPr>
      <w:jc w:val="left"/>
    </w:pPr>
    <w:rPr>
      <w:rFonts w:ascii="宋体" w:hAnsi="宋体" w:cs="宋体"/>
      <w:sz w:val="22"/>
      <w:szCs w:val="22"/>
      <w:lang w:eastAsia="en-US"/>
    </w:rPr>
  </w:style>
  <w:style w:type="paragraph" w:styleId="1327" w:customStyle="1">
    <w:name w:val="成文日期"/>
    <w:basedOn w:val="893"/>
    <w:link w:val="1328"/>
    <w:uiPriority w:val="0"/>
    <w:qFormat/>
    <w:pPr>
      <w:ind w:right="400" w:firstLine="200"/>
      <w:jc w:val="right"/>
      <w:spacing w:line="570" w:lineRule="exact"/>
    </w:pPr>
    <w:rPr>
      <w:rFonts w:ascii="仿宋_GB2312" w:eastAsia="仿宋_GB2312"/>
      <w:sz w:val="32"/>
      <w:szCs w:val="20"/>
    </w:rPr>
  </w:style>
  <w:style w:type="character" w:styleId="1328" w:customStyle="1">
    <w:name w:val="成文日期 Char"/>
    <w:link w:val="1327"/>
    <w:uiPriority w:val="0"/>
    <w:qFormat/>
    <w:rPr>
      <w:rFonts w:ascii="仿宋_GB2312" w:eastAsia="仿宋_GB2312"/>
      <w:sz w:val="32"/>
    </w:rPr>
  </w:style>
  <w:style w:type="paragraph" w:styleId="1329" w:customStyle="1">
    <w:name w:val="修订2"/>
    <w:uiPriority w:val="99"/>
    <w:unhideWhenUsed/>
    <w:qFormat/>
    <w:rPr>
      <w:rFonts w:ascii="Times New Roman" w:hAnsi="Times New Roman" w:eastAsia="宋体" w:cs="Times New Roman"/>
      <w:sz w:val="21"/>
      <w:szCs w:val="24"/>
      <w:lang w:val="en-US" w:eastAsia="zh-CN" w:bidi="ar-SA"/>
    </w:rPr>
  </w:style>
  <w:style w:type="character" w:styleId="1330" w:customStyle="1">
    <w:name w:val="NormalCharacter1"/>
    <w:uiPriority w:val="0"/>
    <w:semiHidden/>
    <w:qFormat/>
  </w:style>
  <w:style w:type="paragraph" w:styleId="1331" w:customStyle="1">
    <w:name w:val="首行缩进"/>
    <w:basedOn w:val="893"/>
    <w:uiPriority w:val="0"/>
    <w:qFormat/>
    <w:pPr>
      <w:ind w:firstLine="480"/>
    </w:pPr>
  </w:style>
  <w:style w:type="character" w:styleId="1332" w:customStyle="1">
    <w:name w:val="font21"/>
    <w:uiPriority w:val="0"/>
    <w:qFormat/>
    <w:rPr>
      <w:rFonts w:hint="eastAsia" w:ascii="宋体" w:hAnsi="宋体" w:eastAsia="宋体" w:cs="宋体"/>
      <w:color w:val="000000"/>
      <w:sz w:val="24"/>
      <w:szCs w:val="24"/>
      <w:u w:val="none"/>
    </w:rPr>
  </w:style>
  <w:style w:type="character" w:styleId="1333" w:customStyle="1">
    <w:name w:val="font01"/>
    <w:uiPriority w:val="0"/>
    <w:qFormat/>
    <w:rPr>
      <w:rFonts w:hint="eastAsia" w:ascii="宋体" w:hAnsi="宋体" w:eastAsia="宋体" w:cs="宋体"/>
      <w:color w:val="000000"/>
      <w:sz w:val="24"/>
      <w:szCs w:val="24"/>
      <w:u w:val="none"/>
    </w:rPr>
  </w:style>
  <w:style w:type="paragraph" w:styleId="1334" w:customStyle="1">
    <w:name w:val="段"/>
    <w:next w:val="893"/>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33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36" w:customStyle="1">
    <w:name w:val="目录 11"/>
    <w:basedOn w:val="893"/>
    <w:next w:val="893"/>
    <w:uiPriority w:val="39"/>
    <w:unhideWhenUsed/>
    <w:qFormat/>
    <w:pPr>
      <w:jc w:val="left"/>
      <w:spacing w:after="100" w:line="259" w:lineRule="auto"/>
      <w:widowControl/>
    </w:pPr>
    <w:rPr>
      <w:rFonts w:ascii="Calibri" w:hAnsi="Calibri"/>
      <w:sz w:val="22"/>
      <w:szCs w:val="22"/>
    </w:rPr>
  </w:style>
  <w:style w:type="character" w:styleId="1337" w:customStyle="1">
    <w:name w:val="要点11"/>
    <w:uiPriority w:val="0"/>
    <w:qFormat/>
    <w:rPr>
      <w:b/>
    </w:rPr>
  </w:style>
  <w:style w:type="paragraph" w:styleId="1338" w:customStyle="1">
    <w:name w:val="标题 211"/>
    <w:next w:val="893"/>
    <w:uiPriority w:val="0"/>
    <w:qFormat/>
    <w:pPr>
      <w:jc w:val="center"/>
      <w:keepLines/>
      <w:keepNext/>
      <w:spacing w:before="120" w:line="300" w:lineRule="auto"/>
      <w:widowControl w:val="off"/>
      <w:outlineLvl w:val="1"/>
    </w:pPr>
    <w:rPr>
      <w:rFonts w:ascii="Arial" w:hAnsi="Arial" w:eastAsia="黑体" w:cs="Times New Roman"/>
      <w:b/>
      <w:sz w:val="30"/>
      <w:lang w:val="en-US" w:eastAsia="zh-CN" w:bidi="ar-SA"/>
    </w:rPr>
  </w:style>
  <w:style w:type="character" w:styleId="1339" w:customStyle="1">
    <w:name w:val="font41"/>
    <w:basedOn w:val="903"/>
    <w:uiPriority w:val="0"/>
    <w:qFormat/>
    <w:rPr>
      <w:rFonts w:hint="eastAsia" w:ascii="宋体" w:hAnsi="宋体" w:eastAsia="宋体" w:cs="宋体"/>
      <w:color w:val="ff0000"/>
      <w:sz w:val="32"/>
      <w:szCs w:val="32"/>
      <w:u w:val="none"/>
    </w:rPr>
  </w:style>
  <w:style w:type="character" w:styleId="1340" w:customStyle="1">
    <w:name w:val="font51"/>
    <w:basedOn w:val="903"/>
    <w:uiPriority w:val="0"/>
    <w:qFormat/>
    <w:rPr>
      <w:rFonts w:hint="eastAsia" w:ascii="宋体" w:hAnsi="宋体" w:eastAsia="宋体" w:cs="宋体"/>
      <w:color w:val="000000"/>
      <w:sz w:val="32"/>
      <w:szCs w:val="32"/>
      <w:u w:val="none"/>
    </w:rPr>
  </w:style>
  <w:style w:type="character" w:styleId="1341" w:customStyle="1">
    <w:name w:val="font61"/>
    <w:basedOn w:val="903"/>
    <w:uiPriority w:val="0"/>
    <w:qFormat/>
    <w:rPr>
      <w:rFonts w:hint="default" w:ascii="国标宋体-GB / T 2312" w:hAnsi="国标宋体-GB / T 2312" w:eastAsia="国标宋体-GB / T 2312" w:cs="国标宋体-GB / T 2312"/>
      <w:color w:val="333399"/>
      <w:sz w:val="32"/>
      <w:szCs w:val="32"/>
      <w:u w:val="none"/>
    </w:rPr>
  </w:style>
  <w:style w:type="character" w:styleId="1342" w:customStyle="1">
    <w:name w:val="font71"/>
    <w:basedOn w:val="903"/>
    <w:uiPriority w:val="0"/>
    <w:qFormat/>
    <w:rPr>
      <w:rFonts w:hint="eastAsia" w:ascii="宋体" w:hAnsi="宋体" w:eastAsia="宋体" w:cs="宋体"/>
      <w:color w:val="333399"/>
      <w:sz w:val="32"/>
      <w:szCs w:val="32"/>
      <w:u w:val="none"/>
    </w:rPr>
  </w:style>
  <w:style w:type="character" w:styleId="1343" w:customStyle="1">
    <w:name w:val="font81"/>
    <w:basedOn w:val="903"/>
    <w:uiPriority w:val="0"/>
    <w:qFormat/>
    <w:rPr>
      <w:rFonts w:hint="eastAsia" w:ascii="宋体" w:hAnsi="宋体" w:eastAsia="宋体" w:cs="宋体"/>
      <w:color w:val="00ccff"/>
      <w:sz w:val="32"/>
      <w:szCs w:val="32"/>
      <w:u w:val="none"/>
    </w:rPr>
  </w:style>
  <w:style w:type="character" w:styleId="1344" w:customStyle="1">
    <w:name w:val="font11"/>
    <w:basedOn w:val="903"/>
    <w:uiPriority w:val="0"/>
    <w:qFormat/>
    <w:rPr>
      <w:rFonts w:hint="eastAsia" w:ascii="宋体" w:hAnsi="宋体" w:eastAsia="宋体" w:cs="宋体"/>
      <w:color w:val="000000"/>
      <w:sz w:val="20"/>
      <w:szCs w:val="20"/>
      <w:u w:val="none"/>
    </w:rPr>
  </w:style>
  <w:style w:type="character" w:styleId="1345" w:customStyle="1">
    <w:name w:val="font31"/>
    <w:basedOn w:val="903"/>
    <w:uiPriority w:val="0"/>
    <w:qFormat/>
    <w:rPr>
      <w:rFonts w:ascii="微软雅黑" w:hAnsi="微软雅黑" w:eastAsia="微软雅黑" w:cs="微软雅黑"/>
      <w:color w:val="000000"/>
      <w:sz w:val="22"/>
      <w:szCs w:val="22"/>
      <w:u w:val="none"/>
    </w:rPr>
  </w:style>
  <w:style w:type="numbering" w:styleId="13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丁玲</cp:lastModifiedBy>
  <cp:revision>4</cp:revision>
  <dcterms:created xsi:type="dcterms:W3CDTF">2024-01-12T01:14:00Z</dcterms:created>
  <dcterms:modified xsi:type="dcterms:W3CDTF">2026-09-08T06:46:37Z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eyJoZGlkIjoiOWY3NmI4NjIzZGVkZDgxZjBjMzFiNDAzN2ZlMTg5MmIiLCJ1c2VySWQiOiI1NDc3MzAxODIifQ==</vt:lpwstr>
  </property>
  <property fmtid="{D5CDD505-2E9C-101B-9397-08002B2CF9AE}" pid="3" name="KSOProductBuildVer">
    <vt:lpwstr>2052-12.1.0.28505</vt:lpwstr>
  </property>
  <property fmtid="{D5CDD505-2E9C-101B-9397-08002B2CF9AE}" pid="4" name="ICV">
    <vt:lpwstr>831BE8EC62264FC7A215FF8169C74057_13</vt:lpwstr>
  </property>
</Properties>
</file>