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项目名称：2026年-2027年通启高速管理处、崇启大桥管理处物业服务采购项目 </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JSZC-320000-SCZX-G2026-0423</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6年9</w:t>
      </w:r>
      <w:r>
        <w:rPr>
          <w:rFonts w:ascii="宋体" w:cs="宋体"/>
          <w:b/>
          <w:bCs/>
          <w:sz w:val="32"/>
          <w:szCs w:val="32"/>
          <w:lang w:val="zh-CN"/>
        </w:rPr>
        <w:t xml:space="preserve">月</w:t>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61"/>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3383219" w:anchor="_Toc233383219" w:history="1">
        <w:r>
          <w:rPr>
            <w:rStyle w:val="886"/>
            <w:rFonts w:ascii="黑体" w:eastAsia="黑体"/>
            <w:bCs/>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61"/>
        <w:tabs>
          <w:tab w:val="right" w:pos="8296" w:leader="dot"/>
        </w:tabs>
        <w:rPr>
          <w:rFonts w:ascii="Arial" w:hAnsi="Arial" w:cs="Arial"/>
          <w:sz w:val="22"/>
          <w:szCs w:val="24"/>
        </w:rPr>
      </w:pPr>
      <w:r/>
      <w:hyperlink w:tooltip="#_Toc233383220" w:anchor="_Toc233383220" w:history="1">
        <w:r>
          <w:rPr>
            <w:rStyle w:val="886"/>
            <w:rFonts w:ascii="黑体" w:eastAsia="黑体"/>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1" w:anchor="_Toc233383221" w:history="1">
        <w:r>
          <w:rPr>
            <w:rStyle w:val="886"/>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2" w:anchor="_Toc233383222" w:history="1">
        <w:r>
          <w:rPr>
            <w:rStyle w:val="886"/>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2"/>
        <w:tabs>
          <w:tab w:val="right" w:pos="8296" w:leader="dot"/>
        </w:tabs>
        <w:rPr>
          <w:rFonts w:ascii="Arial" w:hAnsi="Arial" w:cs="Arial"/>
          <w:sz w:val="22"/>
          <w:szCs w:val="24"/>
        </w:rPr>
      </w:pPr>
      <w:r/>
      <w:hyperlink w:tooltip="#_Toc233383223" w:anchor="_Toc233383223" w:history="1">
        <w:r>
          <w:rPr>
            <w:rStyle w:val="886"/>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52"/>
        <w:tabs>
          <w:tab w:val="right" w:pos="8296" w:leader="dot"/>
        </w:tabs>
        <w:rPr>
          <w:rFonts w:ascii="Arial" w:hAnsi="Arial" w:cs="Arial"/>
          <w:sz w:val="22"/>
          <w:szCs w:val="24"/>
        </w:rPr>
      </w:pPr>
      <w:r/>
      <w:hyperlink w:tooltip="#_Toc233383224" w:anchor="_Toc233383224" w:history="1">
        <w:r>
          <w:rPr>
            <w:rStyle w:val="886"/>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2"/>
        <w:tabs>
          <w:tab w:val="right" w:pos="8296" w:leader="dot"/>
        </w:tabs>
        <w:rPr>
          <w:rFonts w:ascii="Arial" w:hAnsi="Arial" w:cs="Arial"/>
          <w:sz w:val="22"/>
          <w:szCs w:val="24"/>
        </w:rPr>
      </w:pPr>
      <w:r/>
      <w:hyperlink w:tooltip="#_Toc233383225" w:anchor="_Toc233383225" w:history="1">
        <w:r>
          <w:rPr>
            <w:rStyle w:val="886"/>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2"/>
        <w:tabs>
          <w:tab w:val="right" w:pos="8296" w:leader="dot"/>
        </w:tabs>
        <w:rPr>
          <w:rFonts w:ascii="Arial" w:hAnsi="Arial" w:cs="Arial"/>
          <w:sz w:val="22"/>
          <w:szCs w:val="24"/>
        </w:rPr>
      </w:pPr>
      <w:r/>
      <w:hyperlink w:tooltip="#_Toc233383226" w:anchor="_Toc233383226" w:history="1">
        <w:r>
          <w:rPr>
            <w:rStyle w:val="886"/>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52"/>
        <w:tabs>
          <w:tab w:val="right" w:pos="8296" w:leader="dot"/>
        </w:tabs>
        <w:rPr>
          <w:rFonts w:ascii="Arial" w:hAnsi="Arial" w:cs="Arial"/>
          <w:sz w:val="22"/>
          <w:szCs w:val="24"/>
        </w:rPr>
      </w:pPr>
      <w:r/>
      <w:hyperlink w:tooltip="#_Toc233383227" w:anchor="_Toc233383227" w:history="1">
        <w:r>
          <w:rPr>
            <w:rStyle w:val="886"/>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61"/>
        <w:tabs>
          <w:tab w:val="right" w:pos="8296" w:leader="dot"/>
        </w:tabs>
        <w:rPr>
          <w:rFonts w:ascii="Arial" w:hAnsi="Arial" w:cs="Arial"/>
          <w:sz w:val="22"/>
          <w:szCs w:val="24"/>
        </w:rPr>
      </w:pPr>
      <w:r/>
      <w:hyperlink w:tooltip="#_Toc233383228" w:anchor="_Toc233383228" w:history="1">
        <w:r>
          <w:rPr>
            <w:rStyle w:val="886"/>
            <w:rFonts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61"/>
        <w:tabs>
          <w:tab w:val="right" w:pos="8296" w:leader="dot"/>
        </w:tabs>
        <w:rPr>
          <w:rFonts w:ascii="Arial" w:hAnsi="Arial" w:cs="Arial"/>
          <w:sz w:val="22"/>
          <w:szCs w:val="24"/>
        </w:rPr>
      </w:pPr>
      <w:r/>
      <w:hyperlink w:tooltip="#_Toc233383229" w:anchor="_Toc233383229" w:history="1">
        <w:r>
          <w:rPr>
            <w:rStyle w:val="886"/>
            <w:rFonts w:ascii="黑体" w:eastAsia="黑体"/>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61"/>
        <w:tabs>
          <w:tab w:val="right" w:pos="8296" w:leader="dot"/>
        </w:tabs>
        <w:rPr>
          <w:rFonts w:ascii="Arial" w:hAnsi="Arial" w:cs="Arial"/>
          <w:sz w:val="22"/>
          <w:szCs w:val="24"/>
        </w:rPr>
      </w:pPr>
      <w:r/>
      <w:hyperlink w:tooltip="#_Toc233383230" w:anchor="_Toc233383230" w:history="1">
        <w:r>
          <w:rPr>
            <w:rStyle w:val="886"/>
            <w:rFonts w:ascii="黑体" w:eastAsia="黑体"/>
            <w:bCs/>
            <w:color w:val="auto"/>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pStyle w:val="861"/>
        <w:tabs>
          <w:tab w:val="right" w:pos="8296" w:leader="dot"/>
        </w:tabs>
        <w:rPr>
          <w:rFonts w:ascii="Arial" w:hAnsi="Arial" w:cs="Arial"/>
          <w:sz w:val="22"/>
          <w:szCs w:val="24"/>
        </w:rPr>
      </w:pPr>
      <w:r/>
      <w:hyperlink w:tooltip="#_Toc233383231" w:anchor="_Toc233383231" w:history="1">
        <w:r>
          <w:rPr>
            <w:rStyle w:val="886"/>
            <w:rFonts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lang w:val="zh-CN"/>
        </w:rPr>
      </w:pPr>
      <w:r>
        <w:rPr>
          <w:rFonts w:ascii="宋体" w:cs="宋体"/>
          <w:szCs w:val="21"/>
          <w:lang w:val="zh-CN"/>
        </w:rPr>
      </w:r>
      <w:r>
        <w:rPr>
          <w:rFonts w:ascii="宋体" w:cs="宋体"/>
          <w:szCs w:val="21"/>
          <w:lang w:val="zh-CN"/>
        </w:rPr>
      </w:r>
      <w:r/>
    </w:p>
    <w:p>
      <w:pPr>
        <w:rPr>
          <w:rFonts w:ascii="宋体" w:cs="宋体"/>
          <w:lang w:val="zh-CN"/>
        </w:rPr>
      </w:pPr>
      <w:r>
        <w:rPr>
          <w:rFonts w:ascii="宋体" w:cs="宋体"/>
          <w:szCs w:val="21"/>
          <w:lang w:val="zh-CN"/>
        </w:rPr>
      </w:r>
      <w:r/>
    </w:p>
    <w:p>
      <w:pPr>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受江苏省高速公路经营管理中心的委托，江苏省政府采购中心就2026年-2027年通启高速管理处、崇启大桥管理处物业服务采购项目（</w:t>
      </w:r>
      <w:r>
        <w:rPr>
          <w:rFonts w:ascii="宋体" w:cs="宋体"/>
          <w:sz w:val="24"/>
          <w:szCs w:val="24"/>
          <w:lang w:val="zh-CN"/>
        </w:rPr>
        <w:t xml:space="preserve">JSZC-320000-SCZX-G2026-0423</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2026年-2027年通启高速管理处、崇启大桥管理处物业服务采购项目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6年10</w:t>
      </w:r>
      <w:r>
        <w:rPr>
          <w:rFonts w:hint="eastAsia" w:ascii="宋体" w:cs="宋体"/>
          <w:sz w:val="24"/>
          <w:szCs w:val="24"/>
          <w:u w:val="single"/>
          <w:lang w:val="zh-CN"/>
        </w:rPr>
        <w:t xml:space="preserve">月15日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JSZC-320000-SCZX-G2026-0423</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项目名称：2026年-2027年通启高速管理处、崇启大桥管理处物业服务采购项目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ascii="宋体" w:hAnsi="宋体"/>
          <w:sz w:val="24"/>
          <w:szCs w:val="24"/>
        </w:rPr>
        <w:t xml:space="preserve"> 采购包1</w:t>
      </w:r>
      <w:r>
        <w:rPr>
          <w:rFonts w:hint="eastAsia" w:ascii="宋体" w:hAnsi="宋体"/>
          <w:sz w:val="24"/>
          <w:szCs w:val="24"/>
        </w:rPr>
        <w:t xml:space="preserve">： </w:t>
      </w:r>
      <w:r>
        <w:rPr>
          <w:rFonts w:ascii="宋体" w:hAnsi="宋体"/>
          <w:sz w:val="24"/>
          <w:szCs w:val="24"/>
        </w:rPr>
        <w:t xml:space="preserve">225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98.8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hAnsi="宋体"/>
          <w:sz w:val="24"/>
          <w:szCs w:val="24"/>
        </w:rPr>
        <w:t xml:space="preserve">采购包1</w:t>
      </w:r>
      <w:r>
        <w:rPr>
          <w:rFonts w:hint="eastAsia" w:ascii="宋体" w:hAnsi="宋体"/>
          <w:sz w:val="24"/>
          <w:szCs w:val="24"/>
        </w:rPr>
        <w:t xml:space="preserve"> ：221.41</w:t>
      </w:r>
      <w:r>
        <w:rPr>
          <w:rFonts w:ascii="宋体" w:hAnsi="宋体"/>
          <w:sz w:val="24"/>
          <w:szCs w:val="24"/>
        </w:rPr>
        <w:t xml:space="preserve">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2：87.56</w:t>
      </w:r>
      <w:r>
        <w:rPr>
          <w:rFonts w:ascii="宋体" w:hAnsi="宋体"/>
          <w:sz w:val="24"/>
          <w:szCs w:val="24"/>
        </w:rPr>
        <w:t xml:space="preserve"> 万元</w:t>
      </w:r>
      <w:r>
        <w:rPr>
          <w:rFonts w:hint="eastAsia"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ind w:firstLine="480"/>
        <w:spacing w:line="400" w:lineRule="atLeast"/>
        <w:rPr>
          <w:rFonts w:ascii="宋体" w:cs="宋体"/>
          <w:sz w:val="24"/>
          <w:szCs w:val="24"/>
          <w:lang w:val="zh-CN"/>
        </w:rPr>
      </w:pPr>
      <w:r>
        <w:rPr>
          <w:rFonts w:hint="eastAsia" w:ascii="宋体" w:cs="宋体"/>
          <w:sz w:val="24"/>
          <w:szCs w:val="24"/>
        </w:rPr>
        <w:t xml:space="preserve">采购包1是2026年-2027年通启高速管理处物业服务采购，物业服务范围主要包括通启高速管理处机关（含调度中心、小海收费站）、陈桥收费站、南通北收费站、兴仁收费站、先锋收费站、叠石桥收费站、海门收费站、悦来收费站、大生收费站、排障大队；采购包2是2026-2027年崇启大桥管理处物业服务采购，物业服务范围主要包括崇启大桥管理处机关及启东南收费站、启东北收费站。</w:t>
      </w:r>
      <w:r>
        <w:rPr>
          <w:rFonts w:hint="eastAsia" w:ascii="宋体" w:hAnsi="宋体"/>
          <w:sz w:val="24"/>
          <w:szCs w:val="24"/>
        </w:rPr>
        <w:t xml:space="preserve">（详见采购文件第四章）</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合同履行期限：采购包1</w:t>
      </w:r>
      <w:r>
        <w:rPr>
          <w:rFonts w:ascii="宋体" w:hAnsi="宋体"/>
          <w:sz w:val="24"/>
          <w:szCs w:val="24"/>
        </w:rPr>
        <w:t xml:space="preserve">合同实施期限为</w:t>
      </w:r>
      <w:r>
        <w:rPr>
          <w:rFonts w:ascii="宋体" w:hAnsi="宋体" w:cs="宋体"/>
          <w:sz w:val="24"/>
          <w:szCs w:val="24"/>
        </w:rPr>
        <w:t xml:space="preserve">2027年1月1日至2027年12月31日</w:t>
      </w:r>
      <w:r>
        <w:rPr>
          <w:rFonts w:hint="eastAsia" w:ascii="宋体" w:hAnsi="宋体"/>
          <w:sz w:val="24"/>
          <w:szCs w:val="24"/>
        </w:rPr>
        <w:t xml:space="preserve">。</w:t>
      </w:r>
      <w:r>
        <w:rPr>
          <w:rFonts w:hint="eastAsia" w:ascii="宋体" w:cs="宋体"/>
          <w:sz w:val="24"/>
          <w:szCs w:val="24"/>
          <w:lang w:val="zh-CN"/>
        </w:rPr>
        <w:t xml:space="preserve">采购包2</w:t>
      </w:r>
      <w:r>
        <w:rPr>
          <w:rFonts w:ascii="宋体" w:hAnsi="宋体"/>
          <w:sz w:val="24"/>
          <w:szCs w:val="24"/>
        </w:rPr>
        <w:t xml:space="preserve">合同实施期限为2026年11月1日至2027年10月31日</w:t>
      </w:r>
      <w:r>
        <w:rPr>
          <w:rFonts w:hint="eastAsia" w:ascii="宋体" w:hAnsi="宋体"/>
          <w:sz w:val="24"/>
          <w:szCs w:val="24"/>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6年10月15</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98"/>
        <w:keepLines/>
        <w:keepNext/>
        <w:spacing w:before="145" w:after="145" w:line="400" w:lineRule="atLeast"/>
        <w:rPr>
          <w:rFonts w:ascii="宋体" w:cs="宋体"/>
          <w:sz w:val="24"/>
          <w:szCs w:val="24"/>
          <w:lang w:val="zh-CN"/>
        </w:rPr>
      </w:pPr>
      <w:r>
        <w:rPr>
          <w:rFonts w:hint="eastAsia" w:ascii="宋体" w:cs="宋体"/>
          <w:sz w:val="24"/>
          <w:szCs w:val="24"/>
        </w:rPr>
        <w:t xml:space="preserve">无</w:t>
      </w:r>
      <w:r>
        <w:rPr>
          <w:rFonts w:hint="eastAsia" w:ascii="宋体" w:cs="宋体"/>
          <w:sz w:val="24"/>
          <w:szCs w:val="24"/>
          <w:lang w:val="zh-CN"/>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江苏省高速公路经营管理中心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南京市鼓楼区江苏路60-1号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宋体" w:cs="宋体"/>
          <w:sz w:val="24"/>
          <w:szCs w:val="24"/>
          <w:u w:val="single"/>
          <w:lang w:val="zh-CN"/>
        </w:rPr>
        <w:t xml:space="preserve">范慧琳</w:t>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rPr>
      </w:pPr>
      <w:r>
        <w:rPr>
          <w:rFonts w:hint="eastAsia" w:ascii="宋体" w:cs="宋体"/>
          <w:sz w:val="24"/>
          <w:szCs w:val="24"/>
          <w:lang w:val="zh-CN"/>
        </w:rPr>
        <w:t xml:space="preserve">联系方式： </w:t>
      </w:r>
      <w:r>
        <w:rPr>
          <w:rFonts w:hint="eastAsia" w:ascii="宋体" w:cs="宋体"/>
          <w:sz w:val="24"/>
          <w:szCs w:val="24"/>
        </w:rPr>
        <w:t xml:space="preserve">13912298623</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4"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5"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1"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1"/>
      <w:r/>
      <w:r/>
    </w:p>
    <w:p>
      <w:pPr>
        <w:pStyle w:val="1070"/>
        <w:ind w:firstLine="498"/>
        <w:spacing w:before="120" w:after="120" w:line="400" w:lineRule="exact"/>
      </w:pPr>
      <w:r/>
      <w:bookmarkStart w:id="2" w:name="_Toc120614214"/>
      <w:r/>
      <w:bookmarkStart w:id="3" w:name="_Toc16938519"/>
      <w:r/>
      <w:bookmarkStart w:id="4" w:name="_Toc233383221"/>
      <w:r/>
      <w:bookmarkStart w:id="5" w:name="_Toc513029203"/>
      <w:r/>
      <w:bookmarkStart w:id="6" w:name="_Toc20823275"/>
      <w:r>
        <w:rPr>
          <w:rFonts w:hint="eastAsia"/>
        </w:rPr>
        <w:t xml:space="preserve">一、总则</w:t>
      </w:r>
      <w:bookmarkEnd w:id="2"/>
      <w:r/>
      <w:bookmarkEnd w:id="3"/>
      <w:r/>
      <w:bookmarkEnd w:id="4"/>
      <w:r/>
      <w:bookmarkEnd w:id="5"/>
      <w:r/>
      <w:bookmarkEnd w:id="6"/>
      <w:r/>
      <w:r/>
    </w:p>
    <w:p>
      <w:pPr>
        <w:pStyle w:val="1074"/>
        <w:ind w:firstLine="420"/>
        <w:spacing w:before="0" w:after="0" w:line="400" w:lineRule="exact"/>
        <w:rPr>
          <w:b w:val="0"/>
          <w:bCs w:val="0"/>
        </w:rPr>
      </w:pPr>
      <w:r/>
      <w:bookmarkStart w:id="7" w:name="_Hlt16619475"/>
      <w:r/>
      <w:bookmarkStart w:id="8" w:name="_Toc458694821"/>
      <w:r/>
      <w:bookmarkStart w:id="9" w:name="_Toc16938520"/>
      <w:r/>
      <w:bookmarkStart w:id="10" w:name="_Toc513029204"/>
      <w:r/>
      <w:bookmarkStart w:id="11" w:name="_Toc20823276"/>
      <w:r/>
      <w:bookmarkEnd w:id="7"/>
      <w:r>
        <w:rPr>
          <w:rFonts w:hint="eastAsia"/>
          <w:b w:val="0"/>
          <w:bCs w:val="0"/>
        </w:rPr>
        <w:t xml:space="preserve">1</w:t>
      </w:r>
      <w:bookmarkEnd w:id="8"/>
      <w:r>
        <w:rPr>
          <w:rFonts w:hint="eastAsia"/>
          <w:b w:val="0"/>
          <w:bCs w:val="0"/>
        </w:rPr>
        <w:t xml:space="preserve">、招标方式</w:t>
      </w:r>
      <w:bookmarkEnd w:id="9"/>
      <w:r/>
      <w:bookmarkEnd w:id="10"/>
      <w:r/>
      <w:bookmarkEnd w:id="11"/>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74"/>
        <w:ind w:firstLine="420"/>
        <w:spacing w:before="0" w:after="0" w:line="400" w:lineRule="exact"/>
        <w:rPr>
          <w:b w:val="0"/>
          <w:bCs w:val="0"/>
        </w:rPr>
      </w:pPr>
      <w:r/>
      <w:bookmarkStart w:id="12" w:name="_Toc16938521"/>
      <w:r/>
      <w:bookmarkStart w:id="13" w:name="_Toc513029205"/>
      <w:r/>
      <w:bookmarkStart w:id="14" w:name="_Toc20823277"/>
      <w:r>
        <w:rPr>
          <w:rFonts w:hint="eastAsia"/>
          <w:b w:val="0"/>
          <w:bCs w:val="0"/>
        </w:rPr>
        <w:t xml:space="preserve">2</w:t>
      </w:r>
      <w:r>
        <w:rPr>
          <w:rFonts w:hint="eastAsia"/>
          <w:b w:val="0"/>
          <w:bCs w:val="0"/>
        </w:rPr>
        <w:t xml:space="preserve">、合格的投标人</w:t>
      </w:r>
      <w:bookmarkEnd w:id="12"/>
      <w:r/>
      <w:bookmarkEnd w:id="13"/>
      <w:r/>
      <w:bookmarkEnd w:id="1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5" w:name="_Toc513029206"/>
      <w:r/>
      <w:bookmarkStart w:id="16" w:name="_Toc16938522"/>
      <w:r/>
      <w:bookmarkStart w:id="17" w:name="_Toc20823278"/>
      <w:r>
        <w:rPr>
          <w:rFonts w:hint="eastAsia" w:ascii="宋体" w:hAnsi="宋体"/>
          <w:bCs/>
          <w:sz w:val="24"/>
        </w:rPr>
        <w:t xml:space="preserve">3、适用法律</w:t>
      </w:r>
      <w:bookmarkEnd w:id="15"/>
      <w:r/>
      <w:bookmarkEnd w:id="16"/>
      <w:r/>
      <w:bookmarkEnd w:id="17"/>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8" w:name="_Toc20823279"/>
      <w:r/>
      <w:bookmarkStart w:id="19" w:name="_Toc513029207"/>
      <w:r/>
      <w:bookmarkStart w:id="20" w:name="_Toc16938523"/>
      <w:r/>
      <w:bookmarkStart w:id="21" w:name="_Toc462564067"/>
      <w:r>
        <w:rPr>
          <w:rFonts w:hint="eastAsia" w:ascii="宋体" w:hAnsi="宋体"/>
          <w:bCs/>
          <w:sz w:val="24"/>
        </w:rPr>
        <w:t xml:space="preserve">3.2 在本项目政府采购活动过程中，如果所执行的标准有更新的，按照最新标准执行。</w:t>
      </w:r>
      <w:r/>
    </w:p>
    <w:p>
      <w:pPr>
        <w:pStyle w:val="1074"/>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8"/>
      <w:r/>
      <w:bookmarkEnd w:id="19"/>
      <w:r/>
      <w:bookmarkEnd w:id="20"/>
      <w:r/>
      <w:bookmarkEnd w:id="21"/>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74"/>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70"/>
        <w:ind w:firstLine="321"/>
        <w:spacing w:before="120" w:after="120" w:line="400" w:lineRule="exact"/>
      </w:pPr>
      <w:r/>
      <w:bookmarkStart w:id="22" w:name="_Toc513029209"/>
      <w:r/>
      <w:bookmarkStart w:id="23" w:name="_Toc20823281"/>
      <w:r/>
      <w:bookmarkStart w:id="24" w:name="_Toc120614215"/>
      <w:r/>
      <w:bookmarkStart w:id="25" w:name="_Toc16938525"/>
      <w:r/>
      <w:bookmarkStart w:id="26" w:name="_Toc233383222"/>
      <w:r>
        <w:rPr>
          <w:rFonts w:hint="eastAsia"/>
        </w:rPr>
        <w:t xml:space="preserve">二、招标文件</w:t>
      </w:r>
      <w:bookmarkEnd w:id="22"/>
      <w:r/>
      <w:bookmarkEnd w:id="23"/>
      <w:r/>
      <w:bookmarkEnd w:id="24"/>
      <w:r/>
      <w:bookmarkEnd w:id="25"/>
      <w:r/>
      <w:bookmarkEnd w:id="26"/>
      <w:r/>
      <w:r/>
    </w:p>
    <w:p>
      <w:pPr>
        <w:pStyle w:val="1074"/>
        <w:ind w:firstLine="420"/>
        <w:spacing w:before="0" w:after="0" w:line="400" w:lineRule="exact"/>
        <w:rPr>
          <w:b w:val="0"/>
          <w:bCs w:val="0"/>
        </w:rPr>
      </w:pPr>
      <w:r/>
      <w:bookmarkStart w:id="27" w:name="_Toc20823282"/>
      <w:r/>
      <w:bookmarkStart w:id="28" w:name="_Toc16938526"/>
      <w:r/>
      <w:bookmarkStart w:id="29" w:name="_Toc513029210"/>
      <w:r>
        <w:rPr>
          <w:rFonts w:hint="eastAsia"/>
          <w:b w:val="0"/>
          <w:bCs w:val="0"/>
        </w:rPr>
        <w:t xml:space="preserve">6</w:t>
      </w:r>
      <w:r>
        <w:rPr>
          <w:rFonts w:hint="eastAsia"/>
          <w:b w:val="0"/>
          <w:bCs w:val="0"/>
        </w:rPr>
        <w:t xml:space="preserve">、招标文件构成</w:t>
      </w:r>
      <w:bookmarkEnd w:id="27"/>
      <w:r/>
      <w:bookmarkEnd w:id="28"/>
      <w:r/>
      <w:bookmarkEnd w:id="29"/>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4"/>
        <w:ind w:firstLine="560"/>
        <w:spacing w:before="0" w:after="0" w:line="400" w:lineRule="exact"/>
        <w:rPr>
          <w:b w:val="0"/>
          <w:bCs w:val="0"/>
        </w:rPr>
      </w:pPr>
      <w:r/>
      <w:bookmarkStart w:id="30" w:name="_Toc513029212"/>
      <w:r/>
      <w:bookmarkStart w:id="31" w:name="_Toc20823284"/>
      <w:r/>
      <w:bookmarkStart w:id="32" w:name="_Toc462564071"/>
      <w:r/>
      <w:bookmarkStart w:id="33" w:name="_Toc16938528"/>
      <w:r>
        <w:rPr>
          <w:b w:val="0"/>
          <w:bCs w:val="0"/>
        </w:rPr>
        <w:t xml:space="preserve">7</w:t>
      </w:r>
      <w:r>
        <w:rPr>
          <w:rFonts w:hint="eastAsia"/>
          <w:b w:val="0"/>
          <w:bCs w:val="0"/>
        </w:rPr>
        <w:t xml:space="preserve">、招标文件的修改</w:t>
      </w:r>
      <w:bookmarkEnd w:id="30"/>
      <w:r/>
      <w:bookmarkEnd w:id="31"/>
      <w:r/>
      <w:bookmarkEnd w:id="32"/>
      <w:r/>
      <w:bookmarkEnd w:id="33"/>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70"/>
        <w:ind w:firstLine="482"/>
        <w:spacing w:before="120" w:after="120" w:line="400" w:lineRule="exact"/>
      </w:pPr>
      <w:r/>
      <w:bookmarkStart w:id="34" w:name="_Toc16938529"/>
      <w:r/>
      <w:bookmarkStart w:id="35" w:name="_Toc513029213"/>
      <w:r/>
      <w:bookmarkStart w:id="36" w:name="_Toc120614216"/>
      <w:r/>
      <w:bookmarkStart w:id="37" w:name="_Toc233383223"/>
      <w:r/>
      <w:bookmarkStart w:id="38" w:name="_Toc462564072"/>
      <w:r/>
      <w:bookmarkStart w:id="39" w:name="_Toc20823285"/>
      <w:r>
        <w:rPr>
          <w:rFonts w:hint="eastAsia"/>
        </w:rPr>
        <w:t xml:space="preserve">三、投标文件的编制</w:t>
      </w:r>
      <w:bookmarkEnd w:id="34"/>
      <w:r/>
      <w:bookmarkEnd w:id="35"/>
      <w:r/>
      <w:bookmarkEnd w:id="36"/>
      <w:r/>
      <w:bookmarkEnd w:id="37"/>
      <w:r/>
      <w:bookmarkEnd w:id="38"/>
      <w:r/>
      <w:bookmarkEnd w:id="39"/>
      <w:r/>
      <w:r/>
    </w:p>
    <w:p>
      <w:pPr>
        <w:pStyle w:val="1074"/>
        <w:ind w:firstLine="560"/>
        <w:spacing w:before="0" w:after="0" w:line="400" w:lineRule="exact"/>
        <w:rPr>
          <w:bCs w:val="0"/>
        </w:rPr>
      </w:pPr>
      <w:r/>
      <w:bookmarkStart w:id="40" w:name="_Toc20823286"/>
      <w:r/>
      <w:bookmarkStart w:id="41" w:name="_Toc16938530"/>
      <w:r/>
      <w:bookmarkStart w:id="42" w:name="_Toc513029214"/>
      <w:r/>
      <w:bookmarkStart w:id="43" w:name="_Toc462564073"/>
      <w:r>
        <w:rPr>
          <w:b w:val="0"/>
          <w:bCs w:val="0"/>
        </w:rPr>
        <w:t xml:space="preserve">8</w:t>
      </w:r>
      <w:r>
        <w:rPr>
          <w:rFonts w:hint="eastAsia"/>
          <w:b w:val="0"/>
          <w:bCs w:val="0"/>
        </w:rPr>
        <w:t xml:space="preserve">、投标文件的语言及度量衡单位</w:t>
      </w:r>
      <w:bookmarkEnd w:id="40"/>
      <w:r/>
      <w:bookmarkEnd w:id="41"/>
      <w:r/>
      <w:bookmarkEnd w:id="42"/>
      <w:r/>
      <w:bookmarkEnd w:id="4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74"/>
        <w:ind w:firstLine="420"/>
        <w:spacing w:before="0" w:after="0" w:line="400" w:lineRule="exact"/>
        <w:rPr>
          <w:b w:val="0"/>
          <w:bCs w:val="0"/>
        </w:rPr>
      </w:pPr>
      <w:r/>
      <w:bookmarkStart w:id="44" w:name="_Toc20823287"/>
      <w:r/>
      <w:bookmarkStart w:id="45" w:name="_Toc16938531"/>
      <w:r/>
      <w:bookmarkStart w:id="46" w:name="_Toc513029215"/>
      <w:r/>
      <w:bookmarkStart w:id="47" w:name="_Toc462564074"/>
      <w:r>
        <w:rPr>
          <w:b w:val="0"/>
          <w:bCs w:val="0"/>
        </w:rPr>
        <w:t xml:space="preserve">9</w:t>
      </w:r>
      <w:r>
        <w:rPr>
          <w:rFonts w:hint="eastAsia"/>
          <w:b w:val="0"/>
          <w:bCs w:val="0"/>
        </w:rPr>
        <w:t xml:space="preserve">、投标文件构成</w:t>
      </w:r>
      <w:bookmarkEnd w:id="44"/>
      <w:r/>
      <w:bookmarkEnd w:id="45"/>
      <w:r/>
      <w:bookmarkEnd w:id="46"/>
      <w:r/>
      <w:bookmarkEnd w:id="4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74"/>
        <w:ind w:firstLine="420"/>
        <w:spacing w:before="0" w:after="0" w:line="400" w:lineRule="exact"/>
        <w:rPr>
          <w:b w:val="0"/>
          <w:bCs w:val="0"/>
        </w:rPr>
      </w:pPr>
      <w:r/>
      <w:bookmarkStart w:id="48" w:name="_Hlt26670360"/>
      <w:r/>
      <w:bookmarkStart w:id="49" w:name="_Hlt26668975"/>
      <w:r/>
      <w:bookmarkStart w:id="50" w:name="_Hlt26954838"/>
      <w:r/>
      <w:bookmarkStart w:id="51" w:name="_Toc14577357"/>
      <w:r/>
      <w:bookmarkStart w:id="52" w:name="_Toc49090509"/>
      <w:r/>
      <w:bookmarkStart w:id="53" w:name="_Toc513029219"/>
      <w:r/>
      <w:bookmarkStart w:id="54" w:name="_Toc14577354"/>
      <w:r/>
      <w:bookmarkStart w:id="55" w:name="_Toc49090507"/>
      <w:r/>
      <w:bookmarkStart w:id="56" w:name="_Toc513029216"/>
      <w:r/>
      <w:bookmarkEnd w:id="48"/>
      <w:r/>
      <w:bookmarkEnd w:id="49"/>
      <w:r/>
      <w:bookmarkEnd w:id="5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1"/>
      <w:r/>
      <w:bookmarkEnd w:id="52"/>
      <w:r/>
      <w:bookmarkEnd w:id="53"/>
      <w:r/>
      <w:r/>
    </w:p>
    <w:p>
      <w:pPr>
        <w:spacing w:line="400" w:lineRule="exact"/>
        <w:rPr>
          <w:rFonts w:hint="eastAsia" w:ascii="宋体" w:hAnsi="宋体"/>
          <w:sz w:val="24"/>
          <w:szCs w:val="24"/>
        </w:rPr>
      </w:pPr>
      <w:r/>
      <w:bookmarkStart w:id="57" w:name="_Toc14577355"/>
      <w:r/>
      <w:bookmarkStart w:id="58" w:name="_Toc49090508"/>
      <w:r/>
      <w:bookmarkEnd w:id="54"/>
      <w:r/>
      <w:bookmarkEnd w:id="55"/>
      <w:r/>
      <w:bookmarkEnd w:id="5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74"/>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59" w:name="_Hlt26670373"/>
      <w:r/>
      <w:bookmarkEnd w:id="57"/>
      <w:r/>
      <w:bookmarkEnd w:id="59"/>
      <w:r>
        <w:rPr>
          <w:rFonts w:hint="eastAsia"/>
          <w:b w:val="0"/>
          <w:bCs w:val="0"/>
        </w:rPr>
        <w:t xml:space="preserve">表</w:t>
      </w:r>
      <w:bookmarkEnd w:id="5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0" w:name="_Hlt26954840"/>
      <w:r/>
      <w:bookmarkEnd w:id="60"/>
      <w:r>
        <w:rPr>
          <w:rFonts w:hint="eastAsia" w:ascii="宋体" w:hAnsi="宋体"/>
          <w:sz w:val="24"/>
        </w:rPr>
        <w:t xml:space="preserve">标人按照招标文件规定格式填报投标分项报价表</w:t>
      </w:r>
      <w:bookmarkStart w:id="61" w:name="_Hlt26670399"/>
      <w:r/>
      <w:bookmarkEnd w:id="6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74"/>
        <w:ind w:firstLine="420"/>
        <w:spacing w:before="0" w:after="0" w:line="400" w:lineRule="exact"/>
        <w:rPr>
          <w:b w:val="0"/>
          <w:bCs w:val="0"/>
        </w:rPr>
      </w:pPr>
      <w:r/>
      <w:bookmarkStart w:id="62" w:name="_Hlt26954846"/>
      <w:r/>
      <w:bookmarkStart w:id="63" w:name="_Hlt26670482"/>
      <w:r/>
      <w:bookmarkStart w:id="64" w:name="_Hlt26670425"/>
      <w:r/>
      <w:bookmarkStart w:id="65" w:name="_Hlt26954844"/>
      <w:r/>
      <w:bookmarkStart w:id="66" w:name="_Hlt26670486"/>
      <w:r/>
      <w:bookmarkStart w:id="67" w:name="_Hlt26954842"/>
      <w:r/>
      <w:bookmarkStart w:id="68" w:name="_Hlt26954848"/>
      <w:r/>
      <w:bookmarkStart w:id="69" w:name="_Hlt26670403"/>
      <w:r/>
      <w:bookmarkStart w:id="70" w:name="_Hlt26668983"/>
      <w:r/>
      <w:bookmarkStart w:id="71" w:name="_Hlt26954731"/>
      <w:r/>
      <w:bookmarkEnd w:id="62"/>
      <w:r/>
      <w:bookmarkEnd w:id="63"/>
      <w:r/>
      <w:bookmarkEnd w:id="64"/>
      <w:r/>
      <w:bookmarkEnd w:id="65"/>
      <w:r/>
      <w:bookmarkEnd w:id="66"/>
      <w:r/>
      <w:bookmarkEnd w:id="67"/>
      <w:r/>
      <w:bookmarkEnd w:id="68"/>
      <w:r/>
      <w:bookmarkEnd w:id="69"/>
      <w:r/>
      <w:bookmarkEnd w:id="70"/>
      <w:r/>
      <w:bookmarkEnd w:id="7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2" w:name="_Toc49090510"/>
      <w:r/>
      <w:bookmarkStart w:id="7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74"/>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74"/>
        <w:ind w:firstLine="420"/>
        <w:spacing w:before="0" w:after="0" w:line="400" w:lineRule="exact"/>
        <w:rPr>
          <w:b w:val="0"/>
          <w:bCs w:val="0"/>
        </w:rPr>
      </w:pPr>
      <w:r/>
      <w:bookmarkStart w:id="74" w:name="_Hlt26670489"/>
      <w:r/>
      <w:bookmarkStart w:id="75" w:name="_Hlt26954734"/>
      <w:r/>
      <w:bookmarkStart w:id="76" w:name="_Hlt26954850"/>
      <w:r/>
      <w:bookmarkStart w:id="77" w:name="_Toc49090511"/>
      <w:r/>
      <w:bookmarkStart w:id="78" w:name="_Toc14577360"/>
      <w:r/>
      <w:bookmarkEnd w:id="72"/>
      <w:r/>
      <w:bookmarkEnd w:id="73"/>
      <w:r/>
      <w:bookmarkEnd w:id="74"/>
      <w:r/>
      <w:bookmarkEnd w:id="75"/>
      <w:r/>
      <w:bookmarkEnd w:id="76"/>
      <w:r>
        <w:rPr>
          <w:rFonts w:hint="eastAsia"/>
          <w:b w:val="0"/>
          <w:bCs w:val="0"/>
        </w:rPr>
        <w:t xml:space="preserve">1</w:t>
      </w:r>
      <w:r>
        <w:rPr>
          <w:b w:val="0"/>
          <w:bCs w:val="0"/>
        </w:rPr>
        <w:t xml:space="preserve">4</w:t>
      </w:r>
      <w:r>
        <w:rPr>
          <w:rFonts w:hint="eastAsia"/>
          <w:b w:val="0"/>
          <w:bCs w:val="0"/>
        </w:rPr>
        <w:t xml:space="preserve">、投标有效期</w:t>
      </w:r>
      <w:bookmarkEnd w:id="77"/>
      <w:r/>
      <w:bookmarkEnd w:id="7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w:t>
      </w:r>
      <w:r>
        <w:rPr>
          <w:rFonts w:hint="eastAsia" w:ascii="宋体" w:hAnsi="宋体"/>
          <w:bCs/>
          <w:sz w:val="24"/>
        </w:rPr>
        <w:t xml:space="preserve">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74"/>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70"/>
        <w:ind w:firstLine="482"/>
        <w:spacing w:before="120" w:after="120" w:line="400" w:lineRule="exact"/>
      </w:pPr>
      <w:r/>
      <w:bookmarkStart w:id="79" w:name="_Hlt26954852"/>
      <w:r/>
      <w:bookmarkStart w:id="80" w:name="_Hlt26954739"/>
      <w:r/>
      <w:bookmarkStart w:id="81" w:name="_Toc513029224"/>
      <w:r/>
      <w:bookmarkStart w:id="82" w:name="_Toc120614217"/>
      <w:r/>
      <w:bookmarkStart w:id="83" w:name="_Toc16938540"/>
      <w:r/>
      <w:bookmarkStart w:id="84" w:name="_Toc233383224"/>
      <w:r/>
      <w:bookmarkStart w:id="85" w:name="_Toc20823296"/>
      <w:r/>
      <w:bookmarkEnd w:id="79"/>
      <w:r/>
      <w:bookmarkEnd w:id="80"/>
      <w:r>
        <w:rPr>
          <w:rFonts w:hint="eastAsia"/>
        </w:rPr>
        <w:t xml:space="preserve">四、投标文件的递交</w:t>
      </w:r>
      <w:bookmarkEnd w:id="81"/>
      <w:r/>
      <w:bookmarkEnd w:id="82"/>
      <w:r/>
      <w:bookmarkEnd w:id="83"/>
      <w:r/>
      <w:bookmarkEnd w:id="84"/>
      <w:r/>
      <w:bookmarkEnd w:id="85"/>
      <w:r/>
      <w:r/>
    </w:p>
    <w:p>
      <w:pPr>
        <w:pStyle w:val="1074"/>
        <w:ind w:firstLine="560"/>
        <w:spacing w:before="0" w:after="0" w:line="400" w:lineRule="exact"/>
        <w:rPr>
          <w:rFonts w:ascii="黑体"/>
          <w:b w:val="0"/>
          <w:bCs w:val="0"/>
        </w:rPr>
      </w:pPr>
      <w:r/>
      <w:bookmarkStart w:id="86" w:name="_Toc513029225"/>
      <w:r/>
      <w:bookmarkStart w:id="87" w:name="_Toc20823297"/>
      <w:r/>
      <w:bookmarkStart w:id="88" w:name="_Toc16938541"/>
      <w:r/>
      <w:bookmarkStart w:id="89"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6"/>
      <w:r/>
      <w:bookmarkEnd w:id="87"/>
      <w:r/>
      <w:bookmarkEnd w:id="88"/>
      <w:r/>
      <w:bookmarkEnd w:id="8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8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0" w:name="_Toc513029226"/>
      <w:r/>
      <w:bookmarkStart w:id="91" w:name="_Toc16938542"/>
      <w:r/>
      <w:bookmarkStart w:id="92" w:name="_Toc20823298"/>
      <w:r/>
      <w:r/>
    </w:p>
    <w:p>
      <w:pPr>
        <w:pStyle w:val="1074"/>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0"/>
      <w:r/>
      <w:bookmarkEnd w:id="91"/>
      <w:r/>
      <w:bookmarkEnd w:id="9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74"/>
        <w:ind w:firstLine="420"/>
        <w:spacing w:before="0" w:after="0" w:line="400" w:lineRule="exact"/>
        <w:rPr>
          <w:b w:val="0"/>
          <w:bCs w:val="0"/>
        </w:rPr>
      </w:pPr>
      <w:r/>
      <w:bookmarkStart w:id="93" w:name="_Toc513029227"/>
      <w:r/>
      <w:bookmarkStart w:id="94" w:name="_Toc16938543"/>
      <w:r/>
      <w:bookmarkStart w:id="95" w:name="_Toc20823299"/>
      <w:r>
        <w:rPr>
          <w:rFonts w:hint="eastAsia"/>
          <w:b w:val="0"/>
          <w:bCs w:val="0"/>
        </w:rPr>
        <w:t xml:space="preserve">1</w:t>
      </w:r>
      <w:r>
        <w:rPr>
          <w:b w:val="0"/>
          <w:bCs w:val="0"/>
        </w:rPr>
        <w:t xml:space="preserve">8</w:t>
      </w:r>
      <w:r>
        <w:rPr>
          <w:rFonts w:hint="eastAsia"/>
          <w:b w:val="0"/>
          <w:bCs w:val="0"/>
        </w:rPr>
        <w:t xml:space="preserve">、投标文件</w:t>
      </w:r>
      <w:bookmarkEnd w:id="93"/>
      <w:r/>
      <w:bookmarkEnd w:id="94"/>
      <w:r/>
      <w:bookmarkEnd w:id="9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74"/>
        <w:ind w:firstLine="420"/>
        <w:spacing w:before="0" w:after="0" w:line="400" w:lineRule="exact"/>
        <w:rPr>
          <w:b w:val="0"/>
          <w:bCs w:val="0"/>
        </w:rPr>
      </w:pPr>
      <w:r/>
      <w:bookmarkStart w:id="96" w:name="_Toc513029228"/>
      <w:r/>
      <w:bookmarkStart w:id="97" w:name="_Toc20823300"/>
      <w:r/>
      <w:bookmarkStart w:id="98" w:name="_Toc16938544"/>
      <w:r>
        <w:rPr>
          <w:b w:val="0"/>
          <w:bCs w:val="0"/>
        </w:rPr>
        <w:t xml:space="preserve">19</w:t>
      </w:r>
      <w:r>
        <w:rPr>
          <w:rFonts w:hint="eastAsia"/>
          <w:b w:val="0"/>
          <w:bCs w:val="0"/>
        </w:rPr>
        <w:t xml:space="preserve">、投标文件的撤回和修改</w:t>
      </w:r>
      <w:bookmarkEnd w:id="96"/>
      <w:r/>
      <w:bookmarkEnd w:id="97"/>
      <w:r/>
      <w:bookmarkEnd w:id="9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70"/>
        <w:ind w:firstLine="482"/>
        <w:spacing w:before="120" w:after="120" w:line="400" w:lineRule="exact"/>
      </w:pPr>
      <w:r/>
      <w:bookmarkStart w:id="99" w:name="_Toc20823301"/>
      <w:r/>
      <w:bookmarkStart w:id="100" w:name="_Toc513029229"/>
      <w:r/>
      <w:bookmarkStart w:id="101" w:name="_Toc233383225"/>
      <w:r/>
      <w:bookmarkStart w:id="102" w:name="_Toc120614218"/>
      <w:r/>
      <w:bookmarkStart w:id="103" w:name="_Toc16938545"/>
      <w:r>
        <w:rPr>
          <w:rFonts w:hint="eastAsia"/>
        </w:rPr>
        <w:t xml:space="preserve">五、开标与评标</w:t>
      </w:r>
      <w:bookmarkEnd w:id="99"/>
      <w:r/>
      <w:bookmarkEnd w:id="100"/>
      <w:r/>
      <w:bookmarkEnd w:id="101"/>
      <w:r/>
      <w:bookmarkEnd w:id="102"/>
      <w:r/>
      <w:bookmarkEnd w:id="103"/>
      <w:r/>
      <w:r/>
    </w:p>
    <w:p>
      <w:pPr>
        <w:pStyle w:val="1074"/>
        <w:ind w:firstLine="420"/>
        <w:spacing w:before="0" w:after="0" w:line="400" w:lineRule="exact"/>
        <w:rPr>
          <w:b w:val="0"/>
          <w:bCs w:val="0"/>
        </w:rPr>
      </w:pPr>
      <w:r/>
      <w:bookmarkStart w:id="104" w:name="_Toc20823302"/>
      <w:r/>
      <w:bookmarkStart w:id="105" w:name="_Toc513029230"/>
      <w:r/>
      <w:bookmarkStart w:id="106" w:name="_Toc16938546"/>
      <w:r>
        <w:rPr>
          <w:rFonts w:hint="eastAsia"/>
          <w:b w:val="0"/>
          <w:bCs w:val="0"/>
        </w:rPr>
        <w:t xml:space="preserve">2</w:t>
      </w:r>
      <w:r>
        <w:rPr>
          <w:b w:val="0"/>
          <w:bCs w:val="0"/>
        </w:rPr>
        <w:t xml:space="preserve">0</w:t>
      </w:r>
      <w:r>
        <w:rPr>
          <w:rFonts w:hint="eastAsia"/>
          <w:b w:val="0"/>
          <w:bCs w:val="0"/>
        </w:rPr>
        <w:t xml:space="preserve">、开标</w:t>
      </w:r>
      <w:bookmarkEnd w:id="104"/>
      <w:r/>
      <w:bookmarkEnd w:id="105"/>
      <w:r/>
      <w:bookmarkEnd w:id="106"/>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w:t>
      </w:r>
      <w:r>
        <w:rPr>
          <w:rFonts w:hint="eastAsia" w:ascii="宋体" w:hAnsi="宋体"/>
          <w:sz w:val="24"/>
          <w:szCs w:val="24"/>
        </w:rPr>
        <w:t xml:space="preserve">《操作手册》规定，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74"/>
        <w:ind w:firstLine="420"/>
        <w:spacing w:before="0" w:after="0" w:line="400" w:lineRule="exact"/>
        <w:rPr>
          <w:b w:val="0"/>
          <w:bCs w:val="0"/>
        </w:rPr>
      </w:pPr>
      <w:r/>
      <w:bookmarkStart w:id="107" w:name="_Toc513029231"/>
      <w:r/>
      <w:bookmarkStart w:id="108" w:name="_Toc16938547"/>
      <w:r/>
      <w:bookmarkStart w:id="109"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1074"/>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7"/>
      <w:r/>
      <w:bookmarkEnd w:id="108"/>
      <w:r/>
      <w:bookmarkEnd w:id="109"/>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74"/>
        <w:ind w:firstLine="420"/>
        <w:spacing w:before="0" w:after="0" w:line="400" w:lineRule="exact"/>
        <w:rPr>
          <w:b w:val="0"/>
          <w:bCs w:val="0"/>
        </w:rPr>
      </w:pPr>
      <w:r/>
      <w:bookmarkStart w:id="110" w:name="_Toc16938548"/>
      <w:r/>
      <w:bookmarkStart w:id="111" w:name="_Toc20823304"/>
      <w:r/>
      <w:bookmarkStart w:id="112" w:name="_Toc513029232"/>
      <w:r>
        <w:rPr>
          <w:rFonts w:hint="eastAsia"/>
          <w:b w:val="0"/>
          <w:bCs w:val="0"/>
        </w:rPr>
        <w:t xml:space="preserve">2</w:t>
      </w:r>
      <w:r>
        <w:rPr>
          <w:b w:val="0"/>
          <w:bCs w:val="0"/>
        </w:rPr>
        <w:t xml:space="preserve">3</w:t>
      </w:r>
      <w:r>
        <w:rPr>
          <w:rFonts w:hint="eastAsia"/>
          <w:b w:val="0"/>
          <w:bCs w:val="0"/>
        </w:rPr>
        <w:t xml:space="preserve">、投标文件的澄清</w:t>
      </w:r>
      <w:bookmarkEnd w:id="110"/>
      <w:r/>
      <w:bookmarkEnd w:id="111"/>
      <w:r/>
      <w:bookmarkEnd w:id="112"/>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74"/>
        <w:ind w:firstLine="420"/>
        <w:spacing w:before="0" w:after="0" w:line="400" w:lineRule="exact"/>
        <w:rPr>
          <w:b w:val="0"/>
          <w:bCs w:val="0"/>
        </w:rPr>
      </w:pPr>
      <w:r/>
      <w:bookmarkStart w:id="113" w:name="_Toc513029233"/>
      <w:r/>
      <w:bookmarkStart w:id="114" w:name="_Toc16938549"/>
      <w:r/>
      <w:bookmarkStart w:id="11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3"/>
      <w:r/>
      <w:bookmarkEnd w:id="114"/>
      <w:r/>
      <w:bookmarkEnd w:id="11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6" w:name="_Toc16938550"/>
      <w:r/>
      <w:bookmarkStart w:id="117" w:name="_Toc513029234"/>
      <w:r/>
      <w:bookmarkStart w:id="118"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4"/>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6"/>
      <w:r/>
      <w:bookmarkEnd w:id="117"/>
      <w:r/>
      <w:bookmarkEnd w:id="118"/>
      <w:r>
        <w:rPr>
          <w:rFonts w:hint="eastAsia"/>
          <w:b w:val="0"/>
          <w:bCs w:val="0"/>
        </w:rPr>
        <w:t xml:space="preserve">无效投标条款和废标条款</w:t>
      </w:r>
      <w:r/>
    </w:p>
    <w:p>
      <w:pPr>
        <w:ind w:left="479"/>
        <w:spacing w:line="400" w:lineRule="exact"/>
        <w:rPr>
          <w:rFonts w:hint="eastAsia" w:ascii="宋体" w:hAnsi="宋体"/>
          <w:bCs/>
          <w:sz w:val="24"/>
        </w:rPr>
      </w:pPr>
      <w:r/>
      <w:bookmarkStart w:id="119" w:name="_Toc20823307"/>
      <w:r/>
      <w:bookmarkStart w:id="120" w:name="_Toc16938551"/>
      <w:r/>
      <w:bookmarkStart w:id="121"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w:t>
      </w:r>
      <w:r>
        <w:rPr>
          <w:rFonts w:hint="eastAsia" w:ascii="宋体" w:hAnsi="宋体"/>
          <w:bCs/>
          <w:sz w:val="24"/>
        </w:rPr>
        <w:t xml:space="preserve">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70"/>
        <w:ind w:firstLine="482"/>
        <w:spacing w:before="120" w:after="120" w:line="400" w:lineRule="exact"/>
      </w:pPr>
      <w:r/>
      <w:bookmarkStart w:id="122" w:name="_Toc233383226"/>
      <w:r/>
      <w:bookmarkStart w:id="123" w:name="_Toc120614219"/>
      <w:r>
        <w:rPr>
          <w:rFonts w:hint="eastAsia"/>
        </w:rPr>
        <w:t xml:space="preserve">六、</w:t>
      </w:r>
      <w:bookmarkEnd w:id="119"/>
      <w:r/>
      <w:bookmarkEnd w:id="120"/>
      <w:r/>
      <w:bookmarkEnd w:id="121"/>
      <w:r>
        <w:rPr>
          <w:rFonts w:hint="eastAsia"/>
        </w:rPr>
        <w:t xml:space="preserve">定标</w:t>
      </w:r>
      <w:bookmarkEnd w:id="122"/>
      <w:r/>
      <w:bookmarkEnd w:id="123"/>
      <w:r/>
      <w:r/>
    </w:p>
    <w:p>
      <w:pPr>
        <w:pStyle w:val="1074"/>
        <w:ind w:firstLine="600"/>
        <w:spacing w:before="0" w:after="0" w:line="400" w:lineRule="exact"/>
        <w:rPr>
          <w:rFonts w:hint="eastAsia" w:ascii="黑体" w:hAnsi="宋体" w:cs="Times New Roman"/>
          <w:b w:val="0"/>
          <w:sz w:val="30"/>
          <w:szCs w:val="30"/>
        </w:rPr>
      </w:pPr>
      <w:r/>
      <w:bookmarkStart w:id="124" w:name="_Toc513029238"/>
      <w:r/>
      <w:bookmarkStart w:id="125" w:name="_Toc16938554"/>
      <w:r/>
      <w:bookmarkStart w:id="12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4"/>
      <w:r>
        <w:rPr>
          <w:rFonts w:hint="eastAsia" w:ascii="黑体" w:hAnsi="宋体" w:cs="Times New Roman"/>
          <w:b w:val="0"/>
          <w:sz w:val="30"/>
          <w:szCs w:val="30"/>
        </w:rPr>
        <w:t xml:space="preserve">确定</w:t>
      </w:r>
      <w:bookmarkEnd w:id="125"/>
      <w:r/>
      <w:bookmarkEnd w:id="126"/>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7"/>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w:t>
      </w:r>
      <w:r>
        <w:rPr>
          <w:rFonts w:hint="eastAsia" w:ascii="宋体" w:hAnsi="宋体"/>
          <w:sz w:val="24"/>
          <w:szCs w:val="24"/>
        </w:rPr>
        <w:t xml:space="preserve">意质疑。否则，一经查实，采购中心有权依据政府采购的有关规定，报请政府采购监管部门对该供应商进行相应的行政处罚和记录该供应商的失信信息。</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70"/>
        <w:spacing w:before="120" w:after="120" w:line="400" w:lineRule="exact"/>
      </w:pPr>
      <w:r/>
      <w:bookmarkStart w:id="128" w:name="_Toc233383227"/>
      <w:r/>
      <w:bookmarkStart w:id="129" w:name="_Toc120614220"/>
      <w:r/>
      <w:bookmarkStart w:id="130" w:name="_Toc20823308"/>
      <w:r/>
      <w:bookmarkStart w:id="131" w:name="_Toc16938552"/>
      <w:r/>
      <w:bookmarkStart w:id="132" w:name="_Toc513029236"/>
      <w:r>
        <w:rPr>
          <w:rFonts w:hint="eastAsia"/>
        </w:rPr>
        <w:t xml:space="preserve">七、授予合同</w:t>
      </w:r>
      <w:bookmarkEnd w:id="128"/>
      <w:r/>
      <w:bookmarkEnd w:id="129"/>
      <w:r/>
      <w:r/>
    </w:p>
    <w:p>
      <w:pPr>
        <w:pStyle w:val="1074"/>
        <w:ind w:firstLine="600"/>
        <w:spacing w:before="0" w:after="0" w:line="400" w:lineRule="exact"/>
        <w:rPr>
          <w:rFonts w:hint="eastAsia" w:ascii="黑体" w:hAnsi="宋体" w:cs="Times New Roman"/>
          <w:b w:val="0"/>
          <w:sz w:val="30"/>
          <w:szCs w:val="30"/>
        </w:rPr>
      </w:pPr>
      <w:r/>
      <w:bookmarkStart w:id="133" w:name="_Toc20823309"/>
      <w:r/>
      <w:bookmarkStart w:id="134" w:name="_Toc513029237"/>
      <w:r/>
      <w:bookmarkStart w:id="135" w:name="_Toc16938553"/>
      <w:r/>
      <w:bookmarkEnd w:id="130"/>
      <w:r/>
      <w:bookmarkEnd w:id="131"/>
      <w:r/>
      <w:bookmarkEnd w:id="132"/>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3"/>
      <w:r/>
      <w:bookmarkEnd w:id="134"/>
      <w:r/>
      <w:bookmarkEnd w:id="135"/>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6"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6"/>
      <w:r/>
      <w:r/>
    </w:p>
    <w:p>
      <w:pPr>
        <w:ind w:firstLine="480"/>
        <w:spacing w:line="360" w:lineRule="auto"/>
        <w:rPr>
          <w:rFonts w:ascii="宋体" w:cs="宋体"/>
          <w:sz w:val="24"/>
          <w:szCs w:val="24"/>
          <w:lang w:val="zh-CN"/>
        </w:rPr>
      </w:pPr>
      <w:r>
        <w:rPr>
          <w:rFonts w:ascii="宋体" w:cs="宋体"/>
          <w:sz w:val="24"/>
          <w:szCs w:val="24"/>
          <w:lang w:val="zh-CN"/>
        </w:rPr>
      </w:r>
      <w:r/>
    </w:p>
    <w:p>
      <w:pPr>
        <w:pStyle w:val="853"/>
        <w:spacing w:before="120" w:after="120"/>
        <w:rPr>
          <w:rFonts w:hint="eastAsia" w:ascii="仿宋_GB2312" w:hAnsi="宋体" w:eastAsia="仿宋_GB2312"/>
          <w:sz w:val="28"/>
          <w:szCs w:val="28"/>
        </w:rPr>
      </w:pPr>
      <w:r/>
      <w:bookmarkStart w:id="137" w:name="_Toc229586893"/>
      <w:r/>
      <w:bookmarkStart w:id="138" w:name="_Toc237360859"/>
      <w:r/>
      <w:r/>
    </w:p>
    <w:p>
      <w:pPr>
        <w:pStyle w:val="853"/>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53"/>
        <w:ind w:right="1680"/>
        <w:jc w:val="right"/>
        <w:spacing w:before="120" w:after="120"/>
        <w:rPr>
          <w:rFonts w:hint="eastAsia" w:ascii="仿宋_GB2312" w:hAnsi="宋体" w:eastAsia="仿宋_GB2312"/>
        </w:rPr>
      </w:pPr>
      <w:r>
        <w:rPr>
          <w:rFonts w:hint="eastAsia" w:ascii="仿宋_GB2312" w:hAnsi="宋体" w:eastAsia="仿宋_GB2312"/>
        </w:rPr>
        <w:t xml:space="preserve">合同编号：</w:t>
      </w:r>
      <w:r/>
    </w:p>
    <w:p>
      <w:pPr>
        <w:pStyle w:val="853"/>
        <w:ind w:right="1680"/>
        <w:jc w:val="right"/>
        <w:spacing w:before="120" w:after="120"/>
        <w:rPr>
          <w:rFonts w:hint="eastAsia" w:ascii="仿宋_GB2312" w:hAnsi="宋体" w:eastAsia="仿宋_GB2312"/>
        </w:rPr>
      </w:pPr>
      <w:r>
        <w:rPr>
          <w:rFonts w:hint="eastAsia" w:ascii="仿宋_GB2312" w:hAnsi="宋体" w:eastAsia="仿宋_GB2312"/>
        </w:rPr>
        <w:t xml:space="preserve">签订时间：</w:t>
      </w:r>
      <w:r/>
    </w:p>
    <w:p>
      <w:pPr>
        <w:pStyle w:val="853"/>
        <w:ind w:right="1120"/>
        <w:jc w:val="center"/>
        <w:spacing w:before="120" w:after="120"/>
        <w:rPr>
          <w:rFonts w:hint="eastAsia" w:ascii="仿宋_GB2312" w:hAnsi="宋体" w:eastAsia="仿宋_GB2312"/>
        </w:rPr>
      </w:pPr>
      <w:r>
        <w:rPr>
          <w:rFonts w:hint="eastAsia" w:ascii="仿宋_GB2312" w:hAnsi="宋体" w:eastAsia="仿宋_GB2312"/>
        </w:rPr>
        <w:t xml:space="preserve">                                                       签订地点：</w:t>
      </w:r>
      <w:r/>
    </w:p>
    <w:p>
      <w:pPr>
        <w:pStyle w:val="853"/>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甲方：</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乙方：</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53"/>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53"/>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甲、乙双方根据江苏省政府采购中心 2026-2027年通启高速公路管理处、崇启大桥管理处物业管理服务采购项目（项目编码：）-采购包（1或2） 公开招标的结果，签署本合同。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一、合同内容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 标的名称：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1.2标的质量：                           （详见招标文件）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1.3 标的数量（规模）：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 履行时间（期限）：本合同期限自      年     月     日起至     年     月     日止。</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 履行地点：  </w:t>
      </w:r>
      <w:r>
        <w:rPr>
          <w:rFonts w:hint="eastAsia" w:hAnsi="宋体" w:cs="Times New Roman"/>
          <w:sz w:val="24"/>
          <w:szCs w:val="24"/>
        </w:rPr>
        <w:t xml:space="preserve">甲方指定地点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 履行方式：乙方按照招标文件及合同约定，配备物业服务人员，在约定的服务期限内至甲方指定地点，提供符合要求及标准的物业服务。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二、合同金额</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2.1 本合同金额为人民币（大写）：             圆</w:t>
      </w:r>
      <w:r>
        <w:rPr>
          <w:rFonts w:hint="eastAsia" w:hAnsi="宋体" w:cs="Times New Roman"/>
          <w:sz w:val="24"/>
          <w:szCs w:val="24"/>
        </w:rPr>
        <w:t xml:space="preserve">（</w:t>
      </w:r>
      <w:r>
        <w:rPr>
          <w:rFonts w:hAnsi="宋体" w:cs="Times New Roman"/>
          <w:sz w:val="24"/>
          <w:szCs w:val="24"/>
        </w:rPr>
        <w:t xml:space="preserve"> </w:t>
      </w:r>
      <w:r>
        <w:rPr>
          <w:rFonts w:hAnsi="宋体" w:cs="Times New Roman"/>
          <w:sz w:val="24"/>
          <w:szCs w:val="24"/>
        </w:rPr>
        <w:t xml:space="preserve">¥</w:t>
      </w:r>
      <w:r>
        <w:rPr>
          <w:rFonts w:hint="eastAsia" w:hAnsi="宋体" w:cs="Times New Roman"/>
          <w:sz w:val="24"/>
          <w:szCs w:val="24"/>
        </w:rPr>
        <w:t xml:space="preserve">     元）。（详见附件4《物业服务费清单》）</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2.2 本合同价包含员工人工成本、管理费、税费等以及乙方为履行本合同所需的一切费用。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三、技术资料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3.1乙方应按招标文件规定的时间向甲方提供服务（包含与服务相关的货物）的有关技术资料。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四、知识产权</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五、产权担保</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5.1 乙方保证所交付的服务（包含与服务相关的货物）的所有权完全属于乙方且无任何抵押、查封等产权瑕疵。</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六、履约保证金</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无。</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七、合同转包或分包</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7.1乙方不得将合同标的转包给他人履行。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7.2乙方不得将合同标的分包给他人履行。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7.3乙方如有转包或未经甲方同意的分包行为，甲方有权解除合同。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八、合同款项支付</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8.1乙方按照投标时的报价作为本合同的最终价，乙方应充分考虑到合同期内政府政策调整（职工最低工资及社保缴费基数、节假日加班费标准调整、员工合同终止补偿金等）带来的风险，甲方不再进行任何调整。</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8.2合同款项的支付方式及进度安排</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8.2.1 本合同按季付款。乙方根据当季每月实际提供的物业服务人员及采购人对乙方物业服务的考核结果，提出支付申请，并附当季物业服务人员费用清单，采购人审核确认后，乙方开具增值税普通发票，采购人收到发票和清单之日起15个工作日内付清上季度物业服务费（遇节假日顺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8.2.2最后一季度物业费支付时间：在合同期最后一个月度考核结束，乙方根据当季每月实际考核结果及经采购人审核的支付申请开具增值税普通发票，经甲方确认已提交完整过程资料并无遗留问题地完成与新服务商的所有工作交接、撤场后1个月内付款。</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8.3 乙方派遣物业服务人员在甲方食堂就餐的伙食费（标准为400元/人/月）按月支付，当月发生的伙食费于次月10日前根据甲方提供的伙食费明细，转账至甲方账户。</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九、税费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9.1本合同执行中相关的一切税费均由乙方负担。</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十、考核及验收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10.1甲方授权物业服务使用单位</w:t>
      </w:r>
      <w:r>
        <w:rPr>
          <w:rFonts w:hint="eastAsia" w:hAnsi="宋体" w:cs="Times New Roman"/>
          <w:sz w:val="24"/>
          <w:szCs w:val="24"/>
        </w:rPr>
        <w:t xml:space="preserve">（ </w:t>
      </w:r>
      <w:r>
        <w:rPr>
          <w:rFonts w:hint="eastAsia" w:hAnsi="宋体" w:cs="Times New Roman"/>
          <w:sz w:val="24"/>
          <w:szCs w:val="24"/>
        </w:rPr>
        <w:t xml:space="preserve">                    ）对乙方提供的物业管理服务进行现场监督管理，并按合同约定开展履约考核。</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10.2甲方的评价评定作为物业服务费支付的重要依据。甲方每月组织对乙方的管理服务进行考核（详见附件1），并按约定扣分比例支付物业费用，基本考核规则</w:t>
      </w:r>
      <w:r>
        <w:rPr>
          <w:rFonts w:hint="eastAsia" w:hAnsi="宋体" w:cs="Times New Roman"/>
          <w:sz w:val="24"/>
          <w:szCs w:val="24"/>
        </w:rPr>
        <w:t xml:space="preserve">如下:</w:t>
      </w:r>
      <w:r>
        <w:rPr>
          <w:rFonts w:hint="eastAsia" w:hAnsi="宋体" w:cs="Times New Roman"/>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合同期内两次月度考核分低于80分，或因乙方原因发生重大安全责任事故的，甲方有权立即解除合同，不承担其他任何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10.3甲方依法组织履约验收工作。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10.4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10.5 对于实际使用人和甲方分离的项目，甲方邀请实际使用人参与验收。</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10.6 如有必要，甲方邀请参加本项目的其他供应商或第三方专业机构及专家参与验收，相关意见将作为验收书的参考资料。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10.7 甲方成立验收小组，按照采购合同的约定对乙方的履约情况进行验收。验收</w:t>
      </w:r>
      <w:r>
        <w:rPr>
          <w:rFonts w:hint="eastAsia" w:hAnsi="宋体" w:cs="Times New Roman"/>
          <w:sz w:val="24"/>
          <w:szCs w:val="24"/>
        </w:rPr>
        <w:t xml:space="preserve">时,</w:t>
      </w:r>
      <w:r>
        <w:rPr>
          <w:rFonts w:hint="eastAsia" w:hAnsi="宋体" w:cs="Times New Roman"/>
          <w:sz w:val="24"/>
          <w:szCs w:val="24"/>
        </w:rPr>
        <w:t xml:space="preserve">甲方按照采购合同的约定对每一项技术、服务、安全标准的履约情况进行确认。验收结束</w:t>
      </w:r>
      <w:r>
        <w:rPr>
          <w:rFonts w:hint="eastAsia" w:hAnsi="宋体" w:cs="Times New Roman"/>
          <w:sz w:val="24"/>
          <w:szCs w:val="24"/>
        </w:rPr>
        <w:t xml:space="preserve">后,</w:t>
      </w:r>
      <w:r>
        <w:rPr>
          <w:rFonts w:hint="eastAsia" w:hAnsi="宋体" w:cs="Times New Roman"/>
          <w:sz w:val="24"/>
          <w:szCs w:val="24"/>
        </w:rPr>
        <w:t xml:space="preserve">验收小组出具验收</w:t>
      </w:r>
      <w:r>
        <w:rPr>
          <w:rFonts w:hint="eastAsia" w:hAnsi="宋体" w:cs="Times New Roman"/>
          <w:sz w:val="24"/>
          <w:szCs w:val="24"/>
        </w:rPr>
        <w:t xml:space="preserve">书,</w:t>
      </w:r>
      <w:r>
        <w:rPr>
          <w:rFonts w:hint="eastAsia" w:hAnsi="宋体" w:cs="Times New Roman"/>
          <w:sz w:val="24"/>
          <w:szCs w:val="24"/>
        </w:rPr>
        <w:t xml:space="preserve">列明各项标准的验收情况及项目总体</w:t>
      </w:r>
      <w:r>
        <w:rPr>
          <w:rFonts w:hint="eastAsia" w:hAnsi="宋体" w:cs="Times New Roman"/>
          <w:sz w:val="24"/>
          <w:szCs w:val="24"/>
        </w:rPr>
        <w:t xml:space="preserve">评价,</w:t>
      </w:r>
      <w:r>
        <w:rPr>
          <w:rFonts w:hint="eastAsia" w:hAnsi="宋体" w:cs="Times New Roman"/>
          <w:sz w:val="24"/>
          <w:szCs w:val="24"/>
        </w:rPr>
        <w:t xml:space="preserve">由验收双方共同签署。验收结果与采购合同约定的资金支付条件挂钩。履约验收的各项资料存档备查。</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10.8 验收合格的</w:t>
      </w:r>
      <w:r>
        <w:rPr>
          <w:rFonts w:hint="eastAsia" w:hAnsi="宋体" w:cs="Times New Roman"/>
          <w:sz w:val="24"/>
          <w:szCs w:val="24"/>
        </w:rPr>
        <w:t xml:space="preserve">项目,</w:t>
      </w:r>
      <w:r>
        <w:rPr>
          <w:rFonts w:hint="eastAsia" w:hAnsi="宋体" w:cs="Times New Roman"/>
          <w:sz w:val="24"/>
          <w:szCs w:val="24"/>
        </w:rPr>
        <w:t xml:space="preserve">甲方根据采购合同的约定及时向乙方支付合同款项。验收不合格的项目，甲方依法及时处理。采购合同的履行、违约责任和解决争议的方式等适用</w:t>
      </w:r>
      <w:r>
        <w:rPr>
          <w:rFonts w:hint="eastAsia" w:hAnsi="宋体" w:cs="Times New Roman"/>
          <w:sz w:val="24"/>
          <w:szCs w:val="24"/>
        </w:rPr>
        <w:t xml:space="preserve">《民法典》。乙方在履约过程中有政府采购法律法规规定的违法违规情形</w:t>
      </w:r>
      <w:r>
        <w:rPr>
          <w:rFonts w:hint="eastAsia" w:hAnsi="宋体" w:cs="Times New Roman"/>
          <w:sz w:val="24"/>
          <w:szCs w:val="24"/>
        </w:rPr>
        <w:t xml:space="preserve">的,</w:t>
      </w:r>
      <w:r>
        <w:rPr>
          <w:rFonts w:hint="eastAsia" w:hAnsi="宋体" w:cs="Times New Roman"/>
          <w:sz w:val="24"/>
          <w:szCs w:val="24"/>
        </w:rPr>
        <w:t xml:space="preserve">甲方将及时报告本级财政部门。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10.9</w:t>
      </w:r>
      <w:r>
        <w:rPr>
          <w:rFonts w:hint="eastAsia" w:hAnsi="宋体"/>
          <w:sz w:val="24"/>
          <w:szCs w:val="24"/>
        </w:rPr>
        <w:t xml:space="preserve">乙方对于甲方验收结果如有异议，应于2日内提出并提供书面证据，逾期未提出或虽提出但未提供书面有效证据视为乙方确认甲方的验收结果。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十一、甲方权利与义务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11.1甲方为乙方提供其拥有的必要场地、设施、设备及基础能源，供乙方在合同期内履行物业服务时使用。乙方需负责所使用资源的日常维护保养，并在合同期满时完好移交。</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11.2依据服务合同，对乙方服务质量进行例行检查和定期（每月）考核。每月按照考核标准进行考核，另行组织不定期检查，查出的问题按考核标准扣分。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11.3监督乙方用工的合法性和规范性，保持主要服务人员的相对稳定。</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11.4依据服务合同和考核结果，按时支付给乙方物业服务经费。</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11.5审议乙方服务项目的年度计划、工作安排和保障措施。</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11.6监督乙方收集、整理、上交服务管理资料。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11.7有权要求乙方保证服务质量，若乙方服务违反本合同约定的，有权要求乙方整改，两次考核不满80分有权解除合同。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11.8对不符合质量标准的管理服务，甲方有权要求供应商整改落实，乙方应无条件服从并按要求整改到位；如整改不到位，视情扣除当月考核分5-10分；如本项目工作人员年龄、体能、技能、形象、服务质量等不能满足甲方要求，甲方有权要求更换人员，乙方应无条件服从并在甲方要求的时间段内更换到位；如乙方在3个月内连续出现3人被采购人要求替换，扣除当月考核分10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十二、乙方权利与义务</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12.1在国家法律、法规规范下，执行物业管理相关规定，按招、投标文件中的要求与承诺制定相应的规章制度以及服务质量标准，以优质、高效、专业的管理方式，实行全方位管理，实现物业管理目标。</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12.2乙方应根据甲方提出的人员配备要求（包括但不限于人数、年龄、专业资质、工作经验、技能要求等），向甲方派驻符合条件的人员。具体派驻人员的岗位、数量及任职标准以甲方采购需求为准。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12.3乙方应在中标后7个工作日内向甲方提供候选人员的简历、资格证书、工作经验证明等材料，供甲方审核。如甲方认为乙方推荐的人员不符合要求，乙方应在7个日内更换合适人选。乙方承诺派驻人员相对稳定，未经甲方书面同意，合同期内不得更换项目派驻人员。确需更换的，继任者的资质和能力不得低于被更换者，且须提前15日书面通知甲方并征得甲方同意。</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12.4乙方应充分考虑采购方工作需要，安排好双休日及法定假日加班人员，编制各岗位排班表报甲方备案后执行，所涉及的费用，由乙方计入此次报价中，甲方不再另外支付费用。</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12.5自觉遵守甲方的规章制度，接受甲方的监督管理。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12.6乙方工作人员在工作中违反操作规程，致甲方设备及设施损坏造成的损失，经评估后乙方应予以赔偿。</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12.7建立物业服务档案并负责及时记载有关变更情况，每季度向甲方提供与托管物业有关的管理资料。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12.11依据招标文件规定的服务范围、内容和标准，制定年度计划和保障措施，制定规则制度和工作规范，并报甲方批准备案后组织实施，提高服务质量。</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12.12依据物业服务规范、规程、规章，高标准、高质量实施管理、抓好服务，实现管理目标，提高服务满意度。</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12.13自觉服从甲方的管理监督和检查考核，及时整改物业服务中的问题。</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12.14乙方各项管理工作、物耗，应严格按投标书内容配置，保证工作需要，把提高工作质量放在首位。严格遵守甲方管理规定，爱护公共设施和场所，未经甲方同意，不得擅自改变其功能。</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12.15乙方应为员工提供统一工作服，并在合同履行期间按月向采购人支付全员就餐费：400元/人/月，就餐费需于次月10号前汇到甲方指定账户。</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12.16 乙方必须为物业服务人员购买赔付额不低于壹佰万的人身意外伤害险，保单单据复印件须向甲方备案。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十三、甲方责任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13.1乙方按合同履约，甲方按期付款。</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十四、乙方责任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14.1乙方未按合同规定的质量要求提供服务，甲方有权终止合同，由此造成乙方的直接损失和间接损失甲方不给予补偿，造成甲方损失时，甲方有权要求乙方赔偿，赔偿款可从物业费余款中直接扣除，不足部分向乙方追索。</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14.2发生下列情况之一的，甲方有权终止合同：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14.2.1.合同期内两次月度考核分低于80分，或因乙方原因发生重大安全责任事故的。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14.2.2.乙方工作人员殴打甲方员工，或在甲方所属单位内从事其他违反《治安管理处罚法》和《刑法》等违法行为的。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14.2.3.乙方擅自分包项目的。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14.2.4.乙方擅自更换管理主任或擅自减少服务人员的。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14.2.5.乙方未按投标文件配备人员及到岗的，经甲方督促仍未履行的。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14.2.6.被省、市相关部门通报的或引起社会重大舆情的。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14.2.7.由于乙方管理不善或重大失误，造成甲方或第三方重大财产损失或人身伤害的，乙方应承担一切责任的。</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十五、违约责任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15.1 除本合同另有约定外，甲方无正当理由拒绝接受乙方提供服务的，</w:t>
      </w:r>
      <w:r>
        <w:rPr>
          <w:rFonts w:hint="eastAsia" w:hAnsi="宋体" w:cs="Times New Roman"/>
          <w:sz w:val="24"/>
          <w:szCs w:val="24"/>
        </w:rPr>
        <w:t xml:space="preserve">甲方向乙方偿付拒绝接受服务对应合同价款总值</w:t>
      </w:r>
      <w:r>
        <w:rPr>
          <w:rFonts w:hint="eastAsia" w:hAnsi="宋体" w:cs="Times New Roman"/>
          <w:sz w:val="24"/>
          <w:szCs w:val="24"/>
          <w:u w:val="single"/>
        </w:rPr>
        <w:t xml:space="preserve">  1%  </w:t>
      </w:r>
      <w:r>
        <w:rPr>
          <w:rFonts w:hint="eastAsia" w:hAnsi="宋体" w:cs="Times New Roman"/>
          <w:sz w:val="24"/>
          <w:szCs w:val="24"/>
        </w:rPr>
        <w:t xml:space="preserve">的违约金</w:t>
      </w:r>
      <w:r>
        <w:rPr>
          <w:rFonts w:hint="eastAsia" w:hAnsi="宋体" w:cs="Times New Roman"/>
          <w:sz w:val="24"/>
          <w:szCs w:val="24"/>
        </w:rPr>
        <w:t xml:space="preserve">。甲方依据本合同约定行使权利而拒绝接受服务（包括但不限于因乙方考核不合格、违约、解除合同等行为所致），不视为“无正当理由拒绝”，无需承担违约责任。</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15.2 甲方无故逾期验收和办理合同款项支付手续</w:t>
      </w:r>
      <w:r>
        <w:rPr>
          <w:rFonts w:hint="eastAsia" w:hAnsi="宋体" w:cs="Times New Roman"/>
          <w:sz w:val="24"/>
          <w:szCs w:val="24"/>
        </w:rPr>
        <w:t xml:space="preserve">的,</w:t>
      </w:r>
      <w:r>
        <w:rPr>
          <w:rFonts w:hint="eastAsia" w:hAnsi="宋体" w:cs="Times New Roman"/>
          <w:sz w:val="24"/>
          <w:szCs w:val="24"/>
        </w:rPr>
        <w:t xml:space="preserve">经乙方催告后催告期满仍未验收或支付的，甲方应以逾期付款总额为基数，按中国人民银行同期贷款市场报价利率</w:t>
      </w:r>
      <w:r>
        <w:rPr>
          <w:rFonts w:hint="eastAsia" w:hAnsi="宋体" w:cs="Times New Roman"/>
          <w:sz w:val="24"/>
          <w:szCs w:val="24"/>
        </w:rPr>
        <w:t xml:space="preserve">(LPR)</w:t>
      </w:r>
      <w:r>
        <w:rPr>
          <w:rFonts w:hint="eastAsia" w:hAnsi="宋体" w:cs="Times New Roman"/>
          <w:sz w:val="24"/>
          <w:szCs w:val="24"/>
        </w:rPr>
        <w:t xml:space="preserve">标准向乙方支付违约金。</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15.3 乙方逾期提供服务的，乙方应按逾期提供服务合同总额每日千分之一向甲方支付违约金，由甲方从待付合同款项中扣除。逾期超过约定日期</w:t>
      </w:r>
      <w:r>
        <w:rPr>
          <w:rFonts w:hint="eastAsia" w:hAnsi="宋体" w:cs="Times New Roman"/>
          <w:sz w:val="24"/>
          <w:szCs w:val="24"/>
          <w:u w:val="single"/>
        </w:rPr>
        <w:t xml:space="preserve">10</w:t>
      </w:r>
      <w:r>
        <w:rPr>
          <w:rFonts w:hint="eastAsia" w:hAnsi="宋体" w:cs="Times New Roman"/>
          <w:sz w:val="24"/>
          <w:szCs w:val="24"/>
        </w:rPr>
        <w:t xml:space="preserve">个工作日不能提供服务的，甲方可解除本合同。乙方因逾期提供服务或因其他违约行为导致甲方解除合同的，乙方应向甲方支付合同价款总额</w:t>
      </w:r>
      <w:r>
        <w:rPr>
          <w:rFonts w:hint="eastAsia" w:hAnsi="宋体" w:cs="Times New Roman"/>
          <w:sz w:val="24"/>
          <w:szCs w:val="24"/>
          <w:u w:val="single"/>
        </w:rPr>
        <w:t xml:space="preserve"> 10% </w:t>
      </w:r>
      <w:r>
        <w:rPr>
          <w:rFonts w:hint="eastAsia" w:hAnsi="宋体" w:cs="Times New Roman"/>
          <w:sz w:val="24"/>
          <w:szCs w:val="24"/>
        </w:rPr>
        <w:t xml:space="preserve">的违约金，如造成甲方损失超过违约金的，超出部分由乙方继续承担赔偿责任。 </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15.4 乙方所提供服务的标准不符合合同规定及招标文件规定标准的，甲方有权拒绝接受服务，并可单方面解除合同。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15.5 合同期满日止，乙方未能按采购人要求移交完毕或未能按期退出，引起的一切后果由乙方负责，并且乙方需按每逾期一天2000元的标准向甲方支付违约金，违约金由甲方从乙方剩余合同款中扣除。必要时甲方保留追究相关法律责任的权力。</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15.6如一方违约，违约方应承担守约方因维护自身权益而产生的合理费用（包括但不限于律师费、诉讼费、保全费、保函费、差旅费等）。</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十六、不可抗力事件处理</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16.1 在合同有效期内，任何一方因不可抗力事件导致不能履行合同，则合同履行期可延长，其延长期与不可抗力影响 期相同。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16.2 不可抗力事件发生后，应立即通知对方，并寄送有关权威机构出具的证明。</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16.3 不可抗力事件延续120天以上，双方应通过友好协商，确定是否继续履行合同。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十七、解决争议的方法</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17.1双方在签订、履行合同中所发生的一切争议，应通过友好协商解决。如协商不成，由</w:t>
      </w:r>
      <w:r>
        <w:rPr>
          <w:rFonts w:hint="eastAsia" w:hAnsi="宋体" w:cs="Times New Roman"/>
          <w:sz w:val="24"/>
          <w:szCs w:val="24"/>
          <w:u w:val="single"/>
        </w:rPr>
        <w:t xml:space="preserve">物业服务使用单位</w:t>
      </w:r>
      <w:r>
        <w:rPr>
          <w:rFonts w:hint="eastAsia" w:hAnsi="宋体" w:cs="Times New Roman"/>
          <w:sz w:val="24"/>
          <w:szCs w:val="24"/>
        </w:rPr>
        <w:t xml:space="preserve">所在地人民法院管辖。</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十八、合同生效及其它</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18.1 合同经双方法定代表人或授权委托代表人签字并加盖单位公章或合同专用章后生效。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18.2 附件2安全管理合同和附件3廉政合同作为本合同附件，经双方在物业服务合同签署后一并生效。</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18.3本合同未尽事宜，遵照中华人民共和国现行法律法规有关条文执行。</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18.4 本合同正本一式捌份，具有同等法律效力，甲方、乙方各执肆份。</w:t>
      </w:r>
      <w:r/>
    </w:p>
    <w:p>
      <w:pPr>
        <w:pStyle w:val="853"/>
        <w:ind w:left="480" w:firstLine="480"/>
        <w:spacing w:before="120" w:after="120"/>
        <w:rPr>
          <w:rFonts w:hint="eastAsia" w:hAnsi="宋体" w:cs="Times New Roman"/>
          <w:sz w:val="24"/>
          <w:szCs w:val="24"/>
        </w:rPr>
      </w:pPr>
      <w:r>
        <w:rPr>
          <w:rFonts w:hint="eastAsia" w:hAnsi="宋体" w:cs="Times New Roman"/>
          <w:sz w:val="24"/>
          <w:szCs w:val="24"/>
        </w:rPr>
        <w:t xml:space="preserve"> </w:t>
      </w:r>
      <w:r/>
    </w:p>
    <w:p>
      <w:pPr>
        <w:pStyle w:val="1346"/>
        <w:spacing w:before="120" w:after="120"/>
        <w:rPr>
          <w:rFonts w:hint="eastAsia" w:hAnsi="宋体" w:cs="Times New Roman"/>
          <w:sz w:val="24"/>
          <w:szCs w:val="24"/>
        </w:rPr>
      </w:pPr>
      <w:r>
        <w:rPr>
          <w:rFonts w:hint="eastAsia" w:hAnsi="宋体" w:cs="Times New Roman"/>
          <w:sz w:val="24"/>
          <w:szCs w:val="24"/>
        </w:rPr>
        <w:t xml:space="preserve">（合同签署页）</w:t>
      </w:r>
      <w:r/>
    </w:p>
    <w:p>
      <w:pPr>
        <w:pStyle w:val="1346"/>
        <w:spacing w:before="120" w:after="120"/>
        <w:rPr>
          <w:rFonts w:hint="eastAsia" w:hAnsi="宋体" w:cs="Times New Roman"/>
          <w:sz w:val="24"/>
          <w:szCs w:val="24"/>
        </w:rPr>
      </w:pPr>
      <w:r>
        <w:rPr>
          <w:rFonts w:hint="eastAsia" w:hAnsi="宋体" w:cs="Times New Roman"/>
          <w:sz w:val="24"/>
          <w:szCs w:val="24"/>
        </w:rPr>
      </w:r>
      <w:r/>
    </w:p>
    <w:p>
      <w:pPr>
        <w:pStyle w:val="1346"/>
        <w:spacing w:before="120" w:after="120"/>
        <w:rPr>
          <w:rFonts w:hint="eastAsia" w:hAnsi="宋体" w:cs="Times New Roman"/>
          <w:sz w:val="24"/>
          <w:szCs w:val="24"/>
        </w:rPr>
      </w:pPr>
      <w:r>
        <w:rPr>
          <w:rFonts w:hint="eastAsia" w:hAnsi="宋体" w:cs="Times New Roman"/>
          <w:sz w:val="24"/>
          <w:szCs w:val="24"/>
        </w:rPr>
        <w:t xml:space="preserve">甲方（盖章）：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w:t>
      </w:r>
      <w:r/>
    </w:p>
    <w:p>
      <w:pPr>
        <w:pStyle w:val="1346"/>
        <w:spacing w:before="120" w:after="120"/>
        <w:rPr>
          <w:rFonts w:hint="eastAsia" w:hAnsi="宋体" w:cs="Times New Roman"/>
          <w:sz w:val="24"/>
          <w:szCs w:val="24"/>
        </w:rPr>
      </w:pPr>
      <w:r>
        <w:rPr>
          <w:rFonts w:hint="eastAsia" w:hAnsi="宋体" w:cs="Times New Roman"/>
          <w:sz w:val="24"/>
          <w:szCs w:val="24"/>
        </w:rPr>
        <w:t xml:space="preserve">法定代表人或授权代表（签字）：</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                        </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                 </w:t>
      </w:r>
      <w:r/>
    </w:p>
    <w:p>
      <w:pPr>
        <w:pStyle w:val="1346"/>
        <w:ind w:firstLine="4320"/>
        <w:spacing w:before="120" w:after="120"/>
        <w:rPr>
          <w:rFonts w:hint="eastAsia" w:hAnsi="宋体" w:cs="Times New Roman"/>
          <w:sz w:val="24"/>
          <w:szCs w:val="24"/>
        </w:rPr>
      </w:pPr>
      <w:r>
        <w:rPr>
          <w:rFonts w:hint="eastAsia" w:hAnsi="宋体" w:cs="Times New Roman"/>
          <w:sz w:val="24"/>
          <w:szCs w:val="24"/>
        </w:rPr>
        <w:t xml:space="preserve">   </w:t>
      </w:r>
      <w:r/>
    </w:p>
    <w:p>
      <w:pPr>
        <w:pStyle w:val="1346"/>
        <w:jc w:val="center"/>
        <w:spacing w:before="120" w:after="120"/>
        <w:rPr>
          <w:rFonts w:hint="eastAsia" w:hAnsi="宋体" w:cs="Times New Roman"/>
          <w:sz w:val="24"/>
          <w:szCs w:val="24"/>
        </w:rPr>
      </w:pPr>
      <w:r>
        <w:rPr>
          <w:rFonts w:hAnsi="宋体" w:cs="Times New Roman"/>
          <w:sz w:val="24"/>
          <w:szCs w:val="24"/>
        </w:rPr>
        <w:t xml:space="preserve">                                         </w:t>
      </w:r>
      <w:r/>
    </w:p>
    <w:p>
      <w:pPr>
        <w:pStyle w:val="1346"/>
        <w:jc w:val="right"/>
        <w:spacing w:before="120" w:after="120"/>
        <w:rPr>
          <w:rFonts w:hint="eastAsia" w:hAnsi="宋体" w:cs="Times New Roman"/>
          <w:sz w:val="24"/>
          <w:szCs w:val="24"/>
        </w:rPr>
      </w:pPr>
      <w:r>
        <w:rPr>
          <w:rFonts w:hAnsi="宋体" w:cs="Times New Roman"/>
          <w:sz w:val="24"/>
          <w:szCs w:val="24"/>
        </w:rPr>
        <w:t xml:space="preserve">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乙方（盖章）：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法定代表人或授权代表（签字）：  </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w:t>
      </w:r>
      <w:r/>
    </w:p>
    <w:p>
      <w:pPr>
        <w:pStyle w:val="1346"/>
        <w:spacing w:before="120" w:after="120"/>
        <w:rPr>
          <w:rFonts w:hint="eastAsia" w:hAnsi="宋体" w:cs="Times New Roman"/>
          <w:sz w:val="24"/>
          <w:szCs w:val="24"/>
        </w:rPr>
      </w:pPr>
      <w:r>
        <w:rPr>
          <w:rFonts w:hint="eastAsia" w:hAnsi="宋体" w:cs="Times New Roman"/>
          <w:sz w:val="24"/>
          <w:szCs w:val="24"/>
        </w:rPr>
        <w:t xml:space="preserve">开户银行：</w:t>
      </w:r>
      <w:r/>
    </w:p>
    <w:p>
      <w:pPr>
        <w:pStyle w:val="1346"/>
        <w:spacing w:before="120" w:after="120"/>
        <w:rPr>
          <w:rFonts w:hint="eastAsia" w:hAnsi="宋体" w:cs="Times New Roman"/>
          <w:sz w:val="24"/>
          <w:szCs w:val="24"/>
        </w:rPr>
      </w:pPr>
      <w:r>
        <w:rPr>
          <w:rFonts w:hint="eastAsia" w:hAnsi="宋体" w:cs="Times New Roman"/>
          <w:sz w:val="24"/>
          <w:szCs w:val="24"/>
        </w:rPr>
        <w:t xml:space="preserve">银行账号：</w:t>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附件1：</w:t>
      </w:r>
      <w:r/>
    </w:p>
    <w:p>
      <w:pPr>
        <w:jc w:val="center"/>
        <w:spacing w:line="580" w:lineRule="exact"/>
        <w:rPr>
          <w:rFonts w:hint="eastAsia" w:ascii="微软雅黑" w:hAnsi="宋体" w:eastAsia="微软雅黑" w:cs="宋体"/>
          <w:bCs/>
          <w:sz w:val="32"/>
          <w:szCs w:val="32"/>
        </w:rPr>
      </w:pPr>
      <w:r>
        <w:rPr>
          <w:rFonts w:hint="eastAsia" w:ascii="微软雅黑" w:hAnsi="宋体" w:eastAsia="微软雅黑" w:cs="宋体"/>
          <w:bCs/>
          <w:sz w:val="32"/>
          <w:szCs w:val="32"/>
        </w:rPr>
        <w:t xml:space="preserve">物业服务考核细则</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类别</w:t>
            </w:r>
            <w:r/>
          </w:p>
        </w:tc>
        <w:tc>
          <w:tcPr>
            <w:tcW w:w="952"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项目</w:t>
            </w:r>
            <w:r/>
          </w:p>
        </w:tc>
        <w:tc>
          <w:tcPr>
            <w:tcW w:w="3405"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考核内容及评分标准</w:t>
            </w:r>
            <w:r/>
          </w:p>
        </w:tc>
        <w:tc>
          <w:tcPr>
            <w:tcW w:w="3596"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评分标准</w:t>
            </w:r>
            <w:r/>
          </w:p>
        </w:tc>
        <w:tc>
          <w:tcPr>
            <w:tcW w:w="734"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扣分情况</w:t>
            </w:r>
            <w:r/>
          </w:p>
        </w:tc>
      </w:tr>
      <w:tr>
        <w:trPr>
          <w:jc w:val="center"/>
          <w:trHeight w:val="52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配备</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按照招标文件要求配备人员。</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81"/>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仪容</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仪表</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16"/>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劳动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纪律</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1、工作人员按时到岗到位；2、有内部劳动纪律考核制度及记录。</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00"/>
        </w:trPr>
        <w:tc>
          <w:tcPr>
            <w:tcW w:w="971" w:type="dxa"/>
            <w:vAlign w:val="center"/>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质量</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按照招标文件的相关要求，考核安护、保洁、驾驶、餐饮等服务质量、数量完成情况。</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1.具体考核条款标准详见附表。</w:t>
            </w:r>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工具摆放有序，清洁及时，能够按照规范要求使用（2分）。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工具摆放无序扣1分，不及时清洁扣1分，不按规范要求使用扣1分，单项分（2分）扣完为止。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69"/>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仓库</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1、库房干净整洁，货物排列有序（2分）；2、出入库台帐、盘点台帐规范健全（2分）；3、记录规范，帐实相符（2分）。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每小项欠缺或不全酌情扣0.5-2分。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6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本着节约、俭省的原则规范领用、使用耗材（2分）。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有领用不合理等现象酌情扣0.5-2分。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88"/>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按照招标文件要求配备项目现场负责人，现场管理指挥得当，认真负责，管理到位（5分）。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现场管理混乱，有工作推诿、不负责等现象酌情扣1-5分。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台帐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工作台帐规范健全，记录及时规范（10分）。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每发现一次台帐记录不及时、不规范扣1分，单项分（10分）扣完为止。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1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应急</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预案</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1、有重大安全事故等应急预案（3分）；2、定期组织开展相关预案演练，有详细的演练记录（2分）。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无应急预案或预案不全酌情扣1-3分；无预案演练扣2分。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7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任务完成情况</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能够保质保量完成各项合理工作任务（5分）。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不能完成合理工作任务酌情扣1-5分。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90"/>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处理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接到投诉要有记录、整改并回访；回访的结果要有记录或后续（5分）。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投诉处理结果为撤诉的，不扣分；不完全责任性投诉酌情扣1-3分；责任性投诉扣5分，单项分（5分）扣完为止。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92"/>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内部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1、内部考核制度规范健全（3分）；2、按照要求定期考核，考核记录规范、详细（2分）。</w:t>
            </w:r>
            <w:r/>
          </w:p>
        </w:tc>
        <w:tc>
          <w:tcPr>
            <w:tcW w:w="3596" w:type="dxa"/>
            <w:vAlign w:val="center"/>
            <w:textDirection w:val="lrTb"/>
            <w:noWrap w:val="false"/>
          </w:tcPr>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无制度扣3分，制度不完善扣0.5-1分，考核记录不规范扣0.5-2分。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63"/>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1.发生一次不良影响事件扣2-5分，单项分（5分）扣完为止。</w:t>
            </w:r>
            <w:r/>
          </w:p>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2.内部管理混乱，劳务外包人员向采购人投诉反馈一次扣1-2分。单项分（5分）扣完为止。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93"/>
        </w:trPr>
        <w:tc>
          <w:tcPr>
            <w:gridSpan w:val="2"/>
            <w:tcW w:w="1923"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月度得分</w:t>
            </w:r>
            <w:r/>
          </w:p>
        </w:tc>
        <w:tc>
          <w:tcPr>
            <w:gridSpan w:val="3"/>
            <w:tcW w:w="7735"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bl>
    <w:p>
      <w:pPr>
        <w:spacing w:line="580" w:lineRule="exact"/>
        <w:rPr>
          <w:rFonts w:hint="eastAsia" w:ascii="黑体" w:hAnsi="黑体" w:eastAsia="黑体" w:cs="宋体"/>
          <w:bCs/>
          <w:sz w:val="28"/>
          <w:szCs w:val="28"/>
        </w:rPr>
      </w:pPr>
      <w:r>
        <w:rPr>
          <w:rFonts w:hint="eastAsia" w:ascii="黑体" w:hAnsi="黑体" w:eastAsia="黑体" w:cs="宋体"/>
          <w:bCs/>
          <w:sz w:val="28"/>
          <w:szCs w:val="28"/>
        </w:rPr>
      </w:r>
      <w:r/>
    </w:p>
    <w:p>
      <w:pPr>
        <w:spacing w:line="580" w:lineRule="exact"/>
        <w:rPr>
          <w:rFonts w:hint="eastAsia" w:ascii="黑体" w:hAnsi="黑体" w:eastAsia="黑体" w:cs="宋体"/>
          <w:bCs/>
          <w:sz w:val="28"/>
          <w:szCs w:val="28"/>
        </w:rPr>
      </w:pPr>
      <w:r>
        <w:rPr>
          <w:rFonts w:hint="eastAsia" w:ascii="黑体" w:hAnsi="黑体" w:eastAsia="黑体" w:cs="宋体"/>
          <w:bCs/>
          <w:sz w:val="28"/>
          <w:szCs w:val="28"/>
        </w:rPr>
        <w:t xml:space="preserve">附表</w:t>
      </w:r>
      <w:r/>
    </w:p>
    <w:p>
      <w:pPr>
        <w:pStyle w:val="1397"/>
        <w:ind w:firstLine="0"/>
        <w:jc w:val="center"/>
        <w:spacing w:line="580" w:lineRule="exact"/>
        <w:rPr>
          <w:rFonts w:hint="eastAsia" w:ascii="仿宋_GB2312" w:hAnsi="仿宋_GB2312" w:eastAsia="仿宋_GB2312" w:cs="仿宋_GB2312"/>
          <w:b/>
          <w:sz w:val="28"/>
          <w:szCs w:val="28"/>
        </w:rPr>
      </w:pPr>
      <w:r>
        <w:rPr>
          <w:rFonts w:hint="eastAsia" w:ascii="方正小标宋简体" w:hAnsi="宋体" w:eastAsia="方正小标宋简体" w:cs="宋体"/>
          <w:sz w:val="32"/>
          <w:szCs w:val="32"/>
        </w:rPr>
        <w:t xml:space="preserve">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rPr>
                <w:rFonts w:hint="eastAsia" w:ascii="仿宋_GB2312" w:hAnsi="仿宋_GB2312" w:eastAsia="仿宋_GB2312" w:cs="仿宋_GB2312"/>
                <w:b/>
                <w:szCs w:val="21"/>
                <w:lang w:val="zh-CN" w:bidi="zh-CN"/>
              </w:rPr>
            </w:pPr>
            <w:r>
              <w:rPr>
                <w:rFonts w:hint="eastAsia" w:ascii="仿宋_GB2312" w:hAnsi="仿宋_GB2312" w:eastAsia="仿宋_GB2312" w:cs="仿宋_GB2312"/>
                <w:b/>
                <w:szCs w:val="21"/>
                <w:lang w:val="zh-CN" w:bidi="zh-CN"/>
              </w:rPr>
              <w:t xml:space="preserve">序号</w:t>
            </w:r>
            <w:r/>
          </w:p>
        </w:tc>
        <w:tc>
          <w:tcPr>
            <w:tcW w:w="407"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bidi="zh-CN"/>
              </w:rPr>
              <w:t xml:space="preserve">类别</w:t>
            </w:r>
            <w:r/>
          </w:p>
        </w:tc>
        <w:tc>
          <w:tcPr>
            <w:tcW w:w="491" w:type="pct"/>
            <w:vAlign w:val="center"/>
            <w:textDirection w:val="lrTb"/>
            <w:noWrap w:val="false"/>
          </w:tcPr>
          <w:p>
            <w:pPr>
              <w:jc w:val="center"/>
              <w:rPr>
                <w:rFonts w:hint="eastAsia" w:ascii="仿宋_GB2312" w:hAnsi="仿宋_GB2312" w:eastAsia="仿宋_GB2312" w:cs="仿宋_GB2312"/>
                <w:b/>
                <w:szCs w:val="21"/>
                <w:lang w:bidi="zh-CN"/>
              </w:rPr>
            </w:pPr>
            <w:r>
              <w:rPr>
                <w:rFonts w:hint="eastAsia" w:ascii="仿宋_GB2312" w:hAnsi="仿宋_GB2312" w:eastAsia="仿宋_GB2312" w:cs="仿宋_GB2312"/>
                <w:b/>
                <w:szCs w:val="21"/>
                <w:lang w:bidi="zh-CN"/>
              </w:rPr>
              <w:t xml:space="preserve">项目</w:t>
            </w:r>
            <w:r/>
          </w:p>
        </w:tc>
        <w:tc>
          <w:tcPr>
            <w:tcW w:w="3019"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val="zh-CN" w:bidi="zh-CN"/>
              </w:rPr>
              <w:t xml:space="preserve">考核</w:t>
            </w:r>
            <w:r>
              <w:rPr>
                <w:rFonts w:hint="eastAsia" w:ascii="仿宋_GB2312" w:hAnsi="仿宋_GB2312" w:eastAsia="仿宋_GB2312" w:cs="仿宋_GB2312"/>
                <w:b/>
                <w:szCs w:val="21"/>
                <w:lang w:val="zh-CN" w:eastAsia="en-US" w:bidi="zh-CN"/>
              </w:rPr>
              <w:t xml:space="preserve">标准</w:t>
            </w:r>
            <w:r/>
          </w:p>
        </w:tc>
        <w:tc>
          <w:tcPr>
            <w:tcW w:w="530"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eastAsia="en-US" w:bidi="zh-CN"/>
              </w:rPr>
              <w:t xml:space="preserve">备注</w:t>
            </w:r>
            <w:r/>
          </w:p>
        </w:tc>
      </w:tr>
      <w:tr>
        <w:trPr>
          <w:jc w:val="center"/>
          <w:trHeight w:val="48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p>
        </w:tc>
        <w:tc>
          <w:tcPr>
            <w:tcW w:w="407" w:type="pct"/>
            <w:vAlign w:val="center"/>
            <w:vMerge w:val="restart"/>
            <w:textDirection w:val="tbRlV"/>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人员管理</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配备</w:t>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未按合同要求足额配备人员，少1人扣5分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2</w:t>
            </w:r>
            <w:r/>
          </w:p>
        </w:tc>
        <w:tc>
          <w:tcPr>
            <w:tcW w:w="407"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新进员工未经培训合格后上岗</w:t>
            </w:r>
            <w:r>
              <w:rPr>
                <w:rFonts w:hint="eastAsia" w:ascii="仿宋_GB2312" w:hAnsi="仿宋_GB2312" w:eastAsia="仿宋_GB2312" w:cs="仿宋_GB2312"/>
                <w:szCs w:val="21"/>
              </w:rPr>
              <w:t xml:space="preserve">，发现一次扣2分；未按时安排员工安全教育培训的或未</w:t>
            </w:r>
            <w:r>
              <w:rPr>
                <w:rFonts w:hint="eastAsia" w:ascii="仿宋_GB2312" w:hAnsi="仿宋_GB2312" w:eastAsia="仿宋_GB2312" w:cs="仿宋_GB2312"/>
                <w:szCs w:val="21"/>
              </w:rPr>
              <w:t xml:space="preserve">按计划要求组织各类安全预案及演练</w:t>
            </w:r>
            <w:r>
              <w:rPr>
                <w:rFonts w:hint="eastAsia" w:ascii="仿宋_GB2312" w:hAnsi="仿宋_GB2312" w:eastAsia="仿宋_GB2312" w:cs="仿宋_GB2312"/>
                <w:szCs w:val="21"/>
              </w:rPr>
              <w:t xml:space="preserve">，发现一次扣5分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06"/>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员工上岗前未购买足额的意外险</w:t>
            </w:r>
            <w:r>
              <w:rPr>
                <w:rFonts w:hint="eastAsia" w:ascii="仿宋_GB2312" w:hAnsi="仿宋_GB2312" w:eastAsia="仿宋_GB2312" w:cs="仿宋_GB2312"/>
                <w:szCs w:val="21"/>
              </w:rPr>
              <w:t xml:space="preserve">，发现一次扣10分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1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仪容</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仪表</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未按合同要求配备工作服的，发现一次扣2分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未按规定统一着装、佩戴工号牌等，仪容仪表不整洁，发现一次扣1分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回答问题不热情、不讲文明礼貌用语、不说普通话，发现一次扣1分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劳动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纪律</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上班迟到、早退，未做好交接班工作，发现一次扣1分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人员出勤率未达95%以上的，</w:t>
            </w:r>
            <w:r>
              <w:rPr>
                <w:rFonts w:hint="eastAsia" w:ascii="仿宋_GB2312" w:hAnsi="仿宋_GB2312" w:eastAsia="仿宋_GB2312" w:cs="仿宋_GB2312"/>
                <w:szCs w:val="21"/>
              </w:rPr>
              <w:t xml:space="preserve">发生</w:t>
            </w:r>
            <w:r>
              <w:rPr>
                <w:rFonts w:hint="eastAsia" w:ascii="仿宋_GB2312" w:hAnsi="仿宋_GB2312" w:eastAsia="仿宋_GB2312" w:cs="仿宋_GB2312"/>
                <w:szCs w:val="21"/>
              </w:rPr>
              <w:t xml:space="preserve">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人员离岗率超过10%</w:t>
            </w:r>
            <w:r>
              <w:rPr>
                <w:rFonts w:hint="eastAsia" w:ascii="仿宋_GB2312" w:hAnsi="仿宋_GB2312" w:eastAsia="仿宋_GB2312" w:cs="仿宋_GB2312"/>
                <w:szCs w:val="21"/>
              </w:rPr>
              <w:t xml:space="preserve">，发生一次扣2分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员工离职未及时上报，</w:t>
            </w:r>
            <w:r>
              <w:rPr>
                <w:rFonts w:hint="eastAsia" w:ascii="仿宋_GB2312" w:hAnsi="仿宋_GB2312" w:eastAsia="仿宋_GB2312" w:cs="仿宋_GB2312"/>
                <w:szCs w:val="21"/>
              </w:rPr>
              <w:t xml:space="preserve">发现一次扣2分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人员无故缺勤，发现一次扣3分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当班时聚众聊天，睡岗，串岗，脱岗，发现一次扣2分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员工有盗窃、失密等违法乱纪行为，当事员工应解除合同，情节严重按相关法规处理。</w:t>
            </w:r>
            <w:r>
              <w:rPr>
                <w:rFonts w:hint="eastAsia" w:ascii="仿宋_GB2312" w:hAnsi="仿宋_GB2312" w:eastAsia="仿宋_GB2312" w:cs="仿宋_GB2312"/>
                <w:szCs w:val="21"/>
              </w:rPr>
              <w:t xml:space="preserve">未及时处理的，发现一次扣5分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不服从管理人员指挥的，发现一次扣1分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4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饲养小动物的，发现一次扣2分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rPr>
                <w:rFonts w:hint="eastAsia" w:ascii="仿宋_GB2312" w:hAnsi="仿宋_GB2312" w:eastAsia="仿宋_GB2312" w:cs="仿宋_GB2312"/>
                <w:szCs w:val="21"/>
                <w:lang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发生责任性投诉，发现一次扣10分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17</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保洁区域每天打扫不及时的；保洁区域有杂物、有异味，发现一次扣1分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清洁工具摆放随意，发现一次扣1分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设施和设备有灰尘，有破损；发现损坏未及时报修（管理员），发现一次扣1分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卫生包干区内草坪落叶未及时清理，草坪内有白色垃圾等，发现一次扣1分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如地面潮湿，门厅、台阶等视情况未及时放置“小心地滑”指示牌，发现一次扣1分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上岗期间未携带电工证或电工证不在有效期内，发现一次扣5分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发生电气突发事件时，未及时进行应急处置，发现一次扣2分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各类消防器材及各类设施、设备未定期巡检维保，发现损坏未及时上报，发现一次扣2分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未履行岗位责任制，不熟悉区域环境，未按要求规定文明巡查的，发现一次扣1分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未按要求严格检查进出的货物，发现一次扣1分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晚班人员在工作时间内出现睡觉、玩手机等做与工作无关的事，发现一次扣1分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未按规定开、关照明设施、边门、侧门、正门等，发现一次扣1分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未按规定对进出车辆或者人员进行登记的，发现一次扣1分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严禁在值班室、设备房（间）等禁烟场所吸烟，发现一次扣2分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驾驶</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酒后驾驶车辆，</w:t>
            </w:r>
            <w:r>
              <w:rPr>
                <w:rFonts w:hint="eastAsia" w:ascii="仿宋_GB2312" w:hAnsi="仿宋_GB2312" w:eastAsia="仿宋_GB2312" w:cs="仿宋_GB2312"/>
                <w:szCs w:val="21"/>
              </w:rPr>
              <w:t xml:space="preserve">发现一次扣35分，相关责任人</w:t>
            </w:r>
            <w:r>
              <w:rPr>
                <w:rFonts w:hint="eastAsia" w:ascii="仿宋_GB2312" w:hAnsi="仿宋_GB2312" w:eastAsia="仿宋_GB2312" w:cs="仿宋_GB2312"/>
                <w:szCs w:val="21"/>
              </w:rPr>
              <w:t xml:space="preserve">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机动车驾驶证不在有效期内，或上岗期间未携带驾驶证，发现一次扣3分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无故不参加安全学习，发现一次扣2分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不按照规定在指定地点停车过夜，发现一次扣3分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未履行审批手续私自用车，擅自动用车辆，发现一次扣5分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发生交通事故负责任（主责），发现一次扣10分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安全警示牌不完整或不在车上、随车灭火器失效或无灭火器，发现一次扣2分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驾驶机动车出现违规，违章行为，接收到处罚的，发现一次扣1分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车辆外观有明显遮挡、车牌照不清晰、影响单位形象的，发现一次扣1分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严禁食物中毒事件发生，发现一次扣35分，相关责任人</w:t>
            </w:r>
            <w:r>
              <w:rPr>
                <w:rFonts w:hint="eastAsia" w:ascii="仿宋_GB2312" w:hAnsi="仿宋_GB2312" w:eastAsia="仿宋_GB2312" w:cs="仿宋_GB2312"/>
                <w:szCs w:val="21"/>
              </w:rPr>
              <w:t xml:space="preserve">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食堂工作人员未持有效食品从业人员健康证上岗，发现一次扣5分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出现食品原料不符合食品卫生标准，有毒有害、过期及腐烂变质的情况，发现一次扣5分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58</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食品未实行留样制度，未用专柜专盒存放，留样食品少于48小时，发现一次扣2分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在厨房间内存放有毒有害物品的；发现一次扣5分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在厨房间存放个人生活用品的；发现一次扣2分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食品加工、清洗、消毒区域未分开，且无明显标识的，发现一次扣2分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杀虫剂、消杀的物品、清洗剂、消毒剂等有毒有害物品未单独入柜存放的，发现一次扣2分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食堂工作人员未按照规范操作设备，造成火灾等安全事故的，发现一次扣10分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未按时为员工提供饭菜，扣5分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饭菜花色品种单一，未能根据员工口味进行调整，成品浪费，情节严重的，发现一次扣5分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管理</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不得和来访人员（同事）闹无原则纠纷，发现一次扣5分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未履行岗位安全职责，发现一次扣5分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其他影响安全生产的行为（发现一次扣2-10分）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bl>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left="480" w:hanging="480"/>
        <w:spacing w:before="120" w:after="120" w:line="580" w:lineRule="exact"/>
        <w:rPr>
          <w:rFonts w:hint="eastAsia" w:ascii="黑体" w:hAnsi="黑体" w:eastAsia="黑体" w:cs="方正黑体_GBK"/>
          <w:sz w:val="32"/>
          <w:szCs w:val="32"/>
        </w:rPr>
      </w:pPr>
      <w:r>
        <w:rPr>
          <w:rFonts w:hint="eastAsia" w:ascii="黑体" w:hAnsi="黑体" w:eastAsia="黑体" w:cs="方正黑体_GBK"/>
          <w:sz w:val="32"/>
          <w:szCs w:val="32"/>
        </w:rPr>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附件2</w:t>
      </w:r>
      <w:r/>
    </w:p>
    <w:p>
      <w:pPr>
        <w:jc w:val="center"/>
        <w:spacing w:line="580" w:lineRule="exact"/>
        <w:rPr>
          <w:rFonts w:hint="eastAsia" w:ascii="微软雅黑" w:hAnsi="宋体" w:eastAsia="微软雅黑"/>
          <w:bCs/>
          <w:sz w:val="44"/>
          <w:szCs w:val="44"/>
        </w:rPr>
      </w:pPr>
      <w:r>
        <w:rPr>
          <w:rFonts w:hint="eastAsia" w:ascii="微软雅黑" w:hAnsi="宋体" w:eastAsia="微软雅黑"/>
          <w:bCs/>
          <w:sz w:val="32"/>
          <w:szCs w:val="32"/>
        </w:rPr>
        <w:t xml:space="preserve">安全管理合同</w:t>
      </w:r>
      <w:r/>
    </w:p>
    <w:p>
      <w:pPr>
        <w:pStyle w:val="853"/>
        <w:ind w:firstLine="480"/>
        <w:spacing w:before="120" w:after="120"/>
        <w:rPr>
          <w:rFonts w:hint="eastAsia" w:hAnsi="宋体"/>
          <w:sz w:val="24"/>
          <w:szCs w:val="24"/>
        </w:rPr>
      </w:pPr>
      <w:r>
        <w:rPr>
          <w:rFonts w:hint="eastAsia" w:hAnsi="宋体" w:cs="Times New Roman"/>
          <w:sz w:val="24"/>
          <w:szCs w:val="24"/>
        </w:rPr>
        <w:t xml:space="preserve">甲方：                   （以下简称甲方）</w:t>
      </w:r>
      <w:r/>
    </w:p>
    <w:p>
      <w:pPr>
        <w:pStyle w:val="853"/>
        <w:ind w:firstLine="480"/>
        <w:spacing w:before="120" w:after="120"/>
        <w:rPr>
          <w:rFonts w:hint="eastAsia" w:hAnsi="宋体"/>
          <w:sz w:val="24"/>
          <w:szCs w:val="24"/>
        </w:rPr>
      </w:pPr>
      <w:r>
        <w:rPr>
          <w:rFonts w:hint="eastAsia" w:hAnsi="宋体" w:cs="Times New Roman"/>
          <w:sz w:val="24"/>
          <w:szCs w:val="24"/>
        </w:rPr>
        <w:t xml:space="preserve">乙方：                   （以下简称乙方）</w:t>
      </w:r>
      <w:r/>
    </w:p>
    <w:p>
      <w:pPr>
        <w:pStyle w:val="853"/>
        <w:ind w:firstLine="480"/>
        <w:spacing w:before="120" w:after="120"/>
        <w:rPr>
          <w:rFonts w:hint="eastAsia" w:hAnsi="宋体"/>
          <w:sz w:val="24"/>
          <w:szCs w:val="24"/>
        </w:rPr>
      </w:pPr>
      <w:r>
        <w:rPr>
          <w:rFonts w:hint="eastAsia" w:hAnsi="宋体" w:cs="Times New Roman"/>
          <w:sz w:val="24"/>
          <w:szCs w:val="24"/>
        </w:rPr>
        <w:t xml:space="preserve">为贯彻“安全第一，预防为主，综合治理”的方针，确保运作安全，明确双方的安全责任，根据国家有关法规，经双方协商达成如下协议：</w:t>
      </w:r>
      <w:r/>
    </w:p>
    <w:p>
      <w:pPr>
        <w:pStyle w:val="853"/>
        <w:ind w:firstLine="480"/>
        <w:spacing w:before="120" w:after="120"/>
        <w:rPr>
          <w:rFonts w:hint="eastAsia" w:hAnsi="宋体"/>
          <w:sz w:val="24"/>
          <w:szCs w:val="24"/>
        </w:rPr>
      </w:pPr>
      <w:r>
        <w:rPr>
          <w:rFonts w:hint="eastAsia" w:hAnsi="宋体" w:cs="Times New Roman"/>
          <w:sz w:val="24"/>
          <w:szCs w:val="24"/>
        </w:rPr>
        <w:t xml:space="preserve">1.合同实施前，乙方加强本单位的安全管理，在人员上岗前及工作过程中，均应向相关作业人员进行安全交底，告知安全风险，督促员工严格遵守安全操作规程及安全管理方面的制度和要求。</w:t>
      </w:r>
      <w:r/>
    </w:p>
    <w:p>
      <w:pPr>
        <w:pStyle w:val="853"/>
        <w:ind w:firstLine="480"/>
        <w:spacing w:before="120" w:after="120"/>
        <w:rPr>
          <w:rFonts w:hint="eastAsia" w:hAnsi="宋体"/>
          <w:sz w:val="24"/>
          <w:szCs w:val="24"/>
        </w:rPr>
      </w:pPr>
      <w:r>
        <w:rPr>
          <w:rFonts w:hint="eastAsia" w:hAnsi="宋体" w:cs="Times New Roman"/>
          <w:sz w:val="24"/>
          <w:szCs w:val="24"/>
        </w:rPr>
        <w:t xml:space="preserve">2.乙方参与合同执行的所有员工在甲方工作场所内，应遵守甲方有关安全生产的规章制度，服从甲方的安全管理，按照要求做好必要的劳动保护工作。</w:t>
      </w:r>
      <w:r/>
    </w:p>
    <w:p>
      <w:pPr>
        <w:pStyle w:val="853"/>
        <w:ind w:firstLine="480"/>
        <w:spacing w:before="120" w:after="120"/>
        <w:rPr>
          <w:rFonts w:hint="eastAsia" w:hAnsi="宋体" w:cs="Times New Roman"/>
          <w:sz w:val="24"/>
          <w:szCs w:val="24"/>
        </w:rPr>
      </w:pPr>
      <w:r>
        <w:rPr>
          <w:rFonts w:hint="eastAsia" w:hAnsi="宋体" w:cs="Times New Roman"/>
          <w:sz w:val="24"/>
          <w:szCs w:val="24"/>
        </w:rPr>
        <w:t xml:space="preserve">3.乙方自行负责其员工上下班及食宿，并确保其工作人员的安全；乙方人员工作期间非因甲方原因造成自己或其他人员人身财产损失、人员伤亡的，由乙方全面负责，甲方不承担任何责任。</w:t>
      </w:r>
      <w:r/>
    </w:p>
    <w:p>
      <w:pPr>
        <w:pStyle w:val="853"/>
        <w:ind w:firstLine="480"/>
        <w:spacing w:before="120" w:after="120"/>
        <w:rPr>
          <w:rFonts w:hint="eastAsia" w:hAnsi="宋体"/>
          <w:sz w:val="24"/>
          <w:szCs w:val="24"/>
        </w:rPr>
      </w:pPr>
      <w:r>
        <w:rPr>
          <w:rFonts w:hint="eastAsia" w:hAnsi="宋体" w:cs="Times New Roman"/>
          <w:sz w:val="24"/>
          <w:szCs w:val="24"/>
        </w:rPr>
        <w:t xml:space="preserve">4.因乙方原因导致甲方财产或第三人人身受到损失的，由此产生的一切损失均由乙方承担。</w:t>
      </w:r>
      <w:r/>
    </w:p>
    <w:p>
      <w:pPr>
        <w:pStyle w:val="853"/>
        <w:ind w:firstLine="480"/>
        <w:spacing w:before="120" w:after="120"/>
        <w:rPr>
          <w:rFonts w:hint="eastAsia" w:hAnsi="宋体"/>
          <w:sz w:val="24"/>
          <w:szCs w:val="24"/>
        </w:rPr>
      </w:pPr>
      <w:r>
        <w:rPr>
          <w:rFonts w:hint="eastAsia" w:hAnsi="宋体" w:cs="Times New Roman"/>
          <w:sz w:val="24"/>
          <w:szCs w:val="24"/>
        </w:rPr>
        <w:t xml:space="preserve">5.按照“谁主管谁负责”的原则，乙方履行合约期间，因乙方人员导致的安全事故，造成甲方财产或第三人人身受到损失的，均由乙方承担，甲方不承担任何连带责任。如给甲方造成损失的，须按实际损失进行赔偿。</w:t>
      </w:r>
      <w:r/>
    </w:p>
    <w:p>
      <w:pPr>
        <w:pStyle w:val="853"/>
        <w:ind w:firstLine="480"/>
        <w:spacing w:before="120" w:after="120"/>
        <w:rPr>
          <w:sz w:val="24"/>
          <w:szCs w:val="24"/>
        </w:rPr>
      </w:pPr>
      <w:r>
        <w:rPr>
          <w:rFonts w:hint="eastAsia" w:hAnsi="宋体" w:cs="Times New Roman"/>
          <w:sz w:val="24"/>
          <w:szCs w:val="24"/>
        </w:rPr>
        <w:t xml:space="preserve">6.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pStyle w:val="853"/>
        <w:ind w:firstLine="480"/>
        <w:spacing w:before="120" w:after="120"/>
        <w:rPr>
          <w:sz w:val="24"/>
          <w:szCs w:val="24"/>
        </w:rPr>
      </w:pPr>
      <w:r>
        <w:rPr>
          <w:rFonts w:hint="eastAsia" w:hAnsi="宋体" w:cs="Times New Roman"/>
          <w:sz w:val="24"/>
          <w:szCs w:val="24"/>
        </w:rPr>
        <w:t xml:space="preserve">7.本合同作为《***********》的附件，与该合同具有同等的法律效力，经双方在合同签署后一并生效。</w:t>
      </w:r>
      <w:r/>
    </w:p>
    <w:p>
      <w:pPr>
        <w:pStyle w:val="853"/>
        <w:ind w:firstLine="480"/>
        <w:jc w:val="left"/>
        <w:spacing w:before="120" w:after="120"/>
        <w:rPr>
          <w:rFonts w:hint="eastAsia" w:hAnsi="宋体" w:cs="Times New Roman"/>
          <w:sz w:val="24"/>
          <w:szCs w:val="24"/>
        </w:rPr>
      </w:pPr>
      <w:r>
        <w:rPr>
          <w:rFonts w:hint="eastAsia" w:hAnsi="宋体" w:cs="Times New Roman"/>
          <w:sz w:val="24"/>
          <w:szCs w:val="24"/>
        </w:rPr>
      </w:r>
      <w:r/>
    </w:p>
    <w:p>
      <w:pPr>
        <w:spacing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br w:type="page" w:clear="all"/>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附件3</w:t>
      </w:r>
      <w:r/>
    </w:p>
    <w:p>
      <w:pPr>
        <w:jc w:val="center"/>
        <w:spacing w:line="580" w:lineRule="exact"/>
        <w:rPr>
          <w:rFonts w:ascii="微软雅黑" w:eastAsia="微软雅黑"/>
          <w:sz w:val="32"/>
          <w:szCs w:val="32"/>
        </w:rPr>
      </w:pPr>
      <w:r>
        <w:rPr>
          <w:rFonts w:hint="eastAsia" w:ascii="微软雅黑" w:eastAsia="微软雅黑"/>
          <w:sz w:val="32"/>
          <w:szCs w:val="32"/>
        </w:rPr>
        <w:t xml:space="preserve">廉 政 合 同</w:t>
      </w:r>
      <w:r/>
    </w:p>
    <w:p>
      <w:pPr>
        <w:jc w:val="center"/>
        <w:spacing w:line="580" w:lineRule="exact"/>
        <w:rPr>
          <w:rFonts w:ascii="仿宋_GB2312" w:eastAsia="仿宋_GB2312"/>
          <w:b/>
          <w:sz w:val="28"/>
          <w:szCs w:val="28"/>
        </w:rPr>
      </w:pPr>
      <w:r>
        <w:rPr>
          <w:rFonts w:ascii="仿宋_GB2312" w:eastAsia="仿宋_GB2312"/>
          <w:b/>
          <w:sz w:val="28"/>
          <w:szCs w:val="28"/>
        </w:rPr>
      </w:r>
      <w:r/>
    </w:p>
    <w:p>
      <w:pPr>
        <w:ind w:firstLine="480"/>
        <w:rPr>
          <w:rFonts w:hint="eastAsia" w:ascii="宋体" w:hAnsi="宋体"/>
          <w:sz w:val="24"/>
          <w:szCs w:val="24"/>
        </w:rPr>
      </w:pPr>
      <w:r>
        <w:rPr>
          <w:rFonts w:hint="eastAsia" w:ascii="宋体" w:hAnsi="宋体"/>
          <w:sz w:val="24"/>
          <w:szCs w:val="24"/>
        </w:rPr>
        <w:t xml:space="preserve">根据高管中心廉政建设相关规定，为做好物业服务项目中的党风廉政建设，保证物业服务采购高效优质以及采购资金的安全和有效使用，经友好协商，**********（以下简称“甲方”）和************* （以下简称“乙方”）就委托实施*************项目，订立如下合同：</w:t>
      </w:r>
      <w:r/>
    </w:p>
    <w:p>
      <w:pPr>
        <w:ind w:firstLine="482"/>
        <w:rPr>
          <w:rFonts w:hint="eastAsia" w:ascii="宋体" w:hAnsi="宋体"/>
          <w:sz w:val="24"/>
          <w:szCs w:val="24"/>
        </w:rPr>
      </w:pPr>
      <w:r>
        <w:rPr>
          <w:rFonts w:hint="eastAsia" w:ascii="宋体" w:hAnsi="宋体"/>
          <w:sz w:val="24"/>
          <w:szCs w:val="24"/>
        </w:rPr>
        <w:t xml:space="preserve">一、甲乙双方的权利和义务</w:t>
      </w:r>
      <w:r/>
    </w:p>
    <w:p>
      <w:pPr>
        <w:ind w:firstLine="480"/>
        <w:rPr>
          <w:rFonts w:hint="eastAsia" w:ascii="宋体" w:hAnsi="宋体"/>
          <w:sz w:val="24"/>
          <w:szCs w:val="24"/>
        </w:rPr>
      </w:pPr>
      <w:r>
        <w:rPr>
          <w:rFonts w:hint="eastAsia" w:ascii="宋体" w:hAnsi="宋体"/>
          <w:sz w:val="24"/>
          <w:szCs w:val="24"/>
        </w:rPr>
        <w:t xml:space="preserve">1、严格遵守党的政策规定和国家有关法律法规。</w:t>
      </w:r>
      <w:r/>
    </w:p>
    <w:p>
      <w:pPr>
        <w:ind w:firstLine="480"/>
        <w:rPr>
          <w:rFonts w:hint="eastAsia" w:ascii="宋体" w:hAnsi="宋体"/>
          <w:sz w:val="24"/>
          <w:szCs w:val="24"/>
        </w:rPr>
      </w:pPr>
      <w:r>
        <w:rPr>
          <w:rFonts w:hint="eastAsia" w:ascii="宋体" w:hAnsi="宋体"/>
          <w:sz w:val="24"/>
          <w:szCs w:val="24"/>
        </w:rPr>
        <w:t xml:space="preserve">2、严格执行合同文件，自觉按合同办事。</w:t>
      </w:r>
      <w:r/>
    </w:p>
    <w:p>
      <w:pPr>
        <w:ind w:firstLine="480"/>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3、双方的业务活动坚持公开、公正、诚信、透明的原则（法律认定的商业秘密和合同文件另有规定除外），不得损害国家和集体利益，违反货物采购管理规章制度。</w:t>
      </w:r>
      <w:r/>
    </w:p>
    <w:p>
      <w:pPr>
        <w:ind w:firstLine="480"/>
        <w:rPr>
          <w:rFonts w:hint="eastAsia" w:ascii="宋体" w:hAnsi="宋体"/>
          <w:sz w:val="24"/>
          <w:szCs w:val="24"/>
        </w:rPr>
      </w:pPr>
      <w:r>
        <w:rPr>
          <w:rFonts w:hint="eastAsia" w:ascii="宋体" w:hAnsi="宋体"/>
          <w:sz w:val="24"/>
          <w:szCs w:val="24"/>
        </w:rPr>
        <w:t xml:space="preserve">4、建立健全廉政制度，开展廉政教育，公布举报电话，监督并认真查处违法违纪行为。</w:t>
      </w:r>
      <w:r/>
    </w:p>
    <w:p>
      <w:pPr>
        <w:ind w:firstLine="480"/>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5、发现对方在业务活动中有违反廉政规定的行为，有及时提醒对方纠正的权利和义务。</w:t>
      </w:r>
      <w:r/>
    </w:p>
    <w:p>
      <w:pPr>
        <w:ind w:firstLine="480"/>
        <w:rPr>
          <w:rFonts w:hint="eastAsia" w:ascii="宋体" w:hAnsi="宋体"/>
          <w:sz w:val="24"/>
          <w:szCs w:val="24"/>
        </w:rPr>
      </w:pPr>
      <w:r>
        <w:rPr>
          <w:rFonts w:hint="eastAsia" w:ascii="宋体" w:hAnsi="宋体"/>
          <w:sz w:val="24"/>
          <w:szCs w:val="24"/>
        </w:rPr>
        <w:t xml:space="preserve">6、发现对方严重违反合同义务条款的行为，有向其上级有关部门举报、建议给予处理并要求告知处理结果的权利。</w:t>
      </w:r>
      <w:r/>
    </w:p>
    <w:p>
      <w:pPr>
        <w:ind w:firstLine="482"/>
        <w:rPr>
          <w:rFonts w:hint="eastAsia" w:ascii="宋体" w:hAnsi="宋体"/>
          <w:sz w:val="24"/>
          <w:szCs w:val="24"/>
        </w:rPr>
      </w:pPr>
      <w:r>
        <w:rPr>
          <w:rFonts w:hint="eastAsia" w:ascii="宋体" w:hAnsi="宋体"/>
          <w:sz w:val="24"/>
          <w:szCs w:val="24"/>
        </w:rPr>
        <w:t xml:space="preserve">二、甲方义务</w:t>
      </w:r>
      <w:r/>
    </w:p>
    <w:p>
      <w:pPr>
        <w:ind w:firstLine="480"/>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80"/>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80"/>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80"/>
        <w:rPr>
          <w:rFonts w:hint="eastAsia" w:ascii="宋体" w:hAnsi="宋体"/>
          <w:sz w:val="24"/>
          <w:szCs w:val="24"/>
        </w:rPr>
      </w:pPr>
      <w:r>
        <w:rPr>
          <w:rFonts w:hint="eastAsia" w:ascii="宋体" w:hAnsi="宋体"/>
          <w:sz w:val="24"/>
          <w:szCs w:val="24"/>
        </w:rPr>
        <w:t xml:space="preserve">4、甲方工作人员及其配偶、子女不得从事与甲方采购项目有关的材料设备供应、工程分包、劳务等经济活动等。</w:t>
      </w:r>
      <w:r/>
    </w:p>
    <w:p>
      <w:pPr>
        <w:ind w:firstLine="480"/>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80"/>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82"/>
        <w:rPr>
          <w:rFonts w:hint="eastAsia" w:ascii="宋体" w:hAnsi="宋体"/>
          <w:sz w:val="24"/>
          <w:szCs w:val="24"/>
        </w:rPr>
      </w:pPr>
      <w:r>
        <w:rPr>
          <w:rFonts w:hint="eastAsia" w:ascii="宋体" w:hAnsi="宋体"/>
          <w:sz w:val="24"/>
          <w:szCs w:val="24"/>
        </w:rPr>
        <w:t xml:space="preserve">三、乙方义务</w:t>
      </w:r>
      <w:r/>
    </w:p>
    <w:p>
      <w:pPr>
        <w:ind w:firstLine="480"/>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80"/>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80"/>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80"/>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82"/>
        <w:rPr>
          <w:rFonts w:hint="eastAsia" w:ascii="宋体" w:hAnsi="宋体"/>
          <w:sz w:val="24"/>
          <w:szCs w:val="24"/>
        </w:rPr>
      </w:pPr>
      <w:r>
        <w:rPr>
          <w:rFonts w:hint="eastAsia" w:ascii="宋体" w:hAnsi="宋体"/>
          <w:sz w:val="24"/>
          <w:szCs w:val="24"/>
        </w:rPr>
        <w:t xml:space="preserve">四、违约责任</w:t>
      </w:r>
      <w:r/>
    </w:p>
    <w:p>
      <w:pPr>
        <w:ind w:firstLine="480"/>
        <w:rPr>
          <w:rFonts w:hint="eastAsia" w:ascii="宋体" w:hAnsi="宋体"/>
          <w:sz w:val="24"/>
          <w:szCs w:val="24"/>
        </w:rPr>
      </w:pPr>
      <w:r>
        <w:rPr>
          <w:rFonts w:hint="eastAsia" w:ascii="宋体" w:hAnsi="宋体"/>
          <w:sz w:val="24"/>
          <w:szCs w:val="24"/>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rPr>
          <w:rFonts w:hint="eastAsia" w:ascii="宋体" w:hAnsi="宋体"/>
          <w:sz w:val="24"/>
          <w:szCs w:val="24"/>
        </w:rPr>
      </w:pPr>
      <w:r>
        <w:rPr>
          <w:rFonts w:hint="eastAsia" w:ascii="宋体" w:hAnsi="宋体"/>
          <w:sz w:val="24"/>
          <w:szCs w:val="24"/>
        </w:rPr>
        <w:t xml:space="preserve">2、乙方及其工作人员违反本合同第一、三条，按管理权限，依据有关规定给予党</w:t>
      </w:r>
      <w:r>
        <w:rPr>
          <w:rFonts w:hint="eastAsia" w:ascii="宋体" w:hAnsi="宋体"/>
          <w:sz w:val="24"/>
          <w:szCs w:val="24"/>
        </w:rPr>
        <w:t xml:space="preserve">纪、政纪组织处理；给甲方单位造成经济损失的，应予以赔偿。</w:t>
      </w:r>
      <w:r/>
    </w:p>
    <w:p>
      <w:pPr>
        <w:ind w:firstLine="480"/>
        <w:rPr>
          <w:rFonts w:hint="eastAsia" w:ascii="宋体" w:hAnsi="宋体"/>
          <w:sz w:val="24"/>
          <w:szCs w:val="24"/>
        </w:rPr>
      </w:pPr>
      <w:r>
        <w:rPr>
          <w:rFonts w:hint="eastAsia" w:ascii="宋体" w:hAnsi="宋体"/>
          <w:sz w:val="24"/>
          <w:szCs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rPr>
          <w:rFonts w:hint="eastAsia" w:ascii="宋体" w:hAnsi="宋体"/>
          <w:sz w:val="24"/>
          <w:szCs w:val="24"/>
        </w:rPr>
      </w:pPr>
      <w:r>
        <w:rPr>
          <w:rFonts w:hint="eastAsia" w:ascii="宋体" w:hAnsi="宋体"/>
          <w:sz w:val="24"/>
          <w:szCs w:val="24"/>
        </w:rPr>
        <w:t xml:space="preserve">4、本合同作为《*************》的附件，与该合同具有同等的法律效力，经双方在物业服务合同签署后一并生效。</w:t>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jc w:val="center"/>
        <w:keepNext/>
        <w:rPr>
          <w:rFonts w:ascii="黑体" w:eastAsia="黑体"/>
          <w:bCs/>
          <w:sz w:val="44"/>
          <w:szCs w:val="28"/>
        </w:rPr>
        <w:outlineLvl w:val="0"/>
      </w:pPr>
      <w:r/>
      <w:bookmarkStart w:id="139" w:name="_Toc233383229"/>
      <w:r/>
      <w:bookmarkEnd w:id="137"/>
      <w:r/>
      <w:bookmarkEnd w:id="138"/>
      <w:r>
        <w:rPr>
          <w:rFonts w:hint="eastAsia" w:ascii="黑体" w:eastAsia="黑体"/>
          <w:bCs/>
          <w:sz w:val="44"/>
          <w:szCs w:val="28"/>
        </w:rPr>
        <w:t xml:space="preserve">第四章  采购需求</w:t>
      </w:r>
      <w:bookmarkEnd w:id="139"/>
      <w:r/>
      <w:r/>
    </w:p>
    <w:p>
      <w:pPr>
        <w:jc w:val="left"/>
        <w:keepNext/>
        <w:rPr>
          <w:rFonts w:ascii="黑体" w:eastAsia="黑体"/>
          <w:bCs/>
          <w:sz w:val="32"/>
          <w:szCs w:val="32"/>
        </w:rPr>
        <w:outlineLvl w:val="0"/>
      </w:pPr>
      <w:r>
        <w:rPr>
          <w:rFonts w:hint="eastAsia" w:ascii="黑体" w:eastAsia="黑体"/>
          <w:bCs/>
          <w:sz w:val="32"/>
          <w:szCs w:val="32"/>
        </w:rPr>
        <w:t xml:space="preserve">采购包1：</w:t>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2026年-2027年通启高速管理处物业服务采购</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bookmarkStart w:id="140" w:name="_Toc120614281"/>
      <w:r/>
      <w:bookmarkStart w:id="141" w:name="_Toc26554093"/>
      <w:r/>
      <w:bookmarkStart w:id="142" w:name="_Toc49090575"/>
      <w:r/>
      <w:bookmarkStart w:id="143" w:name="_Toc462564139"/>
      <w:r/>
      <w:bookmarkStart w:id="144" w:name="_Toc479757211"/>
      <w:r>
        <w:rPr>
          <w:rFonts w:hint="eastAsia" w:ascii="宋体" w:hAnsi="宋体" w:cs="宋体"/>
          <w:b/>
          <w:bCs/>
          <w:sz w:val="24"/>
          <w:szCs w:val="24"/>
        </w:rPr>
        <w:t xml:space="preserve">1.</w:t>
      </w:r>
      <w:r>
        <w:rPr>
          <w:rFonts w:ascii="宋体" w:hAnsi="宋体" w:cs="宋体"/>
          <w:b/>
          <w:bCs/>
          <w:sz w:val="24"/>
          <w:szCs w:val="24"/>
        </w:rPr>
        <w:t xml:space="preserve">项目基本情况</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1.1</w:t>
      </w:r>
      <w:r>
        <w:rPr>
          <w:rFonts w:ascii="宋体" w:hAnsi="宋体" w:cs="宋体"/>
          <w:b/>
          <w:bCs/>
          <w:sz w:val="24"/>
          <w:szCs w:val="24"/>
        </w:rPr>
        <w:t xml:space="preserve">物业情况</w:t>
      </w:r>
      <w:r/>
    </w:p>
    <w:tbl>
      <w:tblPr>
        <w:tblW w:w="4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12"/>
        <w:gridCol w:w="5556"/>
      </w:tblGrid>
      <w:tr>
        <w:trPr>
          <w:jc w:val="center"/>
          <w:trHeight w:val="567"/>
        </w:trPr>
        <w:tc>
          <w:tcPr>
            <w:tcW w:w="341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物业名称</w:t>
            </w:r>
            <w:r/>
          </w:p>
        </w:tc>
        <w:tc>
          <w:tcPr>
            <w:tcW w:w="5552"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物业地址</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通启处处机关</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南通市崇川区，</w:t>
            </w:r>
            <w:bookmarkStart w:id="145" w:name="OLE_LINK73"/>
            <w:r/>
            <w:bookmarkStart w:id="146" w:name="OLE_LINK77"/>
            <w:r/>
            <w:bookmarkStart w:id="147" w:name="OLE_LINK74"/>
            <w:r>
              <w:rPr>
                <w:rFonts w:ascii="宋体" w:hAnsi="宋体" w:cs="宋体"/>
                <w:sz w:val="24"/>
                <w:szCs w:val="24"/>
              </w:rPr>
              <w:t xml:space="preserve">G15沈海高速</w:t>
            </w:r>
            <w:bookmarkEnd w:id="145"/>
            <w:r/>
            <w:bookmarkEnd w:id="146"/>
            <w:r/>
            <w:bookmarkEnd w:id="147"/>
            <w:r>
              <w:rPr>
                <w:rFonts w:ascii="宋体" w:hAnsi="宋体" w:cs="宋体"/>
                <w:sz w:val="24"/>
                <w:szCs w:val="24"/>
              </w:rPr>
              <w:t xml:space="preserve">K1183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陈桥收费站</w:t>
            </w:r>
            <w:r/>
          </w:p>
        </w:tc>
        <w:tc>
          <w:tcPr>
            <w:tcW w:w="5552" w:type="dxa"/>
            <w:vAlign w:val="center"/>
            <w:textDirection w:val="lrTb"/>
            <w:noWrap w:val="false"/>
          </w:tcPr>
          <w:p>
            <w:pPr>
              <w:jc w:val="center"/>
              <w:rPr>
                <w:rFonts w:hint="eastAsia" w:ascii="宋体" w:hAnsi="宋体" w:cs="宋体"/>
                <w:sz w:val="24"/>
                <w:szCs w:val="24"/>
              </w:rPr>
            </w:pPr>
            <w:r/>
            <w:bookmarkStart w:id="148" w:name="OLE_LINK76"/>
            <w:r/>
            <w:bookmarkStart w:id="149" w:name="OLE_LINK75"/>
            <w:r>
              <w:rPr>
                <w:rFonts w:ascii="宋体" w:hAnsi="宋体" w:cs="宋体"/>
                <w:sz w:val="24"/>
                <w:szCs w:val="24"/>
              </w:rPr>
              <w:t xml:space="preserve">南通市崇川区</w:t>
            </w:r>
            <w:bookmarkEnd w:id="148"/>
            <w:r/>
            <w:bookmarkEnd w:id="149"/>
            <w:r>
              <w:rPr>
                <w:rFonts w:ascii="宋体" w:hAnsi="宋体" w:cs="宋体"/>
                <w:sz w:val="24"/>
                <w:szCs w:val="24"/>
              </w:rPr>
              <w:t xml:space="preserve">，</w:t>
            </w:r>
            <w:bookmarkStart w:id="150" w:name="OLE_LINK69"/>
            <w:r/>
            <w:bookmarkStart w:id="151" w:name="OLE_LINK70"/>
            <w:r>
              <w:rPr>
                <w:rFonts w:ascii="宋体" w:hAnsi="宋体" w:cs="宋体"/>
                <w:sz w:val="24"/>
                <w:szCs w:val="24"/>
              </w:rPr>
              <w:t xml:space="preserve">G40沪陕西高速K201</w:t>
            </w:r>
            <w:bookmarkEnd w:id="150"/>
            <w:r/>
            <w:bookmarkEnd w:id="151"/>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南通北收费站</w:t>
            </w:r>
            <w:r/>
          </w:p>
        </w:tc>
        <w:tc>
          <w:tcPr>
            <w:tcW w:w="5552" w:type="dxa"/>
            <w:vAlign w:val="center"/>
            <w:textDirection w:val="lrTb"/>
            <w:noWrap w:val="false"/>
          </w:tcPr>
          <w:p>
            <w:pPr>
              <w:jc w:val="center"/>
              <w:rPr>
                <w:rFonts w:hint="eastAsia" w:ascii="宋体" w:hAnsi="宋体" w:cs="宋体"/>
                <w:sz w:val="24"/>
                <w:szCs w:val="24"/>
              </w:rPr>
            </w:pPr>
            <w:r/>
            <w:bookmarkStart w:id="152" w:name="OLE_LINK68"/>
            <w:r>
              <w:rPr>
                <w:rFonts w:ascii="宋体" w:hAnsi="宋体" w:cs="宋体"/>
                <w:sz w:val="24"/>
                <w:szCs w:val="24"/>
              </w:rPr>
              <w:t xml:space="preserve">南通市通州区</w:t>
            </w:r>
            <w:bookmarkEnd w:id="152"/>
            <w:r>
              <w:rPr>
                <w:rFonts w:ascii="宋体" w:hAnsi="宋体" w:cs="宋体"/>
                <w:sz w:val="24"/>
                <w:szCs w:val="24"/>
              </w:rPr>
              <w:t xml:space="preserve">，G15沈海高速K1164</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兴仁收费站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w:t>
            </w:r>
            <w:bookmarkStart w:id="153" w:name="OLE_LINK78"/>
            <w:r/>
            <w:bookmarkStart w:id="154" w:name="OLE_LINK79"/>
            <w:r>
              <w:rPr>
                <w:rFonts w:ascii="宋体" w:hAnsi="宋体" w:cs="宋体"/>
                <w:sz w:val="24"/>
                <w:szCs w:val="24"/>
              </w:rPr>
              <w:t xml:space="preserve">G15沈海高速</w:t>
            </w:r>
            <w:bookmarkEnd w:id="153"/>
            <w:r/>
            <w:bookmarkEnd w:id="154"/>
            <w:r>
              <w:rPr>
                <w:rFonts w:ascii="宋体" w:hAnsi="宋体" w:cs="宋体"/>
                <w:sz w:val="24"/>
                <w:szCs w:val="24"/>
              </w:rPr>
              <w:t xml:space="preserve">K1172</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先锋收费站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南通市通州区，G15沈海高速K1180</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叠石桥收费站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南通市海门区，G40沪陕西高速K163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海门收费站</w:t>
            </w:r>
            <w:r/>
          </w:p>
        </w:tc>
        <w:tc>
          <w:tcPr>
            <w:tcW w:w="5552" w:type="dxa"/>
            <w:vAlign w:val="center"/>
            <w:textDirection w:val="lrTb"/>
            <w:noWrap w:val="false"/>
          </w:tcPr>
          <w:p>
            <w:pPr>
              <w:jc w:val="center"/>
              <w:rPr>
                <w:rFonts w:hint="eastAsia" w:ascii="宋体" w:hAnsi="宋体" w:cs="宋体"/>
                <w:sz w:val="24"/>
                <w:szCs w:val="24"/>
              </w:rPr>
            </w:pPr>
            <w:r/>
            <w:bookmarkStart w:id="155" w:name="OLE_LINK72"/>
            <w:r/>
            <w:bookmarkStart w:id="156" w:name="OLE_LINK71"/>
            <w:r>
              <w:rPr>
                <w:rFonts w:ascii="宋体" w:hAnsi="宋体" w:cs="宋体"/>
                <w:sz w:val="24"/>
                <w:szCs w:val="24"/>
              </w:rPr>
              <w:t xml:space="preserve">南通市海门区，G40沪陕西高速K155</w:t>
            </w:r>
            <w:bookmarkEnd w:id="155"/>
            <w:r/>
            <w:bookmarkEnd w:id="156"/>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悦来收费站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大生收费站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南通启东市，G40沪陕西高速K118</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排障大队（悦来驻点）</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bl>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1.2</w:t>
      </w:r>
      <w:r>
        <w:rPr>
          <w:rFonts w:ascii="宋体" w:hAnsi="宋体" w:cs="宋体"/>
          <w:b/>
          <w:bCs/>
          <w:sz w:val="24"/>
          <w:szCs w:val="24"/>
        </w:rPr>
        <w:t xml:space="preserve">采购人提供供应商使用的场地、设施、设备、材料等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采购人可提供厨房场所、就餐场地、调味料、粮油等。供应商配置人员的餐费由供应商自理；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采购人可提供的能源供应：工作场所的水、电、燃气供应。</w:t>
      </w:r>
      <w:r/>
    </w:p>
    <w:p>
      <w:pPr>
        <w:ind w:firstLine="480"/>
        <w:spacing w:line="400" w:lineRule="exact"/>
        <w:rPr>
          <w:rFonts w:hint="eastAsia" w:ascii="宋体" w:hAnsi="宋体" w:cs="宋体"/>
          <w:sz w:val="24"/>
          <w:szCs w:val="24"/>
        </w:rPr>
      </w:pPr>
      <w:r>
        <w:rPr>
          <w:rFonts w:ascii="宋体" w:hAnsi="宋体" w:cs="宋体"/>
          <w:sz w:val="24"/>
          <w:szCs w:val="24"/>
        </w:rPr>
        <w:t xml:space="preserve">供应商应当承担除以上所列场地、设施、设备、材料外，与物业管理服务有关的其他场地、设施、设备、材料等。</w:t>
      </w:r>
      <w:r/>
    </w:p>
    <w:p>
      <w:pPr>
        <w:ind w:firstLine="42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1.3</w:t>
      </w:r>
      <w:r>
        <w:rPr>
          <w:rFonts w:ascii="宋体" w:hAnsi="宋体" w:cs="宋体"/>
          <w:b/>
          <w:bCs/>
          <w:sz w:val="24"/>
          <w:szCs w:val="24"/>
        </w:rPr>
        <w:t xml:space="preserve">物业服务范围</w:t>
      </w:r>
      <w:r/>
    </w:p>
    <w:p>
      <w:pPr>
        <w:ind w:firstLine="482"/>
        <w:spacing w:line="400" w:lineRule="exact"/>
        <w:widowControl/>
        <w:rPr>
          <w:rFonts w:hint="eastAsia" w:ascii="宋体" w:hAnsi="宋体" w:cs="宋体"/>
          <w:b/>
          <w:sz w:val="24"/>
          <w:szCs w:val="24"/>
        </w:rPr>
        <w:outlineLvl w:val="2"/>
      </w:pPr>
      <w:r>
        <w:rPr>
          <w:rFonts w:hint="eastAsia" w:ascii="宋体" w:hAnsi="宋体" w:cs="宋体"/>
          <w:b/>
          <w:sz w:val="24"/>
          <w:szCs w:val="24"/>
        </w:rPr>
        <w:t xml:space="preserve">（1）</w:t>
      </w:r>
      <w:r>
        <w:rPr>
          <w:rFonts w:ascii="宋体" w:hAnsi="宋体" w:cs="宋体"/>
          <w:b/>
          <w:sz w:val="24"/>
          <w:szCs w:val="24"/>
        </w:rPr>
        <w:t xml:space="preserve">通启处处机关（含小海收费站、调度中心）</w:t>
      </w:r>
      <w:r/>
    </w:p>
    <w:p>
      <w:pPr>
        <w:ind w:firstLine="482"/>
        <w:spacing w:line="40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8"/>
        <w:gridCol w:w="3468"/>
        <w:gridCol w:w="3409"/>
      </w:tblGrid>
      <w:tr>
        <w:trPr>
          <w:jc w:val="center"/>
          <w:trHeight w:val="454"/>
        </w:trPr>
        <w:tc>
          <w:tcPr>
            <w:tcW w:w="213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322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316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14"/>
        </w:trPr>
        <w:tc>
          <w:tcPr>
            <w:tcW w:w="213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322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通启处处机关办公楼</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294"/>
        </w:trPr>
        <w:tc>
          <w:tcPr>
            <w:tcW w:w="213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3221" w:type="dxa"/>
            <w:vAlign w:val="center"/>
            <w:vMerge w:val="restart"/>
            <w:textDirection w:val="lrTb"/>
            <w:noWrap w:val="false"/>
          </w:tcPr>
          <w:p>
            <w:pPr>
              <w:jc w:val="center"/>
              <w:spacing w:line="440" w:lineRule="exact"/>
              <w:rPr>
                <w:rFonts w:hint="eastAsia" w:ascii="宋体" w:hAnsi="宋体" w:cs="宋体"/>
                <w:b/>
                <w:sz w:val="24"/>
                <w:szCs w:val="24"/>
              </w:rPr>
            </w:pPr>
            <w:r>
              <w:rPr>
                <w:rFonts w:ascii="宋体" w:hAnsi="宋体" w:cs="宋体"/>
                <w:sz w:val="24"/>
                <w:szCs w:val="24"/>
              </w:rPr>
              <w:t xml:space="preserve">6390㎡</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2.1.3会务</w:t>
            </w:r>
            <w:r>
              <w:rPr>
                <w:rFonts w:ascii="宋体" w:hAnsi="宋体" w:cs="宋体"/>
                <w:sz w:val="24"/>
                <w:szCs w:val="24"/>
              </w:rPr>
              <w:t xml:space="preserve">服务”</w:t>
            </w:r>
            <w:r/>
          </w:p>
        </w:tc>
      </w:tr>
      <w:tr>
        <w:trPr>
          <w:jc w:val="center"/>
          <w:trHeight w:val="33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r>
        <w:trPr>
          <w:jc w:val="center"/>
          <w:trHeight w:val="274"/>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9"/>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6"/>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通启处处机关广场</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90"/>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8300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8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（2）</w:t>
      </w:r>
      <w:r>
        <w:rPr>
          <w:rFonts w:ascii="宋体" w:hAnsi="宋体" w:cs="宋体"/>
          <w:b/>
          <w:sz w:val="24"/>
          <w:szCs w:val="24"/>
        </w:rPr>
        <w:t xml:space="preserve">陈桥收费站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0"/>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7"/>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widowControl/>
              <w:rPr>
                <w:rFonts w:hint="eastAsia" w:ascii="宋体" w:hAnsi="宋体" w:cs="宋体"/>
                <w:b/>
                <w:sz w:val="24"/>
                <w:szCs w:val="24"/>
              </w:rPr>
              <w:outlineLvl w:val="2"/>
            </w:pPr>
            <w:r>
              <w:rPr>
                <w:rFonts w:ascii="宋体" w:hAnsi="宋体" w:cs="宋体"/>
                <w:b/>
                <w:sz w:val="24"/>
                <w:szCs w:val="24"/>
              </w:rPr>
              <w:t xml:space="preserve">陈桥收费站办公楼</w:t>
            </w:r>
            <w:r/>
          </w:p>
        </w:tc>
        <w:tc>
          <w:tcPr>
            <w:tcW w:w="27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850㎡</w:t>
            </w:r>
            <w:r/>
          </w:p>
        </w:tc>
        <w:tc>
          <w:tcPr>
            <w:tcW w:w="271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（3）</w:t>
      </w:r>
      <w:r>
        <w:rPr>
          <w:rFonts w:ascii="宋体" w:hAnsi="宋体" w:cs="宋体"/>
          <w:b/>
          <w:sz w:val="24"/>
          <w:szCs w:val="24"/>
        </w:rPr>
        <w:t xml:space="preserve">南通北收费站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6985㎡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（4）</w:t>
      </w:r>
      <w:r>
        <w:rPr>
          <w:rFonts w:ascii="宋体" w:hAnsi="宋体" w:cs="宋体"/>
          <w:b/>
          <w:sz w:val="24"/>
          <w:szCs w:val="24"/>
        </w:rPr>
        <w:t xml:space="preserve">兴仁收费站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建筑1名称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1240㎡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2467㎡</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（5）</w:t>
      </w:r>
      <w:r>
        <w:rPr>
          <w:rFonts w:ascii="宋体" w:hAnsi="宋体" w:cs="宋体"/>
          <w:b/>
          <w:sz w:val="24"/>
          <w:szCs w:val="24"/>
        </w:rPr>
        <w:t xml:space="preserve">先锋收费站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先锋收费站办公楼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1275㎡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（6）</w:t>
      </w:r>
      <w:r>
        <w:rPr>
          <w:rFonts w:ascii="宋体" w:hAnsi="宋体" w:cs="宋体"/>
          <w:b/>
          <w:sz w:val="24"/>
          <w:szCs w:val="24"/>
        </w:rPr>
        <w:t xml:space="preserve">叠石桥收费站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叠石桥收费站办公楼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7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1346.2㎡</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（7）</w:t>
      </w:r>
      <w:r>
        <w:rPr>
          <w:rFonts w:ascii="宋体" w:hAnsi="宋体" w:cs="宋体"/>
          <w:b/>
          <w:sz w:val="24"/>
          <w:szCs w:val="24"/>
        </w:rPr>
        <w:t xml:space="preserve">海门收费站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01"/>
        <w:gridCol w:w="4224"/>
        <w:gridCol w:w="2650"/>
      </w:tblGrid>
      <w:tr>
        <w:trPr>
          <w:jc w:val="center"/>
          <w:trHeight w:val="454"/>
        </w:trPr>
        <w:tc>
          <w:tcPr>
            <w:tcW w:w="3613"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676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418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3613"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676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3613"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676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1358㎡</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3613"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676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1100㎡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（8）</w:t>
      </w:r>
      <w:r>
        <w:rPr>
          <w:rFonts w:ascii="宋体" w:hAnsi="宋体" w:cs="宋体"/>
          <w:b/>
          <w:sz w:val="24"/>
          <w:szCs w:val="24"/>
        </w:rPr>
        <w:t xml:space="preserve">悦来收费站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2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69"/>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38"/>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1300㎡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（9）</w:t>
      </w:r>
      <w:r>
        <w:rPr>
          <w:rFonts w:ascii="宋体" w:hAnsi="宋体" w:cs="宋体"/>
          <w:b/>
          <w:sz w:val="24"/>
          <w:szCs w:val="24"/>
        </w:rPr>
        <w:t xml:space="preserve">大生收费站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8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大生收费站办公楼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0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1686㎡</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物业服务内容</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2.1.1</w:t>
      </w:r>
      <w:r>
        <w:rPr>
          <w:rFonts w:ascii="宋体" w:hAnsi="宋体" w:cs="宋体"/>
          <w:b/>
          <w:bCs/>
          <w:sz w:val="24"/>
          <w:szCs w:val="24"/>
          <w:lang w:bidi="en-US"/>
        </w:rPr>
        <w:t xml:space="preserve">基本服务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gridCol w:w="1766"/>
        <w:gridCol w:w="6659"/>
      </w:tblGrid>
      <w:tr>
        <w:trPr>
          <w:trHeight w:val="470"/>
        </w:trPr>
        <w:tc>
          <w:tcPr>
            <w:tcW w:w="744"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序号</w:t>
            </w:r>
            <w:r/>
          </w:p>
        </w:tc>
        <w:tc>
          <w:tcPr>
            <w:tcW w:w="1766"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服务内容</w:t>
            </w:r>
            <w:r/>
          </w:p>
        </w:tc>
        <w:tc>
          <w:tcPr>
            <w:tcW w:w="6659"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服务标准</w:t>
            </w:r>
            <w:r/>
          </w:p>
        </w:tc>
      </w:tr>
      <w:tr>
        <w:trPr/>
        <w:tc>
          <w:tcPr>
            <w:tcW w:w="744"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1</w:t>
            </w:r>
            <w:r/>
          </w:p>
        </w:tc>
        <w:tc>
          <w:tcPr>
            <w:tcW w:w="1766"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目标与责任</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结合采购人要求及物业服务实际情况，制定年度管理目标，明确责任分工，制定配套实施方案，并按照采购人要求定期开展监督检查。</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2</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服务人员要求</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根据采购人要求对服务人员进行从业资格审查，审查结果向采购人报备。</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服务人员到岗前应当经过必要的岗前培训以达到岗位能力要求，国家、行业规定应当取得职业资格证书或特种作业证书的，应当按规定持证上岗。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各岗位工作人员着装分类统一，佩戴标识。仪容整洁、姿态端正、举止文明。用语文明礼貌，态度温和耐心。</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供应商需指定一名专人兼管本项目作为本项目的非驻场专职联系人。负责与采购人的日常工作对接和沟通，对各类投诉进行答复处理，对工作中的问题或不足之处及时进行有效整改，并按照采购人要求定期开展监督检查。项目专职联系人要求大专及以上学历，具有类似项目3年以上的物业管理实际工作经验。该专职联系人不在本项目人员配备要求范围内。该专职联系人履职所产生的一切成本（包括现场巡查、整改协调等）均不计入本项目任何报价中。非驻场专职联系人应接受采购方的定期工作考核，考核结果将作为评估合同履行情况的重要依据。</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3</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保密管理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建立保密管理制度。制度内容应当包括但不限于：①明确重点要害岗位保密职责。②对涉密工作岗位的保密要求。</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档案管理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建立物业信息，准确、及时地对文件资料和服务记录进行归档保存，并确保其物理安全。</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遵守采购人的信息、档案资料保密要求，未经许可，不得将建筑物平面图等资料转作其他用途或向其他单位、个人提供。</w:t>
            </w:r>
            <w:r/>
          </w:p>
        </w:tc>
      </w:tr>
      <w:tr>
        <w:trPr>
          <w:trHeight w:val="580"/>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履约结束后，相关资料交还采购人，采购人按政府采购相关规定存档。</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4</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管理制度及工作方案</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制定管理制度，主要包括：人员录用制度、岗位职责、档案管理制度、物业服务管理制度、人员考核制度等。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制定项目实施方案，主要包括：承接查验方案、进场准备工作方案、合同到期交接方案、人员培训方案、突发事件处置方案等。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制定物业服务方案，主要包括：综合管理服务方案、室内外卫生保洁服务方案、水电工兼安保服务方案、会务服务方案、餐饮服务方案等。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2.1.2</w:t>
      </w:r>
      <w:r>
        <w:rPr>
          <w:rFonts w:ascii="宋体" w:hAnsi="宋体" w:cs="宋体"/>
          <w:b/>
          <w:bCs/>
          <w:sz w:val="24"/>
          <w:szCs w:val="24"/>
          <w:lang w:bidi="en-US"/>
        </w:rPr>
        <w:t xml:space="preserve">保洁服务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收费站院内停车场、办公楼内外、周边等公共部位的所有地面、墙面、顶面、附属设施、设备、器具的保洁服务。包含但不限于以下内容：包括院内道路，停车位、绿化内垃圾，收费道口全域、阳光房、走廊、公共卫生间、茶水间、水箱、楼梯间、活动室、会议室、配电间、洗衣房、</w:t>
            </w:r>
            <w:r>
              <w:rPr>
                <w:rFonts w:ascii="宋体" w:hAnsi="宋体" w:cs="宋体"/>
                <w:szCs w:val="21"/>
              </w:rPr>
              <w:t xml:space="preserve">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定期消杀（每周对相关部位进行一次）消毒杀菌；及时按要求完成各项保洁工作，实施定时保洁项目，保洁期间并做好节水、节电工作。垃圾实行袋装化并及时清运，确保环境卫生整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负责本物业管理范围内的各类下水道、污水井管的通畅保障，“门前三包”和垃圾整理清运工作。所有公共区域不得堆放杂物，无废弃物、污渍，保持清洁，卫生间洁净无异味，应达到基本无虫蝇。</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bCs/>
                <w:szCs w:val="21"/>
              </w:rPr>
              <w:t xml:space="preserve">建立健全环境卫生保洁管理制度，负责常规项目保洁，实行规范化的清扫保洁标准，明确责任落实到人。</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负责定期完成保洁项目：地面清洁；天花板掸尘除渍每月一次；台布、窗帘、布套、被褥等织品洗涤根据发包人需求实施。</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区域内公共绿化的协助管理。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做好保洁服务工作记录，记录填写规范、保存完好。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作业时采取安全防护措施，防止对作业人员或他人造成伤害。相关耗材的环保、安全性等应当符合国家相关规定要求。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cantSplit/>
          <w:jc w:val="center"/>
          <w:trHeight w:val="76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办公用房区域保洁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上班前20分钟完成楼内主要公共区域及部分指定办公室的保洁工作，上班期间不间断巡查，做到及时清洁维护。</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部分指定办公室每天清洁一次，确保办公桌椅、办公设备、地面、内窗无尘无污渍，及时清洁茶几。</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公共区域大理石、地砖地面每日至少清洁一次，并采取循环保洁制，发现垃圾杂物及时清除；公共区域墙面、顶面每月除尘一次，确保无灰尘、无污迹、无蜘蛛网。</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门厅玻璃每日除尘擦洗，确保窗明几净，大厅墙面每日除尘去污。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楼梯扶手、栏杆、窗台、开关等每日擦拭，确保无尘无污渍；公共灯具每月除尘二次，确保天花板、灯盖、灯罩、灯座目视无灰尘、无污迹、无蜘蛛网，整洁明亮；镜子、金属门扶手随时保持光亮。</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上午、下午人流量较低时对卫生间进行全面清洁工作；两次全面清洁间隙，需每隔一小时进行局部清洁工作，确保洗手间无异味、无水迹、尿迹；镜面清洁光亮；墙面、隔断无污迹、无灰尘；垃圾桶内外干净，垃圾袋内垃圾不超过2/3；及时补充更换洗手液、卷纸、垃圾袋等；厕位、水箱等设备损坏或发生故障及时报修处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重要会议室/接待室每天清洁一次，部门内部会议室每周清洁一次，使用结束后做到及时清洁整理，确保会议室/接待室内地面、办公桌椅、办公设备干净整洁，桌椅摆放整齐，茶几及时清理，墙面、顶面无尘无蜘蛛网，地毯每周吸尘一次，确保地毯干净松软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健身房、浴室每日清洁一次，保持地面、健身器材干净无灰尘、无污迹；墙、顶面每月除尘一次。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对所有办公室的纱窗每半年至少彻底清洁一次。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每周清理绿植不少于1次，保持绿植叶片干净、无枯枝、无杂物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办公楼门前室外区域</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每日清扫地面、停车位等办公楼门前室外区域2次，保持干净、无杂物、无积水。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雪、冰冻等恶劣天气时及时清扫积水、积雪，并采取安全防护措施。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各种宣传条幅等保持干净。</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一楼大厅落地玻璃外立面清洁，保持干净、透亮、无污渍。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垃圾处理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每天早晚定时清理两次垃圾筒，确保垃圾袋内垃圾不超过2/3。</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垃圾桶桶身表面干净无污渍，每日开展至少1次清洁作业。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垃圾装袋，日产日清。</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3会务服务</w:t>
      </w:r>
      <w:r/>
    </w:p>
    <w:tbl>
      <w:tblPr>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right"/>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负责采购人各类会务接待和相关服务保障工作。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接受会议预订，记录会议需求。</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负责兼顾本项目物业服务工作的总体协调。</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负责安排管理处机关保洁工作。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负责对所有物业人员开展日常考核和组织定期学习。</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jc w:val="right"/>
          <w:trHeight w:val="48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会前准备</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根据会议要求和参会人数布置会场，提前15分钟将会议室灯、门、空调、开水、音响、投影、视频（如需）等准备就绪，横幅、指示牌、席卡、桌椅、桌布、会议板夹、茶水等按要求摆放布置到位。</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新宋体"/>
                <w:szCs w:val="21"/>
              </w:rPr>
              <w:t xml:space="preserve">会中服务</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按照会议对接人要求做好会场内会务服务（迎宾、沏茶、续水等）；注意观察会场环境，确保会场温度合适，音响效果正常。</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会后整理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会议结束后，及时打开大门欢送客人，检查有无客人遗留物品，会议室内用品有无损坏，及时做好物品整理、卫生保洁工作，关闭会议室灯光、空调、会议设备及其他电器设备等。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4餐饮服务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厨房工作人员工作期间着装规范（必须佩戴口罩、帽子上岗）、精神饱满、服务及时、态度热情。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所有员工必须具备有效的健康证，每年体检一次。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按照采购人要求做好公务接待用餐及对内餐饮服务。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每月进行餐饮满意度调查，对采购人提出的意见及建议积极响应整改。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供应商要按照采购人的工作要求认真做好食堂工作人员的管理和安全教育工作，定期开展安全教育及检查，积极参加业主单位的各类会议和活动。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宋体" w:hAnsi="宋体" w:cs="宋体"/>
                <w:szCs w:val="21"/>
              </w:rPr>
              <w:t xml:space="preserve">采购人交办的其他相关工作。</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日常员工餐食供应</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保障员工日常就餐（全年每日早中晚三餐）。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早、中、晚开餐前做好相关准备工作，做好员工就餐期间的服务工作。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及时对购入的食材进行验收，确保食材新鲜、安全；菜肴制作清爽可口、搭配合理、营养均衡、色质可观。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不定期进行菜肴创新，每半月左右推出特色菜肴。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食堂卫生清洁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就餐完毕对餐厅进行整理、清扫，确保桌椅摆放有序、环境整洁。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食堂卫生实行责任制，每日进行打扫，每周进行大扫除，项目责任人不定期对日常卫生进行检查；非就餐期间，确保桌椅摆放整齐、地面无杂物，餐具柜、用品柜内物品摆放有序、整齐干净。餐具清洗干净，按规定进行消毒。下班前检查自己岗位的水闸、电闸、电器、照明、空调，关好门窗。</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5驾驶服务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2464"/>
        <w:gridCol w:w="5873"/>
      </w:tblGrid>
      <w:tr>
        <w:trPr>
          <w:jc w:val="center"/>
          <w:trHeight w:val="80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586"/>
        </w:trPr>
        <w:tc>
          <w:tcPr>
            <w:tcBorders>
              <w:top w:val="single" w:color="000000" w:sz="4" w:space="0"/>
              <w:left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负责采购人公用车辆的驾驶工作。</w:t>
            </w:r>
            <w:r/>
          </w:p>
        </w:tc>
      </w:tr>
      <w:tr>
        <w:trPr>
          <w:cantSplit/>
          <w:jc w:val="center"/>
          <w:trHeight w:val="586"/>
        </w:trPr>
        <w:tc>
          <w:tcPr>
            <w:tcBorders>
              <w:left w:val="single" w:color="000000" w:sz="4" w:space="0"/>
              <w:right w:val="single" w:color="000000" w:sz="4" w:space="0"/>
            </w:tcBorders>
            <w:tcW w:w="831"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2462"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按照采购人要求认真做好加油、行车、维修等台账记录工作。车辆发生事故或者发生非正常损坏，应及时上报采购人处理。车辆需要保养或者维修，应按照采购人要求事先报批，经审核同意后进行定点维修，不可私自维修。</w:t>
            </w:r>
            <w:r/>
          </w:p>
        </w:tc>
      </w:tr>
      <w:tr>
        <w:trPr>
          <w:cantSplit/>
          <w:jc w:val="center"/>
          <w:trHeight w:val="558"/>
        </w:trPr>
        <w:tc>
          <w:tcPr>
            <w:tcBorders>
              <w:left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40" w:lineRule="exact"/>
              <w:widowControl/>
              <w:rPr>
                <w:rFonts w:hint="eastAsia" w:ascii="宋体" w:hAnsi="宋体" w:cs="宋体"/>
                <w:szCs w:val="21"/>
              </w:rPr>
              <w:outlineLvl w:val="2"/>
            </w:pPr>
            <w:r>
              <w:rPr>
                <w:rFonts w:ascii="宋体" w:hAnsi="宋体" w:cs="宋体"/>
                <w:szCs w:val="21"/>
              </w:rPr>
              <w:t xml:space="preserve">按指定的任务、路线驾驶车辆，确保行车安全、准点。</w:t>
            </w:r>
            <w:r>
              <w:rPr>
                <w:rFonts w:ascii="宋体" w:hAnsi="宋体" w:cs="宋体"/>
                <w:bCs/>
                <w:szCs w:val="21"/>
              </w:rPr>
              <w:t xml:space="preserve">按照采购人要求定点停放车辆。</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值班期间，在未接到公务出车任务情况下，值班人员必须24小时驻守在采购人指定区域，并保持通讯畅通，不可擅自脱岗。</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完成采购人交办的其他相关工作。</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车辆日常检查与保养</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爱护车辆，定期检查、维修、保养，确保车辆始终处于良好、安全状态；保持车辆内外整洁，</w:t>
            </w:r>
            <w:r>
              <w:rPr>
                <w:rFonts w:ascii="宋体" w:hAnsi="宋体" w:cs="宋体"/>
                <w:bCs/>
                <w:szCs w:val="21"/>
              </w:rPr>
              <w:t xml:space="preserve">车内物品保持完好。</w:t>
            </w:r>
            <w:r/>
          </w:p>
        </w:tc>
      </w:tr>
      <w:tr>
        <w:trPr>
          <w:cantSplit/>
          <w:jc w:val="center"/>
          <w:trHeight w:val="544"/>
        </w:trPr>
        <w:tc>
          <w:tcPr>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安全与合规管理</w:t>
            </w:r>
            <w:r/>
          </w:p>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严格遵守道路交通安全法律法规和采购人车辆管理规定，严格执行派车制度，服从调度，不得擅自出车。</w:t>
            </w:r>
            <w:r/>
          </w:p>
        </w:tc>
      </w:tr>
      <w:tr>
        <w:trPr>
          <w:cantSplit/>
          <w:jc w:val="center"/>
          <w:trHeight w:val="541"/>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遵守交通规则和道路交通安全法律法规，确保行车安全，杜绝疲劳驾驶、酒后驾驶等行为。</w:t>
            </w:r>
            <w:r>
              <w:rPr>
                <w:rFonts w:ascii="宋体" w:hAnsi="宋体" w:cs="宋体"/>
                <w:bCs/>
                <w:szCs w:val="21"/>
              </w:rPr>
              <w:t xml:space="preserve">上班期间严禁喝酒，每天做好酒驾测试，并做好相关记录。</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6水电工兼安保服务</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9"/>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严格执行采购人方的相关规章制度、作息时间、上班流程及门卫岗位职责，严禁脱岗、睡岗、酒后上岗、岗上喝酒、私自使用大功率电器现象。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持证上岗，能正确使用各类消防、物防、技防器械和设备。</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熟悉区域内环境，熟知治安管理有关法律法规，熟悉各类刑事、治安案件和各类灾害事故的应急预案。</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按时上下班，认真履行交接班手续，并做好交接班记录。当班期间必须在岗在位，不得出现缺岗、脱岗、串岗现象。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维护办公楼内的安全和秩序，做好“防火、防盗、防爆、防破坏”的“四防”等工作。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定期向采购人汇报安全工作情况，及时反映问题，整改落实，遇有重大情况立即通报。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负责物业管理服务区域内的水电、门窗、家具等设施设备及其他房屋附属设施设备的一般维修、养护等。</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在岗时精神饱满，动作规范，语言表达清晰。</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做好值班室、设备房（含附近包干区）及设备的卫生工作，做好设备间防水、防火、放小动物进入设备间，进出设备间及时关闭。严禁在值班室、设备抽烟、烧水。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供应商要按照采购人的工作要求认真做好相关人员的管理和安全教育工作，定期开展安全教育及检查，积极参加业主单位的各类会议和活动。</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完成采购人交办的其他相关工作。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出入管理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办公区域进出口的治安管理和来访接待登记工作（24小时值勤服务）。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办公大楼门前区域及内部机动车辆、非机动车辆的秩序维护工作。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监督配合外单位维修，必须经过同意后并填写《来访人员登记表》方可进入维修，维修时实时掌握维修人员动态，防止人员乱窜。维修结束后复检维修结果并做好相应记录，及时向相关领导汇报。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协助快递人员做好信函、快递收发工作。</w:t>
            </w:r>
            <w:r/>
          </w:p>
        </w:tc>
      </w:tr>
      <w:tr>
        <w:trPr>
          <w:jc w:val="center"/>
          <w:trHeight w:val="400"/>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值班巡查</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负责公共区域、办公区域、生活区域等地的公共设施设备、消防设施设备的安全巡查，做好办公楼水电管理，保障各类设施设备正常运行。</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bCs/>
                <w:szCs w:val="21"/>
              </w:rPr>
            </w:pPr>
            <w:r>
              <w:rPr>
                <w:rFonts w:ascii="宋体" w:hAnsi="宋体" w:cs="宋体"/>
                <w:bCs/>
                <w:szCs w:val="21"/>
              </w:rPr>
              <w:t xml:space="preserve">负责水、电、综合设备设施的维修保养工作，确保设备设施始终处于良好的状态。熟知办公楼内水、电、综合专业系统主要设备、设施的数量、使用、安装位置及服务范围，并做好相应的巡检工作，及时填写巡检记录。</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严格履行巡查制度，每隔2小时巡查一次。按规定时间、线路巡查，不得漏查，巡查过程中发现问题应立即按规定处理、制止各种违法犯罪行为、消除各种安全隐患，维护服务域内的正常治安秩序。</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监控值守</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全天24小时不间断对物业服务区域内安全巡视（监控），按规定路线定时巡查并做好记录，夜间巡查不少于两次，发现问题及时处理。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每天两次对办公楼公共部位、门窗、墙面、各类消防、电气等进行巡视，发现损坏及时报告；对危险隐患部位设置安全防范警示标识进行检查；对办公区域水电设备巡检，确保无漏水、积水、堵塞现象；对照明系统巡视检查，确保楼道灯、指示灯等完好100%。</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消防安全管理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定期检查维护安全消防设施，落实消防责任制，及时消除火险隐患。</w:t>
            </w:r>
            <w:r>
              <w:rPr>
                <w:rFonts w:ascii="宋体" w:hAnsi="宋体" w:cs="宋体"/>
                <w:bCs/>
                <w:szCs w:val="21"/>
              </w:rPr>
              <w:t xml:space="preserve">发生火警时，及时按火警预案处理程序工作，尽量将损失和影响控制在最小范围。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给排水系统：每天巡视一次辖区内主供水管上闸阀以及雨水通道，每日对区域内系统进行一次巡查，发现有漏堵现象及时清理，确保排水通畅，无积水、异味。</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突发事件处理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在岗时接报维修任务后需及时到场处理，对急需解决的故障应及时调整或修复，具备应急处理能力，满意率98%以上。</w:t>
            </w:r>
            <w:r/>
          </w:p>
        </w:tc>
      </w:tr>
    </w:tbl>
    <w:p>
      <w:pPr>
        <w:numPr>
          <w:ilvl w:val="255"/>
          <w:numId w:val="0"/>
        </w:numPr>
        <w:ind w:firstLine="482"/>
        <w:keepLines/>
        <w:keepNext/>
        <w:spacing w:line="360" w:lineRule="exact"/>
        <w:rPr>
          <w:rFonts w:hint="eastAsia" w:ascii="宋体" w:hAnsi="宋体" w:cs="宋体"/>
          <w:b/>
          <w:bCs/>
          <w:sz w:val="24"/>
          <w:szCs w:val="24"/>
        </w:rPr>
        <w:outlineLvl w:val="1"/>
      </w:pPr>
      <w:r/>
      <w:bookmarkStart w:id="157" w:name="_Toc27983"/>
      <w:r/>
      <w:bookmarkStart w:id="158" w:name="_Toc12052"/>
      <w:r/>
      <w:bookmarkStart w:id="159" w:name="_Toc26417"/>
      <w:r>
        <w:rPr>
          <w:rFonts w:hint="eastAsia" w:ascii="宋体" w:hAnsi="宋体" w:cs="宋体"/>
          <w:b/>
          <w:bCs/>
          <w:sz w:val="24"/>
          <w:szCs w:val="24"/>
        </w:rPr>
        <w:t xml:space="preserve">2.1.7</w:t>
      </w:r>
      <w:r>
        <w:rPr>
          <w:rFonts w:ascii="宋体" w:hAnsi="宋体" w:cs="宋体"/>
          <w:b/>
          <w:bCs/>
          <w:sz w:val="24"/>
          <w:szCs w:val="24"/>
        </w:rPr>
        <w:t xml:space="preserve">垃圾清运服务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8"/>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4"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auto"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auto"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通启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w:t>
            </w:r>
            <w:r/>
          </w:p>
        </w:tc>
      </w:tr>
      <w:tr>
        <w:trPr>
          <w:cantSplit/>
          <w:jc w:val="center"/>
          <w:trHeight w:val="400"/>
        </w:trPr>
        <w:tc>
          <w:tcPr>
            <w:tcBorders>
              <w:top w:val="single" w:color="auto"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安全管理</w:t>
            </w:r>
            <w:r/>
          </w:p>
        </w:tc>
        <w:tc>
          <w:tcPr>
            <w:tcBorders>
              <w:top w:val="single" w:color="auto" w:sz="4" w:space="0"/>
              <w:left w:val="single" w:color="000000" w:sz="4" w:space="0"/>
              <w:bottom w:val="single" w:color="000000"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供应商委派的垃圾清运、处理服务商作业期间任何的安全事故责任均由供应商负责。</w:t>
            </w:r>
            <w:r/>
          </w:p>
        </w:tc>
      </w:tr>
    </w:tbl>
    <w:p>
      <w:pPr>
        <w:rPr>
          <w:szCs w:val="21"/>
        </w:rPr>
      </w:pPr>
      <w:r>
        <w:rPr>
          <w:szCs w:val="21"/>
        </w:rPr>
      </w:r>
      <w:r/>
    </w:p>
    <w:p>
      <w:pPr>
        <w:numPr>
          <w:ilvl w:val="255"/>
          <w:numId w:val="0"/>
        </w:num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w:t>
      </w:r>
      <w:r>
        <w:rPr>
          <w:rFonts w:ascii="宋体" w:hAnsi="宋体" w:cs="宋体"/>
          <w:b/>
          <w:bCs/>
          <w:sz w:val="24"/>
          <w:szCs w:val="24"/>
        </w:rPr>
        <w:t xml:space="preserve">1总体服务要求：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2进场要求：</w:t>
      </w:r>
      <w:r>
        <w:rPr>
          <w:rFonts w:ascii="宋体" w:hAnsi="宋体" w:cs="宋体"/>
          <w:sz w:val="24"/>
          <w:szCs w:val="24"/>
        </w:rPr>
        <w:t xml:space="preserve">供应商所配置的物业服务人员应在采购人指定日期内进场，并做好与招标前服务单位对接、交接事宜。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w:t>
      </w:r>
      <w:r>
        <w:rPr>
          <w:rFonts w:ascii="宋体" w:hAnsi="宋体" w:cs="宋体"/>
          <w:sz w:val="24"/>
          <w:szCs w:val="24"/>
        </w:rPr>
        <w:t xml:space="preserve">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3退场要求：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4项目验收要求：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w:t>
      </w:r>
      <w:r>
        <w:rPr>
          <w:rFonts w:ascii="宋体" w:hAnsi="宋体" w:cs="宋体"/>
          <w:sz w:val="24"/>
          <w:szCs w:val="24"/>
        </w:rPr>
        <w:t xml:space="preserve">后,</w:t>
      </w:r>
      <w:r>
        <w:rPr>
          <w:rFonts w:ascii="宋体" w:hAnsi="宋体" w:cs="宋体"/>
          <w:sz w:val="24"/>
          <w:szCs w:val="24"/>
        </w:rPr>
        <w:t xml:space="preserve">验收小组出具验收</w:t>
      </w:r>
      <w:r>
        <w:rPr>
          <w:rFonts w:ascii="宋体" w:hAnsi="宋体" w:cs="宋体"/>
          <w:sz w:val="24"/>
          <w:szCs w:val="24"/>
        </w:rPr>
        <w:t xml:space="preserve">书,</w:t>
      </w:r>
      <w:r>
        <w:rPr>
          <w:rFonts w:ascii="宋体" w:hAnsi="宋体" w:cs="宋体"/>
          <w:sz w:val="24"/>
          <w:szCs w:val="24"/>
        </w:rPr>
        <w:t xml:space="preserve">列明各项标准的验收情况及项目总体</w:t>
      </w:r>
      <w:r>
        <w:rPr>
          <w:rFonts w:ascii="宋体" w:hAnsi="宋体" w:cs="宋体"/>
          <w:sz w:val="24"/>
          <w:szCs w:val="24"/>
        </w:rPr>
        <w:t xml:space="preserve">评价,</w:t>
      </w:r>
      <w:r>
        <w:rPr>
          <w:rFonts w:ascii="宋体" w:hAnsi="宋体" w:cs="宋体"/>
          <w:sz w:val="24"/>
          <w:szCs w:val="24"/>
        </w:rPr>
        <w:t xml:space="preserve">由验收双方共同签署。验收结果与采购合同约定的资金支付挂钩。履约验收的各项资料存档备查。验收合格的</w:t>
      </w:r>
      <w:r>
        <w:rPr>
          <w:rFonts w:ascii="宋体" w:hAnsi="宋体" w:cs="宋体"/>
          <w:sz w:val="24"/>
          <w:szCs w:val="24"/>
        </w:rPr>
        <w:t xml:space="preserve">项目,</w:t>
      </w:r>
      <w:r>
        <w:rPr>
          <w:rFonts w:ascii="宋体" w:hAnsi="宋体" w:cs="宋体"/>
          <w:sz w:val="24"/>
          <w:szCs w:val="24"/>
        </w:rPr>
        <w:t xml:space="preserve">采购人根据采购合同的约定及时向供应商支付合同款项。验收不合格的项目，供应商需在采购人规定的时间内整改至合格。</w:t>
      </w:r>
      <w:r/>
    </w:p>
    <w:p>
      <w:pPr>
        <w:ind w:firstLine="482"/>
        <w:spacing w:line="400" w:lineRule="exact"/>
        <w:rPr>
          <w:szCs w:val="21"/>
        </w:rPr>
      </w:pPr>
      <w:r>
        <w:rPr>
          <w:rFonts w:hint="eastAsia" w:ascii="宋体" w:hAnsi="宋体" w:cs="宋体"/>
          <w:b/>
          <w:bCs/>
          <w:sz w:val="24"/>
          <w:szCs w:val="24"/>
        </w:rPr>
        <w:t xml:space="preserve">2.2.</w:t>
      </w:r>
      <w:r>
        <w:rPr>
          <w:rFonts w:ascii="宋体" w:hAnsi="宋体" w:cs="宋体"/>
          <w:b/>
          <w:bCs/>
          <w:sz w:val="24"/>
          <w:szCs w:val="24"/>
        </w:rPr>
        <w:t xml:space="preserve">5保密要求：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1256"/>
        <w:gridCol w:w="6433"/>
      </w:tblGrid>
      <w:tr>
        <w:trPr>
          <w:jc w:val="center"/>
          <w:trHeight w:val="691"/>
        </w:trPr>
        <w:tc>
          <w:tcPr>
            <w:tcW w:w="1353" w:type="dxa"/>
            <w:vAlign w:val="center"/>
            <w:textDirection w:val="lrTb"/>
            <w:noWrap w:val="false"/>
          </w:tcPr>
          <w:p>
            <w:pPr>
              <w:jc w:val="center"/>
              <w:spacing w:line="360" w:lineRule="exact"/>
              <w:widowControl/>
              <w:rPr>
                <w:b/>
                <w:sz w:val="24"/>
                <w:szCs w:val="24"/>
              </w:rPr>
            </w:pPr>
            <w:r>
              <w:rPr>
                <w:b/>
                <w:sz w:val="24"/>
                <w:szCs w:val="24"/>
              </w:rPr>
              <w:t xml:space="preserve">岗位</w:t>
            </w:r>
            <w:r/>
          </w:p>
        </w:tc>
        <w:tc>
          <w:tcPr>
            <w:tcW w:w="1255" w:type="dxa"/>
            <w:vAlign w:val="center"/>
            <w:textDirection w:val="lrTb"/>
            <w:noWrap w:val="false"/>
          </w:tcPr>
          <w:p>
            <w:pPr>
              <w:jc w:val="center"/>
              <w:spacing w:line="360" w:lineRule="exact"/>
              <w:widowControl/>
              <w:rPr>
                <w:b/>
                <w:sz w:val="24"/>
                <w:szCs w:val="24"/>
              </w:rPr>
            </w:pPr>
            <w:r>
              <w:rPr>
                <w:b/>
                <w:sz w:val="24"/>
                <w:szCs w:val="24"/>
              </w:rPr>
              <w:t xml:space="preserve">岗位人数</w:t>
            </w:r>
            <w:r/>
          </w:p>
        </w:tc>
        <w:tc>
          <w:tcPr>
            <w:tcW w:w="6429" w:type="dxa"/>
            <w:vAlign w:val="center"/>
            <w:textDirection w:val="lrTb"/>
            <w:noWrap w:val="false"/>
          </w:tcPr>
          <w:p>
            <w:pPr>
              <w:jc w:val="center"/>
              <w:spacing w:line="360" w:lineRule="exact"/>
              <w:widowControl/>
              <w:rPr>
                <w:b/>
                <w:sz w:val="24"/>
                <w:szCs w:val="24"/>
              </w:rPr>
            </w:pPr>
            <w:r>
              <w:rPr>
                <w:b/>
                <w:sz w:val="24"/>
                <w:szCs w:val="24"/>
              </w:rPr>
              <w:t xml:space="preserve">备注（岗位所需服务时长或时段、需具备的上岗资格证、人员学历、工作经验等要求）</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会务</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具有大专及以上学历，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，身体健康，形象佳，具有两年以上同岗位工作经验。每周工作5天，每天8小时，休息日遇到特殊情况，能及时到场处理。具有物业运营、协调或管理经验的优先考虑。</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厨师</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bookmarkStart w:id="160" w:name="OLE_LINK66"/>
            <w:r/>
            <w:bookmarkStart w:id="161" w:name="OLE_LINK65"/>
            <w:r/>
            <w:bookmarkStart w:id="162" w:name="OLE_LINK67"/>
            <w:r>
              <w:rPr>
                <w:rFonts w:ascii="宋体" w:hAnsi="宋体" w:cs="宋体"/>
                <w:iCs/>
                <w:sz w:val="24"/>
                <w:szCs w:val="24"/>
              </w:rPr>
              <w:t xml:space="preserve">初中及以上学历，</w:t>
            </w:r>
            <w:bookmarkEnd w:id="160"/>
            <w:r/>
            <w:bookmarkEnd w:id="161"/>
            <w:r/>
            <w:bookmarkEnd w:id="162"/>
            <w:r>
              <w:rPr>
                <w:rStyle w:val="1370"/>
                <w:rFonts w:hint="default" w:ascii="Times New Roman" w:hAnsi="Times New Roman"/>
                <w:color w:val="auto"/>
                <w:sz w:val="24"/>
                <w:szCs w:val="24"/>
                <w:lang w:bidi="ar"/>
              </w:rPr>
              <w:t xml:space="preserve">国家法定退休年龄以下（须提供至少一个月社保缴纳证明）</w:t>
            </w:r>
            <w:r>
              <w:rPr>
                <w:rFonts w:hint="eastAsia" w:ascii="宋体" w:hAnsi="宋体" w:cs="宋体"/>
                <w:b/>
                <w:bCs/>
                <w:sz w:val="24"/>
                <w:szCs w:val="24"/>
              </w:rPr>
              <w:t xml:space="preserve">，</w:t>
            </w:r>
            <w:r>
              <w:rPr>
                <w:rFonts w:ascii="宋体" w:hAnsi="宋体" w:cs="宋体"/>
                <w:bCs/>
                <w:sz w:val="24"/>
                <w:szCs w:val="32"/>
              </w:rPr>
              <w:t xml:space="preserve">具有与本项目类似的2年（含）及以上厨师工作经验</w:t>
            </w:r>
            <w:r>
              <w:rPr>
                <w:rFonts w:ascii="宋体" w:hAnsi="宋体" w:cs="宋体"/>
                <w:iCs/>
                <w:sz w:val="24"/>
                <w:szCs w:val="24"/>
              </w:rPr>
              <w:t xml:space="preserve">，</w:t>
            </w:r>
            <w:r>
              <w:rPr>
                <w:rFonts w:ascii="宋体" w:hAnsi="宋体" w:cs="宋体"/>
                <w:b/>
                <w:bCs/>
                <w:sz w:val="24"/>
                <w:szCs w:val="24"/>
              </w:rPr>
              <w:t xml:space="preserve">持有中式烹调师初级证书（职业技能等级五级）</w:t>
            </w:r>
            <w:r>
              <w:rPr>
                <w:rFonts w:ascii="宋体" w:hAnsi="宋体" w:cs="宋体"/>
                <w:b/>
                <w:bCs/>
                <w:i/>
                <w:sz w:val="24"/>
                <w:szCs w:val="24"/>
                <w:u w:val="single"/>
              </w:rPr>
              <w:t xml:space="preserve">及卫生部门发放的有效健康证</w:t>
            </w:r>
            <w:r>
              <w:rPr>
                <w:rFonts w:ascii="宋体" w:hAnsi="宋体" w:cs="宋体"/>
                <w:iCs/>
                <w:sz w:val="24"/>
                <w:szCs w:val="24"/>
              </w:rPr>
              <w:t xml:space="preserve">。每周工作时间不超过40小时。</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厨工</w:t>
            </w:r>
            <w:r/>
          </w:p>
        </w:tc>
        <w:tc>
          <w:tcPr>
            <w:tcW w:w="1255" w:type="dxa"/>
            <w:vAlign w:val="center"/>
            <w:textDirection w:val="lrTb"/>
            <w:noWrap w:val="false"/>
          </w:tcPr>
          <w:p>
            <w:pPr>
              <w:ind w:firstLine="480"/>
              <w:spacing w:line="300" w:lineRule="exact"/>
              <w:widowControl/>
              <w:rPr>
                <w:rFonts w:hint="eastAsia" w:ascii="宋体" w:hAnsi="宋体" w:cs="宋体"/>
                <w:iCs/>
                <w:sz w:val="24"/>
                <w:szCs w:val="24"/>
              </w:rPr>
            </w:pPr>
            <w:r>
              <w:rPr>
                <w:rFonts w:ascii="宋体" w:hAnsi="宋体" w:cs="宋体"/>
                <w:iCs/>
                <w:sz w:val="24"/>
                <w:szCs w:val="24"/>
              </w:rPr>
              <w:t xml:space="preserve">10</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w:t>
            </w:r>
            <w:r>
              <w:rPr>
                <w:rFonts w:ascii="宋体" w:hAnsi="宋体" w:cs="宋体"/>
                <w:sz w:val="24"/>
                <w:szCs w:val="32"/>
              </w:rPr>
              <w:t xml:space="preserve">具有与本项目类似的2年（含）以上单位食堂工作经验</w:t>
            </w:r>
            <w:r>
              <w:rPr>
                <w:rFonts w:ascii="宋体" w:hAnsi="宋体" w:cs="宋体"/>
                <w:sz w:val="24"/>
                <w:szCs w:val="24"/>
              </w:rPr>
              <w:t xml:space="preserve">，</w:t>
            </w:r>
            <w:r>
              <w:rPr>
                <w:rFonts w:ascii="宋体" w:hAnsi="宋体" w:cs="宋体"/>
                <w:b/>
                <w:bCs/>
                <w:i/>
                <w:sz w:val="24"/>
                <w:szCs w:val="24"/>
                <w:u w:val="single"/>
              </w:rPr>
              <w:t xml:space="preserve">持有卫生部门发放的有效健康证，</w:t>
            </w:r>
            <w:r>
              <w:rPr>
                <w:rFonts w:ascii="宋体" w:hAnsi="宋体" w:cs="宋体"/>
                <w:iCs/>
                <w:sz w:val="24"/>
                <w:szCs w:val="24"/>
              </w:rPr>
              <w:t xml:space="preserve">有一定的掌厨经验，能够协助厨师做好餐食供应，并做好原材料的粗加工，持有中式烹调师初级及以上技能等级证书的优先考虑。每周工作时间不超过40小时。</w:t>
            </w:r>
            <w:r/>
          </w:p>
        </w:tc>
      </w:tr>
      <w:tr>
        <w:trPr>
          <w:jc w:val="center"/>
          <w:trHeight w:val="997"/>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保洁</w:t>
            </w:r>
            <w:r/>
          </w:p>
        </w:tc>
        <w:tc>
          <w:tcPr>
            <w:tcW w:w="1255"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    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女性，初中及以上学历</w:t>
            </w:r>
            <w:r>
              <w:rPr>
                <w:rFonts w:ascii="宋体" w:hAnsi="宋体" w:cs="宋体"/>
                <w:sz w:val="24"/>
                <w:szCs w:val="24"/>
              </w:rPr>
              <w:t xml:space="preserve">，</w:t>
            </w:r>
            <w:r>
              <w:rPr>
                <w:rFonts w:ascii="宋体" w:hAnsi="宋体" w:cs="宋体"/>
                <w:iCs/>
                <w:sz w:val="24"/>
                <w:szCs w:val="24"/>
              </w:rPr>
              <w:t xml:space="preserve">具有办公楼宇保洁2年以上工作经验，能独立开展工作。每周工作时间不超过40小时。</w:t>
            </w:r>
            <w:r/>
          </w:p>
        </w:tc>
      </w:tr>
      <w:tr>
        <w:trPr>
          <w:jc w:val="center"/>
          <w:trHeight w:val="311"/>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驾驶员</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ascii="宋体" w:hAnsi="宋体" w:cs="宋体"/>
                <w:iCs/>
                <w:sz w:val="24"/>
                <w:szCs w:val="24"/>
              </w:rPr>
              <w:t xml:space="preserve">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
                <w:sz w:val="24"/>
                <w:szCs w:val="24"/>
              </w:rPr>
              <w:t xml:space="preserve">，</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hint="eastAsia" w:ascii="宋体" w:hAnsi="宋体" w:cs="宋体"/>
                <w:b/>
                <w:bCs/>
                <w:i/>
                <w:sz w:val="24"/>
                <w:szCs w:val="24"/>
                <w:u w:val="single"/>
              </w:rPr>
              <w:t xml:space="preserve">持B1以上（含B1）级驾驶证3年以上</w:t>
            </w:r>
            <w:r>
              <w:rPr>
                <w:rFonts w:ascii="宋体" w:hAnsi="宋体" w:cs="宋体"/>
                <w:iCs/>
                <w:sz w:val="24"/>
                <w:szCs w:val="24"/>
              </w:rPr>
              <w:t xml:space="preserve">，具有良好的政治、业务素质和较强的责任心，近2年均</w:t>
            </w:r>
            <w:r>
              <w:rPr>
                <w:rFonts w:ascii="宋体" w:hAnsi="宋体" w:cs="宋体"/>
                <w:bCs/>
                <w:sz w:val="24"/>
                <w:szCs w:val="24"/>
              </w:rPr>
              <w:t xml:space="preserve">无满分学习记录。</w:t>
            </w:r>
            <w:r>
              <w:rPr>
                <w:rFonts w:ascii="宋体" w:hAnsi="宋体" w:cs="宋体"/>
                <w:b/>
                <w:bCs/>
                <w:i/>
                <w:sz w:val="24"/>
                <w:szCs w:val="24"/>
                <w:u w:val="single"/>
              </w:rPr>
              <w:t xml:space="preserve">3年内无负主要责任的重大交通事故记录，且无色弱、色盲等视力问题以及可能危及行车安全的疾病病史。</w:t>
            </w:r>
            <w:r>
              <w:rPr>
                <w:rFonts w:ascii="宋体" w:hAnsi="宋体" w:cs="宋体"/>
                <w:iCs/>
                <w:sz w:val="24"/>
                <w:szCs w:val="24"/>
              </w:rPr>
              <w:t xml:space="preserve">每周工作时间不超过40小时。</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水电工兼安保</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4</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ascii="宋体" w:hAnsi="宋体" w:cs="宋体"/>
                <w:iCs/>
                <w:sz w:val="24"/>
                <w:szCs w:val="24"/>
              </w:rPr>
              <w:t xml:space="preserve">具有3年及以上物业工程维修和水电维修相关工作经验，</w:t>
            </w:r>
            <w:r>
              <w:rPr>
                <w:rFonts w:hint="eastAsia" w:ascii="宋体" w:hAnsi="宋体" w:cs="宋体"/>
                <w:iCs/>
                <w:sz w:val="24"/>
                <w:szCs w:val="24"/>
              </w:rPr>
              <w:t xml:space="preserve">持有低压电工作业的特种作业操作证或</w:t>
            </w:r>
            <w:r>
              <w:rPr>
                <w:rFonts w:ascii="宋体" w:hAnsi="宋体" w:cs="宋体"/>
                <w:iCs/>
                <w:sz w:val="24"/>
                <w:szCs w:val="24"/>
              </w:rPr>
              <w:t xml:space="preserve">高压电工作业的特种作业操作证，具备基本的安全防范知识和应急处理能力，能独立解决办公楼宇的水电、工程维修问题。</w:t>
            </w:r>
            <w:r/>
          </w:p>
        </w:tc>
      </w:tr>
    </w:tbl>
    <w:p>
      <w:pPr>
        <w:ind w:firstLine="480"/>
        <w:jc w:val="left"/>
        <w:spacing w:line="300" w:lineRule="exact"/>
        <w:widowControl/>
        <w:rPr>
          <w:rFonts w:hint="eastAsia" w:ascii="楷体" w:hAnsi="楷体" w:eastAsia="楷体" w:cs="楷体"/>
          <w:b/>
          <w:bCs/>
          <w:i/>
          <w:iCs/>
          <w:szCs w:val="21"/>
          <w:u w:val="single"/>
        </w:rPr>
      </w:pPr>
      <w:r>
        <w:rPr>
          <w:rFonts w:ascii="楷体" w:hAnsi="楷体" w:eastAsia="楷体" w:cs="楷体"/>
          <w:szCs w:val="21"/>
        </w:rPr>
        <w:t xml:space="preserve">注：1.</w:t>
      </w:r>
      <w:r>
        <w:rPr>
          <w:rFonts w:ascii="楷体" w:hAnsi="楷体" w:eastAsia="楷体" w:cs="楷体"/>
          <w:b/>
          <w:bCs/>
          <w:i/>
          <w:iCs/>
          <w:szCs w:val="21"/>
          <w:u w:val="single"/>
        </w:rPr>
        <w:t xml:space="preserve">配备的人员，要求无犯罪记录，身体健康，具有相应专业技术能力和经验。（提供承诺书，同时提供人员岗位配置表，加盖单位公章，中标结果发布后签订合同前中标供应商应向采购人提供符合招标文件要求的人员信息和无犯罪记录证明）。</w:t>
      </w:r>
      <w:r/>
    </w:p>
    <w:p>
      <w:pPr>
        <w:ind w:left="420" w:firstLine="422"/>
        <w:spacing w:after="120" w:line="300" w:lineRule="exact"/>
        <w:rPr>
          <w:szCs w:val="21"/>
        </w:rPr>
      </w:pPr>
      <w:r>
        <w:rPr>
          <w:rFonts w:ascii="楷体" w:hAnsi="楷体" w:eastAsia="楷体" w:cs="楷体"/>
          <w:b/>
          <w:i/>
          <w:iCs/>
          <w:szCs w:val="21"/>
          <w:u w:val="single"/>
        </w:rPr>
        <w:t xml:space="preserve">2.</w:t>
      </w:r>
      <w:r>
        <w:rPr>
          <w:rFonts w:hint="eastAsia" w:ascii="楷体" w:hAnsi="楷体" w:eastAsia="楷体" w:cs="楷体"/>
          <w:b/>
          <w:szCs w:val="21"/>
        </w:rPr>
        <w:t xml:space="preserve">投标人所配置的物业服务人员总计不得少于26人，各岗位人员数量不得少于要求，其中1人（水电工兼安保），进场时间为2027年6月1日，其余25人，进场时间均为2027年1月1日。</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i/>
          <w:iCs/>
          <w:szCs w:val="21"/>
          <w:u w:val="single"/>
        </w:rPr>
      </w:pPr>
      <w:r>
        <w:rPr>
          <w:rFonts w:ascii="楷体" w:hAnsi="楷体" w:eastAsia="楷体" w:cs="楷体"/>
          <w:b/>
          <w:i/>
          <w:iCs/>
          <w:szCs w:val="21"/>
          <w:u w:val="single"/>
        </w:rPr>
        <w:t xml:space="preserve">3.采购方有权根据项目实际需要及客观情况，安排、调整派驻物业服务人员的工作地点，物业服务人员应无条件服从，物业服务人员不服从安排或调整的，供应商应对相关人员进行更换。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82"/>
        <w:jc w:val="left"/>
        <w:spacing w:line="400" w:lineRule="exact"/>
        <w:widowControl/>
        <w:rPr>
          <w:rFonts w:hint="eastAsia" w:ascii="宋体" w:hAnsi="宋体" w:cs="楷体"/>
          <w:b/>
          <w:iCs/>
          <w:sz w:val="24"/>
          <w:szCs w:val="24"/>
        </w:rPr>
      </w:pPr>
      <w:r/>
      <w:bookmarkStart w:id="163" w:name="_Toc21574"/>
      <w:r/>
      <w:bookmarkStart w:id="164" w:name="_Toc20385"/>
      <w:r/>
      <w:bookmarkStart w:id="165" w:name="_Toc1962"/>
      <w:r/>
      <w:bookmarkEnd w:id="157"/>
      <w:r/>
      <w:bookmarkEnd w:id="158"/>
      <w:r/>
      <w:bookmarkEnd w:id="159"/>
      <w:r>
        <w:rPr>
          <w:rFonts w:hint="eastAsia" w:ascii="宋体" w:hAnsi="宋体" w:cs="楷体"/>
          <w:b/>
          <w:iCs/>
          <w:sz w:val="24"/>
          <w:szCs w:val="24"/>
        </w:rPr>
        <w:t xml:space="preserve">3.2</w:t>
      </w:r>
      <w:r>
        <w:rPr>
          <w:rFonts w:ascii="宋体" w:hAnsi="宋体" w:cs="楷体"/>
          <w:b/>
          <w:iCs/>
          <w:sz w:val="24"/>
          <w:szCs w:val="24"/>
        </w:rPr>
        <w:t xml:space="preserve">人员分布站点清单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9"/>
        <w:gridCol w:w="3544"/>
        <w:gridCol w:w="1559"/>
        <w:gridCol w:w="943"/>
      </w:tblGrid>
      <w:tr>
        <w:trPr>
          <w:jc w:val="center"/>
          <w:trHeight w:val="728"/>
        </w:trPr>
        <w:tc>
          <w:tcPr>
            <w:tcW w:w="220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岗位</w:t>
            </w:r>
            <w:r/>
          </w:p>
        </w:tc>
        <w:tc>
          <w:tcPr>
            <w:tcW w:w="3544"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单位（部门）名称</w:t>
            </w:r>
            <w:r/>
          </w:p>
        </w:tc>
        <w:tc>
          <w:tcPr>
            <w:tcW w:w="155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计量单位</w:t>
            </w:r>
            <w:r/>
          </w:p>
        </w:tc>
        <w:tc>
          <w:tcPr>
            <w:tcW w:w="943"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数量</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会务（1人）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厨师（1人）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厨工（10人）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通启处陈桥收费站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通启处先锋收费站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通启处叠石桥收费站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保洁（5人）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通启处兴仁收费站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通启处排障大队</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驾驶员（5人）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3</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水电工兼安保（4人）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通启处小海收费站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通启处悦来收费站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bookmarkEnd w:id="163"/>
      <w:r/>
      <w:bookmarkEnd w:id="164"/>
      <w:r/>
      <w:bookmarkEnd w:id="165"/>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合同实施期限为2027年1月1日至2027年12月31日。</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4.2.1</w:t>
      </w:r>
      <w:r>
        <w:rPr>
          <w:rFonts w:ascii="宋体" w:hAnsi="宋体" w:cs="宋体"/>
          <w:b/>
          <w:bCs/>
          <w:sz w:val="24"/>
          <w:szCs w:val="24"/>
        </w:rPr>
        <w:t xml:space="preserve">付款条件</w:t>
      </w:r>
      <w:r/>
    </w:p>
    <w:p>
      <w:pPr>
        <w:pStyle w:val="853"/>
        <w:ind w:firstLine="480"/>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w:t>
      </w:r>
      <w:r>
        <w:rPr>
          <w:rFonts w:hint="eastAsia" w:asciiTheme="minorEastAsia" w:hAnsiTheme="minorEastAsia" w:eastAsiaTheme="minorEastAsia" w:cstheme="minorEastAsia"/>
          <w:sz w:val="24"/>
          <w:szCs w:val="24"/>
        </w:rPr>
        <w:t xml:space="preserve">如下:</w:t>
      </w:r>
      <w:r>
        <w:rPr>
          <w:rFonts w:hint="eastAsia" w:asciiTheme="minorEastAsia" w:hAnsiTheme="minorEastAsia" w:eastAsiaTheme="minorEastAsia" w:cstheme="minorEastAsia"/>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w:t>
      </w:r>
      <w:r>
        <w:rPr>
          <w:rFonts w:hint="eastAsia" w:asciiTheme="minorEastAsia" w:hAnsiTheme="minorEastAsia" w:eastAsiaTheme="minorEastAsia" w:cstheme="minorEastAsia"/>
          <w:sz w:val="24"/>
          <w:szCs w:val="24"/>
        </w:rPr>
        <w:t xml:space="preserve">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53"/>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ind w:firstLine="480"/>
        <w:spacing w:line="400" w:lineRule="exact"/>
        <w:rPr>
          <w:rFonts w:ascii="宋体"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ascii="宋体" w:cs="宋体"/>
          <w:sz w:val="24"/>
          <w:szCs w:val="24"/>
          <w:lang w:val="zh-CN" w:bidi="zh-CN"/>
        </w:rPr>
        <w:t xml:space="preserve">结束，乙方根据当季每月实际考核结果</w:t>
      </w:r>
      <w:r>
        <w:rPr>
          <w:rFonts w:hint="eastAsia" w:ascii="宋体" w:cs="宋体"/>
          <w:sz w:val="24"/>
          <w:szCs w:val="24"/>
          <w:lang w:bidi="zh-CN"/>
        </w:rPr>
        <w:t xml:space="preserve">及经采购人审核的支付申请</w:t>
      </w:r>
      <w:r>
        <w:rPr>
          <w:rFonts w:ascii="宋体"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hint="eastAsia" w:ascii="宋体" w:hAns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bCs/>
          <w:sz w:val="24"/>
          <w:szCs w:val="24"/>
          <w:lang w:bidi="zh-CN"/>
        </w:rPr>
        <w:t xml:space="preserve">垃圾清运费。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⑤</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w:t>
      </w:r>
      <w:r>
        <w:rPr>
          <w:rFonts w:ascii="宋体" w:hAnsi="宋体" w:cs="宋体"/>
          <w:b/>
          <w:bCs/>
          <w:i/>
          <w:iCs/>
          <w:sz w:val="24"/>
          <w:szCs w:val="24"/>
          <w:u w:val="single"/>
        </w:rPr>
        <w:t xml:space="preserve">(如</w:t>
      </w:r>
      <w:r>
        <w:rPr>
          <w:rFonts w:ascii="宋体" w:hAnsi="宋体" w:cs="宋体"/>
          <w:b/>
          <w:bCs/>
          <w:i/>
          <w:iCs/>
          <w:sz w:val="24"/>
          <w:szCs w:val="24"/>
          <w:u w:val="single"/>
        </w:rPr>
        <w:t xml:space="preserve">行政主管部门出台新政策，以行政主管部门规定为</w:t>
      </w:r>
      <w:r>
        <w:rPr>
          <w:rFonts w:ascii="宋体" w:hAnsi="宋体" w:cs="宋体"/>
          <w:b/>
          <w:bCs/>
          <w:i/>
          <w:iCs/>
          <w:sz w:val="24"/>
          <w:szCs w:val="24"/>
          <w:u w:val="single"/>
        </w:rPr>
        <w:t xml:space="preserve">准)。</w:t>
      </w:r>
      <w:r>
        <w:rPr>
          <w:rFonts w:ascii="宋体" w:hAnsi="宋体" w:cs="宋体"/>
          <w:b/>
          <w:bCs/>
          <w:i/>
          <w:iCs/>
          <w:sz w:val="24"/>
          <w:szCs w:val="24"/>
          <w:u w:val="single"/>
        </w:rPr>
        <w:t xml:space="preserve">（提供承诺书，加盖单位公章，格式自拟）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2"/>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w:t>
      </w:r>
      <w:r>
        <w:rPr>
          <w:rFonts w:hint="eastAsia"/>
        </w:rPr>
        <w:t xml:space="preserve">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2"/>
        <w:spacing w:line="400" w:lineRule="exact"/>
        <w:rPr>
          <w:rFonts w:hint="eastAsia" w:ascii="宋体" w:hAnsi="宋体" w:cs="宋体"/>
          <w:iCs/>
          <w:sz w:val="24"/>
          <w:szCs w:val="21"/>
        </w:rPr>
      </w:pPr>
      <w:r>
        <w:rPr>
          <w:rFonts w:hint="eastAsia" w:ascii="微软雅黑" w:hAnsi="微软雅黑" w:eastAsia="微软雅黑" w:cs="微软雅黑"/>
          <w:iCs/>
          <w:sz w:val="24"/>
          <w:szCs w:val="21"/>
        </w:rPr>
        <w:t xml:space="preserve">⑥</w:t>
      </w:r>
      <w:r>
        <w:rPr>
          <w:rFonts w:ascii="宋体" w:hAnsi="宋体" w:cs="宋体"/>
          <w:sz w:val="24"/>
          <w:szCs w:val="24"/>
        </w:rPr>
        <w:t xml:space="preserve">投标人负责通启处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相关费用需包含在投标总价内。</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⑦</w:t>
      </w:r>
      <w:r>
        <w:rPr>
          <w:rFonts w:ascii="宋体" w:hAnsi="宋体" w:cs="宋体"/>
          <w:sz w:val="24"/>
          <w:szCs w:val="24"/>
        </w:rPr>
        <w:t xml:space="preserve">投标人应根据各岗位物业服务人员要求的进场时间和合同履约期限进行报价。</w:t>
      </w:r>
      <w:r/>
    </w:p>
    <w:p>
      <w:pPr>
        <w:ind w:firstLine="480"/>
        <w:spacing w:line="400" w:lineRule="exact"/>
        <w:rPr>
          <w:rFonts w:hint="eastAsia" w:ascii="宋体" w:hAnsi="宋体" w:cs="宋体"/>
          <w:bCs/>
          <w:iCs/>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iCs/>
          <w:sz w:val="24"/>
          <w:szCs w:val="21"/>
        </w:rPr>
        <w:t xml:space="preserve">⑧</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bCs/>
          <w:iCs/>
          <w:sz w:val="24"/>
          <w:szCs w:val="24"/>
        </w:rPr>
        <w:t xml:space="preserve">各岗位物业服务人员预计产生的双休日及法定节假日排班、延时工作，以及驾驶员出差、值班等情况见下表：</w:t>
      </w:r>
      <w:r/>
    </w:p>
    <w:tbl>
      <w:tblPr>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7"/>
        <w:gridCol w:w="1049"/>
        <w:gridCol w:w="1529"/>
        <w:gridCol w:w="1276"/>
        <w:gridCol w:w="1420"/>
        <w:gridCol w:w="1215"/>
        <w:gridCol w:w="1576"/>
      </w:tblGrid>
      <w:tr>
        <w:trPr>
          <w:jc w:val="center"/>
        </w:trPr>
        <w:tc>
          <w:tcPr>
            <w:tcW w:w="807"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序号</w:t>
            </w:r>
            <w:r/>
          </w:p>
        </w:tc>
        <w:tc>
          <w:tcPr>
            <w:tcW w:w="1049"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工种</w:t>
            </w:r>
            <w:r/>
          </w:p>
        </w:tc>
        <w:tc>
          <w:tcPr>
            <w:gridSpan w:val="5"/>
            <w:tcW w:w="701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人均情况</w:t>
            </w:r>
            <w:r/>
          </w:p>
        </w:tc>
      </w:tr>
      <w:tr>
        <w:trPr>
          <w:jc w:val="center"/>
        </w:trPr>
        <w:tc>
          <w:tcPr>
            <w:tcW w:w="807"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049"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529"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延时加班时长</w:t>
            </w:r>
            <w:r/>
          </w:p>
        </w:tc>
        <w:tc>
          <w:tcPr>
            <w:tcW w:w="1276"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双休日加班时长</w:t>
            </w:r>
            <w:r/>
          </w:p>
        </w:tc>
        <w:tc>
          <w:tcPr>
            <w:tcW w:w="1420"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法定节假日时长</w:t>
            </w:r>
            <w:r/>
          </w:p>
        </w:tc>
        <w:tc>
          <w:tcPr>
            <w:tcW w:w="1215"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值班</w:t>
            </w:r>
            <w:r/>
          </w:p>
        </w:tc>
        <w:tc>
          <w:tcPr>
            <w:tcW w:w="157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出差</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1</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会务</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2</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厨师</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4</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3</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厨工</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12</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4</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保洁</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10</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5</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2</w:t>
            </w:r>
            <w:r>
              <w:rPr>
                <w:rFonts w:hint="eastAsia" w:ascii="宋体" w:hAnsi="宋体" w:cs="宋体"/>
                <w:bCs/>
                <w:szCs w:val="21"/>
              </w:rPr>
              <w:t xml:space="preserve">天</w:t>
            </w:r>
            <w:r/>
          </w:p>
        </w:tc>
        <w:tc>
          <w:tcPr>
            <w:tcW w:w="1215"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天平时值班</w:t>
            </w:r>
            <w:r/>
          </w:p>
        </w:tc>
        <w:tc>
          <w:tcPr>
            <w:tcW w:w="15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次（每次不少于</w:t>
            </w:r>
            <w:r>
              <w:rPr>
                <w:rFonts w:ascii="仿宋_GB2312" w:hAnsi="宋体" w:eastAsia="仿宋_GB2312" w:cs="宋体"/>
                <w:bCs/>
                <w:szCs w:val="21"/>
              </w:rPr>
              <w:t xml:space="preserve">2</w:t>
            </w:r>
            <w:r>
              <w:rPr>
                <w:rFonts w:hint="eastAsia" w:ascii="宋体" w:hAnsi="宋体" w:cs="宋体"/>
                <w:bCs/>
                <w:szCs w:val="21"/>
              </w:rPr>
              <w:t xml:space="preserve">天）</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6</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水电工及安保</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5</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保洁服务方案。</w:t>
      </w:r>
      <w:r>
        <w:rPr>
          <w:rFonts w:ascii="宋体" w:hAnsi="宋体" w:cs="宋体"/>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bookmarkStart w:id="166" w:name="OLE_LINK6"/>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w:t>
      </w:r>
      <w:r>
        <w:rPr>
          <w:rFonts w:ascii="宋体" w:hAnsi="宋体" w:cs="宋体"/>
          <w:sz w:val="24"/>
          <w:szCs w:val="24"/>
        </w:rPr>
        <w:t xml:space="preserve">障处理与修复流程；遇到突发用电安全问题的紧急处理流程、方案、措施等；安全防范方案及停车疏导、来访客登记等。</w:t>
      </w:r>
      <w:r/>
    </w:p>
    <w:p>
      <w:pPr>
        <w:ind w:firstLine="482"/>
        <w:jc w:val="left"/>
        <w:spacing w:line="400" w:lineRule="exact"/>
        <w:rPr>
          <w:rFonts w:hint="eastAsia" w:ascii="宋体"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会务服务方案。</w:t>
      </w:r>
      <w:r>
        <w:rPr>
          <w:rFonts w:ascii="宋体" w:hAnsi="宋体" w:cs="宋体"/>
          <w:sz w:val="24"/>
          <w:szCs w:val="24"/>
        </w:rPr>
        <w:t xml:space="preserve">针对本项目需求提出会务服务方案，内容包括但不限于会议预订、会前准备、引导服务、会中服务、会后整理等，以及总体协调安排管理处机关保洁服务工作，方案应明确各环节操作流程</w:t>
      </w:r>
      <w:r>
        <w:rPr>
          <w:rFonts w:hint="eastAsia" w:ascii="宋体" w:hAnsi="宋体" w:cs="宋体"/>
          <w:sz w:val="24"/>
          <w:szCs w:val="24"/>
        </w:rPr>
        <w:t xml:space="preserve">、</w:t>
      </w:r>
      <w:r>
        <w:rPr>
          <w:rFonts w:ascii="宋体" w:hAnsi="宋体" w:cs="宋体"/>
          <w:sz w:val="24"/>
          <w:szCs w:val="24"/>
        </w:rPr>
        <w:t xml:space="preserve">标准</w:t>
      </w:r>
      <w:r>
        <w:rPr>
          <w:rFonts w:hint="eastAsia" w:ascii="宋体" w:hAnsi="宋体" w:cs="宋体"/>
          <w:sz w:val="24"/>
          <w:szCs w:val="24"/>
        </w:rPr>
        <w:t xml:space="preserve">及服务质量保障</w:t>
      </w:r>
      <w:r>
        <w:rPr>
          <w:rFonts w:ascii="宋体" w:hAnsi="宋体" w:cs="宋体"/>
          <w:sz w:val="24"/>
          <w:szCs w:val="24"/>
        </w:rPr>
        <w:t xml:space="preserve">，内容具体完整，具有较强的针对性。</w:t>
      </w:r>
      <w:r/>
    </w:p>
    <w:p>
      <w:pPr>
        <w:ind w:firstLine="480"/>
        <w:jc w:val="left"/>
        <w:spacing w:line="400" w:lineRule="exact"/>
        <w:widowControl/>
        <w:rPr>
          <w:rFonts w:hint="eastAsia" w:hAnsi="宋体" w:cs="宋体"/>
          <w:sz w:val="24"/>
          <w:szCs w:val="24"/>
        </w:rPr>
      </w:pPr>
      <w:r>
        <w:rPr>
          <w:rFonts w:hint="eastAsia" w:hAnsi="宋体" w:cs="宋体"/>
          <w:b/>
          <w:bCs/>
          <w:sz w:val="24"/>
          <w:szCs w:val="24"/>
        </w:rPr>
        <w:t xml:space="preserve">6.11</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bookmarkEnd w:id="166"/>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3"/>
        <w:gridCol w:w="710"/>
        <w:gridCol w:w="3057"/>
        <w:gridCol w:w="2823"/>
        <w:gridCol w:w="1309"/>
      </w:tblGrid>
      <w:tr>
        <w:trPr>
          <w:trHeight w:val="340"/>
          <w:tblHeader/>
        </w:trPr>
        <w:tc>
          <w:tcPr>
            <w:tcW w:w="121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类别</w:t>
            </w:r>
            <w:r/>
          </w:p>
        </w:tc>
        <w:tc>
          <w:tcPr>
            <w:tcW w:w="710"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项目</w:t>
            </w:r>
            <w:r/>
          </w:p>
        </w:tc>
        <w:tc>
          <w:tcPr>
            <w:tcW w:w="3057"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考核内容及评分标准</w:t>
            </w:r>
            <w:r/>
          </w:p>
        </w:tc>
        <w:tc>
          <w:tcPr>
            <w:tcW w:w="282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评分标准</w:t>
            </w:r>
            <w:r/>
          </w:p>
        </w:tc>
        <w:tc>
          <w:tcPr>
            <w:tcW w:w="1309"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扣分情况</w:t>
            </w:r>
            <w:r/>
          </w:p>
        </w:tc>
      </w:tr>
      <w:tr>
        <w:trPr>
          <w:trHeight w:val="52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人员管理</w:t>
            </w:r>
            <w:r/>
          </w:p>
          <w:p>
            <w:pPr>
              <w:jc w:val="center"/>
              <w:spacing w:line="300" w:lineRule="exact"/>
              <w:rPr>
                <w:rFonts w:hint="eastAsia" w:ascii="宋体" w:hAnsi="宋体" w:cs="宋体"/>
                <w:szCs w:val="21"/>
              </w:rPr>
            </w:pPr>
            <w:r>
              <w:rPr>
                <w:rFonts w:ascii="宋体" w:hAnsi="宋体" w:cs="宋体"/>
                <w:szCs w:val="21"/>
              </w:rPr>
              <w:t xml:space="preserve">（15分）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人员配备</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按照招标文件要求配备人员。</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8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仪容仪表</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7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劳动纪律</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68"/>
        </w:trPr>
        <w:tc>
          <w:tcPr>
            <w:tcW w:w="1213"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服务质量</w:t>
            </w:r>
            <w:r/>
          </w:p>
          <w:p>
            <w:pPr>
              <w:jc w:val="center"/>
              <w:spacing w:line="300" w:lineRule="exact"/>
              <w:rPr>
                <w:rFonts w:hint="eastAsia" w:ascii="宋体" w:hAnsi="宋体" w:cs="宋体"/>
                <w:szCs w:val="21"/>
              </w:rPr>
            </w:pPr>
            <w:r>
              <w:rPr>
                <w:rFonts w:ascii="宋体" w:hAnsi="宋体" w:cs="宋体"/>
                <w:szCs w:val="21"/>
              </w:rPr>
              <w:t xml:space="preserve">（35分）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服务</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1.具体考核条款标准详见附表。</w:t>
            </w:r>
            <w:r/>
          </w:p>
          <w:p>
            <w:pPr>
              <w:jc w:val="left"/>
              <w:spacing w:line="300" w:lineRule="exact"/>
              <w:rPr>
                <w:rFonts w:hint="eastAsia" w:ascii="宋体" w:hAnsi="宋体" w:cs="宋体"/>
                <w:szCs w:val="21"/>
              </w:rPr>
            </w:pPr>
            <w:r>
              <w:rPr>
                <w:rFonts w:ascii="宋体" w:hAnsi="宋体" w:cs="宋体"/>
                <w:szCs w:val="21"/>
              </w:rPr>
              <w:t xml:space="preserve">2.被高管中心检查反馈，一次扣5分；被控股公司检查反馈，一次扣10分，单项</w:t>
            </w:r>
            <w:r>
              <w:rPr>
                <w:rFonts w:ascii="宋体" w:hAnsi="宋体" w:cs="宋体"/>
                <w:szCs w:val="21"/>
              </w:rPr>
              <w:t xml:space="preserve">分（35分）扣完为止。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工具耗材</w:t>
            </w:r>
            <w:r/>
          </w:p>
          <w:p>
            <w:pPr>
              <w:jc w:val="center"/>
              <w:spacing w:line="300" w:lineRule="exact"/>
              <w:rPr>
                <w:rFonts w:hint="eastAsia" w:ascii="宋体" w:hAnsi="宋体" w:cs="宋体"/>
                <w:szCs w:val="21"/>
              </w:rPr>
            </w:pPr>
            <w:r>
              <w:rPr>
                <w:rFonts w:ascii="宋体" w:hAnsi="宋体" w:cs="宋体"/>
                <w:szCs w:val="21"/>
              </w:rPr>
              <w:t xml:space="preserve">（10分）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工具管理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69"/>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仓库管理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每小项欠缺或不全酌情扣0.5-2分。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6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耗材管理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有领用不合理等现象酌情扣0.5-2分。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413"/>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现场管理</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管理人员</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按照招标文件要求配备专职联系人，管理指挥得当，认真负责，管理到位（5分）。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管理混乱，有工作推诿、不负责等现象酌情扣1-5分。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台帐管理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工作台帐规范健全，记录及时规范（10分）。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1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应急预案</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7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其他</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任务完成情况</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能够保质保量完成各项合理工作任务（5分）。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不能完成合理工作任务酌情扣1-5分。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90"/>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投诉处理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92"/>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内部管理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2823"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无制度扣3分，制度不完善扣0.5-1分，考核记录不规范扣0.5-2分。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63"/>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其他</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2823"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93"/>
        </w:trPr>
        <w:tc>
          <w:tcPr>
            <w:gridSpan w:val="2"/>
            <w:tcW w:w="1923"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月度得分</w:t>
            </w:r>
            <w:r/>
          </w:p>
        </w:tc>
        <w:tc>
          <w:tcPr>
            <w:gridSpan w:val="3"/>
            <w:tcW w:w="7189"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r>
            <w:r/>
          </w:p>
        </w:tc>
      </w:tr>
    </w:tbl>
    <w:p>
      <w:pPr>
        <w:spacing w:line="300" w:lineRule="exact"/>
        <w:rPr>
          <w:rFonts w:hint="eastAsia" w:ascii="宋体" w:hAnsi="宋体" w:cs="宋体"/>
          <w:b/>
          <w:sz w:val="24"/>
          <w:szCs w:val="24"/>
        </w:rPr>
      </w:pPr>
      <w:r>
        <w:rPr>
          <w:rFonts w:hint="eastAsia" w:ascii="宋体" w:hAnsi="宋体" w:cs="宋体"/>
          <w:b/>
          <w:sz w:val="24"/>
          <w:szCs w:val="24"/>
        </w:rPr>
      </w:r>
      <w:r/>
    </w:p>
    <w:p>
      <w:pPr>
        <w:spacing w:line="300" w:lineRule="exact"/>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32"/>
          <w:szCs w:val="32"/>
        </w:rPr>
      </w:pPr>
      <w:r>
        <w:rPr>
          <w:rFonts w:ascii="宋体" w:hAnsi="宋体" w:cs="宋体"/>
          <w:b/>
          <w:sz w:val="32"/>
          <w:szCs w:val="32"/>
        </w:rPr>
        <w:t xml:space="preserve">附表：物业服务考核条款及标准</w:t>
      </w:r>
      <w:r/>
    </w:p>
    <w:p>
      <w:pPr>
        <w:jc w:val="center"/>
        <w:spacing w:line="300" w:lineRule="exact"/>
        <w:rPr>
          <w:rFonts w:hint="eastAsia" w:ascii="仿宋_GB2312" w:hAnsi="仿宋_GB2312" w:eastAsia="仿宋_GB2312" w:cs="仿宋_GB2312"/>
          <w:b/>
          <w:szCs w:val="21"/>
        </w:rPr>
      </w:pPr>
      <w:r>
        <w:rPr>
          <w:rFonts w:hint="eastAsia" w:ascii="仿宋_GB2312" w:hAnsi="仿宋_GB2312" w:eastAsia="仿宋_GB2312" w:cs="仿宋_GB2312"/>
          <w:b/>
          <w:szCs w:val="21"/>
        </w:rPr>
      </w:r>
      <w:r/>
    </w:p>
    <w:tbl>
      <w:tblPr>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32"/>
        <w:gridCol w:w="1261"/>
        <w:gridCol w:w="1050"/>
        <w:gridCol w:w="5543"/>
        <w:gridCol w:w="908"/>
      </w:tblGrid>
      <w:tr>
        <w:trPr>
          <w:jc w:val="center"/>
          <w:trHeight w:val="567"/>
          <w:tblHeader/>
        </w:trPr>
        <w:tc>
          <w:tcPr>
            <w:tcW w:w="385" w:type="dxa"/>
            <w:vAlign w:val="center"/>
            <w:textDirection w:val="lrTb"/>
            <w:noWrap w:val="false"/>
          </w:tcPr>
          <w:p>
            <w:pPr>
              <w:ind w:left="107"/>
              <w:jc w:val="center"/>
              <w:spacing w:before="15"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664" w:type="dxa"/>
            <w:vAlign w:val="center"/>
            <w:textDirection w:val="lrTb"/>
            <w:noWrap w:val="false"/>
          </w:tcPr>
          <w:p>
            <w:pPr>
              <w:ind w:left="107"/>
              <w:jc w:val="center"/>
              <w:spacing w:before="15"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553" w:type="dxa"/>
            <w:vAlign w:val="center"/>
            <w:textDirection w:val="lrTb"/>
            <w:noWrap w:val="false"/>
          </w:tcPr>
          <w:p>
            <w:pPr>
              <w:ind w:left="107"/>
              <w:jc w:val="center"/>
              <w:spacing w:before="15" w:line="300" w:lineRule="exact"/>
              <w:rPr>
                <w:rFonts w:hint="eastAsia" w:ascii="宋体" w:hAnsi="宋体" w:cs="宋体"/>
                <w:b/>
                <w:szCs w:val="21"/>
                <w:lang w:bidi="zh-CN"/>
              </w:rPr>
            </w:pPr>
            <w:r>
              <w:rPr>
                <w:rFonts w:ascii="宋体" w:hAnsi="宋体" w:cs="宋体"/>
                <w:b/>
                <w:szCs w:val="21"/>
                <w:lang w:bidi="zh-CN"/>
              </w:rPr>
              <w:t xml:space="preserve">项目</w:t>
            </w:r>
            <w:r/>
          </w:p>
        </w:tc>
        <w:tc>
          <w:tcPr>
            <w:tcW w:w="2918" w:type="dxa"/>
            <w:vAlign w:val="center"/>
            <w:textDirection w:val="lrTb"/>
            <w:noWrap w:val="false"/>
          </w:tcPr>
          <w:p>
            <w:pPr>
              <w:ind w:left="1202" w:right="1195"/>
              <w:jc w:val="center"/>
              <w:spacing w:before="15"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478" w:type="dxa"/>
            <w:vAlign w:val="center"/>
            <w:textDirection w:val="lrTb"/>
            <w:noWrap w:val="false"/>
          </w:tcPr>
          <w:p>
            <w:pPr>
              <w:jc w:val="center"/>
              <w:spacing w:before="15" w:line="300" w:lineRule="exact"/>
              <w:rPr>
                <w:rFonts w:ascii="仿宋_GB2312" w:eastAsia="仿宋_GB2312"/>
                <w:b/>
                <w:szCs w:val="21"/>
                <w:lang w:val="zh-CN" w:eastAsia="en-US" w:bidi="zh-CN"/>
              </w:rPr>
            </w:pPr>
            <w:r>
              <w:rPr>
                <w:rFonts w:hint="eastAsia" w:ascii="宋体" w:hAnsi="宋体" w:cs="宋体"/>
                <w:b/>
                <w:szCs w:val="21"/>
                <w:lang w:eastAsia="en-US" w:bidi="zh-CN"/>
              </w:rPr>
              <w:t xml:space="preserve">备注</w:t>
            </w:r>
            <w:r/>
          </w:p>
        </w:tc>
      </w:tr>
      <w:tr>
        <w:trPr>
          <w:jc w:val="center"/>
          <w:trHeight w:val="567"/>
        </w:trPr>
        <w:tc>
          <w:tcPr>
            <w:tcW w:w="385" w:type="dxa"/>
            <w:vAlign w:val="center"/>
            <w:textDirection w:val="lrTb"/>
            <w:noWrap w:val="false"/>
          </w:tcPr>
          <w:p>
            <w:pPr>
              <w:jc w:val="center"/>
              <w:spacing w:before="1"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553" w:type="dxa"/>
            <w:vAlign w:val="center"/>
            <w:vMerge w:val="restart"/>
            <w:textDirection w:val="lrTb"/>
            <w:noWrap w:val="false"/>
          </w:tcPr>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2918" w:type="dxa"/>
            <w:vAlign w:val="center"/>
            <w:textDirection w:val="lrTb"/>
            <w:noWrap w:val="false"/>
          </w:tcPr>
          <w:p>
            <w:pPr>
              <w:ind w:right="131"/>
              <w:spacing w:before="15"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664"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员工上岗前未购买足额的意外险，发现一次扣10分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9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人员出勤率未达95%以上的，发生一次扣2分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人员离岗率超过10%，发生一次扣2分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员工离职未及时上报，发现一次扣2分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员工有盗窃、失密等违法乱纪行为，当事员工应解除合同，情节严重按相关法规处理。未及时处理的，发现一次扣5分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4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bl>
    <w:p>
      <w:pPr>
        <w:rPr>
          <w:szCs w:val="21"/>
        </w:rPr>
      </w:pPr>
      <w:r>
        <w:rPr>
          <w:szCs w:val="21"/>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w:t>
      </w:r>
      <w:r>
        <w:rPr>
          <w:rFonts w:ascii="宋体" w:hAnsi="宋体" w:cs="宋体"/>
          <w:sz w:val="24"/>
          <w:szCs w:val="24"/>
        </w:rPr>
        <w:t xml:space="preserve">属性:</w:t>
      </w:r>
      <w:r>
        <w:rPr>
          <w:rFonts w:ascii="宋体" w:hAnsi="宋体" w:cs="宋体"/>
          <w:sz w:val="24"/>
          <w:szCs w:val="24"/>
        </w:rPr>
        <w:t xml:space="preserve">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8.2.1</w:t>
      </w:r>
      <w:r>
        <w:rPr>
          <w:rFonts w:ascii="宋体" w:hAnsi="宋体" w:cs="宋体"/>
          <w:bCs/>
          <w:sz w:val="24"/>
          <w:szCs w:val="24"/>
        </w:rPr>
        <w:t xml:space="preserve">投标人需具备非住宅类物业项目管理服务经验，能够提供自2023年1月1日以来（以合同签订日期为准）类似本项目的业绩</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8.2.2</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8.2.3</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w:t>
      </w:r>
      <w:r>
        <w:rPr>
          <w:rFonts w:ascii="宋体" w:hAnsi="宋体" w:cs="宋体"/>
          <w:bCs/>
          <w:sz w:val="24"/>
          <w:szCs w:val="24"/>
        </w:rPr>
        <w:t xml:space="preserve">应商软件著作权证书，使用第三方开发的系统须提供第三方研发该系统的软件著作权证书及购买第三方系统的采购合同。</w:t>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ind w:firstLine="560"/>
        <w:spacing w:line="400" w:lineRule="exact"/>
        <w:rPr>
          <w:rFonts w:hint="eastAsia" w:ascii="黑体" w:hAnsi="黑体" w:eastAsia="黑体" w:cs="黑体"/>
          <w:sz w:val="28"/>
          <w:szCs w:val="28"/>
        </w:rPr>
      </w:pPr>
      <w:r>
        <w:rPr>
          <w:rFonts w:ascii="黑体" w:hAnsi="黑体" w:eastAsia="黑体" w:cs="黑体"/>
          <w:sz w:val="28"/>
          <w:szCs w:val="28"/>
        </w:rPr>
        <w:t xml:space="preserve">采购包2：</w:t>
      </w:r>
      <w:r/>
    </w:p>
    <w:p>
      <w:pPr>
        <w:pStyle w:val="853"/>
        <w:ind w:firstLine="640"/>
        <w:spacing w:before="120" w:after="120" w:line="560" w:lineRule="exact"/>
        <w:rPr>
          <w:rFonts w:hint="eastAsia" w:hAnsi="宋体"/>
          <w:b/>
          <w:sz w:val="24"/>
          <w:szCs w:val="24"/>
        </w:rPr>
      </w:pPr>
      <w:r>
        <w:rPr>
          <w:rFonts w:hint="eastAsia" w:ascii="方正黑体_GBK" w:hAnsi="方正黑体_GBK" w:eastAsia="方正黑体_GBK" w:cs="方正黑体_GBK"/>
          <w:bCs/>
          <w:sz w:val="32"/>
          <w:szCs w:val="32"/>
        </w:rPr>
        <w:t xml:space="preserve">一、采购标的清单</w:t>
      </w:r>
      <w:r/>
    </w:p>
    <w:tbl>
      <w:tblPr>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2"/>
        <w:gridCol w:w="818"/>
        <w:gridCol w:w="3846"/>
        <w:gridCol w:w="2986"/>
      </w:tblGrid>
      <w:tr>
        <w:trPr>
          <w:cantSplit/>
          <w:jc w:val="center"/>
        </w:trPr>
        <w:tc>
          <w:tcPr>
            <w:tcW w:w="1382"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采购包</w:t>
            </w:r>
            <w:r/>
          </w:p>
        </w:tc>
        <w:tc>
          <w:tcPr>
            <w:tcW w:w="818"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序号</w:t>
            </w:r>
            <w:r/>
          </w:p>
        </w:tc>
        <w:tc>
          <w:tcPr>
            <w:tcW w:w="384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采购标的</w:t>
            </w:r>
            <w:r/>
          </w:p>
        </w:tc>
        <w:tc>
          <w:tcPr>
            <w:tcW w:w="298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对应中小企业划分标准所属行业</w:t>
            </w:r>
            <w:r/>
          </w:p>
        </w:tc>
      </w:tr>
      <w:tr>
        <w:trPr>
          <w:cantSplit/>
          <w:jc w:val="center"/>
          <w:trHeight w:val="291"/>
        </w:trPr>
        <w:tc>
          <w:tcPr>
            <w:tcW w:w="1382"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采购包2</w:t>
            </w:r>
            <w:r/>
          </w:p>
        </w:tc>
        <w:tc>
          <w:tcPr>
            <w:tcW w:w="81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2</w:t>
            </w:r>
            <w:r/>
          </w:p>
        </w:tc>
        <w:tc>
          <w:tcPr>
            <w:tcW w:w="3846" w:type="dxa"/>
            <w:vAlign w:val="center"/>
            <w:textDirection w:val="lrTb"/>
            <w:noWrap w:val="false"/>
          </w:tcPr>
          <w:p>
            <w:pPr>
              <w:jc w:val="center"/>
              <w:spacing w:line="0" w:lineRule="atLeast"/>
              <w:tabs>
                <w:tab w:val="left" w:pos="2020" w:leader="none"/>
              </w:tabs>
              <w:rPr>
                <w:rFonts w:hint="eastAsia" w:ascii="宋体" w:hAnsi="宋体"/>
                <w:szCs w:val="21"/>
              </w:rPr>
            </w:pPr>
            <w:r>
              <w:rPr>
                <w:rFonts w:ascii="宋体" w:hAnsi="宋体"/>
                <w:szCs w:val="21"/>
              </w:rPr>
              <w:t xml:space="preserve">2026年-2027年崇启大桥管理处物业服务采购</w:t>
            </w:r>
            <w:r/>
          </w:p>
        </w:tc>
        <w:tc>
          <w:tcPr>
            <w:tcW w:w="298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5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黑体" w:hAnsi="黑体" w:eastAsia="黑体" w:cs="黑体"/>
          <w:sz w:val="28"/>
          <w:szCs w:val="28"/>
        </w:rPr>
      </w:pPr>
      <w:r>
        <w:rPr>
          <w:rFonts w:hint="eastAsia" w:ascii="黑体" w:hAnsi="黑体" w:eastAsia="黑体" w:cs="黑体"/>
          <w:sz w:val="28"/>
          <w:szCs w:val="28"/>
        </w:rPr>
      </w:r>
      <w:r/>
    </w:p>
    <w:p>
      <w:pPr>
        <w:ind w:firstLine="640"/>
        <w:spacing w:line="40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rPr>
          <w:rFonts w:hint="eastAsia" w:ascii="宋体" w:hAnsi="宋体"/>
          <w:b/>
          <w:sz w:val="24"/>
          <w:szCs w:val="24"/>
        </w:rPr>
        <w:t xml:space="preserve">1.</w:t>
      </w:r>
      <w:r>
        <w:rPr>
          <w:rFonts w:ascii="宋体" w:hAnsi="宋体" w:cs="宋体"/>
          <w:b/>
          <w:bCs/>
          <w:sz w:val="24"/>
          <w:szCs w:val="24"/>
        </w:rPr>
        <w:t xml:space="preserve">项目基本情况</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1.1</w:t>
      </w:r>
      <w:r>
        <w:rPr>
          <w:rFonts w:ascii="Calibri" w:hAnsi="Calibri"/>
          <w:b/>
          <w:bCs/>
          <w:sz w:val="24"/>
          <w:szCs w:val="24"/>
          <w:lang w:bidi="en-US"/>
        </w:rPr>
        <w:t xml:space="preserve">物业情况</w:t>
      </w:r>
      <w:r/>
    </w:p>
    <w:tbl>
      <w:tblPr>
        <w:tblW w:w="513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21"/>
        <w:gridCol w:w="6105"/>
      </w:tblGrid>
      <w:tr>
        <w:trPr>
          <w:trHeight w:val="567" w:hRule="exact"/>
        </w:trPr>
        <w:tc>
          <w:tcPr>
            <w:tcW w:w="3085"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物业服务地点</w:t>
            </w:r>
            <w:r/>
          </w:p>
        </w:tc>
        <w:tc>
          <w:tcPr>
            <w:tcW w:w="567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物业服务地址</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崇启大桥管理处</w:t>
            </w:r>
            <w:r/>
          </w:p>
          <w:p>
            <w:pPr>
              <w:jc w:val="center"/>
              <w:rPr>
                <w:rFonts w:hint="eastAsia" w:ascii="宋体" w:hAnsi="宋体" w:cs="宋体"/>
                <w:sz w:val="24"/>
                <w:szCs w:val="24"/>
              </w:rPr>
            </w:pPr>
            <w:r>
              <w:rPr>
                <w:rFonts w:ascii="宋体" w:hAnsi="宋体" w:cs="宋体"/>
                <w:sz w:val="24"/>
                <w:szCs w:val="24"/>
              </w:rPr>
              <w:t xml:space="preserve">处机关</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江苏省启东市，G40沪陕高速K105处</w:t>
            </w:r>
            <w:r/>
          </w:p>
        </w:tc>
      </w:tr>
    </w:tbl>
    <w:p>
      <w:pPr>
        <w:ind w:firstLine="482"/>
        <w:spacing w:line="400" w:lineRule="exact"/>
        <w:rPr>
          <w:rFonts w:hint="eastAsia" w:ascii="宋体" w:hAnsi="宋体" w:cs="宋体"/>
          <w:b/>
          <w:bCs/>
          <w:iCs/>
          <w:sz w:val="24"/>
          <w:szCs w:val="24"/>
        </w:rPr>
      </w:pPr>
      <w:r>
        <w:rPr>
          <w:rFonts w:hint="eastAsia" w:ascii="宋体" w:hAnsi="宋体" w:cs="宋体"/>
          <w:b/>
          <w:bCs/>
          <w:sz w:val="24"/>
          <w:szCs w:val="24"/>
        </w:rPr>
        <w:t xml:space="preserve">1.2</w:t>
      </w:r>
      <w:r>
        <w:rPr>
          <w:rFonts w:ascii="宋体" w:hAnsi="宋体" w:cs="宋体"/>
          <w:b/>
          <w:bCs/>
          <w:iCs/>
          <w:sz w:val="24"/>
          <w:szCs w:val="24"/>
        </w:rPr>
        <w:t xml:space="preserve">采购人提供供应商使用的场地、设施、设备、材料等</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（1）</w:t>
      </w:r>
      <w:r>
        <w:rPr>
          <w:rFonts w:ascii="宋体" w:hAnsi="宋体" w:cs="宋体"/>
          <w:iCs/>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（2）</w:t>
      </w:r>
      <w:r>
        <w:rPr>
          <w:rFonts w:ascii="宋体" w:hAnsi="宋体" w:cs="宋体"/>
          <w:iCs/>
          <w:sz w:val="24"/>
          <w:szCs w:val="24"/>
        </w:rPr>
        <w:t xml:space="preserve">采购人可提供的物业管理服务设备：①厨房设备：炉灶、蒸箱、冰箱、冰柜、</w:t>
      </w:r>
      <w:r>
        <w:rPr>
          <w:rFonts w:ascii="宋体" w:hAnsi="宋体" w:cs="宋体"/>
          <w:iCs/>
          <w:sz w:val="24"/>
          <w:szCs w:val="24"/>
        </w:rPr>
        <w:t xml:space="preserve">消毒柜、油烟净化设备、厨具（锅具、刀具）、餐具、食品加工操作台、储物柜、排风系统等；②保洁设备：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（3）</w:t>
      </w:r>
      <w:r>
        <w:rPr>
          <w:rFonts w:ascii="宋体" w:hAnsi="宋体" w:cs="宋体"/>
          <w:iCs/>
          <w:sz w:val="24"/>
          <w:szCs w:val="24"/>
        </w:rPr>
        <w:t xml:space="preserve">采购人可提供厨房用调味料、粮油等。提供食堂，餐费由供应商自理；</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（4）</w:t>
      </w:r>
      <w:r>
        <w:rPr>
          <w:rFonts w:ascii="宋体" w:hAnsi="宋体" w:cs="宋体"/>
          <w:iCs/>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（5）</w:t>
      </w:r>
      <w:r>
        <w:rPr>
          <w:rFonts w:ascii="宋体" w:hAnsi="宋体" w:cs="宋体"/>
          <w:iCs/>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（6）</w:t>
      </w:r>
      <w:r>
        <w:rPr>
          <w:rFonts w:ascii="宋体" w:hAnsi="宋体" w:cs="宋体"/>
          <w:iCs/>
          <w:sz w:val="24"/>
          <w:szCs w:val="24"/>
        </w:rPr>
        <w:t xml:space="preserve">采购人可提供的能源供应：工作场所的水、电、燃气供应。</w:t>
      </w:r>
      <w:r/>
    </w:p>
    <w:p>
      <w:pPr>
        <w:ind w:firstLine="480"/>
        <w:spacing w:line="400" w:lineRule="exact"/>
        <w:rPr>
          <w:rFonts w:hint="eastAsia" w:ascii="宋体" w:hAnsi="宋体" w:cs="宋体"/>
          <w:iCs/>
          <w:sz w:val="24"/>
          <w:szCs w:val="24"/>
        </w:rPr>
      </w:pPr>
      <w:r>
        <w:rPr>
          <w:rFonts w:ascii="宋体" w:hAnsi="宋体" w:cs="宋体"/>
          <w:iCs/>
          <w:sz w:val="24"/>
          <w:szCs w:val="24"/>
        </w:rPr>
        <w:t xml:space="preserve">供应商应当承担除以上所列场地、设施、设备、材料外，与物业管理服务有关的其他场地、设施、设备、材料等。</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1.3</w:t>
      </w:r>
      <w:r>
        <w:rPr>
          <w:rFonts w:ascii="Calibri" w:hAnsi="Calibri"/>
          <w:b/>
          <w:bCs/>
          <w:sz w:val="24"/>
          <w:szCs w:val="24"/>
          <w:lang w:bidi="en-US"/>
        </w:rPr>
        <w:t xml:space="preserve">物业服务范围</w:t>
      </w:r>
      <w:r/>
    </w:p>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（1）</w:t>
      </w:r>
      <w:r>
        <w:rPr>
          <w:rFonts w:ascii="宋体" w:hAnsi="宋体" w:cs="宋体"/>
          <w:b/>
          <w:bCs/>
          <w:iCs/>
          <w:sz w:val="24"/>
          <w:szCs w:val="24"/>
        </w:rPr>
        <w:t xml:space="preserve">崇启处处机关（含调度中心）</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4395.65㎡</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4"/>
        <w:gridCol w:w="5360"/>
      </w:tblGrid>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崇启处处机关广场</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3925㎡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（2）</w:t>
      </w:r>
      <w:r>
        <w:rPr>
          <w:rFonts w:ascii="宋体" w:hAnsi="宋体" w:cs="宋体"/>
          <w:b/>
          <w:bCs/>
          <w:iCs/>
          <w:sz w:val="24"/>
          <w:szCs w:val="24"/>
        </w:rPr>
        <w:t xml:space="preserve">启东南收费站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2578㎡</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8"/>
        <w:gridCol w:w="5359"/>
      </w:tblGrid>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79"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启东南收费站广场</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4965㎡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（3）</w:t>
      </w:r>
      <w:r>
        <w:rPr>
          <w:rFonts w:ascii="宋体" w:hAnsi="宋体" w:cs="宋体"/>
          <w:b/>
          <w:bCs/>
          <w:iCs/>
          <w:sz w:val="24"/>
          <w:szCs w:val="24"/>
        </w:rPr>
        <w:t xml:space="preserve">启东北收费站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启东北收费站办公楼</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1289.7㎡</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启东北收费站广场</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1848㎡</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2.1</w:t>
      </w:r>
      <w:r>
        <w:rPr>
          <w:rFonts w:ascii="宋体" w:hAnsi="宋体" w:cs="宋体"/>
          <w:b/>
          <w:bCs/>
          <w:sz w:val="24"/>
          <w:szCs w:val="24"/>
        </w:rPr>
        <w:t xml:space="preserve">物业服务内容及标准</w:t>
      </w:r>
      <w:r/>
    </w:p>
    <w:p>
      <w:pPr>
        <w:ind w:firstLine="482"/>
        <w:spacing w:line="360" w:lineRule="exact"/>
        <w:rPr>
          <w:rFonts w:hint="eastAsia" w:ascii="宋体" w:hAnsi="宋体" w:cs="宋体"/>
          <w:b/>
          <w:sz w:val="24"/>
          <w:szCs w:val="24"/>
        </w:rPr>
      </w:pPr>
      <w:r>
        <w:rPr>
          <w:rFonts w:hint="eastAsia" w:ascii="宋体" w:hAnsi="宋体" w:cs="宋体"/>
          <w:b/>
          <w:bCs/>
          <w:sz w:val="24"/>
          <w:szCs w:val="24"/>
        </w:rPr>
        <w:t xml:space="preserve">2.1.1</w:t>
      </w:r>
      <w:r>
        <w:rPr>
          <w:rFonts w:ascii="宋体" w:hAnsi="宋体" w:cs="宋体"/>
          <w:b/>
          <w:sz w:val="24"/>
          <w:szCs w:val="24"/>
        </w:rPr>
        <w:t xml:space="preserve">基本服务</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1653"/>
        <w:gridCol w:w="6150"/>
      </w:tblGrid>
      <w:tr>
        <w:trPr>
          <w:jc w:val="center"/>
          <w:trHeight w:val="576"/>
        </w:trPr>
        <w:tc>
          <w:tcPr>
            <w:tcW w:w="719"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序号</w:t>
            </w:r>
            <w:r/>
          </w:p>
        </w:tc>
        <w:tc>
          <w:tcPr>
            <w:tcW w:w="1653"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服务内容</w:t>
            </w:r>
            <w:r/>
          </w:p>
        </w:tc>
        <w:tc>
          <w:tcPr>
            <w:tcW w:w="6150"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服务标准</w:t>
            </w:r>
            <w:r/>
          </w:p>
        </w:tc>
      </w:tr>
      <w:tr>
        <w:trPr>
          <w:jc w:val="center"/>
          <w:trHeight w:val="970"/>
        </w:trPr>
        <w:tc>
          <w:tcPr>
            <w:tcW w:w="719"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1</w:t>
            </w:r>
            <w:r/>
          </w:p>
        </w:tc>
        <w:tc>
          <w:tcPr>
            <w:tcW w:w="1653"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目标与责任</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需指定专人兼管本项目，结合采购人要求及物业服务实际情况，制定年度管理目标，明确责任分工，制定配套实施方案，并按照采购人要求定期开展监督检查。</w:t>
            </w:r>
            <w:r/>
          </w:p>
        </w:tc>
      </w:tr>
      <w:tr>
        <w:trPr>
          <w:jc w:val="center"/>
          <w:trHeight w:val="62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2</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服务人员</w:t>
            </w:r>
            <w:r/>
          </w:p>
          <w:p>
            <w:pPr>
              <w:jc w:val="center"/>
              <w:spacing w:line="260" w:lineRule="exact"/>
              <w:rPr>
                <w:rFonts w:hint="eastAsia" w:ascii="宋体" w:hAnsi="宋体" w:cs="宋体"/>
                <w:bCs/>
                <w:szCs w:val="21"/>
              </w:rPr>
            </w:pPr>
            <w:r>
              <w:rPr>
                <w:rFonts w:ascii="宋体" w:hAnsi="宋体" w:cs="宋体"/>
                <w:bCs/>
                <w:szCs w:val="21"/>
              </w:rPr>
              <w:t xml:space="preserve">要求</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（1）根据采购人要求对服务人员进行从业资格审查，审查结果向采购人报备。</w:t>
            </w:r>
            <w:r/>
          </w:p>
        </w:tc>
      </w:tr>
      <w:tr>
        <w:trPr>
          <w:jc w:val="center"/>
          <w:trHeight w:val="83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（2）服务人员到岗前应当经过必要的岗前培训以达到岗位能力要求，国家、行业规定应当取得职业资格证书或特种作业证书的，应当按规定持证上岗。</w:t>
            </w:r>
            <w:r/>
          </w:p>
        </w:tc>
      </w:tr>
      <w:tr>
        <w:trPr>
          <w:jc w:val="center"/>
          <w:trHeight w:val="114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52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（4）各岗位工作人员着装分类统一，佩戴标识。仪容整洁、姿态端正、举止文明。用语文明礼貌，态度温和耐心。</w:t>
            </w:r>
            <w:r/>
          </w:p>
        </w:tc>
      </w:tr>
      <w:tr>
        <w:trPr>
          <w:jc w:val="center"/>
          <w:trHeight w:val="627"/>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3</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保密管理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（1）建立保密管理制度。制度内容应当包括但不限于：①明确重点要害岗位保密职责。②对涉密工作岗位的保密要求。</w:t>
            </w:r>
            <w:r/>
          </w:p>
        </w:tc>
      </w:tr>
      <w:tr>
        <w:trPr>
          <w:jc w:val="center"/>
          <w:trHeight w:val="945"/>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szCs w:val="21"/>
              </w:rPr>
              <w:t xml:space="preserve">（3）发现服务人员违法违规或重大过失，及时报告采购人，并采取必要补救措施。</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4</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档案管理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（1）建立物业信息，准确、及时地对文件资料和服务记录进行归档保存，并确保其物理安全。</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（2）遵守采购人的信息、档案资料保密要求，未经许可，不得将建筑物平面图等资料转作其他用途或向其他单位、个人提供。</w:t>
            </w:r>
            <w:r/>
          </w:p>
        </w:tc>
      </w:tr>
      <w:tr>
        <w:trPr>
          <w:jc w:val="center"/>
          <w:trHeight w:val="620"/>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（3）履约结束后，相关资料交还采购人，采购人按政府采购规定存档。</w:t>
            </w:r>
            <w:r/>
          </w:p>
        </w:tc>
      </w:tr>
      <w:tr>
        <w:trPr>
          <w:jc w:val="center"/>
          <w:trHeight w:val="57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5</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服务改进</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w:t>
            </w:r>
            <w:r>
              <w:rPr>
                <w:rFonts w:ascii="宋体" w:hAnsi="宋体" w:cs="宋体"/>
                <w:szCs w:val="21"/>
              </w:rPr>
              <w:t xml:space="preserve">明确负责人，定期对物业服务过程进行自查，结合反馈意见与评价结果采取改进措施，持续提升管理与服务水平。</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w:t>
            </w:r>
            <w:r>
              <w:rPr>
                <w:rFonts w:ascii="宋体" w:hAnsi="宋体" w:cs="宋体"/>
                <w:szCs w:val="21"/>
              </w:rPr>
              <w:t xml:space="preserve">对不合格服务进行控制，对不合格服务的原因进行识别和分析，及时采取纠正措施，消除不合格的原因，防止不合格再发生。</w:t>
            </w:r>
            <w:r/>
          </w:p>
        </w:tc>
      </w:tr>
      <w:tr>
        <w:trPr>
          <w:jc w:val="center"/>
          <w:trHeight w:val="41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w:t>
            </w:r>
            <w:r>
              <w:rPr>
                <w:rFonts w:ascii="宋体" w:hAnsi="宋体" w:cs="宋体"/>
                <w:szCs w:val="21"/>
              </w:rPr>
              <w:t xml:space="preserve">需整改问题及时整改完成。</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6</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管理制度及工作方案</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（1）制定管理制度，主要包括：人员录用制度、岗位职责、档案管理制度、物业服务管理制度、人员考核制度等。</w:t>
            </w:r>
            <w:r/>
          </w:p>
        </w:tc>
      </w:tr>
      <w:tr>
        <w:trPr>
          <w:jc w:val="center"/>
          <w:trHeight w:val="83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（2）制定项目实施方案，主要包括：承接查验方案、进场准备工作方案、合同到期交接方案、人员培训方案、突发事件处置方案等。</w:t>
            </w:r>
            <w:r/>
          </w:p>
        </w:tc>
      </w:tr>
      <w:tr>
        <w:trPr>
          <w:jc w:val="center"/>
          <w:trHeight w:val="654"/>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（3）制定物业服务方案，主要包括：综合管理服务方案、室内外卫生保洁服务方案、餐饮服务方案、驾驶员服务方案等。</w:t>
            </w:r>
            <w:r/>
          </w:p>
        </w:tc>
      </w:tr>
    </w:tbl>
    <w:p>
      <w:pPr>
        <w:contextualSpacing/>
        <w:ind w:firstLine="482"/>
        <w:spacing w:line="40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2.1.2</w:t>
      </w:r>
      <w:r>
        <w:rPr>
          <w:rFonts w:ascii="宋体" w:hAnsi="宋体" w:cs="宋体"/>
          <w:b/>
          <w:bCs/>
          <w:sz w:val="24"/>
          <w:szCs w:val="24"/>
          <w:lang w:eastAsia="en-US" w:bidi="en-US"/>
        </w:rPr>
        <w:t xml:space="preserve">保洁服务</w:t>
      </w:r>
      <w:r/>
    </w:p>
    <w:tbl>
      <w:tblPr>
        <w:tblW w:w="500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1715"/>
        <w:gridCol w:w="6638"/>
      </w:tblGrid>
      <w:tr>
        <w:trPr>
          <w:trHeight w:val="407"/>
        </w:trPr>
        <w:tc>
          <w:tcPr>
            <w:tcW w:w="777"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序号</w:t>
            </w:r>
            <w:r/>
          </w:p>
        </w:tc>
        <w:tc>
          <w:tcPr>
            <w:tcW w:w="1593"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服务内容</w:t>
            </w:r>
            <w:r/>
          </w:p>
        </w:tc>
        <w:tc>
          <w:tcPr>
            <w:tcW w:w="6166"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服务标准</w:t>
            </w:r>
            <w:r/>
          </w:p>
        </w:tc>
      </w:tr>
      <w:tr>
        <w:trPr>
          <w:trHeight w:val="633"/>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1</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基本要求</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（1）建立健全环境卫生保洁管理制度，负责常规项目保洁，实行规范化的清扫保洁标准，明确责任落实到人。</w:t>
            </w:r>
            <w:r/>
          </w:p>
        </w:tc>
      </w:tr>
      <w:tr>
        <w:trPr>
          <w:trHeight w:val="9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（2）负责机关大楼或收费站院内停车场、办公楼内外、周边等公共部位的所有地面、墙面、顶面、附属设施、设备、器</w:t>
            </w:r>
            <w:r>
              <w:rPr>
                <w:rFonts w:ascii="宋体" w:hAnsi="宋体" w:cs="宋体"/>
                <w:szCs w:val="21"/>
                <w:lang w:bidi="en-US"/>
              </w:rPr>
              <w:t xml:space="preserve">具的保洁服务。包含但不限于以下内容：包括院内道路，停车位、绿化内垃圾，收费道口全域、阳光房、走廊、公共卫生间、茶水间、水箱、楼梯间、活动室、会议室、配电间、洗衣房、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w:t>
            </w:r>
            <w:r/>
          </w:p>
        </w:tc>
      </w:tr>
      <w:tr>
        <w:trPr>
          <w:trHeight w:val="8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（3）负责本物业管理范围内的各类下水道、污水井管的通畅保障，“门前三包”和垃圾整理清运工作。所有公共区域不得堆放杂物，无废弃物、污渍，保持清洁，卫生间洁净无异味，应达到基本无虫蝇。</w:t>
            </w:r>
            <w:r/>
          </w:p>
        </w:tc>
      </w:tr>
      <w:tr>
        <w:trPr>
          <w:trHeight w:val="4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（4）区域内公共绿化的协助管理。</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（5）垃圾收集处理：及时清理办公区域内垃圾箱，连同其他垃圾一起，集中运送至垃圾收集点汇集，由环卫部门装车带走。</w:t>
            </w:r>
            <w:r/>
          </w:p>
        </w:tc>
      </w:tr>
      <w:tr>
        <w:trPr>
          <w:trHeight w:val="73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（6）保洁服务总体做到无垃圾、无杂物、无积水、无污渍、无异味、无积灰、无虫害、无污染、无破损、无践踏、无占用、无拖延现象，确保保洁质量的控制标准。</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（7）根据采购人的需求做好会场安排、会务接待工作。</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（8）采购人交办的其他相关工作。</w:t>
            </w:r>
            <w:r/>
          </w:p>
        </w:tc>
      </w:tr>
      <w:tr>
        <w:trPr>
          <w:trHeight w:val="7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2</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办公用房</w:t>
            </w:r>
            <w:r/>
          </w:p>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（1）于处机关、各单位办公室上班前20分钟完成办公楼内主要公共区域及部分指定办公室的保洁工作，上班期间不间断巡查，做到及时清洁维护。</w:t>
            </w:r>
            <w:r/>
          </w:p>
        </w:tc>
      </w:tr>
      <w:tr>
        <w:trPr>
          <w:trHeight w:val="5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（2）办公室每天清洁一次，确保办公桌椅、办公设备、生活设施、地面、内窗无尘无污渍，办公室墙面、顶面每月除尘一次。</w:t>
            </w:r>
            <w:r/>
          </w:p>
        </w:tc>
      </w:tr>
      <w:tr>
        <w:trPr>
          <w:trHeight w:val="7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（3）公共区域的地面每日至少清洁一次，并采取循环保洁制，发现垃圾杂物及时清除；公共区域墙面、顶面每月除尘一次，确保无灰尘、无污迹、无蜘蛛网。</w:t>
            </w:r>
            <w:r/>
          </w:p>
        </w:tc>
      </w:tr>
      <w:tr>
        <w:trPr>
          <w:trHeight w:val="57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（4）门厅玻璃每日除尘擦洗，确保窗明几净，门厅墙面每日除尘去污。</w:t>
            </w:r>
            <w:r/>
          </w:p>
        </w:tc>
      </w:tr>
      <w:tr>
        <w:trPr>
          <w:trHeight w:val="941"/>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 </w:t>
            </w:r>
            <w:r/>
          </w:p>
        </w:tc>
      </w:tr>
      <w:tr>
        <w:trPr>
          <w:trHeight w:val="121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p>
        </w:tc>
      </w:tr>
      <w:tr>
        <w:trPr>
          <w:trHeight w:val="97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重要会议室/接待室每天清洁一次，使用结束后做到及时清洁整理，确保会议室/接待室内地面、办公桌椅、办公设备、生活设施干净整洁，桌椅摆放整齐；墙面、顶面无尘无蜘蛛网，地毯每月吸尘一次，确保地毯干净松软无污渍。</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（8）健身房、淋浴间每日清洁一次，保持地面、健身器材干净无灰尘、无污迹；墙面、顶面每月除尘一次。</w:t>
            </w:r>
            <w:r/>
          </w:p>
        </w:tc>
      </w:tr>
      <w:tr>
        <w:trPr>
          <w:trHeight w:val="33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（9）每周清理区域内绿植不少于1次，保持绿植叶片干净、无枯枝、无杂物。</w:t>
            </w:r>
            <w:r/>
          </w:p>
        </w:tc>
      </w:tr>
      <w:tr>
        <w:trPr>
          <w:trHeight w:val="47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（10）对所有办公室的纱窗半年至少彻底清洁一次。</w:t>
            </w:r>
            <w:r/>
          </w:p>
        </w:tc>
      </w:tr>
      <w:tr>
        <w:trPr>
          <w:trHeight w:val="101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3</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公共场地以及收费广场区域保洁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处机关楼外或者收费站办公楼外广场区域以及停车场每日至少清洁一次，确保广场无落叶、塑料袋、纸屑等明显垃圾；雨水边沟无沉淀物及阻塞物。公共区域墙面、顶面每月除尘一次，确保无灰尘、无污迹、无蜘蛛网。</w:t>
            </w:r>
            <w:r/>
          </w:p>
        </w:tc>
      </w:tr>
      <w:tr>
        <w:trPr>
          <w:trHeight w:val="48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（2）雪、冰冻等恶劣天气时及时清扫积水、积雪，并采取安全防护措施。</w:t>
            </w:r>
            <w:r/>
          </w:p>
        </w:tc>
      </w:tr>
      <w:tr>
        <w:trPr>
          <w:trHeight w:val="50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（3）各种路标、宣传栏等设备保持干净，每月至少开展1次清洁作业。</w:t>
            </w:r>
            <w:r/>
          </w:p>
        </w:tc>
      </w:tr>
      <w:tr>
        <w:trPr>
          <w:trHeight w:val="33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（4）绿地内无杂物、无改变用途和破坏、践踏、占用现象，每天至少开展1次巡查。</w:t>
            </w:r>
            <w:r/>
          </w:p>
        </w:tc>
      </w:tr>
      <w:tr>
        <w:trPr>
          <w:trHeight w:val="501"/>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4</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垃圾处理</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（1）垃圾桶身表面干净无污渍，每日开展至少1次清洁作业。</w:t>
            </w:r>
            <w:r/>
          </w:p>
        </w:tc>
      </w:tr>
      <w:tr>
        <w:trPr>
          <w:trHeight w:val="508"/>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（2）每天至少清理公共垃圾桶一次，确保垃圾袋内垃圾不超过2/3。</w:t>
            </w:r>
            <w:r/>
          </w:p>
        </w:tc>
      </w:tr>
      <w:tr>
        <w:trPr>
          <w:trHeight w:val="477"/>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（3）垃圾装袋，日产日清。</w:t>
            </w:r>
            <w:r/>
          </w:p>
        </w:tc>
      </w:tr>
      <w:tr>
        <w:trPr>
          <w:trHeight w:val="4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5</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卫生消毒</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（1）办公用房区域、公共场所区域和周围环境做好卫生消毒消杀，消毒后及时通风，每周至少开展1次作业。</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（2）采取综合措施消灭老鼠、蟑螂，控制室内外蚊虫孳生，达到基本无蝇。</w:t>
            </w:r>
            <w:r/>
          </w:p>
        </w:tc>
      </w:tr>
      <w:tr>
        <w:trPr>
          <w:trHeight w:val="32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6</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会务服务</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（1）根据会议需求、场地大小、用途，明确会议桌椅、物品、设备、文具等摆放规定，音、视频设施保障措施。</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（2）会议期间按要求加水。</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（3）对会议现场进行检查，做好会场清扫工作。</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2.1.3</w:t>
      </w:r>
      <w:r>
        <w:rPr>
          <w:rFonts w:ascii="宋体" w:hAnsi="宋体" w:cs="宋体"/>
          <w:b/>
          <w:bCs/>
          <w:sz w:val="24"/>
          <w:szCs w:val="24"/>
          <w:lang w:bidi="en-US"/>
        </w:rPr>
        <w:t xml:space="preserve">餐饮</w:t>
      </w:r>
      <w:r>
        <w:rPr>
          <w:rFonts w:ascii="宋体" w:hAnsi="宋体" w:cs="宋体"/>
          <w:b/>
          <w:bCs/>
          <w:sz w:val="24"/>
          <w:szCs w:val="24"/>
          <w:lang w:eastAsia="en-US" w:bidi="en-US"/>
        </w:rPr>
        <w:t xml:space="preserve">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19"/>
        <w:gridCol w:w="6595"/>
      </w:tblGrid>
      <w:tr>
        <w:trPr>
          <w:trHeight w:val="454"/>
        </w:trPr>
        <w:tc>
          <w:tcPr>
            <w:tcW w:w="78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97"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26"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4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（1）食堂工作人员上岗前必须经过体检（每年至少体检1次），持有卫生部门发放的有效健康证方可上岗。</w:t>
            </w:r>
            <w:r/>
          </w:p>
        </w:tc>
      </w:tr>
      <w:tr>
        <w:trPr>
          <w:trHeight w:val="4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（2）厨师主要负责服务单位的日常早中晚三餐、餐厅和厨房的保洁、厨房和餐饮设施设备的检查维护等工作。</w:t>
            </w:r>
            <w:r/>
          </w:p>
        </w:tc>
      </w:tr>
      <w:tr>
        <w:trPr>
          <w:trHeight w:val="35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（3）厨工主要负责协助厨师餐食供应工作，负责原材料的粗加工、后场卫生的清理及餐饮用具的清洗消毒等。</w:t>
            </w:r>
            <w:r/>
          </w:p>
        </w:tc>
      </w:tr>
      <w:tr>
        <w:trPr>
          <w:trHeight w:val="2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（4）食堂工作人员按规定时间上下班，合理安排节假日工作，如正常休息或者事病假，需告知甲方管理人员。</w:t>
            </w:r>
            <w:r/>
          </w:p>
        </w:tc>
      </w:tr>
      <w:tr>
        <w:trPr>
          <w:trHeight w:val="58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（5）工作期间，穿着工作服、佩戴工作毛及口罩，不干私活、不饮酒、不打瞌睡，不擅自离岗，服从管理，注意个人卫生清洁。严禁在岗吸烟、佩戴首饰操作食品。</w:t>
            </w:r>
            <w:r/>
          </w:p>
        </w:tc>
      </w:tr>
      <w:tr>
        <w:trPr>
          <w:trHeight w:val="50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（6）供应商要按照采购人的工作要求认真做好食堂工作人员的管理和安全教育工作，定期开展安全教育及检查，积极参加业主单位的各类会议和活动。</w:t>
            </w:r>
            <w:r/>
          </w:p>
        </w:tc>
      </w:tr>
      <w:tr>
        <w:trPr>
          <w:trHeight w:val="4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（7）服从采购人关于工作地点、时间以及内容的安排。</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（8）严格按照采购人相关制度要求工作，并及时完成采购人交办的其他任务。</w:t>
            </w:r>
            <w:r/>
          </w:p>
        </w:tc>
      </w:tr>
      <w:tr>
        <w:trPr>
          <w:trHeight w:val="71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食堂日常</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（1）食堂工作人员严把采购质量关，在采购人指定供应商及大型超市进行采购，票证齐全，并及时做好采购台账记录。严禁采购变质、过期、来源不明食材。</w:t>
            </w:r>
            <w:r/>
          </w:p>
        </w:tc>
      </w:tr>
      <w:tr>
        <w:trPr>
          <w:trHeight w:val="57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（2）食堂的一切设备、餐具有登记，有账目，对放置在公共场所有的物件，定置定位，物品摆放有序，张贴标识，不得随便搬动或挪作它用，不得无故损坏各类设备、餐具。</w:t>
            </w:r>
            <w:r/>
          </w:p>
        </w:tc>
      </w:tr>
      <w:tr>
        <w:trPr>
          <w:trHeight w:val="44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（3）应及时将采购的食品原料按类别、性质、特点堆放保管，做到先进先出、不串味、不受损、不积压。</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（4）食品干货库房应保持良好的通风、干燥和卫生环境，控制适宜的温度（20～22℃），防止霉、蛀、腐烂和变质。</w:t>
            </w:r>
            <w:r/>
          </w:p>
        </w:tc>
      </w:tr>
      <w:tr>
        <w:trPr>
          <w:trHeight w:val="51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（5）需进行冷藏的食品</w:t>
            </w:r>
            <w:r>
              <w:rPr>
                <w:rFonts w:ascii="宋体" w:hAnsi="宋体" w:cs="宋体"/>
                <w:bCs/>
                <w:szCs w:val="21"/>
              </w:rPr>
              <w:t xml:space="preserve">（ </w:t>
            </w:r>
            <w:r>
              <w:rPr>
                <w:rFonts w:ascii="宋体" w:hAnsi="宋体" w:cs="宋体"/>
                <w:bCs/>
                <w:szCs w:val="21"/>
              </w:rPr>
              <w:t xml:space="preserve">如海产品），应先放入－20℃低温进行速冻。</w:t>
            </w:r>
            <w:r/>
          </w:p>
        </w:tc>
      </w:tr>
      <w:tr>
        <w:trPr>
          <w:trHeight w:val="51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（6）需配合甲方管理人员对食品原料每周进行一次实物盘点，每月末进行一次帐物盘点。 </w:t>
            </w:r>
            <w:r/>
          </w:p>
        </w:tc>
      </w:tr>
      <w:tr>
        <w:trPr>
          <w:trHeight w:val="47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 做好餐厨垃圾分类处置，及时清运，保持食堂内外环境干净整洁。</w:t>
            </w:r>
            <w:r/>
          </w:p>
        </w:tc>
      </w:tr>
      <w:tr>
        <w:trPr>
          <w:trHeight w:val="503"/>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就餐管理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（1）食堂工作人员与采购人管理人员共同作好菜谱的安排，按要求做好员工一日三餐保障工作。</w:t>
            </w:r>
            <w:r/>
          </w:p>
        </w:tc>
      </w:tr>
      <w:tr>
        <w:trPr>
          <w:trHeight w:val="61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（2）对各种菜品加工要经常变换烹调花样，保证口味和质量，对采购人提出的意见及建议积极响应整改。</w:t>
            </w:r>
            <w:r/>
          </w:p>
        </w:tc>
      </w:tr>
      <w:tr>
        <w:trPr>
          <w:trHeight w:val="51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（3）不加工腐烂、变质、有毒、有害、超过质保期的食物，防止食物中毒。</w:t>
            </w:r>
            <w:r/>
          </w:p>
        </w:tc>
      </w:tr>
      <w:tr>
        <w:trPr>
          <w:trHeight w:val="7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（4）做饭投料要心中有数，按人按量投料，并且每餐饭菜必须在就餐前15分钟准备好，注意菜品保温。遇有恶劣天气，交通分流等特殊情况可延长工作时间。</w:t>
            </w:r>
            <w:r/>
          </w:p>
        </w:tc>
      </w:tr>
      <w:tr>
        <w:trPr>
          <w:trHeight w:val="548"/>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（1）食堂工作人员需做好食堂及包干区的清洁卫生工作，采取有效措施做好灭防“四害”（老鼠、蟑螂、苍蝇、蚊子）。</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（2）及时并定期做好烹饪用具、食品容器、餐具的消毒消杀工作，保洁存放；冰箱冰柜分类存放食材，定期清理除霜，杜绝过期变质食材。</w:t>
            </w:r>
            <w:r/>
          </w:p>
        </w:tc>
      </w:tr>
      <w:tr>
        <w:trPr>
          <w:trHeight w:val="68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（3）生熟工具、容器严格分开，防止交叉污染；食材彻底烧熟煮透，严控四季豆、发芽土豆等高风险食材；做好食品留样，每餐每样留样不少于125克，冷藏保存48小时，规范登记留样记录。</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（4）注意食堂用水用电安全，及时关闭水源及电源，防止火灾漏电等安全问题。</w:t>
            </w:r>
            <w:r/>
          </w:p>
        </w:tc>
      </w:tr>
      <w:tr>
        <w:trPr>
          <w:trHeight w:val="576"/>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（5）油烟管道定期清洗，清除油垢；电气线路、大功率设备定期排查，不私拉乱接电线。</w:t>
            </w:r>
            <w:r/>
          </w:p>
        </w:tc>
      </w:tr>
      <w:tr>
        <w:trPr>
          <w:trHeight w:val="499"/>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（6）工作人员熟练掌握消防器材使用方法，严禁厨房区域堆放易燃易爆物品。</w:t>
            </w:r>
            <w:r/>
          </w:p>
        </w:tc>
      </w:tr>
      <w:tr>
        <w:trPr>
          <w:trHeight w:val="56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（7）积极完成上级交办的其他任务，帮助管理员完成对食堂各项工作的整改。</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2.1.4</w:t>
      </w:r>
      <w:r>
        <w:rPr>
          <w:rFonts w:ascii="宋体" w:hAnsi="宋体" w:cs="宋体"/>
          <w:b/>
          <w:bCs/>
          <w:sz w:val="24"/>
          <w:szCs w:val="24"/>
          <w:lang w:eastAsia="en-US" w:bidi="en-US"/>
        </w:rPr>
        <w:t xml:space="preserve">驾驶服务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676"/>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（1）严格遵守单位各项规章制度，服从调度安排，坚守岗位、服从指挥，做到随叫随到、不推诿、不拖沓，不擅自出车。</w:t>
            </w:r>
            <w:r/>
          </w:p>
        </w:tc>
      </w:tr>
      <w:tr>
        <w:trPr>
          <w:trHeight w:val="5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（2）工作中作风严谨、保密守纪，不传播工作信息、不泄露乘车人员工作内容，保持良好职业素养。</w:t>
            </w:r>
            <w:r/>
          </w:p>
        </w:tc>
      </w:tr>
      <w:tr>
        <w:trPr>
          <w:trHeight w:val="6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（3）服从采购人关于工作地点、时间以及内容的安排，以及完成采购人交办的其他相关工作。</w:t>
            </w:r>
            <w:r/>
          </w:p>
        </w:tc>
      </w:tr>
      <w:tr>
        <w:trPr>
          <w:trHeight w:val="5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安全驾驶</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（1）严格遵守道路交通法律法规，文明驾驶、规范操作，坚决杜绝超速、酒驾、疲劳驾驶、违规变道等危险行为。</w:t>
            </w:r>
            <w:r/>
          </w:p>
        </w:tc>
      </w:tr>
      <w:tr>
        <w:trPr>
          <w:trHeight w:val="48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（2）坚持每日出车前、收车后检查车辆状况，重点检查轮胎、刹车、油水、灯光、制动系统，发现故障及时上报维修，不带病出车。</w:t>
            </w:r>
            <w:r/>
          </w:p>
        </w:tc>
      </w:tr>
      <w:tr>
        <w:trPr>
          <w:trHeight w:val="40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（3）牢固树立安全第一理念，确保行车零事故、零违章、零隐患。</w:t>
            </w:r>
            <w:r/>
          </w:p>
        </w:tc>
      </w:tr>
      <w:tr>
        <w:trPr>
          <w:trHeight w:val="475"/>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车辆养护</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（1）负责车辆日常清洁、保养和简单维护，保持车身内外干净整洁。</w:t>
            </w:r>
            <w:r/>
          </w:p>
        </w:tc>
      </w:tr>
      <w:tr>
        <w:trPr>
          <w:trHeight w:val="4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（2）爱护车辆，定期检查、维修、保养，及时处理违章，确保车辆始终处于良好、安全状态。</w:t>
            </w:r>
            <w:r/>
          </w:p>
        </w:tc>
      </w:tr>
      <w:tr>
        <w:trPr>
          <w:trHeight w:val="4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（3）规范停放车辆，不乱停乱放，妥善保管车钥匙、行驶证、驾驶证等随车资料。</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（4）按照采购人要求认真做好加油、行车、维修等台账记录工作。车辆发生事故或者发生非正常损坏，应及时上报采购人处理。</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（5）车辆需要保养或者维修，应按照采购人要求事先报批，经审核同意后进行定点维修，不可私自维修。</w:t>
            </w:r>
            <w:r/>
          </w:p>
        </w:tc>
      </w:tr>
      <w:tr>
        <w:trPr>
          <w:trHeight w:val="4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服务规范</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（1）服从公务用车统一调度，准时出车、准点等候，不迟到、不误事。</w:t>
            </w:r>
            <w:r/>
          </w:p>
        </w:tc>
      </w:tr>
      <w:tr>
        <w:trPr>
          <w:trHeight w:val="43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（2）待人礼貌、服务周到，行车平稳舒适，主动维护单位形象。</w:t>
            </w:r>
            <w:r/>
          </w:p>
        </w:tc>
      </w:tr>
      <w:tr>
        <w:trPr>
          <w:trHeight w:val="43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（3）行车途中不闲聊、不接打手机，不擅自更改行车路线、不私自办私事。</w:t>
            </w:r>
            <w:r/>
          </w:p>
        </w:tc>
      </w:tr>
      <w:tr>
        <w:trPr>
          <w:trHeight w:val="4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5</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纪律要求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（1）严格执行上下班、值班值守制度，严禁私自动用公车、严禁公车私用、私车公养。</w:t>
            </w:r>
            <w:r/>
          </w:p>
        </w:tc>
      </w:tr>
      <w:tr>
        <w:trPr>
          <w:trHeight w:val="38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（2）厉行节约，规范用油，杜绝浪费。</w:t>
            </w:r>
            <w:r/>
          </w:p>
        </w:tc>
      </w:tr>
      <w:tr>
        <w:trPr>
          <w:trHeight w:val="27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（3）值班期间，在未接到公务出车任务情况下，必须24小时驻守在采购人指定区域，并保持通讯畅通，不可擅自脱岗。</w:t>
            </w:r>
            <w:r/>
          </w:p>
        </w:tc>
      </w:tr>
      <w:tr>
        <w:trPr>
          <w:trHeight w:val="40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（4）上班期间严禁喝酒，每天做好酒驾测试，并做好相关记录</w:t>
            </w:r>
            <w:r/>
          </w:p>
        </w:tc>
      </w:tr>
      <w:tr>
        <w:trPr>
          <w:trHeight w:val="537"/>
        </w:trPr>
        <w:tc>
          <w:tcPr>
            <w:tcW w:w="798"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6</w:t>
            </w:r>
            <w:r/>
          </w:p>
        </w:tc>
        <w:tc>
          <w:tcPr>
            <w:tcW w:w="1573"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应急处置</w:t>
            </w:r>
            <w:r/>
          </w:p>
          <w:p>
            <w:pPr>
              <w:jc w:val="center"/>
              <w:spacing w:line="260" w:lineRule="exact"/>
              <w:widowControl/>
              <w:rPr>
                <w:rFonts w:hint="eastAsia" w:ascii="宋体" w:hAnsi="宋体" w:cs="宋体"/>
                <w:szCs w:val="21"/>
              </w:rPr>
            </w:pPr>
            <w:r>
              <w:rPr>
                <w:rFonts w:ascii="宋体" w:hAnsi="宋体" w:cs="宋体"/>
                <w:szCs w:val="21"/>
              </w:rPr>
              <w:t xml:space="preserve">能力</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（1）遇恶劣天气、道路险情、车辆故障或突发情况，第一时间冷静处置、及时汇报，稳妥做好应急应对，确保人员车辆安全。</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2.1.5</w:t>
      </w:r>
      <w:r>
        <w:rPr>
          <w:rFonts w:ascii="宋体" w:hAnsi="宋体" w:cs="宋体"/>
          <w:b/>
          <w:bCs/>
          <w:sz w:val="24"/>
          <w:szCs w:val="24"/>
          <w:lang w:bidi="en-US"/>
        </w:rPr>
        <w:t xml:space="preserve">水电工兼安保</w:t>
      </w:r>
      <w:r>
        <w:rPr>
          <w:rFonts w:ascii="宋体" w:hAnsi="宋体" w:cs="宋体"/>
          <w:b/>
          <w:bCs/>
          <w:sz w:val="24"/>
          <w:szCs w:val="24"/>
          <w:lang w:eastAsia="en-US" w:bidi="en-US"/>
        </w:rPr>
        <w:t xml:space="preserve">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80"/>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（1）着装整齐统一、佩戴齐全、动作规范，实行封闭式管理，24小时值班制度。</w:t>
            </w:r>
            <w:r/>
          </w:p>
        </w:tc>
      </w:tr>
      <w:tr>
        <w:trPr>
          <w:trHeight w:val="38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（2）重大节假日及恶劣天气前后，组织系统巡检1次。</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（3）对巡查、值守及异常情况等做好相关记录，填写规范，保存完好。</w:t>
            </w:r>
            <w:r/>
          </w:p>
        </w:tc>
      </w:tr>
      <w:tr>
        <w:trPr>
          <w:trHeight w:val="50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（4）上岗人员须持有特种作业操作证，且具备基本的安全防范知识和应急处理能力，能独立解决办公楼宇的水电、工程维修问题。</w:t>
            </w:r>
            <w:r/>
          </w:p>
        </w:tc>
      </w:tr>
      <w:tr>
        <w:trPr>
          <w:trHeight w:val="49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（5）服从采购人关于工作地点、时间以及内容的安排，及时完成采购人交办的其他任务。</w:t>
            </w:r>
            <w:r/>
          </w:p>
        </w:tc>
      </w:tr>
      <w:tr>
        <w:trPr>
          <w:trHeight w:val="60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安保要求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（1）做好门岗执勤制度，及时疏导门口车辆，清理无关人员，维护大门正常秩序，业主入门时行注目礼，遇重要领导或重要外来参访人员敬礼问候。</w:t>
            </w:r>
            <w:r/>
          </w:p>
        </w:tc>
      </w:tr>
      <w:tr>
        <w:trPr>
          <w:trHeight w:val="47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（2）严格执行访客登记制度，对非本单位人员、车辆进出站区要实行查询登记，并指挥出入车辆按规定线路行驶、停放。</w:t>
            </w:r>
            <w:r/>
          </w:p>
        </w:tc>
      </w:tr>
      <w:tr>
        <w:trPr>
          <w:trHeight w:val="41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（3）收到信件、报纸及时送至办公室，并按照采购人要求做好物品出入登记记录。</w:t>
            </w:r>
            <w:r/>
          </w:p>
        </w:tc>
      </w:tr>
      <w:tr>
        <w:trPr>
          <w:trHeight w:val="45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（4）严格履行巡查制度，每隔2小时巡查一次。按规定时间、线路巡查，不得漏查，巡查过程中发现问题应立即按规定处理、制止各种违法犯罪行为、消除各种安全隐患，维护服务域内的正常治安秩序。</w:t>
            </w:r>
            <w:r/>
          </w:p>
        </w:tc>
      </w:tr>
      <w:tr>
        <w:trPr>
          <w:trHeight w:val="83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水电消防</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（1）做好办公楼内设施设备的巡查工作，发现电、水、门窗、消防设施等不关闭或不安全情况，应及时采取补救措施，并于次日报告管理人员。如遇应急维修无法解决的事项，应及时通知采购人解决。</w:t>
            </w:r>
            <w:r/>
          </w:p>
        </w:tc>
      </w:tr>
      <w:tr>
        <w:trPr>
          <w:trHeight w:val="49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（2）本着绿色环保，节约能源，巡检时应及时关闭不必要设备电源，减少长明灯、无人空调的使用。</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（3）负责水、电、综合设备设施的维修保养工作，确保设备设施始终处于良好的状态。</w:t>
            </w:r>
            <w:r/>
          </w:p>
        </w:tc>
      </w:tr>
      <w:tr>
        <w:trPr>
          <w:trHeight w:val="623"/>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（4）熟知办公楼内水、电、综合专业系统主要设备、设施的数量、使用、安装位置及服务范围，并做好相应的巡检工作，及时填写巡检记录。</w:t>
            </w:r>
            <w:r/>
          </w:p>
        </w:tc>
      </w:tr>
      <w:tr>
        <w:trPr>
          <w:trHeight w:val="44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（5）协助做好消防器材、设备检查，保证设备处于完好状态</w:t>
            </w:r>
            <w:r/>
          </w:p>
        </w:tc>
      </w:tr>
      <w:tr>
        <w:trPr>
          <w:trHeight w:val="44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（6）及时制止任何违反消防安全的行为。</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（7）定期检查公共部位电器、电线、煤气管道等有无霉环、锈坏、氧化、溶化、堵塞情况，防止短路或爆炸引起火灾。</w:t>
            </w:r>
            <w:r/>
          </w:p>
        </w:tc>
      </w:tr>
      <w:tr>
        <w:trPr>
          <w:trHeight w:val="46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（8）发生火警时，及时按火警预案处理程序工作，尽量将损失和影响控制在最小范围。</w:t>
            </w:r>
            <w:r/>
          </w:p>
        </w:tc>
      </w:tr>
      <w:tr>
        <w:trPr>
          <w:trHeight w:val="7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其他要求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（1）监督配合外单维修，必须经过同意后并填写《来访人员登记表》方可进入维修，维修时实时掌握维修人员动态，防止人员乱窜。维修结束后复检维修结果并做好相应记录，及时向相关领导汇报。</w:t>
            </w:r>
            <w:r/>
          </w:p>
        </w:tc>
      </w:tr>
      <w:tr>
        <w:trPr>
          <w:trHeight w:val="69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（2）做好值班室、设备房（含附近包干区）及设备的卫生工作，做好设备间防水、防火、放小动物进入设备间，进出设备间及时关闭。严禁在值班室、设备抽烟、烧水。</w:t>
            </w:r>
            <w:r/>
          </w:p>
        </w:tc>
      </w:tr>
      <w:tr>
        <w:trPr>
          <w:trHeight w:val="64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（3）供应商要按照采购人的工作要求认真做好相关人员的管理和安全教育工作，定期开展安全教育及检查，积极参加业主单位的各类会议和活动。</w:t>
            </w:r>
            <w:r/>
          </w:p>
        </w:tc>
      </w:tr>
      <w:tr>
        <w:trPr>
          <w:trHeight w:val="44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（4）按时上下班，认真履行交接班手续，并做好交接班记录。当班期间必须在岗在位，不得出现缺岗、脱岗、串岗现象。</w:t>
            </w:r>
            <w:r/>
          </w:p>
        </w:tc>
      </w:tr>
    </w:tbl>
    <w:p>
      <w:pPr>
        <w:contextualSpacing/>
        <w:ind w:firstLine="482"/>
        <w:jc w:val="left"/>
        <w:spacing w:line="360" w:lineRule="exact"/>
        <w:widowControl/>
        <w:rPr>
          <w:rFonts w:hint="eastAsia" w:ascii="宋体" w:hAnsi="宋体" w:cs="宋体"/>
          <w:b/>
          <w:bCs/>
          <w:sz w:val="24"/>
          <w:szCs w:val="24"/>
          <w:lang w:bidi="en-US"/>
        </w:rPr>
      </w:pPr>
      <w:r>
        <w:rPr>
          <w:rFonts w:hint="eastAsia" w:ascii="宋体" w:hAnsi="宋体" w:cs="宋体"/>
          <w:b/>
          <w:bCs/>
          <w:sz w:val="24"/>
          <w:szCs w:val="24"/>
          <w:lang w:bidi="en-US"/>
        </w:rPr>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2.2.1</w:t>
      </w:r>
      <w:r>
        <w:rPr>
          <w:rFonts w:ascii="宋体" w:hAnsi="宋体" w:cs="宋体"/>
          <w:b/>
          <w:bCs/>
          <w:sz w:val="24"/>
          <w:szCs w:val="24"/>
        </w:rPr>
        <w:t xml:space="preserve">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2.2.2</w:t>
      </w:r>
      <w:r>
        <w:rPr>
          <w:rFonts w:ascii="宋体" w:hAnsi="宋体" w:cs="宋体"/>
          <w:b/>
          <w:bCs/>
          <w:sz w:val="24"/>
          <w:szCs w:val="24"/>
        </w:rPr>
        <w:t xml:space="preserve">进场要求：</w:t>
      </w:r>
      <w:r>
        <w:rPr>
          <w:rFonts w:ascii="宋体" w:hAnsi="宋体" w:cs="宋体"/>
          <w:sz w:val="24"/>
          <w:szCs w:val="24"/>
        </w:rPr>
        <w:t xml:space="preserve">供应商提供的物业服务人员应按照采购文件要求的时间进场，并做好与招标前服务单位对接、交接事宜。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2.2.3</w:t>
      </w:r>
      <w:r>
        <w:rPr>
          <w:rFonts w:ascii="宋体" w:hAnsi="宋体" w:cs="宋体"/>
          <w:b/>
          <w:bCs/>
          <w:sz w:val="24"/>
          <w:szCs w:val="24"/>
        </w:rPr>
        <w:t xml:space="preserve">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2.2.4</w:t>
      </w:r>
      <w:r>
        <w:rPr>
          <w:rFonts w:ascii="宋体" w:hAnsi="宋体" w:cs="宋体"/>
          <w:b/>
          <w:bCs/>
          <w:sz w:val="24"/>
          <w:szCs w:val="24"/>
        </w:rPr>
        <w:t xml:space="preserve">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w:t>
      </w:r>
      <w:r>
        <w:rPr>
          <w:rFonts w:ascii="宋体" w:hAnsi="宋体" w:cs="宋体"/>
          <w:sz w:val="24"/>
          <w:szCs w:val="24"/>
        </w:rPr>
        <w:t xml:space="preserve">后,</w:t>
      </w:r>
      <w:r>
        <w:rPr>
          <w:rFonts w:ascii="宋体" w:hAnsi="宋体" w:cs="宋体"/>
          <w:sz w:val="24"/>
          <w:szCs w:val="24"/>
        </w:rPr>
        <w:t xml:space="preserve">验收小组出具验收</w:t>
      </w:r>
      <w:r>
        <w:rPr>
          <w:rFonts w:ascii="宋体" w:hAnsi="宋体" w:cs="宋体"/>
          <w:sz w:val="24"/>
          <w:szCs w:val="24"/>
        </w:rPr>
        <w:t xml:space="preserve">书,</w:t>
      </w:r>
      <w:r>
        <w:rPr>
          <w:rFonts w:ascii="宋体" w:hAnsi="宋体" w:cs="宋体"/>
          <w:sz w:val="24"/>
          <w:szCs w:val="24"/>
        </w:rPr>
        <w:t xml:space="preserve">列明各项标准的验收情况及项目总体</w:t>
      </w:r>
      <w:r>
        <w:rPr>
          <w:rFonts w:ascii="宋体" w:hAnsi="宋体" w:cs="宋体"/>
          <w:sz w:val="24"/>
          <w:szCs w:val="24"/>
        </w:rPr>
        <w:t xml:space="preserve">评价,</w:t>
      </w:r>
      <w:r>
        <w:rPr>
          <w:rFonts w:ascii="宋体" w:hAnsi="宋体" w:cs="宋体"/>
          <w:sz w:val="24"/>
          <w:szCs w:val="24"/>
        </w:rPr>
        <w:t xml:space="preserve">由验收双方共同签署。验收结果与采购合同约定的资金支付挂钩。履约验收</w:t>
      </w:r>
      <w:r>
        <w:rPr>
          <w:rFonts w:ascii="宋体" w:hAnsi="宋体" w:cs="宋体"/>
          <w:sz w:val="24"/>
          <w:szCs w:val="24"/>
        </w:rPr>
        <w:t xml:space="preserve">的各项资料存档备查。验收合格的</w:t>
      </w:r>
      <w:r>
        <w:rPr>
          <w:rFonts w:ascii="宋体" w:hAnsi="宋体" w:cs="宋体"/>
          <w:sz w:val="24"/>
          <w:szCs w:val="24"/>
        </w:rPr>
        <w:t xml:space="preserve">项目,</w:t>
      </w:r>
      <w:r>
        <w:rPr>
          <w:rFonts w:ascii="宋体" w:hAnsi="宋体" w:cs="宋体"/>
          <w:sz w:val="24"/>
          <w:szCs w:val="24"/>
        </w:rPr>
        <w:t xml:space="preserve">采购人根据采购合同的约定及时向供应商支付合同款项。验收不合格的项目，供应商需在采购人规定的时间内整改至合格。</w:t>
      </w:r>
      <w:r/>
    </w:p>
    <w:p>
      <w:pPr>
        <w:ind w:firstLine="482"/>
        <w:spacing w:line="440" w:lineRule="exact"/>
        <w:rPr>
          <w:rFonts w:hint="eastAsia" w:ascii="宋体" w:hAnsi="宋体" w:cs="宋体"/>
          <w:sz w:val="24"/>
          <w:szCs w:val="24"/>
        </w:rPr>
      </w:pPr>
      <w:r>
        <w:rPr>
          <w:rFonts w:hint="eastAsia" w:ascii="宋体" w:hAnsi="宋体" w:cs="宋体"/>
          <w:b/>
          <w:bCs/>
          <w:sz w:val="24"/>
          <w:szCs w:val="24"/>
        </w:rPr>
        <w:t xml:space="preserve">2.2.5</w:t>
      </w:r>
      <w:r>
        <w:rPr>
          <w:rFonts w:ascii="宋体" w:hAnsi="宋体" w:cs="宋体"/>
          <w:b/>
          <w:bCs/>
          <w:sz w:val="24"/>
          <w:szCs w:val="24"/>
        </w:rPr>
        <w:t xml:space="preserve">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988"/>
        <w:gridCol w:w="8334"/>
      </w:tblGrid>
      <w:tr>
        <w:trPr>
          <w:jc w:val="center"/>
          <w:trHeight w:val="625"/>
          <w:tblHeader/>
        </w:trPr>
        <w:tc>
          <w:tcPr>
            <w:tcW w:w="1152"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w:t>
            </w:r>
            <w:r/>
          </w:p>
        </w:tc>
        <w:tc>
          <w:tcPr>
            <w:tcW w:w="987"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岗位所需人数</w:t>
            </w:r>
            <w:r/>
          </w:p>
        </w:tc>
        <w:tc>
          <w:tcPr>
            <w:tcW w:w="8328"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备注（岗位所需服务时长或时段、需具备的上岗资格证、人员学历、工作经验等要求）</w:t>
            </w:r>
            <w:r/>
          </w:p>
        </w:tc>
      </w:tr>
      <w:tr>
        <w:trPr>
          <w:jc w:val="center"/>
          <w:trHeight w:val="2016"/>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驾驶员</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pStyle w:val="845"/>
              <w:rPr>
                <w:rFonts w:hint="eastAsia" w:ascii="宋体" w:hAnsi="宋体" w:cs="宋体"/>
                <w:iCs/>
                <w:szCs w:val="21"/>
              </w:rPr>
            </w:pPr>
            <w:r>
              <w:rPr>
                <w:rFonts w:ascii="宋体" w:hAnsi="宋体" w:cs="宋体"/>
                <w:iCs/>
                <w:szCs w:val="21"/>
              </w:rPr>
              <w:t xml:space="preserve">男性，初中及以上学历，</w:t>
            </w:r>
            <w:r>
              <w:rPr>
                <w:rFonts w:ascii="宋体" w:hAnsi="宋体"/>
                <w:iCs/>
                <w:szCs w:val="21"/>
              </w:rPr>
              <w:t xml:space="preserve">国家法定退休年龄以下（须提供至少一个月社保缴纳证明）</w:t>
            </w:r>
            <w:r/>
          </w:p>
          <w:p>
            <w:pPr>
              <w:spacing w:line="300" w:lineRule="exact"/>
              <w:widowControl/>
              <w:rPr>
                <w:rFonts w:hint="eastAsia" w:ascii="宋体" w:hAnsi="宋体" w:cs="宋体"/>
                <w:bCs/>
                <w:szCs w:val="21"/>
              </w:rPr>
            </w:pPr>
            <w:r>
              <w:rPr>
                <w:rFonts w:ascii="宋体" w:hAnsi="宋体" w:cs="宋体"/>
                <w:iCs/>
                <w:szCs w:val="21"/>
              </w:rPr>
              <w:t xml:space="preserve">，其中班车驾驶员1人（驾驶19座及以上的车辆），</w:t>
            </w:r>
            <w:r>
              <w:rPr>
                <w:rFonts w:ascii="宋体" w:hAnsi="宋体" w:cs="宋体"/>
                <w:b/>
                <w:bCs/>
                <w:i/>
                <w:szCs w:val="21"/>
                <w:u w:val="single"/>
              </w:rPr>
              <w:t xml:space="preserve">要求持A1及以上级别驾驶证3年以上</w:t>
            </w:r>
            <w:r>
              <w:rPr>
                <w:rFonts w:ascii="宋体" w:hAnsi="宋体" w:cs="宋体"/>
                <w:iCs/>
                <w:szCs w:val="21"/>
              </w:rPr>
              <w:t xml:space="preserve">；其他驾驶员1人，</w:t>
            </w:r>
            <w:r>
              <w:rPr>
                <w:rFonts w:hint="eastAsia" w:ascii="宋体" w:hAnsi="宋体" w:cs="宋体"/>
                <w:b/>
                <w:bCs/>
                <w:i/>
                <w:szCs w:val="21"/>
                <w:u w:val="single"/>
              </w:rPr>
              <w:t xml:space="preserve">持B1及以上级别驾驶证3年以上</w:t>
            </w:r>
            <w:r>
              <w:rPr>
                <w:rFonts w:ascii="宋体" w:hAnsi="宋体" w:cs="宋体"/>
                <w:iCs/>
                <w:szCs w:val="21"/>
              </w:rPr>
              <w:t xml:space="preserve">。所配驾驶员应具有良好的政治、业务素质和较强的责任心，近2年均无满分学习记录，</w:t>
            </w:r>
            <w:r>
              <w:rPr>
                <w:rFonts w:ascii="宋体" w:hAnsi="宋体" w:cs="宋体"/>
                <w:b/>
                <w:bCs/>
                <w:i/>
                <w:szCs w:val="21"/>
                <w:u w:val="single"/>
              </w:rPr>
              <w:t xml:space="preserve">3年内无负主要责任的重大交通事故记录，且无色弱、色盲等视力问题以及可能危及行车安全的疾病病史</w:t>
            </w:r>
            <w:r>
              <w:rPr>
                <w:rFonts w:ascii="宋体" w:hAnsi="宋体" w:cs="宋体"/>
                <w:iCs/>
                <w:szCs w:val="21"/>
              </w:rPr>
              <w:t xml:space="preserve">。每周工作时间不超过40小时。</w:t>
            </w:r>
            <w:r/>
          </w:p>
        </w:tc>
      </w:tr>
      <w:tr>
        <w:trPr>
          <w:jc w:val="center"/>
          <w:trHeight w:val="441"/>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厨师</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1</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具有与本项目类似的2年（含）及以上厨师工作经验，持有中式烹调师初级证书（职业技能等级五级）及</w:t>
            </w:r>
            <w:r>
              <w:rPr>
                <w:rFonts w:ascii="宋体" w:hAnsi="宋体" w:cs="宋体"/>
                <w:b/>
                <w:bCs/>
                <w:i/>
                <w:szCs w:val="21"/>
                <w:u w:val="single"/>
              </w:rPr>
              <w:t xml:space="preserve">卫生部门发放的有效健康证</w:t>
            </w:r>
            <w:r>
              <w:rPr>
                <w:rFonts w:ascii="宋体" w:hAnsi="宋体" w:cs="宋体"/>
                <w:iCs/>
                <w:szCs w:val="21"/>
              </w:rPr>
              <w:t xml:space="preserve">。每周工作时间不超过40小时。</w:t>
            </w:r>
            <w:r/>
          </w:p>
        </w:tc>
      </w:tr>
      <w:tr>
        <w:trPr>
          <w:jc w:val="center"/>
          <w:trHeight w:val="1275"/>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厨工</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具有与本项目类似的2年（含）以上单位食堂工作经验，</w:t>
            </w:r>
            <w:r>
              <w:rPr>
                <w:rFonts w:ascii="宋体" w:hAnsi="宋体" w:cs="宋体"/>
                <w:bCs/>
                <w:szCs w:val="21"/>
              </w:rPr>
              <w:t xml:space="preserve">初中以上文化，</w:t>
            </w:r>
            <w:r>
              <w:rPr>
                <w:rFonts w:ascii="宋体" w:hAnsi="宋体" w:cs="宋体"/>
                <w:b/>
                <w:bCs/>
                <w:i/>
                <w:szCs w:val="21"/>
                <w:u w:val="single"/>
              </w:rPr>
              <w:t xml:space="preserve">持有卫生部门发放的有效健康证</w:t>
            </w:r>
            <w:r>
              <w:rPr>
                <w:rFonts w:ascii="宋体" w:hAnsi="宋体" w:cs="宋体"/>
                <w:iCs/>
                <w:szCs w:val="21"/>
              </w:rPr>
              <w:t xml:space="preserve">，有一定的掌厨经验，能够协助厨师做好餐食供应，并做好原材料的粗加工。持有中式烹调师初级及以上技能等级证书优先考虑。每周工作时间不超过40小时。</w:t>
            </w:r>
            <w:r/>
          </w:p>
        </w:tc>
      </w:tr>
      <w:tr>
        <w:trPr>
          <w:jc w:val="center"/>
          <w:trHeight w:val="1209"/>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水电工兼安保</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4</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男性，初中及以上学历，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具有3年及以上物业工程维修和水电维修相关工作经验，</w:t>
            </w:r>
            <w:r>
              <w:rPr>
                <w:rFonts w:hint="eastAsia" w:ascii="宋体" w:hAnsi="宋体" w:cs="宋体"/>
                <w:iCs/>
                <w:szCs w:val="21"/>
              </w:rPr>
              <w:t xml:space="preserve">持有低压电工作业的特种作业操作证或</w:t>
            </w:r>
            <w:r>
              <w:rPr>
                <w:rFonts w:ascii="宋体" w:hAnsi="宋体" w:cs="宋体"/>
                <w:iCs/>
                <w:szCs w:val="21"/>
              </w:rPr>
              <w:t xml:space="preserve">高压电工作业的特种作业操作证，具备基本的安全防范知识和应急处理能力，能独立解决办公楼宇的水电、工程维修问题。</w:t>
            </w:r>
            <w:r/>
          </w:p>
        </w:tc>
      </w:tr>
      <w:tr>
        <w:trPr>
          <w:jc w:val="center"/>
          <w:trHeight w:val="767"/>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保洁（会务）</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女性，初中及以上学历，具有办公楼宇保洁2年以上工作经验，能独立开展工作。经专业培训，有会议服务工作经验的优先考虑。每周工作时间不超过40小时。</w:t>
            </w:r>
            <w:r/>
          </w:p>
        </w:tc>
      </w:tr>
      <w:tr>
        <w:trPr>
          <w:jc w:val="center"/>
          <w:trHeight w:val="450"/>
        </w:trPr>
        <w:tc>
          <w:tcPr>
            <w:tcW w:w="1152"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合计</w:t>
            </w:r>
            <w:r/>
          </w:p>
        </w:tc>
        <w:tc>
          <w:tcPr>
            <w:tcW w:w="987" w:type="dxa"/>
            <w:vAlign w:val="center"/>
            <w:textDirection w:val="lrTb"/>
            <w:noWrap w:val="false"/>
          </w:tcPr>
          <w:p>
            <w:pPr>
              <w:jc w:val="center"/>
              <w:spacing w:line="300" w:lineRule="exact"/>
              <w:rPr>
                <w:rFonts w:hint="eastAsia" w:ascii="宋体" w:hAnsi="宋体" w:cs="宋体"/>
                <w:bCs/>
                <w:szCs w:val="21"/>
              </w:rPr>
            </w:pPr>
            <w:r>
              <w:rPr>
                <w:rFonts w:ascii="宋体" w:hAnsi="宋体" w:cs="宋体"/>
                <w:bCs/>
                <w:szCs w:val="21"/>
              </w:rPr>
              <w:t xml:space="preserve">11</w:t>
            </w:r>
            <w:r/>
          </w:p>
        </w:tc>
        <w:tc>
          <w:tcPr>
            <w:tcW w:w="8328"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20"/>
        <w:jc w:val="left"/>
        <w:spacing w:line="300" w:lineRule="exact"/>
        <w:widowControl/>
        <w:rPr>
          <w:rFonts w:hint="eastAsia" w:ascii="楷体" w:hAnsi="楷体" w:eastAsia="楷体" w:cs="楷体"/>
          <w:szCs w:val="21"/>
        </w:rPr>
      </w:pPr>
      <w:r>
        <w:rPr>
          <w:rFonts w:ascii="楷体" w:hAnsi="楷体" w:eastAsia="楷体" w:cs="楷体"/>
          <w:szCs w:val="21"/>
        </w:rPr>
        <w:t xml:space="preserve">注：</w:t>
      </w:r>
      <w:bookmarkStart w:id="167" w:name="OLE_LINK3"/>
      <w:r>
        <w:rPr>
          <w:rFonts w:ascii="楷体" w:hAnsi="楷体" w:eastAsia="楷体" w:cs="楷体"/>
          <w:szCs w:val="21"/>
        </w:rPr>
        <w:t xml:space="preserve">1.配备的人员</w:t>
      </w:r>
      <w:bookmarkEnd w:id="167"/>
      <w:r>
        <w:rPr>
          <w:rFonts w:ascii="楷体" w:hAnsi="楷体" w:eastAsia="楷体" w:cs="楷体"/>
          <w:szCs w:val="21"/>
        </w:rPr>
        <w:t xml:space="preserve">，要求无犯罪记录，身体健康，具有相应专业技术能力和经验。</w:t>
      </w:r>
      <w:r>
        <w:rPr>
          <w:rFonts w:ascii="楷体" w:hAnsi="楷体" w:eastAsia="楷体" w:cs="楷体"/>
          <w:b/>
          <w:bCs/>
          <w:i/>
          <w:iCs/>
          <w:szCs w:val="21"/>
          <w:u w:val="single"/>
        </w:rPr>
        <w:t xml:space="preserve">（提供承诺书，同时提供人员岗位配置表，加盖单位公章，中标结果发布后签订合同前中标供应商应向采购人提供符合招标文件要求的人员信息和无犯罪记录证明，无法提供或所提供的证明材料不符的将被视为虚假应标，取消中标资格）</w:t>
      </w:r>
      <w:r>
        <w:rPr>
          <w:rFonts w:ascii="楷体" w:hAnsi="楷体" w:eastAsia="楷体" w:cs="楷体"/>
          <w:b/>
          <w:bCs/>
          <w:szCs w:val="21"/>
        </w:rPr>
        <w:t xml:space="preserve">。</w:t>
      </w:r>
      <w:r/>
    </w:p>
    <w:p>
      <w:pPr>
        <w:ind w:firstLine="420"/>
        <w:spacing w:line="300" w:lineRule="exact"/>
        <w:widowControl/>
        <w:rPr>
          <w:rFonts w:hint="eastAsia" w:ascii="楷体" w:hAnsi="楷体" w:eastAsia="楷体" w:cs="楷体"/>
          <w:szCs w:val="21"/>
        </w:rPr>
      </w:pPr>
      <w:r>
        <w:rPr>
          <w:rFonts w:ascii="楷体" w:hAnsi="楷体" w:eastAsia="楷体" w:cs="楷体"/>
          <w:szCs w:val="21"/>
        </w:rPr>
        <w:t xml:space="preserve">2.</w:t>
      </w:r>
      <w:r>
        <w:rPr>
          <w:rFonts w:hint="eastAsia" w:ascii="楷体" w:hAnsi="楷体" w:eastAsia="楷体" w:cs="楷体"/>
          <w:b/>
          <w:bCs/>
          <w:szCs w:val="21"/>
        </w:rPr>
        <w:t xml:space="preserve">投标人提供的物业服务人员总计不得少于11人，各岗位人员数量不得少于要求，其中，1名水电工兼安保进场时间为2027年1月1日，1名厨工进场时间为2027年6月1日，其余9人，进场时间均为2026年11月1日。</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bCs/>
          <w:i/>
          <w:iCs/>
          <w:szCs w:val="21"/>
          <w:u w:val="single"/>
        </w:rPr>
      </w:pPr>
      <w:r>
        <w:rPr>
          <w:rFonts w:ascii="楷体" w:hAnsi="楷体" w:eastAsia="楷体" w:cs="楷体"/>
          <w:b/>
          <w:bCs/>
          <w:i/>
          <w:iCs/>
          <w:szCs w:val="21"/>
          <w:u w:val="single"/>
        </w:rPr>
        <w:t xml:space="preserve">3.采购人有权根据项目实际需要及客观情况，安排、调整派驻物业服务人员的工作地点，物业服务人员应无条件服从，物业服务人员不服从安排或调整的，供应商应对相关人员进行更换。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22"/>
        <w:jc w:val="left"/>
        <w:spacing w:line="300" w:lineRule="exact"/>
        <w:widowControl/>
        <w:rPr>
          <w:rFonts w:hint="eastAsia" w:ascii="楷体" w:hAnsi="楷体" w:eastAsia="楷体" w:cs="楷体"/>
          <w:b/>
          <w:bCs/>
          <w:i/>
          <w:iCs/>
          <w:szCs w:val="21"/>
          <w:u w:val="single"/>
        </w:rPr>
      </w:pPr>
      <w:r>
        <w:rPr>
          <w:rFonts w:hint="eastAsia" w:ascii="楷体" w:hAnsi="楷体" w:eastAsia="楷体" w:cs="楷体"/>
          <w:b/>
          <w:bCs/>
          <w:i/>
          <w:iCs/>
          <w:szCs w:val="21"/>
          <w:u w:val="single"/>
        </w:rPr>
      </w:r>
      <w:r/>
    </w:p>
    <w:p>
      <w:pPr>
        <w:ind w:firstLine="482"/>
        <w:keepLines/>
        <w:keepNext/>
        <w:spacing w:line="360" w:lineRule="exact"/>
        <w:rPr>
          <w:rFonts w:ascii="宋体" w:hAnsi="宋体" w:eastAsia="Arial" w:cs="宋体"/>
          <w:b/>
          <w:bCs/>
          <w:sz w:val="24"/>
          <w:szCs w:val="24"/>
        </w:rPr>
        <w:outlineLvl w:val="1"/>
      </w:pPr>
      <w:r>
        <w:rPr>
          <w:rFonts w:hint="eastAsia" w:ascii="宋体" w:hAnsi="宋体" w:cs="宋体"/>
          <w:b/>
          <w:bCs/>
          <w:sz w:val="24"/>
          <w:szCs w:val="24"/>
        </w:rPr>
        <w:t xml:space="preserve">3.2人员分布站点清单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50"/>
        <w:gridCol w:w="3599"/>
        <w:gridCol w:w="1449"/>
        <w:gridCol w:w="1281"/>
      </w:tblGrid>
      <w:tr>
        <w:trPr>
          <w:jc w:val="center"/>
          <w:trHeight w:val="381"/>
        </w:trPr>
        <w:tc>
          <w:tcPr>
            <w:tcW w:w="2350"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岗位</w:t>
            </w:r>
            <w:r/>
          </w:p>
        </w:tc>
        <w:tc>
          <w:tcPr>
            <w:tcW w:w="359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单位（部门）名称</w:t>
            </w:r>
            <w:r/>
          </w:p>
        </w:tc>
        <w:tc>
          <w:tcPr>
            <w:tcW w:w="144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计量单位</w:t>
            </w:r>
            <w:r/>
          </w:p>
        </w:tc>
        <w:tc>
          <w:tcPr>
            <w:tcW w:w="1281"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数量</w:t>
            </w:r>
            <w:r/>
          </w:p>
        </w:tc>
      </w:tr>
      <w:tr>
        <w:trPr>
          <w:jc w:val="center"/>
          <w:trHeight w:val="242"/>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厨师（1人）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90"/>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厨工（2人）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保洁（2人）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246"/>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驾驶员（2人）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2</w:t>
            </w:r>
            <w:r/>
          </w:p>
        </w:tc>
      </w:tr>
      <w:tr>
        <w:trPr>
          <w:jc w:val="center"/>
          <w:trHeight w:val="339"/>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水电工兼安保（4人）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3</w:t>
            </w:r>
            <w:r/>
          </w:p>
        </w:tc>
      </w:tr>
      <w:tr>
        <w:trPr>
          <w:jc w:val="center"/>
          <w:trHeight w:val="339"/>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gridSpan w:val="2"/>
            <w:tcW w:w="59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合计</w:t>
            </w:r>
            <w:r/>
          </w:p>
        </w:tc>
        <w:tc>
          <w:tcPr>
            <w:tcW w:w="1449" w:type="dxa"/>
            <w:vAlign w:val="center"/>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合同实施期限为2026年11月1日至2027年10月31日。</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4.2.1付款条件</w:t>
      </w:r>
      <w:r/>
    </w:p>
    <w:p>
      <w:pPr>
        <w:pStyle w:val="853"/>
        <w:ind w:firstLine="480"/>
        <w:jc w:val="left"/>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w:t>
      </w:r>
      <w:r>
        <w:rPr>
          <w:rFonts w:hint="eastAsia" w:asciiTheme="minorEastAsia" w:hAnsiTheme="minorEastAsia" w:eastAsiaTheme="minorEastAsia" w:cstheme="minorEastAsia"/>
          <w:sz w:val="24"/>
          <w:szCs w:val="24"/>
        </w:rPr>
        <w:t xml:space="preserve">如下:</w:t>
      </w:r>
      <w:r>
        <w:rPr>
          <w:rFonts w:hint="eastAsia" w:asciiTheme="minorEastAsia" w:hAnsiTheme="minorEastAsia" w:eastAsiaTheme="minorEastAsia" w:cstheme="minorEastAsia"/>
          <w:sz w:val="24"/>
          <w:szCs w:val="24"/>
        </w:rPr>
        <w:t xml:space="preserve">月度考核分90分（含90）以上，按合同约定全额支付当月物业费；月度考核分80-89分（含80分），当月物业服务费按合同约定金额的80%支付；月度考核分低于80分，当月物业服务费按合同约定金额的50%支付；</w:t>
      </w:r>
      <w:r>
        <w:rPr>
          <w:rFonts w:hint="eastAsia" w:asciiTheme="minorEastAsia" w:hAnsiTheme="minorEastAsia" w:eastAsiaTheme="minorEastAsia" w:cstheme="minorEastAsia"/>
          <w:sz w:val="24"/>
          <w:szCs w:val="24"/>
        </w:rPr>
        <w:t xml:space="preserve">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53"/>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pStyle w:val="853"/>
        <w:ind w:firstLine="480"/>
        <w:spacing w:line="400" w:lineRule="exact"/>
        <w:rPr>
          <w:rFonts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cs="宋体"/>
          <w:sz w:val="24"/>
          <w:szCs w:val="24"/>
          <w:lang w:val="zh-CN" w:bidi="zh-CN"/>
        </w:rPr>
        <w:t xml:space="preserve">结束，乙方根据当季每月实际考核结果</w:t>
      </w:r>
      <w:r>
        <w:rPr>
          <w:rFonts w:hint="eastAsia" w:cs="宋体"/>
          <w:sz w:val="24"/>
          <w:szCs w:val="24"/>
          <w:lang w:bidi="zh-CN"/>
        </w:rPr>
        <w:t xml:space="preserve">及经采购人审核的支付申请</w:t>
      </w:r>
      <w:r>
        <w:rPr>
          <w:rFonts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w:t>
      </w:r>
      <w:r>
        <w:rPr>
          <w:rFonts w:ascii="宋体" w:hAnsi="宋体" w:cs="宋体"/>
          <w:sz w:val="24"/>
          <w:szCs w:val="24"/>
        </w:rPr>
        <w:t xml:space="preserve">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w:t>
      </w:r>
      <w:r>
        <w:rPr>
          <w:rFonts w:ascii="宋体" w:hAnsi="宋体" w:cs="宋体"/>
          <w:b/>
          <w:bCs/>
          <w:i/>
          <w:iCs/>
          <w:sz w:val="24"/>
          <w:szCs w:val="24"/>
          <w:u w:val="single"/>
        </w:rPr>
        <w:t xml:space="preserve">(如</w:t>
      </w:r>
      <w:r>
        <w:rPr>
          <w:rFonts w:ascii="宋体" w:hAnsi="宋体" w:cs="宋体"/>
          <w:b/>
          <w:bCs/>
          <w:i/>
          <w:iCs/>
          <w:sz w:val="24"/>
          <w:szCs w:val="24"/>
          <w:u w:val="single"/>
        </w:rPr>
        <w:t xml:space="preserve">行政主管部门出台新政策，以行政主管部门规定为</w:t>
      </w:r>
      <w:r>
        <w:rPr>
          <w:rFonts w:ascii="宋体" w:hAnsi="宋体" w:cs="宋体"/>
          <w:b/>
          <w:bCs/>
          <w:i/>
          <w:iCs/>
          <w:sz w:val="24"/>
          <w:szCs w:val="24"/>
          <w:u w:val="single"/>
        </w:rPr>
        <w:t xml:space="preserve">准)。</w:t>
      </w:r>
      <w:r>
        <w:rPr>
          <w:rFonts w:ascii="宋体" w:hAnsi="宋体" w:cs="宋体"/>
          <w:b/>
          <w:bCs/>
          <w:i/>
          <w:iCs/>
          <w:sz w:val="24"/>
          <w:szCs w:val="24"/>
          <w:u w:val="single"/>
        </w:rPr>
        <w:t xml:space="preserve">（提供承诺书，加盖单位公章，格式自拟）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w:t>
      </w:r>
      <w:r>
        <w:rPr>
          <w:rFonts w:hint="eastAsia"/>
        </w:rPr>
        <w:t xml:space="preserve">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⑥</w:t>
      </w:r>
      <w:r>
        <w:rPr>
          <w:rFonts w:ascii="宋体" w:hAnsi="宋体" w:cs="宋体"/>
          <w:sz w:val="24"/>
          <w:szCs w:val="24"/>
        </w:rPr>
        <w:t xml:space="preserve">投标人应根据各岗位物业服务人员的要求进场时间和合同履约期限进行报价。</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bCs/>
          <w:i/>
          <w:iCs/>
          <w:sz w:val="24"/>
          <w:szCs w:val="24"/>
          <w:u w:val="single"/>
        </w:rPr>
        <w:t xml:space="preserve">⑦</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sz w:val="24"/>
          <w:szCs w:val="24"/>
        </w:rPr>
        <w:t xml:space="preserve">各岗位物业服务人员预计产生的双休日及法定节假日排班、延时工作，以及驾驶员出差、值班等情况见下表：   </w:t>
      </w:r>
      <w:r/>
    </w:p>
    <w:tbl>
      <w:tblPr>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049"/>
        <w:gridCol w:w="1529"/>
        <w:gridCol w:w="1276"/>
        <w:gridCol w:w="1559"/>
        <w:gridCol w:w="1269"/>
        <w:gridCol w:w="1574"/>
      </w:tblGrid>
      <w:tr>
        <w:trPr>
          <w:jc w:val="center"/>
          <w:trHeight w:val="407"/>
        </w:trPr>
        <w:tc>
          <w:tcPr>
            <w:tcW w:w="6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序号</w:t>
            </w:r>
            <w:r/>
          </w:p>
        </w:tc>
        <w:tc>
          <w:tcPr>
            <w:tcW w:w="10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工种</w:t>
            </w:r>
            <w:r/>
          </w:p>
        </w:tc>
        <w:tc>
          <w:tcPr>
            <w:gridSpan w:val="5"/>
            <w:tcW w:w="7207"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人均情况</w:t>
            </w:r>
            <w:r/>
          </w:p>
        </w:tc>
      </w:tr>
      <w:tr>
        <w:trPr>
          <w:jc w:val="center"/>
          <w:trHeight w:val="508"/>
        </w:trPr>
        <w:tc>
          <w:tcPr>
            <w:tcW w:w="6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0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52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延时加班时长</w:t>
            </w:r>
            <w:r/>
          </w:p>
        </w:tc>
        <w:tc>
          <w:tcPr>
            <w:tcW w:w="1276"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双休日加班时长</w:t>
            </w:r>
            <w:r/>
          </w:p>
        </w:tc>
        <w:tc>
          <w:tcPr>
            <w:tcW w:w="155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法定节假日时长</w:t>
            </w:r>
            <w:r/>
          </w:p>
        </w:tc>
        <w:tc>
          <w:tcPr>
            <w:tcW w:w="126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值班</w:t>
            </w:r>
            <w:r/>
          </w:p>
        </w:tc>
        <w:tc>
          <w:tcPr>
            <w:tcW w:w="1574"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出差</w:t>
            </w:r>
            <w:r/>
          </w:p>
        </w:tc>
      </w:tr>
      <w:tr>
        <w:trPr>
          <w:jc w:val="center"/>
          <w:trHeight w:val="45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1</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厨师</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每月40小时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70"/>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2</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厨工</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每年12天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8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3</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保洁</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每年10天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4</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每月1天平时值班</w:t>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每月1次（每次不少于2天）</w:t>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5</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水电工及安保</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每年5天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保洁（会务）服务方案。</w:t>
      </w:r>
      <w:r>
        <w:rPr>
          <w:rFonts w:ascii="宋体" w:hAnsi="宋体" w:cs="宋体"/>
          <w:sz w:val="24"/>
          <w:szCs w:val="24"/>
        </w:rPr>
        <w:t xml:space="preserve">根据采购人保洁区域及具体内容，以及会务服务需求，制订详细的保洁（会务）服务方案，内容包括但不限于办公用房区域保洁、公共场地区域保洁、垃圾处理、卫生消毒，以及会前准备、引导服务、会中服务、会后整理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障处理与修复流程；遇到突发用电安全问题的紧急处理流程、方案、措施等；安全防范方案及停车疏导、来访客登记等。</w:t>
      </w:r>
      <w:r/>
    </w:p>
    <w:p>
      <w:pPr>
        <w:ind w:firstLine="482"/>
        <w:jc w:val="left"/>
        <w:spacing w:line="400" w:lineRule="exact"/>
        <w:rPr>
          <w:rFonts w:hint="eastAsia"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类别</w:t>
            </w:r>
            <w:r/>
          </w:p>
        </w:tc>
        <w:tc>
          <w:tcPr>
            <w:tcW w:w="952"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项目</w:t>
            </w:r>
            <w:r/>
          </w:p>
        </w:tc>
        <w:tc>
          <w:tcPr>
            <w:tcW w:w="3405"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考核内容及评分标准</w:t>
            </w:r>
            <w:r/>
          </w:p>
        </w:tc>
        <w:tc>
          <w:tcPr>
            <w:tcW w:w="3596"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评分标准</w:t>
            </w:r>
            <w:r/>
          </w:p>
        </w:tc>
        <w:tc>
          <w:tcPr>
            <w:tcW w:w="734"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扣分情况</w:t>
            </w:r>
            <w:r/>
          </w:p>
        </w:tc>
      </w:tr>
      <w:tr>
        <w:trPr>
          <w:jc w:val="center"/>
          <w:trHeight w:val="52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（15分）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配备</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按照招标文件要求配备人员。</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81"/>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仪容</w:t>
            </w:r>
            <w:r/>
          </w:p>
          <w:p>
            <w:pPr>
              <w:jc w:val="center"/>
              <w:spacing w:line="260" w:lineRule="exact"/>
              <w:rPr>
                <w:rFonts w:hint="eastAsia" w:ascii="宋体" w:hAnsi="宋体" w:cs="宋体"/>
                <w:szCs w:val="21"/>
              </w:rPr>
            </w:pPr>
            <w:r>
              <w:rPr>
                <w:rFonts w:ascii="宋体" w:hAnsi="宋体" w:cs="宋体"/>
                <w:szCs w:val="21"/>
              </w:rPr>
              <w:t xml:space="preserve">仪表</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16"/>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劳动</w:t>
            </w:r>
            <w:r/>
          </w:p>
          <w:p>
            <w:pPr>
              <w:jc w:val="center"/>
              <w:spacing w:line="260" w:lineRule="exact"/>
              <w:rPr>
                <w:rFonts w:hint="eastAsia" w:ascii="宋体" w:hAnsi="宋体" w:cs="宋体"/>
                <w:szCs w:val="21"/>
              </w:rPr>
            </w:pPr>
            <w:r>
              <w:rPr>
                <w:rFonts w:ascii="宋体" w:hAnsi="宋体" w:cs="宋体"/>
                <w:szCs w:val="21"/>
              </w:rPr>
              <w:t xml:space="preserve">纪律</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00"/>
        </w:trPr>
        <w:tc>
          <w:tcPr>
            <w:tcW w:w="971" w:type="dxa"/>
            <w:vAlign w:val="center"/>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服务</w:t>
            </w:r>
            <w:r/>
          </w:p>
          <w:p>
            <w:pPr>
              <w:jc w:val="center"/>
              <w:spacing w:line="260" w:lineRule="exact"/>
              <w:rPr>
                <w:rFonts w:hint="eastAsia" w:ascii="宋体" w:hAnsi="宋体" w:cs="宋体"/>
                <w:szCs w:val="21"/>
              </w:rPr>
            </w:pPr>
            <w:r>
              <w:rPr>
                <w:rFonts w:ascii="宋体" w:hAnsi="宋体" w:cs="宋体"/>
                <w:szCs w:val="21"/>
              </w:rPr>
              <w:t xml:space="preserve">质量</w:t>
            </w:r>
            <w:r/>
          </w:p>
          <w:p>
            <w:pPr>
              <w:jc w:val="center"/>
              <w:spacing w:line="260" w:lineRule="exact"/>
              <w:rPr>
                <w:rFonts w:hint="eastAsia" w:ascii="宋体" w:hAnsi="宋体" w:cs="宋体"/>
                <w:szCs w:val="21"/>
              </w:rPr>
            </w:pPr>
            <w:r>
              <w:rPr>
                <w:rFonts w:ascii="宋体" w:hAnsi="宋体" w:cs="宋体"/>
                <w:szCs w:val="21"/>
              </w:rPr>
              <w:t xml:space="preserve">（35分）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服务</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1.具体考核条款标准详见附表。</w:t>
            </w:r>
            <w:r/>
          </w:p>
          <w:p>
            <w:pPr>
              <w:jc w:val="left"/>
              <w:spacing w:line="260" w:lineRule="exact"/>
              <w:rPr>
                <w:rFonts w:hint="eastAsia" w:ascii="宋体" w:hAnsi="宋体" w:cs="宋体"/>
                <w:szCs w:val="21"/>
              </w:rPr>
            </w:pPr>
            <w:r>
              <w:rPr>
                <w:rFonts w:ascii="宋体" w:hAnsi="宋体" w:cs="宋体"/>
                <w:szCs w:val="21"/>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（10分）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69"/>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仓库</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每小项欠缺或不全酌情扣0.5-2分。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6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有领用不合理等现象酌情扣0.5-2分。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88"/>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现场</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人员</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按照招标文件要求配备项目现场负责人，现场管理指挥得当，认真负责，管理到位（5分）。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现场管理混乱，有工作推诿、不负责等现象酌情扣1-5分。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台帐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工作台帐规范健全，记录及时规范（10分）。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1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应急</w:t>
            </w:r>
            <w:r/>
          </w:p>
          <w:p>
            <w:pPr>
              <w:jc w:val="center"/>
              <w:spacing w:line="260" w:lineRule="exact"/>
              <w:rPr>
                <w:rFonts w:hint="eastAsia" w:ascii="宋体" w:hAnsi="宋体" w:cs="宋体"/>
                <w:szCs w:val="21"/>
              </w:rPr>
            </w:pPr>
            <w:r>
              <w:rPr>
                <w:rFonts w:ascii="宋体" w:hAnsi="宋体" w:cs="宋体"/>
                <w:szCs w:val="21"/>
              </w:rPr>
              <w:t xml:space="preserve">预案</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7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其他</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任务完成情况</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能够保质保量完成各项合理工作任务（5分）。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不能完成合理工作任务酌情扣1-5分。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90"/>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投诉</w:t>
            </w:r>
            <w:r/>
          </w:p>
          <w:p>
            <w:pPr>
              <w:jc w:val="center"/>
              <w:spacing w:line="260" w:lineRule="exact"/>
              <w:rPr>
                <w:rFonts w:hint="eastAsia" w:ascii="宋体" w:hAnsi="宋体" w:cs="宋体"/>
                <w:szCs w:val="21"/>
              </w:rPr>
            </w:pPr>
            <w:r>
              <w:rPr>
                <w:rFonts w:ascii="宋体" w:hAnsi="宋体" w:cs="宋体"/>
                <w:szCs w:val="21"/>
              </w:rPr>
              <w:t xml:space="preserve">处理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92"/>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内部</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3596"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无制度扣3分，制度不完善扣0.5-1分，考核记录不规范扣0.5-2分。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63"/>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其他</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宋体" w:hAnsi="宋体" w:cs="宋体"/>
                <w:szCs w:val="21"/>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93"/>
        </w:trPr>
        <w:tc>
          <w:tcPr>
            <w:gridSpan w:val="2"/>
            <w:tcW w:w="1923"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月度得分</w:t>
            </w:r>
            <w:r/>
          </w:p>
        </w:tc>
        <w:tc>
          <w:tcPr>
            <w:gridSpan w:val="3"/>
            <w:tcW w:w="7735"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bl>
    <w:p>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r>
      <w:r/>
    </w:p>
    <w:p>
      <w:pPr>
        <w:jc w:val="center"/>
        <w:rPr>
          <w:rFonts w:hint="eastAsia" w:ascii="宋体" w:hAnsi="宋体" w:cs="宋体"/>
          <w:b/>
          <w:sz w:val="24"/>
          <w:szCs w:val="24"/>
        </w:rPr>
      </w:pPr>
      <w:r>
        <w:rPr>
          <w:rFonts w:ascii="宋体" w:hAnsi="宋体" w:cs="宋体"/>
          <w:b/>
          <w:sz w:val="24"/>
          <w:szCs w:val="24"/>
        </w:rPr>
        <w:t xml:space="preserve">附表：物业服务考核条款及标准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spacing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407"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491" w:type="pct"/>
            <w:vAlign w:val="center"/>
            <w:textDirection w:val="lrTb"/>
            <w:noWrap w:val="false"/>
          </w:tcPr>
          <w:p>
            <w:pPr>
              <w:jc w:val="center"/>
              <w:spacing w:line="300" w:lineRule="exact"/>
              <w:rPr>
                <w:rFonts w:hint="eastAsia" w:ascii="宋体" w:hAnsi="宋体" w:cs="宋体"/>
                <w:b/>
                <w:szCs w:val="21"/>
                <w:lang w:bidi="zh-CN"/>
              </w:rPr>
            </w:pPr>
            <w:r>
              <w:rPr>
                <w:rFonts w:ascii="宋体" w:hAnsi="宋体" w:cs="宋体"/>
                <w:b/>
                <w:szCs w:val="21"/>
                <w:lang w:bidi="zh-CN"/>
              </w:rPr>
              <w:t xml:space="preserve">项目</w:t>
            </w:r>
            <w:r/>
          </w:p>
        </w:tc>
        <w:tc>
          <w:tcPr>
            <w:tcW w:w="3019"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530"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eastAsia="en-US" w:bidi="zh-CN"/>
              </w:rPr>
              <w:t xml:space="preserve">备注</w:t>
            </w:r>
            <w:r/>
          </w:p>
        </w:tc>
      </w:tr>
      <w:tr>
        <w:trPr>
          <w:jc w:val="center"/>
          <w:trHeight w:val="48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407" w:type="pct"/>
            <w:vAlign w:val="center"/>
            <w:vMerge w:val="restart"/>
            <w:textDirection w:val="tbRlV"/>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407"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新进员工未经培训合格后上岗</w:t>
            </w:r>
            <w:r>
              <w:rPr>
                <w:rFonts w:ascii="宋体" w:hAnsi="宋体" w:cs="宋体"/>
                <w:szCs w:val="21"/>
              </w:rPr>
              <w:t xml:space="preserve">，发现一次扣2分；未按时安排员工安全教育培训的或未</w:t>
            </w:r>
            <w:r>
              <w:rPr>
                <w:rFonts w:ascii="宋体" w:hAnsi="宋体" w:cs="宋体"/>
                <w:szCs w:val="21"/>
              </w:rPr>
              <w:t xml:space="preserve">按计划要求组织各类安全预案及演练</w:t>
            </w:r>
            <w:r>
              <w:rPr>
                <w:rFonts w:ascii="宋体" w:hAnsi="宋体" w:cs="宋体"/>
                <w:szCs w:val="21"/>
              </w:rPr>
              <w:t xml:space="preserve">，发现一次扣5分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06"/>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员工上岗前未购买足额的意外险</w:t>
            </w:r>
            <w:r>
              <w:rPr>
                <w:rFonts w:ascii="宋体" w:hAnsi="宋体" w:cs="宋体"/>
                <w:szCs w:val="21"/>
              </w:rPr>
              <w:t xml:space="preserve">，发现一次扣10分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1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人员出勤率未达95%以上的，</w:t>
            </w:r>
            <w:r>
              <w:rPr>
                <w:rFonts w:ascii="宋体" w:hAnsi="宋体" w:cs="宋体"/>
                <w:szCs w:val="21"/>
              </w:rPr>
              <w:t xml:space="preserve">发生</w:t>
            </w:r>
            <w:r>
              <w:rPr>
                <w:rFonts w:ascii="宋体" w:hAnsi="宋体" w:cs="宋体"/>
                <w:szCs w:val="21"/>
              </w:rPr>
              <w:t xml:space="preserve">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人员离岗率超过10%</w:t>
            </w:r>
            <w:r>
              <w:rPr>
                <w:rFonts w:ascii="宋体" w:hAnsi="宋体" w:cs="宋体"/>
                <w:szCs w:val="21"/>
              </w:rPr>
              <w:t xml:space="preserve">，发生一次扣2分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员工离职未及时上报，</w:t>
            </w:r>
            <w:r>
              <w:rPr>
                <w:rFonts w:ascii="宋体" w:hAnsi="宋体" w:cs="宋体"/>
                <w:szCs w:val="21"/>
              </w:rPr>
              <w:t xml:space="preserve">发现一次扣2分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w:t>
            </w:r>
            <w:r>
              <w:rPr>
                <w:rFonts w:ascii="宋体" w:hAnsi="宋体" w:cs="宋体"/>
                <w:szCs w:val="21"/>
              </w:rPr>
              <w:t xml:space="preserve">未及时处理的，发现一次扣5分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4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w:t>
            </w:r>
            <w:r>
              <w:rPr>
                <w:rFonts w:ascii="宋体" w:hAnsi="宋体" w:cs="宋体"/>
                <w:szCs w:val="21"/>
              </w:rPr>
              <w:t xml:space="preserve">发现一次扣35分，相关责任人</w:t>
            </w:r>
            <w:r>
              <w:rPr>
                <w:rFonts w:ascii="宋体" w:hAnsi="宋体" w:cs="宋体"/>
                <w:szCs w:val="21"/>
              </w:rPr>
              <w:t xml:space="preserve">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w:t>
            </w:r>
            <w:r>
              <w:rPr>
                <w:rFonts w:ascii="宋体" w:hAnsi="宋体" w:cs="宋体"/>
                <w:szCs w:val="21"/>
              </w:rPr>
              <w:t xml:space="preserve">状况差的，发现一次扣2分；出现故障问题未及时排除、送修及上报的，发现一次扣2分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w:t>
            </w:r>
            <w:r>
              <w:rPr>
                <w:rFonts w:ascii="宋体" w:hAnsi="宋体" w:cs="宋体"/>
                <w:szCs w:val="21"/>
              </w:rPr>
              <w:t xml:space="preserve">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bl>
    <w:p>
      <w:pPr>
        <w:spacing w:line="440" w:lineRule="exact"/>
        <w:rPr>
          <w:rFonts w:hint="eastAsia" w:ascii="宋体" w:hAnsi="宋体" w:cs="宋体"/>
          <w:sz w:val="32"/>
          <w:szCs w:val="32"/>
        </w:rPr>
      </w:pPr>
      <w:r>
        <w:rPr>
          <w:rFonts w:hint="eastAsia" w:ascii="宋体" w:hAnsi="宋体" w:cs="宋体"/>
          <w:sz w:val="32"/>
          <w:szCs w:val="32"/>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w:t>
      </w:r>
      <w:r>
        <w:rPr>
          <w:rFonts w:ascii="宋体" w:hAnsi="宋体" w:cs="宋体"/>
          <w:sz w:val="24"/>
          <w:szCs w:val="24"/>
        </w:rPr>
        <w:t xml:space="preserve">属性:</w:t>
      </w:r>
      <w:r>
        <w:rPr>
          <w:rFonts w:ascii="宋体" w:hAnsi="宋体" w:cs="宋体"/>
          <w:sz w:val="24"/>
          <w:szCs w:val="24"/>
        </w:rPr>
        <w:t xml:space="preserve">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①</w:t>
      </w:r>
      <w:r>
        <w:rPr>
          <w:rFonts w:ascii="宋体" w:hAnsi="宋体" w:cs="宋体"/>
          <w:bCs/>
          <w:sz w:val="24"/>
          <w:szCs w:val="24"/>
        </w:rPr>
        <w:t xml:space="preserve">投标人需具备非住宅类物业项目管理服务经验，能够提供自2023年1月1日以来（以合同签订日期为准）类似本项目的业绩</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③</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应商软件著作权证书，使用第三方开发的系统须提供第三方研发该系统的软件著作权证书及购买第三方系统的采购合同。</w:t>
      </w:r>
      <w:bookmarkEnd w:id="140"/>
      <w:r/>
      <w:bookmarkEnd w:id="141"/>
      <w:r/>
      <w:bookmarkEnd w:id="142"/>
      <w:r/>
      <w:bookmarkEnd w:id="143"/>
      <w:r/>
      <w:bookmarkEnd w:id="144"/>
      <w:r/>
      <w:r/>
    </w:p>
    <w:p>
      <w:pPr>
        <w:pStyle w:val="1090"/>
        <w:ind w:firstLine="586"/>
        <w:spacing w:line="360" w:lineRule="auto"/>
        <w:rPr>
          <w:rFonts w:hint="eastAsia" w:ascii="黑体" w:hAnsi="黑体" w:eastAsia="黑体" w:cs="黑体"/>
          <w:bCs w:val="0"/>
        </w:rPr>
        <w:sectPr>
          <w:headerReference w:type="default" r:id="rId9"/>
          <w:footerReference w:type="default" r:id="rId10"/>
          <w:footnotePr/>
          <w:endnotePr/>
          <w:type w:val="nextPage"/>
          <w:pgSz w:w="11906" w:h="16838" w:orient="portrait"/>
          <w:pgMar w:top="1247" w:right="1247" w:bottom="1247" w:left="1474" w:header="851" w:footer="850" w:gutter="0"/>
          <w:cols w:num="1" w:sep="0" w:space="720" w:equalWidth="1"/>
          <w:docGrid w:linePitch="360"/>
        </w:sectPr>
      </w:pPr>
      <w:r>
        <w:rPr>
          <w:rFonts w:hint="eastAsia" w:ascii="黑体" w:hAnsi="黑体" w:eastAsia="黑体" w:cs="黑体"/>
          <w:bCs w:val="0"/>
        </w:rPr>
      </w:r>
      <w:r/>
    </w:p>
    <w:p>
      <w:pPr>
        <w:jc w:val="center"/>
        <w:keepNext/>
        <w:rPr>
          <w:rFonts w:ascii="黑体" w:eastAsia="黑体"/>
          <w:bCs/>
          <w:sz w:val="44"/>
          <w:szCs w:val="28"/>
        </w:rPr>
        <w:outlineLvl w:val="0"/>
      </w:pPr>
      <w:r/>
      <w:bookmarkStart w:id="168"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68"/>
      <w:r/>
      <w:r/>
    </w:p>
    <w:p>
      <w:pPr>
        <w:ind w:firstLine="480"/>
        <w:rPr>
          <w:rFonts w:ascii="宋体" w:cs="宋体"/>
          <w:sz w:val="24"/>
          <w:szCs w:val="24"/>
          <w:lang w:val="zh-CN"/>
        </w:rPr>
      </w:pPr>
      <w:r>
        <w:rPr>
          <w:rFonts w:ascii="宋体" w:cs="宋体"/>
          <w:sz w:val="24"/>
          <w:szCs w:val="24"/>
          <w:lang w:val="zh-CN"/>
        </w:rPr>
      </w:r>
      <w:r/>
    </w:p>
    <w:p>
      <w:pPr>
        <w:pStyle w:val="1090"/>
        <w:ind w:firstLine="439"/>
        <w:rPr>
          <w:rFonts w:hint="eastAsia" w:cs="Arial"/>
        </w:rPr>
      </w:pPr>
      <w:r>
        <w:rPr>
          <w:rFonts w:hint="eastAsia" w:cs="宋体"/>
          <w:sz w:val="24"/>
          <w:szCs w:val="24"/>
          <w:lang w:val="zh-CN"/>
        </w:rPr>
        <w:t xml:space="preserve">采用综合评分法的，评标结果按评审后得分由高到低顺序排列。得分相同的，按投标报价由低到高顺序排列。得分且投标报价相同的并列。</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98"/>
        <w:gridCol w:w="1960"/>
        <w:gridCol w:w="5270"/>
      </w:tblGrid>
      <w:tr>
        <w:trPr/>
        <w:tc>
          <w:tcPr>
            <w:tcW w:w="810" w:type="pct"/>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136"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3053"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rHeight w:val="640"/>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restart"/>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jc w:val="left"/>
              <w:rPr>
                <w:rFonts w:hint="eastAsia" w:ascii="宋体" w:hAnsi="宋体"/>
                <w:szCs w:val="21"/>
              </w:rPr>
            </w:pPr>
            <w:r>
              <w:rPr>
                <w:rFonts w:hint="eastAsia" w:ascii="宋体" w:hAnsi="宋体"/>
                <w:szCs w:val="21"/>
              </w:rPr>
              <w:t xml:space="preserve">2个分包兼投兼中。本项目按照顺序依次评审，已被推荐为分包1中标候选人的投标人可参与分包2的评审。</w:t>
            </w:r>
            <w:r/>
          </w:p>
        </w:tc>
      </w:tr>
      <w:tr>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continue"/>
            <w:textDirection w:val="lrTb"/>
            <w:noWrap w:val="false"/>
          </w:tcPr>
          <w:p>
            <w:pPr>
              <w:rPr>
                <w:rFonts w:hint="eastAsia" w:ascii="宋体" w:hAnsi="宋体"/>
                <w:szCs w:val="21"/>
              </w:rPr>
            </w:pPr>
            <w:r>
              <w:rPr>
                <w:rFonts w:hint="eastAsia" w:ascii="宋体" w:hAnsi="宋体"/>
                <w:szCs w:val="21"/>
              </w:rPr>
            </w:r>
            <w:r/>
          </w:p>
        </w:tc>
      </w:tr>
    </w:tbl>
    <w:p>
      <w:pPr>
        <w:pStyle w:val="1090"/>
        <w:ind w:firstLine="588"/>
        <w:spacing w:line="0" w:lineRule="atLeast"/>
        <w:rPr>
          <w:rFonts w:hint="eastAsia"/>
          <w:b/>
        </w:rPr>
      </w:pPr>
      <w:r>
        <w:rPr>
          <w:rFonts w:hint="eastAsia"/>
          <w:b/>
        </w:rPr>
        <w:t xml:space="preserve">政府采购政策功能落实</w:t>
      </w:r>
      <w:r/>
    </w:p>
    <w:p>
      <w:pPr>
        <w:pStyle w:val="1090"/>
        <w:ind w:firstLine="439"/>
        <w:rPr>
          <w:rFonts w:hint="eastAsia" w:cs="宋体"/>
          <w:sz w:val="24"/>
          <w:szCs w:val="24"/>
          <w:lang w:val="zh-CN"/>
        </w:rPr>
      </w:pPr>
      <w:r>
        <w:rPr>
          <w:rFonts w:hint="eastAsia" w:cs="宋体"/>
          <w:sz w:val="24"/>
          <w:szCs w:val="24"/>
          <w:lang w:val="zh-CN"/>
        </w:rPr>
        <w:t xml:space="preserve">1.小微型企业价格扣除</w:t>
      </w:r>
      <w:r/>
    </w:p>
    <w:p>
      <w:pPr>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p>
    <w:p>
      <w:pPr>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p>
    <w:p>
      <w:pPr>
        <w:pStyle w:val="1090"/>
        <w:ind w:firstLine="360"/>
        <w:spacing w:line="0" w:lineRule="atLeast"/>
        <w:rPr>
          <w:rFonts w:hint="eastAsia"/>
        </w:rPr>
      </w:pPr>
      <w:r>
        <w:rPr>
          <w:rFonts w:ascii="仿宋" w:hAnsi="仿宋" w:eastAsia="仿宋" w:cs="仿宋"/>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sz w:val="24"/>
          <w:szCs w:val="24"/>
        </w:rPr>
        <w:t xml:space="preserve">）</w:t>
      </w:r>
      <w:r>
        <w:rPr>
          <w:rFonts w:ascii="仿宋" w:hAnsi="仿宋" w:eastAsia="仿宋" w:cs="仿宋"/>
          <w:sz w:val="24"/>
          <w:szCs w:val="24"/>
        </w:rPr>
        <w:t xml:space="preserve">供应商将不享受《政府采购促进中小企业发展管理办法》规定的价格扣除优惠政策。</w:t>
      </w:r>
      <w:r/>
    </w:p>
    <w:p>
      <w:pPr>
        <w:ind w:firstLine="480"/>
        <w:rPr>
          <w:rFonts w:ascii="宋体" w:cs="宋体"/>
          <w:sz w:val="24"/>
          <w:szCs w:val="24"/>
          <w:lang w:val="zh-CN"/>
        </w:rPr>
      </w:pPr>
      <w:r>
        <w:rPr>
          <w:rFonts w:hint="eastAsia" w:ascii="宋体" w:cs="宋体"/>
          <w:sz w:val="24"/>
          <w:szCs w:val="24"/>
          <w:lang w:val="zh-CN"/>
        </w:rPr>
        <w:t xml:space="preserve">2.残疾人福利单位价格扣除</w:t>
      </w:r>
      <w:r/>
    </w:p>
    <w:p>
      <w:pPr>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p>
    <w:p>
      <w:pPr>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p>
    <w:p>
      <w:pPr>
        <w:ind w:firstLine="480"/>
        <w:rPr>
          <w:rFonts w:ascii="宋体" w:cs="宋体"/>
          <w:sz w:val="24"/>
          <w:szCs w:val="24"/>
          <w:lang w:val="zh-CN"/>
        </w:rPr>
      </w:pPr>
      <w:r>
        <w:rPr>
          <w:rFonts w:hint="eastAsia" w:ascii="宋体" w:cs="宋体"/>
          <w:sz w:val="24"/>
          <w:szCs w:val="24"/>
          <w:lang w:val="zh-CN"/>
        </w:rPr>
        <w:t xml:space="preserve">3.监狱和戒毒企业价格扣除</w:t>
      </w:r>
      <w:r/>
    </w:p>
    <w:p>
      <w:pPr>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w:t>
      </w:r>
      <w:r>
        <w:rPr>
          <w:rFonts w:hint="eastAsia" w:ascii="宋体" w:cs="宋体"/>
          <w:sz w:val="24"/>
          <w:szCs w:val="24"/>
          <w:lang w:val="zh-CN"/>
        </w:rPr>
        <w:t xml:space="preserve">(含新疆生产建设兵团)</w:t>
      </w:r>
      <w:r>
        <w:rPr>
          <w:rFonts w:hint="eastAsia" w:ascii="宋体" w:cs="宋体"/>
          <w:sz w:val="24"/>
          <w:szCs w:val="24"/>
          <w:lang w:val="zh-CN"/>
        </w:rPr>
        <w:t xml:space="preserve">出具的属于监狱企业的证明文件。供应商如不提供上述证明文件，价格将不做相应扣除。</w:t>
      </w:r>
      <w:r/>
    </w:p>
    <w:p>
      <w:pPr>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（3）监狱企业标准请参照《关于政府采购支持监狱企业发展有关问题的通知》（财库〔2014〕68号）。</w:t>
      </w:r>
      <w:r/>
    </w:p>
    <w:p>
      <w:pPr>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p>
    <w:p>
      <w:pPr>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w:t>
      </w:r>
      <w:r>
        <w:rPr>
          <w:rFonts w:hint="eastAsia" w:ascii="宋体" w:cs="宋体"/>
          <w:sz w:val="24"/>
          <w:szCs w:val="24"/>
          <w:lang w:val="zh-CN"/>
        </w:rPr>
        <w:t xml:space="preserve">的,</w:t>
      </w:r>
      <w:r>
        <w:rPr>
          <w:rFonts w:hint="eastAsia" w:ascii="宋体" w:cs="宋体"/>
          <w:sz w:val="24"/>
          <w:szCs w:val="24"/>
          <w:lang w:val="zh-CN"/>
        </w:rPr>
        <w:t xml:space="preserve">大中型企业与小微型企</w:t>
      </w:r>
      <w:r>
        <w:rPr>
          <w:rFonts w:hint="eastAsia" w:ascii="宋体" w:cs="宋体"/>
          <w:sz w:val="24"/>
          <w:szCs w:val="24"/>
          <w:lang w:val="zh-CN"/>
        </w:rPr>
        <w:t xml:space="preserve">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7.采购本国产品的支持政策</w:t>
      </w:r>
      <w:r/>
    </w:p>
    <w:p>
      <w:pPr>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7.2 供应商需按照招标文件的要求提供《关于符合本国产品标准的声明函》（以下简称《声明函》），如不提供将不享受本国产品价格评审优惠。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w:t>
      </w:r>
      <w:r>
        <w:rPr>
          <w:rFonts w:hint="eastAsia" w:ascii="宋体" w:cs="宋体"/>
          <w:sz w:val="24"/>
          <w:szCs w:val="24"/>
          <w:lang w:val="zh-CN"/>
        </w:rPr>
        <w:t xml:space="preserve">“ </w:t>
      </w:r>
      <w:r>
        <w:rPr>
          <w:rFonts w:hint="eastAsia" w:ascii="宋体" w:cs="宋体"/>
          <w:sz w:val="24"/>
          <w:szCs w:val="24"/>
          <w:lang w:val="zh-CN"/>
        </w:rPr>
        <w:t xml:space="preserve"> </w:t>
      </w:r>
      <w:r>
        <w:rPr>
          <w:rFonts w:hint="eastAsia" w:ascii="宋体" w:cs="宋体"/>
          <w:sz w:val="24"/>
          <w:szCs w:val="24"/>
          <w:lang w:val="zh-CN"/>
        </w:rPr>
        <w:t xml:space="preserve">/  ”</w:t>
      </w:r>
      <w:r>
        <w:rPr>
          <w:rFonts w:hint="eastAsia" w:ascii="宋体" w:cs="宋体"/>
          <w:sz w:val="24"/>
          <w:szCs w:val="24"/>
          <w:lang w:val="zh-CN"/>
        </w:rPr>
        <w:t xml:space="preserve">的地方无需填写），三项信息中任意一项未填写的视为该项产品不符合本国产品标准，不享受本国产品价格评审优惠。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pStyle w:val="1090"/>
        <w:ind w:firstLine="0"/>
        <w:jc w:val="center"/>
        <w:spacing w:line="400" w:lineRule="exact"/>
        <w:rPr>
          <w:rFonts w:hint="eastAsia"/>
        </w:rPr>
      </w:pPr>
      <w:r>
        <w:rPr>
          <w:rFonts w:hint="eastAsia"/>
          <w:b/>
        </w:rPr>
        <w:t xml:space="preserve">评标方法与评标标准（采购包1）</w:t>
      </w:r>
      <w:r/>
    </w:p>
    <w:p>
      <w:pPr>
        <w:spacing w:line="20" w:lineRule="exact"/>
      </w:pPr>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667"/>
        <w:gridCol w:w="4995"/>
      </w:tblGrid>
      <w:tr>
        <w:trPr>
          <w:jc w:val="center"/>
          <w:tblCellSpacing w:w="0" w:type="dxa"/>
          <w:trHeight w:val="523"/>
          <w:tblHeader/>
        </w:trPr>
        <w:tc>
          <w:tcPr>
            <w:tcW w:w="982" w:type="dxa"/>
            <w:vAlign w:val="center"/>
            <w:textDirection w:val="lrTb"/>
            <w:noWrap w:val="false"/>
          </w:tcPr>
          <w:p>
            <w:pPr>
              <w:jc w:val="center"/>
              <w:rPr>
                <w:b/>
                <w:bCs/>
              </w:rPr>
            </w:pPr>
            <w:r/>
            <w:bookmarkStart w:id="169" w:name="OLE_LINK7"/>
            <w:r/>
            <w:bookmarkStart w:id="170" w:name="OLE_LINK8"/>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667" w:type="dxa"/>
            <w:vAlign w:val="center"/>
            <w:textDirection w:val="lrTb"/>
            <w:noWrap w:val="false"/>
          </w:tcPr>
          <w:p>
            <w:pPr>
              <w:jc w:val="center"/>
              <w:rPr>
                <w:b/>
                <w:bCs/>
              </w:rPr>
            </w:pPr>
            <w:r>
              <w:rPr>
                <w:rFonts w:hint="eastAsia"/>
                <w:b/>
                <w:bCs/>
              </w:rPr>
              <w:t xml:space="preserve">分值</w:t>
            </w:r>
            <w:r/>
          </w:p>
        </w:tc>
        <w:tc>
          <w:tcPr>
            <w:tcW w:w="4995"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806"/>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w:t>
            </w:r>
            <w:r>
              <w:rPr>
                <w:rFonts w:hint="eastAsia"/>
              </w:rPr>
              <w:t xml:space="preserve">计算</w:t>
            </w:r>
            <w:r>
              <w:rPr>
                <w:rFonts w:hint="eastAsia"/>
              </w:rPr>
              <w:t xml:space="preserve">:</w:t>
            </w:r>
            <w:r>
              <w:rPr>
                <w:rFonts w:hint="eastAsia"/>
              </w:rPr>
              <w:t xml:space="preserve">投标报价得分</w:t>
            </w:r>
            <w:r>
              <w:rPr>
                <w:rFonts w:hint="eastAsia"/>
              </w:rPr>
              <w:t xml:space="preserve">=</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398"/>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41</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4</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本项目的保洁员服务方案，评委根据投标文件对招标文件第四章“采购需求”中“保洁服务方案”要求的响应情况进行评审。</w:t>
            </w:r>
            <w:r/>
          </w:p>
          <w:p>
            <w:r>
              <w:rPr>
                <w:rFonts w:hint="eastAsia"/>
              </w:rPr>
              <w:t xml:space="preserve">（</w:t>
            </w:r>
            <w:r>
              <w:rPr>
                <w:rFonts w:hint="eastAsia"/>
              </w:rPr>
              <w:t xml:space="preserve">1</w:t>
            </w:r>
            <w:r>
              <w:rPr>
                <w:rFonts w:hint="eastAsia"/>
              </w:rPr>
              <w:t xml:space="preserve">）投标文件未符合“保洁服务方案”中全部条款要求的，视为不符合招标文件，本项得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）投标文件对“保洁服务方案”中“工作流程”、“验收标准”</w:t>
            </w:r>
            <w:r>
              <w:rPr>
                <w:rFonts w:hint="eastAsia"/>
              </w:rPr>
              <w:t xml:space="preserve">2</w:t>
            </w:r>
            <w:r>
              <w:rPr>
                <w:rFonts w:hint="eastAsia"/>
              </w:rPr>
              <w:t xml:space="preserve">项要求的响应内容全部优于招标文件要求的（前提是投标文件对“保洁服务方案”中除“工作流程”、“验收标准”以外其他要求响应内容符合招标文件要求），本项得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320"/>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会务服务方案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本项目的会务服务方案，评委根据投标文件对招标文件第四章“采购需求”中“会务服务方案”要求的响应情况进行评审。</w:t>
            </w:r>
            <w:r/>
          </w:p>
          <w:p>
            <w:r>
              <w:rPr>
                <w:rFonts w:hint="eastAsia"/>
              </w:rPr>
              <w:t xml:space="preserve">（</w:t>
            </w:r>
            <w:r>
              <w:rPr>
                <w:rFonts w:hint="eastAsia"/>
              </w:rPr>
              <w:t xml:space="preserve">1</w:t>
            </w:r>
            <w:r>
              <w:rPr>
                <w:rFonts w:hint="eastAsia"/>
              </w:rPr>
              <w:t xml:space="preserve">）投标文件未符合“会务服务方案”中全部条款要求的，视为不符合招标文件，本项得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）投标文件对“会务服务方案”中“服务质量”、“物业运营、协调或管理经验”</w:t>
            </w:r>
            <w:r>
              <w:rPr>
                <w:rFonts w:hint="eastAsia"/>
              </w:rPr>
              <w:t xml:space="preserve">2</w:t>
            </w:r>
            <w:r>
              <w:rPr>
                <w:rFonts w:hint="eastAsia"/>
              </w:rPr>
              <w:t xml:space="preserve">项要求的响应内容全部优于招标文件要求的（前提是投标文件对“会务服务方案”中除“服务质量”、“物业运营、协调或管理经验”以外其他要求响应内容符合招标文件要求），本项得</w:t>
            </w:r>
            <w:r>
              <w:rPr>
                <w:rFonts w:hint="eastAsia"/>
              </w:rPr>
              <w:t xml:space="preserve">4</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突发事件应急处置方案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项要求的响应内容全部优于招标文件要求的（前提是投标文件对“突发事件应急处置方案”中除“突发事件的排查”、“应急预案的建立”以外其他要求响应内容符合招标文件要求），本项得</w:t>
            </w:r>
            <w:r>
              <w:rPr>
                <w:rFonts w:hint="eastAsia"/>
              </w:rPr>
              <w:t xml:space="preserve">3</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人员配置方案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管理规章及人员考核方案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人员培训方案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2.11</w:t>
            </w:r>
            <w:r>
              <w:rPr>
                <w:rFonts w:hint="eastAsia"/>
              </w:rPr>
              <w:t xml:space="preserve">交接过渡方案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32</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3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667" w:type="dxa"/>
            <w:vAlign w:val="center"/>
            <w:textDirection w:val="lrTb"/>
            <w:noWrap w:val="false"/>
          </w:tcPr>
          <w:p>
            <w:pPr>
              <w:rPr>
                <w:szCs w:val="24"/>
              </w:rPr>
            </w:pPr>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）拟派驻的驾驶员每有</w:t>
            </w:r>
            <w:r>
              <w:rPr>
                <w:rFonts w:hint="eastAsia"/>
              </w:rPr>
              <w:t xml:space="preserve">1</w:t>
            </w:r>
            <w:r>
              <w:rPr>
                <w:rFonts w:hint="eastAsia"/>
              </w:rPr>
              <w:t xml:space="preserve">名提供近</w:t>
            </w:r>
            <w:r>
              <w:rPr>
                <w:rFonts w:hint="eastAsia"/>
              </w:rPr>
              <w:t xml:space="preserve">2</w:t>
            </w:r>
            <w:r>
              <w:rPr>
                <w:rFonts w:hint="eastAsia"/>
              </w:rPr>
              <w:t xml:space="preserve">年无满分学习记录的，得</w:t>
            </w:r>
            <w:r>
              <w:rPr>
                <w:rFonts w:hint="eastAsia"/>
              </w:rPr>
              <w:t xml:space="preserve">1</w:t>
            </w:r>
            <w:r>
              <w:rPr>
                <w:rFonts w:hint="eastAsia"/>
              </w:rPr>
              <w:t xml:space="preserve">分，最高得</w:t>
            </w:r>
            <w:r>
              <w:rPr>
                <w:rFonts w:hint="eastAsia"/>
              </w:rPr>
              <w:t xml:space="preserve">5</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ascii="宋体" w:hAnsi="宋体" w:cs="宋体"/>
              </w:rPr>
              <w:t xml:space="preserve">近2年无满分学习记录的证明需由公安机关交通管理部门出具或者交管12123平台线上出具的证明。</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）拟派驻厨师具有中式烹调师初级证书（职业技能等级五级）及以上技能等级证书的，得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667" w:type="dxa"/>
            <w:vAlign w:val="center"/>
            <w:textDirection w:val="lrTb"/>
            <w:noWrap w:val="false"/>
          </w:tcPr>
          <w:p>
            <w:pPr>
              <w:rPr>
                <w:szCs w:val="24"/>
              </w:rPr>
            </w:pPr>
            <w:r>
              <w:rPr>
                <w:rFonts w:hint="eastAsia"/>
                <w:szCs w:val="24"/>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0.5</w:t>
            </w:r>
            <w:r>
              <w:rPr>
                <w:rFonts w:hint="eastAsia"/>
              </w:rPr>
              <w:t xml:space="preserve">分，最高得</w:t>
            </w:r>
            <w:r>
              <w:rPr>
                <w:rFonts w:hint="eastAsia"/>
              </w:rPr>
              <w:t xml:space="preserve">5</w:t>
            </w:r>
            <w:r>
              <w:rPr>
                <w:rFonts w:hint="eastAsia"/>
              </w:rPr>
              <w:t xml:space="preserve">分，未提供</w:t>
            </w:r>
            <w:r>
              <w:rPr>
                <w:rFonts w:hint="eastAsia"/>
              </w:rPr>
              <w:t xml:space="preserve">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66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3.6</w:t>
            </w:r>
            <w:r>
              <w:rPr>
                <w:rFonts w:hint="eastAsia"/>
              </w:rPr>
              <w:t xml:space="preserve">会务</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）拟派驻会务具有大专及以上学历的，得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）拟派驻会务具有</w:t>
            </w:r>
            <w:r>
              <w:rPr>
                <w:rFonts w:hint="eastAsia"/>
              </w:rPr>
              <w:t xml:space="preserve">2</w:t>
            </w:r>
            <w:r>
              <w:rPr>
                <w:rFonts w:hint="eastAsia"/>
              </w:rPr>
              <w:t xml:space="preserve">年（含）以上类似工作经验的，得</w:t>
            </w:r>
            <w:r>
              <w:rPr>
                <w:rFonts w:hint="eastAsia"/>
              </w:rPr>
              <w:t xml:space="preserve">2</w:t>
            </w:r>
            <w:r>
              <w:rPr>
                <w:rFonts w:hint="eastAsia"/>
              </w:rPr>
              <w:t xml:space="preserve">分，未提供的不得分。</w:t>
            </w:r>
            <w:r/>
          </w:p>
          <w:p>
            <w:pPr>
              <w:pStyle w:val="879"/>
              <w:ind w:firstLine="0"/>
              <w:spacing w:line="240" w:lineRule="auto"/>
              <w:rPr>
                <w:rFonts w:hint="eastAsia"/>
              </w:rPr>
            </w:pPr>
            <w:r>
              <w:rPr>
                <w:rFonts w:hint="eastAsia"/>
              </w:rPr>
              <w:t xml:space="preserve">（3）拟派驻会务具有</w:t>
            </w:r>
            <w:r>
              <w:rPr>
                <w:rFonts w:hint="eastAsia"/>
                <w:iCs/>
                <w:szCs w:val="21"/>
              </w:rPr>
              <w:t xml:space="preserve">物业管理经验的，得1分，未提供的不得分。</w:t>
            </w:r>
            <w:r/>
          </w:p>
          <w:p>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工作经验需甲方单位证明材料扫描件或复印件，并加盖投标单位公章；</w:t>
            </w:r>
            <w:r>
              <w:rPr>
                <w:rFonts w:hint="eastAsia"/>
              </w:rPr>
              <w:t xml:space="preserve">3.</w:t>
            </w:r>
            <w:r>
              <w:rPr>
                <w:rFonts w:hint="eastAsia"/>
              </w:rPr>
              <w:t xml:space="preserve">投标人为其缴纳投标截止时间前</w:t>
            </w:r>
            <w:r>
              <w:rPr>
                <w:rFonts w:hint="eastAsia"/>
              </w:rPr>
              <w:t xml:space="preserve">3</w:t>
            </w:r>
            <w:r>
              <w:rPr>
                <w:rFonts w:hint="eastAsia"/>
              </w:rPr>
              <w:t xml:space="preserve">个月内任意一个月社保证明材料（不含投标当月）。</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667" w:type="dxa"/>
            <w:vAlign w:val="center"/>
            <w:textDirection w:val="lrTb"/>
            <w:noWrap w:val="false"/>
          </w:tcPr>
          <w:p>
            <w:r>
              <w:rPr>
                <w:rFonts w:hint="eastAsia"/>
              </w:rPr>
              <w:t xml:space="preserve">4</w:t>
            </w:r>
            <w:bookmarkEnd w:id="169"/>
            <w:r/>
            <w:bookmarkEnd w:id="170"/>
            <w:r/>
            <w:r/>
          </w:p>
        </w:tc>
        <w:tc>
          <w:tcPr>
            <w:tcW w:w="4995"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667"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995"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r/>
      <w:r/>
    </w:p>
    <w:p>
      <w:r/>
      <w:r/>
    </w:p>
    <w:p>
      <w:r/>
      <w:r/>
    </w:p>
    <w:p>
      <w:r/>
      <w:r/>
    </w:p>
    <w:p>
      <w:r/>
      <w:r/>
    </w:p>
    <w:p>
      <w:r/>
      <w:r/>
    </w:p>
    <w:p>
      <w:r/>
      <w:r/>
    </w:p>
    <w:p>
      <w:pPr>
        <w:pStyle w:val="1090"/>
        <w:ind w:firstLine="0"/>
        <w:jc w:val="both"/>
        <w:spacing w:line="400" w:lineRule="exact"/>
        <w:rPr>
          <w:rFonts w:hint="eastAsia"/>
          <w:b/>
        </w:rPr>
      </w:pPr>
      <w:r>
        <w:rPr>
          <w:rFonts w:hint="eastAsia"/>
          <w:b/>
        </w:rPr>
      </w:r>
      <w:r/>
    </w:p>
    <w:p>
      <w:pPr>
        <w:jc w:val="left"/>
        <w:widowControl/>
        <w:rPr>
          <w:rFonts w:hint="eastAsia" w:ascii="宋体" w:hAnsi="宋体" w:cs="方正仿宋_GBK"/>
          <w:b/>
          <w:bCs/>
          <w:sz w:val="32"/>
          <w:szCs w:val="32"/>
        </w:rPr>
      </w:pPr>
      <w:r>
        <w:rPr>
          <w:rFonts w:hint="eastAsia"/>
          <w:b/>
        </w:rPr>
        <w:br w:type="page" w:clear="all"/>
      </w:r>
      <w:r/>
    </w:p>
    <w:p>
      <w:pPr>
        <w:pStyle w:val="1090"/>
        <w:ind w:firstLine="0"/>
        <w:jc w:val="center"/>
        <w:spacing w:line="400" w:lineRule="exact"/>
        <w:rPr>
          <w:rFonts w:hint="eastAsia"/>
          <w:b/>
        </w:rPr>
      </w:pPr>
      <w:r>
        <w:rPr>
          <w:rFonts w:hint="eastAsia"/>
          <w:b/>
        </w:rPr>
        <w:t xml:space="preserve">评标方法与评标标准（采购包2）</w:t>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791"/>
        <w:gridCol w:w="4871"/>
      </w:tblGrid>
      <w:tr>
        <w:trPr>
          <w:jc w:val="center"/>
          <w:tblCellSpacing w:w="0" w:type="dxa"/>
          <w:trHeight w:val="523"/>
          <w:tblHeader/>
        </w:trPr>
        <w:tc>
          <w:tcPr>
            <w:tcW w:w="982" w:type="dxa"/>
            <w:vAlign w:val="center"/>
            <w:textDirection w:val="lrTb"/>
            <w:noWrap w:val="false"/>
          </w:tcPr>
          <w:p>
            <w:pPr>
              <w:jc w:val="center"/>
              <w:rPr>
                <w:b/>
                <w:bCs/>
              </w:rPr>
            </w:pPr>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791" w:type="dxa"/>
            <w:vAlign w:val="center"/>
            <w:textDirection w:val="lrTb"/>
            <w:noWrap w:val="false"/>
          </w:tcPr>
          <w:p>
            <w:pPr>
              <w:jc w:val="center"/>
              <w:rPr>
                <w:b/>
                <w:bCs/>
              </w:rPr>
            </w:pPr>
            <w:r>
              <w:rPr>
                <w:rFonts w:hint="eastAsia"/>
                <w:b/>
                <w:bCs/>
              </w:rPr>
              <w:t xml:space="preserve">分值</w:t>
            </w:r>
            <w:r/>
          </w:p>
        </w:tc>
        <w:tc>
          <w:tcPr>
            <w:tcW w:w="4871"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710"/>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w:t>
            </w:r>
            <w:r>
              <w:rPr>
                <w:rFonts w:hint="eastAsia"/>
              </w:rPr>
              <w:t xml:space="preserve">计算</w:t>
            </w:r>
            <w:r>
              <w:rPr>
                <w:rFonts w:hint="eastAsia"/>
              </w:rPr>
              <w:t xml:space="preserve">:</w:t>
            </w:r>
            <w:r>
              <w:rPr>
                <w:rFonts w:hint="eastAsia"/>
              </w:rPr>
              <w:t xml:space="preserve">投标报价得分</w:t>
            </w:r>
            <w:r>
              <w:rPr>
                <w:rFonts w:hint="eastAsia"/>
              </w:rPr>
              <w:t xml:space="preserve">=</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669"/>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43</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5</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本项目的保洁员服务方案，评委根据投标文件对招标文件第四章“采购需求”中“保洁（会务）服务方案”要求的响应情况进行评审。</w:t>
            </w:r>
            <w:r/>
          </w:p>
          <w:p>
            <w:r>
              <w:rPr>
                <w:rFonts w:hint="eastAsia"/>
              </w:rPr>
              <w:t xml:space="preserve">（</w:t>
            </w:r>
            <w:r>
              <w:rPr>
                <w:rFonts w:hint="eastAsia"/>
              </w:rPr>
              <w:t xml:space="preserve">1</w:t>
            </w:r>
            <w:r>
              <w:rPr>
                <w:rFonts w:hint="eastAsia"/>
              </w:rPr>
              <w:t xml:space="preserve">）投标文件未符合“保洁（会务）服务方案”中全部条款要求的，视为不符合招标文件，本项得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）投标文件对“保洁（会务）服务方案”中“工作流程”、“验收标准”</w:t>
            </w:r>
            <w:r>
              <w:rPr>
                <w:rFonts w:hint="eastAsia"/>
              </w:rPr>
              <w:t xml:space="preserve">2</w:t>
            </w:r>
            <w:r>
              <w:rPr>
                <w:rFonts w:hint="eastAsia"/>
              </w:rPr>
              <w:t xml:space="preserve">项要求的响应内容全部优于招标文件要求的（前提是投标文件对“保洁（会务）服务方案”中除“工作流程”、“验收标准”以外其他要求响应内容符合招标文件要求），本项得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突发事件应急处置方案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w:t>
            </w:r>
            <w:r>
              <w:rPr>
                <w:rFonts w:hint="eastAsia"/>
              </w:rPr>
              <w:t xml:space="preserve">的排查”、“应急预案的建立”以外其他要求响应内容符合招标文件要求），本项得</w:t>
            </w:r>
            <w:r>
              <w:rPr>
                <w:rFonts w:hint="eastAsia"/>
              </w:rPr>
              <w:t xml:space="preserve">4</w:t>
            </w:r>
            <w:r>
              <w:rPr>
                <w:rFonts w:hint="eastAsia"/>
              </w:rPr>
              <w:t xml:space="preserve">分。</w:t>
            </w:r>
            <w:r/>
          </w:p>
        </w:tc>
      </w:tr>
      <w:tr>
        <w:trPr>
          <w:jc w:val="center"/>
          <w:tblCellSpacing w:w="0" w:type="dxa"/>
          <w:trHeight w:val="1738"/>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人员配置方案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管理规章及人员考核方案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人员培训方案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交接过渡方案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t xml:space="preserve">4</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30</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）拟派驻保洁人员每有一名具有会务工作经验的，得</w:t>
            </w:r>
            <w:r>
              <w:rPr>
                <w:rFonts w:hint="eastAsia"/>
              </w:rPr>
              <w:t xml:space="preserve">1</w:t>
            </w:r>
            <w:r>
              <w:rPr>
                <w:rFonts w:hint="eastAsia"/>
              </w:rPr>
              <w:t xml:space="preserve">分，最高得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81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w:t>
            </w:r>
            <w:r>
              <w:rPr>
                <w:rFonts w:hint="eastAsia"/>
              </w:rPr>
              <w:t xml:space="preserve">中</w:t>
            </w:r>
            <w:r>
              <w:rPr>
                <w:rFonts w:hint="eastAsia"/>
              </w:rPr>
              <w:t xml:space="preserve">及以上学历的，得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w:t>
            </w:r>
            <w:r>
              <w:rPr>
                <w:rFonts w:hint="eastAsia"/>
                <w:lang w:bidi="ar"/>
              </w:rPr>
              <w:t xml:space="preserve">拟派驻的驾驶员每有</w:t>
            </w:r>
            <w:r>
              <w:rPr>
                <w:rFonts w:hint="eastAsia"/>
                <w:lang w:bidi="ar"/>
              </w:rPr>
              <w:t xml:space="preserve">1</w:t>
            </w:r>
            <w:r>
              <w:rPr>
                <w:rFonts w:hint="eastAsia"/>
                <w:lang w:bidi="ar"/>
              </w:rPr>
              <w:t xml:space="preserve">名提供近</w:t>
            </w:r>
            <w:r>
              <w:rPr>
                <w:rFonts w:hint="eastAsia"/>
                <w:lang w:bidi="ar"/>
              </w:rPr>
              <w:t xml:space="preserve">2</w:t>
            </w:r>
            <w:r>
              <w:rPr>
                <w:rFonts w:hint="eastAsia"/>
                <w:lang w:bidi="ar"/>
              </w:rPr>
              <w:t xml:space="preserve">年无满分学习记录的，得</w:t>
            </w:r>
            <w:r>
              <w:rPr>
                <w:rFonts w:hint="eastAsia"/>
                <w:lang w:bidi="ar"/>
              </w:rPr>
              <w:t xml:space="preserve">2</w:t>
            </w:r>
            <w:r>
              <w:rPr>
                <w:rFonts w:hint="eastAsia"/>
                <w:lang w:bidi="ar"/>
              </w:rPr>
              <w:t xml:space="preserve">分，最高得</w:t>
            </w:r>
            <w:r>
              <w:rPr>
                <w:rFonts w:hint="eastAsia"/>
                <w:lang w:bidi="ar"/>
              </w:rPr>
              <w:t xml:space="preserve">4</w:t>
            </w:r>
            <w:r>
              <w:rPr>
                <w:rFonts w:hint="eastAsia"/>
                <w:lang w:bidi="ar"/>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ascii="宋体" w:hAnsi="宋体" w:cs="宋体"/>
              </w:rPr>
              <w:t xml:space="preserve">近2年无满分学习记录的证明需由公安机关交通管理部门出具或者交管12123平台线上出具的证明。</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）拟派驻厨师具有中式烹调师初级证书（职业技能等级五级）技能等级证书的，得</w:t>
            </w:r>
            <w:r>
              <w:rPr>
                <w:rFonts w:hint="eastAsia"/>
              </w:rPr>
              <w:t xml:space="preserve">2</w:t>
            </w:r>
            <w:r>
              <w:rPr>
                <w:rFonts w:hint="eastAsia"/>
              </w:rPr>
              <w:t xml:space="preserve">分；具有中式烹调师中级证书（职业技能等级四级）技能等级证书的，得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w:t>
            </w:r>
            <w:r>
              <w:rPr>
                <w:rFonts w:hint="eastAsia"/>
              </w:rPr>
              <w:t xml:space="preserve">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1.5</w:t>
            </w:r>
            <w:r>
              <w:rPr>
                <w:rFonts w:hint="eastAsia"/>
              </w:rPr>
              <w:t xml:space="preserve">分，最高得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）拟派驻厨工</w:t>
            </w:r>
            <w:r>
              <w:rPr>
                <w:rFonts w:hint="eastAsia"/>
              </w:rPr>
              <w:t xml:space="preserve">均</w:t>
            </w:r>
            <w:r>
              <w:rPr>
                <w:rFonts w:hint="eastAsia"/>
              </w:rPr>
              <w:t xml:space="preserve">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ascii="宋体" w:hAnsi="宋体" w:cs="宋体"/>
              </w:rPr>
              <w:t xml:space="preserve">（不含投标当月）</w:t>
            </w:r>
            <w:r>
              <w:rPr>
                <w:rFonts w:hint="eastAsia"/>
              </w:rPr>
              <w:t xml:space="preserve">。</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791"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871"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pPr>
        <w:jc w:val="left"/>
        <w:widowControl/>
        <w:rPr>
          <w:rFonts w:ascii="宋体" w:cs="宋体"/>
          <w:sz w:val="44"/>
          <w:szCs w:val="44"/>
        </w:rPr>
      </w:pPr>
      <w:r>
        <w:rPr>
          <w:rFonts w:ascii="宋体" w:cs="宋体"/>
          <w:sz w:val="44"/>
          <w:szCs w:val="44"/>
        </w:rPr>
        <w:br w:type="page" w:clear="all"/>
      </w:r>
      <w:r/>
    </w:p>
    <w:p>
      <w:pPr>
        <w:jc w:val="center"/>
        <w:keepNext/>
        <w:rPr>
          <w:rFonts w:ascii="宋体" w:cs="宋体"/>
          <w:sz w:val="44"/>
          <w:szCs w:val="44"/>
        </w:rPr>
      </w:pPr>
      <w:r>
        <w:rPr>
          <w:rFonts w:ascii="宋体" w:cs="宋体"/>
          <w:sz w:val="44"/>
          <w:szCs w:val="44"/>
        </w:rPr>
      </w:r>
      <w:r/>
    </w:p>
    <w:p>
      <w:pPr>
        <w:jc w:val="center"/>
        <w:keepNext/>
        <w:rPr>
          <w:rFonts w:ascii="黑体" w:eastAsia="黑体"/>
          <w:bCs/>
          <w:sz w:val="44"/>
          <w:szCs w:val="28"/>
        </w:rPr>
        <w:outlineLvl w:val="0"/>
      </w:pPr>
      <w:r/>
      <w:bookmarkStart w:id="171"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71"/>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lang w:eastAsia="en-US"/>
              </w:rPr>
              <w:t xml:space="preserve">                      </w:t>
            </w:r>
            <w:r>
              <w:rPr>
                <w:rFonts w:hint="eastAsia" w:ascii="宋体" w:hAnsi="宋体" w:cs="方正仿宋_GBK"/>
                <w:sz w:val="24"/>
                <w:szCs w:val="24"/>
                <w:lang w:eastAsia="en-US"/>
              </w:rPr>
              <w:t xml:space="preserve">投标总报价</w:t>
            </w:r>
            <w:r/>
          </w:p>
        </w:tc>
      </w:tr>
      <w:tr>
        <w:trPr>
          <w:cantSplit/>
          <w:trHeight w:val="612"/>
        </w:trPr>
        <w:tc>
          <w:tcPr>
            <w:tcW w:w="8934" w:type="dxa"/>
            <w:vAlign w:val="center"/>
            <w:textDirection w:val="lrTb"/>
            <w:noWrap w:val="false"/>
          </w:tcPr>
          <w:p>
            <w:pPr>
              <w:pStyle w:val="1090"/>
              <w:rPr>
                <w:rFonts w:hint="eastAsia"/>
              </w:rPr>
            </w:pPr>
            <w:r>
              <w:rPr>
                <w:rFonts w:hint="eastAsia"/>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rPr>
                <w:rFonts w:hint="eastAsia" w:ascii="宋体" w:cs="宋体"/>
                <w:b/>
                <w:bCs/>
                <w:sz w:val="24"/>
                <w:szCs w:val="24"/>
                <w:lang w:val="zh-CN" w:eastAsia="en-US"/>
              </w:rPr>
              <w:t xml:space="preserve">）</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625"/>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人员工资</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社会保险费用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2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住房公积金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rPr>
                <w:rFonts w:ascii="宋体" w:cs="宋体"/>
                <w:sz w:val="22"/>
                <w:lang w:val="zh-CN" w:eastAsia="en-US"/>
              </w:rPr>
            </w:pPr>
            <w:r>
              <w:rPr>
                <w:rFonts w:hint="eastAsia" w:ascii="宋体" w:cs="宋体"/>
                <w:sz w:val="24"/>
                <w:szCs w:val="24"/>
              </w:rPr>
              <w:t xml:space="preserve">伙食费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5</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商业保险费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hint="eastAsia" w:ascii="宋体" w:cs="宋体"/>
                <w:sz w:val="24"/>
                <w:szCs w:val="24"/>
              </w:rPr>
              <w:t xml:space="preserve">6</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公司管理费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税金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垃圾清运费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ascii="宋体" w:cs="宋体"/>
                <w:sz w:val="24"/>
                <w:szCs w:val="24"/>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4"/>
                <w:szCs w:val="24"/>
              </w:rPr>
            </w:pPr>
            <w:r>
              <w:rPr>
                <w:rFonts w:ascii="宋体" w:cs="宋体"/>
                <w:sz w:val="24"/>
                <w:szCs w:val="24"/>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b/>
                <w:bCs/>
                <w:sz w:val="24"/>
                <w:szCs w:val="24"/>
                <w:lang w:val="zh-CN" w:eastAsia="en-US"/>
              </w:rPr>
            </w:pPr>
            <w:r>
              <w:rPr>
                <w:rFonts w:ascii="宋体" w:cs="宋体"/>
                <w:b/>
                <w:bCs/>
                <w:sz w:val="24"/>
                <w:szCs w:val="24"/>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ind w:firstLine="482"/>
        <w:spacing w:line="240" w:lineRule="atLeast"/>
        <w:rPr>
          <w:rFonts w:ascii="宋体" w:cs="宋体"/>
          <w:b/>
          <w:bCs/>
          <w:sz w:val="24"/>
          <w:szCs w:val="24"/>
          <w:lang w:val="zh-CN"/>
        </w:rPr>
      </w:pPr>
      <w:r>
        <w:rPr>
          <w:rFonts w:ascii="宋体" w:cs="宋体"/>
          <w:b/>
          <w:bCs/>
          <w:sz w:val="24"/>
          <w:szCs w:val="24"/>
          <w:lang w:val="zh-CN"/>
        </w:rPr>
      </w:r>
      <w:r/>
    </w:p>
    <w:p>
      <w:pPr>
        <w:ind w:firstLine="482"/>
        <w:spacing w:line="240" w:lineRule="atLeast"/>
        <w:rPr>
          <w:rFonts w:ascii="宋体" w:cs="宋体"/>
          <w:b/>
          <w:bCs/>
          <w:sz w:val="24"/>
          <w:szCs w:val="24"/>
          <w:lang w:val="zh-CN"/>
        </w:rPr>
      </w:pPr>
      <w:r>
        <w:rPr>
          <w:rFonts w:hint="eastAsia" w:ascii="宋体" w:cs="宋体"/>
          <w:b/>
          <w:bCs/>
          <w:sz w:val="24"/>
          <w:szCs w:val="24"/>
        </w:rPr>
        <w:t xml:space="preserve">附件2.2</w:t>
      </w:r>
      <w:r>
        <w:rPr>
          <w:rFonts w:hint="eastAsia" w:ascii="宋体" w:cs="宋体"/>
          <w:b/>
          <w:bCs/>
          <w:sz w:val="24"/>
          <w:szCs w:val="24"/>
          <w:lang w:val="zh-CN"/>
        </w:rPr>
        <w:t xml:space="preserve">投标</w:t>
      </w:r>
      <w:r>
        <w:rPr>
          <w:rFonts w:hint="eastAsia" w:ascii="宋体" w:cs="宋体"/>
          <w:b/>
          <w:bCs/>
          <w:sz w:val="24"/>
          <w:szCs w:val="24"/>
        </w:rPr>
        <w:t xml:space="preserve">岗位综合</w:t>
      </w:r>
      <w:r>
        <w:rPr>
          <w:rFonts w:hint="eastAsia" w:ascii="宋体" w:cs="宋体"/>
          <w:b/>
          <w:bCs/>
          <w:sz w:val="24"/>
          <w:szCs w:val="24"/>
          <w:lang w:val="zh-CN"/>
        </w:rPr>
        <w:t xml:space="preserve">报价表</w:t>
      </w:r>
      <w:r/>
    </w:p>
    <w:p>
      <w:pPr>
        <w:ind w:firstLine="482"/>
        <w:spacing w:line="240" w:lineRule="atLeast"/>
        <w:rPr>
          <w:rFonts w:ascii="宋体" w:cs="宋体"/>
          <w:b/>
          <w:bCs/>
          <w:sz w:val="24"/>
          <w:szCs w:val="24"/>
          <w:lang w:val="zh-CN"/>
        </w:rPr>
      </w:pPr>
      <w:r>
        <w:rPr>
          <w:rFonts w:ascii="宋体" w:cs="宋体"/>
          <w:b/>
          <w:bCs/>
          <w:sz w:val="24"/>
          <w:szCs w:val="24"/>
          <w:lang w:val="zh-CN"/>
        </w:rPr>
      </w:r>
      <w:r/>
    </w:p>
    <w:tbl>
      <w:tblPr>
        <w:tblStyle w:val="880"/>
        <w:tblW w:w="90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1"/>
        <w:gridCol w:w="1732"/>
        <w:gridCol w:w="859"/>
        <w:gridCol w:w="900"/>
        <w:gridCol w:w="831"/>
        <w:gridCol w:w="1432"/>
        <w:gridCol w:w="1377"/>
        <w:gridCol w:w="1210"/>
      </w:tblGrid>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项目</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岗位</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单位</w:t>
            </w:r>
            <w:r/>
          </w:p>
        </w:tc>
        <w:tc>
          <w:tcPr>
            <w:tcW w:w="90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数量</w:t>
            </w:r>
            <w:r/>
          </w:p>
        </w:tc>
        <w:tc>
          <w:tcPr>
            <w:tcW w:w="8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月数</w:t>
            </w:r>
            <w:r/>
          </w:p>
        </w:tc>
        <w:tc>
          <w:tcPr>
            <w:tcW w:w="14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月平均费用</w:t>
            </w:r>
            <w:r/>
          </w:p>
        </w:tc>
        <w:tc>
          <w:tcPr>
            <w:tcW w:w="1377"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年费用</w:t>
            </w:r>
            <w:r/>
          </w:p>
        </w:tc>
        <w:tc>
          <w:tcPr>
            <w:tcW w:w="121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备注</w:t>
            </w:r>
            <w:r/>
          </w:p>
        </w:tc>
      </w:tr>
      <w:tr>
        <w:trPr>
          <w:jc w:val="center"/>
          <w:trHeight w:val="567"/>
        </w:trPr>
        <w:tc>
          <w:tcPr>
            <w:tcW w:w="731" w:type="dxa"/>
            <w:vAlign w:val="center"/>
            <w:vMerge w:val="restart"/>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人员费用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厨师</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restart"/>
            <w:textDirection w:val="lrTb"/>
            <w:noWrap w:val="false"/>
          </w:tcPr>
          <w:p>
            <w:pPr>
              <w:jc w:val="center"/>
              <w:spacing w:line="240" w:lineRule="atLeast"/>
              <w:rPr>
                <w:rFonts w:ascii="宋体" w:cs="宋体"/>
                <w:b/>
                <w:bCs/>
                <w:szCs w:val="21"/>
                <w:lang w:val="zh-CN"/>
              </w:rPr>
            </w:pPr>
            <w:r>
              <w:rPr>
                <w:rFonts w:hint="eastAsia" w:ascii="宋体" w:cs="宋体"/>
                <w:b/>
                <w:bCs/>
                <w:szCs w:val="21"/>
                <w:lang w:val="zh-CN"/>
              </w:rPr>
              <w:t xml:space="preserve">年费用=数</w:t>
            </w:r>
            <w:r/>
          </w:p>
          <w:p>
            <w:pPr>
              <w:jc w:val="center"/>
              <w:spacing w:line="240" w:lineRule="atLeast"/>
              <w:rPr>
                <w:rFonts w:ascii="宋体" w:cs="宋体"/>
                <w:b/>
                <w:bCs/>
                <w:szCs w:val="21"/>
              </w:rPr>
            </w:pPr>
            <w:r>
              <w:rPr>
                <w:rFonts w:hint="eastAsia" w:ascii="宋体" w:cs="宋体"/>
                <w:b/>
                <w:bCs/>
                <w:szCs w:val="21"/>
                <w:lang w:val="zh-CN"/>
              </w:rPr>
              <w:t xml:space="preserve">量*月数*月</w:t>
            </w:r>
            <w:r>
              <w:rPr>
                <w:rFonts w:hint="eastAsia" w:ascii="宋体" w:cs="宋体"/>
                <w:b/>
                <w:bCs/>
                <w:szCs w:val="21"/>
              </w:rPr>
              <w:t xml:space="preserve">平均</w:t>
            </w:r>
            <w:r/>
          </w:p>
          <w:p>
            <w:pPr>
              <w:jc w:val="center"/>
              <w:spacing w:line="240" w:lineRule="atLeast"/>
              <w:rPr>
                <w:rFonts w:ascii="宋体" w:cs="宋体"/>
                <w:b/>
                <w:bCs/>
                <w:sz w:val="24"/>
                <w:szCs w:val="24"/>
                <w:lang w:val="zh-CN"/>
              </w:rPr>
            </w:pPr>
            <w:r>
              <w:rPr>
                <w:rFonts w:hint="eastAsia" w:ascii="宋体" w:cs="宋体"/>
                <w:b/>
                <w:bCs/>
                <w:szCs w:val="21"/>
                <w:lang w:val="zh-CN"/>
              </w:rPr>
              <w:t xml:space="preserve">费用</w:t>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保洁</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驾驶员</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水电工兼安保</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会务</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厨工</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其他费用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垃圾清运费</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gridSpan w:val="3"/>
            <w:tcW w:w="332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lang w:val="zh-CN"/>
              </w:rPr>
              <w:t xml:space="preserve">投标</w:t>
            </w:r>
            <w:r>
              <w:rPr>
                <w:rFonts w:hint="eastAsia" w:ascii="宋体" w:cs="宋体"/>
                <w:b/>
                <w:bCs/>
                <w:sz w:val="24"/>
                <w:szCs w:val="24"/>
              </w:rPr>
              <w:t xml:space="preserve">总报价</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bl>
    <w:p>
      <w:pPr>
        <w:jc w:val="left"/>
        <w:spacing w:line="560" w:lineRule="exact"/>
        <w:rPr>
          <w:rFonts w:hint="eastAsia" w:ascii="宋体" w:hAnsi="宋体" w:cs="方正黑体_GBK"/>
          <w:bCs/>
          <w:sz w:val="24"/>
          <w:szCs w:val="24"/>
        </w:rPr>
      </w:pPr>
      <w:r>
        <w:rPr>
          <w:rFonts w:hint="eastAsia" w:ascii="宋体" w:hAnsi="宋体" w:cs="方正黑体_GBK"/>
          <w:bCs/>
          <w:sz w:val="24"/>
          <w:szCs w:val="24"/>
        </w:rPr>
        <w:t xml:space="preserve">备注：</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1.岗位应和采购需求中人员需求岗位一致。</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2.岗位综合报价应包括“</w:t>
      </w:r>
      <w:r>
        <w:rPr>
          <w:rFonts w:hint="eastAsia" w:ascii="宋体" w:cs="宋体"/>
          <w:sz w:val="24"/>
          <w:szCs w:val="24"/>
          <w:lang w:val="zh-CN"/>
        </w:rPr>
        <w:t xml:space="preserve">投标分项报价表</w:t>
      </w:r>
      <w:r>
        <w:rPr>
          <w:rFonts w:hint="eastAsia" w:ascii="宋体" w:hAnsi="宋体" w:cs="方正黑体_GBK"/>
          <w:bCs/>
          <w:sz w:val="24"/>
          <w:szCs w:val="24"/>
        </w:rPr>
        <w:t xml:space="preserve">”中所有服务项目报价。</w:t>
      </w:r>
      <w:r/>
    </w:p>
    <w:p>
      <w:pPr>
        <w:numPr>
          <w:ilvl w:val="255"/>
          <w:numId w:val="0"/>
        </w:num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3.“</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”数额为各岗位“年费用”之和。</w:t>
      </w:r>
      <w:r/>
    </w:p>
    <w:p>
      <w:pPr>
        <w:ind w:firstLine="482"/>
        <w:jc w:val="left"/>
        <w:spacing w:line="560" w:lineRule="exact"/>
        <w:rPr>
          <w:rFonts w:hint="eastAsia" w:ascii="宋体" w:hAnsi="宋体" w:cs="方正黑体_GBK"/>
          <w:bCs/>
          <w:sz w:val="24"/>
          <w:szCs w:val="24"/>
        </w:rPr>
      </w:pPr>
      <w:r>
        <w:rPr>
          <w:rFonts w:hint="eastAsia" w:ascii="宋体" w:hAnsi="宋体" w:cs="方正仿宋_GBK"/>
          <w:sz w:val="24"/>
          <w:szCs w:val="24"/>
        </w:rPr>
        <w:t xml:space="preserve">4.“</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”数额应当与“开标一览表”中“投标总报价”数额以及“投标分项报价表”中“投标总报价”一致。</w:t>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8"/>
        <w:gridCol w:w="1430"/>
        <w:gridCol w:w="680"/>
        <w:gridCol w:w="908"/>
        <w:gridCol w:w="1056"/>
        <w:gridCol w:w="1068"/>
        <w:gridCol w:w="2863"/>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rPr>
                <w:rFonts w:hint="eastAsia" w:ascii="宋体" w:hAnsi="宋体" w:cs="方正仿宋_GBK"/>
                <w:b/>
                <w:bCs/>
                <w:sz w:val="24"/>
                <w:szCs w:val="24"/>
                <w:lang w:eastAsia="en-US"/>
              </w:rPr>
              <w:t xml:space="preserve">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ascii="宋体" w:cs="宋体"/>
          <w:sz w:val="24"/>
          <w:szCs w:val="24"/>
          <w:lang w:val="zh-CN"/>
        </w:rPr>
        <w:t xml:space="preserve">(</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w:t>
      </w:r>
      <w:r>
        <w:rPr>
          <w:rFonts w:hint="eastAsia" w:ascii="宋体" w:cs="宋体"/>
          <w:sz w:val="24"/>
          <w:szCs w:val="24"/>
          <w:lang w:val="zh-CN"/>
        </w:rPr>
        <w:t xml:space="preserve">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w:t>
      </w:r>
      <w:r>
        <w:rPr>
          <w:rFonts w:hint="eastAsia" w:ascii="宋体" w:cs="宋体"/>
          <w:b/>
          <w:bCs/>
          <w:sz w:val="24"/>
          <w:szCs w:val="24"/>
          <w:lang w:val="zh-CN"/>
        </w:rPr>
        <w:t xml:space="preserve">-1</w:t>
      </w:r>
      <w:r>
        <w:rPr>
          <w:rFonts w:ascii="宋体" w:cs="宋体"/>
          <w:b/>
          <w:bCs/>
          <w:sz w:val="24"/>
          <w:szCs w:val="24"/>
          <w:lang w:val="zh-CN"/>
        </w:rPr>
        <w:t xml:space="preserve">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spacing w:line="559" w:lineRule="atLeast"/>
        <w:pBdr>
          <w:top w:val="none" w:color="000000" w:sz="0" w:space="0"/>
          <w:left w:val="none" w:color="000000" w:sz="0" w:space="0"/>
          <w:bottom w:val="none" w:color="000000" w:sz="0" w:space="0"/>
          <w:right w:val="none" w:color="000000" w:sz="0" w:space="0"/>
        </w:pBd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hint="eastAsia" w:ascii="宋体" w:cs="宋体"/>
          <w:sz w:val="24"/>
          <w:szCs w:val="24"/>
          <w:lang w:val="zh-CN"/>
        </w:rPr>
        <w:t xml:space="preserve">〔</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ascii="宋体" w:cs="宋体"/>
          <w:b/>
          <w:bCs/>
          <w:sz w:val="32"/>
          <w:szCs w:val="32"/>
          <w:lang w:val="zh-CN"/>
        </w:rPr>
        <w:br w:type="page" w:clear="all"/>
      </w: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sz w:val="32"/>
        </w:rPr>
        <w:t xml:space="preserve">JSZC-320000-SCZX-G</w:t>
      </w:r>
      <w:r>
        <w:rPr>
          <w:rFonts w:ascii="仿宋" w:hAnsi="仿宋" w:eastAsia="仿宋" w:cs="仿宋"/>
          <w:sz w:val="32"/>
        </w:rPr>
        <w:t xml:space="preserve">（</w:t>
      </w:r>
      <w:r>
        <w:rPr>
          <w:rFonts w:eastAsia="Times New Roman"/>
          <w:sz w:val="32"/>
        </w:rPr>
        <w:t xml:space="preserve">C</w:t>
      </w:r>
      <w:r>
        <w:rPr>
          <w:rFonts w:ascii="仿宋" w:hAnsi="仿宋" w:eastAsia="仿宋" w:cs="仿宋"/>
          <w:sz w:val="32"/>
        </w:rPr>
        <w:t xml:space="preserve">、</w:t>
      </w:r>
      <w:r>
        <w:rPr>
          <w:rFonts w:eastAsia="Times New Roman"/>
          <w:sz w:val="32"/>
        </w:rPr>
        <w:t xml:space="preserve">T</w:t>
      </w:r>
      <w:r>
        <w:rPr>
          <w:rFonts w:ascii="仿宋" w:hAnsi="仿宋" w:eastAsia="仿宋" w:cs="仿宋"/>
          <w:sz w:val="32"/>
        </w:rPr>
        <w:t xml:space="preserve">、</w:t>
      </w:r>
      <w:r>
        <w:rPr>
          <w:rFonts w:eastAsia="Times New Roman"/>
          <w:sz w:val="32"/>
        </w:rPr>
        <w:t xml:space="preserve">K</w:t>
      </w:r>
      <w:r>
        <w:rPr>
          <w:rFonts w:ascii="仿宋" w:hAnsi="仿宋" w:eastAsia="仿宋" w:cs="仿宋"/>
          <w:sz w:val="32"/>
        </w:rPr>
        <w:t xml:space="preserve">）</w:t>
      </w:r>
      <w:r>
        <w:rPr>
          <w:rFonts w:eastAsia="Times New Roman"/>
          <w:sz w:val="32"/>
        </w:rPr>
        <w:t xml:space="preserve">20XX-XXXX</w:t>
      </w:r>
      <w:r>
        <w:rPr>
          <w:rFonts w:ascii="仿宋" w:hAnsi="仿宋" w:eastAsia="仿宋" w:cs="仿宋"/>
          <w:sz w:val="32"/>
        </w:rPr>
        <w:t xml:space="preserve">，</w:t>
      </w:r>
      <w:r>
        <w:rPr>
          <w:rFonts w:eastAsia="Times New Roman"/>
          <w:sz w:val="32"/>
        </w:rPr>
        <w:t xml:space="preserve">XXXX</w:t>
      </w:r>
      <w:r>
        <w:rPr>
          <w:rFonts w:ascii="仿宋" w:hAnsi="仿宋" w:eastAsia="仿宋" w:cs="仿宋"/>
          <w:sz w:val="32"/>
        </w:rPr>
        <w:t xml:space="preserve">（项目名称）（采购包号：</w:t>
      </w:r>
      <w:r>
        <w:rPr>
          <w:rFonts w:eastAsia="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jc w:val="lef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p>
    <w:p>
      <w:pPr>
        <w:jc w:val="left"/>
        <w:widowControl/>
        <w:rPr>
          <w:rFonts w:hint="eastAsia" w:ascii="宋体" w:hAnsi="宋体"/>
          <w:sz w:val="24"/>
          <w:szCs w:val="24"/>
        </w:rPr>
      </w:pPr>
      <w:r>
        <w:rPr>
          <w:rFonts w:hint="eastAsia" w:ascii="宋体" w:hAnsi="宋体"/>
          <w:sz w:val="24"/>
          <w:szCs w:val="24"/>
        </w:rPr>
        <w:br w:type="page" w:clear="all"/>
      </w:r>
      <w:r/>
    </w:p>
    <w:p>
      <w:pPr>
        <w:jc w:val="left"/>
        <w:widowControl/>
        <w:rPr>
          <w:rFonts w:ascii="宋体" w:cs="宋体"/>
          <w:b/>
          <w:bCs/>
          <w:sz w:val="32"/>
          <w:szCs w:val="32"/>
          <w:lang w:val="zh-CN"/>
        </w:rPr>
      </w:pPr>
      <w:r>
        <w:rPr>
          <w:rFonts w:ascii="宋体" w:cs="宋体"/>
          <w:b/>
          <w:bCs/>
          <w:sz w:val="32"/>
          <w:szCs w:val="32"/>
          <w:lang w:val="zh-CN"/>
        </w:rPr>
      </w:r>
      <w:r/>
    </w:p>
    <w:p>
      <w:pPr>
        <w:ind w:left="540" w:hanging="120"/>
        <w:spacing w:line="40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ind w:left="540" w:hanging="120"/>
        <w:spacing w:line="400" w:lineRule="atLeast"/>
        <w:rPr>
          <w:rFonts w:ascii="宋体" w:cs="宋体"/>
          <w:b/>
          <w:bCs/>
          <w:sz w:val="24"/>
          <w:szCs w:val="24"/>
          <w:lang w:val="zh-CN"/>
        </w:rPr>
      </w:pPr>
      <w:r>
        <w:rPr>
          <w:rFonts w:ascii="宋体" w:cs="宋体"/>
          <w:b/>
          <w:bCs/>
          <w:sz w:val="24"/>
          <w:szCs w:val="24"/>
          <w:lang w:val="zh-CN"/>
        </w:rPr>
      </w:r>
      <w:r/>
    </w:p>
    <w:p>
      <w:pPr>
        <w:jc w:val="left"/>
        <w:widowControl/>
        <w:rPr>
          <w:rFonts w:ascii="宋体" w:cs="宋体"/>
          <w:b/>
          <w:bCs/>
          <w:sz w:val="24"/>
          <w:szCs w:val="24"/>
          <w:lang w:val="zh-CN"/>
        </w:rPr>
      </w:pPr>
      <w:r>
        <w:rPr>
          <w:rFonts w:ascii="宋体" w:cs="宋体"/>
          <w:b/>
          <w:bCs/>
          <w:sz w:val="24"/>
          <w:szCs w:val="24"/>
          <w:lang w:val="zh-CN"/>
        </w:rPr>
        <w:br w:type="page" w:clear="all"/>
      </w:r>
      <w:r/>
    </w:p>
    <w:p>
      <w:pPr>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11  关于符合本国产品标准的声明函</w:t>
      </w:r>
      <w:r>
        <w:rPr>
          <w:rFonts w:hint="eastAsia" w:ascii="宋体" w:cs="宋体"/>
          <w:b/>
          <w:bCs/>
          <w:sz w:val="24"/>
          <w:szCs w:val="24"/>
          <w:lang w:val="zh-CN"/>
        </w:rPr>
        <w:t xml:space="preserve">（采购包号：XX）</w:t>
      </w:r>
      <w:r/>
    </w:p>
    <w:p>
      <w:pPr>
        <w:pStyle w:val="875"/>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85"/>
          <w:rFonts w:hint="eastAsia" w:cs="方正魏碑_GBK"/>
          <w:i w:val="0"/>
          <w:u w:val="single"/>
          <w:shd w:val="clear" w:color="auto" w:fill="ffffff"/>
        </w:rPr>
        <w:t xml:space="preserve">（产品名称1）</w:t>
      </w:r>
      <w:r>
        <w:rPr>
          <w:rStyle w:val="885"/>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85"/>
          <w:rFonts w:hint="eastAsia" w:cs="方正魏碑_GBK"/>
          <w:i w:val="0"/>
          <w:u w:val="single"/>
          <w:shd w:val="clear" w:color="auto" w:fill="ffffff"/>
        </w:rPr>
        <w:t xml:space="preserve">（厂名）</w:t>
      </w:r>
      <w:r>
        <w:rPr>
          <w:rStyle w:val="885"/>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8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Style w:val="885"/>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85"/>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85"/>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8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w:t>
      </w:r>
      <w:r>
        <w:rPr>
          <w:rStyle w:val="885"/>
          <w:rFonts w:hint="eastAsia" w:cs="方正魏碑_GBK"/>
          <w:i w:val="0"/>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shd w:val="clear" w:color="auto" w:fill="ffffff"/>
        </w:rPr>
        <w:t xml:space="preserve">。</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shd w:val="clear" w:color="auto" w:fill="ffffff"/>
        </w:rPr>
        <w:t xml:space="preserve">。</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75"/>
        <w:ind w:firstLine="480"/>
        <w:spacing w:before="30" w:beforeAutospacing="0" w:after="30" w:afterAutospacing="0" w:line="560" w:lineRule="exact"/>
        <w:rPr>
          <w:rFonts w:hint="eastAsia" w:cs="方正魏碑_GBK"/>
        </w:rPr>
      </w:pPr>
      <w:r>
        <w:rPr>
          <w:rFonts w:hint="eastAsia" w:cs="方正魏碑_GBK"/>
        </w:rPr>
      </w:r>
      <w:r/>
    </w:p>
    <w:p>
      <w:pPr>
        <w:pStyle w:val="875"/>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p>
    <w:p>
      <w:pPr>
        <w:pStyle w:val="875"/>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75"/>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75"/>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75"/>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shd w:val="clear" w:color="auto" w:fill="ffffff"/>
        </w:rPr>
        <w:t xml:space="preserve">“</w:t>
      </w:r>
      <w:r>
        <w:rPr>
          <w:rFonts w:hint="eastAsia" w:cs="方正魏碑_GBK"/>
          <w:u w:val="single"/>
          <w:shd w:val="clear" w:color="auto" w:fill="ffffff"/>
        </w:rPr>
        <w:t xml:space="preserve"> </w:t>
      </w:r>
      <w:r>
        <w:rPr>
          <w:rFonts w:hint="eastAsia" w:cs="方正魏碑_GBK"/>
          <w:u w:val="single"/>
          <w:shd w:val="clear" w:color="auto" w:fill="ffffff"/>
        </w:rPr>
        <w:t xml:space="preserve"> </w:t>
      </w:r>
      <w:r>
        <w:rPr>
          <w:rStyle w:val="88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shd w:val="clear" w:color="auto" w:fill="ffffff"/>
        </w:rPr>
        <w:t xml:space="preserve">的地方无需填写。</w:t>
      </w:r>
      <w:r/>
    </w:p>
    <w:p>
      <w:pPr>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left"/>
        <w:widowControl/>
        <w:rPr>
          <w:rFonts w:ascii="宋体" w:cs="宋体"/>
          <w:b/>
          <w:bCs/>
          <w:sz w:val="32"/>
          <w:szCs w:val="32"/>
          <w:lang w:val="zh-CN"/>
        </w:rPr>
      </w:pPr>
      <w:r>
        <w:rPr>
          <w:rFonts w:ascii="宋体" w:cs="宋体"/>
          <w:b/>
          <w:bCs/>
          <w:sz w:val="32"/>
          <w:szCs w:val="32"/>
          <w:lang w:val="zh-CN"/>
        </w:rPr>
        <w:br w:type="page" w:clear="all"/>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楷体">
    <w:panose1 w:val="02010609060101010101"/>
  </w:font>
  <w:font w:name="方正小标宋简体">
    <w:panose1 w:val="020B0503020202020204"/>
  </w:font>
  <w:font w:name="新宋体">
    <w:panose1 w:val="02010609030101010101"/>
  </w:font>
  <w:font w:name="Symbol">
    <w:panose1 w:val="05050102010706020507"/>
  </w:font>
  <w:font w:name="Cambria">
    <w:panose1 w:val="02040503050406030204"/>
  </w:font>
  <w:font w:name="Wingdings">
    <w:panose1 w:val="05000000000000000000"/>
  </w:font>
  <w:font w:name="华文楷体">
    <w:panose1 w:val="02010600040101010101"/>
  </w:font>
  <w:font w:name="Tahoma">
    <w:panose1 w:val="020B0604030504040204"/>
  </w:font>
  <w:font w:name="方正仿宋_GBK">
    <w:panose1 w:val="020B0503020202020204"/>
  </w:font>
  <w:font w:name="方正黑体_GBK">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top w:val="none" w:color="auto" w:sz="0" w:space="1"/>
        <w:left w:val="none" w:color="auto" w:sz="0" w:space="4"/>
        <w:bottom w:val="none" w:color="auto" w:sz="0" w:space="1"/>
        <w:right w:val="none" w:color="auto" w:sz="0" w:space="4"/>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9828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35"/>
      <w:isLgl w:val="false"/>
      <w:suff w:val="nothing"/>
      <w:lvlText w:val=""/>
      <w:lvlJc w:val="left"/>
      <w:pPr>
        <w:ind w:left="0" w:firstLine="0"/>
      </w:pPr>
      <w:rPr>
        <w:rFonts w:hint="eastAsia"/>
      </w:rPr>
    </w:lvl>
    <w:lvl w:ilvl="6">
      <w:start w:val="1"/>
      <w:numFmt w:val="decimal"/>
      <w:pStyle w:val="1336"/>
      <w:isLgl w:val="false"/>
      <w:suff w:val="nothing"/>
      <w:lvlText w:val=""/>
      <w:lvlJc w:val="left"/>
      <w:pPr>
        <w:ind w:left="0" w:firstLine="0"/>
      </w:pPr>
      <w:rPr>
        <w:rFonts w:hint="eastAsia"/>
      </w:rPr>
    </w:lvl>
    <w:lvl w:ilvl="7">
      <w:start w:val="1"/>
      <w:numFmt w:val="decimal"/>
      <w:pStyle w:val="1337"/>
      <w:isLgl w:val="false"/>
      <w:suff w:val="nothing"/>
      <w:lvlText w:val=""/>
      <w:lvlJc w:val="left"/>
      <w:pPr>
        <w:ind w:left="0" w:firstLine="0"/>
      </w:pPr>
      <w:rPr>
        <w:rFonts w:hint="eastAsia"/>
      </w:rPr>
    </w:lvl>
    <w:lvl w:ilvl="8">
      <w:start w:val="1"/>
      <w:numFmt w:val="decimal"/>
      <w:pStyle w:val="1338"/>
      <w:isLgl w:val="false"/>
      <w:suff w:val="nothing"/>
      <w:lvlText w:val=""/>
      <w:lvlJc w:val="left"/>
      <w:pPr>
        <w:ind w:left="0" w:firstLine="0"/>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3"/>
      <w:isLgl w:val="false"/>
      <w:suff w:val="nothing"/>
      <w:lvlText w:val=""/>
      <w:lvlJc w:val="left"/>
      <w:pPr>
        <w:ind w:left="0" w:firstLine="0"/>
      </w:pPr>
      <w:rPr>
        <w:rFonts w:hint="eastAsia"/>
      </w:rPr>
    </w:lvl>
    <w:lvl w:ilvl="6">
      <w:start w:val="1"/>
      <w:numFmt w:val="decimal"/>
      <w:pStyle w:val="1105"/>
      <w:isLgl w:val="false"/>
      <w:suff w:val="nothing"/>
      <w:lvlText w:val=""/>
      <w:lvlJc w:val="left"/>
      <w:pPr>
        <w:ind w:left="0" w:firstLine="0"/>
      </w:pPr>
      <w:rPr>
        <w:rFonts w:hint="eastAsia"/>
      </w:rPr>
    </w:lvl>
    <w:lvl w:ilvl="7">
      <w:start w:val="1"/>
      <w:numFmt w:val="decimal"/>
      <w:pStyle w:val="1107"/>
      <w:isLgl w:val="false"/>
      <w:suff w:val="nothing"/>
      <w:lvlText w:val=""/>
      <w:lvlJc w:val="left"/>
      <w:pPr>
        <w:ind w:left="0" w:firstLine="0"/>
      </w:pPr>
      <w:rPr>
        <w:rFonts w:hint="eastAsia"/>
      </w:rPr>
    </w:lvl>
    <w:lvl w:ilvl="8">
      <w:start w:val="1"/>
      <w:numFmt w:val="decimal"/>
      <w:pStyle w:val="1109"/>
      <w:isLgl w:val="false"/>
      <w:suff w:val="nothing"/>
      <w:lvlText w:val=""/>
      <w:lvlJc w:val="left"/>
      <w:pPr>
        <w:ind w:left="0" w:firstLine="0"/>
      </w:pPr>
      <w:rPr>
        <w:rFonts w:hint="eastAsia"/>
      </w:rPr>
    </w:lvl>
  </w:abstractNum>
  <w:abstractNum w:abstractNumId="2">
    <w:multiLevelType w:val="hybridMultilevel"/>
    <w:lvl w:ilvl="0">
      <w:start w:val="1"/>
      <w:numFmt w:val="upperLetter"/>
      <w:pStyle w:val="11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Caption Char"/>
    <w:basedOn w:val="843"/>
    <w:link w:val="859"/>
    <w:uiPriority w:val="99"/>
  </w:style>
  <w:style w:type="table" w:styleId="807">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6">
    <w:name w:val="TOC Heading"/>
    <w:uiPriority w:val="39"/>
    <w:unhideWhenUsed/>
  </w:style>
  <w:style w:type="paragraph" w:styleId="827" w:default="1">
    <w:name w:val="Normal"/>
    <w:qFormat/>
    <w:pPr>
      <w:jc w:val="both"/>
      <w:widowControl w:val="off"/>
    </w:pPr>
    <w:rPr>
      <w:sz w:val="21"/>
      <w:szCs w:val="22"/>
    </w:rPr>
  </w:style>
  <w:style w:type="paragraph" w:styleId="828">
    <w:name w:val="Heading 1"/>
    <w:basedOn w:val="827"/>
    <w:next w:val="827"/>
    <w:link w:val="932"/>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933"/>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934"/>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40"/>
    <w:link w:val="935"/>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936"/>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937"/>
    <w:unhideWhenUsed/>
    <w:qFormat/>
    <w:pPr>
      <w:keepLines/>
      <w:keepNext/>
      <w:spacing w:before="320" w:after="200"/>
      <w:outlineLvl w:val="5"/>
    </w:pPr>
    <w:rPr>
      <w:rFonts w:ascii="Arial" w:hAnsi="Arial" w:eastAsia="Arial" w:cs="Arial"/>
      <w:b/>
      <w:bCs/>
      <w:sz w:val="22"/>
    </w:rPr>
  </w:style>
  <w:style w:type="paragraph" w:styleId="834">
    <w:name w:val="Heading 7"/>
    <w:basedOn w:val="827"/>
    <w:next w:val="827"/>
    <w:link w:val="938"/>
    <w:unhideWhenUsed/>
    <w:qFormat/>
    <w:pPr>
      <w:keepLines/>
      <w:keepNext/>
      <w:spacing w:before="320" w:after="200"/>
      <w:outlineLvl w:val="6"/>
    </w:pPr>
    <w:rPr>
      <w:rFonts w:ascii="Arial" w:hAnsi="Arial" w:eastAsia="Arial" w:cs="Arial"/>
      <w:b/>
      <w:bCs/>
      <w:i/>
      <w:iCs/>
      <w:sz w:val="22"/>
    </w:rPr>
  </w:style>
  <w:style w:type="paragraph" w:styleId="835">
    <w:name w:val="Heading 8"/>
    <w:basedOn w:val="827"/>
    <w:next w:val="827"/>
    <w:link w:val="939"/>
    <w:unhideWhenUsed/>
    <w:qFormat/>
    <w:pPr>
      <w:keepLines/>
      <w:keepNext/>
      <w:spacing w:before="320" w:after="200"/>
      <w:outlineLvl w:val="7"/>
    </w:pPr>
    <w:rPr>
      <w:rFonts w:ascii="Arial" w:hAnsi="Arial" w:eastAsia="Arial" w:cs="Arial"/>
      <w:i/>
      <w:iCs/>
      <w:sz w:val="22"/>
    </w:rPr>
  </w:style>
  <w:style w:type="paragraph" w:styleId="836">
    <w:name w:val="Heading 9"/>
    <w:basedOn w:val="827"/>
    <w:next w:val="827"/>
    <w:link w:val="940"/>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Normal Indent"/>
    <w:basedOn w:val="827"/>
    <w:link w:val="1383"/>
    <w:qFormat/>
    <w:pPr>
      <w:ind w:firstLine="482"/>
      <w:spacing w:line="360" w:lineRule="atLeast"/>
    </w:pPr>
    <w:rPr>
      <w:szCs w:val="20"/>
    </w:rPr>
  </w:style>
  <w:style w:type="paragraph" w:styleId="841">
    <w:name w:val="List 3"/>
    <w:basedOn w:val="827"/>
    <w:qFormat/>
    <w:pPr>
      <w:ind w:left="100" w:hanging="200"/>
    </w:pPr>
    <w:rPr>
      <w:szCs w:val="21"/>
    </w:rPr>
  </w:style>
  <w:style w:type="paragraph" w:styleId="842">
    <w:name w:val="toc 7"/>
    <w:basedOn w:val="827"/>
    <w:next w:val="827"/>
    <w:unhideWhenUsed/>
    <w:qFormat/>
    <w:pPr>
      <w:ind w:left="1701"/>
      <w:spacing w:after="57"/>
    </w:pPr>
  </w:style>
  <w:style w:type="paragraph" w:styleId="843">
    <w:name w:val="Caption"/>
    <w:basedOn w:val="827"/>
    <w:next w:val="827"/>
    <w:uiPriority w:val="35"/>
    <w:semiHidden/>
    <w:unhideWhenUsed/>
    <w:qFormat/>
    <w:pPr>
      <w:spacing w:line="276" w:lineRule="auto"/>
    </w:pPr>
    <w:rPr>
      <w:b/>
      <w:bCs/>
      <w:color w:val="4f81bd" w:themeColor="accent1"/>
      <w:sz w:val="18"/>
      <w:szCs w:val="18"/>
    </w:rPr>
  </w:style>
  <w:style w:type="paragraph" w:styleId="844">
    <w:name w:val="Document Map"/>
    <w:basedOn w:val="827"/>
    <w:link w:val="1384"/>
    <w:semiHidden/>
    <w:qFormat/>
    <w:pPr>
      <w:shd w:val="clear" w:color="auto" w:fill="000080"/>
    </w:pPr>
    <w:rPr>
      <w:szCs w:val="21"/>
    </w:rPr>
  </w:style>
  <w:style w:type="paragraph" w:styleId="845">
    <w:name w:val="annotation text"/>
    <w:basedOn w:val="827"/>
    <w:link w:val="913"/>
    <w:unhideWhenUsed/>
    <w:qFormat/>
    <w:pPr>
      <w:jc w:val="left"/>
    </w:pPr>
  </w:style>
  <w:style w:type="paragraph" w:styleId="846">
    <w:name w:val="Body Text 3"/>
    <w:basedOn w:val="827"/>
    <w:link w:val="1385"/>
    <w:qFormat/>
    <w:rPr>
      <w:rFonts w:ascii="仿宋_GB2312" w:hAnsi="Arial" w:eastAsia="仿宋_GB2312"/>
      <w:sz w:val="32"/>
      <w:szCs w:val="32"/>
    </w:rPr>
  </w:style>
  <w:style w:type="paragraph" w:styleId="847">
    <w:name w:val="Body Text"/>
    <w:basedOn w:val="827"/>
    <w:link w:val="914"/>
    <w:unhideWhenUsed/>
    <w:qFormat/>
    <w:pPr>
      <w:spacing w:after="120"/>
    </w:pPr>
  </w:style>
  <w:style w:type="paragraph" w:styleId="848">
    <w:name w:val="Body Text Indent"/>
    <w:basedOn w:val="827"/>
    <w:next w:val="849"/>
    <w:link w:val="1376"/>
    <w:qFormat/>
    <w:pPr>
      <w:ind w:firstLine="645"/>
      <w:spacing w:line="300" w:lineRule="auto"/>
    </w:pPr>
    <w:rPr>
      <w:rFonts w:ascii="楷体_GB2312" w:hAnsi="Calibri" w:eastAsia="楷体_GB2312" w:cs="Calibri"/>
      <w:sz w:val="32"/>
      <w:szCs w:val="32"/>
    </w:rPr>
  </w:style>
  <w:style w:type="paragraph" w:styleId="849">
    <w:name w:val="envelope return"/>
    <w:basedOn w:val="827"/>
    <w:qFormat/>
    <w:pPr>
      <w:spacing w:line="300" w:lineRule="auto"/>
    </w:pPr>
    <w:rPr>
      <w:rFonts w:ascii="Arial" w:hAnsi="Arial" w:cs="宋体"/>
      <w:szCs w:val="21"/>
    </w:rPr>
  </w:style>
  <w:style w:type="paragraph" w:styleId="850">
    <w:name w:val="List 2"/>
    <w:basedOn w:val="827"/>
    <w:qFormat/>
    <w:pPr>
      <w:ind w:left="100" w:hanging="200"/>
    </w:pPr>
    <w:rPr>
      <w:szCs w:val="21"/>
    </w:rPr>
  </w:style>
  <w:style w:type="paragraph" w:styleId="851">
    <w:name w:val="toc 5"/>
    <w:basedOn w:val="827"/>
    <w:next w:val="827"/>
    <w:unhideWhenUsed/>
    <w:qFormat/>
    <w:pPr>
      <w:ind w:left="1134"/>
      <w:spacing w:after="57"/>
    </w:pPr>
  </w:style>
  <w:style w:type="paragraph" w:styleId="852">
    <w:name w:val="toc 3"/>
    <w:basedOn w:val="827"/>
    <w:next w:val="827"/>
    <w:unhideWhenUsed/>
    <w:qFormat/>
    <w:pPr>
      <w:ind w:left="567"/>
      <w:spacing w:after="57"/>
    </w:pPr>
  </w:style>
  <w:style w:type="paragraph" w:styleId="853">
    <w:name w:val="Plain Text"/>
    <w:basedOn w:val="827"/>
    <w:link w:val="915"/>
    <w:qFormat/>
    <w:rPr>
      <w:rFonts w:ascii="宋体" w:hAnsi="Courier New" w:cs="Courier New"/>
      <w:szCs w:val="21"/>
    </w:rPr>
  </w:style>
  <w:style w:type="paragraph" w:styleId="854">
    <w:name w:val="toc 8"/>
    <w:basedOn w:val="827"/>
    <w:next w:val="827"/>
    <w:unhideWhenUsed/>
    <w:qFormat/>
    <w:pPr>
      <w:ind w:left="1984"/>
      <w:spacing w:after="57"/>
    </w:pPr>
  </w:style>
  <w:style w:type="paragraph" w:styleId="855">
    <w:name w:val="Date"/>
    <w:basedOn w:val="827"/>
    <w:next w:val="827"/>
    <w:link w:val="1386"/>
    <w:qFormat/>
    <w:rPr>
      <w:sz w:val="24"/>
      <w:szCs w:val="24"/>
    </w:rPr>
  </w:style>
  <w:style w:type="paragraph" w:styleId="856">
    <w:name w:val="Body Text Indent 2"/>
    <w:basedOn w:val="827"/>
    <w:link w:val="916"/>
    <w:qFormat/>
    <w:pPr>
      <w:ind w:left="165"/>
    </w:pPr>
    <w:rPr>
      <w:sz w:val="28"/>
    </w:rPr>
  </w:style>
  <w:style w:type="paragraph" w:styleId="857">
    <w:name w:val="endnote text"/>
    <w:basedOn w:val="827"/>
    <w:link w:val="917"/>
    <w:uiPriority w:val="99"/>
    <w:unhideWhenUsed/>
    <w:qFormat/>
    <w:rPr>
      <w:sz w:val="20"/>
    </w:rPr>
  </w:style>
  <w:style w:type="paragraph" w:styleId="858">
    <w:name w:val="Balloon Text"/>
    <w:basedOn w:val="827"/>
    <w:link w:val="918"/>
    <w:unhideWhenUsed/>
    <w:qFormat/>
    <w:rPr>
      <w:sz w:val="18"/>
      <w:szCs w:val="18"/>
    </w:rPr>
  </w:style>
  <w:style w:type="paragraph" w:styleId="859">
    <w:name w:val="Footer"/>
    <w:basedOn w:val="827"/>
    <w:link w:val="962"/>
    <w:uiPriority w:val="99"/>
    <w:unhideWhenUsed/>
    <w:qFormat/>
    <w:pPr>
      <w:tabs>
        <w:tab w:val="center" w:pos="7143" w:leader="none"/>
        <w:tab w:val="right" w:pos="14287" w:leader="none"/>
      </w:tabs>
    </w:pPr>
  </w:style>
  <w:style w:type="paragraph" w:styleId="860">
    <w:name w:val="Header"/>
    <w:basedOn w:val="827"/>
    <w:unhideWhenUsed/>
    <w:qFormat/>
    <w:pPr>
      <w:tabs>
        <w:tab w:val="center" w:pos="7143" w:leader="none"/>
        <w:tab w:val="right" w:pos="14287" w:leader="none"/>
      </w:tabs>
    </w:pPr>
  </w:style>
  <w:style w:type="paragraph" w:styleId="861">
    <w:name w:val="toc 1"/>
    <w:basedOn w:val="827"/>
    <w:next w:val="827"/>
    <w:unhideWhenUsed/>
    <w:qFormat/>
    <w:pPr>
      <w:spacing w:after="57"/>
    </w:pPr>
  </w:style>
  <w:style w:type="paragraph" w:styleId="862">
    <w:name w:val="toc 4"/>
    <w:basedOn w:val="827"/>
    <w:next w:val="827"/>
    <w:unhideWhenUsed/>
    <w:qFormat/>
    <w:pPr>
      <w:ind w:left="850"/>
      <w:spacing w:after="57"/>
    </w:pPr>
  </w:style>
  <w:style w:type="paragraph" w:styleId="863">
    <w:name w:val="index heading"/>
    <w:basedOn w:val="827"/>
    <w:next w:val="864"/>
    <w:uiPriority w:val="99"/>
    <w:unhideWhenUsed/>
    <w:qFormat/>
    <w:pPr>
      <w:tabs>
        <w:tab w:val="left" w:pos="240" w:leader="none"/>
      </w:tabs>
    </w:pPr>
    <w:rPr>
      <w:szCs w:val="20"/>
    </w:rPr>
  </w:style>
  <w:style w:type="paragraph" w:styleId="864">
    <w:name w:val="index 1"/>
    <w:basedOn w:val="827"/>
    <w:next w:val="827"/>
    <w:unhideWhenUsed/>
    <w:qFormat/>
  </w:style>
  <w:style w:type="paragraph" w:styleId="865">
    <w:name w:val="Subtitle"/>
    <w:basedOn w:val="827"/>
    <w:next w:val="827"/>
    <w:link w:val="919"/>
    <w:uiPriority w:val="11"/>
    <w:qFormat/>
    <w:pPr>
      <w:spacing w:before="200" w:after="200"/>
    </w:pPr>
    <w:rPr>
      <w:sz w:val="24"/>
      <w:szCs w:val="24"/>
    </w:rPr>
  </w:style>
  <w:style w:type="paragraph" w:styleId="866">
    <w:name w:val="List"/>
    <w:basedOn w:val="827"/>
    <w:qFormat/>
    <w:pPr>
      <w:ind w:left="200" w:hanging="200"/>
    </w:pPr>
    <w:rPr>
      <w:szCs w:val="21"/>
    </w:rPr>
  </w:style>
  <w:style w:type="paragraph" w:styleId="867">
    <w:name w:val="footnote text"/>
    <w:basedOn w:val="827"/>
    <w:link w:val="920"/>
    <w:uiPriority w:val="99"/>
    <w:unhideWhenUsed/>
    <w:qFormat/>
    <w:pPr>
      <w:spacing w:after="40"/>
    </w:pPr>
    <w:rPr>
      <w:sz w:val="18"/>
    </w:rPr>
  </w:style>
  <w:style w:type="paragraph" w:styleId="868">
    <w:name w:val="toc 6"/>
    <w:basedOn w:val="827"/>
    <w:next w:val="827"/>
    <w:unhideWhenUsed/>
    <w:qFormat/>
    <w:pPr>
      <w:ind w:left="1417"/>
      <w:spacing w:after="57"/>
    </w:pPr>
  </w:style>
  <w:style w:type="paragraph" w:styleId="869">
    <w:name w:val="Body Text Indent 3"/>
    <w:basedOn w:val="827"/>
    <w:link w:val="1387"/>
    <w:qFormat/>
    <w:pPr>
      <w:ind w:left="645" w:firstLine="645"/>
    </w:pPr>
    <w:rPr>
      <w:rFonts w:ascii="Arial" w:hAnsi="Arial" w:eastAsia="仿宋_GB2312" w:cs="Arial"/>
      <w:color w:val="ffff00"/>
      <w:sz w:val="32"/>
      <w:szCs w:val="32"/>
    </w:rPr>
  </w:style>
  <w:style w:type="paragraph" w:styleId="870">
    <w:name w:val="table of figures"/>
    <w:basedOn w:val="827"/>
    <w:next w:val="827"/>
    <w:unhideWhenUsed/>
    <w:qFormat/>
  </w:style>
  <w:style w:type="paragraph" w:styleId="871">
    <w:name w:val="toc 2"/>
    <w:basedOn w:val="827"/>
    <w:next w:val="827"/>
    <w:unhideWhenUsed/>
    <w:qFormat/>
    <w:pPr>
      <w:ind w:left="283"/>
      <w:spacing w:after="57"/>
    </w:pPr>
  </w:style>
  <w:style w:type="paragraph" w:styleId="872">
    <w:name w:val="toc 9"/>
    <w:basedOn w:val="827"/>
    <w:next w:val="827"/>
    <w:unhideWhenUsed/>
    <w:qFormat/>
    <w:pPr>
      <w:ind w:left="2268"/>
      <w:spacing w:after="57"/>
    </w:pPr>
  </w:style>
  <w:style w:type="paragraph" w:styleId="873">
    <w:name w:val="Body Text 2"/>
    <w:basedOn w:val="827"/>
    <w:link w:val="1388"/>
    <w:qFormat/>
    <w:pPr>
      <w:jc w:val="center"/>
      <w:widowControl/>
    </w:pPr>
    <w:rPr>
      <w:rFonts w:ascii="楷体_GB2312" w:eastAsia="楷体_GB2312"/>
      <w:sz w:val="28"/>
      <w:szCs w:val="28"/>
    </w:rPr>
  </w:style>
  <w:style w:type="paragraph" w:styleId="874">
    <w:name w:val="HTML Preformatted"/>
    <w:basedOn w:val="827"/>
    <w:link w:val="1377"/>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75">
    <w:name w:val="Normal (Web)"/>
    <w:basedOn w:val="827"/>
    <w:uiPriority w:val="99"/>
    <w:qFormat/>
    <w:pPr>
      <w:jc w:val="left"/>
      <w:spacing w:before="100" w:beforeAutospacing="1" w:after="100" w:afterAutospacing="1"/>
      <w:widowControl/>
    </w:pPr>
    <w:rPr>
      <w:rFonts w:ascii="宋体" w:hAnsi="宋体" w:cs="宋体"/>
      <w:sz w:val="24"/>
      <w:szCs w:val="24"/>
    </w:rPr>
  </w:style>
  <w:style w:type="paragraph" w:styleId="876">
    <w:name w:val="Title"/>
    <w:basedOn w:val="827"/>
    <w:next w:val="827"/>
    <w:link w:val="921"/>
    <w:uiPriority w:val="10"/>
    <w:qFormat/>
    <w:pPr>
      <w:contextualSpacing/>
      <w:spacing w:before="300" w:after="200"/>
    </w:pPr>
    <w:rPr>
      <w:sz w:val="48"/>
      <w:szCs w:val="48"/>
    </w:rPr>
  </w:style>
  <w:style w:type="paragraph" w:styleId="877">
    <w:name w:val="annotation subject"/>
    <w:basedOn w:val="845"/>
    <w:next w:val="845"/>
    <w:link w:val="922"/>
    <w:unhideWhenUsed/>
    <w:qFormat/>
    <w:rPr>
      <w:b/>
      <w:bCs/>
    </w:rPr>
  </w:style>
  <w:style w:type="paragraph" w:styleId="878">
    <w:name w:val="Body Text First Indent"/>
    <w:basedOn w:val="847"/>
    <w:link w:val="1389"/>
    <w:qFormat/>
    <w:pPr>
      <w:ind w:firstLine="200"/>
      <w:spacing w:after="0" w:line="360" w:lineRule="auto"/>
    </w:pPr>
    <w:rPr>
      <w:rFonts w:ascii="仿宋_GB2312" w:hAnsi="Arial" w:eastAsia="仿宋_GB2312"/>
      <w:sz w:val="30"/>
      <w:szCs w:val="30"/>
    </w:rPr>
  </w:style>
  <w:style w:type="paragraph" w:styleId="879">
    <w:name w:val="Body Text First Indent 2"/>
    <w:basedOn w:val="848"/>
    <w:next w:val="827"/>
    <w:link w:val="1378"/>
    <w:qFormat/>
    <w:pPr>
      <w:ind w:firstLine="420"/>
      <w:spacing w:line="360" w:lineRule="auto"/>
    </w:pPr>
    <w:rPr>
      <w:rFonts w:ascii="宋体" w:hAnsi="宋体" w:eastAsia="宋体"/>
      <w:sz w:val="21"/>
      <w:szCs w:val="20"/>
    </w:rPr>
  </w:style>
  <w:style w:type="table" w:styleId="880">
    <w:name w:val="Table Grid"/>
    <w:uiPriority w:val="59"/>
    <w:qFormat/>
    <w:tblPr>
      <w:tblCellMar>
        <w:left w:w="0" w:type="dxa"/>
        <w:top w:w="0" w:type="dxa"/>
        <w:right w:w="0" w:type="dxa"/>
        <w:bottom w:w="0" w:type="dxa"/>
      </w:tblCellMar>
    </w:tblPr>
  </w:style>
  <w:style w:type="character" w:styleId="881">
    <w:name w:val="Strong"/>
    <w:qFormat/>
    <w:rPr>
      <w:b/>
    </w:rPr>
  </w:style>
  <w:style w:type="character" w:styleId="882">
    <w:name w:val="endnote reference"/>
    <w:uiPriority w:val="99"/>
    <w:unhideWhenUsed/>
    <w:qFormat/>
    <w:rPr>
      <w:vertAlign w:val="superscript"/>
    </w:rPr>
  </w:style>
  <w:style w:type="character" w:styleId="883">
    <w:name w:val="page number"/>
    <w:qFormat/>
  </w:style>
  <w:style w:type="character" w:styleId="884">
    <w:name w:val="FollowedHyperlink"/>
    <w:qFormat/>
    <w:rPr>
      <w:color w:val="800080"/>
      <w:u w:val="single"/>
    </w:rPr>
  </w:style>
  <w:style w:type="character" w:styleId="885">
    <w:name w:val="Emphasis"/>
    <w:qFormat/>
    <w:rPr>
      <w:i/>
    </w:rPr>
  </w:style>
  <w:style w:type="character" w:styleId="886">
    <w:name w:val="Hyperlink"/>
    <w:unhideWhenUsed/>
    <w:qFormat/>
    <w:rPr>
      <w:color w:val="0000ff"/>
      <w:u w:val="single"/>
    </w:rPr>
  </w:style>
  <w:style w:type="character" w:styleId="887">
    <w:name w:val="annotation reference"/>
    <w:unhideWhenUsed/>
    <w:qFormat/>
    <w:rPr>
      <w:sz w:val="21"/>
      <w:szCs w:val="21"/>
    </w:rPr>
  </w:style>
  <w:style w:type="character" w:styleId="888">
    <w:name w:val="footnote reference"/>
    <w:uiPriority w:val="99"/>
    <w:unhideWhenUsed/>
    <w:qFormat/>
    <w:rPr>
      <w:vertAlign w:val="superscript"/>
    </w:rPr>
  </w:style>
  <w:style w:type="paragraph" w:styleId="889">
    <w:name w:val="List Paragraph"/>
    <w:basedOn w:val="827"/>
    <w:qFormat/>
    <w:pPr>
      <w:contextualSpacing/>
      <w:ind w:left="720"/>
    </w:pPr>
  </w:style>
  <w:style w:type="paragraph" w:styleId="890">
    <w:name w:val="No Spacing"/>
    <w:uiPriority w:val="99"/>
    <w:qFormat/>
  </w:style>
  <w:style w:type="paragraph" w:styleId="891">
    <w:name w:val="Quote"/>
    <w:basedOn w:val="827"/>
    <w:next w:val="827"/>
    <w:link w:val="946"/>
    <w:uiPriority w:val="29"/>
    <w:qFormat/>
    <w:pPr>
      <w:ind w:left="720" w:right="720"/>
    </w:pPr>
    <w:rPr>
      <w:i/>
    </w:rPr>
  </w:style>
  <w:style w:type="paragraph" w:styleId="892">
    <w:name w:val="Intense Quote"/>
    <w:basedOn w:val="827"/>
    <w:next w:val="827"/>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3" w:customStyle="1">
    <w:name w:val="无格式表格 11"/>
    <w:basedOn w:val="838"/>
    <w:uiPriority w:val="59"/>
    <w:qFormat/>
    <w:tblPr>
      <w:tblCellMar>
        <w:left w:w="0" w:type="dxa"/>
        <w:right w:w="0" w:type="dxa"/>
      </w:tblCellMar>
    </w:tblPr>
  </w:style>
  <w:style w:type="table" w:styleId="894" w:customStyle="1">
    <w:name w:val="无格式表格 21"/>
    <w:basedOn w:val="838"/>
    <w:uiPriority w:val="59"/>
    <w:qFormat/>
    <w:tblPr>
      <w:tblCellMar>
        <w:left w:w="0" w:type="dxa"/>
        <w:right w:w="0" w:type="dxa"/>
      </w:tblCellMar>
    </w:tblPr>
  </w:style>
  <w:style w:type="table" w:styleId="895" w:customStyle="1">
    <w:name w:val="无格式表格 31"/>
    <w:basedOn w:val="838"/>
    <w:uiPriority w:val="99"/>
    <w:qFormat/>
    <w:tblPr>
      <w:tblCellMar>
        <w:left w:w="0" w:type="dxa"/>
        <w:right w:w="0" w:type="dxa"/>
      </w:tblCellMar>
    </w:tblPr>
  </w:style>
  <w:style w:type="table" w:styleId="896" w:customStyle="1">
    <w:name w:val="无格式表格 41"/>
    <w:basedOn w:val="838"/>
    <w:uiPriority w:val="99"/>
    <w:qFormat/>
    <w:tblPr>
      <w:tblCellMar>
        <w:left w:w="0" w:type="dxa"/>
        <w:right w:w="0" w:type="dxa"/>
      </w:tblCellMar>
    </w:tblPr>
  </w:style>
  <w:style w:type="table" w:styleId="897" w:customStyle="1">
    <w:name w:val="无格式表格 51"/>
    <w:basedOn w:val="838"/>
    <w:uiPriority w:val="99"/>
    <w:qFormat/>
    <w:tblPr>
      <w:tblCellMar>
        <w:left w:w="0" w:type="dxa"/>
        <w:right w:w="0" w:type="dxa"/>
      </w:tblCellMar>
    </w:tblPr>
  </w:style>
  <w:style w:type="table" w:styleId="898" w:customStyle="1">
    <w:name w:val="网格表 1 浅色1"/>
    <w:basedOn w:val="838"/>
    <w:uiPriority w:val="99"/>
    <w:qFormat/>
    <w:tblPr>
      <w:tblCellMar>
        <w:left w:w="0" w:type="dxa"/>
        <w:right w:w="0" w:type="dxa"/>
      </w:tblCellMar>
    </w:tblPr>
  </w:style>
  <w:style w:type="table" w:styleId="899" w:customStyle="1">
    <w:name w:val="网格表 21"/>
    <w:basedOn w:val="838"/>
    <w:uiPriority w:val="99"/>
    <w:qFormat/>
    <w:tblPr>
      <w:tblCellMar>
        <w:left w:w="0" w:type="dxa"/>
        <w:right w:w="0" w:type="dxa"/>
      </w:tblCellMar>
    </w:tblPr>
  </w:style>
  <w:style w:type="table" w:styleId="900" w:customStyle="1">
    <w:name w:val="网格表 31"/>
    <w:basedOn w:val="838"/>
    <w:uiPriority w:val="99"/>
    <w:qFormat/>
    <w:tblPr>
      <w:tblCellMar>
        <w:left w:w="0" w:type="dxa"/>
        <w:right w:w="0" w:type="dxa"/>
      </w:tblCellMar>
    </w:tblPr>
  </w:style>
  <w:style w:type="table" w:styleId="901" w:customStyle="1">
    <w:name w:val="网格表 41"/>
    <w:basedOn w:val="838"/>
    <w:uiPriority w:val="59"/>
    <w:qFormat/>
    <w:tblPr>
      <w:tblCellMar>
        <w:left w:w="0" w:type="dxa"/>
        <w:right w:w="0" w:type="dxa"/>
      </w:tblCellMar>
    </w:tblPr>
  </w:style>
  <w:style w:type="table" w:styleId="902" w:customStyle="1">
    <w:name w:val="网格表 5 深色1"/>
    <w:basedOn w:val="838"/>
    <w:uiPriority w:val="99"/>
    <w:qFormat/>
    <w:tblPr>
      <w:tblCellMar>
        <w:left w:w="0" w:type="dxa"/>
        <w:right w:w="0" w:type="dxa"/>
      </w:tblCellMar>
    </w:tblPr>
  </w:style>
  <w:style w:type="table" w:styleId="903" w:customStyle="1">
    <w:name w:val="网格表 6 彩色1"/>
    <w:basedOn w:val="838"/>
    <w:uiPriority w:val="99"/>
    <w:qFormat/>
    <w:tblPr>
      <w:tblCellMar>
        <w:left w:w="0" w:type="dxa"/>
        <w:right w:w="0" w:type="dxa"/>
      </w:tblCellMar>
    </w:tblPr>
  </w:style>
  <w:style w:type="table" w:styleId="904" w:customStyle="1">
    <w:name w:val="网格表 7 彩色1"/>
    <w:basedOn w:val="838"/>
    <w:uiPriority w:val="99"/>
    <w:qFormat/>
    <w:tblPr>
      <w:tblCellMar>
        <w:left w:w="0" w:type="dxa"/>
        <w:right w:w="0" w:type="dxa"/>
      </w:tblCellMar>
    </w:tblPr>
  </w:style>
  <w:style w:type="table" w:styleId="905" w:customStyle="1">
    <w:name w:val="清单表 1 浅色1"/>
    <w:basedOn w:val="838"/>
    <w:uiPriority w:val="99"/>
    <w:qFormat/>
    <w:tblPr>
      <w:tblCellMar>
        <w:left w:w="0" w:type="dxa"/>
        <w:right w:w="0" w:type="dxa"/>
      </w:tblCellMar>
    </w:tblPr>
  </w:style>
  <w:style w:type="table" w:styleId="906" w:customStyle="1">
    <w:name w:val="清单表 21"/>
    <w:basedOn w:val="838"/>
    <w:uiPriority w:val="99"/>
    <w:qFormat/>
    <w:tblPr>
      <w:tblCellMar>
        <w:left w:w="0" w:type="dxa"/>
        <w:right w:w="0" w:type="dxa"/>
      </w:tblCellMar>
    </w:tblPr>
  </w:style>
  <w:style w:type="table" w:styleId="907" w:customStyle="1">
    <w:name w:val="清单表 31"/>
    <w:basedOn w:val="838"/>
    <w:uiPriority w:val="99"/>
    <w:qFormat/>
    <w:tblPr>
      <w:tblCellMar>
        <w:left w:w="0" w:type="dxa"/>
        <w:right w:w="0" w:type="dxa"/>
      </w:tblCellMar>
    </w:tblPr>
  </w:style>
  <w:style w:type="table" w:styleId="908" w:customStyle="1">
    <w:name w:val="清单表 41"/>
    <w:basedOn w:val="838"/>
    <w:uiPriority w:val="99"/>
    <w:qFormat/>
    <w:tblPr>
      <w:tblCellMar>
        <w:left w:w="0" w:type="dxa"/>
        <w:right w:w="0" w:type="dxa"/>
      </w:tblCellMar>
    </w:tblPr>
  </w:style>
  <w:style w:type="table" w:styleId="909" w:customStyle="1">
    <w:name w:val="清单表 5 深色1"/>
    <w:basedOn w:val="838"/>
    <w:uiPriority w:val="99"/>
    <w:qFormat/>
    <w:tblPr>
      <w:tblCellMar>
        <w:left w:w="0" w:type="dxa"/>
        <w:right w:w="0" w:type="dxa"/>
      </w:tblCellMar>
    </w:tblPr>
  </w:style>
  <w:style w:type="table" w:styleId="910" w:customStyle="1">
    <w:name w:val="清单表 6 彩色1"/>
    <w:basedOn w:val="838"/>
    <w:uiPriority w:val="99"/>
    <w:qFormat/>
    <w:tblPr>
      <w:tblCellMar>
        <w:left w:w="0" w:type="dxa"/>
        <w:right w:w="0" w:type="dxa"/>
      </w:tblCellMar>
    </w:tblPr>
  </w:style>
  <w:style w:type="table" w:styleId="911" w:customStyle="1">
    <w:name w:val="清单表 7 彩色1"/>
    <w:basedOn w:val="838"/>
    <w:uiPriority w:val="99"/>
    <w:qFormat/>
    <w:tblPr>
      <w:tblCellMar>
        <w:left w:w="0" w:type="dxa"/>
        <w:right w:w="0" w:type="dxa"/>
      </w:tblCellMar>
    </w:tblPr>
  </w:style>
  <w:style w:type="paragraph" w:styleId="912" w:customStyle="1">
    <w:name w:val="TOC 标题1"/>
    <w:uiPriority w:val="39"/>
    <w:qFormat/>
  </w:style>
  <w:style w:type="character" w:styleId="913" w:customStyle="1">
    <w:name w:val="批注文字 字符"/>
    <w:link w:val="845"/>
    <w:qFormat/>
    <w:rPr>
      <w:sz w:val="21"/>
      <w:szCs w:val="22"/>
    </w:rPr>
  </w:style>
  <w:style w:type="character" w:styleId="914" w:customStyle="1">
    <w:name w:val="正文文本 字符"/>
    <w:link w:val="847"/>
    <w:qFormat/>
    <w:rPr>
      <w:sz w:val="21"/>
      <w:szCs w:val="22"/>
    </w:rPr>
  </w:style>
  <w:style w:type="character" w:styleId="915" w:customStyle="1">
    <w:name w:val="纯文本 字符"/>
    <w:link w:val="853"/>
    <w:qFormat/>
    <w:rPr>
      <w:rFonts w:ascii="宋体" w:hAnsi="Courier New" w:cs="Courier New"/>
      <w:sz w:val="21"/>
      <w:szCs w:val="21"/>
    </w:rPr>
  </w:style>
  <w:style w:type="character" w:styleId="916" w:customStyle="1">
    <w:name w:val="正文文本缩进 2 字符"/>
    <w:link w:val="856"/>
    <w:qFormat/>
    <w:rPr>
      <w:sz w:val="28"/>
      <w:szCs w:val="22"/>
    </w:rPr>
  </w:style>
  <w:style w:type="character" w:styleId="917" w:customStyle="1">
    <w:name w:val="尾注文本 字符"/>
    <w:link w:val="857"/>
    <w:uiPriority w:val="99"/>
    <w:qFormat/>
    <w:rPr>
      <w:sz w:val="20"/>
    </w:rPr>
  </w:style>
  <w:style w:type="character" w:styleId="918" w:customStyle="1">
    <w:name w:val="批注框文本 字符"/>
    <w:link w:val="858"/>
    <w:qFormat/>
    <w:rPr>
      <w:sz w:val="18"/>
      <w:szCs w:val="18"/>
    </w:rPr>
  </w:style>
  <w:style w:type="character" w:styleId="919" w:customStyle="1">
    <w:name w:val="副标题 字符"/>
    <w:link w:val="865"/>
    <w:uiPriority w:val="11"/>
    <w:qFormat/>
    <w:rPr>
      <w:sz w:val="24"/>
      <w:szCs w:val="24"/>
    </w:rPr>
  </w:style>
  <w:style w:type="character" w:styleId="920" w:customStyle="1">
    <w:name w:val="脚注文本 字符"/>
    <w:link w:val="867"/>
    <w:uiPriority w:val="99"/>
    <w:qFormat/>
    <w:rPr>
      <w:sz w:val="18"/>
    </w:rPr>
  </w:style>
  <w:style w:type="character" w:styleId="921" w:customStyle="1">
    <w:name w:val="标题 字符"/>
    <w:link w:val="876"/>
    <w:uiPriority w:val="10"/>
    <w:qFormat/>
    <w:rPr>
      <w:sz w:val="48"/>
      <w:szCs w:val="48"/>
    </w:rPr>
  </w:style>
  <w:style w:type="character" w:styleId="922" w:customStyle="1">
    <w:name w:val="批注主题 字符"/>
    <w:link w:val="877"/>
    <w:qFormat/>
    <w:rPr>
      <w:b/>
      <w:bCs/>
      <w:sz w:val="21"/>
      <w:szCs w:val="22"/>
    </w:rPr>
  </w:style>
  <w:style w:type="character" w:styleId="923" w:customStyle="1">
    <w:name w:val="Heading 1 Char"/>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Heading 3 Char"/>
    <w:uiPriority w:val="9"/>
    <w:qFormat/>
    <w:rPr>
      <w:rFonts w:ascii="Arial" w:hAnsi="Arial" w:eastAsia="Arial" w:cs="Arial"/>
      <w:sz w:val="30"/>
      <w:szCs w:val="30"/>
    </w:rPr>
  </w:style>
  <w:style w:type="character" w:styleId="926" w:customStyle="1">
    <w:name w:val="Heading 4 Char"/>
    <w:uiPriority w:val="9"/>
    <w:qFormat/>
    <w:rPr>
      <w:rFonts w:ascii="Arial" w:hAnsi="Arial" w:eastAsia="Arial" w:cs="Arial"/>
      <w:b/>
      <w:bCs/>
      <w:sz w:val="26"/>
      <w:szCs w:val="26"/>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character" w:styleId="932" w:customStyle="1">
    <w:name w:val="标题 1 字符1"/>
    <w:link w:val="828"/>
    <w:uiPriority w:val="9"/>
    <w:qFormat/>
    <w:rPr>
      <w:rFonts w:ascii="Arial" w:hAnsi="Arial" w:eastAsia="Arial" w:cs="Arial"/>
      <w:sz w:val="40"/>
      <w:szCs w:val="40"/>
    </w:rPr>
  </w:style>
  <w:style w:type="character" w:styleId="933" w:customStyle="1">
    <w:name w:val="标题 2 字符1"/>
    <w:link w:val="829"/>
    <w:uiPriority w:val="9"/>
    <w:qFormat/>
    <w:rPr>
      <w:rFonts w:ascii="Arial" w:hAnsi="Arial" w:eastAsia="Arial" w:cs="Arial"/>
      <w:sz w:val="34"/>
    </w:rPr>
  </w:style>
  <w:style w:type="character" w:styleId="934" w:customStyle="1">
    <w:name w:val="标题 3 字符1"/>
    <w:link w:val="830"/>
    <w:uiPriority w:val="9"/>
    <w:qFormat/>
    <w:rPr>
      <w:rFonts w:ascii="Arial" w:hAnsi="Arial" w:eastAsia="Arial" w:cs="Arial"/>
      <w:sz w:val="30"/>
      <w:szCs w:val="30"/>
    </w:rPr>
  </w:style>
  <w:style w:type="character" w:styleId="935" w:customStyle="1">
    <w:name w:val="标题 4 字符1"/>
    <w:link w:val="831"/>
    <w:uiPriority w:val="9"/>
    <w:qFormat/>
    <w:rPr>
      <w:rFonts w:ascii="Arial" w:hAnsi="Arial" w:eastAsia="Arial" w:cs="Arial"/>
      <w:b/>
      <w:bCs/>
      <w:sz w:val="26"/>
      <w:szCs w:val="26"/>
    </w:rPr>
  </w:style>
  <w:style w:type="character" w:styleId="936" w:customStyle="1">
    <w:name w:val="标题 5 字符1"/>
    <w:link w:val="832"/>
    <w:uiPriority w:val="9"/>
    <w:qFormat/>
    <w:rPr>
      <w:rFonts w:ascii="Arial" w:hAnsi="Arial" w:eastAsia="Arial" w:cs="Arial"/>
      <w:b/>
      <w:bCs/>
      <w:sz w:val="24"/>
      <w:szCs w:val="24"/>
    </w:rPr>
  </w:style>
  <w:style w:type="character" w:styleId="937" w:customStyle="1">
    <w:name w:val="标题 6 字符1"/>
    <w:link w:val="833"/>
    <w:uiPriority w:val="9"/>
    <w:qFormat/>
    <w:rPr>
      <w:rFonts w:ascii="Arial" w:hAnsi="Arial" w:eastAsia="Arial" w:cs="Arial"/>
      <w:b/>
      <w:bCs/>
      <w:sz w:val="22"/>
      <w:szCs w:val="22"/>
    </w:rPr>
  </w:style>
  <w:style w:type="character" w:styleId="938" w:customStyle="1">
    <w:name w:val="标题 7 字符1"/>
    <w:link w:val="834"/>
    <w:uiPriority w:val="9"/>
    <w:qFormat/>
    <w:rPr>
      <w:rFonts w:ascii="Arial" w:hAnsi="Arial" w:eastAsia="Arial" w:cs="Arial"/>
      <w:b/>
      <w:bCs/>
      <w:i/>
      <w:iCs/>
      <w:sz w:val="22"/>
      <w:szCs w:val="22"/>
    </w:rPr>
  </w:style>
  <w:style w:type="character" w:styleId="939" w:customStyle="1">
    <w:name w:val="标题 8 字符1"/>
    <w:link w:val="835"/>
    <w:uiPriority w:val="9"/>
    <w:qFormat/>
    <w:rPr>
      <w:rFonts w:ascii="Arial" w:hAnsi="Arial" w:eastAsia="Arial" w:cs="Arial"/>
      <w:i/>
      <w:iCs/>
      <w:sz w:val="22"/>
      <w:szCs w:val="22"/>
    </w:rPr>
  </w:style>
  <w:style w:type="character" w:styleId="940" w:customStyle="1">
    <w:name w:val="标题 9 字符1"/>
    <w:link w:val="836"/>
    <w:uiPriority w:val="9"/>
    <w:qFormat/>
    <w:rPr>
      <w:rFonts w:ascii="Arial" w:hAnsi="Arial" w:eastAsia="Arial" w:cs="Arial"/>
      <w:i/>
      <w:iCs/>
      <w:sz w:val="21"/>
      <w:szCs w:val="21"/>
    </w:rPr>
  </w:style>
  <w:style w:type="paragraph" w:styleId="941" w:customStyle="1">
    <w:name w:val="Caption1"/>
    <w:basedOn w:val="827"/>
    <w:next w:val="827"/>
    <w:uiPriority w:val="35"/>
    <w:qFormat/>
    <w:pPr>
      <w:spacing w:line="276" w:lineRule="auto"/>
    </w:pPr>
    <w:rPr>
      <w:b/>
      <w:bCs/>
      <w:color w:val="4f81bd"/>
      <w:sz w:val="18"/>
      <w:szCs w:val="18"/>
    </w:rPr>
  </w:style>
  <w:style w:type="paragraph" w:styleId="942" w:customStyle="1">
    <w:name w:val="Footer1"/>
    <w:basedOn w:val="827"/>
    <w:link w:val="943"/>
    <w:uiPriority w:val="99"/>
    <w:unhideWhenUsed/>
    <w:qFormat/>
    <w:pPr>
      <w:jc w:val="left"/>
      <w:tabs>
        <w:tab w:val="center" w:pos="4153" w:leader="none"/>
        <w:tab w:val="right" w:pos="8306" w:leader="none"/>
      </w:tabs>
    </w:pPr>
    <w:rPr>
      <w:sz w:val="18"/>
      <w:szCs w:val="18"/>
    </w:rPr>
  </w:style>
  <w:style w:type="character" w:styleId="943" w:customStyle="1">
    <w:name w:val="页脚 字符"/>
    <w:link w:val="942"/>
    <w:uiPriority w:val="99"/>
    <w:qFormat/>
    <w:rPr>
      <w:sz w:val="18"/>
      <w:szCs w:val="18"/>
    </w:rPr>
  </w:style>
  <w:style w:type="paragraph" w:styleId="944" w:customStyle="1">
    <w:name w:val="Header1"/>
    <w:basedOn w:val="827"/>
    <w:link w:val="945"/>
    <w:uiPriority w:val="99"/>
    <w:unhideWhenUsed/>
    <w:qFormat/>
    <w:pPr>
      <w:jc w:val="center"/>
      <w:tabs>
        <w:tab w:val="center" w:pos="4153" w:leader="none"/>
        <w:tab w:val="right" w:pos="8306" w:leader="none"/>
      </w:tabs>
    </w:pPr>
    <w:rPr>
      <w:sz w:val="18"/>
      <w:szCs w:val="18"/>
    </w:rPr>
  </w:style>
  <w:style w:type="character" w:styleId="945" w:customStyle="1">
    <w:name w:val="页眉 字符"/>
    <w:link w:val="944"/>
    <w:qFormat/>
    <w:rPr>
      <w:sz w:val="18"/>
      <w:szCs w:val="18"/>
    </w:rPr>
  </w:style>
  <w:style w:type="character" w:styleId="946" w:customStyle="1">
    <w:name w:val="引用 字符"/>
    <w:link w:val="891"/>
    <w:uiPriority w:val="29"/>
    <w:qFormat/>
    <w:rPr>
      <w:i/>
    </w:rPr>
  </w:style>
  <w:style w:type="character" w:styleId="947" w:customStyle="1">
    <w:name w:val="明显引用 字符"/>
    <w:link w:val="892"/>
    <w:uiPriority w:val="30"/>
    <w:qFormat/>
    <w:rPr>
      <w:i/>
    </w:rPr>
  </w:style>
  <w:style w:type="paragraph" w:styleId="948" w:customStyle="1">
    <w:name w:val="TOC 标题112"/>
    <w:uiPriority w:val="39"/>
    <w:qFormat/>
  </w:style>
  <w:style w:type="character" w:styleId="949" w:customStyle="1">
    <w:name w:val="标题 1 字符"/>
    <w:qFormat/>
    <w:rPr>
      <w:rFonts w:ascii="Arial" w:hAnsi="Arial" w:eastAsia="Arial" w:cs="Arial"/>
      <w:sz w:val="40"/>
      <w:szCs w:val="40"/>
    </w:rPr>
  </w:style>
  <w:style w:type="character" w:styleId="950" w:customStyle="1">
    <w:name w:val="标题 2 字符"/>
    <w:qFormat/>
    <w:rPr>
      <w:rFonts w:ascii="Arial" w:hAnsi="Arial" w:eastAsia="Arial" w:cs="Arial"/>
      <w:sz w:val="34"/>
      <w:szCs w:val="22"/>
    </w:rPr>
  </w:style>
  <w:style w:type="character" w:styleId="951" w:customStyle="1">
    <w:name w:val="标题 3 字符"/>
    <w:qFormat/>
    <w:rPr>
      <w:rFonts w:ascii="Arial" w:hAnsi="Arial" w:eastAsia="Arial" w:cs="Arial"/>
      <w:sz w:val="30"/>
      <w:szCs w:val="30"/>
    </w:rPr>
  </w:style>
  <w:style w:type="character" w:styleId="952" w:customStyle="1">
    <w:name w:val="标题 4 字符"/>
    <w:qFormat/>
    <w:rPr>
      <w:rFonts w:ascii="Arial" w:hAnsi="Arial" w:eastAsia="Arial" w:cs="Arial"/>
      <w:b/>
      <w:bCs/>
      <w:sz w:val="26"/>
      <w:szCs w:val="26"/>
    </w:rPr>
  </w:style>
  <w:style w:type="character" w:styleId="953" w:customStyle="1">
    <w:name w:val="标题 5 字符"/>
    <w:qFormat/>
    <w:rPr>
      <w:rFonts w:ascii="Arial" w:hAnsi="Arial" w:eastAsia="Arial" w:cs="Arial"/>
      <w:b/>
      <w:bCs/>
      <w:sz w:val="24"/>
      <w:szCs w:val="24"/>
    </w:rPr>
  </w:style>
  <w:style w:type="character" w:styleId="954" w:customStyle="1">
    <w:name w:val="标题 6 字符"/>
    <w:qFormat/>
    <w:rPr>
      <w:rFonts w:ascii="Arial" w:hAnsi="Arial" w:eastAsia="Arial" w:cs="Arial"/>
      <w:b/>
      <w:bCs/>
      <w:sz w:val="22"/>
      <w:szCs w:val="22"/>
    </w:rPr>
  </w:style>
  <w:style w:type="character" w:styleId="955" w:customStyle="1">
    <w:name w:val="标题 7 字符"/>
    <w:qFormat/>
    <w:rPr>
      <w:rFonts w:ascii="Arial" w:hAnsi="Arial" w:eastAsia="Arial" w:cs="Arial"/>
      <w:b/>
      <w:bCs/>
      <w:i/>
      <w:iCs/>
      <w:sz w:val="22"/>
      <w:szCs w:val="22"/>
    </w:rPr>
  </w:style>
  <w:style w:type="character" w:styleId="956" w:customStyle="1">
    <w:name w:val="标题 8 字符"/>
    <w:qFormat/>
    <w:rPr>
      <w:rFonts w:ascii="Arial" w:hAnsi="Arial" w:eastAsia="Arial" w:cs="Arial"/>
      <w:i/>
      <w:iCs/>
      <w:sz w:val="22"/>
      <w:szCs w:val="22"/>
    </w:rPr>
  </w:style>
  <w:style w:type="character" w:styleId="957" w:customStyle="1">
    <w:name w:val="标题 9 字符"/>
    <w:qFormat/>
    <w:rPr>
      <w:rFonts w:ascii="Arial" w:hAnsi="Arial" w:eastAsia="Arial" w:cs="Arial"/>
      <w:i/>
      <w:iCs/>
      <w:sz w:val="21"/>
      <w:szCs w:val="21"/>
    </w:rPr>
  </w:style>
  <w:style w:type="paragraph" w:styleId="958" w:customStyle="1">
    <w:name w:val="Header11"/>
    <w:basedOn w:val="827"/>
    <w:link w:val="959"/>
    <w:uiPriority w:val="99"/>
    <w:unhideWhenUsed/>
    <w:qFormat/>
    <w:pPr>
      <w:tabs>
        <w:tab w:val="center" w:pos="7143" w:leader="none"/>
        <w:tab w:val="right" w:pos="14287" w:leader="none"/>
      </w:tabs>
    </w:pPr>
  </w:style>
  <w:style w:type="character" w:styleId="959" w:customStyle="1">
    <w:name w:val="Header Char"/>
    <w:link w:val="958"/>
    <w:uiPriority w:val="99"/>
    <w:qFormat/>
  </w:style>
  <w:style w:type="paragraph" w:styleId="960" w:customStyle="1">
    <w:name w:val="Footer11"/>
    <w:basedOn w:val="827"/>
    <w:link w:val="961"/>
    <w:uiPriority w:val="99"/>
    <w:unhideWhenUsed/>
    <w:qFormat/>
    <w:pPr>
      <w:tabs>
        <w:tab w:val="center" w:pos="7143" w:leader="none"/>
        <w:tab w:val="right" w:pos="14287" w:leader="none"/>
      </w:tabs>
    </w:pPr>
  </w:style>
  <w:style w:type="character" w:styleId="961" w:customStyle="1">
    <w:name w:val="Footer Char"/>
    <w:link w:val="960"/>
    <w:uiPriority w:val="99"/>
    <w:qFormat/>
  </w:style>
  <w:style w:type="character" w:styleId="962" w:customStyle="1">
    <w:name w:val="页脚 字符1"/>
    <w:link w:val="859"/>
    <w:uiPriority w:val="99"/>
    <w:qFormat/>
  </w:style>
  <w:style w:type="paragraph" w:styleId="963" w:customStyle="1">
    <w:name w:val="Caption11"/>
    <w:basedOn w:val="827"/>
    <w:next w:val="827"/>
    <w:uiPriority w:val="35"/>
    <w:unhideWhenUsed/>
    <w:qFormat/>
    <w:pPr>
      <w:spacing w:line="276" w:lineRule="auto"/>
    </w:pPr>
    <w:rPr>
      <w:b/>
      <w:bCs/>
      <w:color w:val="4f81bd"/>
      <w:sz w:val="18"/>
      <w:szCs w:val="18"/>
    </w:r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Grid Table 1 Light - Accent 1"/>
    <w:uiPriority w:val="99"/>
    <w:qFormat/>
    <w:tblPr>
      <w:tblCellMar>
        <w:left w:w="0" w:type="dxa"/>
        <w:top w:w="0" w:type="dxa"/>
        <w:right w:w="0" w:type="dxa"/>
        <w:bottom w:w="0" w:type="dxa"/>
      </w:tblCellMar>
    </w:tblPr>
  </w:style>
  <w:style w:type="table" w:styleId="966" w:customStyle="1">
    <w:name w:val="Grid Table 1 Light - Accent 2"/>
    <w:uiPriority w:val="99"/>
    <w:qFormat/>
    <w:tblPr>
      <w:tblCellMar>
        <w:left w:w="0" w:type="dxa"/>
        <w:top w:w="0" w:type="dxa"/>
        <w:right w:w="0" w:type="dxa"/>
        <w:bottom w:w="0" w:type="dxa"/>
      </w:tblCellMar>
    </w:tblPr>
  </w:style>
  <w:style w:type="table" w:styleId="967" w:customStyle="1">
    <w:name w:val="Grid Table 1 Light - Accent 3"/>
    <w:uiPriority w:val="99"/>
    <w:qFormat/>
    <w:tblPr>
      <w:tblCellMar>
        <w:left w:w="0" w:type="dxa"/>
        <w:top w:w="0" w:type="dxa"/>
        <w:right w:w="0" w:type="dxa"/>
        <w:bottom w:w="0" w:type="dxa"/>
      </w:tblCellMar>
    </w:tblPr>
  </w:style>
  <w:style w:type="table" w:styleId="968" w:customStyle="1">
    <w:name w:val="Grid Table 1 Light - Accent 4"/>
    <w:uiPriority w:val="9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Grid Table 1 Light - Accent 6"/>
    <w:uiPriority w:val="99"/>
    <w:qFormat/>
    <w:tblPr>
      <w:tblCellMar>
        <w:left w:w="0" w:type="dxa"/>
        <w:top w:w="0" w:type="dxa"/>
        <w:right w:w="0" w:type="dxa"/>
        <w:bottom w:w="0" w:type="dxa"/>
      </w:tblCellMar>
    </w:tblPr>
  </w:style>
  <w:style w:type="table" w:styleId="971" w:customStyle="1">
    <w:name w:val="Grid Table 2 - Accent 1"/>
    <w:uiPriority w:val="99"/>
    <w:qFormat/>
    <w:tblPr>
      <w:tblCellMar>
        <w:left w:w="0" w:type="dxa"/>
        <w:top w:w="0" w:type="dxa"/>
        <w:right w:w="0" w:type="dxa"/>
        <w:bottom w:w="0" w:type="dxa"/>
      </w:tblCellMar>
    </w:tblPr>
  </w:style>
  <w:style w:type="table" w:styleId="972" w:customStyle="1">
    <w:name w:val="Grid Table 2 - Accent 2"/>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Grid Table 4 - Accent 1"/>
    <w:uiPriority w:val="59"/>
    <w:qFormat/>
    <w:tblPr>
      <w:tblCellMar>
        <w:left w:w="0" w:type="dxa"/>
        <w:top w:w="0" w:type="dxa"/>
        <w:right w:w="0" w:type="dxa"/>
        <w:bottom w:w="0" w:type="dxa"/>
      </w:tblCellMar>
    </w:tblPr>
  </w:style>
  <w:style w:type="table" w:styleId="984" w:customStyle="1">
    <w:name w:val="Grid Table 4 - Accent 2"/>
    <w:uiPriority w:val="59"/>
    <w:qFormat/>
    <w:tblPr>
      <w:tblCellMar>
        <w:left w:w="0" w:type="dxa"/>
        <w:top w:w="0" w:type="dxa"/>
        <w:right w:w="0" w:type="dxa"/>
        <w:bottom w:w="0" w:type="dxa"/>
      </w:tblCellMar>
    </w:tblPr>
  </w:style>
  <w:style w:type="table" w:styleId="985" w:customStyle="1">
    <w:name w:val="Grid Table 4 - Accent 3"/>
    <w:uiPriority w:val="59"/>
    <w:qFormat/>
    <w:tblPr>
      <w:tblCellMar>
        <w:left w:w="0" w:type="dxa"/>
        <w:top w:w="0" w:type="dxa"/>
        <w:right w:w="0" w:type="dxa"/>
        <w:bottom w:w="0" w:type="dxa"/>
      </w:tblCellMar>
    </w:tblPr>
  </w:style>
  <w:style w:type="table" w:styleId="986" w:customStyle="1">
    <w:name w:val="Grid Table 4 - Accent 4"/>
    <w:uiPriority w:val="59"/>
    <w:qFormat/>
    <w:tblPr>
      <w:tblCellMar>
        <w:left w:w="0" w:type="dxa"/>
        <w:top w:w="0" w:type="dxa"/>
        <w:right w:w="0" w:type="dxa"/>
        <w:bottom w:w="0" w:type="dxa"/>
      </w:tblCellMar>
    </w:tblPr>
  </w:style>
  <w:style w:type="table" w:styleId="987" w:customStyle="1">
    <w:name w:val="Grid Table 4 - Accent 5"/>
    <w:uiPriority w:val="59"/>
    <w:qFormat/>
    <w:tblPr>
      <w:tblCellMar>
        <w:left w:w="0" w:type="dxa"/>
        <w:top w:w="0" w:type="dxa"/>
        <w:right w:w="0" w:type="dxa"/>
        <w:bottom w:w="0" w:type="dxa"/>
      </w:tblCellMar>
    </w:tblPr>
  </w:style>
  <w:style w:type="table" w:styleId="988" w:customStyle="1">
    <w:name w:val="Grid Table 4 - Accent 6"/>
    <w:uiPriority w:val="59"/>
    <w:qFormat/>
    <w:tblPr>
      <w:tblCellMar>
        <w:left w:w="0" w:type="dxa"/>
        <w:top w:w="0" w:type="dxa"/>
        <w:right w:w="0" w:type="dxa"/>
        <w:bottom w:w="0" w:type="dxa"/>
      </w:tblCellMar>
    </w:tblPr>
  </w:style>
  <w:style w:type="table" w:styleId="989" w:customStyle="1">
    <w:name w:val="Grid Table 5 Dark- Accent 1"/>
    <w:uiPriority w:val="99"/>
    <w:qFormat/>
    <w:tblPr>
      <w:tblCellMar>
        <w:left w:w="0" w:type="dxa"/>
        <w:top w:w="0" w:type="dxa"/>
        <w:right w:w="0" w:type="dxa"/>
        <w:bottom w:w="0" w:type="dxa"/>
      </w:tblCellMar>
    </w:tblPr>
  </w:style>
  <w:style w:type="table" w:styleId="990" w:customStyle="1">
    <w:name w:val="Grid Table 5 Dark - Accent 2"/>
    <w:uiPriority w:val="99"/>
    <w:qFormat/>
    <w:tblPr>
      <w:tblCellMar>
        <w:left w:w="0" w:type="dxa"/>
        <w:top w:w="0" w:type="dxa"/>
        <w:right w:w="0" w:type="dxa"/>
        <w:bottom w:w="0" w:type="dxa"/>
      </w:tblCellMar>
    </w:tblPr>
  </w:style>
  <w:style w:type="table" w:styleId="991" w:customStyle="1">
    <w:name w:val="Grid Table 5 Dark - Accent 3"/>
    <w:uiPriority w:val="99"/>
    <w:qFormat/>
    <w:tblPr>
      <w:tblCellMar>
        <w:left w:w="0" w:type="dxa"/>
        <w:top w:w="0" w:type="dxa"/>
        <w:right w:w="0" w:type="dxa"/>
        <w:bottom w:w="0" w:type="dxa"/>
      </w:tblCellMar>
    </w:tblPr>
  </w:style>
  <w:style w:type="table" w:styleId="992" w:customStyle="1">
    <w:name w:val="Grid Table 5 Dark- Accent 4"/>
    <w:uiPriority w:val="99"/>
    <w:qFormat/>
    <w:tblPr>
      <w:tblCellMar>
        <w:left w:w="0" w:type="dxa"/>
        <w:top w:w="0" w:type="dxa"/>
        <w:right w:w="0" w:type="dxa"/>
        <w:bottom w:w="0" w:type="dxa"/>
      </w:tblCellMar>
    </w:tblPr>
  </w:style>
  <w:style w:type="table" w:styleId="993" w:customStyle="1">
    <w:name w:val="Grid Table 5 Dark - Accent 5"/>
    <w:uiPriority w:val="99"/>
    <w:qFormat/>
    <w:tblPr>
      <w:tblCellMar>
        <w:left w:w="0" w:type="dxa"/>
        <w:top w:w="0" w:type="dxa"/>
        <w:right w:w="0" w:type="dxa"/>
        <w:bottom w:w="0" w:type="dxa"/>
      </w:tblCellMar>
    </w:tblPr>
  </w:style>
  <w:style w:type="table" w:styleId="994" w:customStyle="1">
    <w:name w:val="Grid Table 5 Dark - Accent 6"/>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Grid Table 7 Colorful - Accent 1"/>
    <w:uiPriority w:val="99"/>
    <w:qFormat/>
    <w:tblPr>
      <w:tblCellMar>
        <w:left w:w="0" w:type="dxa"/>
        <w:top w:w="0" w:type="dxa"/>
        <w:right w:w="0" w:type="dxa"/>
        <w:bottom w:w="0" w:type="dxa"/>
      </w:tblCellMar>
    </w:tblPr>
  </w:style>
  <w:style w:type="table" w:styleId="1002" w:customStyle="1">
    <w:name w:val="Grid Table 7 Colorful - Accent 2"/>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7 Colorful - Accent 4"/>
    <w:uiPriority w:val="99"/>
    <w:qFormat/>
    <w:tblPr>
      <w:tblCellMar>
        <w:left w:w="0" w:type="dxa"/>
        <w:top w:w="0" w:type="dxa"/>
        <w:right w:w="0" w:type="dxa"/>
        <w:bottom w:w="0" w:type="dxa"/>
      </w:tblCellMar>
    </w:tblPr>
  </w:style>
  <w:style w:type="table" w:styleId="1005" w:customStyle="1">
    <w:name w:val="Grid Table 7 Colorful - Accent 5"/>
    <w:uiPriority w:val="99"/>
    <w:qFormat/>
    <w:tblPr>
      <w:tblCellMar>
        <w:left w:w="0" w:type="dxa"/>
        <w:top w:w="0" w:type="dxa"/>
        <w:right w:w="0" w:type="dxa"/>
        <w:bottom w:w="0" w:type="dxa"/>
      </w:tblCellMar>
    </w:tblPr>
  </w:style>
  <w:style w:type="table" w:styleId="1006" w:customStyle="1">
    <w:name w:val="Grid Table 7 Colorful - Accent 6"/>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List Table 2 - Accent 2"/>
    <w:uiPriority w:val="99"/>
    <w:qFormat/>
    <w:tblPr>
      <w:tblCellMar>
        <w:left w:w="0" w:type="dxa"/>
        <w:top w:w="0" w:type="dxa"/>
        <w:right w:w="0" w:type="dxa"/>
        <w:bottom w:w="0" w:type="dxa"/>
      </w:tblCellMar>
    </w:tblPr>
  </w:style>
  <w:style w:type="table" w:styleId="1015" w:customStyle="1">
    <w:name w:val="List Table 2 - Accent 3"/>
    <w:uiPriority w:val="99"/>
    <w:qFormat/>
    <w:tblPr>
      <w:tblCellMar>
        <w:left w:w="0" w:type="dxa"/>
        <w:top w:w="0" w:type="dxa"/>
        <w:right w:w="0" w:type="dxa"/>
        <w:bottom w:w="0" w:type="dxa"/>
      </w:tblCellMar>
    </w:tblPr>
  </w:style>
  <w:style w:type="table" w:styleId="1016" w:customStyle="1">
    <w:name w:val="List Table 2 - Accent 4"/>
    <w:uiPriority w:val="99"/>
    <w:qFormat/>
    <w:tblPr>
      <w:tblCellMar>
        <w:left w:w="0" w:type="dxa"/>
        <w:top w:w="0" w:type="dxa"/>
        <w:right w:w="0" w:type="dxa"/>
        <w:bottom w:w="0" w:type="dxa"/>
      </w:tblCellMar>
    </w:tblPr>
  </w:style>
  <w:style w:type="table" w:styleId="1017" w:customStyle="1">
    <w:name w:val="List Table 2 - Accent 5"/>
    <w:uiPriority w:val="99"/>
    <w:qFormat/>
    <w:tblPr>
      <w:tblCellMar>
        <w:left w:w="0" w:type="dxa"/>
        <w:top w:w="0" w:type="dxa"/>
        <w:right w:w="0" w:type="dxa"/>
        <w:bottom w:w="0" w:type="dxa"/>
      </w:tblCellMar>
    </w:tblPr>
  </w:style>
  <w:style w:type="table" w:styleId="1018" w:customStyle="1">
    <w:name w:val="List Table 2 - Accent 6"/>
    <w:uiPriority w:val="99"/>
    <w:qFormat/>
    <w:tblPr>
      <w:tblCellMar>
        <w:left w:w="0" w:type="dxa"/>
        <w:top w:w="0" w:type="dxa"/>
        <w:right w:w="0" w:type="dxa"/>
        <w:bottom w:w="0" w:type="dxa"/>
      </w:tblCellMar>
    </w:tblPr>
  </w:style>
  <w:style w:type="table" w:styleId="1019" w:customStyle="1">
    <w:name w:val="List Table 3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List Table 3 - Accent 3"/>
    <w:uiPriority w:val="99"/>
    <w:qFormat/>
    <w:tblPr>
      <w:tblCellMar>
        <w:left w:w="0" w:type="dxa"/>
        <w:top w:w="0" w:type="dxa"/>
        <w:right w:w="0" w:type="dxa"/>
        <w:bottom w:w="0" w:type="dxa"/>
      </w:tblCellMar>
    </w:tblPr>
  </w:style>
  <w:style w:type="table" w:styleId="1022" w:customStyle="1">
    <w:name w:val="List Table 3 - Accent 4"/>
    <w:uiPriority w:val="99"/>
    <w:qFormat/>
    <w:tblPr>
      <w:tblCellMar>
        <w:left w:w="0" w:type="dxa"/>
        <w:top w:w="0" w:type="dxa"/>
        <w:right w:w="0" w:type="dxa"/>
        <w:bottom w:w="0" w:type="dxa"/>
      </w:tblCellMar>
    </w:tblPr>
  </w:style>
  <w:style w:type="table" w:styleId="1023" w:customStyle="1">
    <w:name w:val="List Table 3 - Accent 5"/>
    <w:uiPriority w:val="99"/>
    <w:qFormat/>
    <w:tblPr>
      <w:tblCellMar>
        <w:left w:w="0" w:type="dxa"/>
        <w:top w:w="0" w:type="dxa"/>
        <w:right w:w="0" w:type="dxa"/>
        <w:bottom w:w="0" w:type="dxa"/>
      </w:tblCellMar>
    </w:tblPr>
  </w:style>
  <w:style w:type="table" w:styleId="1024" w:customStyle="1">
    <w:name w:val="List Table 3 - Accent 6"/>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 Accent 1"/>
    <w:uiPriority w:val="99"/>
    <w:qFormat/>
    <w:tblPr>
      <w:tblCellMar>
        <w:left w:w="0" w:type="dxa"/>
        <w:top w:w="0" w:type="dxa"/>
        <w:right w:w="0" w:type="dxa"/>
        <w:bottom w:w="0" w:type="dxa"/>
      </w:tblCellMar>
    </w:tblPr>
  </w:style>
  <w:style w:type="table" w:styleId="1038" w:customStyle="1">
    <w:name w:val="List Table 6 Colorful - Accent 2"/>
    <w:uiPriority w:val="99"/>
    <w:qFormat/>
    <w:tblPr>
      <w:tblCellMar>
        <w:left w:w="0" w:type="dxa"/>
        <w:top w:w="0" w:type="dxa"/>
        <w:right w:w="0" w:type="dxa"/>
        <w:bottom w:w="0" w:type="dxa"/>
      </w:tblCellMar>
    </w:tblPr>
  </w:style>
  <w:style w:type="table" w:styleId="1039" w:customStyle="1">
    <w:name w:val="List Table 6 Colorful - Accent 3"/>
    <w:uiPriority w:val="99"/>
    <w:qFormat/>
    <w:tblPr>
      <w:tblCellMar>
        <w:left w:w="0" w:type="dxa"/>
        <w:top w:w="0" w:type="dxa"/>
        <w:right w:w="0" w:type="dxa"/>
        <w:bottom w:w="0" w:type="dxa"/>
      </w:tblCellMar>
    </w:tblPr>
  </w:style>
  <w:style w:type="table" w:styleId="1040" w:customStyle="1">
    <w:name w:val="List Table 6 Colorful - Accent 4"/>
    <w:uiPriority w:val="99"/>
    <w:qFormat/>
    <w:tblPr>
      <w:tblCellMar>
        <w:left w:w="0" w:type="dxa"/>
        <w:top w:w="0" w:type="dxa"/>
        <w:right w:w="0" w:type="dxa"/>
        <w:bottom w:w="0" w:type="dxa"/>
      </w:tblCellMar>
    </w:tblPr>
  </w:style>
  <w:style w:type="table" w:styleId="1041" w:customStyle="1">
    <w:name w:val="List Table 6 Colorful - Accent 5"/>
    <w:uiPriority w:val="99"/>
    <w:qFormat/>
    <w:tblPr>
      <w:tblCellMar>
        <w:left w:w="0" w:type="dxa"/>
        <w:top w:w="0" w:type="dxa"/>
        <w:right w:w="0" w:type="dxa"/>
        <w:bottom w:w="0" w:type="dxa"/>
      </w:tblCellMar>
    </w:tblPr>
  </w:style>
  <w:style w:type="table" w:styleId="1042" w:customStyle="1">
    <w:name w:val="List Table 6 Colorful - Accent 6"/>
    <w:uiPriority w:val="99"/>
    <w:qFormat/>
    <w:tblPr>
      <w:tblCellMar>
        <w:left w:w="0" w:type="dxa"/>
        <w:top w:w="0" w:type="dxa"/>
        <w:right w:w="0" w:type="dxa"/>
        <w:bottom w:w="0" w:type="dxa"/>
      </w:tblCellMar>
    </w:tblPr>
  </w:style>
  <w:style w:type="table" w:styleId="1043" w:customStyle="1">
    <w:name w:val="List Table 7 Colorful - Accent 1"/>
    <w:uiPriority w:val="99"/>
    <w:qFormat/>
    <w:tblPr>
      <w:tblCellMar>
        <w:left w:w="0" w:type="dxa"/>
        <w:top w:w="0" w:type="dxa"/>
        <w:right w:w="0" w:type="dxa"/>
        <w:bottom w:w="0" w:type="dxa"/>
      </w:tblCellMar>
    </w:tblPr>
  </w:style>
  <w:style w:type="table" w:styleId="1044" w:customStyle="1">
    <w:name w:val="List Table 7 Colorful - Accent 2"/>
    <w:uiPriority w:val="99"/>
    <w:qFormat/>
    <w:tblPr>
      <w:tblCellMar>
        <w:left w:w="0" w:type="dxa"/>
        <w:top w:w="0" w:type="dxa"/>
        <w:right w:w="0" w:type="dxa"/>
        <w:bottom w:w="0" w:type="dxa"/>
      </w:tblCellMar>
    </w:tblPr>
  </w:style>
  <w:style w:type="table" w:styleId="1045" w:customStyle="1">
    <w:name w:val="List Table 7 Colorful - Accent 3"/>
    <w:uiPriority w:val="99"/>
    <w:qFormat/>
    <w:tblPr>
      <w:tblCellMar>
        <w:left w:w="0" w:type="dxa"/>
        <w:top w:w="0" w:type="dxa"/>
        <w:right w:w="0" w:type="dxa"/>
        <w:bottom w:w="0" w:type="dxa"/>
      </w:tblCellMar>
    </w:tblPr>
  </w:style>
  <w:style w:type="table" w:styleId="1046" w:customStyle="1">
    <w:name w:val="List Table 7 Colorful - Accent 4"/>
    <w:uiPriority w:val="99"/>
    <w:qFormat/>
    <w:tblPr>
      <w:tblCellMar>
        <w:left w:w="0" w:type="dxa"/>
        <w:top w:w="0" w:type="dxa"/>
        <w:right w:w="0" w:type="dxa"/>
        <w:bottom w:w="0" w:type="dxa"/>
      </w:tblCellMar>
    </w:tblPr>
  </w:style>
  <w:style w:type="table" w:styleId="1047" w:customStyle="1">
    <w:name w:val="List Table 7 Colorful - Accent 5"/>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Bordered &amp; Lined - Accent 1"/>
    <w:uiPriority w:val="99"/>
    <w:qFormat/>
    <w:rPr>
      <w:color w:val="404040"/>
    </w:rPr>
    <w:tblPr>
      <w:tblCellMar>
        <w:left w:w="0" w:type="dxa"/>
        <w:top w:w="0" w:type="dxa"/>
        <w:right w:w="0" w:type="dxa"/>
        <w:bottom w:w="0" w:type="dxa"/>
      </w:tblCellMar>
    </w:tblPr>
  </w:style>
  <w:style w:type="table" w:styleId="1058" w:customStyle="1">
    <w:name w:val="Bordered &amp; Lined - Accent 2"/>
    <w:uiPriority w:val="99"/>
    <w:qFormat/>
    <w:rPr>
      <w:color w:val="404040"/>
    </w:rPr>
    <w:tblPr>
      <w:tblCellMar>
        <w:left w:w="0" w:type="dxa"/>
        <w:top w:w="0" w:type="dxa"/>
        <w:right w:w="0" w:type="dxa"/>
        <w:bottom w:w="0" w:type="dxa"/>
      </w:tblCellMar>
    </w:tblPr>
  </w:style>
  <w:style w:type="table" w:styleId="1059" w:customStyle="1">
    <w:name w:val="Bordered &amp; Lined - Accent 3"/>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Bordered &amp; Lined - Accent 5"/>
    <w:uiPriority w:val="99"/>
    <w:qFormat/>
    <w:rPr>
      <w:color w:val="404040"/>
    </w:rPr>
    <w:tblPr>
      <w:tblCellMar>
        <w:left w:w="0" w:type="dxa"/>
        <w:top w:w="0" w:type="dxa"/>
        <w:right w:w="0" w:type="dxa"/>
        <w:bottom w:w="0" w:type="dxa"/>
      </w:tblCellMar>
    </w:tblPr>
  </w:style>
  <w:style w:type="table" w:styleId="1062" w:customStyle="1">
    <w:name w:val="Bordered &amp; Lined - Accent 6"/>
    <w:uiPriority w:val="99"/>
    <w:qFormat/>
    <w:rPr>
      <w:color w:val="404040"/>
    </w:rPr>
    <w:tblPr>
      <w:tblCellMar>
        <w:left w:w="0" w:type="dxa"/>
        <w:top w:w="0" w:type="dxa"/>
        <w:right w:w="0" w:type="dxa"/>
        <w:bottom w:w="0" w:type="dxa"/>
      </w:tblCellMar>
    </w:tblPr>
  </w:style>
  <w:style w:type="table" w:styleId="1063" w:customStyle="1">
    <w:name w:val="Bordered"/>
    <w:uiPriority w:val="99"/>
    <w:qFormat/>
    <w:tblPr>
      <w:tblCellMar>
        <w:left w:w="0" w:type="dxa"/>
        <w:top w:w="0" w:type="dxa"/>
        <w:right w:w="0" w:type="dxa"/>
        <w:bottom w:w="0" w:type="dxa"/>
      </w:tblCellMar>
    </w:tblPr>
  </w:style>
  <w:style w:type="table" w:styleId="1064" w:customStyle="1">
    <w:name w:val="Bordered - Accent 1"/>
    <w:uiPriority w:val="99"/>
    <w:qFormat/>
    <w:tblPr>
      <w:tblCellMar>
        <w:left w:w="0" w:type="dxa"/>
        <w:top w:w="0" w:type="dxa"/>
        <w:right w:w="0" w:type="dxa"/>
        <w:bottom w:w="0" w:type="dxa"/>
      </w:tblCellMar>
    </w:tblPr>
  </w:style>
  <w:style w:type="table" w:styleId="1065" w:customStyle="1">
    <w:name w:val="Bordered - Accent 2"/>
    <w:uiPriority w:val="99"/>
    <w:qFormat/>
    <w:tblPr>
      <w:tblCellMar>
        <w:left w:w="0" w:type="dxa"/>
        <w:top w:w="0" w:type="dxa"/>
        <w:right w:w="0" w:type="dxa"/>
        <w:bottom w:w="0" w:type="dxa"/>
      </w:tblCellMar>
    </w:tblPr>
  </w:style>
  <w:style w:type="table" w:styleId="1066" w:customStyle="1">
    <w:name w:val="Bordered - Accent 3"/>
    <w:uiPriority w:val="99"/>
    <w:qFormat/>
    <w:tblPr>
      <w:tblCellMar>
        <w:left w:w="0" w:type="dxa"/>
        <w:top w:w="0" w:type="dxa"/>
        <w:right w:w="0" w:type="dxa"/>
        <w:bottom w:w="0" w:type="dxa"/>
      </w:tblCellMar>
    </w:tblPr>
  </w:style>
  <w:style w:type="table" w:styleId="1067" w:customStyle="1">
    <w:name w:val="Bordered - Accent 4"/>
    <w:uiPriority w:val="99"/>
    <w:qFormat/>
    <w:tblPr>
      <w:tblCellMar>
        <w:left w:w="0" w:type="dxa"/>
        <w:top w:w="0" w:type="dxa"/>
        <w:right w:w="0" w:type="dxa"/>
        <w:bottom w:w="0" w:type="dxa"/>
      </w:tblCellMar>
    </w:tblPr>
  </w:style>
  <w:style w:type="table" w:styleId="1068" w:customStyle="1">
    <w:name w:val="Bordered - Accent 5"/>
    <w:uiPriority w:val="99"/>
    <w:qFormat/>
    <w:tblPr>
      <w:tblCellMar>
        <w:left w:w="0" w:type="dxa"/>
        <w:top w:w="0" w:type="dxa"/>
        <w:right w:w="0" w:type="dxa"/>
        <w:bottom w:w="0" w:type="dxa"/>
      </w:tblCellMar>
    </w:tblPr>
  </w:style>
  <w:style w:type="table" w:styleId="1069" w:customStyle="1">
    <w:name w:val="Bordered - Accent 6"/>
    <w:uiPriority w:val="99"/>
    <w:qFormat/>
    <w:tblPr>
      <w:tblCellMar>
        <w:left w:w="0" w:type="dxa"/>
        <w:top w:w="0" w:type="dxa"/>
        <w:right w:w="0" w:type="dxa"/>
        <w:bottom w:w="0" w:type="dxa"/>
      </w:tblCellMar>
    </w:tblPr>
  </w:style>
  <w:style w:type="paragraph" w:styleId="1070" w:customStyle="1">
    <w:name w:val="标题 32"/>
    <w:basedOn w:val="827"/>
    <w:next w:val="1071"/>
    <w:link w:val="1072"/>
    <w:qFormat/>
    <w:pPr>
      <w:keepLines/>
      <w:keepNext/>
      <w:spacing w:before="260" w:after="260" w:line="416" w:lineRule="auto"/>
      <w:outlineLvl w:val="2"/>
    </w:pPr>
    <w:rPr>
      <w:b/>
      <w:bCs/>
      <w:sz w:val="32"/>
      <w:szCs w:val="32"/>
    </w:rPr>
  </w:style>
  <w:style w:type="paragraph" w:styleId="1071" w:customStyle="1">
    <w:name w:val="正文缩进2"/>
    <w:basedOn w:val="827"/>
    <w:link w:val="1073"/>
    <w:qFormat/>
    <w:pPr>
      <w:ind w:firstLine="420"/>
    </w:pPr>
    <w:rPr>
      <w:szCs w:val="21"/>
    </w:rPr>
  </w:style>
  <w:style w:type="character" w:styleId="1072" w:customStyle="1">
    <w:name w:val="标题 3 Char"/>
    <w:link w:val="1070"/>
    <w:qFormat/>
    <w:rPr>
      <w:rFonts w:ascii="Times New Roman" w:hAnsi="Times New Roman"/>
      <w:b/>
      <w:bCs/>
      <w:sz w:val="32"/>
      <w:szCs w:val="32"/>
    </w:rPr>
  </w:style>
  <w:style w:type="character" w:styleId="1073" w:customStyle="1">
    <w:name w:val="正文缩进 Char"/>
    <w:link w:val="1071"/>
    <w:qFormat/>
    <w:rPr>
      <w:rFonts w:ascii="Times New Roman" w:hAnsi="Times New Roman"/>
      <w:sz w:val="21"/>
      <w:szCs w:val="21"/>
    </w:rPr>
  </w:style>
  <w:style w:type="paragraph" w:styleId="1074" w:customStyle="1">
    <w:name w:val="标题 41"/>
    <w:basedOn w:val="827"/>
    <w:next w:val="1071"/>
    <w:link w:val="1075"/>
    <w:qFormat/>
    <w:pPr>
      <w:keepLines/>
      <w:keepNext/>
      <w:spacing w:before="280" w:after="290" w:line="376" w:lineRule="auto"/>
      <w:outlineLvl w:val="3"/>
    </w:pPr>
    <w:rPr>
      <w:rFonts w:ascii="Arial" w:hAnsi="Arial" w:eastAsia="黑体" w:cs="Arial"/>
      <w:b/>
      <w:bCs/>
      <w:sz w:val="28"/>
      <w:szCs w:val="28"/>
    </w:rPr>
  </w:style>
  <w:style w:type="character" w:styleId="1075" w:customStyle="1">
    <w:name w:val="标题 4 Char"/>
    <w:link w:val="1074"/>
    <w:qFormat/>
    <w:rPr>
      <w:rFonts w:ascii="Arial" w:hAnsi="Arial" w:eastAsia="黑体" w:cs="Arial"/>
      <w:b/>
      <w:bCs/>
      <w:sz w:val="28"/>
      <w:szCs w:val="28"/>
    </w:rPr>
  </w:style>
  <w:style w:type="character" w:styleId="1076" w:customStyle="1">
    <w:name w:val="默认段落字体1"/>
    <w:uiPriority w:val="1"/>
    <w:unhideWhenUsed/>
    <w:qFormat/>
  </w:style>
  <w:style w:type="table" w:styleId="1077" w:customStyle="1">
    <w:name w:val="普通表格1"/>
    <w:uiPriority w:val="99"/>
    <w:unhideWhenUsed/>
    <w:qFormat/>
    <w:tblPr>
      <w:tblCellMar>
        <w:left w:w="0" w:type="dxa"/>
        <w:top w:w="0" w:type="dxa"/>
        <w:right w:w="0" w:type="dxa"/>
        <w:bottom w:w="0" w:type="dxa"/>
      </w:tblCellMar>
    </w:tblPr>
  </w:style>
  <w:style w:type="paragraph" w:styleId="1078" w:customStyle="1">
    <w:name w:val="批注文字1"/>
    <w:basedOn w:val="827"/>
    <w:link w:val="1079"/>
    <w:uiPriority w:val="99"/>
    <w:unhideWhenUsed/>
    <w:qFormat/>
    <w:pPr>
      <w:jc w:val="left"/>
    </w:pPr>
  </w:style>
  <w:style w:type="character" w:styleId="1079" w:customStyle="1">
    <w:name w:val="批注文字 Char"/>
    <w:link w:val="1078"/>
    <w:uiPriority w:val="99"/>
    <w:semiHidden/>
    <w:qFormat/>
  </w:style>
  <w:style w:type="paragraph" w:styleId="1080" w:customStyle="1">
    <w:name w:val="批注框文本1"/>
    <w:basedOn w:val="827"/>
    <w:link w:val="1081"/>
    <w:unhideWhenUsed/>
    <w:qFormat/>
    <w:rPr>
      <w:sz w:val="18"/>
      <w:szCs w:val="18"/>
    </w:rPr>
  </w:style>
  <w:style w:type="character" w:styleId="1081" w:customStyle="1">
    <w:name w:val="批注框文本 Char"/>
    <w:link w:val="1080"/>
    <w:semiHidden/>
    <w:qFormat/>
    <w:rPr>
      <w:sz w:val="18"/>
      <w:szCs w:val="18"/>
    </w:rPr>
  </w:style>
  <w:style w:type="paragraph" w:styleId="1082" w:customStyle="1">
    <w:name w:val="页脚1"/>
    <w:basedOn w:val="827"/>
    <w:uiPriority w:val="99"/>
    <w:unhideWhenUsed/>
    <w:qFormat/>
    <w:pPr>
      <w:jc w:val="left"/>
      <w:tabs>
        <w:tab w:val="center" w:pos="4153" w:leader="none"/>
        <w:tab w:val="right" w:pos="8306" w:leader="none"/>
      </w:tabs>
    </w:pPr>
    <w:rPr>
      <w:sz w:val="18"/>
    </w:rPr>
  </w:style>
  <w:style w:type="paragraph" w:styleId="1083" w:customStyle="1">
    <w:name w:val="页眉1"/>
    <w:basedOn w:val="827"/>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84" w:customStyle="1">
    <w:name w:val="批注主题1"/>
    <w:basedOn w:val="1078"/>
    <w:next w:val="1078"/>
    <w:link w:val="1085"/>
    <w:unhideWhenUsed/>
    <w:qFormat/>
    <w:rPr>
      <w:b/>
      <w:bCs/>
    </w:rPr>
  </w:style>
  <w:style w:type="character" w:styleId="1085" w:customStyle="1">
    <w:name w:val="批注主题 Char"/>
    <w:link w:val="1084"/>
    <w:semiHidden/>
    <w:qFormat/>
    <w:rPr>
      <w:b/>
      <w:bCs/>
    </w:rPr>
  </w:style>
  <w:style w:type="character" w:styleId="1086" w:customStyle="1">
    <w:name w:val="批注引用1"/>
    <w:unhideWhenUsed/>
    <w:qFormat/>
    <w:rPr>
      <w:sz w:val="21"/>
      <w:szCs w:val="21"/>
    </w:rPr>
  </w:style>
  <w:style w:type="paragraph" w:styleId="1087" w:customStyle="1">
    <w:name w:val="标题 31"/>
    <w:basedOn w:val="827"/>
    <w:next w:val="1088"/>
    <w:qFormat/>
    <w:pPr>
      <w:keepLines/>
      <w:keepNext/>
      <w:spacing w:before="260" w:after="260" w:line="416" w:lineRule="auto"/>
      <w:outlineLvl w:val="2"/>
    </w:pPr>
    <w:rPr>
      <w:b/>
      <w:bCs/>
      <w:sz w:val="32"/>
      <w:szCs w:val="32"/>
    </w:rPr>
  </w:style>
  <w:style w:type="paragraph" w:styleId="1088" w:customStyle="1">
    <w:name w:val="正文缩进1"/>
    <w:basedOn w:val="827"/>
    <w:qFormat/>
    <w:pPr>
      <w:ind w:firstLine="420"/>
    </w:pPr>
  </w:style>
  <w:style w:type="paragraph" w:styleId="1089" w:customStyle="1">
    <w:name w:val="无间隔1"/>
    <w:uiPriority w:val="1"/>
    <w:qFormat/>
    <w:pPr>
      <w:jc w:val="both"/>
      <w:widowControl w:val="off"/>
    </w:pPr>
    <w:rPr>
      <w:sz w:val="21"/>
      <w:szCs w:val="21"/>
    </w:rPr>
  </w:style>
  <w:style w:type="paragraph" w:styleId="1090" w:customStyle="1">
    <w:name w:val="普通正文"/>
    <w:basedOn w:val="827"/>
    <w:qFormat/>
    <w:pPr>
      <w:ind w:firstLine="640"/>
      <w:jc w:val="left"/>
      <w:spacing w:before="120" w:after="120" w:line="560" w:lineRule="exact"/>
    </w:pPr>
    <w:rPr>
      <w:rFonts w:ascii="宋体" w:hAnsi="宋体" w:cs="方正仿宋_GBK"/>
      <w:bCs/>
      <w:sz w:val="32"/>
      <w:szCs w:val="32"/>
    </w:rPr>
  </w:style>
  <w:style w:type="table" w:styleId="1091" w:customStyle="1">
    <w:name w:val="网格型1"/>
    <w:uiPriority w:val="59"/>
    <w:qFormat/>
    <w:tblPr>
      <w:tblCellMar>
        <w:left w:w="0" w:type="dxa"/>
        <w:top w:w="0" w:type="dxa"/>
        <w:right w:w="0" w:type="dxa"/>
        <w:bottom w:w="0" w:type="dxa"/>
      </w:tblCellMar>
    </w:tblPr>
  </w:style>
  <w:style w:type="paragraph" w:styleId="1092" w:customStyle="1">
    <w:name w:val="索引 41"/>
    <w:basedOn w:val="827"/>
    <w:next w:val="827"/>
    <w:uiPriority w:val="99"/>
    <w:unhideWhenUsed/>
    <w:qFormat/>
    <w:pPr>
      <w:ind w:left="600"/>
    </w:pPr>
    <w:rPr>
      <w:rFonts w:ascii="宋体"/>
      <w:b/>
      <w:position w:val="-10"/>
      <w:sz w:val="24"/>
      <w:szCs w:val="20"/>
    </w:rPr>
  </w:style>
  <w:style w:type="paragraph" w:styleId="1093" w:customStyle="1">
    <w:name w:val="TOC 标题111"/>
    <w:uiPriority w:val="39"/>
    <w:unhideWhenUsed/>
    <w:qFormat/>
  </w:style>
  <w:style w:type="paragraph" w:styleId="1094" w:customStyle="1">
    <w:name w:val="标题 111"/>
    <w:basedOn w:val="827"/>
    <w:next w:val="827"/>
    <w:link w:val="1095"/>
    <w:qFormat/>
    <w:pPr>
      <w:jc w:val="center"/>
      <w:keepNext/>
      <w:outlineLvl w:val="0"/>
    </w:pPr>
    <w:rPr>
      <w:rFonts w:ascii="楷体_GB2312" w:eastAsia="楷体_GB2312"/>
      <w:sz w:val="28"/>
      <w:szCs w:val="28"/>
      <w:lang w:eastAsia="en-US"/>
    </w:rPr>
  </w:style>
  <w:style w:type="character" w:styleId="1095" w:customStyle="1">
    <w:name w:val="标题 1 Char"/>
    <w:link w:val="1094"/>
    <w:qFormat/>
    <w:rPr>
      <w:rFonts w:ascii="楷体_GB2312" w:hAnsi="Times New Roman" w:eastAsia="楷体_GB2312"/>
      <w:sz w:val="28"/>
      <w:szCs w:val="28"/>
      <w:lang w:eastAsia="en-US"/>
    </w:rPr>
  </w:style>
  <w:style w:type="paragraph" w:styleId="1096" w:customStyle="1">
    <w:name w:val="标题 211"/>
    <w:basedOn w:val="827"/>
    <w:next w:val="1097"/>
    <w:link w:val="1098"/>
    <w:qFormat/>
    <w:pPr>
      <w:jc w:val="center"/>
      <w:keepLines/>
      <w:keepNext/>
      <w:spacing w:before="260" w:after="260" w:line="416" w:lineRule="auto"/>
      <w:outlineLvl w:val="1"/>
    </w:pPr>
    <w:rPr>
      <w:rFonts w:ascii="Arial" w:hAnsi="Arial" w:eastAsia="幼圆"/>
      <w:b/>
      <w:bCs/>
      <w:sz w:val="44"/>
      <w:szCs w:val="44"/>
      <w:lang w:eastAsia="en-US"/>
    </w:rPr>
  </w:style>
  <w:style w:type="paragraph" w:styleId="1097" w:customStyle="1">
    <w:name w:val="正文缩进11"/>
    <w:basedOn w:val="827"/>
    <w:qFormat/>
    <w:pPr>
      <w:ind w:firstLine="420"/>
    </w:pPr>
    <w:rPr>
      <w:sz w:val="20"/>
      <w:szCs w:val="21"/>
      <w:lang w:eastAsia="en-US"/>
    </w:rPr>
  </w:style>
  <w:style w:type="character" w:styleId="1098" w:customStyle="1">
    <w:name w:val="标题 2 Char"/>
    <w:link w:val="1096"/>
    <w:qFormat/>
    <w:rPr>
      <w:rFonts w:ascii="Arial" w:hAnsi="Arial" w:eastAsia="幼圆"/>
      <w:b/>
      <w:bCs/>
      <w:sz w:val="44"/>
      <w:szCs w:val="44"/>
      <w:lang w:eastAsia="en-US"/>
    </w:rPr>
  </w:style>
  <w:style w:type="paragraph" w:styleId="1099" w:customStyle="1">
    <w:name w:val="标题 311"/>
    <w:basedOn w:val="827"/>
    <w:next w:val="1097"/>
    <w:qFormat/>
    <w:pPr>
      <w:keepLines/>
      <w:keepNext/>
      <w:spacing w:before="260" w:after="260" w:line="416" w:lineRule="auto"/>
      <w:outlineLvl w:val="2"/>
    </w:pPr>
    <w:rPr>
      <w:b/>
      <w:bCs/>
      <w:sz w:val="32"/>
      <w:szCs w:val="32"/>
      <w:lang w:eastAsia="en-US"/>
    </w:rPr>
  </w:style>
  <w:style w:type="paragraph" w:styleId="1100" w:customStyle="1">
    <w:name w:val="标题 411"/>
    <w:basedOn w:val="827"/>
    <w:next w:val="1097"/>
    <w:qFormat/>
    <w:pPr>
      <w:keepLines/>
      <w:keepNext/>
      <w:spacing w:before="280" w:after="290" w:line="376" w:lineRule="auto"/>
      <w:outlineLvl w:val="3"/>
    </w:pPr>
    <w:rPr>
      <w:rFonts w:ascii="Arial" w:hAnsi="Arial" w:eastAsia="黑体"/>
      <w:b/>
      <w:bCs/>
      <w:sz w:val="28"/>
      <w:szCs w:val="28"/>
      <w:lang w:eastAsia="en-US"/>
    </w:rPr>
  </w:style>
  <w:style w:type="paragraph" w:styleId="1101" w:customStyle="1">
    <w:name w:val="标题 511"/>
    <w:basedOn w:val="827"/>
    <w:next w:val="1097"/>
    <w:link w:val="1102"/>
    <w:qFormat/>
    <w:pPr>
      <w:keepNext/>
      <w:outlineLvl w:val="4"/>
    </w:pPr>
    <w:rPr>
      <w:rFonts w:ascii="宋体"/>
      <w:color w:val="000000"/>
      <w:sz w:val="28"/>
      <w:szCs w:val="28"/>
      <w:lang w:eastAsia="en-US"/>
    </w:rPr>
  </w:style>
  <w:style w:type="character" w:styleId="1102" w:customStyle="1">
    <w:name w:val="标题 5 Char"/>
    <w:link w:val="1101"/>
    <w:qFormat/>
    <w:rPr>
      <w:rFonts w:ascii="宋体" w:hAnsi="Times New Roman"/>
      <w:color w:val="000000"/>
      <w:sz w:val="28"/>
      <w:szCs w:val="28"/>
      <w:lang w:eastAsia="en-US"/>
    </w:rPr>
  </w:style>
  <w:style w:type="paragraph" w:styleId="1103" w:customStyle="1">
    <w:name w:val="标题 611"/>
    <w:basedOn w:val="827"/>
    <w:next w:val="827"/>
    <w:link w:val="1104"/>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104" w:customStyle="1">
    <w:name w:val="标题 6 Char"/>
    <w:link w:val="1103"/>
    <w:qFormat/>
    <w:rPr>
      <w:rFonts w:ascii="Arial" w:hAnsi="Arial" w:eastAsia="黑体"/>
      <w:b/>
      <w:bCs/>
      <w:sz w:val="24"/>
      <w:szCs w:val="24"/>
      <w:lang w:eastAsia="en-US"/>
    </w:rPr>
  </w:style>
  <w:style w:type="paragraph" w:styleId="1105" w:customStyle="1">
    <w:name w:val="标题 711"/>
    <w:basedOn w:val="827"/>
    <w:next w:val="827"/>
    <w:link w:val="1106"/>
    <w:qFormat/>
    <w:pPr>
      <w:numPr>
        <w:ilvl w:val="6"/>
        <w:numId w:val="1"/>
      </w:numPr>
      <w:keepLines/>
      <w:keepNext/>
      <w:spacing w:before="240" w:after="64" w:line="320" w:lineRule="auto"/>
      <w:outlineLvl w:val="6"/>
    </w:pPr>
    <w:rPr>
      <w:b/>
      <w:bCs/>
      <w:sz w:val="24"/>
      <w:szCs w:val="24"/>
      <w:lang w:eastAsia="en-US"/>
    </w:rPr>
  </w:style>
  <w:style w:type="character" w:styleId="1106" w:customStyle="1">
    <w:name w:val="标题 7 Char"/>
    <w:link w:val="1105"/>
    <w:qFormat/>
    <w:rPr>
      <w:rFonts w:ascii="Times New Roman" w:hAnsi="Times New Roman"/>
      <w:b/>
      <w:bCs/>
      <w:sz w:val="24"/>
      <w:szCs w:val="24"/>
      <w:lang w:eastAsia="en-US"/>
    </w:rPr>
  </w:style>
  <w:style w:type="paragraph" w:styleId="1107" w:customStyle="1">
    <w:name w:val="标题 811"/>
    <w:basedOn w:val="827"/>
    <w:next w:val="827"/>
    <w:link w:val="1108"/>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108" w:customStyle="1">
    <w:name w:val="标题 8 Char"/>
    <w:link w:val="1107"/>
    <w:qFormat/>
    <w:rPr>
      <w:rFonts w:ascii="Arial" w:hAnsi="Arial" w:eastAsia="黑体"/>
      <w:sz w:val="24"/>
      <w:szCs w:val="24"/>
      <w:lang w:eastAsia="en-US"/>
    </w:rPr>
  </w:style>
  <w:style w:type="paragraph" w:styleId="1109" w:customStyle="1">
    <w:name w:val="标题 911"/>
    <w:basedOn w:val="827"/>
    <w:next w:val="827"/>
    <w:link w:val="111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110" w:customStyle="1">
    <w:name w:val="标题 9 Char"/>
    <w:link w:val="1109"/>
    <w:qFormat/>
    <w:rPr>
      <w:rFonts w:ascii="Arial" w:hAnsi="Arial" w:eastAsia="黑体"/>
      <w:szCs w:val="21"/>
      <w:lang w:eastAsia="en-US"/>
    </w:rPr>
  </w:style>
  <w:style w:type="character" w:styleId="1111" w:customStyle="1">
    <w:name w:val="默认段落字体11"/>
    <w:uiPriority w:val="1"/>
    <w:unhideWhenUsed/>
    <w:qFormat/>
  </w:style>
  <w:style w:type="table" w:styleId="1112" w:customStyle="1">
    <w:name w:val="普通表格11"/>
    <w:uiPriority w:val="99"/>
    <w:unhideWhenUsed/>
    <w:qFormat/>
    <w:tblPr>
      <w:tblCellMar>
        <w:left w:w="0" w:type="dxa"/>
        <w:top w:w="0" w:type="dxa"/>
        <w:right w:w="0" w:type="dxa"/>
        <w:bottom w:w="0" w:type="dxa"/>
      </w:tblCellMar>
    </w:tblPr>
  </w:style>
  <w:style w:type="paragraph" w:styleId="1113" w:customStyle="1">
    <w:name w:val="列表 311"/>
    <w:basedOn w:val="827"/>
    <w:qFormat/>
    <w:pPr>
      <w:ind w:left="100" w:hanging="200"/>
    </w:pPr>
    <w:rPr>
      <w:szCs w:val="21"/>
    </w:rPr>
  </w:style>
  <w:style w:type="paragraph" w:styleId="1114" w:customStyle="1">
    <w:name w:val="目录 71"/>
    <w:basedOn w:val="827"/>
    <w:next w:val="827"/>
    <w:uiPriority w:val="39"/>
    <w:qFormat/>
    <w:pPr>
      <w:ind w:left="1260"/>
      <w:jc w:val="left"/>
    </w:pPr>
    <w:rPr>
      <w:szCs w:val="21"/>
    </w:rPr>
  </w:style>
  <w:style w:type="paragraph" w:styleId="1115" w:customStyle="1">
    <w:name w:val="文档结构图11"/>
    <w:basedOn w:val="827"/>
    <w:link w:val="1116"/>
    <w:semiHidden/>
    <w:qFormat/>
    <w:pPr>
      <w:shd w:val="clear" w:color="auto" w:fill="000080"/>
    </w:pPr>
    <w:rPr>
      <w:sz w:val="20"/>
      <w:szCs w:val="21"/>
      <w:lang w:eastAsia="en-US"/>
    </w:rPr>
  </w:style>
  <w:style w:type="character" w:styleId="1116" w:customStyle="1">
    <w:name w:val="文档结构图 Char"/>
    <w:link w:val="1115"/>
    <w:semiHidden/>
    <w:qFormat/>
    <w:rPr>
      <w:rFonts w:ascii="Times New Roman" w:hAnsi="Times New Roman"/>
      <w:szCs w:val="21"/>
      <w:shd w:val="clear" w:color="auto" w:fill="000080"/>
      <w:lang w:eastAsia="en-US"/>
    </w:rPr>
  </w:style>
  <w:style w:type="paragraph" w:styleId="1117" w:customStyle="1">
    <w:name w:val="批注文字11"/>
    <w:basedOn w:val="827"/>
    <w:uiPriority w:val="99"/>
    <w:unhideWhenUsed/>
    <w:qFormat/>
    <w:pPr>
      <w:jc w:val="left"/>
    </w:pPr>
  </w:style>
  <w:style w:type="paragraph" w:styleId="1118" w:customStyle="1">
    <w:name w:val="正文文本 311"/>
    <w:basedOn w:val="827"/>
    <w:link w:val="1119"/>
    <w:qFormat/>
    <w:rPr>
      <w:rFonts w:ascii="仿宋_GB2312" w:hAnsi="Arial" w:eastAsia="仿宋_GB2312"/>
      <w:sz w:val="32"/>
      <w:szCs w:val="32"/>
      <w:lang w:eastAsia="en-US"/>
    </w:rPr>
  </w:style>
  <w:style w:type="character" w:styleId="1119" w:customStyle="1">
    <w:name w:val="正文文本 3 Char"/>
    <w:link w:val="1118"/>
    <w:qFormat/>
    <w:rPr>
      <w:rFonts w:ascii="仿宋_GB2312" w:hAnsi="Arial" w:eastAsia="仿宋_GB2312"/>
      <w:sz w:val="32"/>
      <w:szCs w:val="32"/>
      <w:lang w:eastAsia="en-US"/>
    </w:rPr>
  </w:style>
  <w:style w:type="paragraph" w:styleId="1120" w:customStyle="1">
    <w:name w:val="正文文本11"/>
    <w:basedOn w:val="827"/>
    <w:link w:val="1121"/>
    <w:qFormat/>
    <w:rPr>
      <w:rFonts w:ascii="楷体_GB2312" w:hAnsi="Arial" w:eastAsia="楷体_GB2312"/>
      <w:sz w:val="28"/>
      <w:szCs w:val="28"/>
      <w:lang w:eastAsia="en-US"/>
    </w:rPr>
  </w:style>
  <w:style w:type="character" w:styleId="1121" w:customStyle="1">
    <w:name w:val="正文文本 Char"/>
    <w:link w:val="1120"/>
    <w:qFormat/>
    <w:rPr>
      <w:rFonts w:ascii="楷体_GB2312" w:hAnsi="Arial" w:eastAsia="楷体_GB2312"/>
      <w:sz w:val="28"/>
      <w:szCs w:val="28"/>
      <w:lang w:eastAsia="en-US"/>
    </w:rPr>
  </w:style>
  <w:style w:type="paragraph" w:styleId="1122" w:customStyle="1">
    <w:name w:val="正文文本缩进11"/>
    <w:basedOn w:val="827"/>
    <w:link w:val="1123"/>
    <w:uiPriority w:val="99"/>
    <w:unhideWhenUsed/>
    <w:qFormat/>
    <w:pPr>
      <w:ind w:left="420"/>
      <w:spacing w:after="120"/>
    </w:pPr>
  </w:style>
  <w:style w:type="character" w:styleId="1123" w:customStyle="1">
    <w:name w:val="正文文本缩进 Char"/>
    <w:link w:val="1122"/>
    <w:qFormat/>
    <w:rPr>
      <w:sz w:val="21"/>
      <w:szCs w:val="22"/>
    </w:rPr>
  </w:style>
  <w:style w:type="paragraph" w:styleId="1124" w:customStyle="1">
    <w:name w:val="列表 211"/>
    <w:basedOn w:val="827"/>
    <w:qFormat/>
    <w:pPr>
      <w:ind w:left="100" w:hanging="200"/>
    </w:pPr>
    <w:rPr>
      <w:szCs w:val="21"/>
    </w:rPr>
  </w:style>
  <w:style w:type="paragraph" w:styleId="1125" w:customStyle="1">
    <w:name w:val="目录 51"/>
    <w:basedOn w:val="827"/>
    <w:next w:val="827"/>
    <w:uiPriority w:val="39"/>
    <w:qFormat/>
    <w:pPr>
      <w:ind w:left="840"/>
      <w:jc w:val="left"/>
    </w:pPr>
    <w:rPr>
      <w:szCs w:val="21"/>
    </w:rPr>
  </w:style>
  <w:style w:type="paragraph" w:styleId="1126" w:customStyle="1">
    <w:name w:val="目录 31"/>
    <w:basedOn w:val="827"/>
    <w:next w:val="827"/>
    <w:uiPriority w:val="39"/>
    <w:qFormat/>
    <w:pPr>
      <w:ind w:left="420"/>
      <w:jc w:val="left"/>
    </w:pPr>
    <w:rPr>
      <w:i/>
      <w:iCs/>
      <w:szCs w:val="24"/>
    </w:rPr>
  </w:style>
  <w:style w:type="paragraph" w:styleId="1127" w:customStyle="1">
    <w:name w:val="纯文本11"/>
    <w:basedOn w:val="827"/>
    <w:link w:val="1128"/>
    <w:qFormat/>
    <w:rPr>
      <w:rFonts w:ascii="宋体" w:hAnsi="Courier New"/>
      <w:sz w:val="20"/>
      <w:szCs w:val="21"/>
      <w:lang w:eastAsia="en-US"/>
    </w:rPr>
  </w:style>
  <w:style w:type="character" w:styleId="1128" w:customStyle="1">
    <w:name w:val="纯文本 Char"/>
    <w:link w:val="1127"/>
    <w:qFormat/>
    <w:rPr>
      <w:rFonts w:ascii="宋体" w:hAnsi="Courier New"/>
      <w:szCs w:val="21"/>
      <w:lang w:eastAsia="en-US"/>
    </w:rPr>
  </w:style>
  <w:style w:type="paragraph" w:styleId="1129" w:customStyle="1">
    <w:name w:val="目录 81"/>
    <w:basedOn w:val="827"/>
    <w:next w:val="827"/>
    <w:uiPriority w:val="39"/>
    <w:qFormat/>
    <w:pPr>
      <w:ind w:left="1470"/>
      <w:jc w:val="left"/>
    </w:pPr>
    <w:rPr>
      <w:szCs w:val="21"/>
    </w:rPr>
  </w:style>
  <w:style w:type="paragraph" w:styleId="1130" w:customStyle="1">
    <w:name w:val="日期11"/>
    <w:basedOn w:val="827"/>
    <w:next w:val="827"/>
    <w:link w:val="1131"/>
    <w:qFormat/>
    <w:rPr>
      <w:sz w:val="24"/>
      <w:szCs w:val="24"/>
      <w:lang w:eastAsia="en-US"/>
    </w:rPr>
  </w:style>
  <w:style w:type="character" w:styleId="1131" w:customStyle="1">
    <w:name w:val="日期 Char"/>
    <w:link w:val="1130"/>
    <w:qFormat/>
    <w:rPr>
      <w:rFonts w:ascii="Times New Roman" w:hAnsi="Times New Roman"/>
      <w:sz w:val="24"/>
      <w:szCs w:val="24"/>
      <w:lang w:eastAsia="en-US"/>
    </w:rPr>
  </w:style>
  <w:style w:type="paragraph" w:styleId="1132" w:customStyle="1">
    <w:name w:val="正文文本缩进 211"/>
    <w:basedOn w:val="827"/>
    <w:link w:val="1133"/>
    <w:qFormat/>
    <w:pPr>
      <w:ind w:left="630" w:firstLine="645"/>
    </w:pPr>
    <w:rPr>
      <w:rFonts w:ascii="Arial" w:hAnsi="Arial" w:eastAsia="仿宋_GB2312"/>
      <w:sz w:val="32"/>
      <w:szCs w:val="32"/>
      <w:lang w:eastAsia="en-US"/>
    </w:rPr>
  </w:style>
  <w:style w:type="character" w:styleId="1133" w:customStyle="1">
    <w:name w:val="正文文本缩进 2 Char"/>
    <w:link w:val="1132"/>
    <w:qFormat/>
    <w:rPr>
      <w:rFonts w:ascii="Arial" w:hAnsi="Arial" w:eastAsia="仿宋_GB2312"/>
      <w:sz w:val="32"/>
      <w:szCs w:val="32"/>
      <w:lang w:eastAsia="en-US"/>
    </w:rPr>
  </w:style>
  <w:style w:type="paragraph" w:styleId="1134" w:customStyle="1">
    <w:name w:val="页脚11"/>
    <w:basedOn w:val="827"/>
    <w:link w:val="1135"/>
    <w:uiPriority w:val="99"/>
    <w:qFormat/>
    <w:pPr>
      <w:jc w:val="left"/>
      <w:tabs>
        <w:tab w:val="center" w:pos="4153" w:leader="none"/>
        <w:tab w:val="right" w:pos="8306" w:leader="none"/>
      </w:tabs>
    </w:pPr>
    <w:rPr>
      <w:sz w:val="18"/>
      <w:szCs w:val="18"/>
      <w:lang w:eastAsia="en-US"/>
    </w:rPr>
  </w:style>
  <w:style w:type="character" w:styleId="1135" w:customStyle="1">
    <w:name w:val="页脚 Char"/>
    <w:link w:val="1134"/>
    <w:uiPriority w:val="99"/>
    <w:qFormat/>
    <w:rPr>
      <w:rFonts w:ascii="Times New Roman" w:hAnsi="Times New Roman"/>
      <w:sz w:val="18"/>
      <w:szCs w:val="18"/>
      <w:lang w:eastAsia="en-US"/>
    </w:rPr>
  </w:style>
  <w:style w:type="paragraph" w:styleId="1136" w:customStyle="1">
    <w:name w:val="页眉11"/>
    <w:basedOn w:val="827"/>
    <w:link w:val="1137"/>
    <w:qFormat/>
    <w:pPr>
      <w:jc w:val="center"/>
      <w:tabs>
        <w:tab w:val="center" w:pos="4153" w:leader="none"/>
        <w:tab w:val="right" w:pos="8306" w:leader="none"/>
      </w:tabs>
      <w:pBdr>
        <w:bottom w:val="single" w:color="000000" w:sz="6" w:space="1"/>
      </w:pBdr>
    </w:pPr>
    <w:rPr>
      <w:sz w:val="18"/>
      <w:szCs w:val="18"/>
      <w:lang w:eastAsia="en-US"/>
    </w:rPr>
  </w:style>
  <w:style w:type="character" w:styleId="1137" w:customStyle="1">
    <w:name w:val="页眉 Char"/>
    <w:link w:val="1136"/>
    <w:qFormat/>
    <w:rPr>
      <w:rFonts w:ascii="Times New Roman" w:hAnsi="Times New Roman"/>
      <w:sz w:val="18"/>
      <w:szCs w:val="18"/>
      <w:lang w:eastAsia="en-US"/>
    </w:rPr>
  </w:style>
  <w:style w:type="paragraph" w:styleId="1138" w:customStyle="1">
    <w:name w:val="目录 11"/>
    <w:basedOn w:val="827"/>
    <w:next w:val="827"/>
    <w:uiPriority w:val="39"/>
    <w:qFormat/>
    <w:pPr>
      <w:jc w:val="left"/>
      <w:spacing w:before="120" w:after="120" w:line="400" w:lineRule="exact"/>
      <w:tabs>
        <w:tab w:val="right" w:pos="8720" w:leader="dot"/>
      </w:tabs>
    </w:pPr>
    <w:rPr>
      <w:rFonts w:ascii="宋体" w:hAnsi="宋体"/>
      <w:caps/>
      <w:sz w:val="24"/>
      <w:szCs w:val="24"/>
    </w:rPr>
  </w:style>
  <w:style w:type="paragraph" w:styleId="1139" w:customStyle="1">
    <w:name w:val="目录 41"/>
    <w:basedOn w:val="827"/>
    <w:next w:val="827"/>
    <w:uiPriority w:val="39"/>
    <w:qFormat/>
    <w:pPr>
      <w:ind w:left="630"/>
      <w:jc w:val="left"/>
    </w:pPr>
    <w:rPr>
      <w:szCs w:val="21"/>
    </w:rPr>
  </w:style>
  <w:style w:type="paragraph" w:styleId="1140" w:customStyle="1">
    <w:name w:val="列表11"/>
    <w:basedOn w:val="827"/>
    <w:qFormat/>
    <w:pPr>
      <w:ind w:left="200" w:hanging="200"/>
    </w:pPr>
    <w:rPr>
      <w:szCs w:val="21"/>
    </w:rPr>
  </w:style>
  <w:style w:type="paragraph" w:styleId="1141" w:customStyle="1">
    <w:name w:val="目录 61"/>
    <w:basedOn w:val="827"/>
    <w:next w:val="827"/>
    <w:uiPriority w:val="39"/>
    <w:qFormat/>
    <w:pPr>
      <w:ind w:left="1050"/>
      <w:jc w:val="left"/>
    </w:pPr>
    <w:rPr>
      <w:szCs w:val="21"/>
    </w:rPr>
  </w:style>
  <w:style w:type="paragraph" w:styleId="1142" w:customStyle="1">
    <w:name w:val="正文文本缩进 311"/>
    <w:basedOn w:val="827"/>
    <w:link w:val="1143"/>
    <w:qFormat/>
    <w:pPr>
      <w:ind w:left="645" w:firstLine="645"/>
    </w:pPr>
    <w:rPr>
      <w:rFonts w:ascii="Arial" w:hAnsi="Arial" w:eastAsia="仿宋_GB2312"/>
      <w:color w:val="ffff00"/>
      <w:sz w:val="32"/>
      <w:szCs w:val="32"/>
      <w:lang w:eastAsia="en-US"/>
    </w:rPr>
  </w:style>
  <w:style w:type="character" w:styleId="1143" w:customStyle="1">
    <w:name w:val="正文文本缩进 3 Char"/>
    <w:link w:val="1142"/>
    <w:qFormat/>
    <w:rPr>
      <w:rFonts w:ascii="Arial" w:hAnsi="Arial" w:eastAsia="仿宋_GB2312"/>
      <w:color w:val="ffff00"/>
      <w:sz w:val="32"/>
      <w:szCs w:val="32"/>
      <w:lang w:eastAsia="en-US"/>
    </w:rPr>
  </w:style>
  <w:style w:type="paragraph" w:styleId="1144" w:customStyle="1">
    <w:name w:val="图表目录1"/>
    <w:basedOn w:val="827"/>
    <w:next w:val="827"/>
    <w:uiPriority w:val="99"/>
    <w:qFormat/>
    <w:pPr>
      <w:ind w:left="840" w:hanging="420"/>
    </w:pPr>
    <w:rPr>
      <w:szCs w:val="21"/>
    </w:rPr>
  </w:style>
  <w:style w:type="paragraph" w:styleId="1145" w:customStyle="1">
    <w:name w:val="目录 21"/>
    <w:basedOn w:val="827"/>
    <w:next w:val="827"/>
    <w:uiPriority w:val="39"/>
    <w:qFormat/>
    <w:pPr>
      <w:ind w:left="210"/>
      <w:jc w:val="left"/>
    </w:pPr>
    <w:rPr>
      <w:smallCaps/>
      <w:szCs w:val="24"/>
    </w:rPr>
  </w:style>
  <w:style w:type="paragraph" w:styleId="1146" w:customStyle="1">
    <w:name w:val="目录 91"/>
    <w:basedOn w:val="827"/>
    <w:next w:val="827"/>
    <w:uiPriority w:val="39"/>
    <w:qFormat/>
    <w:pPr>
      <w:ind w:left="1680"/>
      <w:jc w:val="left"/>
    </w:pPr>
    <w:rPr>
      <w:szCs w:val="21"/>
    </w:rPr>
  </w:style>
  <w:style w:type="paragraph" w:styleId="1147" w:customStyle="1">
    <w:name w:val="正文文本 211"/>
    <w:basedOn w:val="827"/>
    <w:link w:val="1148"/>
    <w:qFormat/>
    <w:pPr>
      <w:jc w:val="center"/>
      <w:widowControl/>
    </w:pPr>
    <w:rPr>
      <w:rFonts w:ascii="楷体_GB2312" w:eastAsia="楷体_GB2312"/>
      <w:sz w:val="28"/>
      <w:szCs w:val="28"/>
      <w:lang w:eastAsia="en-US"/>
    </w:rPr>
  </w:style>
  <w:style w:type="character" w:styleId="1148" w:customStyle="1">
    <w:name w:val="正文文本 2 Char"/>
    <w:link w:val="1147"/>
    <w:qFormat/>
    <w:rPr>
      <w:rFonts w:ascii="楷体_GB2312" w:hAnsi="Times New Roman" w:eastAsia="楷体_GB2312"/>
      <w:sz w:val="28"/>
      <w:szCs w:val="28"/>
      <w:lang w:eastAsia="en-US"/>
    </w:rPr>
  </w:style>
  <w:style w:type="paragraph" w:styleId="1149" w:customStyle="1">
    <w:name w:val="普通(网站)11"/>
    <w:basedOn w:val="827"/>
    <w:uiPriority w:val="99"/>
    <w:qFormat/>
    <w:pPr>
      <w:jc w:val="left"/>
      <w:spacing w:before="100" w:beforeAutospacing="1" w:after="100" w:afterAutospacing="1"/>
      <w:widowControl/>
    </w:pPr>
    <w:rPr>
      <w:rFonts w:ascii="宋体" w:hAnsi="宋体" w:cs="宋体"/>
      <w:sz w:val="24"/>
      <w:szCs w:val="24"/>
    </w:rPr>
  </w:style>
  <w:style w:type="paragraph" w:styleId="1150" w:customStyle="1">
    <w:name w:val="索引 11"/>
    <w:basedOn w:val="827"/>
    <w:next w:val="827"/>
    <w:semiHidden/>
    <w:qFormat/>
    <w:pPr>
      <w:spacing w:line="240" w:lineRule="atLeast"/>
    </w:pPr>
    <w:rPr>
      <w:b/>
      <w:bCs/>
      <w:szCs w:val="21"/>
    </w:rPr>
  </w:style>
  <w:style w:type="paragraph" w:styleId="1151" w:customStyle="1">
    <w:name w:val="正文首行缩进11"/>
    <w:basedOn w:val="827"/>
    <w:link w:val="1152"/>
    <w:qFormat/>
    <w:pPr>
      <w:ind w:firstLine="200"/>
      <w:spacing w:line="360" w:lineRule="auto"/>
    </w:pPr>
    <w:rPr>
      <w:rFonts w:ascii="仿宋_GB2312" w:eastAsia="仿宋_GB2312"/>
      <w:sz w:val="30"/>
      <w:szCs w:val="30"/>
      <w:lang w:eastAsia="en-US"/>
    </w:rPr>
  </w:style>
  <w:style w:type="character" w:styleId="1152" w:customStyle="1">
    <w:name w:val="正文首行缩进 Char"/>
    <w:link w:val="1151"/>
    <w:qFormat/>
    <w:rPr>
      <w:rFonts w:ascii="仿宋_GB2312" w:hAnsi="Times New Roman" w:eastAsia="仿宋_GB2312"/>
      <w:sz w:val="30"/>
      <w:szCs w:val="30"/>
      <w:lang w:eastAsia="en-US"/>
    </w:rPr>
  </w:style>
  <w:style w:type="paragraph" w:styleId="1153" w:customStyle="1">
    <w:name w:val="正文首行缩进 211"/>
    <w:basedOn w:val="1122"/>
    <w:link w:val="1154"/>
    <w:qFormat/>
    <w:pPr>
      <w:ind w:left="0" w:firstLine="420"/>
      <w:spacing w:after="0" w:line="360" w:lineRule="auto"/>
    </w:pPr>
    <w:rPr>
      <w:rFonts w:ascii="宋体" w:hAnsi="宋体"/>
      <w:sz w:val="20"/>
      <w:szCs w:val="20"/>
      <w:lang w:eastAsia="en-US"/>
    </w:rPr>
  </w:style>
  <w:style w:type="character" w:styleId="1154" w:customStyle="1">
    <w:name w:val="正文首行缩进 2 Char"/>
    <w:link w:val="1153"/>
    <w:qFormat/>
    <w:rPr>
      <w:rFonts w:ascii="宋体" w:hAnsi="宋体"/>
      <w:lang w:eastAsia="en-US"/>
    </w:rPr>
  </w:style>
  <w:style w:type="table" w:styleId="1155" w:customStyle="1">
    <w:name w:val="网格型11"/>
    <w:basedOn w:val="1112"/>
    <w:uiPriority w:val="59"/>
    <w:qFormat/>
    <w:pPr>
      <w:jc w:val="both"/>
      <w:widowControl w:val="off"/>
    </w:pPr>
    <w:tblPr/>
  </w:style>
  <w:style w:type="character" w:styleId="1156" w:customStyle="1">
    <w:name w:val="要点11"/>
    <w:qFormat/>
    <w:rPr>
      <w:b/>
      <w:bCs/>
    </w:rPr>
  </w:style>
  <w:style w:type="character" w:styleId="1157" w:customStyle="1">
    <w:name w:val="页码11"/>
    <w:qFormat/>
  </w:style>
  <w:style w:type="character" w:styleId="1158" w:customStyle="1">
    <w:name w:val="已访问的超链接11"/>
    <w:uiPriority w:val="99"/>
    <w:qFormat/>
    <w:rPr>
      <w:color w:val="800080"/>
      <w:u w:val="single"/>
    </w:rPr>
  </w:style>
  <w:style w:type="character" w:styleId="1159" w:customStyle="1">
    <w:name w:val="超链接11"/>
    <w:uiPriority w:val="99"/>
    <w:qFormat/>
    <w:rPr>
      <w:color w:val="0000ff"/>
      <w:u w:val="single"/>
    </w:rPr>
  </w:style>
  <w:style w:type="character" w:styleId="1160" w:customStyle="1">
    <w:name w:val="批注引用11"/>
    <w:uiPriority w:val="99"/>
    <w:semiHidden/>
    <w:qFormat/>
    <w:rPr>
      <w:sz w:val="21"/>
      <w:szCs w:val="21"/>
    </w:rPr>
  </w:style>
  <w:style w:type="character" w:styleId="1161" w:customStyle="1">
    <w:name w:val="font5 Char"/>
    <w:qFormat/>
    <w:rPr>
      <w:rFonts w:ascii="宋体" w:hAnsi="宋体" w:eastAsia="宋体"/>
      <w:sz w:val="28"/>
      <w:szCs w:val="28"/>
      <w:lang w:val="en-US" w:eastAsia="zh-CN" w:bidi="ar-SA"/>
    </w:rPr>
  </w:style>
  <w:style w:type="character" w:styleId="1162" w:customStyle="1">
    <w:name w:val="二级目录 Char"/>
    <w:link w:val="1163"/>
    <w:qFormat/>
    <w:rPr>
      <w:b/>
      <w:sz w:val="30"/>
      <w:szCs w:val="28"/>
    </w:rPr>
  </w:style>
  <w:style w:type="paragraph" w:styleId="1163" w:customStyle="1">
    <w:name w:val="二级目录"/>
    <w:next w:val="827"/>
    <w:link w:val="1162"/>
    <w:qFormat/>
    <w:pPr>
      <w:ind w:left="907" w:hanging="907"/>
      <w:tabs>
        <w:tab w:val="left" w:pos="907" w:leader="none"/>
        <w:tab w:val="left" w:pos="1145" w:leader="none"/>
      </w:tabs>
      <w:outlineLvl w:val="1"/>
    </w:pPr>
    <w:rPr>
      <w:b/>
      <w:sz w:val="30"/>
      <w:szCs w:val="28"/>
    </w:rPr>
  </w:style>
  <w:style w:type="character" w:styleId="1164" w:customStyle="1">
    <w:name w:val="列出段落 Char"/>
    <w:link w:val="1165"/>
    <w:qFormat/>
    <w:rPr>
      <w:sz w:val="24"/>
      <w:szCs w:val="24"/>
      <w:lang w:eastAsia="en-US" w:bidi="en-US"/>
    </w:rPr>
  </w:style>
  <w:style w:type="paragraph" w:styleId="1165" w:customStyle="1">
    <w:name w:val="列出段落1"/>
    <w:basedOn w:val="827"/>
    <w:link w:val="1164"/>
    <w:qFormat/>
    <w:pPr>
      <w:contextualSpacing/>
      <w:ind w:left="720"/>
      <w:jc w:val="left"/>
      <w:widowControl/>
    </w:pPr>
    <w:rPr>
      <w:sz w:val="24"/>
      <w:szCs w:val="24"/>
      <w:lang w:eastAsia="en-US" w:bidi="en-US"/>
    </w:rPr>
  </w:style>
  <w:style w:type="paragraph" w:styleId="1166" w:customStyle="1">
    <w:name w:val="Body Text(ch)"/>
    <w:basedOn w:val="827"/>
    <w:next w:val="1120"/>
    <w:qFormat/>
    <w:pPr>
      <w:spacing w:after="120"/>
    </w:pPr>
    <w:rPr>
      <w:rFonts w:ascii="宋体" w:hAnsi="Arial"/>
      <w:bCs/>
      <w:iCs/>
      <w:szCs w:val="24"/>
    </w:rPr>
  </w:style>
  <w:style w:type="paragraph" w:styleId="1167" w:customStyle="1">
    <w:name w:val="xl27"/>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9" w:customStyle="1">
    <w:name w:val="Char"/>
    <w:basedOn w:val="827"/>
    <w:qFormat/>
    <w:pPr>
      <w:ind w:firstLine="200"/>
      <w:tabs>
        <w:tab w:val="left" w:pos="360" w:leader="none"/>
      </w:tabs>
    </w:pPr>
    <w:rPr>
      <w:sz w:val="28"/>
      <w:szCs w:val="30"/>
    </w:rPr>
  </w:style>
  <w:style w:type="paragraph" w:styleId="1170" w:customStyle="1">
    <w:name w:val="Char11"/>
    <w:basedOn w:val="1115"/>
    <w:qFormat/>
    <w:rPr>
      <w:rFonts w:ascii="Tahoma" w:hAnsi="Tahoma"/>
      <w:sz w:val="24"/>
      <w:szCs w:val="24"/>
    </w:rPr>
  </w:style>
  <w:style w:type="paragraph" w:styleId="1171" w:customStyle="1">
    <w:name w:val="table_lines"/>
    <w:basedOn w:val="827"/>
    <w:qFormat/>
    <w:pPr>
      <w:jc w:val="left"/>
      <w:widowControl/>
    </w:pPr>
    <w:rPr>
      <w:sz w:val="20"/>
      <w:szCs w:val="20"/>
      <w:lang w:val="de-DE" w:eastAsia="de-DE"/>
    </w:rPr>
  </w:style>
  <w:style w:type="paragraph" w:styleId="1172" w:customStyle="1">
    <w:name w:val="附录1"/>
    <w:qFormat/>
    <w:pPr>
      <w:numPr>
        <w:numId w:val="2"/>
      </w:numPr>
      <w:spacing w:before="240" w:line="600" w:lineRule="atLeast"/>
    </w:pPr>
    <w:rPr>
      <w:b/>
      <w:i/>
      <w:sz w:val="28"/>
    </w:rPr>
  </w:style>
  <w:style w:type="paragraph" w:styleId="1173" w:customStyle="1">
    <w:name w:val="font7"/>
    <w:basedOn w:val="827"/>
    <w:qFormat/>
    <w:pPr>
      <w:jc w:val="left"/>
      <w:spacing w:before="100" w:beforeAutospacing="1" w:after="100" w:afterAutospacing="1"/>
      <w:widowControl/>
    </w:pPr>
    <w:rPr>
      <w:rFonts w:hint="eastAsia" w:ascii="宋体" w:hAnsi="宋体"/>
      <w:sz w:val="18"/>
      <w:szCs w:val="18"/>
    </w:rPr>
  </w:style>
  <w:style w:type="paragraph" w:styleId="1174" w:customStyle="1">
    <w:name w:val="Char Char Char Char"/>
    <w:basedOn w:val="1115"/>
    <w:qFormat/>
    <w:pPr>
      <w:spacing w:line="360" w:lineRule="auto"/>
    </w:pPr>
    <w:rPr>
      <w:rFonts w:ascii="Tahoma" w:hAnsi="Tahoma"/>
      <w:sz w:val="24"/>
      <w:szCs w:val="24"/>
    </w:rPr>
  </w:style>
  <w:style w:type="paragraph" w:styleId="1175" w:customStyle="1">
    <w:name w:val="列出段落2"/>
    <w:basedOn w:val="827"/>
    <w:uiPriority w:val="34"/>
    <w:qFormat/>
    <w:pPr>
      <w:contextualSpacing/>
      <w:ind w:left="720"/>
      <w:jc w:val="left"/>
      <w:widowControl/>
    </w:pPr>
    <w:rPr>
      <w:sz w:val="24"/>
      <w:szCs w:val="24"/>
      <w:lang w:eastAsia="en-US" w:bidi="en-US"/>
    </w:rPr>
  </w:style>
  <w:style w:type="paragraph" w:styleId="1176" w:customStyle="1">
    <w:name w:val="4"/>
    <w:basedOn w:val="827"/>
    <w:next w:val="1142"/>
    <w:qFormat/>
    <w:pPr>
      <w:ind w:firstLine="420"/>
      <w:spacing w:line="360" w:lineRule="auto"/>
    </w:pPr>
    <w:rPr>
      <w:color w:val="ff0000"/>
      <w:sz w:val="24"/>
      <w:szCs w:val="24"/>
    </w:rPr>
  </w:style>
  <w:style w:type="paragraph" w:styleId="1177" w:customStyle="1">
    <w:name w:val="普通 (Web)"/>
    <w:basedOn w:val="827"/>
    <w:qFormat/>
    <w:pPr>
      <w:jc w:val="left"/>
      <w:spacing w:before="100" w:beforeAutospacing="1" w:after="100" w:afterAutospacing="1"/>
      <w:widowControl/>
    </w:pPr>
    <w:rPr>
      <w:rFonts w:ascii="宋体" w:hAnsi="宋体"/>
      <w:sz w:val="24"/>
      <w:szCs w:val="24"/>
    </w:rPr>
  </w:style>
  <w:style w:type="paragraph" w:styleId="1178" w:customStyle="1">
    <w:name w:val="Char Char Char Char Char Char Char Char Char Char"/>
    <w:basedOn w:val="827"/>
    <w:qFormat/>
    <w:pPr>
      <w:spacing w:line="360" w:lineRule="auto"/>
    </w:pPr>
    <w:rPr>
      <w:sz w:val="24"/>
      <w:szCs w:val="20"/>
    </w:rPr>
  </w:style>
  <w:style w:type="paragraph" w:styleId="1179" w:customStyle="1">
    <w:name w:val="样式1"/>
    <w:basedOn w:val="827"/>
    <w:qFormat/>
    <w:pPr>
      <w:numPr>
        <w:numId w:val="3"/>
      </w:numPr>
    </w:pPr>
    <w:rPr>
      <w:rFonts w:ascii="宋体" w:hAnsi="宋体"/>
      <w:szCs w:val="21"/>
    </w:rPr>
  </w:style>
  <w:style w:type="paragraph" w:styleId="1180" w:customStyle="1">
    <w:name w:val="font6"/>
    <w:basedOn w:val="827"/>
    <w:qFormat/>
    <w:pPr>
      <w:jc w:val="left"/>
      <w:spacing w:before="100" w:beforeAutospacing="1" w:after="100" w:afterAutospacing="1"/>
      <w:widowControl/>
    </w:pPr>
    <w:rPr>
      <w:rFonts w:hint="eastAsia" w:ascii="宋体" w:hAnsi="宋体"/>
      <w:sz w:val="28"/>
      <w:szCs w:val="28"/>
      <w:u w:val="single"/>
    </w:rPr>
  </w:style>
  <w:style w:type="paragraph" w:styleId="1181" w:customStyle="1">
    <w:name w:val="xl25"/>
    <w:basedOn w:val="8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2" w:customStyle="1">
    <w:name w:val="图标"/>
    <w:basedOn w:val="827"/>
    <w:next w:val="8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3" w:customStyle="1">
    <w:name w:val="标题3"/>
    <w:basedOn w:val="827"/>
    <w:next w:val="827"/>
    <w:qFormat/>
    <w:pPr>
      <w:ind w:firstLine="624"/>
      <w:spacing w:line="590" w:lineRule="atLeast"/>
    </w:pPr>
    <w:rPr>
      <w:rFonts w:ascii="方正黑体_GBK" w:eastAsia="方正黑体_GBK"/>
      <w:sz w:val="32"/>
      <w:szCs w:val="32"/>
    </w:rPr>
  </w:style>
  <w:style w:type="paragraph" w:styleId="1184" w:customStyle="1">
    <w:name w:val="xl24"/>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5" w:customStyle="1">
    <w:name w:val="xl29"/>
    <w:basedOn w:val="8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6" w:customStyle="1">
    <w:name w:val="Char Char Char Char Char Char Char Char"/>
    <w:basedOn w:val="827"/>
    <w:qFormat/>
    <w:pPr>
      <w:jc w:val="left"/>
      <w:spacing w:after="160" w:line="240" w:lineRule="exact"/>
      <w:widowControl/>
    </w:pPr>
    <w:rPr>
      <w:rFonts w:ascii="Verdana" w:hAnsi="Verdana"/>
      <w:sz w:val="20"/>
      <w:szCs w:val="20"/>
      <w:lang w:eastAsia="en-US"/>
    </w:rPr>
  </w:style>
  <w:style w:type="paragraph" w:styleId="1187" w:customStyle="1">
    <w:name w:val="xl28"/>
    <w:basedOn w:val="8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8" w:customStyle="1">
    <w:name w:val="Char Char Char Char Char Char Char Char11"/>
    <w:basedOn w:val="827"/>
    <w:qFormat/>
    <w:pPr>
      <w:jc w:val="left"/>
      <w:spacing w:after="160" w:line="240" w:lineRule="exact"/>
      <w:widowControl/>
    </w:pPr>
    <w:rPr>
      <w:rFonts w:ascii="Verdana" w:hAnsi="Verdana"/>
      <w:sz w:val="20"/>
      <w:szCs w:val="20"/>
      <w:lang w:eastAsia="en-US"/>
    </w:rPr>
  </w:style>
  <w:style w:type="paragraph" w:styleId="1189" w:customStyle="1">
    <w:name w:val="xl30"/>
    <w:basedOn w:val="827"/>
    <w:qFormat/>
    <w:pPr>
      <w:jc w:val="center"/>
      <w:spacing w:before="100" w:beforeAutospacing="1" w:after="100" w:afterAutospacing="1"/>
      <w:widowControl/>
    </w:pPr>
    <w:rPr>
      <w:rFonts w:ascii="宋体" w:hAnsi="宋体"/>
      <w:b/>
      <w:bCs/>
      <w:sz w:val="36"/>
      <w:szCs w:val="36"/>
    </w:rPr>
  </w:style>
  <w:style w:type="paragraph" w:styleId="1190" w:customStyle="1">
    <w:name w:val="Char Char Char Char11"/>
    <w:basedOn w:val="1115"/>
    <w:qFormat/>
    <w:pPr>
      <w:spacing w:line="360" w:lineRule="auto"/>
    </w:pPr>
    <w:rPr>
      <w:rFonts w:ascii="Tahoma" w:hAnsi="Tahoma"/>
      <w:sz w:val="24"/>
      <w:szCs w:val="24"/>
    </w:rPr>
  </w:style>
  <w:style w:type="paragraph" w:styleId="1191" w:customStyle="1">
    <w:name w:val="table_1stline"/>
    <w:basedOn w:val="827"/>
    <w:qFormat/>
    <w:pPr>
      <w:jc w:val="left"/>
      <w:spacing w:before="120"/>
      <w:widowControl/>
    </w:pPr>
    <w:rPr>
      <w:bCs/>
      <w:sz w:val="20"/>
      <w:szCs w:val="20"/>
      <w:lang w:val="de-DE" w:eastAsia="de-DE"/>
    </w:rPr>
  </w:style>
  <w:style w:type="paragraph" w:styleId="1192" w:customStyle="1">
    <w:name w:val="font5"/>
    <w:basedOn w:val="827"/>
    <w:qFormat/>
    <w:pPr>
      <w:jc w:val="left"/>
      <w:spacing w:before="100" w:beforeAutospacing="1" w:after="100" w:afterAutospacing="1"/>
      <w:widowControl/>
    </w:pPr>
    <w:rPr>
      <w:rFonts w:hint="eastAsia" w:ascii="宋体" w:hAnsi="宋体"/>
      <w:sz w:val="28"/>
      <w:szCs w:val="28"/>
    </w:rPr>
  </w:style>
  <w:style w:type="paragraph" w:styleId="1193" w:customStyle="1">
    <w:name w:val="标题1"/>
    <w:basedOn w:val="827"/>
    <w:next w:val="8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4" w:customStyle="1">
    <w:name w:val="修订1"/>
    <w:uiPriority w:val="99"/>
    <w:semiHidden/>
    <w:qFormat/>
    <w:rPr>
      <w:sz w:val="21"/>
      <w:szCs w:val="21"/>
    </w:rPr>
  </w:style>
  <w:style w:type="paragraph" w:styleId="1195" w:customStyle="1">
    <w:name w:val="AONormal"/>
    <w:qFormat/>
    <w:pPr>
      <w:ind w:firstLine="440"/>
      <w:spacing w:line="400" w:lineRule="exact"/>
    </w:pPr>
    <w:rPr>
      <w:rFonts w:ascii="华文楷体" w:hAnsi="华文楷体" w:eastAsia="华文楷体" w:cs="华文楷体"/>
      <w:sz w:val="22"/>
      <w:szCs w:val="21"/>
    </w:rPr>
  </w:style>
  <w:style w:type="character" w:styleId="1196" w:customStyle="1">
    <w:name w:val="尾注文本 Char"/>
    <w:link w:val="1197"/>
    <w:uiPriority w:val="99"/>
    <w:semiHidden/>
    <w:qFormat/>
    <w:rPr>
      <w:rFonts w:ascii="Times New Roman" w:hAnsi="Times New Roman"/>
      <w:szCs w:val="22"/>
    </w:rPr>
  </w:style>
  <w:style w:type="paragraph" w:styleId="1197" w:customStyle="1">
    <w:name w:val="尾注文本1"/>
    <w:basedOn w:val="827"/>
    <w:link w:val="1196"/>
    <w:uiPriority w:val="99"/>
    <w:unhideWhenUsed/>
    <w:qFormat/>
    <w:rPr>
      <w:sz w:val="20"/>
    </w:rPr>
  </w:style>
  <w:style w:type="paragraph" w:styleId="1198" w:customStyle="1">
    <w:name w:val="副标题1"/>
    <w:basedOn w:val="827"/>
    <w:next w:val="827"/>
    <w:link w:val="1199"/>
    <w:uiPriority w:val="11"/>
    <w:qFormat/>
    <w:pPr>
      <w:spacing w:before="200" w:after="200"/>
    </w:pPr>
    <w:rPr>
      <w:sz w:val="24"/>
      <w:szCs w:val="24"/>
      <w:lang w:eastAsia="en-US"/>
    </w:rPr>
  </w:style>
  <w:style w:type="character" w:styleId="1199" w:customStyle="1">
    <w:name w:val="副标题 Char"/>
    <w:link w:val="1198"/>
    <w:uiPriority w:val="11"/>
    <w:qFormat/>
    <w:rPr>
      <w:rFonts w:ascii="Times New Roman" w:hAnsi="Times New Roman"/>
      <w:sz w:val="24"/>
      <w:szCs w:val="24"/>
      <w:lang w:eastAsia="en-US"/>
    </w:rPr>
  </w:style>
  <w:style w:type="character" w:styleId="1200" w:customStyle="1">
    <w:name w:val="脚注文本 Char"/>
    <w:link w:val="1201"/>
    <w:uiPriority w:val="99"/>
    <w:semiHidden/>
    <w:qFormat/>
    <w:rPr>
      <w:rFonts w:ascii="Times New Roman" w:hAnsi="Times New Roman"/>
      <w:sz w:val="18"/>
      <w:szCs w:val="22"/>
    </w:rPr>
  </w:style>
  <w:style w:type="paragraph" w:styleId="1201" w:customStyle="1">
    <w:name w:val="脚注文本1"/>
    <w:basedOn w:val="827"/>
    <w:link w:val="1200"/>
    <w:uiPriority w:val="99"/>
    <w:unhideWhenUsed/>
    <w:qFormat/>
    <w:pPr>
      <w:spacing w:after="40"/>
    </w:pPr>
    <w:rPr>
      <w:sz w:val="18"/>
    </w:rPr>
  </w:style>
  <w:style w:type="paragraph" w:styleId="1202" w:customStyle="1">
    <w:name w:val="标题2"/>
    <w:basedOn w:val="827"/>
    <w:next w:val="827"/>
    <w:link w:val="1203"/>
    <w:uiPriority w:val="10"/>
    <w:qFormat/>
    <w:pPr>
      <w:contextualSpacing/>
      <w:spacing w:before="300" w:after="200"/>
    </w:pPr>
    <w:rPr>
      <w:sz w:val="48"/>
      <w:szCs w:val="48"/>
      <w:lang w:eastAsia="en-US"/>
    </w:rPr>
  </w:style>
  <w:style w:type="character" w:styleId="1203" w:customStyle="1">
    <w:name w:val="标题 Char"/>
    <w:link w:val="1202"/>
    <w:uiPriority w:val="10"/>
    <w:qFormat/>
    <w:rPr>
      <w:rFonts w:ascii="Times New Roman" w:hAnsi="Times New Roman"/>
      <w:sz w:val="48"/>
      <w:szCs w:val="48"/>
      <w:lang w:eastAsia="en-US"/>
    </w:rPr>
  </w:style>
  <w:style w:type="character" w:styleId="1204" w:customStyle="1">
    <w:name w:val="尾注引用1"/>
    <w:uiPriority w:val="99"/>
    <w:unhideWhenUsed/>
    <w:qFormat/>
    <w:rPr>
      <w:vertAlign w:val="superscript"/>
    </w:rPr>
  </w:style>
  <w:style w:type="character" w:styleId="1205" w:customStyle="1">
    <w:name w:val="脚注引用1"/>
    <w:uiPriority w:val="99"/>
    <w:unhideWhenUsed/>
    <w:qFormat/>
    <w:rPr>
      <w:vertAlign w:val="superscript"/>
    </w:rPr>
  </w:style>
  <w:style w:type="character" w:styleId="1206" w:customStyle="1">
    <w:name w:val="Title Char"/>
    <w:uiPriority w:val="10"/>
    <w:qFormat/>
    <w:rPr>
      <w:sz w:val="48"/>
      <w:szCs w:val="48"/>
    </w:rPr>
  </w:style>
  <w:style w:type="character" w:styleId="1207" w:customStyle="1">
    <w:name w:val="Subtitle Char"/>
    <w:uiPriority w:val="11"/>
    <w:qFormat/>
    <w:rPr>
      <w:sz w:val="24"/>
      <w:szCs w:val="24"/>
    </w:rPr>
  </w:style>
  <w:style w:type="character" w:styleId="1208" w:customStyle="1">
    <w:name w:val="Quote Char"/>
    <w:uiPriority w:val="29"/>
    <w:qFormat/>
    <w:rPr>
      <w:i/>
    </w:rPr>
  </w:style>
  <w:style w:type="character" w:styleId="1209" w:customStyle="1">
    <w:name w:val="Intense Quote Char"/>
    <w:uiPriority w:val="30"/>
    <w:qFormat/>
    <w:rPr>
      <w:i/>
    </w:rPr>
  </w:style>
  <w:style w:type="character" w:styleId="1210" w:customStyle="1">
    <w:name w:val="Footnote Text Char"/>
    <w:uiPriority w:val="99"/>
    <w:qFormat/>
    <w:rPr>
      <w:sz w:val="18"/>
    </w:rPr>
  </w:style>
  <w:style w:type="character" w:styleId="1211" w:customStyle="1">
    <w:name w:val="Endnote Text Char"/>
    <w:uiPriority w:val="99"/>
    <w:qFormat/>
    <w:rPr>
      <w:sz w:val="20"/>
    </w:rPr>
  </w:style>
  <w:style w:type="paragraph" w:styleId="1212" w:customStyle="1">
    <w:name w:val="TOC 标题11"/>
    <w:uiPriority w:val="39"/>
    <w:unhideWhenUsed/>
    <w:qFormat/>
  </w:style>
  <w:style w:type="character" w:styleId="1213" w:customStyle="1">
    <w:name w:val="标题 1 Char1"/>
    <w:uiPriority w:val="9"/>
    <w:qFormat/>
    <w:rPr>
      <w:rFonts w:ascii="Arial" w:hAnsi="Arial" w:eastAsia="Arial" w:cs="Arial"/>
      <w:sz w:val="40"/>
      <w:szCs w:val="40"/>
    </w:rPr>
  </w:style>
  <w:style w:type="character" w:styleId="1214" w:customStyle="1">
    <w:name w:val="标题 2 Char1"/>
    <w:uiPriority w:val="9"/>
    <w:qFormat/>
    <w:rPr>
      <w:rFonts w:ascii="Arial" w:hAnsi="Arial" w:eastAsia="Arial" w:cs="Arial"/>
      <w:sz w:val="34"/>
      <w:szCs w:val="22"/>
    </w:rPr>
  </w:style>
  <w:style w:type="character" w:styleId="1215" w:customStyle="1">
    <w:name w:val="标题 3 Char1"/>
    <w:uiPriority w:val="9"/>
    <w:qFormat/>
    <w:rPr>
      <w:rFonts w:ascii="Arial" w:hAnsi="Arial" w:eastAsia="Arial" w:cs="Arial"/>
      <w:sz w:val="30"/>
      <w:szCs w:val="30"/>
    </w:rPr>
  </w:style>
  <w:style w:type="character" w:styleId="1216" w:customStyle="1">
    <w:name w:val="标题 4 Char1"/>
    <w:uiPriority w:val="9"/>
    <w:qFormat/>
    <w:rPr>
      <w:rFonts w:ascii="Arial" w:hAnsi="Arial" w:eastAsia="Arial" w:cs="Arial"/>
      <w:b/>
      <w:bCs/>
      <w:sz w:val="26"/>
      <w:szCs w:val="26"/>
    </w:rPr>
  </w:style>
  <w:style w:type="character" w:styleId="1217" w:customStyle="1">
    <w:name w:val="标题 5 Char1"/>
    <w:uiPriority w:val="9"/>
    <w:qFormat/>
    <w:rPr>
      <w:rFonts w:ascii="Arial" w:hAnsi="Arial" w:eastAsia="Arial" w:cs="Arial"/>
      <w:b/>
      <w:bCs/>
      <w:sz w:val="24"/>
      <w:szCs w:val="24"/>
    </w:rPr>
  </w:style>
  <w:style w:type="character" w:styleId="1218" w:customStyle="1">
    <w:name w:val="标题 6 Char1"/>
    <w:uiPriority w:val="9"/>
    <w:qFormat/>
    <w:rPr>
      <w:rFonts w:ascii="Arial" w:hAnsi="Arial" w:eastAsia="Arial" w:cs="Arial"/>
      <w:b/>
      <w:bCs/>
      <w:sz w:val="22"/>
      <w:szCs w:val="22"/>
    </w:rPr>
  </w:style>
  <w:style w:type="character" w:styleId="1219" w:customStyle="1">
    <w:name w:val="标题 7 Char1"/>
    <w:uiPriority w:val="9"/>
    <w:qFormat/>
    <w:rPr>
      <w:rFonts w:ascii="Arial" w:hAnsi="Arial" w:eastAsia="Arial" w:cs="Arial"/>
      <w:b/>
      <w:bCs/>
      <w:i/>
      <w:iCs/>
      <w:sz w:val="22"/>
      <w:szCs w:val="22"/>
    </w:rPr>
  </w:style>
  <w:style w:type="character" w:styleId="1220" w:customStyle="1">
    <w:name w:val="标题 8 Char1"/>
    <w:uiPriority w:val="9"/>
    <w:qFormat/>
    <w:rPr>
      <w:rFonts w:ascii="Arial" w:hAnsi="Arial" w:eastAsia="Arial" w:cs="Arial"/>
      <w:i/>
      <w:iCs/>
      <w:sz w:val="22"/>
      <w:szCs w:val="22"/>
    </w:rPr>
  </w:style>
  <w:style w:type="character" w:styleId="1221" w:customStyle="1">
    <w:name w:val="标题 9 Char1"/>
    <w:uiPriority w:val="9"/>
    <w:qFormat/>
    <w:rPr>
      <w:rFonts w:ascii="Arial" w:hAnsi="Arial" w:eastAsia="Arial" w:cs="Arial"/>
      <w:i/>
      <w:iCs/>
      <w:sz w:val="21"/>
      <w:szCs w:val="21"/>
    </w:rPr>
  </w:style>
  <w:style w:type="paragraph" w:styleId="1222" w:customStyle="1">
    <w:name w:val="引用1"/>
    <w:basedOn w:val="827"/>
    <w:next w:val="827"/>
    <w:link w:val="1223"/>
    <w:uiPriority w:val="29"/>
    <w:qFormat/>
    <w:pPr>
      <w:ind w:left="720" w:right="720"/>
    </w:pPr>
    <w:rPr>
      <w:i/>
      <w:lang w:eastAsia="en-US"/>
    </w:rPr>
  </w:style>
  <w:style w:type="character" w:styleId="1223" w:customStyle="1">
    <w:name w:val="引用 Char"/>
    <w:link w:val="1222"/>
    <w:uiPriority w:val="29"/>
    <w:qFormat/>
    <w:rPr>
      <w:rFonts w:ascii="Times New Roman" w:hAnsi="Times New Roman"/>
      <w:i/>
      <w:sz w:val="21"/>
      <w:szCs w:val="22"/>
      <w:lang w:eastAsia="en-US"/>
    </w:rPr>
  </w:style>
  <w:style w:type="paragraph" w:styleId="1224" w:customStyle="1">
    <w:name w:val="明显引用1"/>
    <w:basedOn w:val="827"/>
    <w:next w:val="827"/>
    <w:link w:val="12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25" w:customStyle="1">
    <w:name w:val="明显引用 Char"/>
    <w:link w:val="1224"/>
    <w:uiPriority w:val="30"/>
    <w:qFormat/>
    <w:rPr>
      <w:rFonts w:ascii="Times New Roman" w:hAnsi="Times New Roman"/>
      <w:i/>
      <w:sz w:val="21"/>
      <w:szCs w:val="22"/>
      <w:shd w:val="clear" w:color="auto" w:fill="f2f2f2"/>
      <w:lang w:eastAsia="en-US"/>
    </w:rPr>
  </w:style>
  <w:style w:type="character" w:styleId="1226" w:customStyle="1">
    <w:name w:val="页眉 Char1"/>
    <w:uiPriority w:val="99"/>
    <w:qFormat/>
    <w:rPr>
      <w:sz w:val="21"/>
      <w:szCs w:val="22"/>
    </w:rPr>
  </w:style>
  <w:style w:type="character" w:styleId="1227" w:customStyle="1">
    <w:name w:val="页脚 Char1"/>
    <w:uiPriority w:val="99"/>
    <w:qFormat/>
    <w:rPr>
      <w:sz w:val="21"/>
      <w:szCs w:val="22"/>
    </w:rPr>
  </w:style>
  <w:style w:type="table" w:styleId="1228" w:customStyle="1">
    <w:name w:val="Table Grid Light1"/>
    <w:uiPriority w:val="59"/>
    <w:qFormat/>
    <w:tblPr>
      <w:tblCellMar>
        <w:left w:w="0" w:type="dxa"/>
        <w:top w:w="0" w:type="dxa"/>
        <w:right w:w="0" w:type="dxa"/>
        <w:bottom w:w="0" w:type="dxa"/>
      </w:tblCellMar>
    </w:tblPr>
  </w:style>
  <w:style w:type="table" w:styleId="1229" w:customStyle="1">
    <w:name w:val="Grid Table 1 Light - Accent 11"/>
    <w:uiPriority w:val="99"/>
    <w:qFormat/>
    <w:tblPr>
      <w:tblCellMar>
        <w:left w:w="0" w:type="dxa"/>
        <w:top w:w="0" w:type="dxa"/>
        <w:right w:w="0" w:type="dxa"/>
        <w:bottom w:w="0" w:type="dxa"/>
      </w:tblCellMar>
    </w:tblPr>
  </w:style>
  <w:style w:type="table" w:styleId="1230" w:customStyle="1">
    <w:name w:val="Grid Table 1 Light - Accent 21"/>
    <w:uiPriority w:val="99"/>
    <w:qFormat/>
    <w:tblPr>
      <w:tblCellMar>
        <w:left w:w="0" w:type="dxa"/>
        <w:top w:w="0" w:type="dxa"/>
        <w:right w:w="0" w:type="dxa"/>
        <w:bottom w:w="0" w:type="dxa"/>
      </w:tblCellMar>
    </w:tblPr>
  </w:style>
  <w:style w:type="table" w:styleId="1231" w:customStyle="1">
    <w:name w:val="Grid Table 1 Light - Accent 31"/>
    <w:uiPriority w:val="99"/>
    <w:qFormat/>
    <w:tblPr>
      <w:tblCellMar>
        <w:left w:w="0" w:type="dxa"/>
        <w:top w:w="0" w:type="dxa"/>
        <w:right w:w="0" w:type="dxa"/>
        <w:bottom w:w="0" w:type="dxa"/>
      </w:tblCellMar>
    </w:tblPr>
  </w:style>
  <w:style w:type="table" w:styleId="1232" w:customStyle="1">
    <w:name w:val="Grid Table 1 Light - Accent 41"/>
    <w:uiPriority w:val="99"/>
    <w:qFormat/>
    <w:tblPr>
      <w:tblCellMar>
        <w:left w:w="0" w:type="dxa"/>
        <w:top w:w="0" w:type="dxa"/>
        <w:right w:w="0" w:type="dxa"/>
        <w:bottom w:w="0" w:type="dxa"/>
      </w:tblCellMar>
    </w:tblPr>
  </w:style>
  <w:style w:type="table" w:styleId="1233" w:customStyle="1">
    <w:name w:val="Grid Table 1 Light - Accent 51"/>
    <w:uiPriority w:val="99"/>
    <w:qFormat/>
    <w:tblPr>
      <w:tblCellMar>
        <w:left w:w="0" w:type="dxa"/>
        <w:top w:w="0" w:type="dxa"/>
        <w:right w:w="0" w:type="dxa"/>
        <w:bottom w:w="0" w:type="dxa"/>
      </w:tblCellMar>
    </w:tblPr>
  </w:style>
  <w:style w:type="table" w:styleId="1234" w:customStyle="1">
    <w:name w:val="Grid Table 1 Light - Accent 61"/>
    <w:uiPriority w:val="99"/>
    <w:qFormat/>
    <w:tblPr>
      <w:tblCellMar>
        <w:left w:w="0" w:type="dxa"/>
        <w:top w:w="0" w:type="dxa"/>
        <w:right w:w="0" w:type="dxa"/>
        <w:bottom w:w="0" w:type="dxa"/>
      </w:tblCellMar>
    </w:tblPr>
  </w:style>
  <w:style w:type="table" w:styleId="1235" w:customStyle="1">
    <w:name w:val="Grid Table 2 - Accent 11"/>
    <w:uiPriority w:val="99"/>
    <w:qFormat/>
    <w:tblPr>
      <w:tblCellMar>
        <w:left w:w="0" w:type="dxa"/>
        <w:top w:w="0" w:type="dxa"/>
        <w:right w:w="0" w:type="dxa"/>
        <w:bottom w:w="0" w:type="dxa"/>
      </w:tblCellMar>
    </w:tblPr>
  </w:style>
  <w:style w:type="table" w:styleId="1236" w:customStyle="1">
    <w:name w:val="Grid Table 2 - Accent 21"/>
    <w:uiPriority w:val="99"/>
    <w:qFormat/>
    <w:tblPr>
      <w:tblCellMar>
        <w:left w:w="0" w:type="dxa"/>
        <w:top w:w="0" w:type="dxa"/>
        <w:right w:w="0" w:type="dxa"/>
        <w:bottom w:w="0" w:type="dxa"/>
      </w:tblCellMar>
    </w:tblPr>
  </w:style>
  <w:style w:type="table" w:styleId="1237" w:customStyle="1">
    <w:name w:val="Grid Table 2 - Accent 31"/>
    <w:uiPriority w:val="99"/>
    <w:qFormat/>
    <w:tblPr>
      <w:tblCellMar>
        <w:left w:w="0" w:type="dxa"/>
        <w:top w:w="0" w:type="dxa"/>
        <w:right w:w="0" w:type="dxa"/>
        <w:bottom w:w="0" w:type="dxa"/>
      </w:tblCellMar>
    </w:tblPr>
  </w:style>
  <w:style w:type="table" w:styleId="1238" w:customStyle="1">
    <w:name w:val="Grid Table 2 - Accent 41"/>
    <w:uiPriority w:val="99"/>
    <w:qFormat/>
    <w:tblPr>
      <w:tblCellMar>
        <w:left w:w="0" w:type="dxa"/>
        <w:top w:w="0" w:type="dxa"/>
        <w:right w:w="0" w:type="dxa"/>
        <w:bottom w:w="0" w:type="dxa"/>
      </w:tblCellMar>
    </w:tblPr>
  </w:style>
  <w:style w:type="table" w:styleId="1239" w:customStyle="1">
    <w:name w:val="Grid Table 2 - Accent 51"/>
    <w:uiPriority w:val="99"/>
    <w:qFormat/>
    <w:tblPr>
      <w:tblCellMar>
        <w:left w:w="0" w:type="dxa"/>
        <w:top w:w="0" w:type="dxa"/>
        <w:right w:w="0" w:type="dxa"/>
        <w:bottom w:w="0" w:type="dxa"/>
      </w:tblCellMar>
    </w:tblPr>
  </w:style>
  <w:style w:type="table" w:styleId="1240" w:customStyle="1">
    <w:name w:val="Grid Table 2 - Accent 61"/>
    <w:uiPriority w:val="99"/>
    <w:qFormat/>
    <w:tblPr>
      <w:tblCellMar>
        <w:left w:w="0" w:type="dxa"/>
        <w:top w:w="0" w:type="dxa"/>
        <w:right w:w="0" w:type="dxa"/>
        <w:bottom w:w="0" w:type="dxa"/>
      </w:tblCellMar>
    </w:tblPr>
  </w:style>
  <w:style w:type="table" w:styleId="1241" w:customStyle="1">
    <w:name w:val="Grid Table 3 - Accent 11"/>
    <w:uiPriority w:val="99"/>
    <w:qFormat/>
    <w:tblPr>
      <w:tblCellMar>
        <w:left w:w="0" w:type="dxa"/>
        <w:top w:w="0" w:type="dxa"/>
        <w:right w:w="0" w:type="dxa"/>
        <w:bottom w:w="0" w:type="dxa"/>
      </w:tblCellMar>
    </w:tblPr>
  </w:style>
  <w:style w:type="table" w:styleId="1242" w:customStyle="1">
    <w:name w:val="Grid Table 3 - Accent 21"/>
    <w:uiPriority w:val="99"/>
    <w:qFormat/>
    <w:tblPr>
      <w:tblCellMar>
        <w:left w:w="0" w:type="dxa"/>
        <w:top w:w="0" w:type="dxa"/>
        <w:right w:w="0" w:type="dxa"/>
        <w:bottom w:w="0" w:type="dxa"/>
      </w:tblCellMar>
    </w:tblPr>
  </w:style>
  <w:style w:type="table" w:styleId="1243" w:customStyle="1">
    <w:name w:val="Grid Table 3 - Accent 31"/>
    <w:uiPriority w:val="99"/>
    <w:qFormat/>
    <w:tblPr>
      <w:tblCellMar>
        <w:left w:w="0" w:type="dxa"/>
        <w:top w:w="0" w:type="dxa"/>
        <w:right w:w="0" w:type="dxa"/>
        <w:bottom w:w="0" w:type="dxa"/>
      </w:tblCellMar>
    </w:tblPr>
  </w:style>
  <w:style w:type="table" w:styleId="1244" w:customStyle="1">
    <w:name w:val="Grid Table 3 - Accent 41"/>
    <w:uiPriority w:val="99"/>
    <w:qFormat/>
    <w:tblPr>
      <w:tblCellMar>
        <w:left w:w="0" w:type="dxa"/>
        <w:top w:w="0" w:type="dxa"/>
        <w:right w:w="0" w:type="dxa"/>
        <w:bottom w:w="0" w:type="dxa"/>
      </w:tblCellMar>
    </w:tblPr>
  </w:style>
  <w:style w:type="table" w:styleId="1245" w:customStyle="1">
    <w:name w:val="Grid Table 3 - Accent 51"/>
    <w:uiPriority w:val="99"/>
    <w:qFormat/>
    <w:tblPr>
      <w:tblCellMar>
        <w:left w:w="0" w:type="dxa"/>
        <w:top w:w="0" w:type="dxa"/>
        <w:right w:w="0" w:type="dxa"/>
        <w:bottom w:w="0" w:type="dxa"/>
      </w:tblCellMar>
    </w:tblPr>
  </w:style>
  <w:style w:type="table" w:styleId="1246" w:customStyle="1">
    <w:name w:val="Grid Table 3 - Accent 61"/>
    <w:uiPriority w:val="99"/>
    <w:qFormat/>
    <w:tblPr>
      <w:tblCellMar>
        <w:left w:w="0" w:type="dxa"/>
        <w:top w:w="0" w:type="dxa"/>
        <w:right w:w="0" w:type="dxa"/>
        <w:bottom w:w="0" w:type="dxa"/>
      </w:tblCellMar>
    </w:tblPr>
  </w:style>
  <w:style w:type="table" w:styleId="1247" w:customStyle="1">
    <w:name w:val="Grid Table 4 - Accent 11"/>
    <w:uiPriority w:val="59"/>
    <w:qFormat/>
    <w:tblPr>
      <w:tblCellMar>
        <w:left w:w="0" w:type="dxa"/>
        <w:top w:w="0" w:type="dxa"/>
        <w:right w:w="0" w:type="dxa"/>
        <w:bottom w:w="0" w:type="dxa"/>
      </w:tblCellMar>
    </w:tblPr>
  </w:style>
  <w:style w:type="table" w:styleId="1248" w:customStyle="1">
    <w:name w:val="Grid Table 4 - Accent 21"/>
    <w:uiPriority w:val="59"/>
    <w:qFormat/>
    <w:tblPr>
      <w:tblCellMar>
        <w:left w:w="0" w:type="dxa"/>
        <w:top w:w="0" w:type="dxa"/>
        <w:right w:w="0" w:type="dxa"/>
        <w:bottom w:w="0" w:type="dxa"/>
      </w:tblCellMar>
    </w:tblPr>
  </w:style>
  <w:style w:type="table" w:styleId="1249" w:customStyle="1">
    <w:name w:val="Grid Table 4 - Accent 31"/>
    <w:uiPriority w:val="59"/>
    <w:qFormat/>
    <w:tblPr>
      <w:tblCellMar>
        <w:left w:w="0" w:type="dxa"/>
        <w:top w:w="0" w:type="dxa"/>
        <w:right w:w="0" w:type="dxa"/>
        <w:bottom w:w="0" w:type="dxa"/>
      </w:tblCellMar>
    </w:tblPr>
  </w:style>
  <w:style w:type="table" w:styleId="1250" w:customStyle="1">
    <w:name w:val="Grid Table 4 - Accent 41"/>
    <w:uiPriority w:val="59"/>
    <w:qFormat/>
    <w:tblPr>
      <w:tblCellMar>
        <w:left w:w="0" w:type="dxa"/>
        <w:top w:w="0" w:type="dxa"/>
        <w:right w:w="0" w:type="dxa"/>
        <w:bottom w:w="0" w:type="dxa"/>
      </w:tblCellMar>
    </w:tblPr>
  </w:style>
  <w:style w:type="table" w:styleId="1251" w:customStyle="1">
    <w:name w:val="Grid Table 4 - Accent 51"/>
    <w:uiPriority w:val="59"/>
    <w:qFormat/>
    <w:tblPr>
      <w:tblCellMar>
        <w:left w:w="0" w:type="dxa"/>
        <w:top w:w="0" w:type="dxa"/>
        <w:right w:w="0" w:type="dxa"/>
        <w:bottom w:w="0" w:type="dxa"/>
      </w:tblCellMar>
    </w:tblPr>
  </w:style>
  <w:style w:type="table" w:styleId="1252" w:customStyle="1">
    <w:name w:val="Grid Table 4 - Accent 61"/>
    <w:uiPriority w:val="59"/>
    <w:qFormat/>
    <w:tblPr>
      <w:tblCellMar>
        <w:left w:w="0" w:type="dxa"/>
        <w:top w:w="0" w:type="dxa"/>
        <w:right w:w="0" w:type="dxa"/>
        <w:bottom w:w="0" w:type="dxa"/>
      </w:tblCellMar>
    </w:tblPr>
  </w:style>
  <w:style w:type="table" w:styleId="1253" w:customStyle="1">
    <w:name w:val="Grid Table 5 Dark- Accent 11"/>
    <w:uiPriority w:val="99"/>
    <w:qFormat/>
    <w:tblPr>
      <w:tblCellMar>
        <w:left w:w="0" w:type="dxa"/>
        <w:top w:w="0" w:type="dxa"/>
        <w:right w:w="0" w:type="dxa"/>
        <w:bottom w:w="0" w:type="dxa"/>
      </w:tblCellMar>
    </w:tblPr>
  </w:style>
  <w:style w:type="table" w:styleId="1254" w:customStyle="1">
    <w:name w:val="Grid Table 5 Dark - Accent 21"/>
    <w:uiPriority w:val="99"/>
    <w:qFormat/>
    <w:tblPr>
      <w:tblCellMar>
        <w:left w:w="0" w:type="dxa"/>
        <w:top w:w="0" w:type="dxa"/>
        <w:right w:w="0" w:type="dxa"/>
        <w:bottom w:w="0" w:type="dxa"/>
      </w:tblCellMar>
    </w:tblPr>
  </w:style>
  <w:style w:type="table" w:styleId="1255" w:customStyle="1">
    <w:name w:val="Grid Table 5 Dark - Accent 31"/>
    <w:uiPriority w:val="99"/>
    <w:qFormat/>
    <w:tblPr>
      <w:tblCellMar>
        <w:left w:w="0" w:type="dxa"/>
        <w:top w:w="0" w:type="dxa"/>
        <w:right w:w="0" w:type="dxa"/>
        <w:bottom w:w="0" w:type="dxa"/>
      </w:tblCellMar>
    </w:tblPr>
  </w:style>
  <w:style w:type="table" w:styleId="1256" w:customStyle="1">
    <w:name w:val="Grid Table 5 Dark- Accent 41"/>
    <w:uiPriority w:val="99"/>
    <w:qFormat/>
    <w:tblPr>
      <w:tblCellMar>
        <w:left w:w="0" w:type="dxa"/>
        <w:top w:w="0" w:type="dxa"/>
        <w:right w:w="0" w:type="dxa"/>
        <w:bottom w:w="0" w:type="dxa"/>
      </w:tblCellMar>
    </w:tblPr>
  </w:style>
  <w:style w:type="table" w:styleId="1257" w:customStyle="1">
    <w:name w:val="Grid Table 5 Dark - Accent 51"/>
    <w:uiPriority w:val="99"/>
    <w:qFormat/>
    <w:tblPr>
      <w:tblCellMar>
        <w:left w:w="0" w:type="dxa"/>
        <w:top w:w="0" w:type="dxa"/>
        <w:right w:w="0" w:type="dxa"/>
        <w:bottom w:w="0" w:type="dxa"/>
      </w:tblCellMar>
    </w:tblPr>
  </w:style>
  <w:style w:type="table" w:styleId="1258" w:customStyle="1">
    <w:name w:val="Grid Table 5 Dark - Accent 61"/>
    <w:uiPriority w:val="99"/>
    <w:qFormat/>
    <w:tblPr>
      <w:tblCellMar>
        <w:left w:w="0" w:type="dxa"/>
        <w:top w:w="0" w:type="dxa"/>
        <w:right w:w="0" w:type="dxa"/>
        <w:bottom w:w="0" w:type="dxa"/>
      </w:tblCellMar>
    </w:tblPr>
  </w:style>
  <w:style w:type="table" w:styleId="1259" w:customStyle="1">
    <w:name w:val="Grid Table 6 Colorful - Accent 11"/>
    <w:uiPriority w:val="99"/>
    <w:qFormat/>
    <w:tblPr>
      <w:tblCellMar>
        <w:left w:w="0" w:type="dxa"/>
        <w:top w:w="0" w:type="dxa"/>
        <w:right w:w="0" w:type="dxa"/>
        <w:bottom w:w="0" w:type="dxa"/>
      </w:tblCellMar>
    </w:tblPr>
  </w:style>
  <w:style w:type="table" w:styleId="1260" w:customStyle="1">
    <w:name w:val="Grid Table 6 Colorful - Accent 21"/>
    <w:uiPriority w:val="99"/>
    <w:qFormat/>
    <w:tblPr>
      <w:tblCellMar>
        <w:left w:w="0" w:type="dxa"/>
        <w:top w:w="0" w:type="dxa"/>
        <w:right w:w="0" w:type="dxa"/>
        <w:bottom w:w="0" w:type="dxa"/>
      </w:tblCellMar>
    </w:tblPr>
  </w:style>
  <w:style w:type="table" w:styleId="1261" w:customStyle="1">
    <w:name w:val="Grid Table 6 Colorful - Accent 31"/>
    <w:uiPriority w:val="99"/>
    <w:qFormat/>
    <w:tblPr>
      <w:tblCellMar>
        <w:left w:w="0" w:type="dxa"/>
        <w:top w:w="0" w:type="dxa"/>
        <w:right w:w="0" w:type="dxa"/>
        <w:bottom w:w="0" w:type="dxa"/>
      </w:tblCellMar>
    </w:tblPr>
  </w:style>
  <w:style w:type="table" w:styleId="1262" w:customStyle="1">
    <w:name w:val="Grid Table 6 Colorful - Accent 41"/>
    <w:uiPriority w:val="99"/>
    <w:qFormat/>
    <w:tblPr>
      <w:tblCellMar>
        <w:left w:w="0" w:type="dxa"/>
        <w:top w:w="0" w:type="dxa"/>
        <w:right w:w="0" w:type="dxa"/>
        <w:bottom w:w="0" w:type="dxa"/>
      </w:tblCellMar>
    </w:tblPr>
  </w:style>
  <w:style w:type="table" w:styleId="1263" w:customStyle="1">
    <w:name w:val="Grid Table 6 Colorful - Accent 51"/>
    <w:uiPriority w:val="99"/>
    <w:qFormat/>
    <w:tblPr>
      <w:tblCellMar>
        <w:left w:w="0" w:type="dxa"/>
        <w:top w:w="0" w:type="dxa"/>
        <w:right w:w="0" w:type="dxa"/>
        <w:bottom w:w="0" w:type="dxa"/>
      </w:tblCellMar>
    </w:tblPr>
  </w:style>
  <w:style w:type="table" w:styleId="1264" w:customStyle="1">
    <w:name w:val="Grid Table 6 Colorful - Accent 61"/>
    <w:uiPriority w:val="99"/>
    <w:qFormat/>
    <w:tblPr>
      <w:tblCellMar>
        <w:left w:w="0" w:type="dxa"/>
        <w:top w:w="0" w:type="dxa"/>
        <w:right w:w="0" w:type="dxa"/>
        <w:bottom w:w="0" w:type="dxa"/>
      </w:tblCellMar>
    </w:tblPr>
  </w:style>
  <w:style w:type="table" w:styleId="1265" w:customStyle="1">
    <w:name w:val="Grid Table 7 Colorful - Accent 11"/>
    <w:uiPriority w:val="99"/>
    <w:qFormat/>
    <w:tblPr>
      <w:tblCellMar>
        <w:left w:w="0" w:type="dxa"/>
        <w:top w:w="0" w:type="dxa"/>
        <w:right w:w="0" w:type="dxa"/>
        <w:bottom w:w="0" w:type="dxa"/>
      </w:tblCellMar>
    </w:tblPr>
  </w:style>
  <w:style w:type="table" w:styleId="1266" w:customStyle="1">
    <w:name w:val="Grid Table 7 Colorful - Accent 21"/>
    <w:uiPriority w:val="99"/>
    <w:qFormat/>
    <w:tblPr>
      <w:tblCellMar>
        <w:left w:w="0" w:type="dxa"/>
        <w:top w:w="0" w:type="dxa"/>
        <w:right w:w="0" w:type="dxa"/>
        <w:bottom w:w="0" w:type="dxa"/>
      </w:tblCellMar>
    </w:tblPr>
  </w:style>
  <w:style w:type="table" w:styleId="1267" w:customStyle="1">
    <w:name w:val="Grid Table 7 Colorful - Accent 31"/>
    <w:uiPriority w:val="99"/>
    <w:qFormat/>
    <w:tblPr>
      <w:tblCellMar>
        <w:left w:w="0" w:type="dxa"/>
        <w:top w:w="0" w:type="dxa"/>
        <w:right w:w="0" w:type="dxa"/>
        <w:bottom w:w="0" w:type="dxa"/>
      </w:tblCellMar>
    </w:tblPr>
  </w:style>
  <w:style w:type="table" w:styleId="1268" w:customStyle="1">
    <w:name w:val="Grid Table 7 Colorful - Accent 41"/>
    <w:uiPriority w:val="99"/>
    <w:qFormat/>
    <w:tblPr>
      <w:tblCellMar>
        <w:left w:w="0" w:type="dxa"/>
        <w:top w:w="0" w:type="dxa"/>
        <w:right w:w="0" w:type="dxa"/>
        <w:bottom w:w="0" w:type="dxa"/>
      </w:tblCellMar>
    </w:tblPr>
  </w:style>
  <w:style w:type="table" w:styleId="1269" w:customStyle="1">
    <w:name w:val="Grid Table 7 Colorful - Accent 51"/>
    <w:uiPriority w:val="99"/>
    <w:qFormat/>
    <w:tblPr>
      <w:tblCellMar>
        <w:left w:w="0" w:type="dxa"/>
        <w:top w:w="0" w:type="dxa"/>
        <w:right w:w="0" w:type="dxa"/>
        <w:bottom w:w="0" w:type="dxa"/>
      </w:tblCellMar>
    </w:tblPr>
  </w:style>
  <w:style w:type="table" w:styleId="1270" w:customStyle="1">
    <w:name w:val="Grid Table 7 Colorful - Accent 61"/>
    <w:uiPriority w:val="99"/>
    <w:qFormat/>
    <w:tblPr>
      <w:tblCellMar>
        <w:left w:w="0" w:type="dxa"/>
        <w:top w:w="0" w:type="dxa"/>
        <w:right w:w="0" w:type="dxa"/>
        <w:bottom w:w="0" w:type="dxa"/>
      </w:tblCellMar>
    </w:tblPr>
  </w:style>
  <w:style w:type="table" w:styleId="1271" w:customStyle="1">
    <w:name w:val="List Table 1 Light - Accent 11"/>
    <w:uiPriority w:val="99"/>
    <w:qFormat/>
    <w:tblPr>
      <w:tblCellMar>
        <w:left w:w="0" w:type="dxa"/>
        <w:top w:w="0" w:type="dxa"/>
        <w:right w:w="0" w:type="dxa"/>
        <w:bottom w:w="0" w:type="dxa"/>
      </w:tblCellMar>
    </w:tblPr>
  </w:style>
  <w:style w:type="table" w:styleId="1272" w:customStyle="1">
    <w:name w:val="List Table 1 Light - Accent 21"/>
    <w:uiPriority w:val="99"/>
    <w:qFormat/>
    <w:tblPr>
      <w:tblCellMar>
        <w:left w:w="0" w:type="dxa"/>
        <w:top w:w="0" w:type="dxa"/>
        <w:right w:w="0" w:type="dxa"/>
        <w:bottom w:w="0" w:type="dxa"/>
      </w:tblCellMar>
    </w:tblPr>
  </w:style>
  <w:style w:type="table" w:styleId="1273" w:customStyle="1">
    <w:name w:val="List Table 1 Light - Accent 31"/>
    <w:uiPriority w:val="99"/>
    <w:qFormat/>
    <w:tblPr>
      <w:tblCellMar>
        <w:left w:w="0" w:type="dxa"/>
        <w:top w:w="0" w:type="dxa"/>
        <w:right w:w="0" w:type="dxa"/>
        <w:bottom w:w="0" w:type="dxa"/>
      </w:tblCellMar>
    </w:tblPr>
  </w:style>
  <w:style w:type="table" w:styleId="1274" w:customStyle="1">
    <w:name w:val="List Table 1 Light - Accent 41"/>
    <w:uiPriority w:val="99"/>
    <w:qFormat/>
    <w:tblPr>
      <w:tblCellMar>
        <w:left w:w="0" w:type="dxa"/>
        <w:top w:w="0" w:type="dxa"/>
        <w:right w:w="0" w:type="dxa"/>
        <w:bottom w:w="0" w:type="dxa"/>
      </w:tblCellMar>
    </w:tblPr>
  </w:style>
  <w:style w:type="table" w:styleId="1275" w:customStyle="1">
    <w:name w:val="List Table 1 Light - Accent 51"/>
    <w:uiPriority w:val="99"/>
    <w:qFormat/>
    <w:tblPr>
      <w:tblCellMar>
        <w:left w:w="0" w:type="dxa"/>
        <w:top w:w="0" w:type="dxa"/>
        <w:right w:w="0" w:type="dxa"/>
        <w:bottom w:w="0" w:type="dxa"/>
      </w:tblCellMar>
    </w:tblPr>
  </w:style>
  <w:style w:type="table" w:styleId="1276" w:customStyle="1">
    <w:name w:val="List Table 1 Light - Accent 61"/>
    <w:uiPriority w:val="99"/>
    <w:qFormat/>
    <w:tblPr>
      <w:tblCellMar>
        <w:left w:w="0" w:type="dxa"/>
        <w:top w:w="0" w:type="dxa"/>
        <w:right w:w="0" w:type="dxa"/>
        <w:bottom w:w="0" w:type="dxa"/>
      </w:tblCellMar>
    </w:tblPr>
  </w:style>
  <w:style w:type="table" w:styleId="1277" w:customStyle="1">
    <w:name w:val="List Table 2 - Accent 11"/>
    <w:uiPriority w:val="99"/>
    <w:qFormat/>
    <w:tblPr>
      <w:tblCellMar>
        <w:left w:w="0" w:type="dxa"/>
        <w:top w:w="0" w:type="dxa"/>
        <w:right w:w="0" w:type="dxa"/>
        <w:bottom w:w="0" w:type="dxa"/>
      </w:tblCellMar>
    </w:tblPr>
  </w:style>
  <w:style w:type="table" w:styleId="1278" w:customStyle="1">
    <w:name w:val="List Table 2 - Accent 21"/>
    <w:uiPriority w:val="99"/>
    <w:qFormat/>
    <w:tblPr>
      <w:tblCellMar>
        <w:left w:w="0" w:type="dxa"/>
        <w:top w:w="0" w:type="dxa"/>
        <w:right w:w="0" w:type="dxa"/>
        <w:bottom w:w="0" w:type="dxa"/>
      </w:tblCellMar>
    </w:tblPr>
  </w:style>
  <w:style w:type="table" w:styleId="1279" w:customStyle="1">
    <w:name w:val="List Table 2 - Accent 31"/>
    <w:uiPriority w:val="99"/>
    <w:qFormat/>
    <w:tblPr>
      <w:tblCellMar>
        <w:left w:w="0" w:type="dxa"/>
        <w:top w:w="0" w:type="dxa"/>
        <w:right w:w="0" w:type="dxa"/>
        <w:bottom w:w="0" w:type="dxa"/>
      </w:tblCellMar>
    </w:tblPr>
  </w:style>
  <w:style w:type="table" w:styleId="1280" w:customStyle="1">
    <w:name w:val="List Table 2 - Accent 41"/>
    <w:uiPriority w:val="99"/>
    <w:qFormat/>
    <w:tblPr>
      <w:tblCellMar>
        <w:left w:w="0" w:type="dxa"/>
        <w:top w:w="0" w:type="dxa"/>
        <w:right w:w="0" w:type="dxa"/>
        <w:bottom w:w="0" w:type="dxa"/>
      </w:tblCellMar>
    </w:tblPr>
  </w:style>
  <w:style w:type="table" w:styleId="1281" w:customStyle="1">
    <w:name w:val="List Table 2 - Accent 51"/>
    <w:uiPriority w:val="99"/>
    <w:qFormat/>
    <w:tblPr>
      <w:tblCellMar>
        <w:left w:w="0" w:type="dxa"/>
        <w:top w:w="0" w:type="dxa"/>
        <w:right w:w="0" w:type="dxa"/>
        <w:bottom w:w="0" w:type="dxa"/>
      </w:tblCellMar>
    </w:tblPr>
  </w:style>
  <w:style w:type="table" w:styleId="1282" w:customStyle="1">
    <w:name w:val="List Table 2 - Accent 61"/>
    <w:uiPriority w:val="99"/>
    <w:qFormat/>
    <w:tblPr>
      <w:tblCellMar>
        <w:left w:w="0" w:type="dxa"/>
        <w:top w:w="0" w:type="dxa"/>
        <w:right w:w="0" w:type="dxa"/>
        <w:bottom w:w="0" w:type="dxa"/>
      </w:tblCellMar>
    </w:tblPr>
  </w:style>
  <w:style w:type="table" w:styleId="1283" w:customStyle="1">
    <w:name w:val="List Table 3 - Accent 11"/>
    <w:uiPriority w:val="99"/>
    <w:qFormat/>
    <w:tblPr>
      <w:tblCellMar>
        <w:left w:w="0" w:type="dxa"/>
        <w:top w:w="0" w:type="dxa"/>
        <w:right w:w="0" w:type="dxa"/>
        <w:bottom w:w="0" w:type="dxa"/>
      </w:tblCellMar>
    </w:tblPr>
  </w:style>
  <w:style w:type="table" w:styleId="1284" w:customStyle="1">
    <w:name w:val="List Table 3 - Accent 21"/>
    <w:uiPriority w:val="99"/>
    <w:qFormat/>
    <w:tblPr>
      <w:tblCellMar>
        <w:left w:w="0" w:type="dxa"/>
        <w:top w:w="0" w:type="dxa"/>
        <w:right w:w="0" w:type="dxa"/>
        <w:bottom w:w="0" w:type="dxa"/>
      </w:tblCellMar>
    </w:tblPr>
  </w:style>
  <w:style w:type="table" w:styleId="1285" w:customStyle="1">
    <w:name w:val="List Table 3 - Accent 31"/>
    <w:uiPriority w:val="99"/>
    <w:qFormat/>
    <w:tblPr>
      <w:tblCellMar>
        <w:left w:w="0" w:type="dxa"/>
        <w:top w:w="0" w:type="dxa"/>
        <w:right w:w="0" w:type="dxa"/>
        <w:bottom w:w="0" w:type="dxa"/>
      </w:tblCellMar>
    </w:tblPr>
  </w:style>
  <w:style w:type="table" w:styleId="1286" w:customStyle="1">
    <w:name w:val="List Table 3 - Accent 41"/>
    <w:uiPriority w:val="99"/>
    <w:qFormat/>
    <w:tblPr>
      <w:tblCellMar>
        <w:left w:w="0" w:type="dxa"/>
        <w:top w:w="0" w:type="dxa"/>
        <w:right w:w="0" w:type="dxa"/>
        <w:bottom w:w="0" w:type="dxa"/>
      </w:tblCellMar>
    </w:tblPr>
  </w:style>
  <w:style w:type="table" w:styleId="1287" w:customStyle="1">
    <w:name w:val="List Table 3 - Accent 51"/>
    <w:uiPriority w:val="99"/>
    <w:qFormat/>
    <w:tblPr>
      <w:tblCellMar>
        <w:left w:w="0" w:type="dxa"/>
        <w:top w:w="0" w:type="dxa"/>
        <w:right w:w="0" w:type="dxa"/>
        <w:bottom w:w="0" w:type="dxa"/>
      </w:tblCellMar>
    </w:tblPr>
  </w:style>
  <w:style w:type="table" w:styleId="1288" w:customStyle="1">
    <w:name w:val="List Table 3 - Accent 61"/>
    <w:uiPriority w:val="99"/>
    <w:qFormat/>
    <w:tblPr>
      <w:tblCellMar>
        <w:left w:w="0" w:type="dxa"/>
        <w:top w:w="0" w:type="dxa"/>
        <w:right w:w="0" w:type="dxa"/>
        <w:bottom w:w="0" w:type="dxa"/>
      </w:tblCellMar>
    </w:tblPr>
  </w:style>
  <w:style w:type="table" w:styleId="1289" w:customStyle="1">
    <w:name w:val="List Table 4 - Accent 11"/>
    <w:uiPriority w:val="99"/>
    <w:qFormat/>
    <w:tblPr>
      <w:tblCellMar>
        <w:left w:w="0" w:type="dxa"/>
        <w:top w:w="0" w:type="dxa"/>
        <w:right w:w="0" w:type="dxa"/>
        <w:bottom w:w="0" w:type="dxa"/>
      </w:tblCellMar>
    </w:tblPr>
  </w:style>
  <w:style w:type="table" w:styleId="1290" w:customStyle="1">
    <w:name w:val="List Table 4 - Accent 21"/>
    <w:uiPriority w:val="99"/>
    <w:qFormat/>
    <w:tblPr>
      <w:tblCellMar>
        <w:left w:w="0" w:type="dxa"/>
        <w:top w:w="0" w:type="dxa"/>
        <w:right w:w="0" w:type="dxa"/>
        <w:bottom w:w="0" w:type="dxa"/>
      </w:tblCellMar>
    </w:tblPr>
  </w:style>
  <w:style w:type="table" w:styleId="1291" w:customStyle="1">
    <w:name w:val="List Table 4 - Accent 31"/>
    <w:uiPriority w:val="99"/>
    <w:qFormat/>
    <w:tblPr>
      <w:tblCellMar>
        <w:left w:w="0" w:type="dxa"/>
        <w:top w:w="0" w:type="dxa"/>
        <w:right w:w="0" w:type="dxa"/>
        <w:bottom w:w="0" w:type="dxa"/>
      </w:tblCellMar>
    </w:tblPr>
  </w:style>
  <w:style w:type="table" w:styleId="1292" w:customStyle="1">
    <w:name w:val="List Table 4 - Accent 41"/>
    <w:uiPriority w:val="99"/>
    <w:qFormat/>
    <w:tblPr>
      <w:tblCellMar>
        <w:left w:w="0" w:type="dxa"/>
        <w:top w:w="0" w:type="dxa"/>
        <w:right w:w="0" w:type="dxa"/>
        <w:bottom w:w="0" w:type="dxa"/>
      </w:tblCellMar>
    </w:tblPr>
  </w:style>
  <w:style w:type="table" w:styleId="1293" w:customStyle="1">
    <w:name w:val="List Table 4 - Accent 51"/>
    <w:uiPriority w:val="99"/>
    <w:qFormat/>
    <w:tblPr>
      <w:tblCellMar>
        <w:left w:w="0" w:type="dxa"/>
        <w:top w:w="0" w:type="dxa"/>
        <w:right w:w="0" w:type="dxa"/>
        <w:bottom w:w="0" w:type="dxa"/>
      </w:tblCellMar>
    </w:tblPr>
  </w:style>
  <w:style w:type="table" w:styleId="1294" w:customStyle="1">
    <w:name w:val="List Table 4 - Accent 61"/>
    <w:uiPriority w:val="99"/>
    <w:qFormat/>
    <w:tblPr>
      <w:tblCellMar>
        <w:left w:w="0" w:type="dxa"/>
        <w:top w:w="0" w:type="dxa"/>
        <w:right w:w="0" w:type="dxa"/>
        <w:bottom w:w="0" w:type="dxa"/>
      </w:tblCellMar>
    </w:tblPr>
  </w:style>
  <w:style w:type="table" w:styleId="1295" w:customStyle="1">
    <w:name w:val="List Table 5 Dark - Accent 11"/>
    <w:uiPriority w:val="99"/>
    <w:qFormat/>
    <w:tblPr>
      <w:tblCellMar>
        <w:left w:w="0" w:type="dxa"/>
        <w:top w:w="0" w:type="dxa"/>
        <w:right w:w="0" w:type="dxa"/>
        <w:bottom w:w="0" w:type="dxa"/>
      </w:tblCellMar>
    </w:tblPr>
  </w:style>
  <w:style w:type="table" w:styleId="1296" w:customStyle="1">
    <w:name w:val="List Table 5 Dark - Accent 21"/>
    <w:uiPriority w:val="99"/>
    <w:qFormat/>
    <w:tblPr>
      <w:tblCellMar>
        <w:left w:w="0" w:type="dxa"/>
        <w:top w:w="0" w:type="dxa"/>
        <w:right w:w="0" w:type="dxa"/>
        <w:bottom w:w="0" w:type="dxa"/>
      </w:tblCellMar>
    </w:tblPr>
  </w:style>
  <w:style w:type="table" w:styleId="1297" w:customStyle="1">
    <w:name w:val="List Table 5 Dark - Accent 31"/>
    <w:uiPriority w:val="99"/>
    <w:qFormat/>
    <w:tblPr>
      <w:tblCellMar>
        <w:left w:w="0" w:type="dxa"/>
        <w:top w:w="0" w:type="dxa"/>
        <w:right w:w="0" w:type="dxa"/>
        <w:bottom w:w="0" w:type="dxa"/>
      </w:tblCellMar>
    </w:tblPr>
  </w:style>
  <w:style w:type="table" w:styleId="1298" w:customStyle="1">
    <w:name w:val="List Table 5 Dark - Accent 41"/>
    <w:uiPriority w:val="99"/>
    <w:qFormat/>
    <w:tblPr>
      <w:tblCellMar>
        <w:left w:w="0" w:type="dxa"/>
        <w:top w:w="0" w:type="dxa"/>
        <w:right w:w="0" w:type="dxa"/>
        <w:bottom w:w="0" w:type="dxa"/>
      </w:tblCellMar>
    </w:tblPr>
  </w:style>
  <w:style w:type="table" w:styleId="1299" w:customStyle="1">
    <w:name w:val="List Table 5 Dark - Accent 51"/>
    <w:uiPriority w:val="99"/>
    <w:qFormat/>
    <w:tblPr>
      <w:tblCellMar>
        <w:left w:w="0" w:type="dxa"/>
        <w:top w:w="0" w:type="dxa"/>
        <w:right w:w="0" w:type="dxa"/>
        <w:bottom w:w="0" w:type="dxa"/>
      </w:tblCellMar>
    </w:tblPr>
  </w:style>
  <w:style w:type="table" w:styleId="1300" w:customStyle="1">
    <w:name w:val="List Table 5 Dark - Accent 61"/>
    <w:uiPriority w:val="99"/>
    <w:qFormat/>
    <w:tblPr>
      <w:tblCellMar>
        <w:left w:w="0" w:type="dxa"/>
        <w:top w:w="0" w:type="dxa"/>
        <w:right w:w="0" w:type="dxa"/>
        <w:bottom w:w="0" w:type="dxa"/>
      </w:tblCellMar>
    </w:tblPr>
  </w:style>
  <w:style w:type="table" w:styleId="1301" w:customStyle="1">
    <w:name w:val="List Table 6 Colorful - Accent 11"/>
    <w:uiPriority w:val="99"/>
    <w:qFormat/>
    <w:tblPr>
      <w:tblCellMar>
        <w:left w:w="0" w:type="dxa"/>
        <w:top w:w="0" w:type="dxa"/>
        <w:right w:w="0" w:type="dxa"/>
        <w:bottom w:w="0" w:type="dxa"/>
      </w:tblCellMar>
    </w:tblPr>
  </w:style>
  <w:style w:type="table" w:styleId="1302" w:customStyle="1">
    <w:name w:val="List Table 6 Colorful - Accent 21"/>
    <w:uiPriority w:val="99"/>
    <w:qFormat/>
    <w:tblPr>
      <w:tblCellMar>
        <w:left w:w="0" w:type="dxa"/>
        <w:top w:w="0" w:type="dxa"/>
        <w:right w:w="0" w:type="dxa"/>
        <w:bottom w:w="0" w:type="dxa"/>
      </w:tblCellMar>
    </w:tblPr>
  </w:style>
  <w:style w:type="table" w:styleId="1303" w:customStyle="1">
    <w:name w:val="List Table 6 Colorful - Accent 31"/>
    <w:uiPriority w:val="99"/>
    <w:qFormat/>
    <w:tblPr>
      <w:tblCellMar>
        <w:left w:w="0" w:type="dxa"/>
        <w:top w:w="0" w:type="dxa"/>
        <w:right w:w="0" w:type="dxa"/>
        <w:bottom w:w="0" w:type="dxa"/>
      </w:tblCellMar>
    </w:tblPr>
  </w:style>
  <w:style w:type="table" w:styleId="1304" w:customStyle="1">
    <w:name w:val="List Table 6 Colorful - Accent 41"/>
    <w:uiPriority w:val="99"/>
    <w:qFormat/>
    <w:tblPr>
      <w:tblCellMar>
        <w:left w:w="0" w:type="dxa"/>
        <w:top w:w="0" w:type="dxa"/>
        <w:right w:w="0" w:type="dxa"/>
        <w:bottom w:w="0" w:type="dxa"/>
      </w:tblCellMar>
    </w:tblPr>
  </w:style>
  <w:style w:type="table" w:styleId="1305" w:customStyle="1">
    <w:name w:val="List Table 6 Colorful - Accent 51"/>
    <w:uiPriority w:val="99"/>
    <w:qFormat/>
    <w:tblPr>
      <w:tblCellMar>
        <w:left w:w="0" w:type="dxa"/>
        <w:top w:w="0" w:type="dxa"/>
        <w:right w:w="0" w:type="dxa"/>
        <w:bottom w:w="0" w:type="dxa"/>
      </w:tblCellMar>
    </w:tblPr>
  </w:style>
  <w:style w:type="table" w:styleId="1306" w:customStyle="1">
    <w:name w:val="List Table 6 Colorful - Accent 61"/>
    <w:uiPriority w:val="99"/>
    <w:qFormat/>
    <w:tblPr>
      <w:tblCellMar>
        <w:left w:w="0" w:type="dxa"/>
        <w:top w:w="0" w:type="dxa"/>
        <w:right w:w="0" w:type="dxa"/>
        <w:bottom w:w="0" w:type="dxa"/>
      </w:tblCellMar>
    </w:tblPr>
  </w:style>
  <w:style w:type="table" w:styleId="1307" w:customStyle="1">
    <w:name w:val="List Table 7 Colorful - Accent 11"/>
    <w:uiPriority w:val="99"/>
    <w:qFormat/>
    <w:tblPr>
      <w:tblCellMar>
        <w:left w:w="0" w:type="dxa"/>
        <w:top w:w="0" w:type="dxa"/>
        <w:right w:w="0" w:type="dxa"/>
        <w:bottom w:w="0" w:type="dxa"/>
      </w:tblCellMar>
    </w:tblPr>
  </w:style>
  <w:style w:type="table" w:styleId="1308" w:customStyle="1">
    <w:name w:val="List Table 7 Colorful - Accent 21"/>
    <w:uiPriority w:val="99"/>
    <w:qFormat/>
    <w:tblPr>
      <w:tblCellMar>
        <w:left w:w="0" w:type="dxa"/>
        <w:top w:w="0" w:type="dxa"/>
        <w:right w:w="0" w:type="dxa"/>
        <w:bottom w:w="0" w:type="dxa"/>
      </w:tblCellMar>
    </w:tblPr>
  </w:style>
  <w:style w:type="table" w:styleId="1309" w:customStyle="1">
    <w:name w:val="List Table 7 Colorful - Accent 31"/>
    <w:uiPriority w:val="99"/>
    <w:qFormat/>
    <w:tblPr>
      <w:tblCellMar>
        <w:left w:w="0" w:type="dxa"/>
        <w:top w:w="0" w:type="dxa"/>
        <w:right w:w="0" w:type="dxa"/>
        <w:bottom w:w="0" w:type="dxa"/>
      </w:tblCellMar>
    </w:tblPr>
  </w:style>
  <w:style w:type="table" w:styleId="1310" w:customStyle="1">
    <w:name w:val="List Table 7 Colorful - Accent 41"/>
    <w:uiPriority w:val="99"/>
    <w:qFormat/>
    <w:tblPr>
      <w:tblCellMar>
        <w:left w:w="0" w:type="dxa"/>
        <w:top w:w="0" w:type="dxa"/>
        <w:right w:w="0" w:type="dxa"/>
        <w:bottom w:w="0" w:type="dxa"/>
      </w:tblCellMar>
    </w:tblPr>
  </w:style>
  <w:style w:type="table" w:styleId="1311" w:customStyle="1">
    <w:name w:val="List Table 7 Colorful - Accent 51"/>
    <w:uiPriority w:val="99"/>
    <w:qFormat/>
    <w:tblPr>
      <w:tblCellMar>
        <w:left w:w="0" w:type="dxa"/>
        <w:top w:w="0" w:type="dxa"/>
        <w:right w:w="0" w:type="dxa"/>
        <w:bottom w:w="0" w:type="dxa"/>
      </w:tblCellMar>
    </w:tblPr>
  </w:style>
  <w:style w:type="table" w:styleId="1312" w:customStyle="1">
    <w:name w:val="List Table 7 Colorful - Accent 61"/>
    <w:uiPriority w:val="99"/>
    <w:qFormat/>
    <w:tblPr>
      <w:tblCellMar>
        <w:left w:w="0" w:type="dxa"/>
        <w:top w:w="0" w:type="dxa"/>
        <w:right w:w="0" w:type="dxa"/>
        <w:bottom w:w="0" w:type="dxa"/>
      </w:tblCellMar>
    </w:tblPr>
  </w:style>
  <w:style w:type="table" w:styleId="1313" w:customStyle="1">
    <w:name w:val="Lined - Accent 11"/>
    <w:uiPriority w:val="99"/>
    <w:qFormat/>
    <w:rPr>
      <w:color w:val="404040"/>
    </w:rPr>
    <w:tblPr>
      <w:tblCellMar>
        <w:left w:w="0" w:type="dxa"/>
        <w:top w:w="0" w:type="dxa"/>
        <w:right w:w="0" w:type="dxa"/>
        <w:bottom w:w="0" w:type="dxa"/>
      </w:tblCellMar>
    </w:tblPr>
  </w:style>
  <w:style w:type="table" w:styleId="1314" w:customStyle="1">
    <w:name w:val="Lined - Accent 21"/>
    <w:uiPriority w:val="99"/>
    <w:qFormat/>
    <w:rPr>
      <w:color w:val="404040"/>
    </w:rPr>
    <w:tblPr>
      <w:tblCellMar>
        <w:left w:w="0" w:type="dxa"/>
        <w:top w:w="0" w:type="dxa"/>
        <w:right w:w="0" w:type="dxa"/>
        <w:bottom w:w="0" w:type="dxa"/>
      </w:tblCellMar>
    </w:tblPr>
  </w:style>
  <w:style w:type="table" w:styleId="1315" w:customStyle="1">
    <w:name w:val="Lined - Accent 31"/>
    <w:uiPriority w:val="99"/>
    <w:qFormat/>
    <w:rPr>
      <w:color w:val="404040"/>
    </w:rPr>
    <w:tblPr>
      <w:tblCellMar>
        <w:left w:w="0" w:type="dxa"/>
        <w:top w:w="0" w:type="dxa"/>
        <w:right w:w="0" w:type="dxa"/>
        <w:bottom w:w="0" w:type="dxa"/>
      </w:tblCellMar>
    </w:tblPr>
  </w:style>
  <w:style w:type="table" w:styleId="1316" w:customStyle="1">
    <w:name w:val="Lined - Accent 41"/>
    <w:uiPriority w:val="99"/>
    <w:qFormat/>
    <w:rPr>
      <w:color w:val="404040"/>
    </w:rPr>
    <w:tblPr>
      <w:tblCellMar>
        <w:left w:w="0" w:type="dxa"/>
        <w:top w:w="0" w:type="dxa"/>
        <w:right w:w="0" w:type="dxa"/>
        <w:bottom w:w="0" w:type="dxa"/>
      </w:tblCellMar>
    </w:tblPr>
  </w:style>
  <w:style w:type="table" w:styleId="1317" w:customStyle="1">
    <w:name w:val="Lined - Accent 51"/>
    <w:uiPriority w:val="99"/>
    <w:qFormat/>
    <w:rPr>
      <w:color w:val="404040"/>
    </w:rPr>
    <w:tblPr>
      <w:tblCellMar>
        <w:left w:w="0" w:type="dxa"/>
        <w:top w:w="0" w:type="dxa"/>
        <w:right w:w="0" w:type="dxa"/>
        <w:bottom w:w="0" w:type="dxa"/>
      </w:tblCellMar>
    </w:tblPr>
  </w:style>
  <w:style w:type="table" w:styleId="1318" w:customStyle="1">
    <w:name w:val="Lined - Accent 61"/>
    <w:uiPriority w:val="99"/>
    <w:qFormat/>
    <w:rPr>
      <w:color w:val="404040"/>
    </w:rPr>
    <w:tblPr>
      <w:tblCellMar>
        <w:left w:w="0" w:type="dxa"/>
        <w:top w:w="0" w:type="dxa"/>
        <w:right w:w="0" w:type="dxa"/>
        <w:bottom w:w="0" w:type="dxa"/>
      </w:tblCellMar>
    </w:tblPr>
  </w:style>
  <w:style w:type="table" w:styleId="1319" w:customStyle="1">
    <w:name w:val="Bordered &amp; Lined - Accent 11"/>
    <w:uiPriority w:val="99"/>
    <w:qFormat/>
    <w:rPr>
      <w:color w:val="404040"/>
    </w:rPr>
    <w:tblPr>
      <w:tblCellMar>
        <w:left w:w="0" w:type="dxa"/>
        <w:top w:w="0" w:type="dxa"/>
        <w:right w:w="0" w:type="dxa"/>
        <w:bottom w:w="0" w:type="dxa"/>
      </w:tblCellMar>
    </w:tblPr>
  </w:style>
  <w:style w:type="table" w:styleId="1320" w:customStyle="1">
    <w:name w:val="Bordered &amp; Lined - Accent 21"/>
    <w:uiPriority w:val="99"/>
    <w:qFormat/>
    <w:rPr>
      <w:color w:val="404040"/>
    </w:rPr>
    <w:tblPr>
      <w:tblCellMar>
        <w:left w:w="0" w:type="dxa"/>
        <w:top w:w="0" w:type="dxa"/>
        <w:right w:w="0" w:type="dxa"/>
        <w:bottom w:w="0" w:type="dxa"/>
      </w:tblCellMar>
    </w:tblPr>
  </w:style>
  <w:style w:type="table" w:styleId="1321" w:customStyle="1">
    <w:name w:val="Bordered &amp; Lined - Accent 31"/>
    <w:uiPriority w:val="99"/>
    <w:qFormat/>
    <w:rPr>
      <w:color w:val="404040"/>
    </w:rPr>
    <w:tblPr>
      <w:tblCellMar>
        <w:left w:w="0" w:type="dxa"/>
        <w:top w:w="0" w:type="dxa"/>
        <w:right w:w="0" w:type="dxa"/>
        <w:bottom w:w="0" w:type="dxa"/>
      </w:tblCellMar>
    </w:tblPr>
  </w:style>
  <w:style w:type="table" w:styleId="1322" w:customStyle="1">
    <w:name w:val="Bordered &amp; Lined - Accent 41"/>
    <w:uiPriority w:val="99"/>
    <w:qFormat/>
    <w:rPr>
      <w:color w:val="404040"/>
    </w:rPr>
    <w:tblPr>
      <w:tblCellMar>
        <w:left w:w="0" w:type="dxa"/>
        <w:top w:w="0" w:type="dxa"/>
        <w:right w:w="0" w:type="dxa"/>
        <w:bottom w:w="0" w:type="dxa"/>
      </w:tblCellMar>
    </w:tblPr>
  </w:style>
  <w:style w:type="table" w:styleId="1323" w:customStyle="1">
    <w:name w:val="Bordered &amp; Lined - Accent 51"/>
    <w:uiPriority w:val="99"/>
    <w:qFormat/>
    <w:rPr>
      <w:color w:val="404040"/>
    </w:rPr>
    <w:tblPr>
      <w:tblCellMar>
        <w:left w:w="0" w:type="dxa"/>
        <w:top w:w="0" w:type="dxa"/>
        <w:right w:w="0" w:type="dxa"/>
        <w:bottom w:w="0" w:type="dxa"/>
      </w:tblCellMar>
    </w:tblPr>
  </w:style>
  <w:style w:type="table" w:styleId="1324" w:customStyle="1">
    <w:name w:val="Bordered &amp; Lined - Accent 61"/>
    <w:uiPriority w:val="99"/>
    <w:qFormat/>
    <w:rPr>
      <w:color w:val="404040"/>
    </w:rPr>
    <w:tblPr>
      <w:tblCellMar>
        <w:left w:w="0" w:type="dxa"/>
        <w:top w:w="0" w:type="dxa"/>
        <w:right w:w="0" w:type="dxa"/>
        <w:bottom w:w="0" w:type="dxa"/>
      </w:tblCellMar>
    </w:tblPr>
  </w:style>
  <w:style w:type="table" w:styleId="1325" w:customStyle="1">
    <w:name w:val="Bordered1"/>
    <w:uiPriority w:val="99"/>
    <w:qFormat/>
    <w:tblPr>
      <w:tblCellMar>
        <w:left w:w="0" w:type="dxa"/>
        <w:top w:w="0" w:type="dxa"/>
        <w:right w:w="0" w:type="dxa"/>
        <w:bottom w:w="0" w:type="dxa"/>
      </w:tblCellMar>
    </w:tblPr>
  </w:style>
  <w:style w:type="table" w:styleId="1326" w:customStyle="1">
    <w:name w:val="Bordered - Accent 11"/>
    <w:uiPriority w:val="99"/>
    <w:qFormat/>
    <w:tblPr>
      <w:tblCellMar>
        <w:left w:w="0" w:type="dxa"/>
        <w:top w:w="0" w:type="dxa"/>
        <w:right w:w="0" w:type="dxa"/>
        <w:bottom w:w="0" w:type="dxa"/>
      </w:tblCellMar>
    </w:tblPr>
  </w:style>
  <w:style w:type="table" w:styleId="1327" w:customStyle="1">
    <w:name w:val="Bordered - Accent 21"/>
    <w:uiPriority w:val="99"/>
    <w:qFormat/>
    <w:tblPr>
      <w:tblCellMar>
        <w:left w:w="0" w:type="dxa"/>
        <w:top w:w="0" w:type="dxa"/>
        <w:right w:w="0" w:type="dxa"/>
        <w:bottom w:w="0" w:type="dxa"/>
      </w:tblCellMar>
    </w:tblPr>
  </w:style>
  <w:style w:type="table" w:styleId="1328" w:customStyle="1">
    <w:name w:val="Bordered - Accent 31"/>
    <w:uiPriority w:val="99"/>
    <w:qFormat/>
    <w:tblPr>
      <w:tblCellMar>
        <w:left w:w="0" w:type="dxa"/>
        <w:top w:w="0" w:type="dxa"/>
        <w:right w:w="0" w:type="dxa"/>
        <w:bottom w:w="0" w:type="dxa"/>
      </w:tblCellMar>
    </w:tblPr>
  </w:style>
  <w:style w:type="table" w:styleId="1329" w:customStyle="1">
    <w:name w:val="Bordered - Accent 41"/>
    <w:uiPriority w:val="99"/>
    <w:qFormat/>
    <w:tblPr>
      <w:tblCellMar>
        <w:left w:w="0" w:type="dxa"/>
        <w:top w:w="0" w:type="dxa"/>
        <w:right w:w="0" w:type="dxa"/>
        <w:bottom w:w="0" w:type="dxa"/>
      </w:tblCellMar>
    </w:tblPr>
  </w:style>
  <w:style w:type="table" w:styleId="1330" w:customStyle="1">
    <w:name w:val="Bordered - Accent 51"/>
    <w:uiPriority w:val="99"/>
    <w:qFormat/>
    <w:tblPr>
      <w:tblCellMar>
        <w:left w:w="0" w:type="dxa"/>
        <w:top w:w="0" w:type="dxa"/>
        <w:right w:w="0" w:type="dxa"/>
        <w:bottom w:w="0" w:type="dxa"/>
      </w:tblCellMar>
    </w:tblPr>
  </w:style>
  <w:style w:type="table" w:styleId="1331" w:customStyle="1">
    <w:name w:val="Bordered - Accent 61"/>
    <w:uiPriority w:val="99"/>
    <w:qFormat/>
    <w:tblPr>
      <w:tblCellMar>
        <w:left w:w="0" w:type="dxa"/>
        <w:top w:w="0" w:type="dxa"/>
        <w:right w:w="0" w:type="dxa"/>
        <w:bottom w:w="0" w:type="dxa"/>
      </w:tblCellMar>
    </w:tblPr>
  </w:style>
  <w:style w:type="paragraph" w:styleId="1332" w:customStyle="1">
    <w:name w:val="标题 11"/>
    <w:basedOn w:val="827"/>
    <w:next w:val="827"/>
    <w:qFormat/>
    <w:pPr>
      <w:jc w:val="center"/>
      <w:keepNext/>
      <w:outlineLvl w:val="0"/>
    </w:pPr>
    <w:rPr>
      <w:b/>
      <w:bCs/>
      <w:sz w:val="44"/>
      <w:szCs w:val="44"/>
    </w:rPr>
  </w:style>
  <w:style w:type="paragraph" w:styleId="1333" w:customStyle="1">
    <w:name w:val="标题 21"/>
    <w:basedOn w:val="827"/>
    <w:next w:val="1088"/>
    <w:uiPriority w:val="9"/>
    <w:qFormat/>
    <w:pPr>
      <w:jc w:val="center"/>
      <w:keepLines/>
      <w:keepNext/>
      <w:spacing w:before="260" w:after="260" w:line="416" w:lineRule="auto"/>
      <w:outlineLvl w:val="1"/>
    </w:pPr>
    <w:rPr>
      <w:rFonts w:ascii="Cambria" w:hAnsi="Cambria"/>
      <w:b/>
      <w:bCs/>
      <w:sz w:val="32"/>
      <w:szCs w:val="32"/>
    </w:rPr>
  </w:style>
  <w:style w:type="paragraph" w:styleId="1334" w:customStyle="1">
    <w:name w:val="标题 51"/>
    <w:basedOn w:val="827"/>
    <w:next w:val="1088"/>
    <w:qFormat/>
    <w:pPr>
      <w:keepNext/>
      <w:outlineLvl w:val="4"/>
    </w:pPr>
    <w:rPr>
      <w:b/>
      <w:bCs/>
      <w:sz w:val="28"/>
      <w:szCs w:val="28"/>
    </w:rPr>
  </w:style>
  <w:style w:type="paragraph" w:styleId="1335" w:customStyle="1">
    <w:name w:val="标题 61"/>
    <w:basedOn w:val="827"/>
    <w:next w:val="827"/>
    <w:qFormat/>
    <w:pPr>
      <w:numPr>
        <w:ilvl w:val="5"/>
        <w:numId w:val="4"/>
      </w:numPr>
      <w:keepLines/>
      <w:keepNext/>
      <w:spacing w:before="240" w:after="64" w:line="320" w:lineRule="auto"/>
      <w:outlineLvl w:val="5"/>
    </w:pPr>
    <w:rPr>
      <w:rFonts w:ascii="Cambria" w:hAnsi="Cambria"/>
      <w:b/>
      <w:bCs/>
      <w:sz w:val="24"/>
      <w:szCs w:val="24"/>
    </w:rPr>
  </w:style>
  <w:style w:type="paragraph" w:styleId="1336" w:customStyle="1">
    <w:name w:val="标题 71"/>
    <w:basedOn w:val="827"/>
    <w:next w:val="827"/>
    <w:qFormat/>
    <w:pPr>
      <w:numPr>
        <w:ilvl w:val="6"/>
        <w:numId w:val="4"/>
      </w:numPr>
      <w:keepLines/>
      <w:keepNext/>
      <w:spacing w:before="240" w:after="64" w:line="320" w:lineRule="auto"/>
      <w:outlineLvl w:val="6"/>
    </w:pPr>
    <w:rPr>
      <w:b/>
      <w:bCs/>
      <w:sz w:val="24"/>
      <w:szCs w:val="24"/>
    </w:rPr>
  </w:style>
  <w:style w:type="paragraph" w:styleId="1337" w:customStyle="1">
    <w:name w:val="标题 81"/>
    <w:basedOn w:val="827"/>
    <w:next w:val="827"/>
    <w:qFormat/>
    <w:pPr>
      <w:numPr>
        <w:ilvl w:val="7"/>
        <w:numId w:val="4"/>
      </w:numPr>
      <w:keepLines/>
      <w:keepNext/>
      <w:spacing w:before="240" w:after="64" w:line="320" w:lineRule="auto"/>
      <w:outlineLvl w:val="7"/>
    </w:pPr>
    <w:rPr>
      <w:rFonts w:ascii="Cambria" w:hAnsi="Cambria"/>
      <w:sz w:val="24"/>
      <w:szCs w:val="24"/>
    </w:rPr>
  </w:style>
  <w:style w:type="paragraph" w:styleId="1338" w:customStyle="1">
    <w:name w:val="标题 91"/>
    <w:basedOn w:val="827"/>
    <w:next w:val="827"/>
    <w:qFormat/>
    <w:pPr>
      <w:numPr>
        <w:ilvl w:val="8"/>
        <w:numId w:val="4"/>
      </w:numPr>
      <w:keepLines/>
      <w:keepNext/>
      <w:spacing w:before="240" w:after="64" w:line="320" w:lineRule="auto"/>
      <w:outlineLvl w:val="8"/>
    </w:pPr>
    <w:rPr>
      <w:rFonts w:ascii="Cambria" w:hAnsi="Cambria"/>
      <w:szCs w:val="21"/>
    </w:rPr>
  </w:style>
  <w:style w:type="table" w:styleId="1339" w:customStyle="1">
    <w:name w:val="普通表格12"/>
    <w:uiPriority w:val="99"/>
    <w:unhideWhenUsed/>
    <w:qFormat/>
    <w:tblPr>
      <w:tblCellMar>
        <w:left w:w="0" w:type="dxa"/>
        <w:top w:w="0" w:type="dxa"/>
        <w:right w:w="0" w:type="dxa"/>
        <w:bottom w:w="0" w:type="dxa"/>
      </w:tblCellMar>
    </w:tblPr>
  </w:style>
  <w:style w:type="paragraph" w:styleId="1340" w:customStyle="1">
    <w:name w:val="列表 31"/>
    <w:basedOn w:val="827"/>
    <w:qFormat/>
    <w:pPr>
      <w:ind w:left="100" w:hanging="200"/>
    </w:pPr>
    <w:rPr>
      <w:szCs w:val="21"/>
    </w:rPr>
  </w:style>
  <w:style w:type="paragraph" w:styleId="1341" w:customStyle="1">
    <w:name w:val="文档结构图1"/>
    <w:basedOn w:val="827"/>
    <w:semiHidden/>
    <w:qFormat/>
    <w:pPr>
      <w:shd w:val="clear" w:color="auto" w:fill="000080"/>
    </w:pPr>
    <w:rPr>
      <w:szCs w:val="21"/>
    </w:rPr>
  </w:style>
  <w:style w:type="paragraph" w:styleId="1342" w:customStyle="1">
    <w:name w:val="正文文本 31"/>
    <w:basedOn w:val="827"/>
    <w:qFormat/>
    <w:rPr>
      <w:rFonts w:ascii="仿宋_GB2312" w:hAnsi="Arial" w:eastAsia="仿宋_GB2312"/>
      <w:sz w:val="32"/>
      <w:szCs w:val="32"/>
    </w:rPr>
  </w:style>
  <w:style w:type="paragraph" w:styleId="1343" w:customStyle="1">
    <w:name w:val="正文文本1"/>
    <w:basedOn w:val="827"/>
    <w:qFormat/>
    <w:rPr>
      <w:rFonts w:ascii="楷体_GB2312" w:hAnsi="Arial" w:eastAsia="楷体_GB2312"/>
      <w:sz w:val="28"/>
      <w:szCs w:val="28"/>
    </w:rPr>
  </w:style>
  <w:style w:type="paragraph" w:styleId="1344" w:customStyle="1">
    <w:name w:val="正文文本缩进1"/>
    <w:basedOn w:val="827"/>
    <w:unhideWhenUsed/>
    <w:qFormat/>
    <w:pPr>
      <w:ind w:left="420"/>
      <w:spacing w:after="120"/>
    </w:pPr>
  </w:style>
  <w:style w:type="paragraph" w:styleId="1345" w:customStyle="1">
    <w:name w:val="列表 21"/>
    <w:basedOn w:val="827"/>
    <w:qFormat/>
    <w:pPr>
      <w:ind w:left="100" w:hanging="200"/>
    </w:pPr>
    <w:rPr>
      <w:szCs w:val="21"/>
    </w:rPr>
  </w:style>
  <w:style w:type="paragraph" w:styleId="1346" w:customStyle="1">
    <w:name w:val="纯文本1"/>
    <w:basedOn w:val="827"/>
    <w:qFormat/>
    <w:rPr>
      <w:rFonts w:ascii="宋体" w:hAnsi="Courier New" w:cs="Courier New"/>
      <w:szCs w:val="21"/>
    </w:rPr>
  </w:style>
  <w:style w:type="paragraph" w:styleId="1347" w:customStyle="1">
    <w:name w:val="日期1"/>
    <w:basedOn w:val="827"/>
    <w:next w:val="827"/>
    <w:qFormat/>
  </w:style>
  <w:style w:type="paragraph" w:styleId="1348" w:customStyle="1">
    <w:name w:val="正文文本缩进 21"/>
    <w:basedOn w:val="827"/>
    <w:qFormat/>
    <w:pPr>
      <w:ind w:left="630" w:firstLine="645"/>
    </w:pPr>
    <w:rPr>
      <w:rFonts w:ascii="Arial" w:hAnsi="Arial" w:eastAsia="仿宋_GB2312" w:cs="Arial"/>
      <w:sz w:val="32"/>
      <w:szCs w:val="32"/>
    </w:rPr>
  </w:style>
  <w:style w:type="paragraph" w:styleId="1349" w:customStyle="1">
    <w:name w:val="列表1"/>
    <w:basedOn w:val="827"/>
    <w:qFormat/>
    <w:pPr>
      <w:ind w:left="200" w:hanging="200"/>
    </w:pPr>
    <w:rPr>
      <w:szCs w:val="21"/>
    </w:rPr>
  </w:style>
  <w:style w:type="paragraph" w:styleId="1350" w:customStyle="1">
    <w:name w:val="正文文本缩进 31"/>
    <w:basedOn w:val="827"/>
    <w:qFormat/>
    <w:pPr>
      <w:ind w:left="645" w:firstLine="645"/>
    </w:pPr>
    <w:rPr>
      <w:rFonts w:ascii="Arial" w:hAnsi="Arial" w:eastAsia="仿宋_GB2312" w:cs="Arial"/>
      <w:color w:val="ffff00"/>
      <w:sz w:val="32"/>
      <w:szCs w:val="32"/>
    </w:rPr>
  </w:style>
  <w:style w:type="paragraph" w:styleId="1351" w:customStyle="1">
    <w:name w:val="正文文本 21"/>
    <w:basedOn w:val="827"/>
    <w:qFormat/>
    <w:pPr>
      <w:jc w:val="center"/>
      <w:widowControl/>
    </w:pPr>
    <w:rPr>
      <w:rFonts w:ascii="楷体_GB2312" w:eastAsia="楷体_GB2312"/>
      <w:sz w:val="28"/>
      <w:szCs w:val="28"/>
    </w:rPr>
  </w:style>
  <w:style w:type="paragraph" w:styleId="1352" w:customStyle="1">
    <w:name w:val="普通(网站)1"/>
    <w:basedOn w:val="827"/>
    <w:uiPriority w:val="99"/>
    <w:qFormat/>
    <w:pPr>
      <w:jc w:val="left"/>
      <w:spacing w:before="100" w:beforeAutospacing="1" w:after="100" w:afterAutospacing="1"/>
      <w:widowControl/>
    </w:pPr>
    <w:rPr>
      <w:rFonts w:ascii="宋体" w:hAnsi="宋体" w:cs="宋体"/>
      <w:sz w:val="24"/>
      <w:szCs w:val="24"/>
    </w:rPr>
  </w:style>
  <w:style w:type="paragraph" w:styleId="1353" w:customStyle="1">
    <w:name w:val="正文首行缩进1"/>
    <w:basedOn w:val="1343"/>
    <w:qFormat/>
    <w:pPr>
      <w:ind w:firstLine="200"/>
      <w:spacing w:line="360" w:lineRule="auto"/>
    </w:pPr>
    <w:rPr>
      <w:rFonts w:ascii="仿宋_GB2312" w:hAnsi="Times New Roman" w:eastAsia="仿宋_GB2312"/>
      <w:sz w:val="30"/>
      <w:szCs w:val="30"/>
    </w:rPr>
  </w:style>
  <w:style w:type="paragraph" w:styleId="1354" w:customStyle="1">
    <w:name w:val="正文首行缩进 21"/>
    <w:basedOn w:val="1344"/>
    <w:qFormat/>
    <w:pPr>
      <w:ind w:left="0" w:firstLine="420"/>
      <w:spacing w:after="0" w:line="360" w:lineRule="auto"/>
    </w:pPr>
    <w:rPr>
      <w:rFonts w:ascii="宋体" w:hAnsi="宋体"/>
      <w:szCs w:val="20"/>
    </w:rPr>
  </w:style>
  <w:style w:type="character" w:styleId="1355" w:customStyle="1">
    <w:name w:val="要点1"/>
    <w:qFormat/>
    <w:rPr>
      <w:b/>
      <w:bCs/>
    </w:rPr>
  </w:style>
  <w:style w:type="character" w:styleId="1356" w:customStyle="1">
    <w:name w:val="页码1"/>
    <w:qFormat/>
  </w:style>
  <w:style w:type="character" w:styleId="1357" w:customStyle="1">
    <w:name w:val="已访问的超链接1"/>
    <w:qFormat/>
    <w:rPr>
      <w:color w:val="800080"/>
      <w:u w:val="single"/>
    </w:rPr>
  </w:style>
  <w:style w:type="character" w:styleId="1358" w:customStyle="1">
    <w:name w:val="超链接1"/>
    <w:qFormat/>
    <w:rPr>
      <w:color w:val="0000ff"/>
      <w:u w:val="single"/>
    </w:rPr>
  </w:style>
  <w:style w:type="paragraph" w:styleId="1359" w:customStyle="1">
    <w:name w:val="Char1"/>
    <w:basedOn w:val="1341"/>
    <w:qFormat/>
    <w:rPr>
      <w:rFonts w:ascii="Tahoma" w:hAnsi="Tahoma"/>
      <w:sz w:val="24"/>
      <w:szCs w:val="24"/>
    </w:rPr>
  </w:style>
  <w:style w:type="paragraph" w:styleId="1360" w:customStyle="1">
    <w:name w:val="列出段落21"/>
    <w:basedOn w:val="827"/>
    <w:qFormat/>
    <w:pPr>
      <w:contextualSpacing/>
      <w:ind w:left="720"/>
      <w:jc w:val="left"/>
      <w:widowControl/>
    </w:pPr>
    <w:rPr>
      <w:sz w:val="24"/>
      <w:szCs w:val="24"/>
      <w:lang w:eastAsia="en-US" w:bidi="en-US"/>
    </w:rPr>
  </w:style>
  <w:style w:type="paragraph" w:styleId="1361" w:customStyle="1">
    <w:name w:val="Char Char Char Char Char Char Char Char Char Char1"/>
    <w:basedOn w:val="827"/>
    <w:qFormat/>
    <w:pPr>
      <w:spacing w:line="360" w:lineRule="auto"/>
    </w:pPr>
    <w:rPr>
      <w:sz w:val="24"/>
      <w:szCs w:val="20"/>
    </w:rPr>
  </w:style>
  <w:style w:type="paragraph" w:styleId="1362" w:customStyle="1">
    <w:name w:val="Char Char Char Char Char Char Char Char1"/>
    <w:basedOn w:val="827"/>
    <w:qFormat/>
    <w:pPr>
      <w:jc w:val="left"/>
      <w:spacing w:after="160" w:line="240" w:lineRule="exact"/>
      <w:widowControl/>
    </w:pPr>
    <w:rPr>
      <w:rFonts w:ascii="Verdana" w:hAnsi="Verdana"/>
      <w:sz w:val="20"/>
      <w:szCs w:val="20"/>
      <w:lang w:eastAsia="en-US"/>
    </w:rPr>
  </w:style>
  <w:style w:type="paragraph" w:styleId="1363" w:customStyle="1">
    <w:name w:val="Char Char Char Char1"/>
    <w:basedOn w:val="1341"/>
    <w:qFormat/>
    <w:pPr>
      <w:spacing w:line="360" w:lineRule="auto"/>
    </w:pPr>
    <w:rPr>
      <w:rFonts w:ascii="Tahoma" w:hAnsi="Tahoma"/>
      <w:sz w:val="24"/>
      <w:szCs w:val="24"/>
    </w:rPr>
  </w:style>
  <w:style w:type="paragraph" w:styleId="1364" w:customStyle="1">
    <w:name w:val="修订11"/>
    <w:uiPriority w:val="99"/>
    <w:semiHidden/>
    <w:qFormat/>
    <w:rPr>
      <w:sz w:val="21"/>
      <w:szCs w:val="21"/>
    </w:rPr>
  </w:style>
  <w:style w:type="paragraph" w:styleId="1365" w:customStyle="1">
    <w:name w:val="无间隔11"/>
    <w:uiPriority w:val="99"/>
    <w:qFormat/>
    <w:pPr>
      <w:jc w:val="both"/>
      <w:widowControl w:val="off"/>
    </w:pPr>
    <w:rPr>
      <w:sz w:val="21"/>
      <w:szCs w:val="21"/>
    </w:rPr>
  </w:style>
  <w:style w:type="paragraph" w:styleId="1366" w:customStyle="1">
    <w:name w:val="修订2"/>
    <w:uiPriority w:val="99"/>
    <w:unhideWhenUsed/>
    <w:qFormat/>
    <w:rPr>
      <w:sz w:val="21"/>
      <w:szCs w:val="22"/>
    </w:rPr>
  </w:style>
  <w:style w:type="character" w:styleId="1367" w:customStyle="1">
    <w:name w:val="批注文字 Char1"/>
    <w:uiPriority w:val="99"/>
    <w:qFormat/>
    <w:rPr>
      <w:sz w:val="21"/>
      <w:szCs w:val="22"/>
    </w:rPr>
  </w:style>
  <w:style w:type="paragraph" w:styleId="1368" w:customStyle="1">
    <w:name w:val="修订3"/>
    <w:uiPriority w:val="99"/>
    <w:semiHidden/>
    <w:qFormat/>
    <w:rPr>
      <w:sz w:val="21"/>
      <w:szCs w:val="22"/>
    </w:rPr>
  </w:style>
  <w:style w:type="paragraph" w:styleId="1369" w:customStyle="1">
    <w:name w:val="修订4"/>
    <w:uiPriority w:val="99"/>
    <w:semiHidden/>
    <w:qFormat/>
    <w:rPr>
      <w:sz w:val="21"/>
      <w:szCs w:val="22"/>
    </w:rPr>
  </w:style>
  <w:style w:type="character" w:styleId="1370" w:customStyle="1">
    <w:name w:val="font11"/>
    <w:qFormat/>
    <w:rPr>
      <w:rFonts w:hint="eastAsia" w:ascii="宋体" w:hAnsi="宋体" w:eastAsia="宋体" w:cs="宋体"/>
      <w:color w:val="000000"/>
      <w:sz w:val="19"/>
      <w:szCs w:val="19"/>
      <w:u w:val="none"/>
    </w:rPr>
  </w:style>
  <w:style w:type="character" w:styleId="1371" w:customStyle="1">
    <w:name w:val="font21"/>
    <w:qFormat/>
    <w:rPr>
      <w:rFonts w:ascii="Times New Roman" w:hAnsi="Times New Roman" w:cs="Times New Roman"/>
      <w:color w:val="000000"/>
      <w:sz w:val="19"/>
      <w:szCs w:val="19"/>
      <w:u w:val="none"/>
    </w:rPr>
  </w:style>
  <w:style w:type="paragraph" w:styleId="1372" w:customStyle="1">
    <w:name w:val="修订5"/>
    <w:uiPriority w:val="99"/>
    <w:unhideWhenUsed/>
    <w:qFormat/>
    <w:rPr>
      <w:sz w:val="21"/>
      <w:szCs w:val="22"/>
    </w:rPr>
  </w:style>
  <w:style w:type="paragraph" w:styleId="1373" w:customStyle="1">
    <w:name w:val="修订6"/>
    <w:uiPriority w:val="99"/>
    <w:semiHidden/>
    <w:qFormat/>
    <w:rPr>
      <w:sz w:val="21"/>
      <w:szCs w:val="22"/>
    </w:rPr>
  </w:style>
  <w:style w:type="paragraph" w:styleId="1374" w:customStyle="1">
    <w:name w:val="修订7"/>
    <w:uiPriority w:val="99"/>
    <w:unhideWhenUsed/>
    <w:qFormat/>
    <w:rPr>
      <w:sz w:val="21"/>
      <w:szCs w:val="22"/>
    </w:rPr>
  </w:style>
  <w:style w:type="paragraph" w:styleId="1375" w:customStyle="1">
    <w:name w:val="修订8"/>
    <w:uiPriority w:val="99"/>
    <w:unhideWhenUsed/>
    <w:qFormat/>
    <w:rPr>
      <w:sz w:val="21"/>
      <w:szCs w:val="22"/>
    </w:rPr>
  </w:style>
  <w:style w:type="character" w:styleId="1376" w:customStyle="1">
    <w:name w:val="正文文本缩进 字符"/>
    <w:basedOn w:val="837"/>
    <w:link w:val="848"/>
    <w:qFormat/>
    <w:rPr>
      <w:rFonts w:ascii="楷体_GB2312" w:hAnsi="Calibri" w:eastAsia="楷体_GB2312" w:cs="Calibri"/>
      <w:sz w:val="32"/>
      <w:szCs w:val="32"/>
    </w:rPr>
  </w:style>
  <w:style w:type="character" w:styleId="1377" w:customStyle="1">
    <w:name w:val="HTML 预设格式 字符"/>
    <w:basedOn w:val="837"/>
    <w:link w:val="874"/>
    <w:qFormat/>
    <w:rPr>
      <w:rFonts w:ascii="宋体" w:hAnsi="宋体"/>
      <w:sz w:val="24"/>
      <w:szCs w:val="24"/>
    </w:rPr>
  </w:style>
  <w:style w:type="character" w:styleId="1378" w:customStyle="1">
    <w:name w:val="正文文本首行缩进 2 字符"/>
    <w:basedOn w:val="1376"/>
    <w:link w:val="879"/>
    <w:qFormat/>
    <w:rPr>
      <w:rFonts w:ascii="宋体" w:hAnsi="宋体" w:eastAsia="楷体_GB2312" w:cs="Calibri"/>
      <w:sz w:val="21"/>
      <w:szCs w:val="32"/>
    </w:rPr>
  </w:style>
  <w:style w:type="table" w:styleId="1379" w:customStyle="1">
    <w:name w:val="网格型2"/>
    <w:basedOn w:val="8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Table Normal"/>
    <w:unhideWhenUsed/>
    <w:qFormat/>
    <w:tblPr>
      <w:tblCellMar>
        <w:left w:w="0" w:type="dxa"/>
        <w:top w:w="0" w:type="dxa"/>
        <w:right w:w="0" w:type="dxa"/>
        <w:bottom w:w="0" w:type="dxa"/>
      </w:tblCellMar>
    </w:tblPr>
  </w:style>
  <w:style w:type="paragraph" w:styleId="1381" w:customStyle="1">
    <w:name w:val="正文文本121"/>
    <w:basedOn w:val="827"/>
    <w:qFormat/>
    <w:pPr>
      <w:ind w:left="120"/>
      <w:spacing w:line="300" w:lineRule="auto"/>
    </w:pPr>
    <w:rPr>
      <w:rFonts w:ascii="宋体" w:hAnsi="Calibri" w:cs="宋体"/>
      <w:szCs w:val="21"/>
      <w:lang w:val="zh-CN" w:bidi="zh-CN"/>
    </w:rPr>
  </w:style>
  <w:style w:type="character" w:styleId="1382" w:customStyle="1">
    <w:name w:val="纯文本 字符1"/>
    <w:qFormat/>
    <w:rPr>
      <w:rFonts w:ascii="宋体" w:hAnsi="Courier New" w:eastAsia="宋体" w:cs="Courier New"/>
      <w:szCs w:val="21"/>
    </w:rPr>
  </w:style>
  <w:style w:type="character" w:styleId="1383" w:customStyle="1">
    <w:name w:val="正文缩进 字符"/>
    <w:link w:val="840"/>
    <w:qFormat/>
    <w:rPr>
      <w:sz w:val="21"/>
    </w:rPr>
  </w:style>
  <w:style w:type="character" w:styleId="1384" w:customStyle="1">
    <w:name w:val="文档结构图 字符"/>
    <w:basedOn w:val="837"/>
    <w:link w:val="844"/>
    <w:semiHidden/>
    <w:qFormat/>
    <w:rPr>
      <w:sz w:val="21"/>
      <w:szCs w:val="21"/>
      <w:shd w:val="clear" w:color="auto" w:fill="000080"/>
    </w:rPr>
  </w:style>
  <w:style w:type="character" w:styleId="1385" w:customStyle="1">
    <w:name w:val="正文文本 3 字符"/>
    <w:basedOn w:val="837"/>
    <w:link w:val="846"/>
    <w:qFormat/>
    <w:rPr>
      <w:rFonts w:ascii="仿宋_GB2312" w:hAnsi="Arial" w:eastAsia="仿宋_GB2312"/>
      <w:sz w:val="32"/>
      <w:szCs w:val="32"/>
    </w:rPr>
  </w:style>
  <w:style w:type="character" w:styleId="1386" w:customStyle="1">
    <w:name w:val="日期 字符"/>
    <w:basedOn w:val="837"/>
    <w:link w:val="855"/>
    <w:qFormat/>
    <w:rPr>
      <w:sz w:val="24"/>
      <w:szCs w:val="24"/>
    </w:rPr>
  </w:style>
  <w:style w:type="character" w:styleId="1387" w:customStyle="1">
    <w:name w:val="正文文本缩进 3 字符"/>
    <w:basedOn w:val="837"/>
    <w:link w:val="869"/>
    <w:qFormat/>
    <w:rPr>
      <w:rFonts w:ascii="Arial" w:hAnsi="Arial" w:eastAsia="仿宋_GB2312" w:cs="Arial"/>
      <w:color w:val="ffff00"/>
      <w:sz w:val="32"/>
      <w:szCs w:val="32"/>
    </w:rPr>
  </w:style>
  <w:style w:type="character" w:styleId="1388" w:customStyle="1">
    <w:name w:val="正文文本 2 字符"/>
    <w:basedOn w:val="837"/>
    <w:link w:val="873"/>
    <w:qFormat/>
    <w:rPr>
      <w:rFonts w:ascii="楷体_GB2312" w:eastAsia="楷体_GB2312"/>
      <w:sz w:val="28"/>
      <w:szCs w:val="28"/>
    </w:rPr>
  </w:style>
  <w:style w:type="character" w:styleId="1389" w:customStyle="1">
    <w:name w:val="正文文本首行缩进 字符"/>
    <w:basedOn w:val="914"/>
    <w:link w:val="878"/>
    <w:qFormat/>
    <w:rPr>
      <w:rFonts w:ascii="仿宋_GB2312" w:hAnsi="Arial" w:eastAsia="仿宋_GB2312"/>
      <w:sz w:val="30"/>
      <w:szCs w:val="30"/>
    </w:rPr>
  </w:style>
  <w:style w:type="table" w:styleId="1390" w:customStyle="1">
    <w:name w:val="网格型3"/>
    <w:basedOn w:val="8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1" w:customStyle="1">
    <w:name w:val="Char2"/>
    <w:basedOn w:val="844"/>
    <w:qFormat/>
    <w:rPr>
      <w:rFonts w:ascii="Tahoma" w:hAnsi="Tahoma"/>
      <w:sz w:val="24"/>
      <w:szCs w:val="24"/>
    </w:rPr>
  </w:style>
  <w:style w:type="paragraph" w:styleId="1392" w:customStyle="1">
    <w:name w:val="Char Char Char Char2"/>
    <w:basedOn w:val="844"/>
    <w:qFormat/>
    <w:pPr>
      <w:spacing w:line="360" w:lineRule="auto"/>
    </w:pPr>
    <w:rPr>
      <w:rFonts w:ascii="Tahoma" w:hAnsi="Tahoma"/>
      <w:sz w:val="24"/>
      <w:szCs w:val="24"/>
    </w:rPr>
  </w:style>
  <w:style w:type="paragraph" w:styleId="1393" w:customStyle="1">
    <w:name w:val="Char Char Char Char Char Char Char Char Char Char2"/>
    <w:basedOn w:val="827"/>
    <w:qFormat/>
    <w:pPr>
      <w:spacing w:line="360" w:lineRule="auto"/>
    </w:pPr>
    <w:rPr>
      <w:sz w:val="24"/>
      <w:szCs w:val="20"/>
    </w:rPr>
  </w:style>
  <w:style w:type="paragraph" w:styleId="1394" w:customStyle="1">
    <w:name w:val="Char Char Char Char Char Char Char Char2"/>
    <w:basedOn w:val="827"/>
    <w:qFormat/>
    <w:pPr>
      <w:jc w:val="left"/>
      <w:spacing w:after="160" w:line="240" w:lineRule="exact"/>
      <w:widowControl/>
    </w:pPr>
    <w:rPr>
      <w:rFonts w:ascii="Verdana" w:hAnsi="Verdana"/>
      <w:sz w:val="20"/>
      <w:szCs w:val="20"/>
      <w:lang w:eastAsia="en-US"/>
    </w:rPr>
  </w:style>
  <w:style w:type="paragraph" w:styleId="1395" w:customStyle="1">
    <w:name w:val="标题 22"/>
    <w:basedOn w:val="827"/>
    <w:next w:val="827"/>
    <w:uiPriority w:val="9"/>
    <w:unhideWhenUsed/>
    <w:qFormat/>
    <w:pPr>
      <w:keepLines/>
      <w:keepNext/>
      <w:spacing w:before="360" w:after="200"/>
      <w:outlineLvl w:val="1"/>
    </w:pPr>
    <w:rPr>
      <w:rFonts w:ascii="Arial" w:hAnsi="Arial" w:eastAsia="Arial" w:cs="Arial"/>
      <w:sz w:val="34"/>
      <w:szCs w:val="21"/>
    </w:rPr>
  </w:style>
  <w:style w:type="paragraph" w:styleId="1396" w:customStyle="1">
    <w:name w:val="标题 33"/>
    <w:basedOn w:val="827"/>
    <w:next w:val="827"/>
    <w:uiPriority w:val="9"/>
    <w:unhideWhenUsed/>
    <w:qFormat/>
    <w:pPr>
      <w:keepLines/>
      <w:keepNext/>
      <w:spacing w:before="320" w:after="200"/>
      <w:outlineLvl w:val="2"/>
    </w:pPr>
    <w:rPr>
      <w:rFonts w:ascii="Arial" w:hAnsi="Arial" w:eastAsia="Arial" w:cs="Arial"/>
      <w:sz w:val="30"/>
      <w:szCs w:val="30"/>
    </w:rPr>
  </w:style>
  <w:style w:type="paragraph" w:styleId="1397" w:customStyle="1">
    <w:name w:val="列表段落1"/>
    <w:basedOn w:val="827"/>
    <w:uiPriority w:val="99"/>
    <w:qFormat/>
    <w:pPr>
      <w:ind w:firstLine="420"/>
    </w:pPr>
    <w:rPr>
      <w:szCs w:val="20"/>
    </w:rPr>
  </w:style>
  <w:style w:type="paragraph" w:styleId="1398" w:customStyle="1">
    <w:name w:val="修订9"/>
    <w:hidden/>
    <w:uiPriority w:val="99"/>
    <w:unhideWhenUsed/>
    <w:qFormat/>
    <w:rPr>
      <w:sz w:val="21"/>
      <w:szCs w:val="22"/>
    </w:rPr>
  </w:style>
  <w:style w:type="paragraph" w:styleId="1399">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36</cp:revision>
  <dcterms:created xsi:type="dcterms:W3CDTF">2026-05-13T08:59:00Z</dcterms:created>
  <dcterms:modified xsi:type="dcterms:W3CDTF">2026-09-29T01:52:55Z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2F4A0974471D4CCC971CAE6EC814394D_13</vt:lpwstr>
  </property>
  <property fmtid="{D5CDD505-2E9C-101B-9397-08002B2CF9AE}" pid="4" name="KSOTemplateDocerSaveRecord">
    <vt:lpwstr>eyJoZGlkIjoiZTIwODJiYzYwOTAwYTA4ODZiODkyNTNjYTdmNzEwODAiLCJ1c2VySWQiOiIyNTUxMjE1NjEifQ==</vt:lpwstr>
  </property>
</Properties>
</file>