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jc w:val="center"/>
        <w:spacing w:line="360" w:lineRule="auto"/>
        <w:rPr>
          <w:rFonts w:ascii="宋体" w:cs="宋体"/>
          <w:color w:val="000000"/>
          <w:sz w:val="84"/>
          <w:szCs w:val="84"/>
          <w:highlight w:val="none"/>
        </w:rPr>
      </w:pPr>
      <w:r>
        <w:rPr>
          <w:rFonts w:hint="eastAsia" w:ascii="宋体" w:cs="宋体"/>
          <w:color w:val="000000"/>
          <w:sz w:val="84"/>
          <w:szCs w:val="84"/>
          <w:highlight w:val="none"/>
        </w:rPr>
        <w:t xml:space="preserve">苏州市政府采购</w:t>
      </w:r>
      <w:r/>
    </w:p>
    <w:p>
      <w:pPr>
        <w:jc w:val="center"/>
        <w:spacing w:line="360" w:lineRule="auto"/>
        <w:rPr>
          <w:rFonts w:ascii="宋体" w:cs="宋体"/>
          <w:color w:val="000000"/>
          <w:sz w:val="84"/>
          <w:szCs w:val="84"/>
          <w:highlight w:val="none"/>
        </w:rPr>
      </w:pPr>
      <w:r>
        <w:rPr>
          <w:rFonts w:hint="eastAsia" w:ascii="宋体" w:cs="宋体"/>
          <w:color w:val="000000"/>
          <w:sz w:val="84"/>
          <w:szCs w:val="84"/>
          <w:highlight w:val="none"/>
        </w:rPr>
        <w:t xml:space="preserve">竞争性磋商文件</w:t>
      </w:r>
      <w:r/>
    </w:p>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jc w:val="center"/>
        <w:spacing w:line="360" w:lineRule="auto"/>
        <w:rPr>
          <w:rFonts w:ascii="宋体" w:cs="宋体"/>
          <w:color w:val="000000"/>
          <w:sz w:val="24"/>
          <w:szCs w:val="24"/>
          <w:highlight w:val="none"/>
        </w:rPr>
      </w:pPr>
      <w:r>
        <w:rPr>
          <w:rFonts w:hint="eastAsia" w:ascii="宋体" w:hAnsi="宋体" w:cs="宋体"/>
          <w:b/>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-149225</wp:posOffset>
                </wp:positionV>
                <wp:extent cx="1531620" cy="1531620"/>
                <wp:effectExtent l="0" t="0" r="11430" b="11430"/>
                <wp:wrapTopAndBottom/>
                <wp:docPr id="3" name="图片 4" descr="ZCJ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ZCJC2"/>
                        <pic:cNvPicPr>
                          <a:picLocks noChangeAspect="1"/>
                        </pic:cNvPicPr>
                        <pic:nvPr/>
                      </pic:nvPicPr>
                      <pic:blipFill>
                        <a:blip r:embed="rId12"/>
                        <a:stretch/>
                      </pic:blipFill>
                      <pic:spPr bwMode="auto">
                        <a:xfrm>
                          <a:off x="0" y="0"/>
                          <a:ext cx="1531620" cy="15316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80.6pt;mso-position-horizontal:absolute;mso-position-vertical-relative:text;margin-top:-11.8pt;mso-position-vertical:absolute;width:120.6pt;height:120.6pt;mso-wrap-distance-left:9.0pt;mso-wrap-distance-top:0.0pt;mso-wrap-distance-right:9.0pt;mso-wrap-distance-bottom:0.0pt;" stroked="false">
                <v:path textboxrect="0,0,0,0"/>
                <w10:wrap type="topAndBottom"/>
                <v:imagedata r:id="rId12" o:title=""/>
              </v:shape>
            </w:pict>
          </mc:Fallback>
        </mc:AlternateContent>
      </w:r>
      <w:r/>
    </w:p>
    <w:p>
      <w:pPr>
        <w:ind w:firstLine="2080"/>
        <w:spacing w:line="360" w:lineRule="auto"/>
        <w:rPr>
          <w:rFonts w:ascii="宋体" w:cs="宋体"/>
          <w:color w:val="000000"/>
          <w:sz w:val="32"/>
          <w:szCs w:val="32"/>
          <w:highlight w:val="none"/>
        </w:rPr>
      </w:pPr>
      <w:r>
        <w:rPr>
          <w:rFonts w:ascii="宋体" w:cs="宋体"/>
          <w:color w:val="000000"/>
          <w:sz w:val="32"/>
          <w:szCs w:val="32"/>
          <w:highlight w:val="none"/>
        </w:rPr>
      </w:r>
      <w:r/>
    </w:p>
    <w:p>
      <w:pPr>
        <w:ind w:firstLine="1670"/>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采 购 人：江苏省苏州市中级人民法院</w:t>
      </w:r>
      <w:r/>
    </w:p>
    <w:p>
      <w:pPr>
        <w:ind w:firstLine="1670"/>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采购编号：JSZC-320500-ZCJC-C2026-0002</w:t>
      </w:r>
      <w:r/>
    </w:p>
    <w:p>
      <w:pPr>
        <w:ind w:firstLine="1670"/>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采购内容：苏州两级法院电子卷宗集中编目服务</w:t>
      </w:r>
      <w:r/>
    </w:p>
    <w:p>
      <w:pPr>
        <w:ind w:firstLine="1670"/>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采购类别：</w:t>
      </w:r>
      <w:r>
        <w:rPr>
          <w:rFonts w:hint="eastAsia" w:ascii="宋体" w:hAnsi="宋体" w:cs="宋体"/>
          <w:color w:val="000000"/>
          <w:sz w:val="32"/>
          <w:szCs w:val="32"/>
          <w:highlight w:val="none"/>
        </w:rPr>
        <w:t xml:space="preserve">服务类</w:t>
      </w:r>
      <w:r/>
    </w:p>
    <w:p>
      <w:pPr>
        <w:jc w:val="center"/>
        <w:spacing w:line="360" w:lineRule="auto"/>
        <w:rPr>
          <w:rFonts w:ascii="宋体" w:cs="宋体"/>
          <w:b/>
          <w:color w:val="000000"/>
          <w:sz w:val="24"/>
          <w:szCs w:val="24"/>
          <w:highlight w:val="none"/>
        </w:rPr>
      </w:pPr>
      <w:r>
        <w:rPr>
          <w:rFonts w:ascii="宋体" w:cs="宋体"/>
          <w:b/>
          <w:color w:val="000000"/>
          <w:sz w:val="24"/>
          <w:szCs w:val="24"/>
          <w:highlight w:val="none"/>
        </w:rPr>
      </w:r>
      <w:r/>
    </w:p>
    <w:p>
      <w:pPr>
        <w:jc w:val="center"/>
        <w:spacing w:line="360" w:lineRule="auto"/>
        <w:rPr>
          <w:rFonts w:ascii="宋体" w:cs="宋体"/>
          <w:b/>
          <w:color w:val="000000"/>
          <w:sz w:val="24"/>
          <w:szCs w:val="24"/>
          <w:highlight w:val="none"/>
        </w:rPr>
      </w:pPr>
      <w:r>
        <w:rPr>
          <w:rFonts w:ascii="宋体" w:cs="宋体"/>
          <w:b/>
          <w:color w:val="000000"/>
          <w:sz w:val="24"/>
          <w:szCs w:val="24"/>
          <w:highlight w:val="none"/>
        </w:rPr>
      </w:r>
      <w:r/>
    </w:p>
    <w:p>
      <w:pPr>
        <w:jc w:val="center"/>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苏州筑程集中采购代理有限公司</w:t>
      </w:r>
      <w:r/>
    </w:p>
    <w:p>
      <w:pPr>
        <w:jc w:val="center"/>
        <w:spacing w:line="360" w:lineRule="auto"/>
        <w:rPr>
          <w:rFonts w:ascii="宋体" w:cs="宋体"/>
          <w:color w:val="000000"/>
          <w:sz w:val="32"/>
          <w:szCs w:val="32"/>
          <w:highlight w:val="none"/>
        </w:rPr>
      </w:pPr>
      <w:r>
        <w:rPr>
          <w:rFonts w:hint="eastAsia" w:ascii="宋体" w:cs="宋体"/>
          <w:color w:val="000000"/>
          <w:sz w:val="32"/>
          <w:szCs w:val="32"/>
          <w:highlight w:val="none"/>
        </w:rPr>
        <w:t xml:space="preserve">2026年9月</w:t>
      </w:r>
      <w:r/>
    </w:p>
    <w:p>
      <w:pPr>
        <w:rPr>
          <w:rFonts w:ascii="宋体" w:cs="宋体"/>
          <w:color w:val="000000"/>
          <w:sz w:val="44"/>
          <w:szCs w:val="44"/>
          <w:highlight w:val="none"/>
        </w:rPr>
      </w:pPr>
      <w:r>
        <w:rPr>
          <w:rFonts w:hint="eastAsia" w:ascii="宋体" w:cs="宋体"/>
          <w:color w:val="000000"/>
          <w:sz w:val="44"/>
          <w:szCs w:val="44"/>
          <w:highlight w:val="none"/>
        </w:rPr>
        <w:br w:type="page" w:clear="all"/>
      </w:r>
      <w:r/>
    </w:p>
    <w:p>
      <w:pPr>
        <w:jc w:val="center"/>
        <w:spacing w:line="360" w:lineRule="auto"/>
        <w:rPr>
          <w:rFonts w:ascii="宋体" w:cs="宋体"/>
          <w:color w:val="000000"/>
          <w:sz w:val="32"/>
          <w:szCs w:val="32"/>
          <w:highlight w:val="none"/>
        </w:rPr>
      </w:pPr>
      <w:r>
        <w:rPr>
          <w:rFonts w:hint="eastAsia" w:ascii="宋体" w:cs="宋体"/>
          <w:color w:val="000000"/>
          <w:sz w:val="44"/>
          <w:szCs w:val="44"/>
          <w:highlight w:val="none"/>
        </w:rPr>
        <w:t xml:space="preserve">目录</w:t>
      </w:r>
      <w:r/>
    </w:p>
    <w:p>
      <w:pPr>
        <w:pStyle w:val="912"/>
        <w:ind w:firstLine="0"/>
        <w:jc w:val="center"/>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sdt>
      <w:sdtPr>
        <w15:appearance w15:val="boundingBox"/>
        <w:id w:val="147483312"/>
        <w:docPartObj>
          <w:docPartGallery w:val="Table of Contents"/>
          <w:docPartUnique w:val="true"/>
        </w:docPartObj>
        <w:rPr>
          <w:rFonts w:ascii="宋体" w:hAnsi="宋体"/>
          <w:sz w:val="22"/>
          <w:szCs w:val="20"/>
          <w:highlight w:val="none"/>
        </w:rPr>
      </w:sdtPr>
      <w:sdtContent>
        <w:p>
          <w:pPr>
            <w:jc w:val="center"/>
            <w:rPr>
              <w:highlight w:val="none"/>
            </w:rPr>
          </w:pPr>
          <w:r>
            <w:rPr>
              <w:highlight w:val="none"/>
            </w:rPr>
          </w:r>
          <w:r/>
        </w:p>
        <w:p>
          <w:pPr>
            <w:pStyle w:val="920"/>
            <w:spacing w:line="480" w:lineRule="auto"/>
            <w:tabs>
              <w:tab w:val="right" w:pos="9638" w:leader="dot"/>
            </w:tabs>
            <w:rPr>
              <w:rFonts w:ascii="黑体" w:hAnsi="黑体" w:eastAsia="黑体" w:cs="黑体"/>
              <w:sz w:val="30"/>
              <w:szCs w:val="30"/>
              <w:highlight w:val="none"/>
            </w:rPr>
          </w:pPr>
          <w:r>
            <w:rPr>
              <w:rFonts w:hint="eastAsia" w:ascii="黑体" w:hAnsi="黑体" w:eastAsia="黑体" w:cs="黑体"/>
              <w:color w:val="000000"/>
              <w:sz w:val="30"/>
              <w:szCs w:val="30"/>
              <w:highlight w:val="none"/>
            </w:rPr>
            <w:fldChar w:fldCharType="begin"/>
          </w:r>
          <w:r>
            <w:rPr>
              <w:rFonts w:hint="eastAsia" w:ascii="黑体" w:hAnsi="黑体" w:eastAsia="黑体" w:cs="黑体"/>
              <w:color w:val="000000"/>
              <w:sz w:val="30"/>
              <w:szCs w:val="30"/>
              <w:highlight w:val="none"/>
            </w:rPr>
            <w:instrText xml:space="preserve">TOC \o "1-1" \h \u </w:instrText>
          </w:r>
          <w:r>
            <w:rPr>
              <w:rFonts w:hint="eastAsia" w:ascii="黑体" w:hAnsi="黑体" w:eastAsia="黑体" w:cs="黑体"/>
              <w:color w:val="000000"/>
              <w:sz w:val="30"/>
              <w:szCs w:val="30"/>
              <w:highlight w:val="none"/>
            </w:rPr>
            <w:fldChar w:fldCharType="separate"/>
          </w:r>
          <w:r>
            <w:rPr>
              <w:highlight w:val="none"/>
            </w:rPr>
            <w:fldChar w:fldCharType="begin"/>
          </w:r>
          <w:r>
            <w:rPr>
              <w:highlight w:val="none"/>
            </w:rPr>
            <w:instrText xml:space="preserve"> HYPERLINK \l "_Toc25786" </w:instrText>
          </w:r>
          <w:r>
            <w:rPr>
              <w:highlight w:val="none"/>
            </w:rPr>
            <w:fldChar w:fldCharType="separate"/>
          </w:r>
          <w:r>
            <w:rPr>
              <w:rFonts w:hint="eastAsia" w:ascii="黑体" w:hAnsi="黑体" w:eastAsia="黑体" w:cs="黑体"/>
              <w:sz w:val="30"/>
              <w:szCs w:val="30"/>
              <w:highlight w:val="none"/>
            </w:rPr>
            <w:t xml:space="preserve">第一章 竞争性磋商邀请函</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_Toc25786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4</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20"/>
            <w:spacing w:line="480" w:lineRule="auto"/>
            <w:tabs>
              <w:tab w:val="right" w:pos="9638" w:leader="dot"/>
            </w:tabs>
            <w:rPr>
              <w:rFonts w:ascii="黑体" w:hAnsi="黑体" w:eastAsia="黑体" w:cs="黑体"/>
              <w:sz w:val="30"/>
              <w:szCs w:val="30"/>
              <w:highlight w:val="none"/>
            </w:rPr>
          </w:pPr>
          <w:r>
            <w:rPr>
              <w:highlight w:val="none"/>
            </w:rPr>
            <w:fldChar w:fldCharType="begin"/>
          </w:r>
          <w:r>
            <w:rPr>
              <w:highlight w:val="none"/>
            </w:rPr>
            <w:instrText xml:space="preserve"> HYPERLINK \l "_Toc17945" </w:instrText>
          </w:r>
          <w:r>
            <w:rPr>
              <w:highlight w:val="none"/>
            </w:rPr>
            <w:fldChar w:fldCharType="separate"/>
          </w:r>
          <w:r>
            <w:rPr>
              <w:rFonts w:hint="eastAsia" w:ascii="黑体" w:hAnsi="黑体" w:eastAsia="黑体" w:cs="黑体"/>
              <w:bCs/>
              <w:sz w:val="30"/>
              <w:szCs w:val="30"/>
              <w:highlight w:val="none"/>
            </w:rPr>
            <w:t xml:space="preserve">第二章 响应须知</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_Toc17945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8</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20"/>
            <w:spacing w:line="480" w:lineRule="auto"/>
            <w:tabs>
              <w:tab w:val="right" w:pos="9638" w:leader="dot"/>
            </w:tabs>
            <w:rPr>
              <w:rFonts w:ascii="黑体" w:hAnsi="黑体" w:eastAsia="黑体" w:cs="黑体"/>
              <w:sz w:val="30"/>
              <w:szCs w:val="30"/>
              <w:highlight w:val="none"/>
            </w:rPr>
          </w:pPr>
          <w:r>
            <w:rPr>
              <w:highlight w:val="none"/>
            </w:rPr>
            <w:fldChar w:fldCharType="begin"/>
          </w:r>
          <w:r>
            <w:rPr>
              <w:highlight w:val="none"/>
            </w:rPr>
            <w:instrText xml:space="preserve"> HYPERLINK \l "_Toc20677" </w:instrText>
          </w:r>
          <w:r>
            <w:rPr>
              <w:highlight w:val="none"/>
            </w:rPr>
            <w:fldChar w:fldCharType="separate"/>
          </w:r>
          <w:r>
            <w:rPr>
              <w:rFonts w:hint="eastAsia" w:ascii="黑体" w:hAnsi="黑体" w:eastAsia="黑体" w:cs="黑体"/>
              <w:sz w:val="30"/>
              <w:szCs w:val="30"/>
              <w:highlight w:val="none"/>
            </w:rPr>
            <w:t xml:space="preserve">第三章 响应文件格式</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_Toc20677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22</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20"/>
            <w:spacing w:line="480" w:lineRule="auto"/>
            <w:tabs>
              <w:tab w:val="right" w:pos="9638" w:leader="dot"/>
            </w:tabs>
            <w:rPr>
              <w:rFonts w:ascii="黑体" w:hAnsi="黑体" w:eastAsia="黑体" w:cs="黑体"/>
              <w:sz w:val="30"/>
              <w:szCs w:val="30"/>
              <w:highlight w:val="none"/>
            </w:rPr>
          </w:pPr>
          <w:r>
            <w:rPr>
              <w:highlight w:val="none"/>
            </w:rPr>
            <w:fldChar w:fldCharType="begin"/>
          </w:r>
          <w:r>
            <w:rPr>
              <w:highlight w:val="none"/>
            </w:rPr>
            <w:instrText xml:space="preserve"> HYPERLINK \l "_Toc2836" </w:instrText>
          </w:r>
          <w:r>
            <w:rPr>
              <w:highlight w:val="none"/>
            </w:rPr>
            <w:fldChar w:fldCharType="separate"/>
          </w:r>
          <w:r>
            <w:rPr>
              <w:rFonts w:hint="eastAsia" w:ascii="黑体" w:hAnsi="黑体" w:eastAsia="黑体" w:cs="黑体"/>
              <w:sz w:val="30"/>
              <w:szCs w:val="30"/>
              <w:highlight w:val="none"/>
            </w:rPr>
            <w:t xml:space="preserve">第四章 采购需求</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_Toc2836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38</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20"/>
            <w:spacing w:line="480" w:lineRule="auto"/>
            <w:tabs>
              <w:tab w:val="right" w:pos="9638" w:leader="dot"/>
            </w:tabs>
            <w:rPr>
              <w:rFonts w:ascii="黑体" w:hAnsi="黑体" w:eastAsia="黑体" w:cs="黑体"/>
              <w:sz w:val="30"/>
              <w:szCs w:val="30"/>
              <w:highlight w:val="none"/>
            </w:rPr>
          </w:pPr>
          <w:r>
            <w:rPr>
              <w:highlight w:val="none"/>
            </w:rPr>
            <w:fldChar w:fldCharType="begin"/>
          </w:r>
          <w:r>
            <w:rPr>
              <w:highlight w:val="none"/>
            </w:rPr>
            <w:instrText xml:space="preserve"> HYPERLINK \l "_Toc22815" </w:instrText>
          </w:r>
          <w:r>
            <w:rPr>
              <w:highlight w:val="none"/>
            </w:rPr>
            <w:fldChar w:fldCharType="separate"/>
          </w:r>
          <w:r>
            <w:rPr>
              <w:rFonts w:hint="eastAsia" w:ascii="黑体" w:hAnsi="黑体" w:eastAsia="黑体" w:cs="黑体"/>
              <w:sz w:val="30"/>
              <w:szCs w:val="30"/>
              <w:highlight w:val="none"/>
            </w:rPr>
            <w:t xml:space="preserve">第五章 合同主要条款</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_Toc22815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45</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20"/>
            <w:spacing w:line="480" w:lineRule="auto"/>
            <w:tabs>
              <w:tab w:val="right" w:pos="9638" w:leader="dot"/>
            </w:tabs>
            <w:rPr>
              <w:rFonts w:ascii="黑体" w:hAnsi="黑体" w:eastAsia="黑体" w:cs="黑体"/>
              <w:sz w:val="30"/>
              <w:szCs w:val="30"/>
              <w:highlight w:val="none"/>
            </w:rPr>
          </w:pPr>
          <w:r>
            <w:rPr>
              <w:highlight w:val="none"/>
            </w:rPr>
            <w:fldChar w:fldCharType="begin"/>
          </w:r>
          <w:r>
            <w:rPr>
              <w:highlight w:val="none"/>
            </w:rPr>
            <w:instrText xml:space="preserve"> HYPERLINK \l "_Toc5187" </w:instrText>
          </w:r>
          <w:r>
            <w:rPr>
              <w:highlight w:val="none"/>
            </w:rPr>
            <w:fldChar w:fldCharType="separate"/>
          </w:r>
          <w:r>
            <w:rPr>
              <w:rFonts w:hint="eastAsia" w:ascii="黑体" w:hAnsi="黑体" w:eastAsia="黑体" w:cs="黑体"/>
              <w:sz w:val="30"/>
              <w:szCs w:val="30"/>
              <w:highlight w:val="none"/>
            </w:rPr>
            <w:t xml:space="preserve">第六章 评分方法和评分标准</w:t>
          </w:r>
          <w:r>
            <w:rPr>
              <w:rFonts w:hint="eastAsia" w:ascii="黑体" w:hAnsi="黑体" w:eastAsia="黑体" w:cs="黑体"/>
              <w:sz w:val="30"/>
              <w:szCs w:val="30"/>
              <w:highlight w:val="none"/>
            </w:rPr>
            <w:tab/>
          </w: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PAGEREF _Toc5187 \h </w:instrText>
          </w:r>
          <w:r>
            <w:rPr>
              <w:rFonts w:hint="eastAsia" w:ascii="黑体" w:hAnsi="黑体" w:eastAsia="黑体" w:cs="黑体"/>
              <w:sz w:val="30"/>
              <w:szCs w:val="30"/>
              <w:highlight w:val="none"/>
            </w:rPr>
            <w:fldChar w:fldCharType="separate"/>
          </w:r>
          <w:r>
            <w:rPr>
              <w:rFonts w:hint="eastAsia" w:ascii="黑体" w:hAnsi="黑体" w:eastAsia="黑体" w:cs="黑体"/>
              <w:sz w:val="30"/>
              <w:szCs w:val="30"/>
              <w:highlight w:val="none"/>
            </w:rPr>
            <w:t xml:space="preserve">51</w:t>
          </w:r>
          <w:r>
            <w:rPr>
              <w:rFonts w:hint="eastAsia" w:ascii="黑体" w:hAnsi="黑体" w:eastAsia="黑体" w:cs="黑体"/>
              <w:sz w:val="30"/>
              <w:szCs w:val="30"/>
              <w:highlight w:val="none"/>
            </w:rPr>
            <w:fldChar w:fldCharType="end"/>
          </w:r>
          <w:r>
            <w:rPr>
              <w:rFonts w:hint="eastAsia" w:ascii="黑体" w:hAnsi="黑体" w:eastAsia="黑体" w:cs="黑体"/>
              <w:sz w:val="30"/>
              <w:szCs w:val="30"/>
              <w:highlight w:val="none"/>
            </w:rPr>
            <w:fldChar w:fldCharType="end"/>
          </w:r>
          <w:r/>
        </w:p>
        <w:p>
          <w:pPr>
            <w:pStyle w:val="912"/>
            <w:ind w:firstLine="0"/>
            <w:jc w:val="center"/>
            <w:spacing w:line="480" w:lineRule="auto"/>
            <w:rPr>
              <w:rFonts w:ascii="宋体" w:hAnsi="宋体" w:cs="宋体"/>
              <w:color w:val="000000"/>
              <w:szCs w:val="30"/>
              <w:highlight w:val="none"/>
            </w:rPr>
          </w:pPr>
          <w:r>
            <w:rPr>
              <w:rFonts w:hint="eastAsia" w:ascii="黑体" w:hAnsi="黑体" w:eastAsia="黑体" w:cs="黑体"/>
              <w:color w:val="000000"/>
              <w:sz w:val="30"/>
              <w:szCs w:val="30"/>
              <w:highlight w:val="none"/>
            </w:rPr>
            <w:fldChar w:fldCharType="end"/>
          </w:r>
          <w:r/>
        </w:p>
      </w:sdtContent>
    </w:sdt>
    <w:p>
      <w:pPr>
        <w:rPr>
          <w:highlight w:val="none"/>
        </w:rPr>
      </w:pPr>
      <w:r>
        <w:rPr>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jc w:val="center"/>
        <w:rPr>
          <w:highlight w:val="none"/>
        </w:rPr>
      </w:pPr>
      <w:r>
        <w:rPr>
          <w:rFonts w:ascii="宋体" w:cs="宋体"/>
          <w:b/>
          <w:color w:val="000000"/>
          <w:sz w:val="24"/>
          <w:szCs w:val="24"/>
          <w:highlight w:val="none"/>
        </w:rPr>
        <w:br w:type="page" w:clear="all"/>
      </w:r>
      <w:bookmarkStart w:id="0" w:name="_Toc15681"/>
      <w:r/>
      <w:bookmarkStart w:id="1" w:name="_Toc12642"/>
      <w:r/>
      <w:bookmarkStart w:id="2" w:name="_Toc17003"/>
      <w:r/>
      <w:bookmarkStart w:id="3" w:name="_Toc16121"/>
      <w:r>
        <w:rPr>
          <w:rFonts w:ascii="Arial" w:hAnsi="Arial"/>
          <w:b/>
          <w:spacing w:val="20"/>
          <w:sz w:val="30"/>
          <w:highlight w:val="none"/>
        </w:rPr>
        <w:t xml:space="preserve">前 附 表</w:t>
      </w:r>
      <w:bookmarkEnd w:id="0"/>
      <w:r/>
      <w:bookmarkEnd w:id="1"/>
      <w:r/>
      <w:bookmarkEnd w:id="2"/>
      <w:r/>
      <w:bookmarkEnd w:id="3"/>
      <w:r/>
      <w:r/>
    </w:p>
    <w:tbl>
      <w:tblPr>
        <w:tblStyle w:val="90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highlight w:val="none"/>
              </w:rPr>
            </w:pPr>
            <w:r>
              <w:rPr>
                <w:rFonts w:hint="eastAsia" w:ascii="宋体" w:hAnsi="宋体"/>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JSZC-320500-ZCJC-C2026-0002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highlight w:val="none"/>
              </w:rPr>
            </w:pPr>
            <w:r>
              <w:rPr>
                <w:rFonts w:hint="eastAsia" w:ascii="宋体" w:hAnsi="宋体"/>
                <w:szCs w:val="21"/>
                <w:highlight w:val="none"/>
              </w:rPr>
              <w:t xml:space="preserve">苏州两级法院电子卷宗集中编目服务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ascii="宋体" w:hAnsi="宋体"/>
                <w:szCs w:val="21"/>
                <w:highlight w:val="none"/>
              </w:rPr>
            </w:pP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采购代理机构</w:t>
            </w:r>
            <w:r/>
          </w:p>
          <w:p>
            <w:pPr>
              <w:jc w:val="center"/>
              <w:rPr>
                <w:rFonts w:ascii="宋体" w:hAnsi="宋体"/>
                <w:szCs w:val="21"/>
                <w:highlight w:val="none"/>
              </w:rPr>
            </w:pPr>
            <w:r>
              <w:rPr>
                <w:rFonts w:hint="eastAsia" w:ascii="宋体" w:hAnsi="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名称：苏州筑程集中采购代理有限公司</w:t>
            </w:r>
            <w:r/>
          </w:p>
          <w:p>
            <w:pPr>
              <w:jc w:val="left"/>
              <w:spacing w:line="312" w:lineRule="auto"/>
              <w:rPr>
                <w:rFonts w:ascii="宋体" w:hAnsi="宋体"/>
                <w:szCs w:val="21"/>
                <w:highlight w:val="none"/>
              </w:rPr>
            </w:pPr>
            <w:r>
              <w:rPr>
                <w:rFonts w:hint="eastAsia" w:ascii="宋体" w:hAnsi="宋体"/>
                <w:szCs w:val="21"/>
                <w:highlight w:val="none"/>
              </w:rPr>
              <w:t xml:space="preserve">地址：苏州市宝带西路1177号世茂广场H座2313</w:t>
            </w:r>
            <w:r/>
          </w:p>
          <w:p>
            <w:pPr>
              <w:jc w:val="left"/>
              <w:spacing w:line="312" w:lineRule="auto"/>
              <w:rPr>
                <w:rFonts w:ascii="宋体" w:hAnsi="宋体"/>
                <w:szCs w:val="21"/>
                <w:highlight w:val="none"/>
              </w:rPr>
            </w:pPr>
            <w:r>
              <w:rPr>
                <w:rFonts w:hint="eastAsia" w:ascii="宋体" w:hAnsi="宋体"/>
                <w:szCs w:val="21"/>
                <w:highlight w:val="none"/>
              </w:rPr>
              <w:t xml:space="preserve">联系人: 孙晓苏、张潮音</w:t>
            </w:r>
            <w:r/>
          </w:p>
          <w:p>
            <w:pPr>
              <w:pStyle w:val="918"/>
              <w:ind w:left="0" w:firstLine="0"/>
              <w:rPr>
                <w:highlight w:val="none"/>
              </w:rPr>
            </w:pPr>
            <w:r>
              <w:rPr>
                <w:rFonts w:hint="eastAsia" w:ascii="宋体" w:hAnsi="宋体"/>
                <w:szCs w:val="21"/>
                <w:highlight w:val="none"/>
              </w:rPr>
              <w:t xml:space="preserve">联系电话：0512-62629993</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名称：江苏省苏州市中级人民法院</w:t>
            </w:r>
            <w:r/>
          </w:p>
          <w:p>
            <w:pPr>
              <w:jc w:val="left"/>
              <w:spacing w:line="312" w:lineRule="auto"/>
              <w:rPr>
                <w:rFonts w:ascii="宋体" w:hAnsi="宋体"/>
                <w:szCs w:val="21"/>
                <w:highlight w:val="none"/>
              </w:rPr>
            </w:pPr>
            <w:r>
              <w:rPr>
                <w:rFonts w:hint="eastAsia" w:ascii="宋体" w:hAnsi="宋体"/>
                <w:szCs w:val="21"/>
                <w:highlight w:val="none"/>
              </w:rPr>
              <w:t xml:space="preserve">地址：苏州市姑苏区解放东路488号</w:t>
            </w:r>
            <w:r/>
          </w:p>
          <w:p>
            <w:pPr>
              <w:jc w:val="left"/>
              <w:spacing w:line="312" w:lineRule="auto"/>
              <w:rPr>
                <w:rFonts w:ascii="宋体" w:hAnsi="宋体"/>
                <w:szCs w:val="21"/>
                <w:highlight w:val="none"/>
              </w:rPr>
            </w:pPr>
            <w:r>
              <w:rPr>
                <w:rFonts w:hint="eastAsia" w:ascii="宋体" w:hAnsi="宋体"/>
                <w:szCs w:val="21"/>
                <w:highlight w:val="none"/>
              </w:rPr>
              <w:t xml:space="preserve">联系人：张祺</w:t>
            </w:r>
            <w:r/>
          </w:p>
          <w:p>
            <w:pPr>
              <w:jc w:val="left"/>
              <w:spacing w:line="312" w:lineRule="auto"/>
              <w:rPr>
                <w:highlight w:val="none"/>
              </w:rPr>
            </w:pPr>
            <w:r>
              <w:rPr>
                <w:rFonts w:hint="eastAsia" w:ascii="宋体" w:hAnsi="宋体"/>
                <w:szCs w:val="21"/>
                <w:highlight w:val="none"/>
              </w:rPr>
              <w:t xml:space="preserve">联系电话：0512-68552270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获取采购文件</w:t>
            </w:r>
            <w:r/>
          </w:p>
          <w:p>
            <w:pPr>
              <w:jc w:val="center"/>
              <w:rPr>
                <w:rFonts w:ascii="宋体" w:hAnsi="宋体"/>
                <w:szCs w:val="21"/>
                <w:highlight w:val="none"/>
              </w:rPr>
            </w:pPr>
            <w:r>
              <w:rPr>
                <w:rFonts w:hint="eastAsia" w:ascii="宋体" w:hAnsi="宋体"/>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仿宋" w:hAnsi="仿宋" w:eastAsia="仿宋" w:cs="仿宋"/>
                <w:szCs w:val="21"/>
                <w:highlight w:val="none"/>
              </w:rPr>
            </w:pPr>
            <w:r>
              <w:rPr>
                <w:rFonts w:hint="eastAsia" w:ascii="宋体" w:hAnsi="宋体"/>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响应文件网上</w:t>
            </w:r>
            <w:r/>
          </w:p>
          <w:p>
            <w:pPr>
              <w:jc w:val="center"/>
              <w:rPr>
                <w:rFonts w:ascii="宋体" w:hAnsi="宋体"/>
                <w:szCs w:val="21"/>
                <w:highlight w:val="none"/>
              </w:rPr>
            </w:pPr>
            <w:r>
              <w:rPr>
                <w:rFonts w:hint="eastAsia" w:ascii="宋体" w:hAnsi="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cs="宋体"/>
                <w:color w:val="000000"/>
                <w:sz w:val="24"/>
                <w:szCs w:val="24"/>
                <w:highlight w:val="none"/>
                <w:u w:val="single"/>
              </w:rPr>
              <w:t xml:space="preserve">2026年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时</w:t>
            </w:r>
            <w:r>
              <w:rPr>
                <w:rFonts w:hint="eastAsia" w:ascii="宋体" w:hAnsi="宋体" w:cs="宋体"/>
                <w:color w:val="000000"/>
                <w:sz w:val="24"/>
                <w:szCs w:val="24"/>
                <w:highlight w:val="none"/>
                <w:u w:val="single"/>
                <w:lang w:val="en-US" w:eastAsia="zh-CN"/>
              </w:rPr>
              <w:t xml:space="preserve">30</w:t>
            </w:r>
            <w:r>
              <w:rPr>
                <w:rFonts w:hint="eastAsia" w:ascii="宋体" w:hAnsi="宋体" w:cs="宋体"/>
                <w:szCs w:val="21"/>
                <w:highlight w:val="none"/>
              </w:rPr>
              <w:t xml:space="preserve">分</w:t>
            </w:r>
            <w:r>
              <w:rPr>
                <w:rFonts w:hint="eastAsia" w:ascii="宋体" w:hAnsi="宋体"/>
                <w:szCs w:val="21"/>
                <w:highlight w:val="none"/>
              </w:rPr>
              <w:t xml:space="preserve">（北京时间）</w:t>
            </w:r>
            <w:r/>
          </w:p>
          <w:p>
            <w:pPr>
              <w:jc w:val="left"/>
              <w:spacing w:line="312" w:lineRule="auto"/>
              <w:rPr>
                <w:rFonts w:ascii="宋体" w:hAnsi="宋体"/>
                <w:szCs w:val="21"/>
                <w:highlight w:val="none"/>
              </w:rPr>
            </w:pPr>
            <w:r>
              <w:rPr>
                <w:rFonts w:hint="eastAsia" w:ascii="宋体" w:hAnsi="宋体"/>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开启时间</w:t>
            </w:r>
            <w:r/>
          </w:p>
          <w:p>
            <w:pPr>
              <w:jc w:val="center"/>
              <w:rPr>
                <w:rFonts w:ascii="宋体" w:hAnsi="宋体"/>
                <w:szCs w:val="21"/>
                <w:highlight w:val="none"/>
              </w:rPr>
            </w:pPr>
            <w:r>
              <w:rPr>
                <w:rFonts w:hint="eastAsia" w:ascii="宋体" w:hAnsi="宋体"/>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cs="宋体"/>
                <w:color w:val="000000"/>
                <w:sz w:val="24"/>
                <w:szCs w:val="24"/>
                <w:highlight w:val="none"/>
                <w:u w:val="single"/>
              </w:rPr>
              <w:t xml:space="preserve">2026年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时</w:t>
            </w:r>
            <w:r>
              <w:rPr>
                <w:rFonts w:hint="eastAsia" w:ascii="宋体" w:hAnsi="宋体" w:cs="宋体"/>
                <w:color w:val="000000"/>
                <w:sz w:val="24"/>
                <w:szCs w:val="24"/>
                <w:highlight w:val="none"/>
                <w:u w:val="single"/>
                <w:lang w:val="en-US" w:eastAsia="zh-CN"/>
              </w:rPr>
              <w:t xml:space="preserve">30</w:t>
            </w:r>
            <w:r>
              <w:rPr>
                <w:rFonts w:hint="eastAsia" w:ascii="宋体" w:hAnsi="宋体" w:cs="宋体"/>
                <w:szCs w:val="21"/>
                <w:highlight w:val="none"/>
              </w:rPr>
              <w:t xml:space="preserve">分</w:t>
            </w:r>
            <w:r>
              <w:rPr>
                <w:rFonts w:hint="eastAsia" w:ascii="宋体" w:hAnsi="宋体"/>
                <w:szCs w:val="21"/>
                <w:highlight w:val="none"/>
              </w:rPr>
              <w:t xml:space="preserve">（北京时间）</w:t>
            </w:r>
            <w:r/>
          </w:p>
          <w:p>
            <w:pPr>
              <w:jc w:val="left"/>
              <w:spacing w:line="312" w:lineRule="auto"/>
              <w:rPr>
                <w:rFonts w:ascii="宋体" w:hAnsi="宋体"/>
                <w:szCs w:val="21"/>
                <w:highlight w:val="none"/>
              </w:rPr>
            </w:pPr>
            <w:r>
              <w:rPr>
                <w:rFonts w:hint="eastAsia" w:ascii="宋体" w:hAnsi="宋体"/>
                <w:szCs w:val="21"/>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szCs w:val="21"/>
                <w:highlight w:val="none"/>
              </w:rPr>
              <w:t xml:space="preserve">http://jszfcg.jsczt.cn/</w:t>
            </w:r>
            <w:r>
              <w:rPr>
                <w:rFonts w:hint="eastAsia" w:ascii="宋体" w:hAnsi="宋体"/>
                <w:szCs w:val="21"/>
                <w:highlight w:val="none"/>
              </w:rPr>
              <w:fldChar w:fldCharType="end"/>
            </w:r>
            <w:r>
              <w:rPr>
                <w:rFonts w:hint="eastAsia" w:ascii="宋体" w:hAnsi="宋体"/>
                <w:szCs w:val="21"/>
                <w:highlight w:val="none"/>
              </w:rPr>
              <w:t xml:space="preserve">）</w:t>
            </w:r>
            <w:r/>
          </w:p>
          <w:p>
            <w:pPr>
              <w:jc w:val="left"/>
              <w:spacing w:line="312" w:lineRule="auto"/>
              <w:rPr>
                <w:rFonts w:ascii="宋体" w:hAnsi="宋体"/>
                <w:szCs w:val="21"/>
                <w:highlight w:val="none"/>
              </w:rPr>
            </w:pPr>
            <w:r>
              <w:rPr>
                <w:rFonts w:hint="eastAsia" w:ascii="宋体" w:hAnsi="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评审时间</w:t>
            </w:r>
            <w:r/>
          </w:p>
          <w:p>
            <w:pPr>
              <w:jc w:val="center"/>
              <w:rPr>
                <w:rFonts w:ascii="宋体" w:hAnsi="宋体"/>
                <w:szCs w:val="21"/>
                <w:highlight w:val="none"/>
              </w:rPr>
            </w:pPr>
            <w:r>
              <w:rPr>
                <w:rFonts w:hint="eastAsia" w:ascii="宋体" w:hAnsi="宋体"/>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 10月14日13时30</w:t>
            </w:r>
            <w:r>
              <w:rPr>
                <w:rFonts w:ascii="SimSun" w:hAnsi="SimSun" w:eastAsia="SimSun" w:cs="SimSun"/>
                <w:color w:val="000000"/>
                <w:sz w:val="21"/>
              </w:rPr>
              <w:t xml:space="preserve">分</w:t>
            </w:r>
            <w:r/>
            <w:r>
              <w:rPr>
                <w:rFonts w:hint="eastAsia" w:ascii="宋体" w:hAnsi="宋体" w:cs="宋体"/>
                <w:szCs w:val="21"/>
                <w:highlight w:val="none"/>
              </w:rPr>
            </w:r>
            <w:r>
              <w:rPr>
                <w:rFonts w:hint="eastAsia" w:ascii="宋体" w:hAnsi="宋体"/>
                <w:szCs w:val="21"/>
                <w:highlight w:val="none"/>
              </w:rPr>
              <w:t xml:space="preserve">（北京时间）</w:t>
            </w:r>
            <w:r/>
            <w:r>
              <w:rPr>
                <w:sz w:val="21"/>
              </w:rPr>
            </w:r>
          </w:p>
          <w:p>
            <w:pPr>
              <w:jc w:val="left"/>
              <w:spacing w:line="312" w:lineRule="auto"/>
              <w:rPr>
                <w:rFonts w:ascii="宋体" w:hAnsi="宋体"/>
                <w:szCs w:val="21"/>
                <w:highlight w:val="none"/>
              </w:rPr>
            </w:pPr>
            <w:r>
              <w:rPr>
                <w:rFonts w:hint="eastAsia" w:ascii="宋体" w:hAnsi="宋体"/>
                <w:szCs w:val="21"/>
                <w:highlight w:val="none"/>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磋商响应</w:t>
            </w:r>
            <w:r/>
          </w:p>
          <w:p>
            <w:pPr>
              <w:jc w:val="center"/>
              <w:rPr>
                <w:rFonts w:ascii="宋体" w:hAnsi="宋体"/>
                <w:szCs w:val="21"/>
                <w:highlight w:val="none"/>
              </w:rPr>
            </w:pPr>
            <w:r>
              <w:rPr>
                <w:rFonts w:hint="eastAsia" w:ascii="宋体" w:hAnsi="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ff0000"/>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highlight w:val="none"/>
              </w:rPr>
            </w:pPr>
            <w:r>
              <w:rPr>
                <w:rFonts w:hint="eastAsia" w:ascii="宋体" w:hAnsi="宋体"/>
                <w:szCs w:val="21"/>
                <w:highlight w:val="none"/>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26"/>
              <w:ind w:firstLine="0"/>
              <w:spacing w:line="312" w:lineRule="auto"/>
              <w:rPr>
                <w:rFonts w:ascii="宋体" w:hAnsi="宋体" w:cs="宋体"/>
                <w:sz w:val="21"/>
                <w:szCs w:val="21"/>
                <w:highlight w:val="none"/>
              </w:rPr>
            </w:pPr>
            <w:r>
              <w:rPr>
                <w:rFonts w:hint="eastAsia" w:ascii="宋体" w:hAnsi="宋体" w:cs="宋体"/>
                <w:sz w:val="21"/>
                <w:szCs w:val="21"/>
                <w:highlight w:val="none"/>
              </w:rPr>
              <w:t xml:space="preserve">确定出成交单位后，采购代理机构在法定时间内向成交单位发出成交通知书。成交通知书将成为合同的组成部分。</w:t>
            </w:r>
            <w:r/>
          </w:p>
          <w:p>
            <w:pPr>
              <w:pStyle w:val="926"/>
              <w:ind w:firstLine="0"/>
              <w:spacing w:line="312" w:lineRule="auto"/>
              <w:rPr>
                <w:rFonts w:ascii="宋体" w:hAnsi="宋体" w:cs="宋体"/>
                <w:sz w:val="21"/>
                <w:szCs w:val="21"/>
                <w:highlight w:val="none"/>
              </w:rPr>
            </w:pPr>
            <w:r>
              <w:rPr>
                <w:rFonts w:hint="eastAsia" w:ascii="宋体" w:hAnsi="宋体" w:cs="宋体"/>
                <w:b/>
                <w:sz w:val="21"/>
                <w:szCs w:val="21"/>
                <w:highlight w:val="none"/>
              </w:rPr>
              <w:t xml:space="preserve">请成交单位在成交结果公告届满之日起30日内,使用CA证书登录“苏采云”系统及时下载成交通知书。</w:t>
            </w:r>
            <w:r/>
          </w:p>
        </w:tc>
      </w:tr>
    </w:tbl>
    <w:p>
      <w:pPr>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hint="eastAsia" w:ascii="宋体" w:cs="宋体"/>
          <w:b/>
          <w:color w:val="000000"/>
          <w:sz w:val="24"/>
          <w:szCs w:val="24"/>
          <w:highlight w:val="none"/>
        </w:rPr>
        <w:br w:type="page" w:clear="all"/>
      </w:r>
      <w:r/>
    </w:p>
    <w:p>
      <w:pPr>
        <w:jc w:val="center"/>
        <w:spacing w:line="360" w:lineRule="auto"/>
        <w:widowControl/>
        <w:rPr>
          <w:rFonts w:ascii="宋体" w:cs="宋体"/>
          <w:b/>
          <w:color w:val="000000"/>
          <w:sz w:val="24"/>
          <w:szCs w:val="24"/>
          <w:highlight w:val="none"/>
        </w:rPr>
        <w:outlineLvl w:val="0"/>
      </w:pPr>
      <w:r/>
      <w:bookmarkStart w:id="4" w:name="_Toc25786"/>
      <w:r>
        <w:rPr>
          <w:rFonts w:hint="eastAsia" w:ascii="宋体" w:cs="宋体"/>
          <w:b/>
          <w:color w:val="000000"/>
          <w:sz w:val="24"/>
          <w:szCs w:val="24"/>
          <w:highlight w:val="none"/>
        </w:rPr>
        <w:t xml:space="preserve">第一章 竞争性磋商邀请函</w:t>
      </w:r>
      <w:bookmarkEnd w:id="4"/>
      <w:r/>
      <w:r/>
    </w:p>
    <w:tbl>
      <w:tblPr>
        <w:tblStyle w:val="909"/>
        <w:tblW w:w="9705"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textDirection w:val="lrTb"/>
            <w:noWrap w:val="false"/>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苏州两级法院电子卷宗集中编目服务</w:t>
            </w:r>
            <w:r>
              <w:rPr>
                <w:rFonts w:hint="eastAsia" w:ascii="宋体" w:hAnsi="宋体" w:cs="宋体"/>
                <w:color w:val="000000"/>
                <w:sz w:val="24"/>
                <w:szCs w:val="24"/>
                <w:highlight w:val="none"/>
              </w:rPr>
              <w:t xml:space="preserve">采购项目的潜在供应商应在“苏采云”系统获取采购文件，并于</w:t>
            </w:r>
            <w:r>
              <w:rPr>
                <w:rFonts w:hint="eastAsia" w:ascii="宋体" w:hAnsi="宋体" w:cs="宋体"/>
                <w:color w:val="000000"/>
                <w:sz w:val="24"/>
                <w:szCs w:val="24"/>
                <w:highlight w:val="none"/>
                <w:u w:val="single"/>
              </w:rPr>
              <w:t xml:space="preserve">2026年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时</w:t>
            </w:r>
            <w:r>
              <w:rPr>
                <w:rFonts w:hint="eastAsia" w:ascii="宋体" w:hAnsi="宋体" w:cs="宋体"/>
                <w:color w:val="000000"/>
                <w:sz w:val="24"/>
                <w:szCs w:val="24"/>
                <w:highlight w:val="none"/>
                <w:u w:val="single"/>
                <w:lang w:val="en-US" w:eastAsia="zh-CN"/>
              </w:rPr>
              <w:t xml:space="preserve">30</w:t>
            </w:r>
            <w:r>
              <w:rPr>
                <w:rFonts w:hint="eastAsia" w:ascii="宋体" w:hAnsi="宋体" w:cs="宋体"/>
                <w:szCs w:val="21"/>
                <w:highlight w:val="none"/>
              </w:rPr>
              <w:t xml:space="preserve">分</w:t>
            </w:r>
            <w:r>
              <w:rPr>
                <w:rFonts w:hint="eastAsia" w:ascii="宋体" w:hAnsi="宋体" w:cs="宋体"/>
                <w:color w:val="000000"/>
                <w:sz w:val="24"/>
                <w:szCs w:val="24"/>
                <w:highlight w:val="none"/>
              </w:rPr>
              <w:t xml:space="preserve">（北京时间）前递交投标文件。</w:t>
            </w:r>
            <w:r/>
          </w:p>
        </w:tc>
      </w:tr>
    </w:tbl>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一、项目基本情况</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1、项目编号：JSZC-320500-ZCJC-C2026-0002</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2、项目名称：苏州两级法院电子卷宗集中编目服务</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3、采购方式：竞争性磋商</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4、预算金额：人民币贰佰肆拾万元整（￥2400000.00元）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5、最高限价：人民币贰佰肆拾万元整（￥2400000.00元）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highlight w:val="none"/>
        </w:rPr>
        <w:t xml:space="preserve">服务期限为1年（2026年11月1日至2027年10月31日）</w:t>
      </w:r>
      <w:r>
        <w:rPr>
          <w:rFonts w:hint="eastAsia" w:ascii="宋体" w:hAnsi="宋体" w:cs="宋体"/>
          <w:color w:val="000000"/>
          <w:sz w:val="24"/>
          <w:szCs w:val="24"/>
          <w:highlight w:val="none"/>
        </w:rPr>
        <w:t xml:space="preserve"> </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7、采购需求：</w:t>
      </w:r>
      <w:r>
        <w:rPr>
          <w:rFonts w:hint="eastAsia" w:ascii="宋体" w:hAnsi="宋体" w:cs="宋体"/>
          <w:bCs/>
          <w:color w:val="000000"/>
          <w:sz w:val="24"/>
          <w:szCs w:val="24"/>
          <w:highlight w:val="none"/>
        </w:rPr>
        <w:t xml:space="preserve">按照最高人民法院电子卷宗编目标准，依托全国法院“一张网”系统，对苏州两级法院电子卷宗开展集中编目服务，涵盖卷宗目录编制、案卷分类、校核、数据质量核查等内容。</w:t>
      </w:r>
      <w:r>
        <w:rPr>
          <w:rFonts w:ascii="宋体" w:hAnsi="宋体" w:cs="宋体"/>
          <w:bCs/>
          <w:color w:val="000000"/>
          <w:sz w:val="24"/>
          <w:szCs w:val="24"/>
          <w:highlight w:val="none"/>
        </w:rPr>
        <w:t xml:space="preserve">采购工作结束后，按照中标通知书，中标单位</w:t>
      </w:r>
      <w:r>
        <w:rPr>
          <w:rFonts w:hint="eastAsia" w:ascii="宋体" w:hAnsi="宋体" w:cs="宋体"/>
          <w:bCs/>
          <w:color w:val="000000"/>
          <w:sz w:val="24"/>
          <w:szCs w:val="24"/>
          <w:highlight w:val="none"/>
        </w:rPr>
        <w:t xml:space="preserve">与</w:t>
      </w:r>
      <w:r>
        <w:rPr>
          <w:rFonts w:ascii="宋体" w:hAnsi="宋体" w:cs="宋体"/>
          <w:bCs/>
          <w:color w:val="000000"/>
          <w:sz w:val="24"/>
          <w:szCs w:val="24"/>
          <w:highlight w:val="none"/>
        </w:rPr>
        <w:t xml:space="preserve">各法院分别签订合同。在完成全年编目服务后，按照“一张网”系统统计的各单位实际编目页数分别进行结算。</w:t>
      </w:r>
      <w:r>
        <w:rPr>
          <w:rFonts w:hint="eastAsia" w:ascii="宋体" w:hAnsi="宋体" w:cs="宋体"/>
          <w:bCs/>
          <w:color w:val="000000"/>
          <w:sz w:val="24"/>
          <w:szCs w:val="24"/>
          <w:highlight w:val="none"/>
        </w:rPr>
        <w:t xml:space="preserve">具体详见招标购文件采购需求。</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二、申请人的资格要求：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（1）具有独立承担民事责任的能力。</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（3）具有履行合同所必需的设备和专业技术能力。</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（4）有依法缴纳税收和社会保障资金的良好记录。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（5）参加政府采购活动前三年内，在经营活动中没有重大违法记录。</w:t>
      </w:r>
      <w:r/>
    </w:p>
    <w:p>
      <w:pPr>
        <w:ind w:firstLine="480"/>
        <w:spacing w:line="360" w:lineRule="auto"/>
        <w:rPr>
          <w:color w:val="000000"/>
          <w:highlight w:val="none"/>
        </w:rPr>
      </w:pPr>
      <w:r>
        <w:rPr>
          <w:rFonts w:hint="eastAsia" w:ascii="宋体" w:hAnsi="宋体"/>
          <w:color w:val="000000"/>
          <w:sz w:val="24"/>
          <w:szCs w:val="24"/>
          <w:highlight w:val="none"/>
        </w:rPr>
        <w:t xml:space="preserve">（6）法律、行政法规规定的其他条件。</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p>
    <w:p>
      <w:pPr>
        <w:ind w:firstLine="480"/>
        <w:spacing w:line="360" w:lineRule="auto"/>
        <w:rPr>
          <w:color w:val="000000"/>
          <w:highlight w:val="none"/>
        </w:rPr>
      </w:pPr>
      <w:r>
        <w:rPr>
          <w:rFonts w:hint="eastAsia" w:ascii="宋体" w:hAnsi="宋体" w:cs="宋体"/>
          <w:color w:val="000000"/>
          <w:sz w:val="24"/>
          <w:szCs w:val="24"/>
          <w:highlight w:val="none"/>
        </w:rPr>
        <w:t xml:space="preserve">根据《政府采购促进中小企业发展管理办法》的相关规定，</w:t>
      </w:r>
      <w:r>
        <w:rPr>
          <w:rFonts w:hint="eastAsia" w:ascii="宋体" w:hAnsi="宋体" w:cs="宋体"/>
          <w:b/>
          <w:bCs/>
          <w:color w:val="000000"/>
          <w:sz w:val="24"/>
          <w:szCs w:val="24"/>
          <w:highlight w:val="none"/>
        </w:rPr>
        <w:t xml:space="preserve">本项目专门面向中小企业</w:t>
      </w:r>
      <w:r>
        <w:rPr>
          <w:rFonts w:hint="eastAsia" w:ascii="宋体" w:hAnsi="宋体" w:cs="宋体"/>
          <w:color w:val="000000"/>
          <w:sz w:val="24"/>
          <w:szCs w:val="24"/>
          <w:highlight w:val="none"/>
        </w:rPr>
        <w:t xml:space="preserve">，所属行业为</w:t>
      </w:r>
      <w:r>
        <w:rPr>
          <w:rFonts w:hint="eastAsia" w:ascii="宋体" w:hAnsi="宋体" w:cs="宋体"/>
          <w:b/>
          <w:color w:val="000000"/>
          <w:sz w:val="24"/>
          <w:szCs w:val="24"/>
          <w:highlight w:val="none"/>
        </w:rPr>
        <w:t xml:space="preserve">软件和信息技术服务业</w:t>
      </w:r>
      <w:r>
        <w:rPr>
          <w:rFonts w:hint="eastAsia" w:ascii="宋体" w:hAnsi="宋体" w:cs="宋体"/>
          <w:color w:val="000000"/>
          <w:sz w:val="24"/>
          <w:szCs w:val="24"/>
          <w:highlight w:val="none"/>
        </w:rPr>
        <w:t xml:space="preserve">，供应商所提供货物的制造商应为中小微企业、监狱企业、残疾人福利性单位。</w:t>
      </w:r>
      <w:r/>
    </w:p>
    <w:p>
      <w:pPr>
        <w:numPr>
          <w:ilvl w:val="0"/>
          <w:numId w:val="1"/>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本项目的特定资格要求：无。</w:t>
      </w:r>
      <w:r/>
    </w:p>
    <w:p>
      <w:pPr>
        <w:numPr>
          <w:ilvl w:val="0"/>
          <w:numId w:val="1"/>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联合体及转包、分包：本项目不接受联合体，不得转包、分包本项目。</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三、获取招标文件 </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1、时间：自公告发布之日起5个工作日</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2、地点：“苏采云”系统自行下载采购文件</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3、方式：</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（1）CA证书办理</w:t>
      </w:r>
      <w:r/>
    </w:p>
    <w:p>
      <w:pPr>
        <w:pStyle w:val="912"/>
        <w:ind w:firstLine="480"/>
        <w:spacing w:line="360" w:lineRule="auto"/>
        <w:rPr>
          <w:rFonts w:ascii="宋体" w:hAnsi="宋体"/>
          <w:b/>
          <w:sz w:val="24"/>
          <w:szCs w:val="24"/>
          <w:highlight w:val="none"/>
        </w:rPr>
      </w:pPr>
      <w:r>
        <w:rPr>
          <w:rFonts w:hint="eastAsia" w:ascii="宋体" w:hAnsi="宋体" w:cs="宋体"/>
          <w:bCs/>
          <w:sz w:val="24"/>
          <w:szCs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4"/>
          <w:szCs w:val="24"/>
          <w:highlight w:val="none"/>
        </w:rPr>
        <w:t xml:space="preserve">—</w:t>
      </w:r>
      <w:r>
        <w:rPr>
          <w:rFonts w:hint="eastAsia" w:ascii="宋体" w:hAnsi="宋体" w:cs="宋体"/>
          <w:bCs/>
          <w:sz w:val="24"/>
          <w:szCs w:val="24"/>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highlight w:val="none"/>
        </w:rPr>
        <w:t xml:space="preserve">苏州现场办理地址：苏州高新区邓尉路105号狮山科技馆1楼服务大厅，咨询电话：0512-65737699。</w:t>
      </w:r>
      <w:r/>
    </w:p>
    <w:p>
      <w:pPr>
        <w:pStyle w:val="912"/>
        <w:ind w:firstLine="480"/>
        <w:spacing w:line="360" w:lineRule="auto"/>
        <w:rPr>
          <w:rFonts w:ascii="宋体" w:hAnsi="宋体"/>
          <w:b/>
          <w:sz w:val="24"/>
          <w:szCs w:val="24"/>
          <w:highlight w:val="none"/>
        </w:rPr>
      </w:pPr>
      <w:r>
        <w:rPr>
          <w:rFonts w:hint="eastAsia" w:ascii="宋体" w:hAnsi="宋体"/>
          <w:sz w:val="24"/>
          <w:szCs w:val="24"/>
          <w:highlight w:val="none"/>
        </w:rPr>
        <w:t xml:space="preserve">（2）参与采购活动</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（3）电子投标准备</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4"/>
          <w:szCs w:val="24"/>
          <w:highlight w:val="none"/>
        </w:rPr>
        <w:t xml:space="preserve">（具体详见《苏采云系统供应商操作手册》，网址链接</w:t>
      </w:r>
      <w:r>
        <w:rPr>
          <w:rFonts w:ascii="宋体" w:hAnsi="宋体"/>
          <w:b/>
          <w:sz w:val="24"/>
          <w:szCs w:val="24"/>
          <w:highlight w:val="none"/>
        </w:rPr>
        <w:t xml:space="preserve">https://czju.suzhou.gov.cn/zfcg/html/content/20231220161910031.shtml</w:t>
      </w:r>
      <w:r>
        <w:rPr>
          <w:rFonts w:hint="eastAsia" w:ascii="宋体" w:hAnsi="宋体"/>
          <w:b/>
          <w:sz w:val="24"/>
          <w:szCs w:val="24"/>
          <w:highlight w:val="none"/>
        </w:rPr>
        <w:t xml:space="preserve">）</w:t>
      </w:r>
      <w:r>
        <w:rPr>
          <w:rFonts w:hint="eastAsia" w:ascii="宋体" w:hAnsi="宋体"/>
          <w:sz w:val="24"/>
          <w:szCs w:val="24"/>
          <w:highlight w:val="none"/>
        </w:rPr>
        <w:t xml:space="preserve">。</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在系统操作过程中如有疑问，请按以下方式联系：</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注册咨询：</w:t>
      </w:r>
      <w:r>
        <w:rPr>
          <w:rFonts w:ascii="宋体" w:hAnsi="宋体"/>
          <w:sz w:val="24"/>
          <w:szCs w:val="24"/>
          <w:highlight w:val="none"/>
        </w:rPr>
        <w:t xml:space="preserve">13914088964</w:t>
      </w:r>
      <w:r>
        <w:rPr>
          <w:rFonts w:hint="eastAsia" w:ascii="宋体" w:hAnsi="宋体"/>
          <w:sz w:val="24"/>
          <w:szCs w:val="24"/>
          <w:highlight w:val="none"/>
        </w:rPr>
        <w:t xml:space="preserve">；</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CA技术咨询电话：</w:t>
      </w:r>
      <w:r>
        <w:rPr>
          <w:rFonts w:ascii="宋体" w:hAnsi="宋体"/>
          <w:sz w:val="24"/>
          <w:szCs w:val="24"/>
          <w:highlight w:val="none"/>
        </w:rPr>
        <w:t xml:space="preserve">400-608-6099</w:t>
      </w:r>
      <w:r>
        <w:rPr>
          <w:rFonts w:hint="eastAsia" w:ascii="宋体" w:hAnsi="宋体"/>
          <w:sz w:val="24"/>
          <w:szCs w:val="24"/>
          <w:highlight w:val="none"/>
        </w:rPr>
        <w:t xml:space="preserve">；</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签章使用问题：025-83633811、025-83633812、15380932027、15371015030；</w:t>
      </w:r>
      <w:r/>
    </w:p>
    <w:p>
      <w:pPr>
        <w:pStyle w:val="912"/>
        <w:ind w:firstLine="480"/>
        <w:spacing w:line="360" w:lineRule="auto"/>
        <w:rPr>
          <w:rFonts w:ascii="宋体" w:hAnsi="宋体"/>
          <w:sz w:val="24"/>
          <w:szCs w:val="24"/>
          <w:highlight w:val="none"/>
        </w:rPr>
      </w:pPr>
      <w:r>
        <w:rPr>
          <w:rFonts w:hint="eastAsia" w:ascii="宋体" w:hAnsi="宋体"/>
          <w:sz w:val="24"/>
          <w:szCs w:val="24"/>
          <w:highlight w:val="none"/>
        </w:rPr>
        <w:t xml:space="preserve">系统使用指导与咨询：联系电话：</w:t>
      </w:r>
      <w:r>
        <w:rPr>
          <w:rFonts w:ascii="宋体" w:hAnsi="宋体"/>
          <w:sz w:val="24"/>
          <w:szCs w:val="24"/>
          <w:highlight w:val="none"/>
        </w:rPr>
        <w:t xml:space="preserve">13914088964</w:t>
      </w:r>
      <w:r>
        <w:rPr>
          <w:rFonts w:hint="eastAsia" w:ascii="宋体" w:hAnsi="宋体"/>
          <w:sz w:val="24"/>
          <w:szCs w:val="24"/>
          <w:highlight w:val="none"/>
        </w:rPr>
        <w:t xml:space="preserve">；智能客服：登录苏采云系统后，联系系统右下方智能客服图标进行咨询。</w:t>
      </w:r>
      <w:r/>
    </w:p>
    <w:p>
      <w:pPr>
        <w:numPr>
          <w:ilvl w:val="0"/>
          <w:numId w:val="1"/>
        </w:num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售价：免费</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四、提交投标文件截止时间、开标时间和地点： </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u w:val="single"/>
        </w:rPr>
        <w:t xml:space="preserve">2026年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时</w:t>
      </w:r>
      <w:r>
        <w:rPr>
          <w:rFonts w:hint="eastAsia" w:ascii="宋体" w:hAnsi="宋体" w:cs="宋体"/>
          <w:color w:val="000000"/>
          <w:sz w:val="24"/>
          <w:szCs w:val="24"/>
          <w:highlight w:val="none"/>
          <w:u w:val="single"/>
          <w:lang w:val="en-US" w:eastAsia="zh-CN"/>
        </w:rPr>
        <w:t xml:space="preserve">30</w:t>
      </w:r>
      <w:r>
        <w:rPr>
          <w:rFonts w:hint="eastAsia" w:ascii="宋体" w:hAnsi="宋体" w:cs="宋体"/>
          <w:szCs w:val="21"/>
          <w:highlight w:val="none"/>
        </w:rPr>
        <w:t xml:space="preserve">分</w:t>
      </w:r>
      <w:r>
        <w:rPr>
          <w:rFonts w:hint="eastAsia" w:ascii="宋体" w:hAnsi="宋体" w:cs="宋体"/>
          <w:color w:val="000000"/>
          <w:sz w:val="24"/>
          <w:szCs w:val="24"/>
          <w:highlight w:val="none"/>
        </w:rPr>
        <w:t xml:space="preserve">（北京时间）。</w:t>
      </w:r>
      <w:r/>
    </w:p>
    <w:p>
      <w:pPr>
        <w:pStyle w:val="912"/>
        <w:ind w:firstLine="480"/>
        <w:spacing w:line="360" w:lineRule="auto"/>
        <w:rPr>
          <w:rFonts w:ascii="宋体" w:hAnsi="宋体" w:cs="宋体"/>
          <w:bCs/>
          <w:sz w:val="24"/>
          <w:szCs w:val="24"/>
          <w:highlight w:val="none"/>
        </w:rPr>
      </w:pPr>
      <w:r>
        <w:rPr>
          <w:rFonts w:hint="eastAsia" w:ascii="宋体" w:hAnsi="宋体" w:cs="宋体"/>
          <w:color w:val="000000"/>
          <w:sz w:val="24"/>
          <w:szCs w:val="24"/>
          <w:highlight w:val="none"/>
        </w:rPr>
        <w:t xml:space="preserve">2、</w:t>
      </w:r>
      <w:bookmarkStart w:id="5" w:name="_Hlk90650417"/>
      <w:r>
        <w:rPr>
          <w:rFonts w:hint="eastAsia" w:ascii="宋体" w:hAnsi="宋体" w:cs="宋体"/>
          <w:bCs/>
          <w:sz w:val="24"/>
          <w:szCs w:val="24"/>
          <w:highlight w:val="none"/>
        </w:rPr>
        <w:t xml:space="preserve">地点：</w:t>
      </w:r>
      <w:r>
        <w:rPr>
          <w:rFonts w:hint="eastAsia" w:ascii="宋体" w:hAnsi="宋体" w:cs="宋体"/>
          <w:b/>
          <w:bCs/>
          <w:sz w:val="24"/>
          <w:szCs w:val="24"/>
          <w:highlight w:val="none"/>
        </w:rPr>
        <w:t xml:space="preserve">“苏采云”系统（网址：http://jszfcg.jsczt.cn/）</w:t>
      </w:r>
      <w:r>
        <w:rPr>
          <w:rFonts w:hint="eastAsia" w:ascii="宋体" w:hAnsi="宋体" w:cs="宋体"/>
          <w:bCs/>
          <w:sz w:val="24"/>
          <w:szCs w:val="24"/>
          <w:highlight w:val="none"/>
        </w:rPr>
        <w:t xml:space="preserve">。响应文件网上递交，不需要现场参加采购活动，无需提供纸质响应文件。</w:t>
      </w:r>
      <w:r/>
    </w:p>
    <w:p>
      <w:pPr>
        <w:pStyle w:val="912"/>
        <w:ind w:firstLine="480"/>
        <w:spacing w:line="360" w:lineRule="auto"/>
        <w:rPr>
          <w:rFonts w:ascii="宋体" w:hAnsi="宋体" w:cs="宋体"/>
          <w:color w:val="000000"/>
          <w:sz w:val="24"/>
          <w:szCs w:val="24"/>
          <w:highlight w:val="none"/>
        </w:rPr>
      </w:pPr>
      <w:r>
        <w:rPr>
          <w:rFonts w:hint="eastAsia" w:ascii="宋体" w:hAnsi="宋体" w:cs="宋体"/>
          <w:bCs/>
          <w:sz w:val="24"/>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t xml:space="preserve">。 </w:t>
      </w:r>
      <w:bookmarkEnd w:id="5"/>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五、开启</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1、时间：</w:t>
      </w:r>
      <w:r>
        <w:rPr>
          <w:rFonts w:hint="eastAsia" w:ascii="宋体" w:hAnsi="宋体" w:cs="宋体"/>
          <w:color w:val="000000"/>
          <w:sz w:val="24"/>
          <w:szCs w:val="24"/>
          <w:highlight w:val="none"/>
          <w:u w:val="single"/>
        </w:rPr>
        <w:t xml:space="preserve">2026年 </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13</w:t>
      </w:r>
      <w:r>
        <w:rPr>
          <w:rFonts w:hint="eastAsia" w:ascii="宋体" w:hAnsi="宋体" w:cs="宋体"/>
          <w:color w:val="000000"/>
          <w:sz w:val="24"/>
          <w:szCs w:val="24"/>
          <w:highlight w:val="none"/>
          <w:u w:val="single"/>
        </w:rPr>
        <w:t xml:space="preserve">时</w:t>
      </w:r>
      <w:r>
        <w:rPr>
          <w:rFonts w:hint="eastAsia" w:ascii="宋体" w:hAnsi="宋体" w:cs="宋体"/>
          <w:color w:val="000000"/>
          <w:sz w:val="24"/>
          <w:szCs w:val="24"/>
          <w:highlight w:val="none"/>
          <w:u w:val="single"/>
          <w:lang w:val="en-US" w:eastAsia="zh-CN"/>
        </w:rPr>
        <w:t xml:space="preserve">30</w:t>
      </w:r>
      <w:r>
        <w:rPr>
          <w:rFonts w:hint="eastAsia" w:ascii="宋体" w:hAnsi="宋体" w:cs="宋体"/>
          <w:szCs w:val="21"/>
          <w:highlight w:val="none"/>
        </w:rPr>
        <w:t xml:space="preserve">分</w:t>
      </w:r>
      <w:r>
        <w:rPr>
          <w:rFonts w:hint="eastAsia" w:ascii="宋体" w:hAnsi="宋体" w:cs="宋体"/>
          <w:bCs/>
          <w:sz w:val="24"/>
          <w:szCs w:val="24"/>
          <w:highlight w:val="none"/>
        </w:rPr>
        <w:t xml:space="preserve">（北京时间）；</w:t>
      </w:r>
      <w:r/>
    </w:p>
    <w:p>
      <w:pPr>
        <w:pStyle w:val="912"/>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2、地点：“苏采云”系统（网址：http://jszfcg.jsczt.cn/）</w:t>
      </w:r>
      <w:r/>
    </w:p>
    <w:p>
      <w:pPr>
        <w:pStyle w:val="912"/>
        <w:ind w:firstLine="480"/>
        <w:spacing w:line="360" w:lineRule="auto"/>
        <w:rPr>
          <w:rFonts w:ascii="宋体" w:hAnsi="宋体"/>
          <w:b/>
          <w:sz w:val="24"/>
          <w:szCs w:val="24"/>
          <w:highlight w:val="none"/>
        </w:rPr>
      </w:pPr>
      <w:r>
        <w:rPr>
          <w:rFonts w:ascii="宋体" w:hAnsi="宋体" w:cs="宋体"/>
          <w:bCs/>
          <w:sz w:val="24"/>
          <w:szCs w:val="24"/>
          <w:highlight w:val="none"/>
        </w:rPr>
        <w:t xml:space="preserve">3</w:t>
      </w:r>
      <w:r>
        <w:rPr>
          <w:rFonts w:hint="eastAsia" w:ascii="宋体" w:hAnsi="宋体" w:cs="宋体"/>
          <w:bCs/>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 xml:space="preserve">本项目为不见面磋商项目，</w:t>
      </w:r>
      <w:r>
        <w:rPr>
          <w:rFonts w:hint="eastAsia" w:ascii="宋体" w:hAnsi="宋体"/>
          <w:b/>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p>
    <w:p>
      <w:pPr>
        <w:pStyle w:val="912"/>
        <w:ind w:firstLine="482"/>
        <w:spacing w:line="360" w:lineRule="auto"/>
        <w:rPr>
          <w:rFonts w:ascii="宋体" w:hAnsi="宋体" w:cs="宋体"/>
          <w:b/>
          <w:bCs/>
          <w:color w:val="000000"/>
          <w:sz w:val="24"/>
          <w:szCs w:val="24"/>
          <w:highlight w:val="none"/>
        </w:rPr>
      </w:pPr>
      <w:r>
        <w:rPr>
          <w:rFonts w:hint="eastAsia" w:ascii="宋体" w:hAnsi="宋体" w:cs="宋体"/>
          <w:b/>
          <w:bCs/>
          <w:sz w:val="24"/>
          <w:szCs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六、公告期限：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七、其他补充事宜：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1、采购项目需要落实的政府采购政策：</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《关于政府采购支持监狱企业发展有关问题的通知》（财库〔2014〕68号）。</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《关于促进残疾人就业政府采购政策的通知》（财库〔2017〕141号）。</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2"/>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八、对本次招标提出询问，请按以下方式联系：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1、采购单位信息：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名称：江苏省苏州市中级人民法院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地址：苏州市姑苏区解放东路488号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联系人：张祺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联系电话：0512-68552270</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2、采购代理机构信息：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名称:苏州筑程集中采购代理有限公司</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地址:苏州市宝带西路1177号世茂广场H座2313</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联系人：楚晋珉、张潮音、孙晓苏</w:t>
      </w:r>
      <w:r/>
    </w:p>
    <w:p>
      <w:pPr>
        <w:ind w:firstLine="480"/>
        <w:spacing w:line="360" w:lineRule="auto"/>
        <w:rPr>
          <w:rFonts w:ascii="宋体" w:cs="宋体"/>
          <w:b/>
          <w:color w:val="000000"/>
          <w:sz w:val="24"/>
          <w:szCs w:val="24"/>
          <w:highlight w:val="none"/>
        </w:rPr>
      </w:pPr>
      <w:r>
        <w:rPr>
          <w:rFonts w:hint="eastAsia" w:ascii="宋体" w:hAnsi="宋体"/>
          <w:color w:val="000000"/>
          <w:sz w:val="24"/>
          <w:szCs w:val="24"/>
          <w:highlight w:val="none"/>
        </w:rPr>
        <w:t xml:space="preserve">联系方式：0512-62629993</w:t>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rFonts w:ascii="宋体" w:cs="宋体"/>
          <w:b/>
          <w:color w:val="000000"/>
          <w:sz w:val="24"/>
          <w:szCs w:val="24"/>
          <w:highlight w:val="none"/>
        </w:rPr>
      </w:pPr>
      <w:r>
        <w:rPr>
          <w:rFonts w:ascii="宋体" w:cs="宋体"/>
          <w:b/>
          <w:color w:val="000000"/>
          <w:sz w:val="24"/>
          <w:szCs w:val="24"/>
          <w:highlight w:val="none"/>
        </w:rPr>
      </w:r>
      <w:r/>
    </w:p>
    <w:p>
      <w:pPr>
        <w:rPr>
          <w:rFonts w:ascii="宋体" w:cs="宋体"/>
          <w:b/>
          <w:color w:val="000000"/>
          <w:sz w:val="24"/>
          <w:szCs w:val="24"/>
          <w:highlight w:val="none"/>
        </w:rPr>
      </w:pPr>
      <w:r>
        <w:rPr>
          <w:rFonts w:ascii="宋体" w:cs="宋体"/>
          <w:b/>
          <w:color w:val="000000"/>
          <w:sz w:val="24"/>
          <w:szCs w:val="24"/>
          <w:highlight w:val="none"/>
        </w:rPr>
      </w:r>
      <w:r/>
    </w:p>
    <w:p>
      <w:pPr>
        <w:pStyle w:val="914"/>
        <w:rPr>
          <w:color w:val="000000"/>
          <w:highlight w:val="none"/>
        </w:rPr>
      </w:pPr>
      <w:r>
        <w:rPr>
          <w:color w:val="000000"/>
          <w:highlight w:val="none"/>
        </w:rPr>
      </w:r>
      <w:r/>
    </w:p>
    <w:p>
      <w:pPr>
        <w:rPr>
          <w:color w:val="000000"/>
          <w:highlight w:val="none"/>
        </w:rPr>
      </w:pPr>
      <w:r>
        <w:rPr>
          <w:color w:val="000000"/>
          <w:highlight w:val="none"/>
        </w:rPr>
      </w:r>
      <w:r/>
    </w:p>
    <w:p>
      <w:pPr>
        <w:pStyle w:val="914"/>
        <w:ind w:left="0"/>
        <w:rPr>
          <w:color w:val="000000"/>
          <w:highlight w:val="none"/>
        </w:rPr>
      </w:pPr>
      <w:r>
        <w:rPr>
          <w:color w:val="000000"/>
          <w:highlight w:val="none"/>
        </w:rPr>
      </w:r>
      <w:r/>
    </w:p>
    <w:p>
      <w:pPr>
        <w:rPr>
          <w:rFonts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p>
    <w:p>
      <w:pPr>
        <w:pStyle w:val="934"/>
        <w:numPr>
          <w:ilvl w:val="0"/>
          <w:numId w:val="2"/>
        </w:numPr>
        <w:jc w:val="center"/>
        <w:spacing w:line="360" w:lineRule="auto"/>
        <w:rPr>
          <w:rFonts w:ascii="宋体" w:hAnsi="宋体" w:cs="宋体"/>
          <w:b/>
          <w:bCs/>
          <w:color w:val="000000"/>
          <w:sz w:val="24"/>
          <w:szCs w:val="24"/>
          <w:highlight w:val="none"/>
        </w:rPr>
        <w:outlineLvl w:val="0"/>
      </w:pPr>
      <w:r/>
      <w:bookmarkStart w:id="6" w:name="_Toc5304"/>
      <w:r>
        <w:rPr>
          <w:rFonts w:hint="eastAsia" w:ascii="宋体" w:hAnsi="宋体" w:cs="宋体"/>
          <w:b/>
          <w:bCs/>
          <w:color w:val="000000"/>
          <w:sz w:val="24"/>
          <w:szCs w:val="24"/>
          <w:highlight w:val="none"/>
        </w:rPr>
        <w:t xml:space="preserve"> </w:t>
      </w:r>
      <w:bookmarkStart w:id="7" w:name="_Toc17945"/>
      <w:r>
        <w:rPr>
          <w:rFonts w:hint="eastAsia" w:ascii="宋体" w:hAnsi="宋体" w:cs="宋体"/>
          <w:b/>
          <w:bCs/>
          <w:color w:val="000000"/>
          <w:sz w:val="24"/>
          <w:szCs w:val="24"/>
          <w:highlight w:val="none"/>
        </w:rPr>
        <w:t xml:space="preserve">响应须知</w:t>
      </w:r>
      <w:bookmarkEnd w:id="6"/>
      <w:r/>
      <w:bookmarkEnd w:id="7"/>
      <w:r/>
      <w:r/>
    </w:p>
    <w:p>
      <w:pPr>
        <w:pStyle w:val="934"/>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1、总则</w:t>
      </w:r>
      <w:r/>
    </w:p>
    <w:p>
      <w:pPr>
        <w:ind w:firstLine="482"/>
        <w:spacing w:line="360" w:lineRule="auto"/>
        <w:rPr>
          <w:rFonts w:ascii="宋体" w:hAnsi="宋体" w:cs="宋体"/>
          <w:b/>
          <w:bCs/>
          <w:color w:val="000000"/>
          <w:sz w:val="24"/>
          <w:szCs w:val="24"/>
          <w:highlight w:val="none"/>
        </w:rPr>
      </w:pPr>
      <w:r>
        <w:rPr>
          <w:rFonts w:hint="eastAsia" w:ascii="宋体" w:hAnsi="宋体"/>
          <w:b/>
          <w:bCs/>
          <w:color w:val="000000"/>
          <w:sz w:val="24"/>
          <w:szCs w:val="24"/>
          <w:highlight w:val="none"/>
        </w:rPr>
        <w:t xml:space="preserve">1.1</w:t>
      </w:r>
      <w:r>
        <w:rPr>
          <w:rFonts w:hint="eastAsia" w:ascii="宋体" w:hAnsi="宋体" w:cs="宋体"/>
          <w:b/>
          <w:bCs/>
          <w:color w:val="000000"/>
          <w:sz w:val="24"/>
          <w:szCs w:val="24"/>
          <w:highlight w:val="none"/>
        </w:rPr>
        <w:t xml:space="preserve">响应单位资格要求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1.1.1详见第一章</w:t>
      </w:r>
      <w:r>
        <w:rPr>
          <w:rFonts w:hint="eastAsia" w:ascii="宋体" w:hAnsi="宋体" w:cs="宋体"/>
          <w:bCs/>
          <w:color w:val="000000"/>
          <w:sz w:val="24"/>
          <w:szCs w:val="24"/>
          <w:highlight w:val="none"/>
        </w:rPr>
        <w:t xml:space="preserve">竞争性磋商邀请函</w:t>
      </w:r>
      <w:r>
        <w:rPr>
          <w:rFonts w:hint="eastAsia" w:ascii="宋体" w:hAnsi="宋体" w:cs="宋体"/>
          <w:color w:val="000000"/>
          <w:sz w:val="24"/>
          <w:szCs w:val="24"/>
          <w:highlight w:val="none"/>
        </w:rPr>
        <w:t xml:space="preserve">中“二、申请人的资格要求”。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1.1.2响应单位不得存在下列情形之一：</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（1）苏州市财政局《关于印发苏州市市级政府采购信用记录查询和使用工作试行办法的通知》（苏财购（2017）11号）文件规定应拒绝的失信信息。</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1.1.3联合体投标：若第一章竞争性磋商邀请函规定接受联合体投标的，联合体除应符合上述资格要求外，还应遵守以下规定：</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（1）联合体各方应当向采购人提交联合体协议书，载明联合体各方承担的工作和义务，否则投标无效。</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（2）联合体中有同类资质的供应商按照联合体分工承担相同工作的，应当按照资质等级较低的供应商确定资质等级。</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（3）联合体各方不得再单独参加或者与其他供应商另外组成联合体参加同一合同项下的政府采购活动，否则各相关投标均无效。</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（4）联合体各方应当共同与采购人签订采购合同，就采购合同约定的事项对采购人承担连带责任。</w:t>
      </w:r>
      <w:r/>
    </w:p>
    <w:p>
      <w:pPr>
        <w:ind w:left="525"/>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 分包、转包</w:t>
      </w:r>
      <w:r/>
    </w:p>
    <w:p>
      <w:pPr>
        <w:ind w:left="525"/>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本项目不允许分包或转包。</w:t>
      </w:r>
      <w:r/>
    </w:p>
    <w:p>
      <w:pPr>
        <w:ind w:left="525"/>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1.3投标费用</w:t>
      </w:r>
      <w:r/>
    </w:p>
    <w:p>
      <w:pPr>
        <w:ind w:left="525"/>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1.3.1供应商应自行承担所有准备及参加投标的相关费用。</w:t>
      </w:r>
      <w:r/>
    </w:p>
    <w:p>
      <w:pPr>
        <w:ind w:left="525"/>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1.4 保密</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1.5 语言文字</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1.6计量单位</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1.7知识产权</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2.采购文件的说明</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2.1采购文件的获取</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见第一章竞争性磋商邀请函。</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2.2采购文件的询问</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2.3采购文件的澄清或修改</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2.3.4采购文件的澄清、修改、补充等内容均以苏州市政府采购网上发布的内容为准。</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3.响应文件说明</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3.1磋商保证金：无。</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3.2响应文件的组成</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3.2.1封面；</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3.2.2开标一览表（格式见第三章）；</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3.2.3公开分项报价（格式见第三章）；</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3.2.4资格审查响应文件：</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3.2.4.1</w:t>
      </w:r>
      <w:r>
        <w:rPr>
          <w:rFonts w:hint="eastAsia" w:ascii="宋体" w:hAnsi="宋体"/>
          <w:color w:val="000000"/>
          <w:sz w:val="24"/>
          <w:szCs w:val="24"/>
          <w:highlight w:val="none"/>
        </w:rPr>
        <w:t xml:space="preserve">供应商的资格要求：</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（2）具有良好的商业信誉和健全的财务会计制度的材料；</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（4）具有依法缴纳税收和社会保障资金的良好记录的材料；</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color w:val="000000"/>
          <w:sz w:val="24"/>
          <w:szCs w:val="24"/>
          <w:highlight w:val="none"/>
        </w:rPr>
      </w:pPr>
      <w:r>
        <w:rPr>
          <w:rFonts w:hint="eastAsia" w:ascii="宋体" w:hAnsi="宋体" w:cs="宋体"/>
          <w:color w:val="000000"/>
          <w:sz w:val="24"/>
          <w:szCs w:val="24"/>
          <w:highlight w:val="none"/>
        </w:rPr>
        <w:t xml:space="preserve">3.2.4.2</w:t>
      </w:r>
      <w:r>
        <w:rPr>
          <w:rFonts w:hint="eastAsia" w:ascii="宋体" w:hAnsi="宋体"/>
          <w:color w:val="000000"/>
          <w:sz w:val="24"/>
          <w:szCs w:val="24"/>
          <w:highlight w:val="none"/>
        </w:rPr>
        <w:t xml:space="preserve">其他有关资格证明的文件（若有）。</w:t>
      </w:r>
      <w:r/>
    </w:p>
    <w:p>
      <w:pPr>
        <w:ind w:left="5" w:firstLine="520"/>
        <w:spacing w:line="360" w:lineRule="auto"/>
        <w:tabs>
          <w:tab w:val="left" w:pos="851" w:leader="none"/>
        </w:tabs>
        <w:rPr>
          <w:rFonts w:ascii="宋体" w:hAnsi="宋体"/>
          <w:color w:val="000000"/>
          <w:sz w:val="24"/>
          <w:szCs w:val="24"/>
          <w:highlight w:val="none"/>
        </w:rPr>
      </w:pPr>
      <w:r>
        <w:rPr>
          <w:rFonts w:hint="eastAsia" w:ascii="宋体" w:hAnsi="宋体" w:cs="宋体"/>
          <w:b/>
          <w:bCs/>
          <w:color w:val="000000"/>
          <w:sz w:val="24"/>
          <w:szCs w:val="24"/>
          <w:highlight w:val="none"/>
        </w:rPr>
        <w:t xml:space="preserve">3.2.5符合性审查响应文件：</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3.2.5.1磋商响应函（格式见第三章）；</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3.2.5.3法定代表人身份证复印件；</w:t>
      </w:r>
      <w:r/>
    </w:p>
    <w:p>
      <w:pPr>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3.2.5.7其他有关符合性证明的文件（若有）。</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3.2.6综合评审响应文件(见第六章)；</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3.2.7与本次采购相关的其他证明材料。</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以上3.2.5.1-3.2.5.7为符合性审查必须提供的资料，响应供应商必须提供并加盖电子公章，否则，磋商响应文件将被认定为未实质性响应。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000000"/>
          <w:highlight w:val="none"/>
        </w:rPr>
      </w:pPr>
      <w:r>
        <w:rPr>
          <w:rFonts w:hint="eastAsia" w:ascii="宋体" w:hAnsi="宋体" w:cs="宋体"/>
          <w:b/>
          <w:color w:val="000000"/>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ascii="宋体" w:hAnsi="宋体" w:cs="宋体"/>
          <w:bCs/>
          <w:color w:val="000000"/>
          <w:sz w:val="24"/>
          <w:szCs w:val="24"/>
          <w:highlight w:val="none"/>
        </w:rPr>
      </w:pPr>
      <w:r>
        <w:rPr>
          <w:rFonts w:hint="eastAsia" w:ascii="宋体" w:hAnsi="宋体" w:cs="宋体"/>
          <w:b/>
          <w:color w:val="000000"/>
          <w:sz w:val="24"/>
          <w:szCs w:val="24"/>
          <w:highlight w:val="none"/>
        </w:rPr>
        <w:t xml:space="preserve">3.3响应报价</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3.3.8报价的大写金额和小写金额不一致的，以大写金额为准。</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3.4电子响应文件的编制与提交</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3.4.3响应文件未按照磋商文件要求加盖CA电子公章的，响应无效。</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3.5响应文件的开启（解密）</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cs="宋体"/>
          <w:b/>
          <w:bCs/>
          <w:color w:val="000000"/>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cs="宋体"/>
          <w:b/>
          <w:bCs/>
          <w:color w:val="000000"/>
          <w:sz w:val="24"/>
          <w:szCs w:val="24"/>
          <w:highlight w:val="none"/>
        </w:rPr>
      </w:pPr>
      <w:r/>
      <w:bookmarkStart w:id="8" w:name="_Hlk154589874"/>
      <w:r>
        <w:rPr>
          <w:rFonts w:hint="eastAsia" w:ascii="宋体" w:hAnsi="宋体" w:cs="宋体"/>
          <w:b/>
          <w:bCs/>
          <w:color w:val="000000"/>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8"/>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3.5.5 CA技术咨询电话：400-608-6099；</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签章使用问题：025-83633811、025-83633812、15380932027、15371015030；</w:t>
      </w:r>
      <w:r/>
    </w:p>
    <w:p>
      <w:pPr>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系统使用指导与咨询：联系电话：13914088964；智能客服：登录苏采云系统后，联系系统右下方智能客服图标进行咨询。</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3.6响应文件的修改和撤回</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4.磋商程序</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4.1磋商小组</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4.1.1采购代理机构负责组织评审工作；磋商小组由相关专家及采购人代表组成，负责具体评审事务，并独立履行法律、法规规定的职责。</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4.2资格审查</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4.2.1由磋商小组按磋商文件的资格条件进行资格性审查，</w:t>
      </w:r>
      <w:r>
        <w:rPr>
          <w:rFonts w:hint="eastAsia" w:ascii="宋体" w:hAnsi="宋体" w:cs="宋体"/>
          <w:b/>
          <w:color w:val="000000"/>
          <w:sz w:val="24"/>
          <w:szCs w:val="24"/>
          <w:highlight w:val="none"/>
        </w:rPr>
        <w:t xml:space="preserve">未通过资格审查的响应无效。</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（1）查询时间：响应文件递交截止时间。</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（2）查询渠道：通过“信用中国”及“中国政府采购网” 上的信用信息查询供应商的信用记录。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bCs/>
          <w:color w:val="000000"/>
          <w:sz w:val="24"/>
          <w:szCs w:val="24"/>
          <w:highlight w:val="none"/>
        </w:rPr>
        <w:t xml:space="preserve">信用记录属于应依法拒绝供应商参加政府采购的失信信息，存在此类失信信息</w:t>
      </w:r>
      <w:r>
        <w:rPr>
          <w:rFonts w:hint="eastAsia" w:ascii="宋体" w:hAnsi="宋体" w:cs="宋体"/>
          <w:b/>
          <w:color w:val="000000"/>
          <w:sz w:val="24"/>
          <w:szCs w:val="24"/>
          <w:highlight w:val="none"/>
        </w:rPr>
        <w:t xml:space="preserve">的供应商的响应文件应按无效文件处理。</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4.3磋商</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cs="宋体"/>
          <w:color w:val="000000"/>
          <w:sz w:val="24"/>
          <w:szCs w:val="24"/>
          <w:highlight w:val="none"/>
          <w:lang w:val="zh-CN"/>
        </w:rPr>
        <w:t xml:space="preserve">具体操作方式见《操作手册》</w:t>
      </w:r>
      <w:r>
        <w:rPr>
          <w:rFonts w:hint="eastAsia" w:ascii="宋体" w:hAnsi="宋体" w:cs="宋体"/>
          <w:color w:val="000000"/>
          <w:sz w:val="24"/>
          <w:szCs w:val="24"/>
          <w:highlight w:val="none"/>
        </w:rPr>
        <w:t xml:space="preserve">。</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4.3.2</w:t>
      </w:r>
      <w:r>
        <w:rPr>
          <w:rFonts w:hint="eastAsia" w:ascii="宋体" w:hAnsi="宋体" w:cs="宋体"/>
          <w:color w:val="000000"/>
          <w:sz w:val="24"/>
          <w:szCs w:val="24"/>
          <w:highlight w:val="none"/>
          <w:lang w:val="zh-CN"/>
        </w:rPr>
        <w:t xml:space="preserve">磋商小组认为有必要与供应商进行磋商的，</w:t>
      </w:r>
      <w:r>
        <w:rPr>
          <w:rFonts w:hint="eastAsia" w:ascii="宋体" w:hAnsi="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cs="宋体"/>
          <w:color w:val="000000"/>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4.4澄清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4.4.1本项目采用线上澄清。</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4.4.2</w:t>
      </w:r>
      <w:r>
        <w:rPr>
          <w:rFonts w:hint="eastAsia" w:ascii="宋体" w:hAnsi="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35"/>
        <w:ind w:firstLine="480"/>
        <w:spacing w:line="360" w:lineRule="auto"/>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4.4.3接到磋商小组澄清、说明和更正要求的供应商如未按规定做出澄清、说明和更正，</w:t>
      </w:r>
      <w:r>
        <w:rPr>
          <w:rFonts w:hint="eastAsia" w:ascii="宋体" w:hAnsi="宋体" w:cs="宋体"/>
          <w:b/>
          <w:bCs/>
          <w:color w:val="ff0000"/>
          <w:sz w:val="24"/>
          <w:szCs w:val="24"/>
          <w:highlight w:val="none"/>
        </w:rPr>
        <w:t xml:space="preserve">供应商应随时保持系统在线，如因供应商自身原因未在规定时间内提交澄清确认资料的，导致的不利后果由供应商自行承担。</w:t>
      </w:r>
      <w:r/>
    </w:p>
    <w:p>
      <w:pPr>
        <w:ind w:left="525"/>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4.5最后报价</w:t>
      </w:r>
      <w:r/>
    </w:p>
    <w:p>
      <w:pPr>
        <w:ind w:left="5" w:firstLine="518"/>
        <w:spacing w:line="360" w:lineRule="auto"/>
        <w:tabs>
          <w:tab w:val="left" w:pos="0"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color w:val="000000"/>
          <w:sz w:val="24"/>
          <w:szCs w:val="24"/>
          <w:highlight w:val="none"/>
          <w:lang w:val="zh-CN"/>
        </w:rPr>
        <w:t xml:space="preserve">最后报价是供应商响应文件的有效组成部分。</w:t>
      </w:r>
      <w:r/>
    </w:p>
    <w:p>
      <w:pPr>
        <w:ind w:left="5" w:firstLine="518"/>
        <w:spacing w:line="360" w:lineRule="auto"/>
        <w:tabs>
          <w:tab w:val="left" w:pos="0" w:leader="none"/>
        </w:tabs>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cs="宋体"/>
          <w:b/>
          <w:bCs/>
          <w:color w:val="ff0000"/>
          <w:sz w:val="24"/>
          <w:szCs w:val="24"/>
          <w:highlight w:val="none"/>
        </w:rPr>
        <w:t xml:space="preserve">（此处规定时间的计算以系统中的倒计时间为准，系统中的线上最后报价只有一次机会，提交后无法撤回，请供应商慎重提交）</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4.5.3</w:t>
      </w:r>
      <w:r>
        <w:rPr>
          <w:rFonts w:ascii="宋体" w:hAnsi="宋体" w:cs="宋体"/>
          <w:color w:val="000000"/>
          <w:sz w:val="24"/>
          <w:szCs w:val="24"/>
          <w:highlight w:val="none"/>
        </w:rPr>
        <w:t xml:space="preserve">评审过程中出现下列情形之一的，评审委员会</w:t>
      </w:r>
      <w:r>
        <w:rPr>
          <w:rFonts w:hint="eastAsia" w:ascii="宋体" w:hAnsi="宋体" w:cs="宋体"/>
          <w:color w:val="000000"/>
          <w:sz w:val="24"/>
          <w:szCs w:val="24"/>
          <w:highlight w:val="none"/>
        </w:rPr>
        <w:t xml:space="preserve">（磋商小组）</w:t>
      </w:r>
      <w:r>
        <w:rPr>
          <w:rFonts w:ascii="宋体" w:hAnsi="宋体" w:cs="宋体"/>
          <w:color w:val="000000"/>
          <w:sz w:val="24"/>
          <w:szCs w:val="24"/>
          <w:highlight w:val="none"/>
        </w:rPr>
        <w:t xml:space="preserve">应当启动异常低价投标（响应）审查程序：</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cs="宋体"/>
          <w:color w:val="000000"/>
          <w:sz w:val="24"/>
          <w:szCs w:val="24"/>
          <w:highlight w:val="none"/>
        </w:rPr>
        <w:t xml:space="preserve">；</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cs="宋体"/>
          <w:color w:val="000000"/>
          <w:sz w:val="24"/>
          <w:szCs w:val="24"/>
          <w:highlight w:val="none"/>
        </w:rPr>
        <w:t xml:space="preserve">； </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cs="宋体"/>
          <w:color w:val="000000"/>
          <w:sz w:val="24"/>
          <w:szCs w:val="24"/>
          <w:highlight w:val="none"/>
        </w:rPr>
      </w:pPr>
      <w:r>
        <w:rPr>
          <w:rFonts w:ascii="宋体" w:hAnsi="宋体" w:cs="宋体"/>
          <w:color w:val="000000"/>
          <w:sz w:val="24"/>
          <w:szCs w:val="24"/>
          <w:highlight w:val="none"/>
        </w:rPr>
        <w:t xml:space="preserve">④评审委员会</w:t>
      </w:r>
      <w:r>
        <w:rPr>
          <w:rFonts w:hint="eastAsia" w:ascii="宋体" w:hAnsi="宋体" w:cs="宋体"/>
          <w:color w:val="000000"/>
          <w:sz w:val="24"/>
          <w:szCs w:val="24"/>
          <w:highlight w:val="none"/>
        </w:rPr>
        <w:t xml:space="preserve">（磋商小组）</w:t>
      </w:r>
      <w:r>
        <w:rPr>
          <w:rFonts w:ascii="宋体" w:hAnsi="宋体" w:cs="宋体"/>
          <w:color w:val="000000"/>
          <w:sz w:val="24"/>
          <w:szCs w:val="24"/>
          <w:highlight w:val="none"/>
        </w:rPr>
        <w:t xml:space="preserve">基于专业判断，认为供应商报价过低，有可能影响产品质量或者不能诚信履约的其他情形</w:t>
      </w:r>
      <w:r>
        <w:rPr>
          <w:rFonts w:hint="eastAsia" w:ascii="宋体" w:hAnsi="宋体" w:cs="宋体"/>
          <w:color w:val="000000"/>
          <w:sz w:val="24"/>
          <w:szCs w:val="24"/>
          <w:highlight w:val="none"/>
        </w:rPr>
        <w:t xml:space="preserve">。</w:t>
      </w:r>
      <w:r/>
    </w:p>
    <w:p>
      <w:pPr>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935"/>
        <w:ind w:lef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4.5.8未在规定时间提交最后报价的，响应文件按无效处理。</w:t>
      </w:r>
      <w:r/>
    </w:p>
    <w:p>
      <w:pPr>
        <w:pStyle w:val="935"/>
        <w:ind w:lef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4.5.9在规定时间内提交最后报价的供应商少于3家的，项目终止。</w:t>
      </w:r>
      <w:r/>
    </w:p>
    <w:p>
      <w:pPr>
        <w:pStyle w:val="93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4.5.10如磋商过程中出现本磋商文件未尽事宜，由磋商小组根据政府采购有关法律、法规讨论决定。</w:t>
      </w:r>
      <w:r/>
    </w:p>
    <w:p>
      <w:pPr>
        <w:pStyle w:val="935"/>
        <w:ind w:firstLine="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5、成交</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93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5.2本项目由采购人书面授权磋商小组直接确定成交供应商，并将结果通知所有参加磋商的供应商。</w:t>
      </w:r>
      <w:r/>
    </w:p>
    <w:p>
      <w:pPr>
        <w:pStyle w:val="93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5.3采购人或者采购代理机构应当在成交供应商确定后2个工作日内，在政府采购信息媒体上发布成交结果，成交公告期限为1个工作日。</w:t>
      </w:r>
      <w:r/>
    </w:p>
    <w:p>
      <w:pPr>
        <w:pStyle w:val="93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5.4采购人或采购代理机构根据相关规定发布成交公告，成交公告发出的同时应当向成交供应商发出《成交通知书》</w:t>
      </w:r>
      <w:bookmarkStart w:id="9" w:name="_Hlk132389804"/>
      <w:r/>
      <w:bookmarkStart w:id="10" w:name="_Hlk132385599"/>
      <w:r/>
      <w:bookmarkStart w:id="11" w:name="_Hlk132385577"/>
      <w:r>
        <w:rPr>
          <w:rFonts w:hint="eastAsia" w:ascii="宋体" w:hAnsi="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9"/>
      <w:r/>
      <w:bookmarkEnd w:id="10"/>
      <w:r/>
      <w:bookmarkEnd w:id="11"/>
      <w:r>
        <w:rPr>
          <w:rFonts w:hint="eastAsia" w:ascii="宋体" w:hAnsi="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3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b/>
          <w:color w:val="000000"/>
          <w:sz w:val="24"/>
          <w:szCs w:val="24"/>
          <w:highlight w:val="none"/>
        </w:rPr>
        <w:t xml:space="preserve">6、履约保证金：无。</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7、项目终止</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2、出现影响采购公正的违法、违规行为的；</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8、合同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8.1采购人应当自成交通知书发出之日起15日内（最迟30日内</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t xml:space="preserve">，按照采购文件及响应文件规定与成交单位签订书面合同。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8.5成交供应商无正当理由不得放弃成交。</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9、质疑</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9.5接收质疑函的方式为书面形式（当场送达或邮寄方式）</w:t>
      </w:r>
      <w:r>
        <w:rPr>
          <w:rFonts w:hint="eastAsia" w:ascii="宋体" w:hAnsi="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cs="宋体"/>
          <w:color w:val="000000"/>
          <w:sz w:val="24"/>
          <w:szCs w:val="24"/>
          <w:highlight w:val="none"/>
        </w:rPr>
        <w:t xml:space="preserve">。供应商质疑函范本格式请参照“苏州市政府采购”网站——“下载中心”——“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cs="宋体"/>
          <w:color w:val="000000"/>
          <w:sz w:val="24"/>
          <w:szCs w:val="24"/>
          <w:highlight w:val="none"/>
        </w:rPr>
        <w:t xml:space="preserve">政府采购供应商质疑函范本</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ind w:firstLine="5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10、响应文件的有效期</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11、代理服务费及评审费：</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11.1代理服务费由采购人支付。</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11.2代理服务费以采购预算金额为基数依据，按如下规定的标准和差额定率累进法*折扣（本次项目85折）进行计算收取：</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预算金额100万元以下部分，费率为该部分预算金额的1.5％；</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预算金额100万元（含）－500万元部分，费率为该部分预算金额的1.1％；</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预算金额500万元（含）－1000万元部分，费率为该部分预算金额的0.8％；</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预算金额1000万元（含）－5000万元部分，费率为该部分预算金额的0.5％；</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预算金额5000万元以上部分，费率为该部分预算金额的0.25％。</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本项目代理服务费（人民币）：</w:t>
      </w:r>
      <w:r>
        <w:rPr>
          <w:rFonts w:hint="eastAsia" w:ascii="宋体" w:hAnsi="宋体" w:cs="宋体"/>
          <w:bCs/>
          <w:color w:val="000000"/>
          <w:sz w:val="24"/>
          <w:szCs w:val="24"/>
          <w:highlight w:val="none"/>
          <w:u w:val="single"/>
        </w:rPr>
        <w:t xml:space="preserve"> 25840 </w:t>
      </w:r>
      <w:r>
        <w:rPr>
          <w:rFonts w:hint="eastAsia" w:ascii="宋体" w:hAnsi="宋体" w:cs="宋体"/>
          <w:bCs/>
          <w:color w:val="000000"/>
          <w:sz w:val="24"/>
          <w:szCs w:val="24"/>
          <w:highlight w:val="none"/>
        </w:rPr>
        <w:t xml:space="preserve">元。</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11.3采购代理机构银行账号如下：</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收款单位：苏州筑程集中采购代理有限公司。</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银行账号：3205010011120161000562。</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开户银行：苏州银行股份有限公司城区支行。</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数字人民币账户（数币钱包ID）：0092205422700009</w:t>
      </w:r>
      <w:r/>
    </w:p>
    <w:p>
      <w:pPr>
        <w:ind w:firstLine="5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12、政府采购政策</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12.1中小微企业</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bCs/>
          <w:color w:val="000000"/>
          <w:sz w:val="24"/>
          <w:szCs w:val="24"/>
          <w:highlight w:val="none"/>
        </w:rPr>
        <w:t xml:space="preserve">。</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szCs w:val="24"/>
          <w:highlight w:val="none"/>
        </w:rPr>
        <w:t xml:space="preserve">服务类项目中供应商若使用退休人员，将不享受相关扶持政策</w:t>
      </w:r>
      <w:r>
        <w:rPr>
          <w:rFonts w:hint="eastAsia" w:ascii="宋体" w:hAnsi="宋体" w:cs="宋体"/>
          <w:bCs/>
          <w:color w:val="000000"/>
          <w:sz w:val="24"/>
          <w:szCs w:val="24"/>
          <w:highlight w:val="none"/>
        </w:rPr>
        <w:t xml:space="preserve">。</w:t>
      </w:r>
      <w:r/>
    </w:p>
    <w:p>
      <w:pPr>
        <w:ind w:firstLine="518"/>
        <w:spacing w:line="360" w:lineRule="auto"/>
        <w:rPr>
          <w:rFonts w:ascii="宋体" w:hAnsi="宋体" w:cs="宋体"/>
          <w:bCs/>
          <w:color w:val="000000"/>
          <w:sz w:val="24"/>
          <w:szCs w:val="24"/>
          <w:highlight w:val="none"/>
        </w:rPr>
      </w:pPr>
      <w:r>
        <w:rPr>
          <w:rFonts w:hint="eastAsia" w:ascii="宋体" w:hAnsi="宋体" w:cs="宋体"/>
          <w:b/>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color w:val="ff0000"/>
          <w:sz w:val="24"/>
          <w:szCs w:val="24"/>
          <w:highlight w:val="none"/>
        </w:rPr>
        <w:t xml:space="preserve">软件和信息技术服务业</w:t>
      </w:r>
      <w:r>
        <w:rPr>
          <w:rFonts w:hint="eastAsia" w:ascii="宋体" w:hAnsi="宋体" w:cs="宋体"/>
          <w:bCs/>
          <w:color w:val="000000"/>
          <w:sz w:val="24"/>
          <w:szCs w:val="24"/>
          <w:highlight w:val="none"/>
        </w:rPr>
        <w:t xml:space="preserve">。</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12.2残疾人福利性单位</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12.3监狱企业</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12.4绿色采购</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13、关于对参与供应商信用记录的政府采购要求</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13.1采购代理机构会在接收响应文件截止时间后，登录信用中国网站（www.creditchina.gov.cn/）和中国政府采购网（www.ccgp.gov.cn/）查询供应商的信用记录，并将查询结果递交评审小组。</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13.3供应商若在经营活动中受到罚款的，请携带相关地方、部门对较大数额认定标准的证明材料，与响应文件一并提交。若无法提供，则可能承担响应无效等相应不利后果。</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13.4对存在失信信息的供应商，由失信供应商进行确认。同时，采购代理机构工作人员应根据评审小组确认的失信信息，登录到相关来源网站页面进行复核并打印，作为证据留存。</w:t>
      </w:r>
      <w:r/>
    </w:p>
    <w:p>
      <w:pPr>
        <w:ind w:firstLine="52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14、其他事项</w:t>
      </w:r>
      <w:r/>
    </w:p>
    <w:p>
      <w:pPr>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14.1按《中华人民共和国政府采购法》及其他有关法律法规的规定执行。</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360" w:lineRule="auto"/>
        <w:widowControl/>
        <w:rPr>
          <w:rFonts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bookmarkStart w:id="12" w:name="_Toc20677"/>
      <w:r>
        <w:rPr>
          <w:rFonts w:hint="eastAsia" w:ascii="宋体" w:hAnsi="宋体" w:cs="宋体"/>
          <w:b/>
          <w:color w:val="000000"/>
          <w:sz w:val="24"/>
          <w:szCs w:val="24"/>
          <w:highlight w:val="none"/>
        </w:rPr>
        <w:t xml:space="preserve">第三章 响应文件格式</w:t>
      </w:r>
      <w:bookmarkEnd w:id="12"/>
      <w:r/>
      <w:r/>
    </w:p>
    <w:p>
      <w:pPr>
        <w:pStyle w:val="927"/>
        <w:ind w:right="360"/>
        <w:spacing w:line="360" w:lineRule="auto"/>
        <w:rPr>
          <w:rFonts w:ascii="宋体" w:hAnsi="宋体" w:cs="宋体"/>
          <w:b/>
          <w:sz w:val="24"/>
          <w:szCs w:val="24"/>
          <w:highlight w:val="none"/>
        </w:rPr>
      </w:pPr>
      <w:r>
        <w:rPr>
          <w:rFonts w:hint="eastAsia" w:hAnsi="宋体" w:cs="宋体"/>
          <w:b/>
          <w:bCs/>
          <w:color w:val="000000"/>
          <w:sz w:val="24"/>
          <w:szCs w:val="24"/>
          <w:highlight w:val="none"/>
        </w:rPr>
        <w:t xml:space="preserve">1、</w:t>
      </w:r>
      <w:r>
        <w:rPr>
          <w:rFonts w:hint="eastAsia" w:ascii="宋体" w:hAnsi="宋体" w:cs="宋体"/>
          <w:b/>
          <w:sz w:val="24"/>
          <w:szCs w:val="24"/>
          <w:highlight w:val="none"/>
        </w:rPr>
        <w:t xml:space="preserve">磋商响应函</w:t>
      </w:r>
      <w:r/>
    </w:p>
    <w:p>
      <w:pPr>
        <w:ind w:firstLine="3614"/>
        <w:jc w:val="left"/>
        <w:spacing w:line="440" w:lineRule="exact"/>
        <w:rPr>
          <w:rFonts w:ascii="宋体" w:hAnsi="宋体" w:cs="宋体"/>
          <w:b/>
          <w:sz w:val="24"/>
          <w:szCs w:val="24"/>
          <w:highlight w:val="none"/>
        </w:rPr>
      </w:pPr>
      <w:r>
        <w:rPr>
          <w:rFonts w:hint="eastAsia" w:ascii="宋体" w:hAnsi="宋体" w:cs="宋体"/>
          <w:b/>
          <w:sz w:val="24"/>
          <w:szCs w:val="24"/>
          <w:highlight w:val="none"/>
        </w:rPr>
        <w:t xml:space="preserve">磋商响应函</w:t>
      </w:r>
      <w:r/>
    </w:p>
    <w:p>
      <w:pPr>
        <w:ind w:firstLine="5301"/>
        <w:jc w:val="left"/>
        <w:spacing w:line="440" w:lineRule="exact"/>
        <w:rPr>
          <w:rFonts w:ascii="宋体" w:hAnsi="宋体" w:cs="宋体"/>
          <w:b/>
          <w:sz w:val="24"/>
          <w:szCs w:val="24"/>
          <w:highlight w:val="none"/>
        </w:rPr>
      </w:pPr>
      <w:r>
        <w:rPr>
          <w:rFonts w:ascii="宋体" w:hAnsi="宋体" w:cs="宋体"/>
          <w:b/>
          <w:sz w:val="24"/>
          <w:szCs w:val="24"/>
          <w:highlight w:val="none"/>
        </w:rPr>
      </w:r>
      <w:r/>
    </w:p>
    <w:p>
      <w:pPr>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致：</w:t>
      </w:r>
      <w:r>
        <w:rPr>
          <w:rFonts w:hint="eastAsia" w:ascii="宋体" w:hAnsi="宋体" w:cs="宋体"/>
          <w:color w:val="000000"/>
          <w:sz w:val="24"/>
          <w:szCs w:val="24"/>
          <w:highlight w:val="none"/>
        </w:rPr>
        <w:t xml:space="preserve">苏州筑程集中采购代理有限公司</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我方收到贵中心</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（项目编号）采购文件，经仔细阅读和研究，我方决定参加磋商活动，并向贵中心作出如下承诺：</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1、我方愿意按照采购文件的一切要求，提供本项目的所有内容，我方的报价包括完成本项工作所需的一切应有费用。</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3、我方已详细审查并同意采购文件及更正文件（若有）中的规定。我方完全理解并同意放弃对这方面有不明及误解的权利。</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4、本磋商响应文件的有效期限为</w:t>
      </w:r>
      <w:r>
        <w:rPr>
          <w:rFonts w:hint="eastAsia" w:ascii="宋体" w:hAnsi="宋体" w:cs="宋体"/>
          <w:sz w:val="24"/>
          <w:szCs w:val="24"/>
          <w:highlight w:val="none"/>
        </w:rPr>
        <w:t xml:space="preserve">响应文件接收</w:t>
      </w:r>
      <w:r>
        <w:rPr>
          <w:rFonts w:hint="eastAsia" w:ascii="宋体" w:hAnsi="宋体" w:cs="宋体"/>
          <w:sz w:val="24"/>
          <w:szCs w:val="24"/>
          <w:highlight w:val="none"/>
          <w:lang w:val="zh-CN"/>
        </w:rPr>
        <w:t xml:space="preserve">截止时间之日起60天。</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5、我方保证所提交的响应文件中所有资料均是真实的、准确的。若与真实情况不符，我方愿意承担由此而产生的一切后果。</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7、我方承诺磋商响应文件在磋商开始后的全过程中保持有效，不作任何更改和变动。</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8、我方承诺满足《中华人民共和国政府采购法》第二十二条规定的所有条件。</w:t>
      </w:r>
      <w:r/>
    </w:p>
    <w:p>
      <w:pPr>
        <w:ind w:firstLine="48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9、与本磋商响应有关的通讯地址：</w:t>
      </w:r>
      <w:r/>
    </w:p>
    <w:p>
      <w:pPr>
        <w:ind w:firstLine="24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单   位：                                              联 系 人： </w:t>
      </w:r>
      <w:r/>
    </w:p>
    <w:p>
      <w:pPr>
        <w:ind w:firstLine="24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地   址：                                              邮政编码： </w:t>
      </w:r>
      <w:r/>
    </w:p>
    <w:p>
      <w:pPr>
        <w:ind w:firstLine="240"/>
        <w:jc w:val="left"/>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联系电话：                                             电子邮箱：</w:t>
      </w:r>
      <w:r/>
    </w:p>
    <w:p>
      <w:pPr>
        <w:ind w:right="840" w:firstLine="240"/>
        <w:jc w:val="center"/>
        <w:spacing w:line="440" w:lineRule="exact"/>
        <w:rPr>
          <w:rFonts w:ascii="宋体" w:hAnsi="宋体" w:cs="宋体"/>
          <w:sz w:val="24"/>
          <w:szCs w:val="24"/>
          <w:highlight w:val="none"/>
          <w:lang w:val="zh-CN"/>
        </w:rPr>
      </w:pPr>
      <w:r>
        <w:rPr>
          <w:rFonts w:ascii="宋体" w:hAnsi="宋体" w:cs="宋体"/>
          <w:sz w:val="24"/>
          <w:szCs w:val="24"/>
          <w:highlight w:val="none"/>
          <w:lang w:val="zh-CN"/>
        </w:rPr>
      </w:r>
      <w:r/>
    </w:p>
    <w:p>
      <w:pPr>
        <w:ind w:right="-210"/>
        <w:jc w:val="center"/>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：（公章）</w:t>
      </w:r>
      <w:r>
        <w:rPr>
          <w:rFonts w:hint="eastAsia" w:ascii="宋体" w:hAnsi="宋体" w:cs="宋体"/>
          <w:sz w:val="24"/>
          <w:szCs w:val="24"/>
          <w:highlight w:val="none"/>
          <w:lang w:val="zh-CN"/>
        </w:rPr>
        <w:t xml:space="preserve"> </w:t>
      </w:r>
      <w:r/>
    </w:p>
    <w:p>
      <w:pPr>
        <w:ind w:firstLine="240"/>
        <w:jc w:val="right"/>
        <w:spacing w:line="360" w:lineRule="auto"/>
        <w:rPr>
          <w:rFonts w:ascii="宋体" w:hAnsi="宋体" w:cs="宋体"/>
          <w:sz w:val="24"/>
          <w:szCs w:val="24"/>
          <w:highlight w:val="none"/>
          <w:lang w:val="zh-CN"/>
        </w:rPr>
      </w:pP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被授权</w:t>
      </w:r>
      <w:r>
        <w:rPr>
          <w:rFonts w:hint="eastAsia" w:ascii="宋体" w:hAnsi="宋体" w:cs="宋体"/>
          <w:sz w:val="24"/>
          <w:szCs w:val="24"/>
          <w:highlight w:val="none"/>
          <w:lang w:val="zh-CN"/>
        </w:rPr>
        <w:t xml:space="preserve">人：（签字或盖章）</w:t>
      </w:r>
      <w:r/>
    </w:p>
    <w:p>
      <w:pPr>
        <w:ind w:right="615" w:firstLine="960"/>
        <w:jc w:val="right"/>
        <w:spacing w:line="40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 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pStyle w:val="928"/>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928"/>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928"/>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pStyle w:val="928"/>
        <w:spacing w:line="360" w:lineRule="auto"/>
        <w:rPr>
          <w:rFonts w:hAnsi="宋体" w:cs="宋体"/>
          <w:color w:val="000000"/>
          <w:sz w:val="24"/>
          <w:szCs w:val="24"/>
          <w:highlight w:val="none"/>
        </w:rPr>
      </w:pPr>
      <w:r>
        <w:rPr>
          <w:rFonts w:hint="eastAsia" w:hAnsi="宋体" w:cs="宋体"/>
          <w:b/>
          <w:bCs/>
          <w:color w:val="000000"/>
          <w:sz w:val="24"/>
          <w:szCs w:val="24"/>
          <w:highlight w:val="none"/>
        </w:rPr>
        <w:t xml:space="preserve">2、法定代表人授权委托书</w:t>
      </w:r>
      <w:r/>
    </w:p>
    <w:p>
      <w:pPr>
        <w:ind w:firstLine="4096"/>
        <w:spacing w:before="100" w:beforeAutospacing="1" w:after="100" w:afterAutospacing="1" w:line="480" w:lineRule="auto"/>
        <w:rPr>
          <w:rFonts w:ascii="宋体" w:hAnsi="宋体"/>
          <w:b/>
          <w:sz w:val="24"/>
          <w:szCs w:val="24"/>
          <w:highlight w:val="none"/>
        </w:rPr>
      </w:pPr>
      <w:r>
        <w:rPr>
          <w:rFonts w:ascii="宋体" w:hAnsi="宋体"/>
          <w:b/>
          <w:sz w:val="24"/>
          <w:szCs w:val="24"/>
          <w:highlight w:val="none"/>
        </w:rPr>
        <w:t xml:space="preserve">法定代表人授权委托书</w:t>
      </w:r>
      <w:r/>
    </w:p>
    <w:p>
      <w:pPr>
        <w:ind w:firstLine="420"/>
        <w:spacing w:line="360" w:lineRule="auto"/>
        <w:rPr>
          <w:rFonts w:ascii="宋体" w:hAnsi="宋体"/>
          <w:sz w:val="24"/>
          <w:szCs w:val="24"/>
          <w:highlight w:val="none"/>
        </w:rPr>
      </w:pPr>
      <w:r>
        <w:rPr>
          <w:rFonts w:ascii="宋体" w:hAnsi="宋体"/>
          <w:sz w:val="24"/>
          <w:szCs w:val="24"/>
          <w:highlight w:val="none"/>
        </w:rPr>
        <w:t xml:space="preserve">本授权委托书声明：  我 </w:t>
      </w:r>
      <w:r>
        <w:rPr>
          <w:rFonts w:ascii="宋体" w:hAnsi="宋体"/>
          <w:sz w:val="24"/>
          <w:szCs w:val="24"/>
          <w:highlight w:val="none"/>
          <w:u w:val="single"/>
        </w:rPr>
        <w:t xml:space="preserve">       </w:t>
      </w:r>
      <w:r>
        <w:rPr>
          <w:rFonts w:ascii="宋体" w:hAnsi="宋体"/>
          <w:sz w:val="24"/>
          <w:szCs w:val="24"/>
          <w:highlight w:val="none"/>
        </w:rPr>
        <w:t xml:space="preserve">（姓名）系</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ascii="宋体" w:hAnsi="宋体"/>
          <w:sz w:val="24"/>
          <w:szCs w:val="24"/>
          <w:highlight w:val="none"/>
        </w:rPr>
        <w:t xml:space="preserve">供应商名称）的法定代表人，现授权委托</w:t>
      </w:r>
      <w:r>
        <w:rPr>
          <w:rFonts w:ascii="宋体" w:hAnsi="宋体"/>
          <w:sz w:val="24"/>
          <w:szCs w:val="24"/>
          <w:highlight w:val="none"/>
          <w:u w:val="single"/>
        </w:rPr>
        <w:t xml:space="preserve">             </w:t>
      </w:r>
      <w:r>
        <w:rPr>
          <w:rFonts w:ascii="宋体" w:hAnsi="宋体"/>
          <w:sz w:val="24"/>
          <w:szCs w:val="24"/>
          <w:highlight w:val="none"/>
        </w:rPr>
        <w:t xml:space="preserve">（姓名）为我公司授权代表（即代理人），以本公司的名义参</w:t>
      </w:r>
      <w:r>
        <w:rPr>
          <w:rFonts w:hint="eastAsia" w:ascii="宋体" w:hAnsi="宋体"/>
          <w:sz w:val="24"/>
          <w:szCs w:val="24"/>
          <w:highlight w:val="none"/>
          <w:u w:val="single"/>
        </w:rPr>
        <w:t xml:space="preserve">加苏州筑程集中采购代理有限公司</w:t>
      </w:r>
      <w:r>
        <w:rPr>
          <w:rFonts w:ascii="宋体" w:hAnsi="宋体"/>
          <w:sz w:val="24"/>
          <w:szCs w:val="24"/>
          <w:highlight w:val="none"/>
        </w:rPr>
        <w:t xml:space="preserve">组织实施的编号为</w:t>
      </w:r>
      <w:r>
        <w:rPr>
          <w:rFonts w:hint="eastAsia" w:ascii="宋体" w:hAnsi="宋体"/>
          <w:sz w:val="24"/>
          <w:szCs w:val="24"/>
          <w:highlight w:val="none"/>
        </w:rPr>
        <w:t xml:space="preserve"> </w:t>
      </w:r>
      <w:r>
        <w:rPr>
          <w:rFonts w:ascii="宋体" w:hAnsi="宋体"/>
          <w:sz w:val="24"/>
          <w:szCs w:val="24"/>
          <w:highlight w:val="none"/>
          <w:u w:val="single"/>
        </w:rPr>
        <w:t xml:space="preserve">         </w:t>
      </w:r>
      <w:r>
        <w:rPr>
          <w:rFonts w:ascii="宋体" w:hAnsi="宋体"/>
          <w:sz w:val="24"/>
          <w:szCs w:val="24"/>
          <w:highlight w:val="none"/>
        </w:rPr>
        <w:t xml:space="preserve">号</w:t>
      </w:r>
      <w:r>
        <w:rPr>
          <w:rFonts w:hint="eastAsia" w:ascii="宋体" w:hAnsi="宋体"/>
          <w:sz w:val="24"/>
          <w:szCs w:val="24"/>
          <w:highlight w:val="none"/>
        </w:rPr>
        <w:t xml:space="preserve">（项目编号）</w:t>
      </w:r>
      <w:r>
        <w:rPr>
          <w:rFonts w:ascii="宋体" w:hAnsi="宋体"/>
          <w:sz w:val="24"/>
          <w:szCs w:val="24"/>
          <w:highlight w:val="none"/>
        </w:rPr>
        <w:t xml:space="preserve">的</w:t>
      </w:r>
      <w:r>
        <w:rPr>
          <w:rFonts w:hint="eastAsia" w:ascii="宋体" w:hAnsi="宋体"/>
          <w:sz w:val="24"/>
          <w:szCs w:val="24"/>
          <w:highlight w:val="none"/>
        </w:rPr>
        <w:t xml:space="preserve">竞争性磋商活动</w:t>
      </w:r>
      <w:r>
        <w:rPr>
          <w:rFonts w:ascii="宋体" w:hAnsi="宋体"/>
          <w:sz w:val="24"/>
          <w:szCs w:val="24"/>
          <w:highlight w:val="none"/>
        </w:rPr>
        <w:t xml:space="preserve">。代理人在</w:t>
      </w:r>
      <w:r>
        <w:rPr>
          <w:rFonts w:hint="eastAsia" w:ascii="宋体" w:hAnsi="宋体"/>
          <w:sz w:val="24"/>
          <w:szCs w:val="24"/>
          <w:highlight w:val="none"/>
        </w:rPr>
        <w:t xml:space="preserve">磋商活动过程</w:t>
      </w:r>
      <w:r>
        <w:rPr>
          <w:rFonts w:ascii="宋体" w:hAnsi="宋体"/>
          <w:sz w:val="24"/>
          <w:szCs w:val="24"/>
          <w:highlight w:val="none"/>
        </w:rPr>
        <w:t xml:space="preserve">中所签署的一切文件和处理与这有关的一切事务，我均予以承认。</w:t>
      </w:r>
      <w:r/>
    </w:p>
    <w:p>
      <w:pPr>
        <w:ind w:firstLine="420"/>
        <w:spacing w:line="360" w:lineRule="auto"/>
        <w:rPr>
          <w:rFonts w:ascii="宋体" w:hAnsi="宋体"/>
          <w:sz w:val="24"/>
          <w:szCs w:val="24"/>
          <w:highlight w:val="none"/>
        </w:rPr>
      </w:pPr>
      <w:r>
        <w:rPr>
          <w:rFonts w:ascii="宋体" w:hAnsi="宋体"/>
          <w:sz w:val="24"/>
          <w:szCs w:val="24"/>
          <w:highlight w:val="none"/>
        </w:rPr>
        <w:t xml:space="preserve">代理人在授权委托书有效期内签署的所有文件不因授权委托的撤销而失效，除非有撤销授权委托的书面通知，本授权委托书自</w:t>
      </w:r>
      <w:r>
        <w:rPr>
          <w:rFonts w:hint="eastAsia" w:ascii="宋体" w:hAnsi="宋体"/>
          <w:sz w:val="24"/>
          <w:szCs w:val="24"/>
          <w:highlight w:val="none"/>
        </w:rPr>
        <w:t xml:space="preserve">磋商活动</w:t>
      </w:r>
      <w:r>
        <w:rPr>
          <w:rFonts w:ascii="宋体" w:hAnsi="宋体"/>
          <w:sz w:val="24"/>
          <w:szCs w:val="24"/>
          <w:highlight w:val="none"/>
        </w:rPr>
        <w:t xml:space="preserve">开始至合同履行完毕止。</w:t>
      </w:r>
      <w:r/>
    </w:p>
    <w:p>
      <w:pPr>
        <w:ind w:firstLine="420"/>
        <w:spacing w:line="360" w:lineRule="auto"/>
        <w:rPr>
          <w:rFonts w:ascii="宋体" w:hAnsi="宋体"/>
          <w:sz w:val="24"/>
          <w:szCs w:val="24"/>
          <w:highlight w:val="none"/>
        </w:rPr>
      </w:pPr>
      <w:r>
        <w:rPr>
          <w:rFonts w:ascii="宋体" w:hAnsi="宋体"/>
          <w:sz w:val="24"/>
          <w:szCs w:val="24"/>
          <w:highlight w:val="none"/>
        </w:rPr>
        <w:t xml:space="preserve">代理人无转委托权。特此委托。</w:t>
      </w:r>
      <w:r/>
    </w:p>
    <w:p>
      <w:pPr>
        <w:ind w:right="420" w:firstLine="360"/>
        <w:jc w:val="center"/>
        <w:spacing w:line="360" w:lineRule="auto"/>
        <w:rPr>
          <w:rFonts w:ascii="宋体" w:hAnsi="宋体"/>
          <w:sz w:val="24"/>
          <w:szCs w:val="24"/>
          <w:highlight w:val="none"/>
        </w:rPr>
      </w:pPr>
      <w:r>
        <w:rPr>
          <w:rFonts w:ascii="宋体" w:hAnsi="宋体"/>
          <w:sz w:val="24"/>
          <w:szCs w:val="24"/>
          <w:highlight w:val="none"/>
        </w:rPr>
      </w:r>
      <w:r/>
    </w:p>
    <w:p>
      <w:pPr>
        <w:ind w:right="420" w:firstLine="360"/>
        <w:jc w:val="center"/>
        <w:spacing w:line="360" w:lineRule="auto"/>
        <w:rPr>
          <w:rFonts w:ascii="宋体" w:hAnsi="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供应商名称</w:t>
      </w:r>
      <w:r>
        <w:rPr>
          <w:rFonts w:ascii="宋体" w:hAnsi="宋体"/>
          <w:color w:val="000000"/>
          <w:sz w:val="24"/>
          <w:szCs w:val="24"/>
          <w:highlight w:val="none"/>
        </w:rPr>
        <w:t xml:space="preserve">：（公章）</w:t>
      </w:r>
      <w:r/>
    </w:p>
    <w:p>
      <w:pPr>
        <w:ind w:right="420" w:firstLine="360"/>
        <w:jc w:val="center"/>
        <w:spacing w:line="360" w:lineRule="auto"/>
        <w:rPr>
          <w:rFonts w:ascii="宋体" w:hAnsi="宋体" w:cs="宋体"/>
          <w:sz w:val="24"/>
          <w:szCs w:val="24"/>
          <w:highlight w:val="none"/>
          <w:lang w:val="zh-CN"/>
        </w:rPr>
      </w:pPr>
      <w:r>
        <w:rPr>
          <w:rFonts w:ascii="宋体" w:hAnsi="宋体" w:cs="宋体"/>
          <w:sz w:val="24"/>
          <w:szCs w:val="24"/>
          <w:highlight w:val="none"/>
        </w:rPr>
        <w:t xml:space="preserve">                                            </w:t>
      </w:r>
      <w:r>
        <w:rPr>
          <w:rFonts w:hint="eastAsia" w:ascii="宋体" w:hAnsi="宋体" w:cs="宋体"/>
          <w:sz w:val="24"/>
          <w:szCs w:val="24"/>
          <w:highlight w:val="none"/>
          <w:lang w:val="zh-CN"/>
        </w:rPr>
        <w:t xml:space="preserve">法定代表人：（签字或盖章）</w:t>
      </w:r>
      <w:r/>
    </w:p>
    <w:p>
      <w:pPr>
        <w:ind w:right="90" w:firstLine="960"/>
        <w:jc w:val="right"/>
        <w:spacing w:line="400" w:lineRule="exact"/>
        <w:rPr>
          <w:rFonts w:ascii="宋体" w:hAnsi="宋体" w:cs="宋体"/>
          <w:sz w:val="24"/>
          <w:szCs w:val="24"/>
          <w:highlight w:val="none"/>
          <w:lang w:val="zh-CN"/>
        </w:rPr>
      </w:pPr>
      <w:r>
        <w:rPr>
          <w:rFonts w:ascii="宋体" w:hAnsi="宋体" w:cs="宋体"/>
          <w:sz w:val="24"/>
          <w:szCs w:val="24"/>
          <w:highlight w:val="none"/>
          <w:lang w:val="zh-CN"/>
        </w:rPr>
        <w:t xml:space="preserve">  </w:t>
      </w:r>
      <w:r>
        <w:rPr>
          <w:rFonts w:hint="eastAsia" w:ascii="宋体" w:hAnsi="宋体" w:cs="宋体"/>
          <w:sz w:val="24"/>
          <w:szCs w:val="24"/>
          <w:highlight w:val="none"/>
          <w:lang w:val="zh-CN"/>
        </w:rPr>
        <w:t xml:space="preserve"> 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pStyle w:val="912"/>
        <w:ind w:firstLine="482"/>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912"/>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5"/>
        <w:numPr>
          <w:ilvl w:val="0"/>
          <w:numId w:val="3"/>
        </w:numPr>
        <w:spacing w:line="360" w:lineRule="auto"/>
        <w:rPr>
          <w:rFonts w:hAnsi="宋体" w:cs="宋体"/>
          <w:b/>
          <w:color w:val="000000"/>
          <w:sz w:val="24"/>
          <w:szCs w:val="24"/>
          <w:highlight w:val="none"/>
        </w:rPr>
      </w:pPr>
      <w:r>
        <w:rPr>
          <w:rFonts w:hint="eastAsia" w:hAnsi="宋体" w:cs="宋体"/>
          <w:color w:val="000000"/>
          <w:sz w:val="24"/>
          <w:szCs w:val="24"/>
          <w:highlight w:val="none"/>
        </w:rPr>
        <w:br w:type="page" w:clear="all"/>
      </w:r>
      <w:r>
        <w:rPr>
          <w:rFonts w:hint="eastAsia" w:hAnsi="宋体" w:cs="宋体"/>
          <w:b/>
          <w:color w:val="000000"/>
          <w:sz w:val="24"/>
          <w:szCs w:val="24"/>
          <w:highlight w:val="none"/>
        </w:rPr>
        <w:t xml:space="preserve">开标一览表</w:t>
      </w:r>
      <w:r/>
    </w:p>
    <w:p>
      <w:pPr>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开标一览表</w:t>
      </w:r>
      <w:r/>
    </w:p>
    <w:tbl>
      <w:tblPr>
        <w:tblStyle w:val="909"/>
        <w:tblW w:w="94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663"/>
        <w:gridCol w:w="2270"/>
        <w:gridCol w:w="1276"/>
        <w:gridCol w:w="2444"/>
      </w:tblGrid>
      <w:tr>
        <w:trPr>
          <w:cantSplit/>
          <w:jc w:val="center"/>
          <w:trHeight w:val="567"/>
        </w:trPr>
        <w:tc>
          <w:tcPr>
            <w:tcW w:w="8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序号</w:t>
            </w:r>
            <w:r/>
          </w:p>
        </w:tc>
        <w:tc>
          <w:tcPr>
            <w:tcW w:w="266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项目名称</w:t>
            </w:r>
            <w:r/>
          </w:p>
        </w:tc>
        <w:tc>
          <w:tcPr>
            <w:tcW w:w="227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响应报价（元）</w:t>
            </w:r>
            <w:r/>
          </w:p>
        </w:tc>
        <w:tc>
          <w:tcPr>
            <w:tcW w:w="12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服务期限</w:t>
            </w:r>
            <w:r/>
          </w:p>
        </w:tc>
        <w:tc>
          <w:tcPr>
            <w:tcW w:w="24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bidi="ar"/>
              </w:rPr>
              <w:t xml:space="preserve">备注</w:t>
            </w:r>
            <w:r/>
          </w:p>
        </w:tc>
      </w:tr>
      <w:tr>
        <w:trPr>
          <w:cantSplit/>
          <w:jc w:val="center"/>
          <w:trHeight w:val="567"/>
        </w:trPr>
        <w:tc>
          <w:tcPr>
            <w:tcW w:w="816" w:type="dxa"/>
            <w:vAlign w:val="center"/>
            <w:textDirection w:val="lrTb"/>
            <w:noWrap w:val="false"/>
          </w:tcPr>
          <w:p>
            <w:pPr>
              <w:jc w:val="center"/>
              <w:spacing w:line="320" w:lineRule="exact"/>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W w:w="2663" w:type="dxa"/>
            <w:vAlign w:val="center"/>
            <w:textDirection w:val="lrTb"/>
            <w:noWrap w:val="false"/>
          </w:tcPr>
          <w:p>
            <w:pPr>
              <w:spacing w:line="320" w:lineRule="exact"/>
              <w:rPr>
                <w:rFonts w:ascii="宋体" w:hAnsi="宋体" w:cs="宋体"/>
                <w:sz w:val="24"/>
                <w:szCs w:val="24"/>
                <w:highlight w:val="none"/>
              </w:rPr>
            </w:pPr>
            <w:r>
              <w:rPr>
                <w:rFonts w:ascii="宋体" w:hAnsi="宋体" w:cs="宋体"/>
                <w:sz w:val="24"/>
                <w:szCs w:val="24"/>
                <w:highlight w:val="none"/>
              </w:rPr>
            </w:r>
            <w:r/>
          </w:p>
        </w:tc>
        <w:tc>
          <w:tcPr>
            <w:tcW w:w="2270" w:type="dxa"/>
            <w:vAlign w:val="center"/>
            <w:textDirection w:val="lrTb"/>
            <w:noWrap w:val="false"/>
          </w:tcPr>
          <w:p>
            <w:pPr>
              <w:jc w:val="center"/>
              <w:spacing w:line="320" w:lineRule="exact"/>
              <w:rPr>
                <w:rFonts w:ascii="宋体" w:hAnsi="宋体" w:cs="宋体"/>
                <w:sz w:val="24"/>
                <w:szCs w:val="24"/>
                <w:highlight w:val="none"/>
              </w:rPr>
            </w:pPr>
            <w:r>
              <w:rPr>
                <w:rFonts w:ascii="宋体" w:hAnsi="宋体" w:cs="宋体"/>
                <w:sz w:val="24"/>
                <w:szCs w:val="24"/>
                <w:highlight w:val="none"/>
              </w:rPr>
            </w:r>
            <w:r/>
          </w:p>
        </w:tc>
        <w:tc>
          <w:tcPr>
            <w:tcW w:w="1276" w:type="dxa"/>
            <w:vAlign w:val="center"/>
            <w:textDirection w:val="lrTb"/>
            <w:noWrap w:val="false"/>
          </w:tcPr>
          <w:p>
            <w:pPr>
              <w:jc w:val="center"/>
              <w:spacing w:line="320" w:lineRule="exact"/>
              <w:rPr>
                <w:rFonts w:ascii="宋体" w:hAnsi="宋体" w:cs="宋体"/>
                <w:sz w:val="24"/>
                <w:szCs w:val="24"/>
                <w:highlight w:val="none"/>
              </w:rPr>
            </w:pPr>
            <w:r>
              <w:rPr>
                <w:rFonts w:ascii="宋体" w:hAnsi="宋体" w:cs="宋体"/>
                <w:sz w:val="24"/>
                <w:szCs w:val="24"/>
                <w:highlight w:val="none"/>
              </w:rPr>
            </w:r>
            <w:r/>
          </w:p>
        </w:tc>
        <w:tc>
          <w:tcPr>
            <w:tcW w:w="2444" w:type="dxa"/>
            <w:vAlign w:val="center"/>
            <w:textDirection w:val="lrTb"/>
            <w:noWrap w:val="false"/>
          </w:tcPr>
          <w:p>
            <w:pPr>
              <w:jc w:val="center"/>
              <w:spacing w:line="320" w:lineRule="exact"/>
              <w:rPr>
                <w:rFonts w:ascii="宋体" w:hAnsi="宋体" w:cs="宋体"/>
                <w:sz w:val="24"/>
                <w:szCs w:val="24"/>
                <w:highlight w:val="none"/>
              </w:rPr>
            </w:pPr>
            <w:r>
              <w:rPr>
                <w:rFonts w:hint="eastAsia" w:ascii="宋体" w:hAnsi="宋体" w:cs="宋体"/>
                <w:sz w:val="24"/>
                <w:szCs w:val="24"/>
                <w:highlight w:val="none"/>
                <w:lang w:bidi="ar"/>
              </w:rPr>
              <w:t xml:space="preserve"> </w:t>
            </w:r>
            <w:r/>
          </w:p>
        </w:tc>
      </w:tr>
      <w:tr>
        <w:trPr>
          <w:cantSplit/>
          <w:jc w:val="center"/>
          <w:trHeight w:val="567"/>
        </w:trPr>
        <w:tc>
          <w:tcPr>
            <w:gridSpan w:val="5"/>
            <w:tcW w:w="9469"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lang w:bidi="ar"/>
              </w:rPr>
              <w:t xml:space="preserve">响应总报价（人民币大写）：                    ￥：</w:t>
            </w:r>
            <w:r/>
          </w:p>
        </w:tc>
      </w:tr>
    </w:tbl>
    <w:p>
      <w:pPr>
        <w:pStyle w:val="915"/>
        <w:spacing w:line="360" w:lineRule="auto"/>
        <w:rPr>
          <w:rFonts w:hAnsi="宋体" w:cs="宋体"/>
          <w:b/>
          <w:color w:val="000000"/>
          <w:sz w:val="24"/>
          <w:szCs w:val="24"/>
          <w:highlight w:val="none"/>
        </w:rPr>
      </w:pPr>
      <w:r>
        <w:rPr>
          <w:rFonts w:hAnsi="宋体" w:cs="宋体"/>
          <w:b/>
          <w:color w:val="000000"/>
          <w:sz w:val="24"/>
          <w:szCs w:val="24"/>
          <w:highlight w:val="none"/>
        </w:rPr>
      </w:r>
      <w:r/>
    </w:p>
    <w:p>
      <w:pPr>
        <w:pStyle w:val="915"/>
        <w:jc w:val="left"/>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    注：如未按照本表规定格式提供，则按无效投标报价的投标文件处理。</w:t>
      </w:r>
      <w:r/>
    </w:p>
    <w:p>
      <w:pPr>
        <w:pStyle w:val="912"/>
        <w:ind w:right="420" w:firstLine="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    </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15"/>
        <w:numPr>
          <w:ilvl w:val="0"/>
          <w:numId w:val="3"/>
        </w:numP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公开分项报价</w:t>
      </w:r>
      <w:r/>
    </w:p>
    <w:p>
      <w:pPr>
        <w:pStyle w:val="928"/>
        <w:ind w:firstLine="480"/>
        <w:spacing w:line="360" w:lineRule="auto"/>
        <w:rPr>
          <w:rFonts w:hAnsi="宋体" w:cs="宋体"/>
          <w:color w:val="000000"/>
          <w:sz w:val="24"/>
          <w:szCs w:val="24"/>
          <w:highlight w:val="none"/>
        </w:rPr>
      </w:pPr>
      <w:r>
        <w:rPr>
          <w:rFonts w:hAnsi="宋体" w:cs="宋体"/>
          <w:color w:val="000000"/>
          <w:sz w:val="24"/>
          <w:szCs w:val="24"/>
          <w:highlight w:val="none"/>
        </w:rPr>
      </w:r>
      <w:r/>
    </w:p>
    <w:p>
      <w:pPr>
        <w:jc w:val="center"/>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（2）公开分项报价（按各法院分摊）</w:t>
      </w:r>
      <w:r/>
    </w:p>
    <w:tbl>
      <w:tblPr>
        <w:tblStyle w:val="909"/>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94"/>
        <w:gridCol w:w="2148"/>
        <w:gridCol w:w="1814"/>
        <w:gridCol w:w="1565"/>
        <w:gridCol w:w="2137"/>
      </w:tblGrid>
      <w:tr>
        <w:trPr>
          <w:cantSplit/>
          <w:jc w:val="center"/>
          <w:trHeight w:val="68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法院</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服务期限</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编目页数</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编目单价（元）</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报价</w:t>
            </w:r>
            <w:r>
              <w:rPr>
                <w:rFonts w:hint="eastAsia" w:ascii="宋体" w:hAnsi="宋体" w:cs="宋体"/>
                <w:sz w:val="24"/>
                <w:szCs w:val="24"/>
                <w:highlight w:val="none"/>
                <w:lang w:val="en-US" w:eastAsia="zh-CN" w:bidi="ar"/>
              </w:rPr>
              <w:t xml:space="preserve">总</w:t>
            </w:r>
            <w:r>
              <w:rPr>
                <w:rFonts w:hint="eastAsia" w:ascii="宋体" w:hAnsi="宋体" w:cs="宋体"/>
                <w:sz w:val="24"/>
                <w:szCs w:val="24"/>
                <w:highlight w:val="none"/>
                <w:lang w:bidi="ar"/>
              </w:rPr>
              <w:t xml:space="preserve">金额（元）</w:t>
            </w:r>
            <w:r/>
          </w:p>
        </w:tc>
      </w:tr>
      <w:tr>
        <w:trPr>
          <w:cantSplit/>
          <w:jc w:val="center"/>
          <w:trHeight w:val="595"/>
        </w:trPr>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right w:val="single" w:color="auto" w:sz="4" w:space="0"/>
            </w:tcBorders>
            <w:tcW w:w="149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4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8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5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3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jc w:val="center"/>
          <w:trHeight w:val="595"/>
        </w:trPr>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right w:val="single" w:color="auto" w:sz="4" w:space="0"/>
            </w:tcBorders>
            <w:tcW w:w="149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4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8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5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3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jc w:val="center"/>
          <w:trHeight w:val="595"/>
        </w:trPr>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Borders>
              <w:left w:val="single" w:color="auto" w:sz="4" w:space="0"/>
              <w:right w:val="single" w:color="auto" w:sz="4" w:space="0"/>
            </w:tcBorders>
            <w:tcW w:w="149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4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8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5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3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jc w:val="center"/>
          <w:trHeight w:val="595"/>
        </w:trPr>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w:t>
            </w:r>
            <w:r/>
          </w:p>
        </w:tc>
        <w:tc>
          <w:tcPr>
            <w:tcBorders>
              <w:left w:val="single" w:color="auto" w:sz="4" w:space="0"/>
              <w:right w:val="single" w:color="auto" w:sz="4" w:space="0"/>
            </w:tcBorders>
            <w:tcW w:w="149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4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8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1565"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213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cantSplit/>
          <w:jc w:val="center"/>
          <w:trHeight w:val="595"/>
        </w:trPr>
        <w:tc>
          <w:tcPr>
            <w:tcBorders>
              <w:top w:val="single" w:color="auto" w:sz="4" w:space="0"/>
              <w:left w:val="single" w:color="auto" w:sz="4" w:space="0"/>
              <w:right w:val="single" w:color="auto" w:sz="4" w:space="0"/>
            </w:tcBorders>
            <w:tcW w:w="696"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gridSpan w:val="5"/>
            <w:tcBorders>
              <w:top w:val="single" w:color="auto" w:sz="4" w:space="0"/>
              <w:left w:val="single" w:color="auto" w:sz="4" w:space="0"/>
              <w:right w:val="single" w:color="auto" w:sz="4" w:space="0"/>
            </w:tcBorders>
            <w:tcW w:w="9158" w:type="dxa"/>
            <w:vAlign w:val="center"/>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t xml:space="preserve">合计总价：人民币（大写）：                     （￥    元）</w:t>
            </w:r>
            <w:r/>
          </w:p>
        </w:tc>
      </w:tr>
    </w:tbl>
    <w:p>
      <w:pPr>
        <w:pStyle w:val="939"/>
        <w:ind w:firstLine="0"/>
        <w:spacing w:before="120"/>
        <w:rPr>
          <w:rFonts w:ascii="宋体" w:hAnsi="宋体" w:cs="宋体"/>
          <w:szCs w:val="24"/>
          <w:highlight w:val="none"/>
        </w:rPr>
      </w:pPr>
      <w:r>
        <w:rPr>
          <w:rFonts w:hint="eastAsia" w:ascii="宋体" w:hAnsi="宋体" w:cs="宋体"/>
          <w:szCs w:val="24"/>
          <w:highlight w:val="none"/>
        </w:rPr>
        <w:t xml:space="preserve">注：1、此表“合计总价”与开标一览表“响应总报价”须保持一致，否则以开标一览表价格为准。可根据需要自行调整。</w:t>
      </w:r>
      <w:r/>
    </w:p>
    <w:p>
      <w:pPr>
        <w:pStyle w:val="939"/>
        <w:ind w:firstLine="0"/>
        <w:spacing w:before="120"/>
        <w:rPr>
          <w:rFonts w:ascii="宋体" w:hAnsi="宋体" w:cs="宋体"/>
          <w:szCs w:val="24"/>
          <w:highlight w:val="none"/>
        </w:rPr>
      </w:pPr>
      <w:r>
        <w:rPr>
          <w:rFonts w:hint="eastAsia" w:ascii="宋体" w:hAnsi="宋体" w:cs="宋体"/>
          <w:szCs w:val="24"/>
          <w:highlight w:val="none"/>
        </w:rPr>
        <w:t xml:space="preserve">2、各法院预算详见第四章《</w:t>
      </w:r>
      <w:r>
        <w:rPr>
          <w:rFonts w:hint="eastAsia" w:ascii="宋体" w:cs="宋体"/>
          <w:szCs w:val="24"/>
          <w:highlight w:val="none"/>
        </w:rPr>
        <w:t xml:space="preserve">苏州两级法院电子卷宗集中编目服务分摊金额测算表</w:t>
      </w:r>
      <w:r>
        <w:rPr>
          <w:rFonts w:hint="eastAsia" w:ascii="宋体" w:hAnsi="宋体" w:cs="宋体"/>
          <w:szCs w:val="24"/>
          <w:highlight w:val="none"/>
        </w:rPr>
        <w:t xml:space="preserve">》。</w:t>
      </w:r>
      <w:r/>
    </w:p>
    <w:p>
      <w:pPr>
        <w:pStyle w:val="939"/>
        <w:ind w:firstLine="0"/>
        <w:rPr>
          <w:rFonts w:ascii="宋体" w:hAnsi="宋体" w:cs="宋体"/>
          <w:szCs w:val="24"/>
          <w:highlight w:val="none"/>
        </w:rPr>
      </w:pPr>
      <w:r>
        <w:rPr>
          <w:rFonts w:ascii="宋体" w:hAnsi="宋体" w:cs="宋体"/>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5"/>
        <w:spacing w:line="400" w:lineRule="exact"/>
        <w:rPr>
          <w:rFonts w:cs="宋体"/>
          <w:color w:val="000000"/>
          <w:sz w:val="24"/>
          <w:szCs w:val="24"/>
          <w:highlight w:val="none"/>
        </w:rPr>
      </w:pPr>
      <w:r>
        <w:rPr>
          <w:rFonts w:hint="eastAsia" w:hAnsi="宋体" w:cs="宋体"/>
          <w:color w:val="000000"/>
          <w:sz w:val="24"/>
          <w:szCs w:val="24"/>
          <w:highlight w:val="none"/>
        </w:rPr>
        <w:br w:type="page" w:clear="all"/>
      </w:r>
      <w:r>
        <w:rPr>
          <w:rFonts w:hint="eastAsia" w:cs="宋体"/>
          <w:b/>
          <w:bCs/>
          <w:color w:val="000000"/>
          <w:sz w:val="24"/>
          <w:szCs w:val="24"/>
          <w:highlight w:val="none"/>
        </w:rPr>
        <w:t xml:space="preserve">5、关于资格文件的声明函</w:t>
      </w:r>
      <w:r/>
    </w:p>
    <w:p>
      <w:pPr>
        <w:pStyle w:val="928"/>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苏州筑程集中采购代理有限公司：</w:t>
      </w:r>
      <w:r/>
    </w:p>
    <w:p>
      <w:pPr>
        <w:pStyle w:val="928"/>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本公司愿就由贵公司组织实施的编号为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12"/>
        <w:ind w:right="420" w:firstLine="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    </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28"/>
        <w:spacing w:line="360" w:lineRule="auto"/>
        <w:rPr>
          <w:rFonts w:hAnsi="宋体" w:cs="宋体"/>
          <w:color w:val="000000"/>
          <w:sz w:val="24"/>
          <w:szCs w:val="24"/>
          <w:highlight w:val="none"/>
        </w:rPr>
      </w:pPr>
      <w:r>
        <w:rPr>
          <w:rFonts w:hAnsi="宋体" w:cs="宋体"/>
          <w:color w:val="000000"/>
          <w:sz w:val="24"/>
          <w:szCs w:val="24"/>
          <w:highlight w:val="none"/>
        </w:rPr>
      </w:r>
      <w:r/>
    </w:p>
    <w:p>
      <w:pP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6、响应单位情况表</w:t>
      </w:r>
      <w:r/>
    </w:p>
    <w:p>
      <w:pPr>
        <w:pStyle w:val="912"/>
        <w:ind w:firstLine="0"/>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供应商情况表</w:t>
      </w:r>
      <w:r/>
    </w:p>
    <w:p>
      <w:pPr>
        <w:pStyle w:val="912"/>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p>
    <w:tbl>
      <w:tblPr>
        <w:tblStyle w:val="909"/>
        <w:tblW w:w="985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66"/>
        <w:gridCol w:w="2130"/>
        <w:gridCol w:w="1551"/>
        <w:gridCol w:w="2188"/>
        <w:gridCol w:w="1317"/>
      </w:tblGrid>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万元</w:t>
            </w:r>
            <w:r/>
          </w:p>
        </w:tc>
      </w:tr>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p>
        </w:tc>
        <w:tc>
          <w:tcPr>
            <w:gridSpan w:val="4"/>
            <w:tcW w:w="7186"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1256"/>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3739"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p>
        </w:tc>
        <w:tc>
          <w:tcPr>
            <w:tcW w:w="1317"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万元</w:t>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万元</w:t>
            </w:r>
            <w:r/>
          </w:p>
        </w:tc>
      </w:tr>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万元</w:t>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销售收入</w:t>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年          万元</w:t>
            </w:r>
            <w:r/>
          </w:p>
        </w:tc>
      </w:tr>
      <w:tr>
        <w:trPr>
          <w:cantSplit/>
          <w:trHeight w:val="654"/>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年   万元</w:t>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1256"/>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p>
        </w:tc>
        <w:tc>
          <w:tcPr>
            <w:tcW w:w="2130"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       平方米</w:t>
            </w:r>
            <w:r/>
          </w:p>
        </w:tc>
        <w:tc>
          <w:tcPr>
            <w:tcW w:w="1551"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其中：</w:t>
            </w:r>
            <w:r/>
          </w:p>
        </w:tc>
        <w:tc>
          <w:tcPr>
            <w:gridSpan w:val="2"/>
            <w:tcW w:w="3505"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p>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p>
        </w:tc>
      </w:tr>
      <w:tr>
        <w:trPr>
          <w:cantSplit/>
          <w:trHeight w:val="2463"/>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p>
        </w:tc>
        <w:tc>
          <w:tcPr>
            <w:gridSpan w:val="4"/>
            <w:tcW w:w="7186"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1859"/>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p>
        </w:tc>
        <w:tc>
          <w:tcPr>
            <w:gridSpan w:val="4"/>
            <w:tcW w:w="7186"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1309"/>
        </w:trPr>
        <w:tc>
          <w:tcPr>
            <w:tcW w:w="2666" w:type="dxa"/>
            <w:vAlign w:val="center"/>
            <w:textDirection w:val="lrTb"/>
            <w:noWrap w:val="false"/>
          </w:tcPr>
          <w:p>
            <w:pPr>
              <w:pStyle w:val="912"/>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p>
        </w:tc>
        <w:tc>
          <w:tcPr>
            <w:gridSpan w:val="4"/>
            <w:tcW w:w="7186" w:type="dxa"/>
            <w:vAlign w:val="center"/>
            <w:textDirection w:val="lrTb"/>
            <w:noWrap w:val="false"/>
          </w:tcPr>
          <w:p>
            <w:pPr>
              <w:pStyle w:val="912"/>
              <w:ind w:firstLine="0"/>
              <w:jc w:val="both"/>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15"/>
        <w:spacing w:line="360" w:lineRule="auto"/>
        <w:rPr>
          <w:rFonts w:hAnsi="宋体" w:cs="宋体"/>
          <w:color w:val="000000"/>
          <w:sz w:val="24"/>
          <w:szCs w:val="24"/>
          <w:highlight w:val="none"/>
        </w:rPr>
      </w:pPr>
      <w:r>
        <w:rPr>
          <w:rFonts w:hAnsi="宋体" w:cs="宋体"/>
          <w:color w:val="000000"/>
          <w:sz w:val="24"/>
          <w:szCs w:val="24"/>
          <w:highlight w:val="none"/>
        </w:rPr>
      </w:r>
      <w:r/>
    </w:p>
    <w:p>
      <w:pPr>
        <w:pStyle w:val="912"/>
        <w:ind w:firstLine="0"/>
        <w:jc w:val="center"/>
        <w:spacing w:line="360" w:lineRule="auto"/>
        <w:rPr>
          <w:rFonts w:hAnsi="宋体" w:cs="宋体"/>
          <w:color w:val="000000"/>
          <w:sz w:val="24"/>
          <w:szCs w:val="24"/>
          <w:highlight w:val="none"/>
        </w:rPr>
      </w:pPr>
      <w:r>
        <w:rPr>
          <w:rFonts w:hint="eastAsia" w:hAnsi="宋体" w:cs="宋体"/>
          <w:color w:val="000000"/>
          <w:sz w:val="24"/>
          <w:szCs w:val="24"/>
          <w:highlight w:val="none"/>
        </w:rPr>
        <w:br w:type="page" w:clear="all"/>
      </w:r>
      <w:r/>
    </w:p>
    <w:p>
      <w:pPr>
        <w:pStyle w:val="915"/>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7、投标人与其他单位存在股权关系或管理关系情况表</w:t>
      </w:r>
      <w:r/>
    </w:p>
    <w:p>
      <w:pPr>
        <w:pStyle w:val="912"/>
        <w:ind w:firstLine="0"/>
        <w:jc w:val="center"/>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12"/>
        <w:ind w:firstLine="0"/>
        <w:jc w:val="center"/>
        <w:spacing w:line="360" w:lineRule="auto"/>
        <w:rPr>
          <w:rFonts w:ascii="宋体" w:hAnsi="宋体" w:cs="宋体"/>
          <w:sz w:val="24"/>
          <w:szCs w:val="24"/>
          <w:highlight w:val="none"/>
        </w:rPr>
      </w:pPr>
      <w:r>
        <w:rPr>
          <w:rFonts w:hint="eastAsia" w:ascii="宋体" w:hAnsi="宋体" w:cs="宋体"/>
          <w:b/>
          <w:bCs/>
          <w:color w:val="000000"/>
          <w:sz w:val="24"/>
          <w:szCs w:val="24"/>
          <w:highlight w:val="none"/>
        </w:rPr>
        <w:t xml:space="preserve">投标人与其他单位存在股权关系或管理关系情况表</w:t>
      </w:r>
      <w:r/>
    </w:p>
    <w:tbl>
      <w:tblPr>
        <w:tblStyle w:val="909"/>
        <w:tblW w:w="101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jc w:val="center"/>
          <w:trHeight w:val="768"/>
        </w:trPr>
        <w:tc>
          <w:tcPr>
            <w:gridSpan w:val="4"/>
            <w:tcW w:w="6158"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与投标人存在股权关系</w:t>
            </w:r>
            <w:r/>
          </w:p>
        </w:tc>
        <w:tc>
          <w:tcPr>
            <w:gridSpan w:val="3"/>
            <w:tcW w:w="4021"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与投标人存在管理关系</w:t>
            </w:r>
            <w:r/>
          </w:p>
        </w:tc>
      </w:tr>
      <w:tr>
        <w:trPr>
          <w:jc w:val="center"/>
          <w:trHeight w:val="818"/>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单位名称</w:t>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是否为大型企业</w:t>
            </w:r>
            <w:r/>
          </w:p>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（填写“是”或 “否”）</w:t>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控股关系情况说明（持股比例等）</w:t>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是否控股</w:t>
            </w:r>
            <w:r/>
          </w:p>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（填写“是”或 “否”）</w:t>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单位名称</w:t>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是否为大型企业</w:t>
            </w:r>
            <w:r/>
          </w:p>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（填写“是”或 “否”）</w:t>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管理关系情况说明</w:t>
            </w:r>
            <w:r/>
          </w:p>
        </w:tc>
      </w:tr>
      <w:tr>
        <w:trPr>
          <w:jc w:val="center"/>
          <w:trHeight w:val="85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r>
        <w:trPr>
          <w:jc w:val="center"/>
          <w:trHeight w:val="85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r>
        <w:trPr>
          <w:jc w:val="center"/>
          <w:trHeight w:val="85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r>
        <w:trPr>
          <w:jc w:val="center"/>
          <w:trHeight w:val="85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r>
        <w:trPr>
          <w:jc w:val="center"/>
          <w:trHeight w:val="85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r>
        <w:trPr>
          <w:jc w:val="center"/>
          <w:trHeight w:val="861"/>
        </w:trPr>
        <w:tc>
          <w:tcPr>
            <w:tcW w:w="179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7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439"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310"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557"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c>
          <w:tcPr>
            <w:tcW w:w="1154" w:type="dxa"/>
            <w:vAlign w:val="center"/>
            <w:textDirection w:val="lrTb"/>
            <w:noWrap w:val="false"/>
          </w:tcPr>
          <w:p>
            <w:pPr>
              <w:jc w:val="center"/>
              <w:widowControl/>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p>
        </w:tc>
      </w:tr>
    </w:tbl>
    <w:p>
      <w:pPr>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注：1、本表仅须填写与投标人存在股权、管理关系的企业情况。投标人应按上表要求据实填写，如填写“无”或不填写，均视为投标人声明不存在有关情形。</w:t>
      </w:r>
      <w:r/>
    </w:p>
    <w:p>
      <w:pPr>
        <w:pStyle w:val="937"/>
        <w:spacing w:line="440" w:lineRule="exact"/>
        <w:rPr>
          <w:rFonts w:ascii="宋体" w:hAnsi="宋体" w:cs="宋体"/>
          <w:sz w:val="24"/>
          <w:szCs w:val="24"/>
          <w:highlight w:val="none"/>
        </w:rPr>
      </w:pPr>
      <w:r>
        <w:rPr>
          <w:rFonts w:hint="eastAsia" w:ascii="宋体" w:hAnsi="宋体" w:cs="宋体"/>
          <w:sz w:val="24"/>
          <w:szCs w:val="24"/>
          <w:highlight w:val="none"/>
        </w:rPr>
        <w:t xml:space="preserve">2、其中“控股”是指投标人与企业之间存在投资并控股(非普通持股)的关系。</w:t>
      </w:r>
      <w:r/>
    </w:p>
    <w:p>
      <w:pPr>
        <w:pStyle w:val="937"/>
        <w:spacing w:line="440" w:lineRule="exact"/>
        <w:rPr>
          <w:rFonts w:ascii="宋体" w:hAnsi="宋体" w:cs="宋体"/>
          <w:sz w:val="24"/>
          <w:szCs w:val="24"/>
          <w:highlight w:val="none"/>
        </w:rPr>
      </w:pPr>
      <w:r>
        <w:rPr>
          <w:rFonts w:ascii="宋体" w:hAnsi="宋体" w:cs="宋体"/>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rPr>
          <w:rFonts w:hAnsi="宋体" w:cs="宋体"/>
          <w:color w:val="000000"/>
          <w:sz w:val="24"/>
          <w:szCs w:val="24"/>
          <w:highlight w:val="none"/>
        </w:rPr>
      </w:pPr>
      <w:r>
        <w:rPr>
          <w:rFonts w:hint="eastAsia" w:hAnsi="宋体" w:cs="宋体"/>
          <w:color w:val="000000"/>
          <w:sz w:val="24"/>
          <w:szCs w:val="24"/>
          <w:highlight w:val="none"/>
        </w:rPr>
        <w:br w:type="page" w:clear="all"/>
      </w:r>
      <w:r/>
    </w:p>
    <w:p>
      <w:pPr>
        <w:pStyle w:val="915"/>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8、投标人针对投标资格要求承诺函</w:t>
      </w:r>
      <w:r/>
    </w:p>
    <w:p>
      <w:pPr>
        <w:pStyle w:val="91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投标人针对投标资格要求承诺函</w:t>
      </w:r>
      <w:r/>
    </w:p>
    <w:p>
      <w:pPr>
        <w:pStyle w:val="915"/>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采购编号：</w:t>
      </w:r>
      <w:r/>
    </w:p>
    <w:tbl>
      <w:tblPr>
        <w:tblStyle w:val="909"/>
        <w:tblW w:w="856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5150"/>
        <w:gridCol w:w="2440"/>
      </w:tblGrid>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序号</w:t>
            </w:r>
            <w:r/>
          </w:p>
        </w:tc>
        <w:tc>
          <w:tcPr>
            <w:tcW w:w="5150"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投标人部分资格要求</w:t>
            </w:r>
            <w:r/>
          </w:p>
        </w:tc>
        <w:tc>
          <w:tcPr>
            <w:tcW w:w="2440"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是否完全响应</w:t>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1</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具有独立承担民事责任的能力</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2</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具有良好的商业信誉和健全的财务会计制度</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3</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具有履行合同所必需的设备和专业技术能力</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4</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有依法缴纳税收和社会保障资金的良好记录</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5</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参加政府采购活动前三年内，在经营活动中没有重大违法记录</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r>
        <w:trPr>
          <w:jc w:val="center"/>
          <w:trHeight w:val="850"/>
        </w:trPr>
        <w:tc>
          <w:tcPr>
            <w:tcW w:w="977" w:type="dxa"/>
            <w:vAlign w:val="center"/>
            <w:textDirection w:val="lrTb"/>
            <w:noWrap w:val="false"/>
          </w:tcPr>
          <w:p>
            <w:pPr>
              <w:pStyle w:val="915"/>
              <w:jc w:val="center"/>
              <w:rPr>
                <w:rFonts w:hAnsi="宋体" w:cs="宋体"/>
                <w:color w:val="000000"/>
                <w:sz w:val="24"/>
                <w:szCs w:val="24"/>
                <w:highlight w:val="none"/>
              </w:rPr>
            </w:pPr>
            <w:r>
              <w:rPr>
                <w:rFonts w:hint="eastAsia" w:hAnsi="宋体" w:cs="宋体"/>
                <w:color w:val="000000"/>
                <w:sz w:val="24"/>
                <w:szCs w:val="24"/>
                <w:highlight w:val="none"/>
              </w:rPr>
              <w:t xml:space="preserve">6</w:t>
            </w:r>
            <w:r/>
          </w:p>
        </w:tc>
        <w:tc>
          <w:tcPr>
            <w:tcW w:w="5150" w:type="dxa"/>
            <w:vAlign w:val="center"/>
            <w:textDirection w:val="lrTb"/>
            <w:noWrap w:val="false"/>
          </w:tcPr>
          <w:p>
            <w:pPr>
              <w:pStyle w:val="915"/>
              <w:rPr>
                <w:rFonts w:hAnsi="宋体" w:cs="宋体"/>
                <w:color w:val="000000"/>
                <w:sz w:val="24"/>
                <w:szCs w:val="24"/>
                <w:highlight w:val="none"/>
              </w:rPr>
            </w:pPr>
            <w:r>
              <w:rPr>
                <w:rFonts w:hint="eastAsia" w:hAnsi="宋体" w:cs="宋体"/>
                <w:color w:val="000000"/>
                <w:sz w:val="24"/>
                <w:szCs w:val="24"/>
                <w:highlight w:val="none"/>
              </w:rPr>
              <w:t xml:space="preserve">法律、行政法规规定的其他条件</w:t>
            </w:r>
            <w:r/>
          </w:p>
        </w:tc>
        <w:tc>
          <w:tcPr>
            <w:tcW w:w="2440" w:type="dxa"/>
            <w:vAlign w:val="center"/>
            <w:textDirection w:val="lrTb"/>
            <w:noWrap w:val="false"/>
          </w:tcPr>
          <w:p>
            <w:pPr>
              <w:pStyle w:val="915"/>
              <w:rPr>
                <w:rFonts w:hAnsi="宋体" w:cs="宋体"/>
                <w:color w:val="000000"/>
                <w:sz w:val="24"/>
                <w:szCs w:val="24"/>
                <w:highlight w:val="none"/>
              </w:rPr>
            </w:pPr>
            <w:r>
              <w:rPr>
                <w:rFonts w:hAnsi="宋体" w:cs="宋体"/>
                <w:color w:val="000000"/>
                <w:sz w:val="24"/>
                <w:szCs w:val="24"/>
                <w:highlight w:val="none"/>
              </w:rPr>
            </w:r>
            <w:r/>
          </w:p>
        </w:tc>
      </w:tr>
    </w:tbl>
    <w:p>
      <w:pPr>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12"/>
        <w:ind w:firstLine="0"/>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Pr>
      <w:r>
        <w:rPr>
          <w:rFonts w:ascii="宋体" w:hAnsi="宋体" w:cs="宋体"/>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9、采购文件条款偏离表</w:t>
      </w:r>
      <w:r/>
    </w:p>
    <w:p>
      <w:pPr>
        <w:jc w:val="center"/>
        <w:spacing w:line="360" w:lineRule="auto"/>
        <w:rPr>
          <w:rStyle w:val="930"/>
          <w:rFonts w:ascii="宋体" w:hAnsi="宋体" w:cs="宋体"/>
          <w:b/>
          <w:color w:val="000000"/>
          <w:sz w:val="24"/>
          <w:szCs w:val="24"/>
          <w:highlight w:val="none"/>
        </w:rPr>
      </w:pPr>
      <w:r>
        <w:rPr>
          <w:rStyle w:val="930"/>
          <w:rFonts w:hint="eastAsia" w:ascii="宋体" w:hAnsi="宋体" w:cs="宋体"/>
          <w:b/>
          <w:color w:val="000000"/>
          <w:sz w:val="24"/>
          <w:szCs w:val="24"/>
          <w:highlight w:val="none"/>
        </w:rPr>
        <w:t xml:space="preserve">服务要求偏离表</w:t>
      </w:r>
      <w:r/>
    </w:p>
    <w:p>
      <w:pPr>
        <w:spacing w:line="380" w:lineRule="exact"/>
        <w:rPr>
          <w:rStyle w:val="930"/>
          <w:rFonts w:ascii="宋体" w:hAnsi="宋体" w:cs="宋体"/>
          <w:b/>
          <w:color w:val="000000"/>
          <w:spacing w:val="20"/>
          <w:sz w:val="24"/>
          <w:szCs w:val="24"/>
          <w:highlight w:val="none"/>
        </w:rPr>
      </w:pPr>
      <w:r>
        <w:rPr>
          <w:rStyle w:val="930"/>
          <w:rFonts w:hint="eastAsia" w:ascii="宋体" w:hAnsi="宋体" w:cs="宋体"/>
          <w:color w:val="000000"/>
          <w:sz w:val="24"/>
          <w:szCs w:val="24"/>
          <w:highlight w:val="none"/>
          <w:lang w:val="zh-CN"/>
        </w:rPr>
        <w:t xml:space="preserve">采购编号∶</w:t>
      </w:r>
      <w:r/>
    </w:p>
    <w:tbl>
      <w:tblPr>
        <w:tblStyle w:val="909"/>
        <w:tblW w:w="96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49"/>
        <w:gridCol w:w="1845"/>
        <w:gridCol w:w="2250"/>
        <w:gridCol w:w="2250"/>
        <w:gridCol w:w="2250"/>
      </w:tblGrid>
      <w:tr>
        <w:trPr>
          <w:jc w:val="center"/>
          <w:trHeight w:val="609"/>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序号</w:t>
            </w:r>
            <w:r/>
          </w:p>
        </w:tc>
        <w:tc>
          <w:tcPr>
            <w:tcW w:w="1845" w:type="dxa"/>
            <w:vAlign w:val="center"/>
            <w:textDirection w:val="lrTb"/>
            <w:noWrap w:val="false"/>
          </w:tcPr>
          <w:p>
            <w:pPr>
              <w:ind w:left="54"/>
              <w:jc w:val="center"/>
              <w:spacing w:line="360" w:lineRule="auto"/>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项目</w:t>
            </w:r>
            <w:r/>
          </w:p>
        </w:tc>
        <w:tc>
          <w:tcPr>
            <w:tcW w:w="2250" w:type="dxa"/>
            <w:vAlign w:val="center"/>
            <w:textDirection w:val="lrTb"/>
            <w:noWrap w:val="false"/>
          </w:tcPr>
          <w:p>
            <w:pPr>
              <w:jc w:val="center"/>
              <w:spacing w:line="360" w:lineRule="auto"/>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采购要求</w:t>
            </w:r>
            <w:r/>
          </w:p>
        </w:tc>
        <w:tc>
          <w:tcPr>
            <w:tcW w:w="2250" w:type="dxa"/>
            <w:vAlign w:val="center"/>
            <w:textDirection w:val="lrTb"/>
            <w:noWrap w:val="false"/>
          </w:tcPr>
          <w:p>
            <w:pPr>
              <w:jc w:val="center"/>
              <w:spacing w:line="360" w:lineRule="auto"/>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响应情况</w:t>
            </w:r>
            <w:r/>
          </w:p>
        </w:tc>
        <w:tc>
          <w:tcPr>
            <w:tcW w:w="2250" w:type="dxa"/>
            <w:vAlign w:val="center"/>
            <w:textDirection w:val="lrTb"/>
            <w:noWrap w:val="false"/>
          </w:tcPr>
          <w:p>
            <w:pPr>
              <w:jc w:val="center"/>
              <w:spacing w:line="360" w:lineRule="auto"/>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偏离说明</w:t>
            </w:r>
            <w:r/>
          </w:p>
        </w:tc>
      </w:tr>
      <w:tr>
        <w:trPr>
          <w:jc w:val="center"/>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1</w:t>
            </w:r>
            <w:r/>
          </w:p>
        </w:tc>
        <w:tc>
          <w:tcPr>
            <w:tcW w:w="1845"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2</w:t>
            </w:r>
            <w:r/>
          </w:p>
        </w:tc>
        <w:tc>
          <w:tcPr>
            <w:tcW w:w="1845"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3</w:t>
            </w:r>
            <w:r/>
          </w:p>
        </w:tc>
        <w:tc>
          <w:tcPr>
            <w:tcW w:w="1845"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4</w:t>
            </w:r>
            <w:r/>
          </w:p>
        </w:tc>
        <w:tc>
          <w:tcPr>
            <w:tcW w:w="1845"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1049" w:type="dxa"/>
            <w:vAlign w:val="center"/>
            <w:textDirection w:val="lrTb"/>
            <w:noWrap w:val="false"/>
          </w:tcPr>
          <w:p>
            <w:pPr>
              <w:jc w:val="center"/>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5</w:t>
            </w:r>
            <w:r/>
          </w:p>
        </w:tc>
        <w:tc>
          <w:tcPr>
            <w:tcW w:w="1845"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250" w:type="dxa"/>
            <w:textDirection w:val="lrTb"/>
            <w:noWrap w:val="false"/>
          </w:tcPr>
          <w:p>
            <w:pPr>
              <w:ind w:firstLine="799"/>
              <w:jc w:val="center"/>
              <w:spacing w:line="360" w:lineRule="auto"/>
              <w:rPr>
                <w:rStyle w:val="930"/>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32"/>
        <w:spacing w:before="0" w:after="0" w:line="240" w:lineRule="auto"/>
        <w:rPr>
          <w:rFonts w:ascii="宋体" w:hAnsi="宋体" w:cs="宋体"/>
          <w:color w:val="000000"/>
          <w:sz w:val="24"/>
          <w:szCs w:val="24"/>
          <w:highlight w:val="none"/>
        </w:rPr>
        <w:outlineLvl w:val="9"/>
      </w:pPr>
      <w:r>
        <w:rPr>
          <w:rFonts w:ascii="宋体" w:hAnsi="宋体" w:cs="宋体"/>
          <w:color w:val="000000"/>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jc w:val="center"/>
        <w:rPr>
          <w:rStyle w:val="930"/>
          <w:rFonts w:ascii="宋体" w:hAnsi="宋体" w:cs="宋体"/>
          <w:b/>
          <w:color w:val="000000"/>
          <w:sz w:val="24"/>
          <w:szCs w:val="24"/>
          <w:highlight w:val="none"/>
        </w:rPr>
      </w:pPr>
      <w:r>
        <w:rPr>
          <w:rStyle w:val="930"/>
          <w:rFonts w:hint="eastAsia" w:ascii="宋体" w:hAnsi="宋体" w:cs="宋体"/>
          <w:b/>
          <w:color w:val="000000"/>
          <w:sz w:val="24"/>
          <w:szCs w:val="24"/>
          <w:highlight w:val="none"/>
        </w:rPr>
        <w:t xml:space="preserve">商务条款偏离表</w:t>
      </w:r>
      <w:r/>
    </w:p>
    <w:tbl>
      <w:tblPr>
        <w:tblStyle w:val="909"/>
        <w:tblW w:w="9654" w:type="dxa"/>
        <w:jc w:val="center"/>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0"/>
        <w:gridCol w:w="2175"/>
        <w:gridCol w:w="2718"/>
        <w:gridCol w:w="2718"/>
        <w:gridCol w:w="1243"/>
      </w:tblGrid>
      <w:tr>
        <w:trPr>
          <w:jc w:val="center"/>
        </w:trPr>
        <w:tc>
          <w:tcPr>
            <w:tcW w:w="800" w:type="dxa"/>
            <w:textDirection w:val="lrTb"/>
            <w:noWrap w:val="false"/>
          </w:tcPr>
          <w:p>
            <w:pPr>
              <w:jc w:val="center"/>
              <w:spacing w:before="240" w:after="240"/>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序号</w:t>
            </w:r>
            <w:r/>
          </w:p>
        </w:tc>
        <w:tc>
          <w:tcPr>
            <w:tcW w:w="2175" w:type="dxa"/>
            <w:textDirection w:val="lrTb"/>
            <w:noWrap w:val="false"/>
          </w:tcPr>
          <w:p>
            <w:pPr>
              <w:jc w:val="center"/>
              <w:spacing w:before="240" w:after="240"/>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采购文件条目号</w:t>
            </w:r>
            <w:r/>
          </w:p>
        </w:tc>
        <w:tc>
          <w:tcPr>
            <w:tcW w:w="2718" w:type="dxa"/>
            <w:textDirection w:val="lrTb"/>
            <w:noWrap w:val="false"/>
          </w:tcPr>
          <w:p>
            <w:pPr>
              <w:jc w:val="center"/>
              <w:spacing w:before="240" w:after="240"/>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采购文件的商务条款</w:t>
            </w:r>
            <w:r/>
          </w:p>
        </w:tc>
        <w:tc>
          <w:tcPr>
            <w:tcW w:w="2718" w:type="dxa"/>
            <w:textDirection w:val="lrTb"/>
            <w:noWrap w:val="false"/>
          </w:tcPr>
          <w:p>
            <w:pPr>
              <w:jc w:val="center"/>
              <w:spacing w:before="240" w:after="240"/>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响应文件的商务条款</w:t>
            </w:r>
            <w:r/>
          </w:p>
        </w:tc>
        <w:tc>
          <w:tcPr>
            <w:tcW w:w="1243" w:type="dxa"/>
            <w:textDirection w:val="lrTb"/>
            <w:noWrap w:val="false"/>
          </w:tcPr>
          <w:p>
            <w:pPr>
              <w:jc w:val="center"/>
              <w:spacing w:before="240" w:after="240"/>
              <w:rPr>
                <w:rStyle w:val="930"/>
                <w:rFonts w:ascii="宋体" w:hAnsi="宋体" w:cs="宋体"/>
                <w:color w:val="000000"/>
                <w:sz w:val="24"/>
                <w:szCs w:val="24"/>
                <w:highlight w:val="none"/>
              </w:rPr>
            </w:pPr>
            <w:r>
              <w:rPr>
                <w:rStyle w:val="930"/>
                <w:rFonts w:hint="eastAsia" w:ascii="宋体" w:hAnsi="宋体" w:cs="宋体"/>
                <w:color w:val="000000"/>
                <w:sz w:val="24"/>
                <w:szCs w:val="24"/>
                <w:highlight w:val="none"/>
              </w:rPr>
              <w:t xml:space="preserve">说明</w:t>
            </w:r>
            <w:r/>
          </w:p>
        </w:tc>
      </w:tr>
      <w:tr>
        <w:trPr>
          <w:jc w:val="center"/>
        </w:trPr>
        <w:tc>
          <w:tcPr>
            <w:tcW w:w="800"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175"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800"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175"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Pr>
        <w:tc>
          <w:tcPr>
            <w:tcW w:w="800"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175"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2718"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textDirection w:val="lrTb"/>
            <w:noWrap w:val="false"/>
          </w:tcPr>
          <w:p>
            <w:pPr>
              <w:spacing w:before="240" w:after="240"/>
              <w:rPr>
                <w:rStyle w:val="930"/>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60" w:lineRule="auto"/>
        <w:rPr>
          <w:rStyle w:val="930"/>
          <w:rFonts w:ascii="宋体" w:hAnsi="宋体" w:cs="宋体"/>
          <w:bCs/>
          <w:color w:val="000000"/>
          <w:sz w:val="24"/>
          <w:szCs w:val="24"/>
          <w:highlight w:val="none"/>
        </w:rPr>
      </w:pPr>
      <w:r>
        <w:rPr>
          <w:rStyle w:val="930"/>
          <w:rFonts w:hint="eastAsia" w:ascii="宋体" w:hAnsi="宋体" w:cs="宋体"/>
          <w:bCs/>
          <w:color w:val="000000"/>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rPr>
          <w:rFonts w:ascii="宋体" w:hAnsi="宋体" w:cs="宋体"/>
          <w:color w:val="000000"/>
          <w:sz w:val="24"/>
          <w:szCs w:val="24"/>
          <w:highlight w:val="none"/>
        </w:rPr>
      </w:pPr>
      <w:r>
        <w:rPr>
          <w:rFonts w:ascii="宋体" w:hAnsi="宋体" w:cs="宋体"/>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10、服务方案说明</w:t>
      </w:r>
      <w:r/>
    </w:p>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服务方案说明</w:t>
      </w:r>
      <w:r/>
    </w:p>
    <w:tbl>
      <w:tblPr>
        <w:tblStyle w:val="909"/>
        <w:tblW w:w="96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jc w:val="center"/>
          <w:trHeight w:val="2029"/>
        </w:trPr>
        <w:tc>
          <w:tcPr>
            <w:tcW w:w="9648" w:type="dxa"/>
            <w:textDirection w:val="lrTb"/>
            <w:noWrap w:val="false"/>
          </w:tcPr>
          <w:p>
            <w:pP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提示：</w:t>
            </w:r>
            <w:r/>
          </w:p>
          <w:p>
            <w:pP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1、磋商响应单位应根据本次采购项目要求，对本项目服务研究</w:t>
            </w:r>
            <w:r>
              <w:rPr>
                <w:rFonts w:hint="eastAsia" w:ascii="宋体" w:hAnsi="宋体" w:cs="宋体"/>
                <w:color w:val="000000"/>
                <w:sz w:val="24"/>
                <w:szCs w:val="24"/>
                <w:highlight w:val="none"/>
              </w:rPr>
              <w:t xml:space="preserve">方案</w:t>
            </w:r>
            <w:r>
              <w:rPr>
                <w:rFonts w:hint="eastAsia" w:ascii="宋体" w:hAnsi="宋体" w:cs="宋体"/>
                <w:bCs/>
                <w:color w:val="000000"/>
                <w:sz w:val="24"/>
                <w:szCs w:val="24"/>
                <w:highlight w:val="none"/>
              </w:rPr>
              <w:t xml:space="preserve">进行说明与描述。</w:t>
            </w:r>
            <w:r/>
          </w:p>
        </w:tc>
      </w:tr>
      <w:tr>
        <w:trPr>
          <w:jc w:val="center"/>
          <w:trHeight w:val="6363"/>
        </w:trPr>
        <w:tc>
          <w:tcPr>
            <w:tcW w:w="9648" w:type="dxa"/>
            <w:textDirection w:val="lrTb"/>
            <w:noWrap w:val="false"/>
          </w:tcPr>
          <w:p>
            <w:pPr>
              <w:ind w:firstLine="420"/>
              <w:jc w:val="left"/>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912"/>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12"/>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11、拟投入本项目人员表</w:t>
      </w:r>
      <w:r/>
    </w:p>
    <w:p>
      <w:pPr>
        <w:pStyle w:val="928"/>
        <w:ind w:firstLine="480"/>
        <w:jc w:val="center"/>
        <w:spacing w:line="360" w:lineRule="auto"/>
        <w:tabs>
          <w:tab w:val="left" w:pos="2880" w:leader="none"/>
        </w:tabs>
        <w:rPr>
          <w:rFonts w:hAnsi="宋体" w:cs="宋体"/>
          <w:color w:val="000000"/>
          <w:sz w:val="24"/>
          <w:szCs w:val="24"/>
          <w:highlight w:val="none"/>
          <w:lang w:val="zh-CN"/>
        </w:rPr>
      </w:pPr>
      <w:r>
        <w:rPr>
          <w:rFonts w:hint="eastAsia" w:hAnsi="宋体" w:cs="宋体"/>
          <w:color w:val="000000"/>
          <w:sz w:val="24"/>
          <w:szCs w:val="24"/>
          <w:highlight w:val="none"/>
          <w:lang w:val="zh-CN"/>
        </w:rPr>
        <w:t xml:space="preserve">拟投入本项目人员表</w:t>
      </w:r>
      <w:r/>
    </w:p>
    <w:tbl>
      <w:tblPr>
        <w:tblStyle w:val="909"/>
        <w:tblW w:w="98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209"/>
        <w:gridCol w:w="1360"/>
        <w:gridCol w:w="996"/>
        <w:gridCol w:w="1144"/>
        <w:gridCol w:w="1144"/>
        <w:gridCol w:w="1246"/>
        <w:gridCol w:w="1737"/>
      </w:tblGrid>
      <w:tr>
        <w:trPr>
          <w:jc w:val="center"/>
          <w:trHeight w:val="337"/>
        </w:trPr>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w:t>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w:t>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学历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09"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360"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99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144"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W w:w="17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12"/>
        <w:ind w:right="420"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28"/>
        <w:ind w:firstLine="480"/>
        <w:spacing w:line="360" w:lineRule="auto"/>
        <w:tabs>
          <w:tab w:val="left" w:pos="2880" w:leader="none"/>
        </w:tabs>
        <w:rPr>
          <w:rFonts w:hAnsi="宋体" w:cs="宋体"/>
          <w:color w:val="000000"/>
          <w:sz w:val="24"/>
          <w:szCs w:val="24"/>
          <w:highlight w:val="none"/>
        </w:rPr>
      </w:pPr>
      <w:r>
        <w:rPr>
          <w:rFonts w:hAnsi="宋体" w:cs="宋体"/>
          <w:color w:val="000000"/>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ind w:firstLine="480"/>
        <w:spacing w:before="25" w:after="25"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b/>
          <w:bCs/>
          <w:color w:val="000000"/>
          <w:sz w:val="24"/>
          <w:szCs w:val="24"/>
          <w:highlight w:val="none"/>
        </w:rPr>
        <w:t xml:space="preserve">12、企业类似业绩一览表</w:t>
      </w:r>
      <w:r/>
    </w:p>
    <w:tbl>
      <w:tblPr>
        <w:tblStyle w:val="909"/>
        <w:tblW w:w="9245"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1732"/>
        <w:gridCol w:w="2648"/>
        <w:gridCol w:w="1365"/>
        <w:gridCol w:w="1375"/>
        <w:gridCol w:w="1357"/>
      </w:tblGrid>
      <w:tr>
        <w:trPr>
          <w:jc w:val="center"/>
          <w:trHeight w:val="669"/>
        </w:trPr>
        <w:tc>
          <w:tcPr>
            <w:tcBorders>
              <w:top w:val="single" w:color="auto" w:sz="4" w:space="0"/>
              <w:left w:val="single" w:color="auto" w:sz="4" w:space="0"/>
            </w:tcBorders>
            <w:tcW w:w="76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tcBorders>
            <w:tcW w:w="1732"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项目名称</w:t>
            </w:r>
            <w:r/>
          </w:p>
        </w:tc>
        <w:tc>
          <w:tcPr>
            <w:tcBorders>
              <w:top w:val="single" w:color="auto" w:sz="4" w:space="0"/>
            </w:tcBorders>
            <w:tcW w:w="2648" w:type="dxa"/>
            <w:vAlign w:val="center"/>
            <w:textDirection w:val="lrTb"/>
            <w:noWrap w:val="false"/>
          </w:tcPr>
          <w:p>
            <w:pPr>
              <w:jc w:val="center"/>
              <w:spacing w:line="360" w:lineRule="auto"/>
              <w:tabs>
                <w:tab w:val="left" w:pos="6252" w:leader="none"/>
              </w:tabs>
              <w:rPr>
                <w:rFonts w:ascii="宋体" w:hAnsi="宋体" w:cs="宋体"/>
                <w:sz w:val="24"/>
                <w:szCs w:val="24"/>
                <w:highlight w:val="none"/>
              </w:rPr>
            </w:pPr>
            <w:r>
              <w:rPr>
                <w:rFonts w:hint="eastAsia" w:ascii="宋体" w:hAnsi="宋体" w:cs="宋体"/>
                <w:sz w:val="24"/>
                <w:szCs w:val="24"/>
                <w:highlight w:val="none"/>
              </w:rPr>
              <w:t xml:space="preserve">业主单位</w:t>
            </w:r>
            <w:r/>
          </w:p>
        </w:tc>
        <w:tc>
          <w:tcPr>
            <w:tcBorders>
              <w:top w:val="single" w:color="auto" w:sz="4" w:space="0"/>
            </w:tcBorders>
            <w:tcW w:w="1365" w:type="dxa"/>
            <w:vAlign w:val="center"/>
            <w:textDirection w:val="lrTb"/>
            <w:noWrap w:val="false"/>
          </w:tcPr>
          <w:p>
            <w:pPr>
              <w:jc w:val="center"/>
              <w:spacing w:line="360" w:lineRule="auto"/>
              <w:tabs>
                <w:tab w:val="left" w:pos="6252" w:leader="none"/>
              </w:tabs>
              <w:rPr>
                <w:rFonts w:ascii="宋体" w:hAnsi="宋体" w:cs="宋体"/>
                <w:sz w:val="24"/>
                <w:szCs w:val="24"/>
                <w:highlight w:val="none"/>
              </w:rPr>
            </w:pPr>
            <w:r>
              <w:rPr>
                <w:rFonts w:hint="eastAsia" w:ascii="宋体" w:hAnsi="宋体" w:cs="宋体"/>
                <w:sz w:val="24"/>
                <w:szCs w:val="24"/>
                <w:highlight w:val="none"/>
              </w:rPr>
              <w:t xml:space="preserve">项目时间</w:t>
            </w:r>
            <w:r/>
          </w:p>
        </w:tc>
        <w:tc>
          <w:tcPr>
            <w:tcBorders>
              <w:top w:val="single" w:color="auto" w:sz="4" w:space="0"/>
            </w:tcBorders>
            <w:tcW w:w="1375" w:type="dxa"/>
            <w:vAlign w:val="center"/>
            <w:textDirection w:val="lrTb"/>
            <w:noWrap w:val="false"/>
          </w:tcPr>
          <w:p>
            <w:pPr>
              <w:jc w:val="center"/>
              <w:spacing w:line="360" w:lineRule="auto"/>
              <w:tabs>
                <w:tab w:val="left" w:pos="6252" w:leader="none"/>
              </w:tabs>
              <w:rPr>
                <w:rFonts w:ascii="宋体" w:hAnsi="宋体" w:cs="宋体"/>
                <w:sz w:val="24"/>
                <w:szCs w:val="24"/>
                <w:highlight w:val="none"/>
              </w:rPr>
            </w:pPr>
            <w:r>
              <w:rPr>
                <w:rFonts w:hint="eastAsia" w:ascii="宋体" w:hAnsi="宋体" w:cs="宋体"/>
                <w:sz w:val="24"/>
                <w:szCs w:val="24"/>
                <w:highlight w:val="none"/>
              </w:rPr>
              <w:t xml:space="preserve">合同金额</w:t>
            </w:r>
            <w:r/>
          </w:p>
        </w:tc>
        <w:tc>
          <w:tcPr>
            <w:tcBorders>
              <w:top w:val="single" w:color="auto" w:sz="4" w:space="0"/>
              <w:right w:val="single" w:color="auto" w:sz="4" w:space="0"/>
            </w:tcBorders>
            <w:tcW w:w="1357" w:type="dxa"/>
            <w:vAlign w:val="center"/>
            <w:textDirection w:val="lrTb"/>
            <w:noWrap w:val="false"/>
          </w:tcPr>
          <w:p>
            <w:pPr>
              <w:jc w:val="center"/>
              <w:spacing w:line="360" w:lineRule="auto"/>
              <w:tabs>
                <w:tab w:val="left" w:pos="6252" w:leader="none"/>
              </w:tabs>
              <w:rPr>
                <w:rFonts w:ascii="宋体" w:hAnsi="宋体" w:cs="宋体"/>
                <w:sz w:val="24"/>
                <w:szCs w:val="24"/>
                <w:highlight w:val="none"/>
              </w:rPr>
            </w:pPr>
            <w:r>
              <w:rPr>
                <w:rFonts w:hint="eastAsia" w:ascii="宋体" w:hAnsi="宋体" w:cs="宋体"/>
                <w:sz w:val="24"/>
                <w:szCs w:val="24"/>
                <w:highlight w:val="none"/>
              </w:rPr>
              <w:t xml:space="preserve">备注</w:t>
            </w:r>
            <w:r/>
          </w:p>
        </w:tc>
      </w:tr>
      <w:tr>
        <w:trPr>
          <w:jc w:val="center"/>
          <w:trHeight w:val="559" w:hRule="exact"/>
        </w:trPr>
        <w:tc>
          <w:tcPr>
            <w:tcBorders>
              <w:left w:val="single" w:color="auto" w:sz="4" w:space="0"/>
            </w:tcBorders>
            <w:tcW w:w="76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73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2648"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65"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75"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135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59" w:hRule="exact"/>
        </w:trPr>
        <w:tc>
          <w:tcPr>
            <w:tcBorders>
              <w:left w:val="single" w:color="auto" w:sz="4" w:space="0"/>
            </w:tcBorders>
            <w:tcW w:w="76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73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2648"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65"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75"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135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59" w:hRule="exact"/>
        </w:trPr>
        <w:tc>
          <w:tcPr>
            <w:tcBorders>
              <w:left w:val="single" w:color="auto" w:sz="4" w:space="0"/>
            </w:tcBorders>
            <w:tcW w:w="76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73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2648"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65"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375"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135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jc w:val="center"/>
          <w:trHeight w:val="589" w:hRule="exact"/>
        </w:trPr>
        <w:tc>
          <w:tcPr>
            <w:tcBorders>
              <w:left w:val="single" w:color="auto" w:sz="4" w:space="0"/>
              <w:bottom w:val="single" w:color="auto" w:sz="4" w:space="0"/>
            </w:tcBorders>
            <w:tcW w:w="76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p>
        </w:tc>
        <w:tc>
          <w:tcPr>
            <w:tcBorders>
              <w:bottom w:val="single" w:color="auto" w:sz="4" w:space="0"/>
            </w:tcBorders>
            <w:tcW w:w="1732"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2648"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365" w:type="dxa"/>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375"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1357" w:type="dxa"/>
            <w:vAlign w:val="center"/>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ind w:firstLine="480"/>
        <w:spacing w:before="25" w:after="25"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13"/>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5"/>
        <w:spacing w:line="360" w:lineRule="auto"/>
        <w:rPr>
          <w:rFonts w:hAnsi="宋体" w:cs="宋体"/>
          <w:b/>
          <w:bCs/>
          <w:color w:val="000000"/>
          <w:sz w:val="24"/>
          <w:szCs w:val="24"/>
          <w:highlight w:val="none"/>
        </w:rPr>
      </w:pPr>
      <w:r>
        <w:rPr>
          <w:rFonts w:hint="eastAsia" w:hAnsi="宋体" w:cs="宋体"/>
          <w:color w:val="000000"/>
          <w:sz w:val="24"/>
          <w:szCs w:val="24"/>
          <w:highlight w:val="none"/>
        </w:rPr>
        <w:br w:type="page" w:clear="all"/>
      </w:r>
      <w:r>
        <w:rPr>
          <w:rFonts w:hint="eastAsia" w:hAnsi="宋体" w:cs="宋体"/>
          <w:b/>
          <w:bCs/>
          <w:color w:val="000000"/>
          <w:sz w:val="24"/>
          <w:szCs w:val="24"/>
          <w:highlight w:val="none"/>
        </w:rPr>
        <w:t xml:space="preserve">13、投标（响应）保证承诺书</w:t>
      </w:r>
      <w:r/>
    </w:p>
    <w:p>
      <w:pPr>
        <w:pStyle w:val="912"/>
        <w:ind w:firstLine="0"/>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580" w:lineRule="exact"/>
        <w:rPr>
          <w:rFonts w:ascii="宋体" w:hAnsi="宋体" w:cs="宋体"/>
          <w:bCs/>
          <w:color w:val="000000"/>
          <w:spacing w:val="6"/>
          <w:sz w:val="24"/>
          <w:szCs w:val="24"/>
          <w:highlight w:val="none"/>
        </w:rPr>
      </w:pPr>
      <w:r>
        <w:rPr>
          <w:rFonts w:hint="eastAsia" w:ascii="宋体" w:hAnsi="宋体" w:cs="宋体"/>
          <w:bCs/>
          <w:color w:val="000000"/>
          <w:spacing w:val="6"/>
          <w:sz w:val="24"/>
          <w:szCs w:val="24"/>
          <w:highlight w:val="none"/>
        </w:rPr>
        <w:t xml:space="preserve">投标（响应）保证承诺书</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我（单位/本人，以下统称我单位）自愿参加</w:t>
      </w:r>
      <w:r>
        <w:rPr>
          <w:rFonts w:hint="eastAsia" w:ascii="宋体" w:hAnsi="宋体" w:cs="宋体"/>
          <w:color w:val="000000"/>
          <w:sz w:val="24"/>
          <w:szCs w:val="24"/>
          <w:highlight w:val="none"/>
          <w:u w:val="single"/>
        </w:rPr>
        <w:t xml:space="preserve">              （项目名称和采购编号）</w:t>
      </w:r>
      <w:r>
        <w:rPr>
          <w:rFonts w:hint="eastAsia" w:ascii="宋体" w:hAnsi="宋体" w:cs="宋体"/>
          <w:color w:val="000000"/>
          <w:sz w:val="24"/>
          <w:szCs w:val="24"/>
          <w:highlight w:val="none"/>
        </w:rPr>
        <w:t xml:space="preserve">的投标（响应）,并做出如下承诺：</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1.自投标（响应）截止时间至本项目发布中标（成交）公告为止，撤销投标（响应）；</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2.中标（成交）后不依法与采购人签订合同；</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3.中标（成交）后不按本采购文件规定向采购人提交履约保证金（如有）；</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4.中标（成交）后不按本采购文件规定向贵方缴纳采购代理服务费。</w:t>
      </w:r>
      <w:r/>
    </w:p>
    <w:p>
      <w:pPr>
        <w:ind w:firstLine="480"/>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二、我单位知晓上述行为的法律后果，承认本承诺书作为贵方（或采购人）要求我单位履行违约赔偿义务的依据作用。</w:t>
      </w:r>
      <w:r/>
    </w:p>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投标（响应）人： （盖公章）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传真：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电子邮件：   邮编：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法定代表人或代理人(签字或签章）：                                 </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pStyle w:val="915"/>
        <w:spacing w:line="360" w:lineRule="auto"/>
        <w:rPr>
          <w:rFonts w:hAnsi="宋体" w:cs="宋体"/>
          <w:b/>
          <w:bCs/>
          <w:color w:val="000000"/>
          <w:sz w:val="24"/>
          <w:szCs w:val="24"/>
          <w:highlight w:val="none"/>
          <w:lang w:val="zh-CN"/>
        </w:rPr>
      </w:pPr>
      <w:r>
        <w:rPr>
          <w:rFonts w:hint="eastAsia" w:hAnsi="宋体" w:cs="宋体"/>
          <w:b/>
          <w:bCs/>
          <w:color w:val="000000"/>
          <w:sz w:val="24"/>
          <w:szCs w:val="24"/>
          <w:highlight w:val="none"/>
        </w:rPr>
        <w:t xml:space="preserve">14</w:t>
      </w:r>
      <w:r>
        <w:rPr>
          <w:rFonts w:hint="eastAsia" w:hAnsi="宋体" w:cs="宋体"/>
          <w:b/>
          <w:bCs/>
          <w:color w:val="000000"/>
          <w:sz w:val="24"/>
          <w:szCs w:val="24"/>
          <w:highlight w:val="none"/>
          <w:lang w:val="zh-CN"/>
        </w:rPr>
        <w:t xml:space="preserve">、中小企业声明函</w:t>
      </w:r>
      <w:r/>
    </w:p>
    <w:p>
      <w:pPr>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苏州筑程集中采购代理有限公司</w:t>
      </w:r>
      <w:r>
        <w:rPr>
          <w:rFonts w:hint="eastAsia" w:ascii="宋体" w:hAnsi="宋体" w:cs="宋体"/>
          <w:color w:val="000000"/>
          <w:sz w:val="24"/>
          <w:szCs w:val="24"/>
          <w:highlight w:val="none"/>
          <w:lang w:val="zh-CN"/>
        </w:rPr>
        <w:t xml:space="preserve">：</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cs="宋体"/>
          <w:color w:val="000000"/>
          <w:sz w:val="24"/>
          <w:szCs w:val="24"/>
          <w:highlight w:val="none"/>
          <w:u w:val="single"/>
          <w:lang w:val="zh-CN"/>
        </w:rPr>
        <w:t xml:space="preserve">（单位名称）</w:t>
      </w:r>
      <w:r>
        <w:rPr>
          <w:rFonts w:hint="eastAsia" w:ascii="宋体" w:hAnsi="宋体" w:cs="宋体"/>
          <w:color w:val="000000"/>
          <w:sz w:val="24"/>
          <w:szCs w:val="24"/>
          <w:highlight w:val="none"/>
          <w:lang w:val="zh-CN"/>
        </w:rPr>
        <w:t xml:space="preserve">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u w:val="single"/>
          <w:lang w:val="zh-CN"/>
        </w:rPr>
        <w:t xml:space="preserve">（标的名称）</w:t>
      </w:r>
      <w:r>
        <w:rPr>
          <w:rFonts w:hint="eastAsia" w:ascii="宋体" w:hAnsi="宋体" w:cs="宋体"/>
          <w:color w:val="000000"/>
          <w:sz w:val="24"/>
          <w:szCs w:val="24"/>
          <w:highlight w:val="none"/>
          <w:lang w:val="zh-CN"/>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（招标文件中明确的所属行业）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；承建（承接）企业为</w:t>
      </w:r>
      <w:r>
        <w:rPr>
          <w:rFonts w:hint="eastAsia" w:ascii="宋体" w:hAnsi="宋体" w:cs="宋体"/>
          <w:color w:val="000000"/>
          <w:sz w:val="24"/>
          <w:szCs w:val="24"/>
          <w:highlight w:val="none"/>
          <w:u w:val="single"/>
          <w:lang w:val="zh-CN"/>
        </w:rPr>
        <w:t xml:space="preserve">（企业名称）</w:t>
      </w:r>
      <w:r>
        <w:rPr>
          <w:rFonts w:hint="eastAsia" w:ascii="宋体" w:hAnsi="宋体" w:cs="宋体"/>
          <w:color w:val="000000"/>
          <w:sz w:val="24"/>
          <w:szCs w:val="24"/>
          <w:highlight w:val="none"/>
          <w:lang w:val="zh-CN"/>
        </w:rPr>
        <w:t xml:space="preserve">，从业人员</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人，营业收入为</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万元，资产总额为</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万元，属于</w:t>
      </w:r>
      <w:r>
        <w:rPr>
          <w:rFonts w:hint="eastAsia" w:ascii="宋体" w:hAnsi="宋体" w:cs="宋体"/>
          <w:color w:val="000000"/>
          <w:sz w:val="24"/>
          <w:szCs w:val="24"/>
          <w:highlight w:val="none"/>
          <w:u w:val="single"/>
          <w:lang w:val="zh-CN"/>
        </w:rPr>
        <w:t xml:space="preserve">      （中型企业、小型企业、微型企业）</w:t>
      </w:r>
      <w:r>
        <w:rPr>
          <w:rFonts w:hint="eastAsia" w:ascii="宋体" w:hAnsi="宋体" w:cs="宋体"/>
          <w:color w:val="000000"/>
          <w:sz w:val="24"/>
          <w:szCs w:val="24"/>
          <w:highlight w:val="none"/>
          <w:lang w:val="zh-CN"/>
        </w:rPr>
        <w:t xml:space="preserve">；</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u w:val="single"/>
          <w:lang w:val="zh-CN"/>
        </w:rPr>
        <w:t xml:space="preserve">（标的名称）</w:t>
      </w:r>
      <w:r>
        <w:rPr>
          <w:rFonts w:hint="eastAsia" w:ascii="宋体" w:hAnsi="宋体" w:cs="宋体"/>
          <w:color w:val="000000"/>
          <w:sz w:val="24"/>
          <w:szCs w:val="24"/>
          <w:highlight w:val="none"/>
          <w:lang w:val="zh-CN"/>
        </w:rPr>
        <w:t xml:space="preserve">，属于</w:t>
      </w:r>
      <w:r>
        <w:rPr>
          <w:rFonts w:hint="eastAsia" w:ascii="宋体" w:hAnsi="宋体" w:cs="宋体"/>
          <w:color w:val="000000"/>
          <w:sz w:val="24"/>
          <w:szCs w:val="24"/>
          <w:highlight w:val="none"/>
          <w:u w:val="single"/>
          <w:lang w:val="zh-CN"/>
        </w:rPr>
        <w:t xml:space="preserve">（采购文件中明确的所属行业）</w:t>
      </w:r>
      <w:r>
        <w:rPr>
          <w:rFonts w:hint="eastAsia" w:ascii="宋体" w:hAnsi="宋体" w:cs="宋体"/>
          <w:color w:val="000000"/>
          <w:sz w:val="24"/>
          <w:szCs w:val="24"/>
          <w:highlight w:val="none"/>
          <w:lang w:val="zh-CN"/>
        </w:rPr>
        <w:t xml:space="preserve">；承建（承接）企业为</w:t>
      </w:r>
      <w:r>
        <w:rPr>
          <w:rFonts w:hint="eastAsia" w:ascii="宋体" w:hAnsi="宋体" w:cs="宋体"/>
          <w:color w:val="000000"/>
          <w:sz w:val="24"/>
          <w:szCs w:val="24"/>
          <w:highlight w:val="none"/>
          <w:u w:val="single"/>
          <w:lang w:val="zh-CN"/>
        </w:rPr>
        <w:t xml:space="preserve">（企业名称）</w:t>
      </w:r>
      <w:r>
        <w:rPr>
          <w:rFonts w:hint="eastAsia" w:ascii="宋体" w:hAnsi="宋体" w:cs="宋体"/>
          <w:color w:val="000000"/>
          <w:sz w:val="24"/>
          <w:szCs w:val="24"/>
          <w:highlight w:val="none"/>
          <w:lang w:val="zh-CN"/>
        </w:rPr>
        <w:t xml:space="preserve">，从业人员</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人，营业收入为</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万元，资产总额为</w:t>
      </w:r>
      <w:r>
        <w:rPr>
          <w:rFonts w:hint="eastAsia" w:ascii="宋体" w:hAnsi="宋体" w:cs="宋体"/>
          <w:color w:val="000000"/>
          <w:sz w:val="24"/>
          <w:szCs w:val="24"/>
          <w:highlight w:val="none"/>
        </w:rPr>
        <w:t xml:space="preserve">________</w:t>
      </w:r>
      <w:r>
        <w:rPr>
          <w:rFonts w:hint="eastAsia" w:ascii="宋体" w:hAnsi="宋体" w:cs="宋体"/>
          <w:color w:val="000000"/>
          <w:sz w:val="24"/>
          <w:szCs w:val="24"/>
          <w:highlight w:val="none"/>
          <w:lang w:val="zh-CN"/>
        </w:rPr>
        <w:t xml:space="preserve">万元，属于</w:t>
      </w:r>
      <w:r>
        <w:rPr>
          <w:rFonts w:hint="eastAsia" w:ascii="宋体" w:hAnsi="宋体" w:cs="宋体"/>
          <w:color w:val="000000"/>
          <w:sz w:val="24"/>
          <w:szCs w:val="24"/>
          <w:highlight w:val="none"/>
          <w:u w:val="single"/>
          <w:lang w:val="zh-CN"/>
        </w:rPr>
        <w:t xml:space="preserve">       （中型企业、小型企业、微型企业）</w:t>
      </w:r>
      <w:r>
        <w:rPr>
          <w:rFonts w:hint="eastAsia" w:ascii="宋体" w:hAnsi="宋体" w:cs="宋体"/>
          <w:color w:val="000000"/>
          <w:sz w:val="24"/>
          <w:szCs w:val="24"/>
          <w:highlight w:val="none"/>
          <w:lang w:val="zh-CN"/>
        </w:rPr>
        <w:t xml:space="preserve">；</w:t>
      </w:r>
      <w:r/>
    </w:p>
    <w:p>
      <w:pPr>
        <w:ind w:firstLine="72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p>
    <w:p>
      <w:pPr>
        <w:ind w:firstLine="72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以上企业，不属于大企业的分支机构，不存在控股股东为大企业的情形，也不存在与大企业的负责人为同一人的情形。</w:t>
      </w:r>
      <w:r/>
    </w:p>
    <w:p>
      <w:pPr>
        <w:ind w:firstLine="72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本企业对上述声明内容的真实性负责。如有虚假，将依法承担相应责任。</w:t>
      </w:r>
      <w:r/>
    </w:p>
    <w:p>
      <w:pPr>
        <w:ind w:firstLine="492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企业名称（盖章）：</w:t>
      </w:r>
      <w:r/>
    </w:p>
    <w:p>
      <w:pPr>
        <w:ind w:firstLine="49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日期：</w:t>
      </w:r>
      <w:r/>
    </w:p>
    <w:p>
      <w:pPr>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5、成交供应商为中小企业的，《中小企业声明函》将随成交结果同时公告。</w:t>
      </w:r>
      <w:r>
        <w:rPr>
          <w:rFonts w:hint="eastAsia" w:ascii="宋体" w:hAnsi="宋体" w:cs="宋体"/>
          <w:color w:val="000000"/>
          <w:sz w:val="24"/>
          <w:szCs w:val="24"/>
          <w:highlight w:val="none"/>
        </w:rPr>
        <w:br w:type="page" w:clear="all"/>
      </w:r>
      <w:r>
        <w:rPr>
          <w:rFonts w:hint="eastAsia" w:ascii="宋体" w:hAnsi="宋体" w:cs="宋体"/>
          <w:b/>
          <w:color w:val="000000"/>
          <w:sz w:val="24"/>
          <w:szCs w:val="24"/>
          <w:highlight w:val="none"/>
        </w:rPr>
        <w:t xml:space="preserve">附：中小企业划型标准规定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（一）农、林、牧、渔业。</w:t>
      </w:r>
      <w:r>
        <w:rPr>
          <w:rFonts w:hint="eastAsia" w:ascii="宋体"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（二）工业。</w:t>
      </w:r>
      <w:r>
        <w:rPr>
          <w:rFonts w:hint="eastAsia" w:ascii="宋体"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（三）建筑业。</w:t>
      </w:r>
      <w:r>
        <w:rPr>
          <w:rFonts w:hint="eastAsia" w:ascii="宋体"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（四）批发业。</w:t>
      </w:r>
      <w:r>
        <w:rPr>
          <w:rFonts w:hint="eastAsia" w:ascii="宋体"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（五）零售业。</w:t>
      </w:r>
      <w:r>
        <w:rPr>
          <w:rFonts w:hint="eastAsia" w:ascii="宋体"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（六）交通运输业。</w:t>
      </w:r>
      <w:r>
        <w:rPr>
          <w:rFonts w:hint="eastAsia" w:ascii="宋体"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（七）仓储业。</w:t>
      </w:r>
      <w:r>
        <w:rPr>
          <w:rFonts w:hint="eastAsia" w:ascii="宋体"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（八）邮政业。</w:t>
      </w:r>
      <w:r>
        <w:rPr>
          <w:rFonts w:hint="eastAsia" w:ascii="宋体"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（九）住宿业。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（十）餐饮业。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（十一）信息传输业。</w:t>
      </w:r>
      <w:r>
        <w:rPr>
          <w:rFonts w:hint="eastAsia" w:ascii="宋体"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（十二）软件和信息技术服务业。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（十三）房地产开发经营。</w:t>
      </w:r>
      <w:r>
        <w:rPr>
          <w:rFonts w:hint="eastAsia" w:ascii="宋体"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（十四）物业管理。</w:t>
      </w:r>
      <w:r>
        <w:rPr>
          <w:rFonts w:hint="eastAsia" w:ascii="宋体" w:hAnsi="宋体" w:cs="宋体"/>
          <w:color w:val="000000"/>
          <w:sz w:val="24"/>
          <w:szCs w:val="24"/>
          <w:highlight w:val="none"/>
        </w:rPr>
        <w:t xml:space="preserve">从业人员1000人以下或营业收入5000万元以下的为中小微型企业。其中，从业人员</w:t>
      </w:r>
      <w:r/>
    </w:p>
    <w:p>
      <w:p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（十五）租赁和商务服务业。</w:t>
      </w:r>
      <w:r>
        <w:rPr>
          <w:rFonts w:hint="eastAsia" w:ascii="宋体"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（十六）其他未列明行业。</w:t>
      </w:r>
      <w:r>
        <w:rPr>
          <w:rFonts w:hint="eastAsia" w:ascii="宋体"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15、残疾人福利性单位声明函</w:t>
      </w:r>
      <w:r/>
    </w:p>
    <w:p>
      <w:p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本单位对上述声明的真实性负责。如有虚假，将依法承担相应责任。</w:t>
      </w:r>
      <w:r/>
    </w:p>
    <w:p>
      <w:p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sz w:val="24"/>
          <w:szCs w:val="24"/>
          <w:highlight w:val="none"/>
        </w:rPr>
        <w:t xml:space="preserve">供应商名称</w:t>
      </w:r>
      <w:r>
        <w:rPr>
          <w:rFonts w:hint="eastAsia" w:ascii="宋体" w:hAnsi="宋体" w:cs="宋体"/>
          <w:color w:val="000000"/>
          <w:sz w:val="24"/>
          <w:szCs w:val="24"/>
          <w:highlight w:val="none"/>
        </w:rPr>
        <w:t xml:space="preserve">（盖章）：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p>
    <w:p>
      <w:pPr>
        <w:pStyle w:val="912"/>
        <w:ind w:right="420"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928"/>
        <w:spacing w:line="360" w:lineRule="auto"/>
        <w:rPr>
          <w:rFonts w:hAnsi="宋体" w:cs="宋体"/>
          <w:color w:val="000000"/>
          <w:sz w:val="24"/>
          <w:szCs w:val="24"/>
          <w:highlight w:val="none"/>
        </w:rPr>
      </w:pPr>
      <w:r>
        <w:rPr>
          <w:rFonts w:hAnsi="宋体" w:cs="宋体"/>
          <w:color w:val="000000"/>
          <w:sz w:val="24"/>
          <w:szCs w:val="24"/>
          <w:highlight w:val="none"/>
        </w:rPr>
      </w:r>
      <w:r/>
    </w:p>
    <w:p>
      <w:pPr>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928"/>
        <w:spacing w:line="360" w:lineRule="auto"/>
        <w:rPr>
          <w:rFonts w:hAnsi="宋体" w:cs="宋体"/>
          <w:b/>
          <w:bCs/>
          <w:color w:val="000000"/>
          <w:sz w:val="24"/>
          <w:szCs w:val="24"/>
          <w:highlight w:val="none"/>
        </w:rPr>
      </w:pPr>
      <w:r>
        <w:rPr>
          <w:rFonts w:hAnsi="宋体" w:cs="宋体"/>
          <w:b/>
          <w:bCs/>
          <w:color w:val="000000"/>
          <w:sz w:val="24"/>
          <w:szCs w:val="24"/>
          <w:highlight w:val="none"/>
        </w:rPr>
      </w:r>
      <w:r/>
    </w:p>
    <w:p>
      <w:pPr>
        <w:pStyle w:val="928"/>
        <w:spacing w:line="360" w:lineRule="auto"/>
        <w:rPr>
          <w:rFonts w:hAnsi="宋体" w:cs="宋体"/>
          <w:b/>
          <w:bCs/>
          <w:color w:val="000000"/>
          <w:sz w:val="24"/>
          <w:szCs w:val="24"/>
          <w:highlight w:val="none"/>
        </w:rPr>
      </w:pPr>
      <w:r>
        <w:rPr>
          <w:rFonts w:hAnsi="宋体" w:cs="宋体"/>
          <w:b/>
          <w:bCs/>
          <w:color w:val="000000"/>
          <w:sz w:val="24"/>
          <w:szCs w:val="24"/>
          <w:highlight w:val="none"/>
        </w:rPr>
      </w:r>
      <w:r/>
    </w:p>
    <w:p>
      <w:pPr>
        <w:pStyle w:val="928"/>
        <w:spacing w:line="360" w:lineRule="auto"/>
        <w:rPr>
          <w:rFonts w:hAnsi="宋体" w:cs="宋体"/>
          <w:b/>
          <w:bCs/>
          <w:color w:val="000000"/>
          <w:sz w:val="24"/>
          <w:szCs w:val="24"/>
          <w:highlight w:val="none"/>
        </w:rPr>
      </w:pPr>
      <w:r>
        <w:rPr>
          <w:rFonts w:hAnsi="宋体" w:cs="宋体"/>
          <w:b/>
          <w:bCs/>
          <w:color w:val="000000"/>
          <w:sz w:val="24"/>
          <w:szCs w:val="24"/>
          <w:highlight w:val="none"/>
        </w:rPr>
      </w:r>
      <w:r/>
    </w:p>
    <w:p>
      <w:pPr>
        <w:pStyle w:val="928"/>
        <w:spacing w:line="360" w:lineRule="auto"/>
        <w:rPr>
          <w:rFonts w:hAnsi="宋体" w:cs="宋体"/>
          <w:b/>
          <w:bCs/>
          <w:color w:val="000000"/>
          <w:sz w:val="24"/>
          <w:szCs w:val="24"/>
          <w:highlight w:val="none"/>
        </w:rPr>
      </w:pPr>
      <w:r>
        <w:rPr>
          <w:rFonts w:hAnsi="宋体" w:cs="宋体"/>
          <w:b/>
          <w:bCs/>
          <w:color w:val="000000"/>
          <w:sz w:val="24"/>
          <w:szCs w:val="24"/>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spacing w:line="44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16、关于响应报价合理性的澄清说明</w:t>
      </w:r>
      <w:r/>
    </w:p>
    <w:p>
      <w:pPr>
        <w:ind w:firstLine="420"/>
        <w:jc w:val="center"/>
        <w:rPr>
          <w:rFonts w:ascii="宋体" w:hAnsi="宋体"/>
          <w:b/>
          <w:color w:val="ff0000"/>
          <w:szCs w:val="21"/>
          <w:highlight w:val="none"/>
        </w:rPr>
      </w:pPr>
      <w:r>
        <w:rPr>
          <w:rFonts w:ascii="宋体" w:hAnsi="宋体"/>
          <w:b/>
          <w:color w:val="ff0000"/>
          <w:szCs w:val="21"/>
          <w:highlight w:val="none"/>
        </w:rPr>
      </w:r>
      <w:r/>
    </w:p>
    <w:p>
      <w:pPr>
        <w:ind w:firstLine="420"/>
        <w:jc w:val="center"/>
        <w:rPr>
          <w:rFonts w:ascii="宋体" w:hAnsi="宋体" w:cs="宋体"/>
          <w:b/>
          <w:color w:val="ff0000"/>
          <w:szCs w:val="21"/>
          <w:highlight w:val="none"/>
        </w:rPr>
      </w:pPr>
      <w:r>
        <w:rPr>
          <w:rFonts w:ascii="宋体" w:hAnsi="宋体" w:cs="宋体"/>
          <w:b/>
          <w:color w:val="ff0000"/>
          <w:szCs w:val="21"/>
          <w:highlight w:val="none"/>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关于响应报价合理性的澄清说明</w:t>
      </w:r>
      <w:r/>
    </w:p>
    <w:p>
      <w:pPr>
        <w:jc w:val="left"/>
        <w:spacing w:line="360"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苏州筑程集中采购代理有限公司</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本公司愿就由贵中心组织实施的编号为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号（项目编号）的采购活动进行响应，对于本公司的响应报价合理性作出说明如下：</w:t>
      </w:r>
      <w:r/>
    </w:p>
    <w:tbl>
      <w:tblPr>
        <w:tblStyle w:val="909"/>
        <w:tblW w:w="96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5"/>
      </w:tblGrid>
      <w:tr>
        <w:trPr>
          <w:trHeight w:val="3940"/>
        </w:trPr>
        <w:tc>
          <w:tcPr>
            <w:tcW w:w="9685" w:type="dxa"/>
            <w:vAlign w:val="center"/>
            <w:textDirection w:val="lrTb"/>
            <w:noWrap w:val="false"/>
          </w:tcPr>
          <w:p>
            <w:pPr>
              <w:jc w:val="center"/>
              <w:spacing w:line="600" w:lineRule="auto"/>
              <w:rPr>
                <w:rFonts w:ascii="宋体" w:hAnsi="宋体" w:cs="宋体"/>
                <w:b/>
                <w:color w:val="ff0000"/>
                <w:szCs w:val="21"/>
                <w:highlight w:val="none"/>
                <w:shd w:val="pct10" w:color="auto" w:fill="ffffff"/>
              </w:rPr>
            </w:pPr>
            <w:r>
              <w:rPr>
                <w:rFonts w:hint="eastAsia" w:ascii="宋体" w:hAnsi="宋体" w:cs="宋体"/>
                <w:b/>
                <w:color w:val="ff0000"/>
                <w:szCs w:val="21"/>
                <w:highlight w:val="none"/>
              </w:rPr>
              <w:t xml:space="preserve">供应商应当根据实际情况自拟答复并根据磋商小组关于澄清的要求提供相关证明材料作为附件。</w:t>
            </w:r>
            <w:r/>
          </w:p>
        </w:tc>
      </w:tr>
    </w:tbl>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bookmarkStart w:id="13" w:name="OLE_LINK26"/>
      <w:r/>
      <w:bookmarkStart w:id="14" w:name="OLE_LINK29"/>
      <w:r/>
      <w:bookmarkStart w:id="15" w:name="OLE_LINK21"/>
      <w:r/>
      <w:bookmarkStart w:id="16" w:name="OLE_LINK24"/>
      <w:r/>
      <w:bookmarkStart w:id="17" w:name="OLE_LINK23"/>
      <w:r/>
      <w:bookmarkStart w:id="18" w:name="OLE_LINK30"/>
      <w:r>
        <w:rPr>
          <w:rFonts w:hint="eastAsia" w:ascii="宋体" w:hAnsi="宋体" w:cs="宋体"/>
          <w:b/>
          <w:color w:val="000000" w:themeColor="text1"/>
          <w:szCs w:val="21"/>
          <w:highlight w:val="none"/>
          <w:lang w:val="zh-CN"/>
          <w14:textFill>
            <w14:solidFill>
              <w14:schemeClr w14:val="tx1"/>
            </w14:solidFill>
          </w14:textFill>
        </w:rPr>
        <w:t xml:space="preserve">备注:</w:t>
      </w:r>
      <w:bookmarkStart w:id="19" w:name="OLE_LINK12"/>
      <w:r>
        <w:rPr>
          <w:rFonts w:hint="eastAsia" w:ascii="宋体" w:hAnsi="宋体" w:cs="宋体"/>
          <w:b/>
          <w:color w:val="000000" w:themeColor="text1"/>
          <w:szCs w:val="21"/>
          <w:highlight w:val="none"/>
          <w:lang w:val="zh-CN"/>
          <w14:textFill>
            <w14:solidFill>
              <w14:schemeClr w14:val="tx1"/>
            </w14:solidFill>
          </w14:textFill>
        </w:rPr>
        <w:t xml:space="preserve">根据</w:t>
      </w:r>
      <w:r>
        <w:rPr>
          <w:rFonts w:hint="eastAsia" w:ascii="宋体" w:hAnsi="宋体" w:cs="宋体"/>
          <w:b/>
          <w:color w:val="000000" w:themeColor="text1"/>
          <w:szCs w:val="21"/>
          <w:highlight w:val="none"/>
          <w14:textFill>
            <w14:solidFill>
              <w14:schemeClr w14:val="tx1"/>
            </w14:solidFill>
          </w14:textFill>
        </w:rPr>
        <w:t xml:space="preserve">采购文件第四章“磋商须知”要求</w:t>
      </w:r>
      <w:r>
        <w:rPr>
          <w:rFonts w:hint="eastAsia" w:ascii="宋体" w:hAnsi="宋体" w:cs="宋体"/>
          <w:b/>
          <w:color w:val="000000" w:themeColor="text1"/>
          <w:szCs w:val="21"/>
          <w:highlight w:val="none"/>
          <w:lang w:val="zh-CN"/>
          <w14:textFill>
            <w14:solidFill>
              <w14:schemeClr w14:val="tx1"/>
            </w14:solidFill>
          </w14:textFill>
        </w:rPr>
        <w:t xml:space="preserve">，在评审过程中当出现响应报价低于采购项目预算50%或者响应报价低于采购项目最高限价45%</w:t>
      </w:r>
      <w:bookmarkEnd w:id="19"/>
      <w:r>
        <w:rPr>
          <w:rFonts w:hint="eastAsia" w:ascii="宋体" w:hAnsi="宋体" w:cs="宋体"/>
          <w:b/>
          <w:color w:val="000000" w:themeColor="text1"/>
          <w:szCs w:val="21"/>
          <w:highlight w:val="none"/>
          <w:lang w:val="zh-CN"/>
          <w14:textFill>
            <w14:solidFill>
              <w14:schemeClr w14:val="tx1"/>
            </w14:solidFill>
          </w14:textFill>
        </w:rPr>
        <w:t xml:space="preserve">或者</w:t>
      </w:r>
      <w:bookmarkStart w:id="20" w:name="OLE_LINK25"/>
      <w:r>
        <w:rPr>
          <w:rFonts w:hint="eastAsia" w:ascii="宋体" w:hAnsi="宋体" w:cs="宋体"/>
          <w:b/>
          <w:color w:val="000000" w:themeColor="text1"/>
          <w:szCs w:val="21"/>
          <w:highlight w:val="none"/>
          <w:lang w:val="zh-CN"/>
          <w14:textFill>
            <w14:solidFill>
              <w14:schemeClr w14:val="tx1"/>
            </w14:solidFill>
          </w14:textFill>
        </w:rPr>
        <w:t xml:space="preserve">磋商小组</w:t>
      </w:r>
      <w:bookmarkEnd w:id="20"/>
      <w:r>
        <w:rPr>
          <w:rFonts w:hint="eastAsia" w:ascii="宋体" w:hAnsi="宋体" w:cs="宋体"/>
          <w:b/>
          <w:color w:val="000000" w:themeColor="text1"/>
          <w:szCs w:val="21"/>
          <w:highlight w:val="none"/>
          <w:lang w:val="zh-CN"/>
          <w14:textFill>
            <w14:solidFill>
              <w14:schemeClr w14:val="tx1"/>
            </w14:solidFill>
          </w14:textFill>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21" w:name="OLE_LINK6"/>
      <w:r/>
      <w:bookmarkStart w:id="22" w:name="OLE_LINK11"/>
      <w:r>
        <w:rPr>
          <w:rFonts w:hint="eastAsia" w:ascii="宋体" w:hAnsi="宋体" w:cs="宋体"/>
          <w:b/>
          <w:color w:val="000000" w:themeColor="text1"/>
          <w:szCs w:val="21"/>
          <w:highlight w:val="none"/>
          <w:lang w:val="zh-CN"/>
          <w14:textFill>
            <w14:solidFill>
              <w14:schemeClr w14:val="tx1"/>
            </w14:solidFill>
          </w14:textFill>
        </w:rPr>
        <w:t xml:space="preserve">报价</w:t>
      </w:r>
      <w:bookmarkEnd w:id="21"/>
      <w:r/>
      <w:bookmarkEnd w:id="22"/>
      <w:r>
        <w:rPr>
          <w:rFonts w:hint="eastAsia" w:ascii="宋体" w:hAnsi="宋体" w:cs="宋体"/>
          <w:b/>
          <w:color w:val="000000" w:themeColor="text1"/>
          <w:szCs w:val="21"/>
          <w:highlight w:val="none"/>
          <w:lang w:val="zh-CN"/>
          <w14:textFill>
            <w14:solidFill>
              <w14:schemeClr w14:val="tx1"/>
            </w14:solidFill>
          </w14:textFill>
        </w:rPr>
        <w:t xml:space="preserve">合理性的，磋商小组应当将其作为无效响应处理。</w:t>
      </w:r>
      <w:bookmarkEnd w:id="13"/>
      <w:r/>
      <w:bookmarkEnd w:id="14"/>
      <w:r/>
      <w:bookmarkEnd w:id="15"/>
      <w:r/>
      <w:bookmarkEnd w:id="16"/>
      <w:r/>
      <w:bookmarkEnd w:id="17"/>
      <w:r/>
      <w:bookmarkEnd w:id="18"/>
      <w:r/>
      <w:r/>
    </w:p>
    <w:p>
      <w:pPr>
        <w:ind w:firstLine="483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83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800"/>
        <w:jc w:val="left"/>
        <w:spacing w:line="360" w:lineRule="auto"/>
        <w:rPr>
          <w:rFonts w:ascii="宋体" w:hAnsi="宋体" w:cs="宋体"/>
          <w:color w:val="000000"/>
          <w:szCs w:val="21"/>
          <w:highlight w:val="none"/>
        </w:rPr>
      </w:pPr>
      <w:r>
        <w:rPr>
          <w:rFonts w:hint="eastAsia" w:ascii="宋体" w:hAnsi="宋体" w:cs="宋体"/>
          <w:sz w:val="24"/>
          <w:szCs w:val="24"/>
          <w:highlight w:val="none"/>
        </w:rPr>
        <w:t xml:space="preserve">供应商名称</w:t>
      </w:r>
      <w:r>
        <w:rPr>
          <w:rFonts w:hint="eastAsia" w:ascii="宋体" w:hAnsi="宋体" w:cs="宋体"/>
          <w:color w:val="000000"/>
          <w:szCs w:val="21"/>
          <w:highlight w:val="none"/>
        </w:rPr>
        <w:t xml:space="preserve">（盖章）：</w:t>
      </w:r>
      <w:r/>
    </w:p>
    <w:p>
      <w:pPr>
        <w:ind w:firstLine="483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ind w:firstLine="483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日期:     年     月     日  </w:t>
      </w:r>
      <w:r/>
    </w:p>
    <w:p>
      <w:pPr>
        <w:pStyle w:val="914"/>
        <w:rPr>
          <w:highlight w:val="none"/>
        </w:rPr>
      </w:pPr>
      <w:r>
        <w:rPr>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jc w:val="center"/>
        <w:spacing w:line="360" w:lineRule="auto"/>
        <w:rPr>
          <w:rFonts w:ascii="宋体" w:hAnsi="宋体" w:cs="宋体"/>
          <w:b/>
          <w:color w:val="000000"/>
          <w:sz w:val="24"/>
          <w:szCs w:val="24"/>
          <w:highlight w:val="none"/>
        </w:rPr>
        <w:outlineLvl w:val="0"/>
      </w:pPr>
      <w:r/>
      <w:bookmarkStart w:id="23" w:name="_Toc2836"/>
      <w:r>
        <w:rPr>
          <w:rFonts w:hint="eastAsia" w:ascii="宋体" w:hAnsi="宋体" w:cs="宋体"/>
          <w:b/>
          <w:color w:val="000000"/>
          <w:sz w:val="24"/>
          <w:szCs w:val="24"/>
          <w:highlight w:val="none"/>
        </w:rPr>
        <w:t xml:space="preserve">第四章 采购需求</w:t>
      </w:r>
      <w:bookmarkEnd w:id="23"/>
      <w:r/>
      <w:r/>
    </w:p>
    <w:p>
      <w:pPr>
        <w:ind w:firstLine="480"/>
        <w:spacing w:line="360" w:lineRule="auto"/>
        <w:rPr>
          <w:rFonts w:ascii="宋体" w:cs="宋体"/>
          <w:color w:val="000000"/>
          <w:sz w:val="24"/>
          <w:szCs w:val="24"/>
          <w:highlight w:val="none"/>
        </w:rPr>
      </w:pPr>
      <w:r>
        <w:rPr>
          <w:rFonts w:hint="eastAsia" w:ascii="宋体" w:cs="宋体"/>
          <w:color w:val="000000"/>
          <w:sz w:val="24"/>
          <w:szCs w:val="24"/>
          <w:highlight w:val="none"/>
        </w:rPr>
        <w:t xml:space="preserve">苏州筑程集中采购代理有限公司受江苏省苏州市中级人民法院委托，对其要求采购的苏州两级法院电子卷宗集中编目服务项目进行公开招标，欢迎符合资格条件和具备履约能力的供应商单位前来参与。</w:t>
      </w:r>
      <w:r/>
    </w:p>
    <w:p>
      <w:pPr>
        <w:numPr>
          <w:ilvl w:val="0"/>
          <w:numId w:val="4"/>
        </w:num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采购编号：</w:t>
      </w:r>
      <w:r>
        <w:rPr>
          <w:rFonts w:hint="eastAsia" w:ascii="宋体" w:hAnsi="宋体" w:cs="宋体"/>
          <w:color w:val="000000"/>
          <w:sz w:val="24"/>
          <w:szCs w:val="24"/>
          <w:highlight w:val="none"/>
        </w:rPr>
        <w:t xml:space="preserve">JSZC-320500-ZCJC-C2026-0002号</w:t>
      </w:r>
      <w:r/>
    </w:p>
    <w:p>
      <w:pPr>
        <w:numPr>
          <w:ilvl w:val="0"/>
          <w:numId w:val="4"/>
        </w:numPr>
        <w:ind w:firstLine="480"/>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项目名称：</w:t>
      </w:r>
      <w:r>
        <w:rPr>
          <w:rFonts w:hint="eastAsia" w:ascii="宋体" w:hAnsi="宋体" w:cs="宋体"/>
          <w:color w:val="000000"/>
          <w:sz w:val="24"/>
          <w:szCs w:val="24"/>
          <w:highlight w:val="none"/>
        </w:rPr>
        <w:t xml:space="preserve">苏州两级法院电子卷宗集中编目服务</w:t>
      </w:r>
      <w:r/>
    </w:p>
    <w:p>
      <w:pPr>
        <w:numPr>
          <w:ilvl w:val="0"/>
          <w:numId w:val="4"/>
        </w:num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项目预算（最高限价）：</w:t>
      </w:r>
      <w:r>
        <w:rPr>
          <w:rFonts w:hint="eastAsia" w:ascii="宋体" w:hAnsi="宋体" w:cs="宋体"/>
          <w:color w:val="000000"/>
          <w:sz w:val="24"/>
          <w:szCs w:val="24"/>
          <w:highlight w:val="none"/>
        </w:rPr>
        <w:t xml:space="preserve">人民币贰佰肆拾万元整（￥2400000.00元）</w:t>
      </w:r>
      <w:r/>
    </w:p>
    <w:p>
      <w:pPr>
        <w:numPr>
          <w:ilvl w:val="0"/>
          <w:numId w:val="4"/>
        </w:num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采购需求：</w:t>
      </w:r>
      <w:r/>
    </w:p>
    <w:p>
      <w:pPr>
        <w:numPr>
          <w:ilvl w:val="0"/>
          <w:numId w:val="5"/>
        </w:numPr>
        <w:jc w:val="left"/>
        <w:spacing w:before="60" w:after="60" w:line="360" w:lineRule="auto"/>
        <w:rPr>
          <w:rFonts w:ascii="宋体" w:hAnsi="宋体" w:cs="宋体"/>
          <w:b/>
          <w:bCs/>
          <w:sz w:val="24"/>
          <w:szCs w:val="24"/>
          <w:highlight w:val="none"/>
        </w:rPr>
        <w:outlineLvl w:val="1"/>
      </w:pPr>
      <w:r/>
      <w:bookmarkStart w:id="24" w:name="_Toc11789"/>
      <w:r/>
      <w:bookmarkStart w:id="25" w:name="_Hlk55741158"/>
      <w:r/>
      <w:bookmarkStart w:id="26" w:name="_Toc5111"/>
      <w:r>
        <w:rPr>
          <w:rFonts w:hint="eastAsia" w:ascii="宋体" w:hAnsi="宋体" w:cs="宋体"/>
          <w:b/>
          <w:bCs/>
          <w:sz w:val="24"/>
          <w:szCs w:val="24"/>
          <w:highlight w:val="none"/>
        </w:rPr>
        <w:t xml:space="preserve">采购清单</w:t>
      </w:r>
      <w:r/>
    </w:p>
    <w:p>
      <w:pPr>
        <w:ind w:left="210"/>
        <w:jc w:val="center"/>
        <w:spacing w:line="360" w:lineRule="auto"/>
        <w:rPr>
          <w:rFonts w:ascii="宋体" w:cs="宋体"/>
          <w:sz w:val="24"/>
          <w:szCs w:val="24"/>
          <w:highlight w:val="none"/>
        </w:rPr>
      </w:pPr>
      <w:r>
        <w:rPr>
          <w:rFonts w:hint="eastAsia" w:ascii="宋体" w:cs="宋体"/>
          <w:sz w:val="24"/>
          <w:szCs w:val="24"/>
          <w:highlight w:val="none"/>
        </w:rPr>
        <w:t xml:space="preserve">苏州两级法院电子卷宗集中编目服务分摊金额测算表</w:t>
      </w:r>
      <w:r/>
    </w:p>
    <w:tbl>
      <w:tblPr>
        <w:tblStyle w:val="909"/>
        <w:tblW w:w="837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032"/>
        <w:gridCol w:w="2126"/>
        <w:gridCol w:w="3261"/>
      </w:tblGrid>
      <w:tr>
        <w:trPr>
          <w:jc w:val="center"/>
          <w:trHeight w:val="585"/>
        </w:trPr>
        <w:tc>
          <w:tcPr>
            <w:tcW w:w="960" w:type="dxa"/>
            <w:vAlign w:val="center"/>
            <w:textDirection w:val="lrTb"/>
            <w:noWrap w:val="false"/>
          </w:tcPr>
          <w:p>
            <w:pPr>
              <w:jc w:val="center"/>
              <w:widowControl/>
              <w:rPr>
                <w:rFonts w:ascii="黑体" w:hAnsi="黑体" w:eastAsia="黑体" w:cs="宋体"/>
                <w:color w:val="000000"/>
                <w:szCs w:val="21"/>
                <w:highlight w:val="none"/>
              </w:rPr>
            </w:pPr>
            <w:r>
              <w:rPr>
                <w:rFonts w:hint="eastAsia" w:ascii="黑体" w:hAnsi="黑体" w:eastAsia="黑体" w:cs="宋体"/>
                <w:color w:val="000000"/>
                <w:szCs w:val="21"/>
                <w:highlight w:val="none"/>
              </w:rPr>
              <w:t xml:space="preserve">序号</w:t>
            </w:r>
            <w:r/>
          </w:p>
        </w:tc>
        <w:tc>
          <w:tcPr>
            <w:tcW w:w="2032" w:type="dxa"/>
            <w:vAlign w:val="center"/>
            <w:textDirection w:val="lrTb"/>
            <w:noWrap w:val="false"/>
          </w:tcPr>
          <w:p>
            <w:pPr>
              <w:jc w:val="center"/>
              <w:widowControl/>
              <w:rPr>
                <w:rFonts w:ascii="黑体" w:hAnsi="黑体" w:eastAsia="黑体" w:cs="宋体"/>
                <w:color w:val="000000"/>
                <w:szCs w:val="21"/>
                <w:highlight w:val="none"/>
              </w:rPr>
            </w:pPr>
            <w:r>
              <w:rPr>
                <w:rFonts w:hint="eastAsia" w:ascii="黑体" w:hAnsi="黑体" w:eastAsia="黑体" w:cs="宋体"/>
                <w:color w:val="000000"/>
                <w:szCs w:val="21"/>
                <w:highlight w:val="none"/>
              </w:rPr>
              <w:t xml:space="preserve">法院</w:t>
            </w:r>
            <w:r/>
          </w:p>
        </w:tc>
        <w:tc>
          <w:tcPr>
            <w:tcW w:w="2126" w:type="dxa"/>
            <w:vAlign w:val="center"/>
            <w:textDirection w:val="lrTb"/>
            <w:noWrap w:val="false"/>
          </w:tcPr>
          <w:p>
            <w:pPr>
              <w:jc w:val="center"/>
              <w:widowControl/>
              <w:rPr>
                <w:rFonts w:ascii="黑体" w:hAnsi="黑体" w:eastAsia="黑体"/>
                <w:color w:val="000000"/>
                <w:szCs w:val="21"/>
                <w:highlight w:val="none"/>
              </w:rPr>
            </w:pPr>
            <w:r>
              <w:rPr>
                <w:rFonts w:ascii="黑体" w:hAnsi="黑体" w:eastAsia="黑体"/>
                <w:color w:val="000000"/>
                <w:szCs w:val="21"/>
                <w:highlight w:val="none"/>
              </w:rPr>
              <w:t xml:space="preserve">编目页数</w:t>
            </w:r>
            <w:r/>
          </w:p>
        </w:tc>
        <w:tc>
          <w:tcPr>
            <w:tcW w:w="3261" w:type="dxa"/>
            <w:vAlign w:val="center"/>
            <w:textDirection w:val="lrTb"/>
            <w:noWrap w:val="false"/>
          </w:tcPr>
          <w:p>
            <w:pPr>
              <w:jc w:val="center"/>
              <w:widowControl/>
              <w:rPr>
                <w:rFonts w:ascii="黑体" w:hAnsi="黑体" w:eastAsia="黑体"/>
                <w:color w:val="000000"/>
                <w:szCs w:val="21"/>
                <w:highlight w:val="none"/>
              </w:rPr>
            </w:pPr>
            <w:r>
              <w:rPr>
                <w:rFonts w:hint="eastAsia" w:ascii="黑体" w:hAnsi="黑体" w:eastAsia="黑体"/>
                <w:color w:val="000000"/>
                <w:szCs w:val="21"/>
                <w:highlight w:val="none"/>
              </w:rPr>
              <w:t xml:space="preserve">预算额度（万元）</w:t>
            </w:r>
            <w:r/>
          </w:p>
        </w:tc>
      </w:tr>
      <w:tr>
        <w:trPr>
          <w:jc w:val="center"/>
          <w:trHeight w:val="377"/>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苏州中院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3247000 </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17.376</w:t>
            </w:r>
            <w:r/>
          </w:p>
        </w:tc>
      </w:tr>
      <w:tr>
        <w:trPr>
          <w:jc w:val="center"/>
          <w:trHeight w:val="426"/>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姑苏区法院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4338000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23.136</w:t>
            </w:r>
            <w:r/>
          </w:p>
        </w:tc>
      </w:tr>
      <w:tr>
        <w:trPr>
          <w:jc w:val="center"/>
          <w:trHeight w:val="404"/>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虎丘区法院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2799000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14.928</w:t>
            </w:r>
            <w:r/>
          </w:p>
        </w:tc>
      </w:tr>
      <w:tr>
        <w:trPr>
          <w:jc w:val="center"/>
          <w:trHeight w:val="423"/>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4</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张家港法院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3737000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19.92</w:t>
            </w:r>
            <w:r/>
          </w:p>
        </w:tc>
      </w:tr>
      <w:tr>
        <w:trPr>
          <w:jc w:val="center"/>
          <w:trHeight w:val="401"/>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5</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常熟法院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4690000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25.032</w:t>
            </w:r>
            <w:r/>
          </w:p>
        </w:tc>
      </w:tr>
      <w:tr>
        <w:trPr>
          <w:jc w:val="center"/>
          <w:trHeight w:val="422"/>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6</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昆山法院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7246000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38.64</w:t>
            </w:r>
            <w:r/>
          </w:p>
        </w:tc>
      </w:tr>
      <w:tr>
        <w:trPr>
          <w:jc w:val="center"/>
          <w:trHeight w:val="413"/>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7</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太仓法院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3050000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16.248</w:t>
            </w:r>
            <w:r/>
          </w:p>
        </w:tc>
      </w:tr>
      <w:tr>
        <w:trPr>
          <w:jc w:val="center"/>
          <w:trHeight w:val="419"/>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8</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吴江法院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3760000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20.04</w:t>
            </w:r>
            <w:r/>
          </w:p>
        </w:tc>
      </w:tr>
      <w:tr>
        <w:trPr>
          <w:jc w:val="center"/>
          <w:trHeight w:val="411"/>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9</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吴中法院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4260000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22.704</w:t>
            </w:r>
            <w:r/>
          </w:p>
        </w:tc>
      </w:tr>
      <w:tr>
        <w:trPr>
          <w:jc w:val="center"/>
          <w:trHeight w:val="418"/>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10</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相城法院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2810000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14.976</w:t>
            </w:r>
            <w:r/>
          </w:p>
        </w:tc>
      </w:tr>
      <w:tr>
        <w:trPr>
          <w:jc w:val="center"/>
          <w:trHeight w:val="423"/>
        </w:trPr>
        <w:tc>
          <w:tcPr>
            <w:tcW w:w="960"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11</w:t>
            </w:r>
            <w:r/>
          </w:p>
        </w:tc>
        <w:tc>
          <w:tcPr>
            <w:tcW w:w="2032" w:type="dxa"/>
            <w:vAlign w:val="center"/>
            <w:textDirection w:val="lrTb"/>
            <w:noWrap w:val="false"/>
          </w:tcPr>
          <w:p>
            <w:pPr>
              <w:jc w:val="center"/>
              <w:widowControl/>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工业园区法院</w:t>
            </w:r>
            <w:r/>
          </w:p>
        </w:tc>
        <w:tc>
          <w:tcPr>
            <w:tcW w:w="2126"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5063000</w:t>
            </w:r>
            <w:r/>
          </w:p>
        </w:tc>
        <w:tc>
          <w:tcPr>
            <w:tcW w:w="3261" w:type="dxa"/>
            <w:vAlign w:val="center"/>
            <w:textDirection w:val="lrTb"/>
            <w:noWrap w:val="false"/>
          </w:tcPr>
          <w:p>
            <w:pPr>
              <w:jc w:val="center"/>
              <w:widowControl/>
              <w:rPr>
                <w:rFonts w:ascii="Times New Roman" w:hAnsi="Times New Roman"/>
                <w:color w:val="000000"/>
                <w:szCs w:val="21"/>
                <w:highlight w:val="none"/>
              </w:rPr>
            </w:pPr>
            <w:r>
              <w:rPr>
                <w:rFonts w:ascii="Times New Roman" w:hAnsi="Times New Roman"/>
                <w:color w:val="000000"/>
                <w:szCs w:val="21"/>
                <w:highlight w:val="none"/>
              </w:rPr>
              <w:t xml:space="preserve">27</w:t>
            </w:r>
            <w:r/>
          </w:p>
        </w:tc>
      </w:tr>
      <w:tr>
        <w:trPr>
          <w:jc w:val="center"/>
          <w:trHeight w:val="703"/>
        </w:trPr>
        <w:tc>
          <w:tcPr>
            <w:tcW w:w="960" w:type="dxa"/>
            <w:vAlign w:val="center"/>
            <w:textDirection w:val="lrTb"/>
            <w:noWrap w:val="false"/>
          </w:tcPr>
          <w:p>
            <w:pPr>
              <w:jc w:val="center"/>
              <w:widowControl/>
              <w:rPr>
                <w:rFonts w:cs="Calibri"/>
                <w:color w:val="000000"/>
                <w:szCs w:val="21"/>
                <w:highlight w:val="none"/>
              </w:rPr>
            </w:pPr>
            <w:r>
              <w:rPr>
                <w:rFonts w:cs="Calibri"/>
                <w:color w:val="000000"/>
                <w:szCs w:val="21"/>
                <w:highlight w:val="none"/>
              </w:rPr>
              <w:t xml:space="preserve">　</w:t>
            </w:r>
            <w:r/>
          </w:p>
        </w:tc>
        <w:tc>
          <w:tcPr>
            <w:tcW w:w="2032" w:type="dxa"/>
            <w:vAlign w:val="center"/>
            <w:textDirection w:val="lrTb"/>
            <w:noWrap w:val="false"/>
          </w:tcPr>
          <w:p>
            <w:pPr>
              <w:jc w:val="center"/>
              <w:widowControl/>
              <w:rPr>
                <w:rFonts w:ascii="仿宋" w:hAnsi="仿宋" w:eastAsia="仿宋" w:cs="宋体"/>
                <w:b/>
                <w:bCs/>
                <w:color w:val="000000"/>
                <w:szCs w:val="21"/>
                <w:highlight w:val="none"/>
              </w:rPr>
            </w:pPr>
            <w:r>
              <w:rPr>
                <w:rFonts w:hint="eastAsia" w:ascii="仿宋" w:hAnsi="仿宋" w:eastAsia="仿宋" w:cs="宋体"/>
                <w:b/>
                <w:bCs/>
                <w:color w:val="000000"/>
                <w:szCs w:val="21"/>
                <w:highlight w:val="none"/>
              </w:rPr>
              <w:t xml:space="preserve">合计</w:t>
            </w:r>
            <w:r/>
          </w:p>
        </w:tc>
        <w:tc>
          <w:tcPr>
            <w:tcW w:w="2126" w:type="dxa"/>
            <w:vAlign w:val="center"/>
            <w:textDirection w:val="lrTb"/>
            <w:noWrap w:val="false"/>
          </w:tcPr>
          <w:p>
            <w:pPr>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45,000,000</w:t>
            </w:r>
            <w:r/>
          </w:p>
        </w:tc>
        <w:tc>
          <w:tcPr>
            <w:tcW w:w="3261" w:type="dxa"/>
            <w:vAlign w:val="center"/>
            <w:textDirection w:val="lrTb"/>
            <w:noWrap w:val="false"/>
          </w:tcPr>
          <w:p>
            <w:pPr>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240</w:t>
            </w:r>
            <w:r/>
          </w:p>
        </w:tc>
      </w:tr>
    </w:tbl>
    <w:p>
      <w:pPr>
        <w:spacing w:line="480" w:lineRule="exact"/>
        <w:rPr>
          <w:rFonts w:ascii="宋体" w:hAnsi="宋体" w:cs="宋体"/>
          <w:sz w:val="24"/>
          <w:szCs w:val="24"/>
          <w:highlight w:val="none"/>
        </w:rPr>
      </w:pPr>
      <w:r>
        <w:rPr>
          <w:rFonts w:hint="eastAsia" w:ascii="宋体" w:hAnsi="宋体" w:cs="宋体"/>
          <w:sz w:val="24"/>
          <w:szCs w:val="24"/>
          <w:highlight w:val="none"/>
        </w:rPr>
        <w:t xml:space="preserve">说明：</w:t>
      </w:r>
      <w:r/>
    </w:p>
    <w:p>
      <w:pPr>
        <w:ind w:firstLine="547"/>
        <w:spacing w:line="480" w:lineRule="exact"/>
        <w:rPr>
          <w:rFonts w:ascii="宋体" w:hAnsi="宋体" w:cs="宋体"/>
          <w:sz w:val="24"/>
          <w:szCs w:val="24"/>
          <w:highlight w:val="none"/>
        </w:rPr>
      </w:pPr>
      <w:r>
        <w:rPr>
          <w:rFonts w:hint="eastAsia" w:ascii="宋体" w:hAnsi="宋体" w:cs="宋体"/>
          <w:sz w:val="24"/>
          <w:szCs w:val="24"/>
          <w:highlight w:val="none"/>
        </w:rPr>
        <w:t xml:space="preserve">1.上表2026年预算额度按2025年各法院实际编目页数占比测算，仅作为各法院预算安排和采购限价分摊参考；</w:t>
      </w:r>
      <w:r/>
    </w:p>
    <w:p>
      <w:pPr>
        <w:ind w:firstLine="547"/>
        <w:spacing w:line="480" w:lineRule="exact"/>
        <w:rPr>
          <w:rFonts w:ascii="宋体" w:hAnsi="宋体" w:cs="宋体"/>
          <w:sz w:val="24"/>
          <w:szCs w:val="24"/>
          <w:highlight w:val="none"/>
        </w:rPr>
      </w:pPr>
      <w:r>
        <w:rPr>
          <w:rFonts w:hint="eastAsia" w:ascii="宋体" w:hAnsi="宋体" w:cs="宋体"/>
          <w:sz w:val="24"/>
          <w:szCs w:val="24"/>
          <w:highlight w:val="none"/>
        </w:rPr>
        <w:t xml:space="preserve">2.实际结算以中标编目单价和“一张网”系统统计的各单位实际编目页数为准。</w:t>
      </w:r>
      <w:r/>
    </w:p>
    <w:p>
      <w:pPr>
        <w:ind w:firstLine="547"/>
        <w:spacing w:line="480" w:lineRule="exact"/>
        <w:rPr>
          <w:rFonts w:ascii="宋体" w:hAnsi="宋体" w:cs="宋体"/>
          <w:sz w:val="24"/>
          <w:szCs w:val="24"/>
          <w:highlight w:val="none"/>
        </w:rPr>
      </w:pPr>
      <w:r>
        <w:rPr>
          <w:rFonts w:hint="eastAsia" w:ascii="宋体" w:hAnsi="宋体" w:cs="宋体"/>
          <w:sz w:val="24"/>
          <w:szCs w:val="24"/>
          <w:highlight w:val="none"/>
        </w:rPr>
        <w:t xml:space="preserve">3.服务期限为1年（2026年11月1日至2027年10月31日）。</w:t>
      </w:r>
      <w:r/>
    </w:p>
    <w:p>
      <w:pPr>
        <w:pStyle w:val="914"/>
        <w:ind w:left="0"/>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（二）服务内容技术需求</w:t>
      </w:r>
      <w:bookmarkEnd w:id="24"/>
      <w:r/>
      <w:bookmarkEnd w:id="25"/>
      <w:r/>
      <w:bookmarkEnd w:id="26"/>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1、服务内容</w:t>
      </w:r>
      <w:r/>
    </w:p>
    <w:p>
      <w:pPr>
        <w:ind w:left="210"/>
        <w:spacing w:line="360" w:lineRule="auto"/>
        <w:rPr>
          <w:rFonts w:ascii="宋体" w:cs="宋体"/>
          <w:sz w:val="24"/>
          <w:szCs w:val="24"/>
          <w:highlight w:val="none"/>
        </w:rPr>
      </w:pPr>
      <w:r>
        <w:rPr>
          <w:rFonts w:hint="eastAsia" w:ascii="宋体" w:cs="宋体"/>
          <w:sz w:val="24"/>
          <w:szCs w:val="24"/>
          <w:highlight w:val="none"/>
        </w:rPr>
        <w:t xml:space="preserve">集中编目服务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提供全市两级共11家法院合同期内立案的审判一审二审和执行等案件完成材料精细化名称标注和归目质检服务，同时对各基层院随案扫描团队进行材料整理、材料分类排序、材料扫描等操作培训服务。</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2、技术需求</w:t>
      </w:r>
      <w:r/>
    </w:p>
    <w:p>
      <w:pPr>
        <w:ind w:left="420"/>
        <w:spacing w:line="360" w:lineRule="auto"/>
        <w:rPr>
          <w:rFonts w:ascii="宋体" w:cs="宋体"/>
          <w:b/>
          <w:bCs/>
          <w:sz w:val="24"/>
          <w:szCs w:val="24"/>
          <w:highlight w:val="none"/>
        </w:rPr>
      </w:pPr>
      <w:r>
        <w:rPr>
          <w:rFonts w:hint="eastAsia" w:ascii="宋体" w:cs="宋体"/>
          <w:b/>
          <w:bCs/>
          <w:sz w:val="24"/>
          <w:szCs w:val="24"/>
          <w:highlight w:val="none"/>
        </w:rPr>
        <w:t xml:space="preserve">2.1数据加工（集中编目）服务</w:t>
      </w:r>
      <w:r/>
    </w:p>
    <w:p>
      <w:pPr>
        <w:ind w:firstLine="480"/>
        <w:spacing w:line="360" w:lineRule="auto"/>
        <w:rPr>
          <w:rFonts w:ascii="宋体" w:cs="宋体"/>
          <w:sz w:val="24"/>
          <w:szCs w:val="24"/>
          <w:highlight w:val="none"/>
        </w:rPr>
      </w:pPr>
      <w:r>
        <w:rPr>
          <w:rFonts w:ascii="宋体" w:cs="宋体"/>
          <w:sz w:val="24"/>
          <w:szCs w:val="24"/>
          <w:highlight w:val="none"/>
        </w:rPr>
        <w:t xml:space="preserve">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r/>
    </w:p>
    <w:p>
      <w:pPr>
        <w:ind w:left="420"/>
        <w:spacing w:line="360" w:lineRule="auto"/>
        <w:rPr>
          <w:rFonts w:ascii="宋体" w:cs="宋体"/>
          <w:sz w:val="24"/>
          <w:szCs w:val="24"/>
          <w:highlight w:val="none"/>
        </w:rPr>
      </w:pPr>
      <w:r>
        <w:rPr>
          <w:rFonts w:hint="eastAsia" w:ascii="宋体" w:cs="宋体"/>
          <w:sz w:val="24"/>
          <w:szCs w:val="24"/>
          <w:highlight w:val="none"/>
        </w:rPr>
        <w:t xml:space="preserve">（1）编目规范方案</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供应商根据最高院要求，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r/>
    </w:p>
    <w:p>
      <w:pPr>
        <w:ind w:left="420"/>
        <w:spacing w:line="360" w:lineRule="auto"/>
        <w:rPr>
          <w:rFonts w:ascii="宋体" w:cs="宋体"/>
          <w:sz w:val="24"/>
          <w:szCs w:val="24"/>
          <w:highlight w:val="none"/>
        </w:rPr>
      </w:pPr>
      <w:r>
        <w:rPr>
          <w:rFonts w:hint="eastAsia" w:ascii="宋体" w:cs="宋体"/>
          <w:sz w:val="24"/>
          <w:szCs w:val="24"/>
          <w:highlight w:val="none"/>
        </w:rPr>
        <w:t xml:space="preserve">（2）</w:t>
      </w:r>
      <w:r>
        <w:rPr>
          <w:rFonts w:ascii="宋体" w:cs="宋体"/>
          <w:sz w:val="24"/>
          <w:szCs w:val="24"/>
          <w:highlight w:val="none"/>
        </w:rPr>
        <w:t xml:space="preserve">材料名称编目规范手册</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包含民初，名终、财保、民特、刑初，刑终、执、执恢、执保、行初、行终、</w:t>
      </w:r>
      <w:r>
        <w:rPr>
          <w:rFonts w:ascii="宋体" w:cs="宋体"/>
          <w:sz w:val="24"/>
          <w:szCs w:val="24"/>
          <w:highlight w:val="none"/>
        </w:rPr>
        <w:t xml:space="preserve">司救执等</w:t>
      </w:r>
      <w:r>
        <w:rPr>
          <w:rFonts w:hint="eastAsia" w:ascii="宋体" w:cs="宋体"/>
          <w:sz w:val="24"/>
          <w:szCs w:val="24"/>
          <w:highlight w:val="none"/>
        </w:rPr>
        <w:t xml:space="preserve">通用编目规则。</w:t>
      </w:r>
      <w:r/>
    </w:p>
    <w:p>
      <w:pPr>
        <w:ind w:left="420"/>
        <w:spacing w:line="360" w:lineRule="auto"/>
        <w:rPr>
          <w:rFonts w:ascii="宋体" w:cs="宋体"/>
          <w:sz w:val="24"/>
          <w:szCs w:val="24"/>
          <w:highlight w:val="none"/>
        </w:rPr>
      </w:pPr>
      <w:r>
        <w:rPr>
          <w:rFonts w:hint="eastAsia" w:ascii="宋体" w:cs="宋体"/>
          <w:sz w:val="24"/>
          <w:szCs w:val="24"/>
          <w:highlight w:val="none"/>
        </w:rPr>
        <w:t xml:space="preserve">（3）精细化编目服务。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针对存在精细化编目需要及可以进行要素信息提取的材料，通过供应商提供基于一张网编目软件匹配的智能编目能力，结合人工提取方式进行要素信息抽取，根据抽取结果拼接重组材料编目名称，同时维护材料的基本属性如材料名称、阅卷目录等，使用材料的命名更为精细化，归目更准确，提升法官阅卷体验以及归档效率。</w:t>
      </w:r>
      <w:r/>
    </w:p>
    <w:p>
      <w:pPr>
        <w:ind w:left="420"/>
        <w:spacing w:line="360" w:lineRule="auto"/>
        <w:rPr>
          <w:rFonts w:ascii="宋体" w:cs="宋体"/>
          <w:sz w:val="24"/>
          <w:szCs w:val="24"/>
          <w:highlight w:val="none"/>
        </w:rPr>
      </w:pPr>
      <w:r>
        <w:rPr>
          <w:rFonts w:hint="eastAsia" w:ascii="宋体" w:cs="宋体"/>
          <w:sz w:val="24"/>
          <w:szCs w:val="24"/>
          <w:highlight w:val="none"/>
        </w:rPr>
        <w:t xml:space="preserve">（4）编目质检服务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对电子卷宗原始数据进行标注编目服务，并和电子卷宗原始数据的目录信息进行对比，保证电子卷宗原始数据和标注编目的名称一致，若有差异，进行人工手动修改，并针对材料电子化环节、法官阅卷环节、一键归档环节提供优化及调整服务。在材料移送编目电子化工作完成的同日完成名称标注及质检工作。编目质检服务主要包括外部质检（包含材料电子化环节、法院阅卷环节、一键归档环节）和内部质检（包含名称标注质检、阅卷目录质检、档案卷目录质检）两部分。</w:t>
      </w:r>
      <w:r/>
    </w:p>
    <w:p>
      <w:pPr>
        <w:ind w:left="420"/>
        <w:spacing w:line="360" w:lineRule="auto"/>
        <w:rPr>
          <w:rFonts w:ascii="宋体" w:cs="宋体"/>
          <w:sz w:val="24"/>
          <w:szCs w:val="24"/>
          <w:highlight w:val="none"/>
        </w:rPr>
      </w:pPr>
      <w:r>
        <w:rPr>
          <w:rFonts w:hint="eastAsia" w:ascii="宋体" w:cs="宋体"/>
          <w:sz w:val="24"/>
          <w:szCs w:val="24"/>
          <w:highlight w:val="none"/>
        </w:rPr>
        <w:t xml:space="preserve">（5）编目服务流程</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介绍编目服务内容，对编目业务总体流程进行设计并介绍编目服务流程。</w:t>
      </w:r>
      <w:r/>
    </w:p>
    <w:p>
      <w:pPr>
        <w:ind w:left="420"/>
        <w:spacing w:line="360" w:lineRule="auto"/>
        <w:rPr>
          <w:rFonts w:ascii="宋体" w:cs="宋体"/>
          <w:sz w:val="24"/>
          <w:szCs w:val="24"/>
          <w:highlight w:val="none"/>
        </w:rPr>
      </w:pPr>
      <w:r>
        <w:rPr>
          <w:rFonts w:hint="eastAsia" w:ascii="宋体" w:cs="宋体"/>
          <w:sz w:val="24"/>
          <w:szCs w:val="24"/>
          <w:highlight w:val="none"/>
        </w:rPr>
        <w:t xml:space="preserve">（6）编目时效性方案</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供应商提供优化编目任务分派算法提升智能分派编目任务效率，并提供编目服务管理方案。</w:t>
      </w:r>
      <w:r/>
    </w:p>
    <w:p>
      <w:pPr>
        <w:ind w:left="420"/>
        <w:spacing w:line="360" w:lineRule="auto"/>
        <w:rPr>
          <w:rFonts w:ascii="宋体" w:cs="宋体"/>
          <w:sz w:val="24"/>
          <w:szCs w:val="24"/>
          <w:highlight w:val="none"/>
        </w:rPr>
      </w:pPr>
      <w:r>
        <w:rPr>
          <w:rFonts w:hint="eastAsia" w:ascii="宋体" w:cs="宋体"/>
          <w:sz w:val="24"/>
          <w:szCs w:val="24"/>
          <w:highlight w:val="none"/>
        </w:rPr>
        <w:t xml:space="preserve">（7）归目服务方案</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集中编目服务应提供归目服务方案确保线上，线下材料归目准确率。</w:t>
      </w:r>
      <w:r/>
    </w:p>
    <w:p>
      <w:pPr>
        <w:ind w:left="420"/>
        <w:spacing w:line="360" w:lineRule="auto"/>
        <w:rPr>
          <w:rFonts w:ascii="宋体" w:cs="宋体"/>
          <w:sz w:val="24"/>
          <w:szCs w:val="24"/>
          <w:highlight w:val="none"/>
        </w:rPr>
      </w:pPr>
      <w:r>
        <w:rPr>
          <w:rFonts w:hint="eastAsia" w:ascii="宋体" w:cs="宋体"/>
          <w:sz w:val="24"/>
          <w:szCs w:val="24"/>
          <w:highlight w:val="none"/>
        </w:rPr>
        <w:t xml:space="preserve">（8）编目服务岗位职责</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设立法院集中编目中心，按照集中编目工作流程建立配套的工作岗位。</w:t>
      </w:r>
      <w:r/>
    </w:p>
    <w:p>
      <w:pPr>
        <w:ind w:left="420"/>
        <w:spacing w:line="360" w:lineRule="auto"/>
        <w:rPr>
          <w:rFonts w:ascii="宋体" w:cs="宋体"/>
          <w:sz w:val="24"/>
          <w:szCs w:val="24"/>
          <w:highlight w:val="none"/>
        </w:rPr>
      </w:pPr>
      <w:r>
        <w:rPr>
          <w:rFonts w:hint="eastAsia" w:ascii="宋体" w:cs="宋体"/>
          <w:sz w:val="24"/>
          <w:szCs w:val="24"/>
          <w:highlight w:val="none"/>
        </w:rPr>
        <w:t xml:space="preserve">（9）要素信息提取服务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供应商须对法院诉讼案件当事人提交的材料识别提取后，进行人工核对，解决识别提取造成的错误或不全的问题，并支持对案件的当事人信息、代理人等信息进行核对并更正，为裁判文书辅助生成提供准确数据支撑。</w:t>
      </w:r>
      <w:r/>
    </w:p>
    <w:p>
      <w:pPr>
        <w:ind w:left="420"/>
        <w:spacing w:line="360" w:lineRule="auto"/>
        <w:rPr>
          <w:rFonts w:ascii="宋体" w:cs="宋体"/>
          <w:b/>
          <w:bCs/>
          <w:sz w:val="24"/>
          <w:szCs w:val="24"/>
          <w:highlight w:val="none"/>
        </w:rPr>
      </w:pPr>
      <w:r>
        <w:rPr>
          <w:rFonts w:hint="eastAsia" w:ascii="宋体" w:cs="宋体"/>
          <w:b/>
          <w:bCs/>
          <w:sz w:val="24"/>
          <w:szCs w:val="24"/>
          <w:highlight w:val="none"/>
        </w:rPr>
        <w:t xml:space="preserve">2.2核心能力配套</w:t>
      </w:r>
      <w:r/>
    </w:p>
    <w:p>
      <w:pPr>
        <w:ind w:left="420"/>
        <w:spacing w:line="360" w:lineRule="auto"/>
        <w:rPr>
          <w:rFonts w:ascii="宋体" w:cs="宋体"/>
          <w:sz w:val="24"/>
          <w:szCs w:val="24"/>
          <w:highlight w:val="none"/>
        </w:rPr>
      </w:pPr>
      <w:r>
        <w:rPr>
          <w:rFonts w:hint="eastAsia" w:ascii="宋体" w:cs="宋体"/>
          <w:sz w:val="24"/>
          <w:szCs w:val="24"/>
          <w:highlight w:val="none"/>
        </w:rPr>
        <w:t xml:space="preserve">（1）智能编目能力</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支持编目完成后对同份材料自动合并封装生成整份PDF文件。支持任务分派、办理、退回、移送全流程管理；依托OCR识别与语义分析完成自动识别、智能命名；支持可视化编目规则配置和自定义材料命名拼接规范；智能归目自动归入相应层级目录。</w:t>
      </w:r>
      <w:r/>
    </w:p>
    <w:p>
      <w:pPr>
        <w:ind w:left="420"/>
        <w:spacing w:line="360" w:lineRule="auto"/>
        <w:rPr>
          <w:rFonts w:ascii="宋体" w:cs="宋体"/>
          <w:sz w:val="24"/>
          <w:szCs w:val="24"/>
          <w:highlight w:val="none"/>
        </w:rPr>
      </w:pPr>
      <w:r>
        <w:rPr>
          <w:rFonts w:hint="eastAsia" w:ascii="宋体" w:cs="宋体"/>
          <w:sz w:val="24"/>
          <w:szCs w:val="24"/>
          <w:highlight w:val="none"/>
        </w:rPr>
        <w:t xml:space="preserve">（2）</w:t>
      </w:r>
      <w:r>
        <w:rPr>
          <w:rFonts w:ascii="宋体" w:cs="宋体"/>
          <w:sz w:val="24"/>
          <w:szCs w:val="24"/>
          <w:highlight w:val="none"/>
        </w:rPr>
        <w:t xml:space="preserve">卷宗材料智能标注编目数据可视化平台</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实时展示两级法院电子卷宗随案生成率、卷宗规范率；统计各法院扫描收办总量、页数、处理时长、时效达标率；展示编目总量、日均工单、人均产能、任务完成率；追踪材料接收、编目、归档全流程耗时，识别超时环节；按日/周/月/季度输出业务趋势，自动计算同比、环比；针对编目效率、时效达标率等关键指标自动预警。</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（3）</w:t>
      </w:r>
      <w:r>
        <w:rPr>
          <w:rFonts w:ascii="宋体" w:cs="宋体"/>
          <w:sz w:val="24"/>
          <w:szCs w:val="24"/>
          <w:highlight w:val="none"/>
        </w:rPr>
        <w:t xml:space="preserve">核心服务能力：</w:t>
      </w:r>
      <w:r>
        <w:rPr>
          <w:rFonts w:hint="eastAsia" w:ascii="宋体" w:cs="宋体"/>
          <w:sz w:val="24"/>
          <w:szCs w:val="24"/>
          <w:highlight w:val="none"/>
        </w:rPr>
        <w:t xml:space="preserve">根据供应商随本项目配套提供的服务工具能力</w:t>
      </w:r>
      <w:r>
        <w:rPr>
          <w:rFonts w:ascii="宋体" w:cs="宋体"/>
          <w:sz w:val="24"/>
          <w:szCs w:val="24"/>
          <w:highlight w:val="none"/>
        </w:rPr>
        <w:t xml:space="preserve">覆盖5项①业务系统对接 ②编目团队配置 ③编目任务分派管理 ④编目办理⑤编目规则可视化配置</w:t>
      </w:r>
      <w:r>
        <w:rPr>
          <w:rFonts w:hint="eastAsia" w:ascii="宋体" w:cs="宋体"/>
          <w:sz w:val="24"/>
          <w:szCs w:val="24"/>
          <w:highlight w:val="none"/>
        </w:rPr>
        <w:t xml:space="preserve">；进行操作演示，</w:t>
      </w:r>
      <w:r>
        <w:rPr>
          <w:rFonts w:ascii="宋体" w:cs="宋体"/>
          <w:sz w:val="24"/>
          <w:szCs w:val="24"/>
          <w:highlight w:val="none"/>
        </w:rPr>
        <w:t xml:space="preserve">供应商须提供基于真实服务环境、体现业务全流程的服务能力演示音视频文件；演示视频须为真实服务工具操作，不得剪辑拼接、不得以配音覆盖服务工具操作原声，时长不超过15分钟，单个文件大小不超过300MB，视频文件格式为*.mp4或*.avi</w:t>
      </w:r>
      <w:r>
        <w:rPr>
          <w:rFonts w:hint="eastAsia" w:ascii="宋体" w:cs="宋体"/>
          <w:sz w:val="24"/>
          <w:szCs w:val="24"/>
          <w:highlight w:val="none"/>
        </w:rPr>
        <w:t xml:space="preserve">。</w:t>
      </w:r>
      <w:r/>
    </w:p>
    <w:p>
      <w:pPr>
        <w:ind w:firstLine="480"/>
        <w:spacing w:line="360" w:lineRule="auto"/>
        <w:rPr>
          <w:rFonts w:ascii="宋体" w:cs="宋体"/>
          <w:sz w:val="24"/>
          <w:szCs w:val="24"/>
          <w:highlight w:val="none"/>
        </w:rPr>
      </w:pPr>
      <w:r>
        <w:rPr>
          <w:rFonts w:hint="eastAsia" w:ascii="楷体" w:hAnsi="楷体" w:eastAsia="楷体" w:cs="楷体"/>
          <w:color w:val="000000"/>
          <w:sz w:val="24"/>
          <w:highlight w:val="none"/>
        </w:rPr>
        <w:t xml:space="preserve">★</w:t>
      </w:r>
      <w:r>
        <w:rPr>
          <w:rFonts w:hint="eastAsia" w:ascii="宋体" w:cs="宋体"/>
          <w:sz w:val="24"/>
          <w:szCs w:val="24"/>
          <w:highlight w:val="none"/>
        </w:rPr>
        <w:t xml:space="preserve">演示系统真实性要求：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供应商提交的演示系统，须为基于自有成熟、可独立部署运行的正式软件产品的真实操作，严格禁止以下任何形式的演示内容与制作方式：</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①使用生成式人工智能（AIGC）生成、合成的系统界面、交互画面、虚拟演示视频；</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②使用 Axure、墨刀、Figma 等原型设计工具制作的无后端服务、无真实数据交互的前端模拟页面；</w:t>
      </w:r>
      <w:r/>
    </w:p>
    <w:p>
      <w:pPr>
        <w:ind w:left="480"/>
        <w:spacing w:line="360" w:lineRule="auto"/>
        <w:rPr>
          <w:rFonts w:ascii="宋体" w:cs="宋体"/>
          <w:sz w:val="24"/>
          <w:szCs w:val="24"/>
          <w:highlight w:val="none"/>
        </w:rPr>
      </w:pPr>
      <w:r>
        <w:rPr>
          <w:rFonts w:hint="eastAsia" w:ascii="宋体" w:cs="宋体"/>
          <w:sz w:val="24"/>
          <w:szCs w:val="24"/>
          <w:highlight w:val="none"/>
        </w:rPr>
        <w:t xml:space="preserve">③经过片段剪辑、画面合成、后期特效处理的非连续操作视频；</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④仅具备静态展示效果、无完整业务逻辑的演示 Demo、宣传动画。</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3、服务标准及服务质量需求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建立健全苏州中院无纸化办案服务质量和标准，主要内容包括：无纸化服务标准，服务质量保障、集中编目服务绩效考核体系以及数据监管方案。</w:t>
      </w:r>
      <w:r/>
    </w:p>
    <w:p>
      <w:pPr>
        <w:ind w:left="420"/>
        <w:spacing w:line="360" w:lineRule="auto"/>
        <w:rPr>
          <w:rFonts w:ascii="宋体" w:cs="宋体"/>
          <w:b/>
          <w:bCs/>
          <w:sz w:val="24"/>
          <w:szCs w:val="24"/>
          <w:highlight w:val="none"/>
        </w:rPr>
      </w:pPr>
      <w:r>
        <w:rPr>
          <w:rFonts w:hint="eastAsia" w:ascii="宋体" w:cs="宋体"/>
          <w:b/>
          <w:bCs/>
          <w:sz w:val="24"/>
          <w:szCs w:val="24"/>
          <w:highlight w:val="none"/>
        </w:rPr>
        <w:t xml:space="preserve">3.1服务标准</w:t>
      </w:r>
      <w:r/>
    </w:p>
    <w:p>
      <w:pPr>
        <w:ind w:left="420"/>
        <w:spacing w:line="360" w:lineRule="auto"/>
        <w:rPr>
          <w:rFonts w:ascii="宋体" w:cs="宋体"/>
          <w:sz w:val="24"/>
          <w:szCs w:val="24"/>
          <w:highlight w:val="none"/>
        </w:rPr>
      </w:pPr>
      <w:r>
        <w:rPr>
          <w:rFonts w:hint="eastAsia" w:ascii="宋体" w:cs="宋体"/>
          <w:sz w:val="24"/>
          <w:szCs w:val="24"/>
          <w:highlight w:val="none"/>
        </w:rPr>
        <w:t xml:space="preserve">（1）成交供应商须提供电子卷宗随案同步生成标准；</w:t>
      </w:r>
      <w:r/>
    </w:p>
    <w:p>
      <w:pPr>
        <w:ind w:left="420"/>
        <w:spacing w:line="360" w:lineRule="auto"/>
        <w:rPr>
          <w:rFonts w:ascii="宋体" w:cs="宋体"/>
          <w:sz w:val="24"/>
          <w:szCs w:val="24"/>
          <w:highlight w:val="none"/>
        </w:rPr>
      </w:pPr>
      <w:r>
        <w:rPr>
          <w:rFonts w:hint="eastAsia" w:ascii="宋体" w:cs="宋体"/>
          <w:sz w:val="24"/>
          <w:szCs w:val="24"/>
          <w:highlight w:val="none"/>
        </w:rPr>
        <w:t xml:space="preserve">（2）成交供应商须提供适用于苏州法院的精细化编目规则。</w:t>
      </w:r>
      <w:r/>
    </w:p>
    <w:p>
      <w:pPr>
        <w:ind w:left="420"/>
        <w:spacing w:line="360" w:lineRule="auto"/>
        <w:rPr>
          <w:rFonts w:ascii="宋体" w:cs="宋体"/>
          <w:sz w:val="24"/>
          <w:szCs w:val="24"/>
          <w:highlight w:val="none"/>
        </w:rPr>
      </w:pPr>
      <w:r>
        <w:rPr>
          <w:rFonts w:hint="eastAsia" w:ascii="宋体" w:cs="宋体"/>
          <w:sz w:val="24"/>
          <w:szCs w:val="24"/>
          <w:highlight w:val="none"/>
        </w:rPr>
        <w:t xml:space="preserve">（3）成交供应商须提供案件卷宗排序标准。</w:t>
      </w:r>
      <w:r/>
    </w:p>
    <w:p>
      <w:pPr>
        <w:ind w:left="420"/>
        <w:spacing w:line="360" w:lineRule="auto"/>
        <w:rPr>
          <w:rFonts w:ascii="宋体" w:cs="宋体"/>
          <w:b/>
          <w:bCs/>
          <w:sz w:val="24"/>
          <w:szCs w:val="24"/>
          <w:highlight w:val="none"/>
        </w:rPr>
      </w:pPr>
      <w:r>
        <w:rPr>
          <w:rFonts w:hint="eastAsia" w:ascii="宋体" w:cs="宋体"/>
          <w:b/>
          <w:bCs/>
          <w:sz w:val="24"/>
          <w:szCs w:val="24"/>
          <w:highlight w:val="none"/>
        </w:rPr>
        <w:t xml:space="preserve">3.2绩效管理</w:t>
      </w:r>
      <w:r/>
    </w:p>
    <w:p>
      <w:pPr>
        <w:ind w:firstLine="420"/>
        <w:spacing w:line="360" w:lineRule="auto"/>
        <w:rPr>
          <w:rFonts w:ascii="宋体" w:cs="宋体"/>
          <w:sz w:val="24"/>
          <w:szCs w:val="24"/>
          <w:highlight w:val="none"/>
        </w:rPr>
      </w:pPr>
      <w:r>
        <w:rPr>
          <w:rFonts w:hint="eastAsia" w:ascii="宋体" w:cs="宋体"/>
          <w:sz w:val="24"/>
          <w:szCs w:val="24"/>
          <w:highlight w:val="none"/>
        </w:rPr>
        <w:t xml:space="preserve">成交供应商须提供为满足本次项目集中编目绩效考核体系方案。为充分激发员工积极性，绩效考核体系须包括客观指标和主观指标，并提供相对应的数据监管方案。</w:t>
      </w:r>
      <w:r/>
    </w:p>
    <w:p>
      <w:pPr>
        <w:ind w:left="420"/>
        <w:spacing w:line="360" w:lineRule="auto"/>
        <w:rPr>
          <w:rFonts w:ascii="宋体" w:cs="宋体"/>
          <w:sz w:val="24"/>
          <w:szCs w:val="24"/>
          <w:highlight w:val="none"/>
        </w:rPr>
      </w:pPr>
      <w:r>
        <w:rPr>
          <w:rFonts w:hint="eastAsia" w:ascii="宋体" w:cs="宋体"/>
          <w:sz w:val="24"/>
          <w:szCs w:val="24"/>
          <w:highlight w:val="none"/>
        </w:rPr>
        <w:t xml:space="preserve">（1）成交供应商须提供集中编目绩效考核体系；</w:t>
      </w:r>
      <w:r/>
    </w:p>
    <w:p>
      <w:pPr>
        <w:ind w:left="420"/>
        <w:spacing w:line="360" w:lineRule="auto"/>
        <w:rPr>
          <w:rFonts w:ascii="宋体" w:cs="宋体"/>
          <w:sz w:val="24"/>
          <w:szCs w:val="24"/>
          <w:highlight w:val="none"/>
        </w:rPr>
      </w:pPr>
      <w:r>
        <w:rPr>
          <w:rFonts w:hint="eastAsia" w:ascii="宋体" w:cs="宋体"/>
          <w:sz w:val="24"/>
          <w:szCs w:val="24"/>
          <w:highlight w:val="none"/>
        </w:rPr>
        <w:t xml:space="preserve">（2）成交供应商须提供绩效管理办法；</w:t>
      </w:r>
      <w:r/>
    </w:p>
    <w:p>
      <w:pPr>
        <w:ind w:left="420"/>
        <w:spacing w:line="360" w:lineRule="auto"/>
        <w:rPr>
          <w:rFonts w:ascii="宋体" w:cs="宋体"/>
          <w:sz w:val="24"/>
          <w:szCs w:val="24"/>
          <w:highlight w:val="none"/>
        </w:rPr>
      </w:pPr>
      <w:r>
        <w:rPr>
          <w:rFonts w:hint="eastAsia" w:ascii="宋体" w:cs="宋体"/>
          <w:sz w:val="24"/>
          <w:szCs w:val="24"/>
          <w:highlight w:val="none"/>
        </w:rPr>
        <w:t xml:space="preserve">（3）成交供应商须提供集中编目服务数据监管、统计与上报方案。</w:t>
      </w:r>
      <w:r/>
    </w:p>
    <w:p>
      <w:pPr>
        <w:ind w:left="420"/>
        <w:spacing w:line="360" w:lineRule="auto"/>
        <w:rPr>
          <w:rFonts w:ascii="宋体" w:cs="宋体"/>
          <w:b/>
          <w:bCs/>
          <w:sz w:val="24"/>
          <w:szCs w:val="24"/>
          <w:highlight w:val="none"/>
        </w:rPr>
      </w:pPr>
      <w:r>
        <w:rPr>
          <w:rFonts w:hint="eastAsia" w:ascii="宋体" w:cs="宋体"/>
          <w:b/>
          <w:bCs/>
          <w:sz w:val="24"/>
          <w:szCs w:val="24"/>
          <w:highlight w:val="none"/>
        </w:rPr>
        <w:t xml:space="preserve">3.3服务质量要求</w:t>
      </w:r>
      <w:r/>
    </w:p>
    <w:p>
      <w:pPr>
        <w:ind w:left="420"/>
        <w:spacing w:line="360" w:lineRule="auto"/>
        <w:rPr>
          <w:rFonts w:ascii="宋体" w:cs="宋体"/>
          <w:sz w:val="24"/>
          <w:szCs w:val="24"/>
          <w:highlight w:val="none"/>
        </w:rPr>
      </w:pPr>
      <w:r>
        <w:rPr>
          <w:rFonts w:hint="eastAsia" w:ascii="宋体" w:cs="宋体"/>
          <w:sz w:val="24"/>
          <w:szCs w:val="24"/>
          <w:highlight w:val="none"/>
        </w:rPr>
        <w:t xml:space="preserve">（1）编目规范优化及调整</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基于现有编目规范，不定期的对编目的结果回访业务庭，记录和听取业务庭的情况反应和改进意见，然后对编目规范进行优化和调整，最终形成一套更适合法院编目规范标准。</w:t>
      </w:r>
      <w:r/>
    </w:p>
    <w:p>
      <w:pPr>
        <w:ind w:left="420"/>
        <w:spacing w:line="360" w:lineRule="auto"/>
        <w:rPr>
          <w:rFonts w:ascii="宋体" w:cs="宋体"/>
          <w:sz w:val="24"/>
          <w:szCs w:val="24"/>
          <w:highlight w:val="none"/>
        </w:rPr>
      </w:pPr>
      <w:r>
        <w:rPr>
          <w:rFonts w:hint="eastAsia" w:ascii="宋体" w:cs="宋体"/>
          <w:sz w:val="24"/>
          <w:szCs w:val="24"/>
          <w:highlight w:val="none"/>
        </w:rPr>
        <w:t xml:space="preserve">（2）电子材料质检服务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编目团队会根据材料电子化移送过来的材料类别和材料实际内容进行判断，当发现材料类别与实际材料内部不匹配时，会通过系统直接退回，并告知退回原因。</w:t>
      </w:r>
      <w:r/>
    </w:p>
    <w:p>
      <w:pPr>
        <w:ind w:left="420"/>
        <w:spacing w:line="360" w:lineRule="auto"/>
        <w:rPr>
          <w:rFonts w:ascii="宋体" w:cs="宋体"/>
          <w:sz w:val="24"/>
          <w:szCs w:val="24"/>
          <w:highlight w:val="none"/>
        </w:rPr>
      </w:pPr>
      <w:r>
        <w:rPr>
          <w:rFonts w:hint="eastAsia" w:ascii="宋体" w:cs="宋体"/>
          <w:sz w:val="24"/>
          <w:szCs w:val="24"/>
          <w:highlight w:val="none"/>
        </w:rPr>
        <w:t xml:space="preserve">（3）编目质量合格率</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通过不定期的编目服务业务培训，提高编目效率及编目正确率，实现编目正确率达到99%以上。</w:t>
      </w:r>
      <w:r/>
    </w:p>
    <w:p>
      <w:pPr>
        <w:ind w:left="420"/>
        <w:spacing w:line="360" w:lineRule="auto"/>
        <w:rPr>
          <w:rFonts w:ascii="宋体" w:cs="宋体"/>
          <w:sz w:val="24"/>
          <w:szCs w:val="24"/>
          <w:highlight w:val="none"/>
        </w:rPr>
      </w:pPr>
      <w:r>
        <w:rPr>
          <w:rFonts w:hint="eastAsia" w:ascii="宋体" w:cs="宋体"/>
          <w:sz w:val="24"/>
          <w:szCs w:val="24"/>
          <w:highlight w:val="none"/>
        </w:rPr>
        <w:t xml:space="preserve">（4）编目质量检查机制</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为保障编目服务质量，通过每日抽查制度，对编目团队已完成的编目任务进行抽查，当日将抽查结果发送责令整改。形成一套质检机制：每日抽查和每日纠错分析指导。</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4、时间进度要求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本项目要求成交供应商于合同签订后5个工作日内完成相关软、硬件配备、业务流程梳理及全面开展服务。</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5、服务人员要求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（1）响应单位需建立服务项目团队。</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（2）人员素质要求：大专或以上学历，服务态度端正、作风优良，熟悉法院中需要服务岗位业务流程，熟练掌握电脑等办公设备，服从法院的规章制度；</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（3）中标单位须按国家规定给服务人员购买五险一金，并提供相应的各项补贴和节日福利，人员进场需提供依法缴纳保险等凭证；</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（4）中标单位须对现场服务人员须有完善的制度规范，对不同的服务岗位有着详细的工作流程，并对服务人员进行相关职场礼仪形象的培训；</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（5）中标单位的现场服务人员对应岗位必须熟悉使用法院正在使用的智能标注编目系统等；</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（6）中标单位须对现场人员的管理、考评，以及考评不合格人员的替换规则：</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为了规范外包人员管理工作，激励外包人员达成工作目标，保持外包人员人力资源竞争力为原则，从工作业绩、工作态度和工作能力三方面进行绩效考核。不符合甲方工作岗位要求，发生重大投诉以及连续两次考核不合格的，中标单位在征得采购方同意后进行人员替换，替换人员将在5个工作日内到位，尽可能减少人员空档期；</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（7）需提供现场服务工作人员常驻本院数据加工中心，为法院提供智能编目服务工作。在现场服务工作人员中需指派一名作为项目负责人，负责与甲方对接工作及日常管理。</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（8）签订合同后中标单位需在接到采购方通知后7个工作日内安排人员进场完毕，未在规定时间到位人员，采购方有权终止合同。</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（9）中标单位需应制定各环节服务标准培训内容，负责多轮次对本项目实施人员进行相关培训，确保项目实施顺利和项目实施成效。</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6、安全保密要求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（1）成交供应商应严格遵守国家相关的保密法律规定，无条件遵守《保密协议》（由采购人提供，双方另行签订）和法院的有关规定。</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（2）服务工作必须在法院指定的场所内进行，确保场所正常秩序和安全。不得遗失、损坏卷宗，如有违法行为或违反相关规定，将依法或依据约定追究相应的责任。</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（4）除钥匙及眼镜等外，成交供应商工作人员未经法院同意，不得将手袋、提包、钱包、磁盘（含 U 盘、软盘、硬盘等）、刻录光盘、手机、MP3、MP4、报刊、纸张及其他随身物品带入工作室，也不得将工作室的物品擅自带出工作室外。</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（5）未经法院批准，成交供应商不得以任何形式复制离线的卷宗图像和卷宗目录数据。</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（6）成交供应商工作人员剔除同一案卷内的重复文件必须经法院有关人员审核同意方可实施。</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（7）工作室内的废纸必须集中放置，并定期运送至法院指定位置进行销毁。</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（8）成交供应商工作人员不得以任何方式非法向外人泄露档案所涉及的审判秘密、工作秘密及其他不宜公开的信息，否则按国家有关规定处理，情节严重的要承担相应的刑事责任。</w:t>
      </w:r>
      <w:r/>
    </w:p>
    <w:p>
      <w:pPr>
        <w:ind w:left="210"/>
        <w:spacing w:before="120" w:line="360" w:lineRule="auto"/>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7、其他要求</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为确保苏州中院服务成效，供应商应基于现有法院业务系统进行软件功能操作，服务期间供应商提供的相关配套服务软件需与苏州地区诉服网、材料、审判、执行、卷宗、档案等核心业务系统进行无缝对接，确保数据准确性及一致性。</w:t>
      </w:r>
      <w:r/>
    </w:p>
    <w:p>
      <w:pPr>
        <w:pStyle w:val="914"/>
        <w:ind w:left="0"/>
        <w:spacing w:line="360" w:lineRule="auto"/>
        <w:rPr>
          <w:rFonts w:ascii="宋体" w:cs="宋体"/>
          <w:b/>
          <w:bCs/>
          <w:color w:val="000000"/>
          <w:sz w:val="24"/>
          <w:szCs w:val="24"/>
          <w:highlight w:val="none"/>
        </w:rPr>
        <w:outlineLvl w:val="1"/>
      </w:pPr>
      <w:r/>
      <w:bookmarkStart w:id="27" w:name="_Toc45264038"/>
      <w:r>
        <w:rPr>
          <w:rFonts w:hint="eastAsia" w:ascii="宋体" w:cs="宋体"/>
          <w:b/>
          <w:bCs/>
          <w:color w:val="000000"/>
          <w:sz w:val="24"/>
          <w:szCs w:val="24"/>
          <w:highlight w:val="none"/>
        </w:rPr>
        <w:t xml:space="preserve">（三）技术服务、培训等</w:t>
      </w:r>
      <w:bookmarkEnd w:id="27"/>
      <w:r/>
      <w:r/>
    </w:p>
    <w:p>
      <w:pPr>
        <w:pStyle w:val="906"/>
        <w:ind w:left="210"/>
        <w:spacing w:before="12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1、工作时间</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国家法定工作日和法院统一要求加班的节假日，上午9:00-12：00，下午：13:00-17:00。成交供应商应严格执行考勤制度，做好考勤登记，确保员工准时上班。</w:t>
      </w:r>
      <w:r/>
    </w:p>
    <w:p>
      <w:pPr>
        <w:pStyle w:val="906"/>
        <w:ind w:left="210"/>
        <w:spacing w:before="12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2、技术服务</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工作时间成交供应商须提供运维工程师现场或远程解答采购人关于无纸化办案业务和技术问题。另外提供每天24小时的不间断技术支持服务，为采购人提供电话、传真、视频、现场等多种方式技术支持服务，全方位响应需求。</w:t>
      </w:r>
      <w:r/>
    </w:p>
    <w:p>
      <w:pPr>
        <w:pStyle w:val="906"/>
        <w:ind w:left="210"/>
        <w:spacing w:before="12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3、培训</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成交供应商应制定无纸化服务相关培训内容，负责多轮次对采购人工作人员和本项目实施人员进行相关培训，培训内容包括但不限于无纸化办案理解、纸质卷宗流转机制、辅助事项管理系统、电子卷宗智能服务系统和文书平台等，确保项目实施顺利和项目实施成效。</w:t>
      </w:r>
      <w:r/>
    </w:p>
    <w:p>
      <w:pPr>
        <w:pStyle w:val="906"/>
        <w:ind w:left="210"/>
        <w:spacing w:before="12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4、人员调整</w:t>
      </w:r>
      <w:r/>
    </w:p>
    <w:p>
      <w:pPr>
        <w:ind w:firstLine="480"/>
        <w:spacing w:line="360" w:lineRule="auto"/>
        <w:rPr>
          <w:rFonts w:ascii="宋体" w:cs="宋体"/>
          <w:sz w:val="24"/>
          <w:szCs w:val="24"/>
          <w:highlight w:val="none"/>
        </w:rPr>
      </w:pPr>
      <w:r>
        <w:rPr>
          <w:rFonts w:hint="eastAsia" w:ascii="宋体" w:cs="宋体"/>
          <w:sz w:val="24"/>
          <w:szCs w:val="24"/>
          <w:highlight w:val="none"/>
        </w:rPr>
        <w:t xml:space="preserve">成交供应商工作人员若有违反采购人规定或工作质量出现问题的，采购人有权提出更换人员并收回相关出入采购人场所证件。</w:t>
      </w:r>
      <w:r/>
    </w:p>
    <w:p>
      <w:pPr>
        <w:pStyle w:val="914"/>
        <w:ind w:left="0"/>
        <w:spacing w:line="360" w:lineRule="auto"/>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（四）验收</w:t>
      </w:r>
      <w:r/>
    </w:p>
    <w:p>
      <w:pPr>
        <w:ind w:firstLine="420"/>
        <w:spacing w:line="360" w:lineRule="auto"/>
        <w:tabs>
          <w:tab w:val="left" w:pos="0" w:leader="none"/>
        </w:tabs>
        <w:rPr>
          <w:rFonts w:ascii="宋体" w:cs="宋体"/>
          <w:sz w:val="24"/>
          <w:szCs w:val="24"/>
          <w:highlight w:val="none"/>
        </w:rPr>
      </w:pPr>
      <w:r>
        <w:rPr>
          <w:rFonts w:ascii="宋体" w:cs="宋体"/>
          <w:sz w:val="24"/>
          <w:szCs w:val="24"/>
          <w:highlight w:val="none"/>
        </w:rPr>
        <w:t xml:space="preserve">1</w:t>
      </w:r>
      <w:r>
        <w:rPr>
          <w:rFonts w:hint="eastAsia" w:ascii="宋体" w:cs="宋体"/>
          <w:sz w:val="24"/>
          <w:szCs w:val="24"/>
          <w:highlight w:val="none"/>
        </w:rPr>
        <w:t xml:space="preserve">、</w:t>
      </w:r>
      <w:r>
        <w:rPr>
          <w:rFonts w:ascii="宋体" w:cs="宋体"/>
          <w:sz w:val="24"/>
          <w:szCs w:val="24"/>
          <w:highlight w:val="none"/>
        </w:rPr>
        <w:t xml:space="preserve">采购使用单位将根据《江苏省财政厅关于印发&lt;江苏省政府采购履约验收管理办法&gt;的通知》（苏财规〔2024〕7号）相关要求，组织项目履约验收基本工作。</w:t>
      </w:r>
      <w:r/>
    </w:p>
    <w:p>
      <w:pPr>
        <w:ind w:firstLine="420"/>
        <w:spacing w:line="360" w:lineRule="auto"/>
        <w:tabs>
          <w:tab w:val="left" w:pos="0" w:leader="none"/>
        </w:tabs>
        <w:rPr>
          <w:rFonts w:ascii="宋体" w:cs="宋体"/>
          <w:sz w:val="24"/>
          <w:szCs w:val="24"/>
          <w:highlight w:val="none"/>
        </w:rPr>
      </w:pPr>
      <w:r>
        <w:rPr>
          <w:rFonts w:ascii="宋体" w:cs="宋体"/>
          <w:sz w:val="24"/>
          <w:szCs w:val="24"/>
          <w:highlight w:val="none"/>
        </w:rPr>
        <w:t xml:space="preserve">2</w:t>
      </w:r>
      <w:r>
        <w:rPr>
          <w:rFonts w:hint="eastAsia" w:ascii="宋体" w:cs="宋体"/>
          <w:sz w:val="24"/>
          <w:szCs w:val="24"/>
          <w:highlight w:val="none"/>
        </w:rPr>
        <w:t xml:space="preserve">、</w:t>
      </w:r>
      <w:r>
        <w:rPr>
          <w:rFonts w:ascii="宋体" w:cs="宋体"/>
          <w:sz w:val="24"/>
          <w:szCs w:val="24"/>
          <w:highlight w:val="none"/>
        </w:rPr>
        <w:t xml:space="preserve">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tabs>
          <w:tab w:val="left" w:pos="0" w:leader="none"/>
        </w:tabs>
        <w:rPr>
          <w:rFonts w:ascii="宋体" w:cs="宋体"/>
          <w:sz w:val="24"/>
          <w:szCs w:val="24"/>
          <w:highlight w:val="none"/>
        </w:rPr>
      </w:pPr>
      <w:r>
        <w:rPr>
          <w:rFonts w:ascii="宋体" w:cs="宋体"/>
          <w:sz w:val="24"/>
          <w:szCs w:val="24"/>
          <w:highlight w:val="none"/>
        </w:rPr>
        <w:t xml:space="preserve">3</w:t>
      </w:r>
      <w:r>
        <w:rPr>
          <w:rFonts w:hint="eastAsia" w:ascii="宋体" w:cs="宋体"/>
          <w:sz w:val="24"/>
          <w:szCs w:val="24"/>
          <w:highlight w:val="none"/>
        </w:rPr>
        <w:t xml:space="preserve">、</w:t>
      </w:r>
      <w:r>
        <w:rPr>
          <w:rFonts w:ascii="宋体" w:cs="宋体"/>
          <w:sz w:val="24"/>
          <w:szCs w:val="24"/>
          <w:highlight w:val="none"/>
        </w:rPr>
        <w:t xml:space="preserve">采购使用单位在组织履约验收前，将根据项目特点制定验收方案，明确履约验收的时间、方式、程序等内容。中标单位应根据验收方案内容做好相应配合工作。</w:t>
      </w:r>
      <w:r/>
    </w:p>
    <w:p>
      <w:pPr>
        <w:ind w:firstLine="420"/>
        <w:spacing w:line="360" w:lineRule="auto"/>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ascii="宋体" w:cs="宋体"/>
          <w:sz w:val="24"/>
          <w:szCs w:val="24"/>
          <w:highlight w:val="none"/>
        </w:rPr>
        <w:t xml:space="preserve">4</w:t>
      </w:r>
      <w:r>
        <w:rPr>
          <w:rFonts w:hint="eastAsia" w:ascii="宋体" w:cs="宋体"/>
          <w:sz w:val="24"/>
          <w:szCs w:val="24"/>
          <w:highlight w:val="none"/>
        </w:rPr>
        <w:t xml:space="preserve">、</w:t>
      </w:r>
      <w:r>
        <w:rPr>
          <w:rFonts w:ascii="宋体" w:cs="宋体"/>
          <w:sz w:val="24"/>
          <w:szCs w:val="24"/>
          <w:highlight w:val="none"/>
        </w:rPr>
        <w:t xml:space="preserve">采购使用单位将按照验收标准要求组织验收，验收内容和标准至少包括服务质量、用户满意度、服务过程文档资料、数据准确性等内容。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4.1平时抽检：采购方代表两人以上组成验收组负责日常抽检。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4.2总验收：由专家参与，总验收合格后支付尾款，验收合格率不低于95%，验收合格后，验收双方应当在验收单确认签字。验收不合格，供应商在规定时间内进行整改，否则不予结算费用。</w:t>
      </w:r>
      <w:r/>
    </w:p>
    <w:p>
      <w:pPr>
        <w:pStyle w:val="914"/>
        <w:ind w:left="0"/>
        <w:spacing w:line="360" w:lineRule="auto"/>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（五）综合要求</w:t>
      </w:r>
      <w:r/>
    </w:p>
    <w:p>
      <w:pPr>
        <w:ind w:firstLine="480"/>
        <w:spacing w:line="360" w:lineRule="auto"/>
        <w:tabs>
          <w:tab w:val="left" w:pos="0" w:leader="none"/>
        </w:tabs>
        <w:rPr>
          <w:rFonts w:ascii="宋体" w:cs="宋体"/>
          <w:sz w:val="24"/>
          <w:szCs w:val="24"/>
          <w:highlight w:val="none"/>
        </w:rPr>
      </w:pPr>
      <w:r>
        <w:rPr>
          <w:rFonts w:hint="eastAsia" w:ascii="宋体" w:cs="宋体"/>
          <w:sz w:val="24"/>
          <w:szCs w:val="24"/>
          <w:highlight w:val="none"/>
        </w:rPr>
        <w:t xml:space="preserve">1、响应单位按照采购文件的要求提交响应文件，并对所提供的全部资料的真实性承担法律责任。</w:t>
      </w:r>
      <w:r/>
    </w:p>
    <w:p>
      <w:pPr>
        <w:ind w:firstLine="480"/>
        <w:spacing w:line="360" w:lineRule="auto"/>
        <w:tabs>
          <w:tab w:val="left" w:pos="0" w:leader="none"/>
        </w:tabs>
        <w:rPr>
          <w:rFonts w:ascii="宋体" w:cs="宋体"/>
          <w:sz w:val="24"/>
          <w:szCs w:val="24"/>
          <w:highlight w:val="none"/>
        </w:rPr>
      </w:pPr>
      <w:r>
        <w:rPr>
          <w:rFonts w:hint="eastAsia" w:ascii="宋体" w:cs="宋体"/>
          <w:sz w:val="24"/>
          <w:szCs w:val="24"/>
          <w:highlight w:val="none"/>
        </w:rPr>
        <w:t xml:space="preserve">2、磋商报价要求包括完成所有采购内容以及完成本项目服务内容所需的设备租赁费、设</w:t>
      </w:r>
      <w:r>
        <w:rPr>
          <w:rFonts w:hint="eastAsia" w:ascii="宋体" w:cs="宋体"/>
          <w:sz w:val="24"/>
          <w:szCs w:val="24"/>
          <w:highlight w:val="none"/>
        </w:rPr>
        <w:t xml:space="preserve">备运输、安装费、测试费、租赁期内的维修费及修理费、劳保、税金、利润、政策性文件规定及合同包含的所有风险、责任等各项应有费用。响应报价为最终报价，若实际完成编目页数超出采购预估页数，超出预估部分所产生的全部费用，均由响应单位自行承担，采购人不作任何额外支付，</w:t>
      </w:r>
      <w:r>
        <w:rPr>
          <w:rFonts w:ascii="宋体" w:cs="宋体"/>
          <w:sz w:val="24"/>
          <w:szCs w:val="24"/>
          <w:highlight w:val="none"/>
        </w:rPr>
        <w:t xml:space="preserve">其中风险请投标公司充分考虑并自行承担</w:t>
      </w:r>
      <w:r>
        <w:rPr>
          <w:rFonts w:hint="eastAsia" w:ascii="宋体" w:cs="宋体"/>
          <w:sz w:val="24"/>
          <w:szCs w:val="24"/>
          <w:highlight w:val="none"/>
        </w:rPr>
        <w:t xml:space="preserve">。除非因特殊原因并经买卖双方协商同意，响应单位不得再要求追加任何费用。同时，除非合同条款中另有规定，否则，响应单位所报价格在合同实施期间不因市场变化因素而变动。 </w:t>
      </w:r>
      <w:r/>
    </w:p>
    <w:p>
      <w:pPr>
        <w:ind w:firstLine="480"/>
        <w:spacing w:line="360" w:lineRule="auto"/>
        <w:tabs>
          <w:tab w:val="left" w:pos="0" w:leader="none"/>
        </w:tabs>
        <w:rPr>
          <w:rFonts w:ascii="宋体" w:cs="宋体"/>
          <w:sz w:val="24"/>
          <w:szCs w:val="24"/>
          <w:highlight w:val="none"/>
        </w:rPr>
      </w:pPr>
      <w:r>
        <w:rPr>
          <w:rFonts w:hint="eastAsia" w:ascii="宋体" w:cs="宋体"/>
          <w:sz w:val="24"/>
          <w:szCs w:val="24"/>
          <w:highlight w:val="none"/>
        </w:rPr>
        <w:t xml:space="preserve">3、成交单位将根据采购文件、响应文件的相关约定，承担合同责任，履行合同义务。</w:t>
      </w:r>
      <w:r>
        <w:rPr>
          <w:rFonts w:ascii="宋体" w:cs="宋体"/>
          <w:sz w:val="24"/>
          <w:szCs w:val="24"/>
          <w:highlight w:val="none"/>
        </w:rPr>
        <w:t xml:space="preserve">根据市财政局关于规范第三方服务采购和规范招投标工作的要求，参照最高人民法院开展“一张网”系统云资源联合采购的做法，由基层法院委托苏州中院开展两级法院的联合采购。中院作为联合采购的牵头负责单位开展相关采购工作。采购工作结束后，按照中标通知书，</w:t>
      </w:r>
      <w:r>
        <w:rPr>
          <w:rFonts w:hint="eastAsia" w:ascii="宋体" w:cs="宋体"/>
          <w:sz w:val="24"/>
          <w:szCs w:val="24"/>
          <w:highlight w:val="none"/>
        </w:rPr>
        <w:t xml:space="preserve">中标单位与</w:t>
      </w:r>
      <w:r>
        <w:rPr>
          <w:rFonts w:ascii="宋体" w:cs="宋体"/>
          <w:sz w:val="24"/>
          <w:szCs w:val="24"/>
          <w:highlight w:val="none"/>
        </w:rPr>
        <w:t xml:space="preserve">各法院分别签订合同。在完成全年编目服务后，按照“一张网”系统统计的各单位实际编目页数分别进行结算。</w:t>
      </w:r>
      <w:r>
        <w:rPr>
          <w:rFonts w:hint="eastAsia" w:ascii="宋体" w:cs="宋体"/>
          <w:sz w:val="24"/>
          <w:szCs w:val="24"/>
          <w:highlight w:val="none"/>
        </w:rPr>
        <w:t xml:space="preserve">各单位具体分摊金额中标后由中标单位和甲方确认。</w:t>
      </w:r>
      <w:r/>
    </w:p>
    <w:p>
      <w:pPr>
        <w:ind w:firstLine="480"/>
        <w:spacing w:line="360" w:lineRule="auto"/>
        <w:tabs>
          <w:tab w:val="left" w:pos="0" w:leader="none"/>
        </w:tabs>
        <w:rPr>
          <w:rFonts w:ascii="宋体" w:hAnsi="宋体" w:cs="宋体"/>
          <w:color w:val="000000"/>
          <w:sz w:val="24"/>
          <w:szCs w:val="24"/>
          <w:highlight w:val="none"/>
        </w:rPr>
      </w:pPr>
      <w:r>
        <w:rPr>
          <w:rFonts w:hint="eastAsia" w:ascii="宋体" w:cs="宋体"/>
          <w:sz w:val="24"/>
          <w:szCs w:val="24"/>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5、凡</w:t>
      </w:r>
      <w:r>
        <w:rPr>
          <w:rFonts w:hint="eastAsia" w:hAnsi="宋体" w:cs="宋体"/>
          <w:color w:val="000000"/>
          <w:sz w:val="24"/>
          <w:szCs w:val="24"/>
          <w:highlight w:val="none"/>
        </w:rPr>
        <w:t xml:space="preserve">涉及本项目的补充说明和修改，均以苏州政府采购网上发布的信息为准。</w:t>
      </w:r>
      <w:r/>
    </w:p>
    <w:p>
      <w:pPr>
        <w:ind w:left="420" w:firstLine="480"/>
        <w:spacing w:line="360" w:lineRule="auto"/>
        <w:rPr>
          <w:rFonts w:ascii="宋体" w:hAnsi="宋体" w:cs="宋体"/>
          <w:sz w:val="24"/>
          <w:szCs w:val="24"/>
          <w:highlight w:val="none"/>
        </w:rPr>
      </w:pPr>
      <w:r>
        <w:rPr>
          <w:rFonts w:hint="eastAsia" w:ascii="宋体" w:hAnsi="宋体" w:cs="宋体"/>
          <w:sz w:val="24"/>
          <w:szCs w:val="24"/>
          <w:highlight w:val="none"/>
        </w:rPr>
        <w:br w:type="page" w:clear="all"/>
      </w:r>
      <w:r/>
    </w:p>
    <w:p>
      <w:pPr>
        <w:jc w:val="center"/>
        <w:spacing w:line="360" w:lineRule="auto"/>
        <w:tabs>
          <w:tab w:val="left" w:pos="709" w:leader="none"/>
        </w:tabs>
        <w:rPr>
          <w:rFonts w:ascii="宋体" w:hAnsi="宋体" w:cs="宋体"/>
          <w:b/>
          <w:color w:val="000000"/>
          <w:sz w:val="24"/>
          <w:szCs w:val="24"/>
          <w:highlight w:val="none"/>
        </w:rPr>
        <w:outlineLvl w:val="0"/>
      </w:pPr>
      <w:r/>
      <w:bookmarkStart w:id="28" w:name="_Toc22815"/>
      <w:r>
        <w:rPr>
          <w:rFonts w:hint="eastAsia" w:ascii="宋体" w:hAnsi="宋体" w:cs="宋体"/>
          <w:b/>
          <w:color w:val="000000"/>
          <w:sz w:val="24"/>
          <w:szCs w:val="24"/>
          <w:highlight w:val="none"/>
        </w:rPr>
        <w:t xml:space="preserve">第五章 合同主要条款</w:t>
      </w:r>
      <w:bookmarkEnd w:id="28"/>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甲方：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w:t>
      </w:r>
      <w:r/>
    </w:p>
    <w:p>
      <w:pPr>
        <w:ind w:firstLine="480"/>
        <w:jc w:val="left"/>
        <w:spacing w:line="240" w:lineRule="exact"/>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w:t>
      </w:r>
      <w:r/>
    </w:p>
    <w:p>
      <w:pPr>
        <w:ind w:firstLine="480"/>
        <w:jc w:val="left"/>
        <w:spacing w:line="240" w:lineRule="exact"/>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甲方所需</w:t>
      </w:r>
      <w:r>
        <w:rPr>
          <w:rFonts w:hint="eastAsia" w:ascii="宋体" w:hAnsi="宋体" w:cs="宋体"/>
          <w:color w:val="000000"/>
          <w:sz w:val="24"/>
          <w:szCs w:val="24"/>
          <w:highlight w:val="none"/>
          <w:u w:val="single"/>
        </w:rPr>
        <w:t xml:space="preserve">苏州两级法院电子卷宗集中编目服务</w:t>
      </w:r>
      <w:r>
        <w:rPr>
          <w:rFonts w:hint="eastAsia" w:ascii="宋体" w:hAnsi="宋体" w:cs="宋体"/>
          <w:color w:val="000000"/>
          <w:sz w:val="24"/>
          <w:szCs w:val="24"/>
          <w:highlight w:val="none"/>
        </w:rPr>
        <w:t xml:space="preserve">项目经苏州筑程集中采购代理有限公司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rPr>
          <w:rFonts w:hint="eastAsia" w:ascii="宋体" w:hAnsi="宋体" w:cs="宋体"/>
          <w:sz w:val="24"/>
          <w:szCs w:val="24"/>
          <w:highlight w:val="none"/>
        </w:rPr>
        <w:t xml:space="preserve">。</w:t>
      </w:r>
      <w:r/>
    </w:p>
    <w:p>
      <w:pPr>
        <w:ind w:firstLine="480"/>
        <w:jc w:val="left"/>
        <w:spacing w:line="240" w:lineRule="exact"/>
        <w:rPr>
          <w:rFonts w:ascii="宋体" w:hAnsi="宋体" w:cs="宋体"/>
          <w:sz w:val="24"/>
          <w:szCs w:val="24"/>
          <w:highlight w:val="none"/>
        </w:rPr>
      </w:pPr>
      <w:r>
        <w:rPr>
          <w:rFonts w:ascii="宋体" w:hAnsi="宋体" w:cs="宋体"/>
          <w:sz w:val="24"/>
          <w:szCs w:val="24"/>
          <w:highlight w:val="none"/>
        </w:rPr>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 下列文件为本合同不可分割部分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（一）成交通知书；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（二）采购文件；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（三）乙方成交的响应文件；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（四）乙方在采购过程中所作的其他承诺、声明、书面澄清等。</w:t>
      </w:r>
      <w:r/>
    </w:p>
    <w:p>
      <w:pPr>
        <w:ind w:firstLine="480"/>
        <w:spacing w:line="360" w:lineRule="auto"/>
        <w:rPr>
          <w:rFonts w:ascii="宋体" w:hAnsi="宋体" w:cs="宋体"/>
          <w:highlight w:val="none"/>
        </w:rPr>
      </w:pPr>
      <w:r>
        <w:rPr>
          <w:rFonts w:hint="eastAsia" w:ascii="宋体" w:hAnsi="宋体" w:cs="宋体"/>
          <w:color w:val="000000"/>
          <w:sz w:val="24"/>
          <w:highlight w:val="none"/>
        </w:rPr>
        <w:t xml:space="preserve">（五）合同附件（如有）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以上与本合同具有同等法律效力</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合同内容：</w:t>
      </w:r>
      <w:r/>
    </w:p>
    <w:p>
      <w:pPr>
        <w:numPr>
          <w:ilvl w:val="0"/>
          <w:numId w:val="7"/>
        </w:numPr>
        <w:spacing w:line="360" w:lineRule="auto"/>
        <w:rPr>
          <w:rFonts w:ascii="宋体" w:hAnsi="宋体" w:cs="宋体"/>
          <w:sz w:val="24"/>
          <w:szCs w:val="24"/>
          <w:highlight w:val="none"/>
        </w:rPr>
      </w:pPr>
      <w:r>
        <w:rPr>
          <w:rFonts w:hint="eastAsia" w:ascii="宋体" w:hAnsi="宋体" w:cs="宋体"/>
          <w:sz w:val="24"/>
          <w:szCs w:val="24"/>
          <w:highlight w:val="none"/>
        </w:rPr>
        <w:t xml:space="preserve">乙方负责</w:t>
      </w:r>
      <w:r>
        <w:rPr>
          <w:rFonts w:hint="eastAsia" w:ascii="宋体" w:hAnsi="宋体" w:cs="宋体"/>
          <w:sz w:val="24"/>
          <w:highlight w:val="none"/>
          <w:u w:val="single"/>
        </w:rPr>
        <w:t xml:space="preserve">苏州两级法院电子卷宗集中编目 </w:t>
      </w:r>
      <w:r>
        <w:rPr>
          <w:rFonts w:hint="eastAsia" w:ascii="宋体" w:hAnsi="宋体" w:cs="宋体"/>
          <w:sz w:val="24"/>
          <w:szCs w:val="24"/>
          <w:highlight w:val="none"/>
        </w:rPr>
        <w:t xml:space="preserve">的服务工作。</w:t>
      </w:r>
      <w:r/>
    </w:p>
    <w:p>
      <w:pPr>
        <w:numPr>
          <w:ilvl w:val="0"/>
          <w:numId w:val="7"/>
        </w:numPr>
        <w:spacing w:line="360" w:lineRule="auto"/>
        <w:rPr>
          <w:rFonts w:ascii="宋体" w:hAnsi="宋体" w:cs="宋体"/>
          <w:sz w:val="24"/>
          <w:szCs w:val="24"/>
          <w:highlight w:val="none"/>
        </w:rPr>
      </w:pPr>
      <w:r>
        <w:rPr>
          <w:rFonts w:hint="eastAsia" w:ascii="宋体" w:hAnsi="宋体" w:cs="宋体"/>
          <w:sz w:val="24"/>
          <w:szCs w:val="24"/>
          <w:highlight w:val="none"/>
        </w:rPr>
        <w:t xml:space="preserve">服务周期：</w:t>
      </w:r>
      <w:r>
        <w:rPr>
          <w:rFonts w:hint="eastAsia" w:ascii="宋体" w:hAnsi="宋体"/>
          <w:color w:val="000000"/>
          <w:sz w:val="24"/>
          <w:szCs w:val="24"/>
          <w:highlight w:val="none"/>
        </w:rPr>
        <w:t xml:space="preserve">服务期限为1年（2026年11月1日至2027年10月31日）</w:t>
      </w:r>
      <w:r>
        <w:rPr>
          <w:rFonts w:hint="eastAsia" w:ascii="宋体" w:hAnsi="宋体" w:cs="宋体"/>
          <w:sz w:val="24"/>
          <w:szCs w:val="24"/>
          <w:highlight w:val="none"/>
        </w:rPr>
        <w:t xml:space="preserve">。</w:t>
      </w:r>
      <w:r/>
    </w:p>
    <w:p>
      <w:pPr>
        <w:numPr>
          <w:ilvl w:val="0"/>
          <w:numId w:val="7"/>
        </w:numPr>
        <w:spacing w:line="360" w:lineRule="auto"/>
        <w:rPr>
          <w:rFonts w:ascii="宋体" w:hAnsi="宋体" w:cs="宋体"/>
          <w:sz w:val="24"/>
          <w:szCs w:val="24"/>
          <w:highlight w:val="none"/>
        </w:rPr>
      </w:pPr>
      <w:r>
        <w:rPr>
          <w:rFonts w:hint="eastAsia" w:ascii="宋体" w:hAnsi="宋体" w:cs="宋体"/>
          <w:sz w:val="24"/>
          <w:szCs w:val="24"/>
          <w:highlight w:val="none"/>
        </w:rPr>
        <w:t xml:space="preserve">服务地点：采购人指定地点。</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价格与支付：</w:t>
      </w:r>
      <w:r/>
    </w:p>
    <w:p>
      <w:pPr>
        <w:numPr>
          <w:ilvl w:val="0"/>
          <w:numId w:val="8"/>
        </w:numPr>
        <w:spacing w:line="360" w:lineRule="auto"/>
        <w:rPr>
          <w:rFonts w:ascii="宋体" w:hAnsi="宋体" w:cs="宋体"/>
          <w:sz w:val="24"/>
          <w:szCs w:val="24"/>
          <w:highlight w:val="none"/>
        </w:rPr>
      </w:pPr>
      <w:r>
        <w:rPr>
          <w:rFonts w:hint="eastAsia" w:ascii="宋体" w:hAnsi="宋体" w:cs="宋体"/>
          <w:b/>
          <w:sz w:val="24"/>
          <w:szCs w:val="24"/>
          <w:highlight w:val="none"/>
        </w:rPr>
        <w:t xml:space="preserve">合同总价款</w:t>
      </w:r>
      <w:r>
        <w:rPr>
          <w:rFonts w:hint="eastAsia" w:ascii="宋体" w:hAnsi="宋体" w:cs="宋体"/>
          <w:bCs/>
          <w:sz w:val="24"/>
          <w:szCs w:val="24"/>
          <w:highlight w:val="none"/>
        </w:rPr>
        <w:t xml:space="preserve">：</w:t>
      </w:r>
      <w:r>
        <w:rPr>
          <w:rFonts w:hint="eastAsia" w:ascii="宋体" w:hAnsi="宋体" w:cs="宋体"/>
          <w:sz w:val="22"/>
          <w:highlight w:val="none"/>
        </w:rPr>
        <w:t xml:space="preserve">大写人民币</w:t>
      </w:r>
      <w:r>
        <w:rPr>
          <w:rFonts w:hint="eastAsia" w:ascii="宋体" w:hAnsi="宋体" w:cs="宋体"/>
          <w:sz w:val="22"/>
          <w:highlight w:val="none"/>
          <w:u w:val="single"/>
        </w:rPr>
        <w:t xml:space="preserve">           </w:t>
      </w:r>
      <w:r>
        <w:rPr>
          <w:rFonts w:hint="eastAsia" w:ascii="宋体" w:hAnsi="宋体" w:cs="宋体"/>
          <w:sz w:val="22"/>
          <w:highlight w:val="none"/>
        </w:rPr>
        <w:t xml:space="preserve">元整，小写￥</w:t>
      </w:r>
      <w:r>
        <w:rPr>
          <w:rFonts w:hint="eastAsia" w:ascii="宋体" w:hAnsi="宋体" w:cs="宋体"/>
          <w:sz w:val="22"/>
          <w:highlight w:val="none"/>
          <w:u w:val="single"/>
        </w:rPr>
        <w:t xml:space="preserve">                  </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中标编目单价：</w:t>
      </w:r>
      <w:r>
        <w:rPr>
          <w:rFonts w:hint="eastAsia" w:ascii="宋体" w:hAnsi="宋体" w:cs="宋体"/>
          <w:sz w:val="22"/>
          <w:highlight w:val="none"/>
        </w:rPr>
        <w:t xml:space="preserve">大写人民币</w:t>
      </w:r>
      <w:r>
        <w:rPr>
          <w:rFonts w:hint="eastAsia" w:ascii="宋体" w:hAnsi="宋体" w:cs="宋体"/>
          <w:sz w:val="22"/>
          <w:highlight w:val="none"/>
          <w:u w:val="single"/>
        </w:rPr>
        <w:t xml:space="preserve">           </w:t>
      </w:r>
      <w:r>
        <w:rPr>
          <w:rFonts w:hint="eastAsia" w:ascii="宋体" w:hAnsi="宋体" w:cs="宋体"/>
          <w:sz w:val="22"/>
          <w:highlight w:val="none"/>
        </w:rPr>
        <w:t xml:space="preserve">元整，小写￥</w:t>
      </w:r>
      <w:r>
        <w:rPr>
          <w:rFonts w:hint="eastAsia" w:ascii="宋体" w:hAnsi="宋体" w:cs="宋体"/>
          <w:sz w:val="22"/>
          <w:highlight w:val="none"/>
          <w:u w:val="single"/>
        </w:rPr>
        <w:t xml:space="preserve">                  </w:t>
      </w:r>
      <w:r>
        <w:rPr>
          <w:rFonts w:hint="eastAsia" w:ascii="宋体" w:hAnsi="宋体" w:cs="宋体"/>
          <w:bCs/>
          <w:sz w:val="24"/>
          <w:szCs w:val="24"/>
          <w:highlight w:val="none"/>
        </w:rPr>
        <w:t xml:space="preserve">。实际结算以中标编目单价和“一张网”系统统计的各单位实际编目页数为准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合同金额</w:t>
      </w:r>
      <w:r>
        <w:rPr>
          <w:rFonts w:hint="eastAsia" w:ascii="宋体" w:hAnsi="宋体" w:cs="宋体"/>
          <w:sz w:val="24"/>
          <w:szCs w:val="24"/>
          <w:highlight w:val="none"/>
        </w:rPr>
        <w:t xml:space="preserve">包括在承包期内综合服务的需要的设备租赁费、设备运输、安装费、测试费、租赁期内的维修</w:t>
      </w:r>
      <w:r>
        <w:rPr>
          <w:rFonts w:hint="eastAsia" w:ascii="宋体" w:hAnsi="宋体" w:cs="宋体"/>
          <w:sz w:val="24"/>
          <w:szCs w:val="24"/>
          <w:highlight w:val="none"/>
        </w:rPr>
        <w:t xml:space="preserve">费及修理费、劳保、税金、利润、政策性文件规定及合同包含的所有风险、责任等各项应有费用。若实际完成编目页数超出采购预估页数，超出预估部分所产生的全部费用，均由乙方自行承担，采购人不作任何额外支付。其他除合同中另有规定，采购人不再支付其他任何费</w:t>
      </w:r>
      <w:r>
        <w:rPr>
          <w:rFonts w:hint="eastAsia" w:ascii="宋体" w:hAnsi="宋体" w:cs="宋体"/>
          <w:sz w:val="24"/>
          <w:szCs w:val="24"/>
          <w:highlight w:val="none"/>
        </w:rPr>
        <w:t xml:space="preserve">用。</w:t>
      </w:r>
      <w:r/>
    </w:p>
    <w:p>
      <w:pPr>
        <w:numPr>
          <w:ilvl w:val="0"/>
          <w:numId w:val="8"/>
        </w:numPr>
        <w:spacing w:line="360" w:lineRule="auto"/>
        <w:rPr>
          <w:rFonts w:ascii="宋体" w:hAnsi="宋体" w:cs="宋体"/>
          <w:sz w:val="24"/>
          <w:szCs w:val="24"/>
          <w:highlight w:val="none"/>
        </w:rPr>
      </w:pPr>
      <w:r>
        <w:rPr>
          <w:rFonts w:hint="eastAsia" w:ascii="宋体" w:hAnsi="宋体" w:cs="宋体"/>
          <w:sz w:val="24"/>
          <w:szCs w:val="24"/>
          <w:highlight w:val="none"/>
        </w:rPr>
        <w:t xml:space="preserve">付款步骤：</w:t>
      </w:r>
      <w:r/>
    </w:p>
    <w:p>
      <w:pPr>
        <w:numPr>
          <w:ilvl w:val="0"/>
          <w:numId w:val="9"/>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合同签订后，支付为合同金额的50%作为预付款，服务期结束后，经甲方考核合格并进行实际结算后支付剩余费用。</w:t>
      </w:r>
      <w:r/>
    </w:p>
    <w:p>
      <w:pPr>
        <w:numPr>
          <w:ilvl w:val="0"/>
          <w:numId w:val="9"/>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支付主体：各法院根据确定的比例金额，独立、分别向中标单位支付其应承担的部分。中标单位应向各法院分别出具相应金额有效发票。</w:t>
      </w:r>
      <w:r/>
    </w:p>
    <w:p>
      <w:pPr>
        <w:numPr>
          <w:ilvl w:val="0"/>
          <w:numId w:val="8"/>
        </w:numPr>
        <w:spacing w:line="360" w:lineRule="auto"/>
        <w:rPr>
          <w:rFonts w:ascii="宋体" w:hAnsi="宋体" w:cs="宋体"/>
          <w:sz w:val="24"/>
          <w:szCs w:val="24"/>
          <w:highlight w:val="none"/>
        </w:rPr>
      </w:pPr>
      <w:r>
        <w:rPr>
          <w:rFonts w:hint="eastAsia" w:ascii="宋体" w:hAnsi="宋体" w:cs="宋体"/>
          <w:sz w:val="24"/>
          <w:szCs w:val="24"/>
          <w:highlight w:val="none"/>
        </w:rPr>
        <w:t xml:space="preserve">付款前，乙方要求付款应提供以下资料：</w:t>
      </w:r>
      <w:r/>
    </w:p>
    <w:p>
      <w:pPr>
        <w:ind w:left="425" w:firstLine="35"/>
        <w:spacing w:line="360" w:lineRule="auto"/>
        <w:rPr>
          <w:rFonts w:ascii="宋体" w:hAnsi="宋体" w:cs="宋体"/>
          <w:sz w:val="24"/>
          <w:szCs w:val="20"/>
          <w:highlight w:val="none"/>
        </w:rPr>
      </w:pPr>
      <w:r>
        <w:rPr>
          <w:rFonts w:hint="eastAsia" w:ascii="宋体" w:hAnsi="宋体" w:cs="宋体"/>
          <w:sz w:val="24"/>
          <w:szCs w:val="20"/>
          <w:highlight w:val="none"/>
        </w:rPr>
        <w:t xml:space="preserve">1</w:t>
      </w:r>
      <w:r>
        <w:rPr>
          <w:rFonts w:ascii="宋体" w:hAnsi="宋体" w:cs="宋体"/>
          <w:sz w:val="24"/>
          <w:szCs w:val="20"/>
          <w:highlight w:val="none"/>
        </w:rPr>
        <w:t xml:space="preserve">.</w:t>
      </w:r>
      <w:r>
        <w:rPr>
          <w:rFonts w:hint="eastAsia" w:ascii="宋体" w:hAnsi="宋体" w:cs="宋体"/>
          <w:sz w:val="24"/>
          <w:szCs w:val="20"/>
          <w:highlight w:val="none"/>
        </w:rPr>
        <w:t xml:space="preserve">合格的发票；</w:t>
      </w:r>
      <w:r/>
    </w:p>
    <w:p>
      <w:pPr>
        <w:numPr>
          <w:ilvl w:val="0"/>
          <w:numId w:val="8"/>
        </w:numPr>
        <w:spacing w:line="360" w:lineRule="auto"/>
        <w:rPr>
          <w:rFonts w:ascii="宋体" w:hAnsi="宋体" w:cs="宋体"/>
          <w:sz w:val="24"/>
          <w:szCs w:val="24"/>
          <w:highlight w:val="none"/>
        </w:rPr>
      </w:pPr>
      <w:r>
        <w:rPr>
          <w:rFonts w:hint="eastAsia" w:ascii="宋体" w:hAnsi="宋体" w:cs="宋体"/>
          <w:sz w:val="24"/>
          <w:szCs w:val="24"/>
          <w:highlight w:val="none"/>
        </w:rPr>
        <w:t xml:space="preserve">付款方式：银行转帐。</w:t>
      </w:r>
      <w:r/>
    </w:p>
    <w:p>
      <w:pPr>
        <w:numPr>
          <w:ilvl w:val="0"/>
          <w:numId w:val="8"/>
        </w:numPr>
        <w:spacing w:line="360" w:lineRule="auto"/>
        <w:rPr>
          <w:rFonts w:ascii="宋体" w:hAnsi="宋体" w:cs="宋体"/>
          <w:sz w:val="24"/>
          <w:szCs w:val="24"/>
          <w:highlight w:val="none"/>
        </w:rPr>
      </w:pPr>
      <w:r>
        <w:rPr>
          <w:rFonts w:hint="eastAsia" w:ascii="宋体" w:hAnsi="宋体" w:cs="宋体"/>
          <w:sz w:val="24"/>
          <w:szCs w:val="24"/>
          <w:highlight w:val="none"/>
        </w:rPr>
        <w:t xml:space="preserve">根据国家现行税法对甲方征收的与本合同有关的税费均由甲方承担；根据国家现行税法对乙方征收的与本合同有关的一切税费均由乙方承担。</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甲、乙双方的责任</w:t>
      </w:r>
      <w:r/>
    </w:p>
    <w:p>
      <w:pPr>
        <w:numPr>
          <w:ilvl w:val="0"/>
          <w:numId w:val="10"/>
        </w:numPr>
        <w:spacing w:line="360" w:lineRule="auto"/>
        <w:rPr>
          <w:rFonts w:ascii="宋体" w:hAnsi="宋体"/>
          <w:sz w:val="24"/>
          <w:szCs w:val="24"/>
          <w:highlight w:val="none"/>
        </w:rPr>
      </w:pPr>
      <w:r>
        <w:rPr>
          <w:rFonts w:hint="eastAsia" w:ascii="宋体" w:hAnsi="宋体"/>
          <w:sz w:val="24"/>
          <w:szCs w:val="24"/>
          <w:highlight w:val="none"/>
        </w:rPr>
        <w:t xml:space="preserve">甲方责任：</w:t>
      </w:r>
      <w:r/>
    </w:p>
    <w:p>
      <w:pPr>
        <w:numPr>
          <w:ilvl w:val="0"/>
          <w:numId w:val="11"/>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依本合同约定按期支付合同款项；</w:t>
      </w:r>
      <w:r/>
    </w:p>
    <w:p>
      <w:pPr>
        <w:numPr>
          <w:ilvl w:val="0"/>
          <w:numId w:val="11"/>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依本合同约定及时组织验收；</w:t>
      </w:r>
      <w:r/>
    </w:p>
    <w:p>
      <w:pPr>
        <w:numPr>
          <w:ilvl w:val="0"/>
          <w:numId w:val="11"/>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协助乙方进行项目的相关协调工作及约定期限内提供相关资料以利于开展项目。</w:t>
      </w:r>
      <w:r/>
    </w:p>
    <w:p>
      <w:pPr>
        <w:numPr>
          <w:ilvl w:val="0"/>
          <w:numId w:val="10"/>
        </w:numPr>
        <w:spacing w:line="360" w:lineRule="auto"/>
        <w:rPr>
          <w:rFonts w:ascii="宋体" w:hAnsi="宋体"/>
          <w:sz w:val="24"/>
          <w:szCs w:val="24"/>
          <w:highlight w:val="none"/>
        </w:rPr>
      </w:pPr>
      <w:r>
        <w:rPr>
          <w:rFonts w:hint="eastAsia" w:ascii="宋体" w:hAnsi="宋体"/>
          <w:sz w:val="24"/>
          <w:szCs w:val="24"/>
          <w:highlight w:val="none"/>
        </w:rPr>
        <w:t xml:space="preserve">乙方责任：</w:t>
      </w:r>
      <w:r/>
    </w:p>
    <w:p>
      <w:pPr>
        <w:numPr>
          <w:ilvl w:val="0"/>
          <w:numId w:val="12"/>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乙方负责完成本次采购要求的全部服务工作，乙方应按采购文件及合同约定的技术规范、标准进行实施，并保证按期、保质保量完成项目的实施工作，对提交的项目质量负责。</w:t>
      </w:r>
      <w:r/>
    </w:p>
    <w:p>
      <w:pPr>
        <w:numPr>
          <w:ilvl w:val="0"/>
          <w:numId w:val="12"/>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在本合同期内或合同终止后，未经得甲方同意，不得泄露与本项目有关的保密资料。</w:t>
      </w:r>
      <w:r/>
    </w:p>
    <w:p>
      <w:pPr>
        <w:numPr>
          <w:ilvl w:val="0"/>
          <w:numId w:val="12"/>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乙方的用工（包括管理人员和工作人员等）必须符合国家用工的相关规定。</w:t>
      </w:r>
      <w:r/>
    </w:p>
    <w:p>
      <w:pPr>
        <w:numPr>
          <w:ilvl w:val="0"/>
          <w:numId w:val="12"/>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法规、政策规定由乙方承担的其他责任。</w:t>
      </w:r>
      <w:r/>
    </w:p>
    <w:p>
      <w:pPr>
        <w:numPr>
          <w:ilvl w:val="0"/>
          <w:numId w:val="6"/>
        </w:numPr>
        <w:spacing w:line="360" w:lineRule="auto"/>
        <w:rPr>
          <w:rFonts w:ascii="宋体" w:hAnsi="宋体"/>
          <w:b/>
          <w:bCs/>
          <w:sz w:val="24"/>
          <w:szCs w:val="24"/>
          <w:highlight w:val="none"/>
        </w:rPr>
        <w:outlineLvl w:val="1"/>
      </w:pPr>
      <w:r>
        <w:rPr>
          <w:rFonts w:hint="eastAsia" w:ascii="宋体" w:hAnsi="宋体"/>
          <w:b/>
          <w:bCs/>
          <w:sz w:val="24"/>
          <w:szCs w:val="24"/>
          <w:highlight w:val="none"/>
        </w:rPr>
        <w:t xml:space="preserve">乙方违约责任</w:t>
      </w:r>
      <w:r/>
    </w:p>
    <w:p>
      <w:pPr>
        <w:numPr>
          <w:ilvl w:val="0"/>
          <w:numId w:val="13"/>
        </w:numPr>
        <w:spacing w:line="360" w:lineRule="auto"/>
        <w:rPr>
          <w:rFonts w:ascii="宋体" w:hAnsi="宋体" w:cs="宋体"/>
          <w:sz w:val="24"/>
          <w:szCs w:val="24"/>
          <w:highlight w:val="none"/>
        </w:rPr>
      </w:pPr>
      <w:r>
        <w:rPr>
          <w:rFonts w:hint="eastAsia" w:ascii="宋体" w:hAnsi="宋体" w:cs="宋体"/>
          <w:sz w:val="24"/>
          <w:szCs w:val="24"/>
          <w:highlight w:val="none"/>
        </w:rPr>
        <w:t xml:space="preserve">在合同生效后，乙方非因甲方原因要求解除合同的，应向甲方偿付合同总价款5%的违约金，违约金不足以补偿损失的，甲方有权要求乙方补足。</w:t>
      </w:r>
      <w:r/>
    </w:p>
    <w:p>
      <w:pPr>
        <w:numPr>
          <w:ilvl w:val="0"/>
          <w:numId w:val="13"/>
        </w:numPr>
        <w:spacing w:line="360" w:lineRule="auto"/>
        <w:rPr>
          <w:rFonts w:ascii="宋体" w:hAnsi="宋体" w:cs="宋体"/>
          <w:sz w:val="24"/>
          <w:szCs w:val="24"/>
          <w:highlight w:val="none"/>
        </w:rPr>
      </w:pPr>
      <w:r>
        <w:rPr>
          <w:rFonts w:hint="eastAsia" w:ascii="宋体" w:hAnsi="宋体" w:cs="宋体"/>
          <w:sz w:val="24"/>
          <w:szCs w:val="24"/>
          <w:highlight w:val="none"/>
        </w:rPr>
        <w:t xml:space="preserve">乙方未按合同规定的质量要求提供服务，不能完成合同时，甲方有权解除合同，乙方向甲方偿付合同总价款5%的违约金，违约金不足以补偿损失的甲方有权要求乙方补足。</w:t>
      </w:r>
      <w:r/>
    </w:p>
    <w:p>
      <w:pPr>
        <w:numPr>
          <w:ilvl w:val="0"/>
          <w:numId w:val="13"/>
        </w:numPr>
        <w:spacing w:line="360" w:lineRule="auto"/>
        <w:rPr>
          <w:rFonts w:ascii="宋体" w:hAnsi="宋体" w:cs="宋体"/>
          <w:sz w:val="24"/>
          <w:szCs w:val="24"/>
          <w:highlight w:val="none"/>
        </w:rPr>
      </w:pPr>
      <w:r>
        <w:rPr>
          <w:rFonts w:hint="eastAsia" w:ascii="宋体" w:hAnsi="宋体" w:cs="宋体"/>
          <w:sz w:val="24"/>
          <w:szCs w:val="24"/>
          <w:highlight w:val="none"/>
        </w:rPr>
        <w:t xml:space="preserve">乙方必须自己完成合同内容，不得自行分包，否则，甲方有权按乙方不能完成合同处理。</w:t>
      </w:r>
      <w:r/>
    </w:p>
    <w:p>
      <w:pPr>
        <w:numPr>
          <w:ilvl w:val="0"/>
          <w:numId w:val="13"/>
        </w:numPr>
        <w:spacing w:line="360" w:lineRule="auto"/>
        <w:rPr>
          <w:rFonts w:ascii="宋体" w:hAnsi="宋体" w:cs="宋体"/>
          <w:sz w:val="24"/>
          <w:szCs w:val="24"/>
          <w:highlight w:val="none"/>
        </w:rPr>
      </w:pPr>
      <w:r>
        <w:rPr>
          <w:rFonts w:hint="eastAsia" w:ascii="宋体" w:hAnsi="宋体" w:cs="宋体"/>
          <w:sz w:val="24"/>
          <w:szCs w:val="24"/>
          <w:highlight w:val="none"/>
        </w:rPr>
        <w:t xml:space="preserve">如乙方延期完成项目任务（延期时间超过7天），除不可抗拒的因素外，乙方应向甲方就延期偿还违约金，具体按合同的总价款每日0.04%支付，延期时间超过2周，甲方有权终止合同履行，并保留进一步追诉权利。</w:t>
      </w:r>
      <w:r/>
    </w:p>
    <w:p>
      <w:pPr>
        <w:numPr>
          <w:ilvl w:val="0"/>
          <w:numId w:val="6"/>
        </w:numPr>
        <w:spacing w:line="360" w:lineRule="auto"/>
        <w:rPr>
          <w:rFonts w:ascii="宋体" w:hAnsi="宋体"/>
          <w:b/>
          <w:bCs/>
          <w:sz w:val="24"/>
          <w:szCs w:val="24"/>
          <w:highlight w:val="none"/>
        </w:rPr>
        <w:outlineLvl w:val="1"/>
      </w:pPr>
      <w:r>
        <w:rPr>
          <w:rFonts w:hint="eastAsia" w:ascii="宋体" w:hAnsi="宋体"/>
          <w:b/>
          <w:bCs/>
          <w:sz w:val="24"/>
          <w:szCs w:val="24"/>
          <w:highlight w:val="none"/>
        </w:rPr>
        <w:t xml:space="preserve">保密要求</w:t>
      </w:r>
      <w:r/>
    </w:p>
    <w:p>
      <w:pPr>
        <w:numPr>
          <w:ilvl w:val="0"/>
          <w:numId w:val="14"/>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乙方承诺，合同履行期间及终止后，乙方必须采取措施对本项目服务过程中的数据、技术文档等资料保密。由于乙方原因导致的上述资料泄密，乙方必须承担一切责任。</w:t>
      </w:r>
      <w:r/>
    </w:p>
    <w:p>
      <w:pPr>
        <w:numPr>
          <w:ilvl w:val="0"/>
          <w:numId w:val="14"/>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乙方在此承认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numPr>
          <w:ilvl w:val="0"/>
          <w:numId w:val="14"/>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如甲方要求，乙方必须签署甲方提供的保密协议。</w:t>
      </w:r>
      <w:r/>
    </w:p>
    <w:p>
      <w:pPr>
        <w:numPr>
          <w:ilvl w:val="0"/>
          <w:numId w:val="14"/>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若乙方违反上述保密义务的，全部收益归甲方所有，乙方向甲方支付合同总金额的 30%作为违约金，并另行应赔偿甲方因此遭受的全部损失（包括相应律师费用、差旅费等）。</w:t>
      </w:r>
      <w:r/>
    </w:p>
    <w:p>
      <w:pPr>
        <w:numPr>
          <w:ilvl w:val="0"/>
          <w:numId w:val="14"/>
        </w:numPr>
        <w:ind w:left="5" w:firstLine="455"/>
        <w:spacing w:line="360" w:lineRule="auto"/>
        <w:rPr>
          <w:rFonts w:ascii="宋体" w:hAnsi="宋体"/>
          <w:sz w:val="24"/>
          <w:szCs w:val="24"/>
          <w:highlight w:val="none"/>
        </w:rPr>
      </w:pPr>
      <w:r>
        <w:rPr>
          <w:rFonts w:hint="eastAsia" w:ascii="宋体" w:hAnsi="宋体"/>
          <w:sz w:val="24"/>
          <w:szCs w:val="24"/>
          <w:highlight w:val="none"/>
        </w:rPr>
        <w:t xml:space="preserve">无论本合同是否切实得到履行或因任何原因变更、解除、终止、失效等，本“保密要求”条款均始终有效。</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不可抗力</w:t>
      </w:r>
      <w:r/>
    </w:p>
    <w:p>
      <w:pPr>
        <w:numPr>
          <w:ilvl w:val="0"/>
          <w:numId w:val="15"/>
        </w:numPr>
        <w:spacing w:line="360" w:lineRule="auto"/>
        <w:rPr>
          <w:rFonts w:ascii="宋体" w:hAnsi="宋体" w:cs="宋体"/>
          <w:sz w:val="24"/>
          <w:szCs w:val="24"/>
          <w:highlight w:val="none"/>
        </w:rPr>
      </w:pPr>
      <w:r>
        <w:rPr>
          <w:rFonts w:hint="eastAsia" w:ascii="宋体" w:hAnsi="宋体" w:cs="宋体"/>
          <w:sz w:val="24"/>
          <w:szCs w:val="24"/>
          <w:highlight w:val="none"/>
        </w:rPr>
        <w:t xml:space="preserve">因不可抗力不能履行合同的，根据不可抗力的影响，部分或者全部免除责任。但合同一方延迟履行后发生不可抗力的，不能免除责任。</w:t>
      </w:r>
      <w:r/>
    </w:p>
    <w:p>
      <w:pPr>
        <w:numPr>
          <w:ilvl w:val="0"/>
          <w:numId w:val="15"/>
        </w:numPr>
        <w:spacing w:line="360" w:lineRule="auto"/>
        <w:rPr>
          <w:rFonts w:ascii="宋体" w:hAnsi="宋体" w:cs="宋体"/>
          <w:sz w:val="24"/>
          <w:szCs w:val="24"/>
          <w:highlight w:val="none"/>
        </w:rPr>
      </w:pPr>
      <w:r>
        <w:rPr>
          <w:rFonts w:hint="eastAsia" w:ascii="宋体" w:hAnsi="宋体" w:cs="宋体"/>
          <w:sz w:val="24"/>
          <w:szCs w:val="24"/>
          <w:highlight w:val="none"/>
        </w:rPr>
        <w:t xml:space="preserve">合同一方因不可抗力不能履行合同的，应当及时通知对方，以减轻可能给对方造成的损失，并应当在合理期限内提供证明。</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合同的解除和转让：</w:t>
      </w:r>
      <w:r/>
    </w:p>
    <w:p>
      <w:pPr>
        <w:numPr>
          <w:ilvl w:val="0"/>
          <w:numId w:val="16"/>
        </w:numPr>
        <w:spacing w:line="360" w:lineRule="auto"/>
        <w:rPr>
          <w:rFonts w:ascii="宋体" w:hAnsi="宋体" w:cs="宋体"/>
          <w:sz w:val="24"/>
          <w:szCs w:val="24"/>
          <w:highlight w:val="none"/>
        </w:rPr>
      </w:pPr>
      <w:r>
        <w:rPr>
          <w:rFonts w:hint="eastAsia" w:ascii="宋体" w:hAnsi="宋体" w:cs="宋体"/>
          <w:sz w:val="24"/>
          <w:szCs w:val="24"/>
          <w:highlight w:val="none"/>
        </w:rPr>
        <w:t xml:space="preserve">合同的解除</w:t>
      </w:r>
      <w:r/>
    </w:p>
    <w:p>
      <w:pPr>
        <w:numPr>
          <w:ilvl w:val="0"/>
          <w:numId w:val="17"/>
        </w:numPr>
        <w:ind w:left="5" w:firstLine="455"/>
        <w:spacing w:line="360" w:lineRule="auto"/>
        <w:tabs>
          <w:tab w:val="left" w:pos="463" w:leader="none"/>
        </w:tabs>
        <w:rPr>
          <w:rFonts w:ascii="宋体" w:hAnsi="宋体" w:cs="宋体"/>
          <w:sz w:val="24"/>
          <w:szCs w:val="24"/>
          <w:highlight w:val="none"/>
        </w:rPr>
      </w:pPr>
      <w:r>
        <w:rPr>
          <w:rFonts w:hint="eastAsia" w:ascii="宋体" w:hAnsi="宋体" w:cs="宋体"/>
          <w:sz w:val="24"/>
          <w:szCs w:val="24"/>
          <w:highlight w:val="none"/>
        </w:rPr>
        <w:t xml:space="preserve">甲方和乙方协商一致，可以解除合同。</w:t>
      </w:r>
      <w:r/>
    </w:p>
    <w:p>
      <w:pPr>
        <w:numPr>
          <w:ilvl w:val="0"/>
          <w:numId w:val="17"/>
        </w:numPr>
        <w:ind w:left="5" w:firstLine="455"/>
        <w:spacing w:line="360" w:lineRule="auto"/>
        <w:tabs>
          <w:tab w:val="left" w:pos="463" w:leader="none"/>
        </w:tabs>
        <w:rPr>
          <w:rFonts w:ascii="宋体" w:hAnsi="宋体" w:cs="宋体"/>
          <w:sz w:val="24"/>
          <w:szCs w:val="24"/>
          <w:highlight w:val="none"/>
        </w:rPr>
      </w:pPr>
      <w:r>
        <w:rPr>
          <w:rFonts w:hint="eastAsia" w:ascii="宋体" w:hAnsi="宋体" w:cs="宋体"/>
          <w:sz w:val="24"/>
          <w:szCs w:val="24"/>
          <w:highlight w:val="none"/>
        </w:rPr>
        <w:t xml:space="preserve">除非法律规定或本合同明确约定外，一方单方解除合同的，违约方除应履行本合同规定的其他义务外，还应赔偿守约方因该违约行为而产生或遭受的损失。</w:t>
      </w:r>
      <w:r/>
    </w:p>
    <w:p>
      <w:pPr>
        <w:numPr>
          <w:ilvl w:val="0"/>
          <w:numId w:val="17"/>
        </w:numPr>
        <w:ind w:left="5" w:firstLine="455"/>
        <w:spacing w:line="360" w:lineRule="auto"/>
        <w:tabs>
          <w:tab w:val="left" w:pos="463" w:leader="none"/>
        </w:tabs>
        <w:rPr>
          <w:rFonts w:ascii="宋体" w:hAnsi="宋体" w:cs="宋体"/>
          <w:sz w:val="24"/>
          <w:szCs w:val="24"/>
          <w:highlight w:val="none"/>
        </w:rPr>
      </w:pPr>
      <w:r>
        <w:rPr>
          <w:rFonts w:hint="eastAsia" w:ascii="宋体" w:hAnsi="宋体" w:cs="宋体"/>
          <w:sz w:val="24"/>
          <w:szCs w:val="24"/>
          <w:highlight w:val="none"/>
        </w:rPr>
        <w:t xml:space="preserve">有下列情形之一，合同一方可以解除合同：</w:t>
      </w:r>
      <w:r/>
    </w:p>
    <w:p>
      <w:pPr>
        <w:numPr>
          <w:ilvl w:val="1"/>
          <w:numId w:val="17"/>
        </w:numPr>
        <w:ind w:left="7" w:firstLine="453"/>
        <w:spacing w:line="360" w:lineRule="auto"/>
        <w:rPr>
          <w:rFonts w:ascii="宋体" w:hAnsi="宋体" w:cs="宋体"/>
          <w:sz w:val="24"/>
          <w:szCs w:val="24"/>
          <w:highlight w:val="none"/>
        </w:rPr>
      </w:pPr>
      <w:r>
        <w:rPr>
          <w:rFonts w:hint="eastAsia" w:ascii="宋体" w:hAnsi="宋体" w:cs="宋体"/>
          <w:sz w:val="24"/>
          <w:szCs w:val="24"/>
          <w:highlight w:val="none"/>
        </w:rPr>
        <w:t xml:space="preserve">因不可抗力致使不能实现合同目的，未受不可抗力影响的一方有权解除合同；</w:t>
      </w:r>
      <w:r/>
    </w:p>
    <w:p>
      <w:pPr>
        <w:numPr>
          <w:ilvl w:val="1"/>
          <w:numId w:val="17"/>
        </w:numPr>
        <w:ind w:left="7" w:firstLine="453"/>
        <w:spacing w:line="360" w:lineRule="auto"/>
        <w:rPr>
          <w:rFonts w:ascii="宋体" w:hAnsi="宋体" w:cs="宋体"/>
          <w:sz w:val="24"/>
          <w:szCs w:val="24"/>
          <w:highlight w:val="none"/>
        </w:rPr>
      </w:pPr>
      <w:r>
        <w:rPr>
          <w:rFonts w:hint="eastAsia" w:ascii="宋体" w:hAnsi="宋体" w:cs="宋体"/>
          <w:sz w:val="24"/>
          <w:szCs w:val="24"/>
          <w:highlight w:val="none"/>
        </w:rPr>
        <w:t xml:space="preserve">因合同一方违约导致合同不能履行，另一方有权解除合同。</w:t>
      </w:r>
      <w:r/>
    </w:p>
    <w:p>
      <w:pPr>
        <w:numPr>
          <w:ilvl w:val="1"/>
          <w:numId w:val="17"/>
        </w:numPr>
        <w:ind w:left="7" w:firstLine="453"/>
        <w:spacing w:line="360" w:lineRule="auto"/>
        <w:rPr>
          <w:rFonts w:ascii="宋体" w:hAnsi="宋体" w:cs="宋体"/>
          <w:sz w:val="24"/>
          <w:szCs w:val="24"/>
          <w:highlight w:val="none"/>
        </w:rPr>
      </w:pPr>
      <w:r>
        <w:rPr>
          <w:rFonts w:hint="eastAsia" w:ascii="宋体" w:hAnsi="宋体" w:cs="宋体"/>
          <w:sz w:val="24"/>
          <w:szCs w:val="24"/>
          <w:highlight w:val="none"/>
        </w:rPr>
        <w:t xml:space="preserve">有权解除合同的一方，应当在违约事实或不可抗力发生之后三十天内书面通知对方以主张解除合同，合同在书面通知到达对方时解除。</w:t>
      </w:r>
      <w:r/>
    </w:p>
    <w:p>
      <w:pPr>
        <w:numPr>
          <w:ilvl w:val="0"/>
          <w:numId w:val="16"/>
        </w:numPr>
        <w:spacing w:line="360" w:lineRule="auto"/>
        <w:rPr>
          <w:rFonts w:ascii="宋体" w:hAnsi="宋体" w:cs="宋体"/>
          <w:sz w:val="24"/>
          <w:szCs w:val="24"/>
          <w:highlight w:val="none"/>
        </w:rPr>
      </w:pPr>
      <w:r>
        <w:rPr>
          <w:rFonts w:hint="eastAsia" w:ascii="宋体" w:hAnsi="宋体" w:cs="宋体"/>
          <w:sz w:val="24"/>
          <w:szCs w:val="24"/>
          <w:highlight w:val="none"/>
        </w:rPr>
        <w:t xml:space="preserve">合同的转让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合同的部分和全部都不得转让。</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争议解决：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因履行本合同产生争议的，双方应友好协商解决；协商不成的，任何一方应通过向甲方所在地人民法院提起诉讼解决。</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合同的生效：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本合同经双方授权代表或法定代表人签字并加盖公章后生效。</w:t>
      </w:r>
      <w:r/>
    </w:p>
    <w:p>
      <w:pPr>
        <w:numPr>
          <w:ilvl w:val="0"/>
          <w:numId w:val="6"/>
        </w:numPr>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其他附则：</w:t>
      </w:r>
      <w:r/>
    </w:p>
    <w:p>
      <w:pPr>
        <w:numPr>
          <w:ilvl w:val="0"/>
          <w:numId w:val="18"/>
        </w:numPr>
        <w:spacing w:line="360" w:lineRule="auto"/>
        <w:rPr>
          <w:rFonts w:ascii="宋体" w:hAnsi="宋体" w:cs="宋体"/>
          <w:sz w:val="24"/>
          <w:szCs w:val="24"/>
          <w:highlight w:val="none"/>
        </w:rPr>
      </w:pPr>
      <w:r>
        <w:rPr>
          <w:rFonts w:hint="eastAsia" w:ascii="宋体" w:hAnsi="宋体" w:cs="宋体"/>
          <w:sz w:val="24"/>
          <w:szCs w:val="24"/>
          <w:highlight w:val="none"/>
        </w:rPr>
        <w:t xml:space="preserve">合同份数：本合同壹式陆份，甲方执叁份，乙方执贰份，采购代理机构执壹份，具有同等法律效力。</w:t>
      </w:r>
      <w:r/>
    </w:p>
    <w:p>
      <w:pPr>
        <w:numPr>
          <w:ilvl w:val="0"/>
          <w:numId w:val="18"/>
        </w:numPr>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未尽事宜应按《中华人民共和国民法典》及其它相关法律、法规之规定解释，在执行过程中双方在不违背本合同和采购文件的原则下协商解决，协商结果以书面形式盖章记录在案，作为本合同的附件，与本合同具有同等效力，</w:t>
      </w:r>
      <w:r>
        <w:rPr>
          <w:rFonts w:hint="eastAsia" w:ascii="宋体" w:hAnsi="宋体" w:cs="宋体"/>
          <w:sz w:val="24"/>
          <w:highlight w:val="none"/>
        </w:rPr>
        <w:t xml:space="preserve">须提交招标代理机构一份备存。</w:t>
      </w:r>
      <w:r/>
    </w:p>
    <w:p>
      <w:pPr>
        <w:pStyle w:val="913"/>
        <w:rPr>
          <w:highlight w:val="none"/>
          <w:lang w:val="en-US"/>
        </w:rPr>
      </w:pPr>
      <w:r>
        <w:rPr>
          <w:highlight w:val="none"/>
          <w:lang w:val="en-US"/>
        </w:rPr>
      </w:r>
      <w:r/>
    </w:p>
    <w:p>
      <w:pPr>
        <w:spacing w:line="360" w:lineRule="auto"/>
        <w:rPr>
          <w:rFonts w:ascii="宋体" w:hAnsi="宋体" w:cs="宋体"/>
          <w:sz w:val="24"/>
          <w:highlight w:val="none"/>
        </w:rPr>
      </w:pPr>
      <w:r>
        <w:rPr>
          <w:rFonts w:hint="eastAsia" w:ascii="宋体" w:hAnsi="宋体" w:cs="宋体"/>
          <w:sz w:val="24"/>
          <w:highlight w:val="none"/>
        </w:rPr>
        <w:t xml:space="preserve">甲方（公章）：                              乙方（公章）：</w:t>
      </w:r>
      <w:r/>
    </w:p>
    <w:p>
      <w:pPr>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法定代表人或授权代表（签字或盖章）：        法定代表人或授权代表（签字或盖章）： </w:t>
      </w:r>
      <w:r/>
    </w:p>
    <w:p>
      <w:pPr>
        <w:spacing w:line="360" w:lineRule="auto"/>
        <w:rPr>
          <w:rFonts w:ascii="宋体" w:hAnsi="宋体" w:cs="宋体"/>
          <w:sz w:val="24"/>
          <w:highlight w:val="none"/>
        </w:rPr>
      </w:pPr>
      <w:r>
        <w:rPr>
          <w:rFonts w:hint="eastAsia" w:ascii="宋体" w:hAnsi="宋体" w:cs="宋体"/>
          <w:sz w:val="24"/>
          <w:highlight w:val="none"/>
        </w:rPr>
        <w:t xml:space="preserve">签约日期：                                  签约日期： </w:t>
      </w:r>
      <w:r/>
    </w:p>
    <w:p>
      <w:pPr>
        <w:ind w:firstLine="480"/>
        <w:spacing w:line="360" w:lineRule="auto"/>
        <w:rPr>
          <w:rFonts w:ascii="宋体" w:hAnsi="宋体" w:cs="宋体"/>
          <w:bCs/>
          <w:color w:val="000000"/>
          <w:sz w:val="24"/>
          <w:szCs w:val="24"/>
          <w:highlight w:val="none"/>
        </w:rPr>
      </w:pPr>
      <w:r>
        <w:rPr>
          <w:rFonts w:hint="eastAsia" w:ascii="宋体" w:hAnsi="宋体" w:cs="宋体"/>
          <w:sz w:val="24"/>
          <w:szCs w:val="24"/>
          <w:highlight w:val="none"/>
        </w:rPr>
        <w:t xml:space="preserve">年     月     日                             年     月     日</w:t>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jc w:val="left"/>
        <w:rPr>
          <w:rFonts w:ascii="宋体" w:hAnsi="宋体"/>
          <w:highlight w:val="none"/>
        </w:rPr>
      </w:pPr>
      <w:r>
        <w:rPr>
          <w:rFonts w:hint="eastAsia" w:ascii="Times New Roman" w:hAnsi="Times New Roman"/>
          <w:szCs w:val="21"/>
          <w:highlight w:val="none"/>
        </w:rPr>
        <w:t xml:space="preserve">合同附件：</w:t>
      </w:r>
      <w:r/>
    </w:p>
    <w:p>
      <w:pPr>
        <w:ind w:firstLine="602"/>
        <w:jc w:val="center"/>
        <w:spacing w:line="440" w:lineRule="exact"/>
        <w:rPr>
          <w:rFonts w:ascii="Times New Roman" w:hAnsi="Times New Roman"/>
          <w:b/>
          <w:sz w:val="30"/>
          <w:szCs w:val="30"/>
          <w:highlight w:val="none"/>
        </w:rPr>
      </w:pPr>
      <w:r>
        <w:rPr>
          <w:rFonts w:hint="eastAsia" w:ascii="Times New Roman" w:hAnsi="Times New Roman"/>
          <w:b/>
          <w:sz w:val="30"/>
          <w:szCs w:val="30"/>
          <w:highlight w:val="none"/>
        </w:rPr>
        <w:t xml:space="preserve">苏州法院信息化建设合作厂商</w:t>
      </w:r>
      <w:r/>
    </w:p>
    <w:p>
      <w:pPr>
        <w:ind w:firstLine="602"/>
        <w:jc w:val="center"/>
        <w:spacing w:line="440" w:lineRule="exact"/>
        <w:rPr>
          <w:rFonts w:ascii="Times New Roman" w:hAnsi="Times New Roman"/>
          <w:b/>
          <w:sz w:val="30"/>
          <w:szCs w:val="30"/>
          <w:highlight w:val="none"/>
        </w:rPr>
      </w:pPr>
      <w:r>
        <w:rPr>
          <w:rFonts w:hint="eastAsia" w:ascii="Times New Roman" w:hAnsi="Times New Roman"/>
          <w:b/>
          <w:sz w:val="30"/>
          <w:szCs w:val="30"/>
          <w:highlight w:val="none"/>
        </w:rPr>
        <w:t xml:space="preserve">廉洁</w:t>
      </w:r>
      <w:r>
        <w:rPr>
          <w:rFonts w:ascii="Times New Roman" w:hAnsi="Times New Roman"/>
          <w:b/>
          <w:sz w:val="30"/>
          <w:szCs w:val="30"/>
          <w:highlight w:val="none"/>
        </w:rPr>
        <w:t xml:space="preserve">、保密、诚信三合一</w:t>
      </w:r>
      <w:r>
        <w:rPr>
          <w:rFonts w:hint="eastAsia" w:ascii="Times New Roman" w:hAnsi="Times New Roman"/>
          <w:b/>
          <w:sz w:val="30"/>
          <w:szCs w:val="30"/>
          <w:highlight w:val="none"/>
        </w:rPr>
        <w:t xml:space="preserve">保证合同</w:t>
      </w:r>
      <w:r/>
    </w:p>
    <w:p>
      <w:pPr>
        <w:ind w:firstLine="420"/>
        <w:jc w:val="center"/>
        <w:spacing w:line="360" w:lineRule="auto"/>
        <w:rPr>
          <w:rFonts w:ascii="Times New Roman" w:hAnsi="Times New Roman"/>
          <w:bCs/>
          <w:szCs w:val="21"/>
          <w:highlight w:val="none"/>
        </w:rPr>
      </w:pPr>
      <w:r>
        <w:rPr>
          <w:rFonts w:ascii="Times New Roman" w:hAnsi="Times New Roman"/>
          <w:bCs/>
          <w:szCs w:val="21"/>
          <w:highlight w:val="none"/>
        </w:rPr>
        <w:t xml:space="preserve">（凡与苏州法院有合同或合作关系厂商自愿签署本合同）</w:t>
      </w:r>
      <w:r/>
    </w:p>
    <w:p>
      <w:pPr>
        <w:ind w:firstLine="420"/>
        <w:spacing w:line="360" w:lineRule="auto"/>
        <w:rPr>
          <w:rFonts w:ascii="Times New Roman" w:hAnsi="Times New Roman"/>
          <w:szCs w:val="21"/>
          <w:highlight w:val="none"/>
        </w:rPr>
      </w:pPr>
      <w:r>
        <w:rPr>
          <w:rFonts w:ascii="Times New Roman" w:hAnsi="Times New Roman"/>
          <w:szCs w:val="21"/>
          <w:highlight w:val="none"/>
        </w:rPr>
      </w:r>
      <w:r/>
    </w:p>
    <w:p>
      <w:pPr>
        <w:ind w:firstLine="420"/>
        <w:spacing w:line="360" w:lineRule="auto"/>
        <w:rPr>
          <w:rFonts w:ascii="等线" w:hAnsi="等线" w:cs="等线"/>
          <w:szCs w:val="21"/>
          <w:highlight w:val="none"/>
        </w:rPr>
      </w:pPr>
      <w:r>
        <w:rPr>
          <w:rFonts w:hint="eastAsia" w:ascii="等线" w:hAnsi="等线" w:cs="等线"/>
          <w:szCs w:val="21"/>
          <w:highlight w:val="none"/>
        </w:rPr>
        <w:t xml:space="preserve">苏州市中级人民法院科技信息处、苏州各基层人民法院：</w:t>
      </w:r>
      <w:r/>
    </w:p>
    <w:p>
      <w:pPr>
        <w:ind w:firstLine="420"/>
        <w:spacing w:line="360" w:lineRule="auto"/>
        <w:rPr>
          <w:rFonts w:ascii="等线" w:hAnsi="等线" w:cs="等线"/>
          <w:szCs w:val="21"/>
          <w:highlight w:val="none"/>
        </w:rPr>
      </w:pPr>
      <w:r>
        <w:rPr>
          <w:rFonts w:hint="eastAsia" w:ascii="等线" w:hAnsi="等线" w:cs="等线"/>
          <w:szCs w:val="21"/>
          <w:highlight w:val="none"/>
        </w:rPr>
        <w:t xml:space="preserve">为深入贯彻党和国家关于推进反腐倡廉的一系列决策部署，有效防止在业务合作中违纪违法行为发生，积极营造廉洁诚信的业务合作关系，更好地服务人民法院信息化建设，我公司在参与苏州法院有关项目建设和服务中，自愿作出如下承诺：</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第一条</w:t>
      </w:r>
      <w:r>
        <w:rPr>
          <w:rFonts w:hint="eastAsia" w:ascii="等线" w:hAnsi="等线" w:cs="等线"/>
          <w:szCs w:val="21"/>
          <w:highlight w:val="none"/>
        </w:rPr>
        <w:t xml:space="preserve"> 加强本公司合作人员教育管理，认真执行廉洁自律的有关规定，自觉抵制各种不正之风。</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第二条</w:t>
      </w:r>
      <w:r>
        <w:rPr>
          <w:rFonts w:hint="eastAsia" w:ascii="等线" w:hAnsi="等线" w:cs="等线"/>
          <w:szCs w:val="21"/>
          <w:highlight w:val="none"/>
        </w:rPr>
        <w:t xml:space="preserve"> 不向苏州法院工作人员赠送礼品、礼金、现金、有价证券、支付凭证、商业预付卡、特产等。</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第三条</w:t>
      </w:r>
      <w:r>
        <w:rPr>
          <w:rFonts w:hint="eastAsia" w:ascii="等线" w:hAnsi="等线" w:cs="等线"/>
          <w:szCs w:val="21"/>
          <w:highlight w:val="none"/>
        </w:rPr>
        <w:t xml:space="preserve"> 不以任何理由为苏州法院工作人员及其家属报销应由其个人承担支付的费用。</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第四条</w:t>
      </w:r>
      <w:r>
        <w:rPr>
          <w:rFonts w:hint="eastAsia" w:ascii="等线" w:hAnsi="等线" w:cs="等线"/>
          <w:szCs w:val="21"/>
          <w:highlight w:val="none"/>
        </w:rPr>
        <w:t xml:space="preserve"> 不为苏州法院工作人员装修住房、婚丧、嫁娶以及出国（境）旅游等提供方便。</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第五条</w:t>
      </w:r>
      <w:r>
        <w:rPr>
          <w:rFonts w:hint="eastAsia" w:ascii="等线" w:hAnsi="等线" w:cs="等线"/>
          <w:szCs w:val="21"/>
          <w:highlight w:val="none"/>
        </w:rPr>
        <w:t xml:space="preserve"> 不邀请或为苏州法院工作人员提供有可能影响公正执行公务的宴请、住宿、健身、娱乐等非公务活动。</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第六条</w:t>
      </w:r>
      <w:r>
        <w:rPr>
          <w:rFonts w:hint="eastAsia" w:ascii="等线" w:hAnsi="等线" w:cs="等线"/>
          <w:szCs w:val="21"/>
          <w:highlight w:val="none"/>
        </w:rPr>
        <w:t xml:space="preserve"> 不邀请苏州法院工组人员进行赌博、色情等违纪违法活动。</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第七条</w:t>
      </w:r>
      <w:r>
        <w:rPr>
          <w:rFonts w:hint="eastAsia" w:ascii="等线" w:hAnsi="等线" w:cs="等线"/>
          <w:szCs w:val="21"/>
          <w:highlight w:val="none"/>
        </w:rPr>
        <w:t xml:space="preserve"> 不为苏州法院及工作人员提供超过规定标准的接待及安排。</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第八条</w:t>
      </w:r>
      <w:r>
        <w:rPr>
          <w:rFonts w:hint="eastAsia" w:ascii="等线" w:hAnsi="等线" w:cs="等线"/>
          <w:szCs w:val="21"/>
          <w:highlight w:val="none"/>
        </w:rPr>
        <w:t xml:space="preserve"> 不利用苏州法院名义从事不正当活动，不以项目建设等合作形式攫取不正当利益。</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第九条</w:t>
      </w:r>
      <w:r>
        <w:rPr>
          <w:rFonts w:hint="eastAsia" w:ascii="等线" w:hAnsi="等线" w:cs="等线"/>
          <w:szCs w:val="21"/>
          <w:highlight w:val="none"/>
        </w:rPr>
        <w:t xml:space="preserve"> 不委托苏州工作人员打探案情、说情、送礼、转递材料等。</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第十条 </w:t>
      </w:r>
      <w:r>
        <w:rPr>
          <w:rFonts w:hint="eastAsia" w:ascii="等线" w:hAnsi="等线" w:cs="等线"/>
          <w:szCs w:val="21"/>
          <w:highlight w:val="none"/>
        </w:rPr>
        <w:t xml:space="preserve">不为苏州法院有关人员的特定关系人安排工作、兼职以及提供入股、干股分红或者其他不当利益。</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第十一条</w:t>
      </w:r>
      <w:r>
        <w:rPr>
          <w:rFonts w:hint="eastAsia" w:ascii="等线" w:hAnsi="等线" w:cs="等线"/>
          <w:szCs w:val="21"/>
          <w:highlight w:val="none"/>
        </w:rPr>
        <w:t xml:space="preserve"> 不参与串标、围标或其他不正当竞争，杜绝一切弄虚作假行为。</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第十二条</w:t>
      </w:r>
      <w:r>
        <w:rPr>
          <w:rFonts w:hint="eastAsia" w:ascii="等线" w:hAnsi="等线" w:cs="等线"/>
          <w:szCs w:val="21"/>
          <w:highlight w:val="none"/>
        </w:rPr>
        <w:t xml:space="preserve"> 不发生其他任何影响苏州法院公正履行职务的不廉洁行为。积极配合你院加强廉政建设，及时监督和举报你院人员不正当行为，形成双向监督、预防腐败的合力。</w:t>
      </w:r>
      <w:r/>
    </w:p>
    <w:p>
      <w:pPr>
        <w:ind w:firstLine="420"/>
        <w:spacing w:line="360" w:lineRule="auto"/>
        <w:rPr>
          <w:rFonts w:ascii="等线" w:hAnsi="等线" w:cs="等线"/>
          <w:b/>
          <w:szCs w:val="21"/>
          <w:highlight w:val="none"/>
        </w:rPr>
      </w:pPr>
      <w:r>
        <w:rPr>
          <w:rFonts w:hint="eastAsia" w:ascii="等线" w:hAnsi="等线" w:cs="等线"/>
          <w:szCs w:val="21"/>
          <w:highlight w:val="none"/>
        </w:rPr>
        <w:t xml:space="preserve">根据工作需要，我公司从事或者参与苏州法院网络与信息化建设，包括但不限于驻场运维工作。为此，就有关保密义务事项自愿遵守下列事项：</w:t>
      </w:r>
      <w:r/>
    </w:p>
    <w:p>
      <w:pPr>
        <w:ind w:firstLine="422"/>
        <w:spacing w:line="360" w:lineRule="auto"/>
        <w:rPr>
          <w:rFonts w:ascii="等线" w:hAnsi="等线" w:cs="等线"/>
          <w:szCs w:val="21"/>
          <w:highlight w:val="none"/>
        </w:rPr>
      </w:pPr>
      <w:r>
        <w:rPr>
          <w:rFonts w:hint="eastAsia" w:ascii="等线" w:hAnsi="等线" w:cs="等线"/>
          <w:b/>
          <w:szCs w:val="21"/>
          <w:highlight w:val="none"/>
        </w:rPr>
        <w:t xml:space="preserve">第十三条</w:t>
      </w:r>
      <w:r>
        <w:rPr>
          <w:rFonts w:hint="eastAsia" w:ascii="等线" w:hAnsi="等线" w:cs="等线"/>
          <w:szCs w:val="21"/>
          <w:highlight w:val="none"/>
        </w:rPr>
        <w:t xml:space="preserve"> 本公司保证，全面遵守国家、法院的保密法律法规，将始终严格履行保密义务，不会以包括但不限于誊写、复印、拍照、录音、录像等任何方式进行复制法院计算机所保存的信息，不会以任何形式将其泄露给第三方；本公司将采取严格、有效的内部保密制度和措施，加强保密教育学习，避免让无关的其他任何人员接触、获悉该涉密计算机上的信息。</w:t>
      </w:r>
      <w:r/>
    </w:p>
    <w:p>
      <w:pPr>
        <w:ind w:firstLine="422"/>
        <w:spacing w:line="360" w:lineRule="auto"/>
        <w:rPr>
          <w:rFonts w:ascii="等线" w:hAnsi="等线" w:cs="等线"/>
          <w:szCs w:val="21"/>
          <w:highlight w:val="none"/>
        </w:rPr>
      </w:pPr>
      <w:r>
        <w:rPr>
          <w:rFonts w:hint="eastAsia" w:ascii="等线" w:hAnsi="等线" w:cs="等线"/>
          <w:b/>
          <w:bCs/>
          <w:szCs w:val="21"/>
          <w:highlight w:val="none"/>
        </w:rPr>
        <w:t xml:space="preserve">第十四条</w:t>
      </w:r>
      <w:r>
        <w:rPr>
          <w:rFonts w:hint="eastAsia" w:ascii="等线" w:hAnsi="等线" w:cs="等线"/>
          <w:szCs w:val="21"/>
          <w:highlight w:val="none"/>
        </w:rPr>
        <w:t xml:space="preserve"> 对于本公司如有违反规定将承担包括但不限于民事和刑事责任，或本公司未能严格履行保密义务而可能被依法追究民事责任、行政责任或刑事责任的相关法律风险，本公司已有充分认识和了解。</w:t>
      </w:r>
      <w:r/>
    </w:p>
    <w:p>
      <w:pPr>
        <w:ind w:firstLine="422"/>
        <w:spacing w:line="360" w:lineRule="auto"/>
        <w:rPr>
          <w:rFonts w:ascii="等线" w:hAnsi="等线" w:cs="等线"/>
          <w:szCs w:val="21"/>
          <w:highlight w:val="none"/>
        </w:rPr>
      </w:pPr>
      <w:r>
        <w:rPr>
          <w:rFonts w:hint="eastAsia" w:ascii="等线" w:hAnsi="等线" w:cs="等线"/>
          <w:b/>
          <w:bCs/>
          <w:szCs w:val="21"/>
          <w:highlight w:val="none"/>
        </w:rPr>
        <w:t xml:space="preserve">第十五条</w:t>
      </w:r>
      <w:r>
        <w:rPr>
          <w:rFonts w:hint="eastAsia" w:ascii="等线" w:hAnsi="等线" w:cs="等线"/>
          <w:szCs w:val="21"/>
          <w:highlight w:val="none"/>
        </w:rPr>
        <w:t xml:space="preserve"> 本公司同意，苏州法院将按涉密人员管理相关规定对本公司及相关人员进行管理。</w:t>
      </w:r>
      <w:r/>
    </w:p>
    <w:p>
      <w:pPr>
        <w:ind w:firstLine="420"/>
        <w:spacing w:line="360" w:lineRule="auto"/>
        <w:rPr>
          <w:rFonts w:ascii="等线" w:hAnsi="等线" w:cs="等线"/>
          <w:color w:val="333333"/>
          <w:szCs w:val="21"/>
          <w:highlight w:val="none"/>
          <w:lang w:bidi="ar"/>
        </w:rPr>
      </w:pPr>
      <w:r>
        <w:rPr>
          <w:rFonts w:hint="eastAsia" w:ascii="等线" w:hAnsi="等线" w:cs="等线"/>
          <w:color w:val="333333"/>
          <w:szCs w:val="21"/>
          <w:highlight w:val="none"/>
          <w:lang w:bidi="ar"/>
        </w:rPr>
        <w:t xml:space="preserve">我公司将依照诚信原则履行义务，除应当按照合同约定履行自己的义务外，也要履行合同未做约定但依照诚信原则也应当履行的协助、告知、保密、防止损失扩大等义务。</w:t>
      </w:r>
      <w:r/>
    </w:p>
    <w:p>
      <w:pPr>
        <w:ind w:firstLine="210"/>
        <w:spacing w:line="360" w:lineRule="auto"/>
        <w:rPr>
          <w:rFonts w:ascii="等线" w:hAnsi="等线" w:cs="等线"/>
          <w:color w:val="333333"/>
          <w:szCs w:val="21"/>
          <w:highlight w:val="none"/>
          <w:lang w:bidi="ar"/>
        </w:rPr>
      </w:pPr>
      <w:r>
        <w:rPr>
          <w:rFonts w:hint="eastAsia" w:ascii="等线" w:hAnsi="等线" w:cs="等线"/>
          <w:color w:val="333333"/>
          <w:szCs w:val="21"/>
          <w:highlight w:val="none"/>
          <w:lang w:bidi="ar"/>
        </w:rPr>
        <w:t xml:space="preserve">  </w:t>
      </w:r>
      <w:r>
        <w:rPr>
          <w:rFonts w:hint="eastAsia" w:ascii="等线" w:hAnsi="等线" w:cs="等线"/>
          <w:b/>
          <w:bCs/>
          <w:color w:val="333333"/>
          <w:szCs w:val="21"/>
          <w:highlight w:val="none"/>
          <w:lang w:bidi="ar"/>
        </w:rPr>
        <w:t xml:space="preserve">第十六条</w:t>
      </w:r>
      <w:r>
        <w:rPr>
          <w:rFonts w:hint="eastAsia" w:ascii="等线" w:hAnsi="等线" w:cs="等线"/>
          <w:color w:val="333333"/>
          <w:szCs w:val="21"/>
          <w:highlight w:val="none"/>
          <w:lang w:bidi="ar"/>
        </w:rPr>
        <w:t xml:space="preserve"> 本公司按约履行合同义务，无论是单位改变名称、企业</w:t>
      </w:r>
      <w:r>
        <w:rPr>
          <w:rFonts w:ascii="等线" w:hAnsi="等线" w:cs="等线"/>
          <w:color w:val="333333"/>
          <w:szCs w:val="21"/>
          <w:highlight w:val="none"/>
          <w:lang w:bidi="ar"/>
        </w:rPr>
        <w:t xml:space="preserve">股权</w:t>
      </w:r>
      <w:r>
        <w:rPr>
          <w:rFonts w:hint="eastAsia" w:ascii="等线" w:hAnsi="等线" w:cs="等线"/>
          <w:color w:val="333333"/>
          <w:szCs w:val="21"/>
          <w:highlight w:val="none"/>
          <w:lang w:bidi="ar"/>
        </w:rPr>
        <w:t xml:space="preserve">易手，还是法定代表人、负责人、经办人变更，都不能成为不履行合同的理由。</w:t>
      </w:r>
      <w:r/>
    </w:p>
    <w:p>
      <w:pPr>
        <w:ind w:firstLine="422"/>
        <w:spacing w:line="360" w:lineRule="auto"/>
        <w:rPr>
          <w:rFonts w:ascii="等线" w:hAnsi="等线" w:cs="等线"/>
          <w:color w:val="333333"/>
          <w:szCs w:val="21"/>
          <w:highlight w:val="none"/>
          <w:lang w:bidi="ar"/>
        </w:rPr>
      </w:pPr>
      <w:r>
        <w:rPr>
          <w:rFonts w:hint="eastAsia" w:ascii="等线" w:hAnsi="等线" w:cs="等线"/>
          <w:b/>
          <w:bCs/>
          <w:color w:val="333333"/>
          <w:szCs w:val="21"/>
          <w:highlight w:val="none"/>
          <w:lang w:bidi="ar"/>
        </w:rPr>
        <w:t xml:space="preserve">第十七条</w:t>
      </w:r>
      <w:r>
        <w:rPr>
          <w:rFonts w:hint="eastAsia" w:ascii="等线" w:hAnsi="等线" w:cs="等线"/>
          <w:color w:val="333333"/>
          <w:szCs w:val="21"/>
          <w:highlight w:val="none"/>
          <w:lang w:bidi="ar"/>
        </w:rPr>
        <w:t xml:space="preserve"> 遇到市场价格发生剧烈波动时，本公司</w:t>
      </w:r>
      <w:r>
        <w:rPr>
          <w:rFonts w:ascii="等线" w:hAnsi="等线" w:cs="等线"/>
          <w:color w:val="333333"/>
          <w:szCs w:val="21"/>
          <w:highlight w:val="none"/>
          <w:lang w:bidi="ar"/>
        </w:rPr>
        <w:t xml:space="preserve">自愿</w:t>
      </w:r>
      <w:r>
        <w:rPr>
          <w:rFonts w:hint="eastAsia" w:ascii="等线" w:hAnsi="等线" w:cs="等线"/>
          <w:color w:val="333333"/>
          <w:szCs w:val="21"/>
          <w:highlight w:val="none"/>
          <w:lang w:bidi="ar"/>
        </w:rPr>
        <w:t xml:space="preserve">积极寻求利益最大化的纠纷解决方法，自愿不选择主动违约、解除合同、或者提起诉讼等方式解决</w:t>
      </w:r>
      <w:r>
        <w:rPr>
          <w:rFonts w:ascii="等线" w:hAnsi="等线" w:cs="等线"/>
          <w:color w:val="333333"/>
          <w:szCs w:val="21"/>
          <w:highlight w:val="none"/>
          <w:lang w:bidi="ar"/>
        </w:rPr>
        <w:t xml:space="preserve">。</w:t>
      </w:r>
      <w:r/>
    </w:p>
    <w:p>
      <w:pPr>
        <w:ind w:firstLine="422"/>
        <w:spacing w:line="360" w:lineRule="auto"/>
        <w:rPr>
          <w:rFonts w:ascii="等线" w:hAnsi="等线" w:cs="等线"/>
          <w:color w:val="333333"/>
          <w:szCs w:val="21"/>
          <w:highlight w:val="none"/>
          <w:lang w:bidi="ar"/>
        </w:rPr>
      </w:pPr>
      <w:r>
        <w:rPr>
          <w:rFonts w:hint="eastAsia" w:ascii="等线" w:hAnsi="等线" w:cs="等线"/>
          <w:b/>
          <w:bCs/>
          <w:color w:val="333333"/>
          <w:szCs w:val="21"/>
          <w:highlight w:val="none"/>
          <w:lang w:bidi="ar"/>
        </w:rPr>
        <w:t xml:space="preserve">第十八条</w:t>
      </w:r>
      <w:r>
        <w:rPr>
          <w:rFonts w:hint="eastAsia" w:ascii="等线" w:hAnsi="等线" w:cs="等线"/>
          <w:color w:val="333333"/>
          <w:szCs w:val="21"/>
          <w:highlight w:val="none"/>
          <w:lang w:bidi="ar"/>
        </w:rPr>
        <w:t xml:space="preserve">  在磋商、履行合同过程中，乃至履行完毕后，本公司保证不泄露商业信息甚至是商业秘密，否则将自愿承担相应责任。</w:t>
      </w:r>
      <w:r/>
    </w:p>
    <w:p>
      <w:pPr>
        <w:ind w:firstLine="422"/>
        <w:spacing w:line="360" w:lineRule="auto"/>
        <w:rPr>
          <w:rFonts w:ascii="等线" w:hAnsi="等线" w:cs="等线"/>
          <w:szCs w:val="21"/>
          <w:highlight w:val="none"/>
        </w:rPr>
      </w:pPr>
      <w:r>
        <w:rPr>
          <w:rFonts w:hint="eastAsia" w:ascii="等线" w:hAnsi="等线" w:cs="等线"/>
          <w:b/>
          <w:bCs/>
          <w:color w:val="333333"/>
          <w:szCs w:val="21"/>
          <w:highlight w:val="none"/>
          <w:lang w:bidi="ar"/>
        </w:rPr>
        <w:t xml:space="preserve">第十九条</w:t>
      </w:r>
      <w:r>
        <w:rPr>
          <w:rFonts w:hint="eastAsia" w:ascii="等线" w:hAnsi="等线" w:cs="等线"/>
          <w:color w:val="333333"/>
          <w:szCs w:val="21"/>
          <w:highlight w:val="none"/>
          <w:lang w:bidi="ar"/>
        </w:rPr>
        <w:t xml:space="preserve">  同意苏州法院适当行使不安抗辩权。在合同履行过程中，如果有确切证据证明本公司经营状况严重恶化、转移财产或者抽逃资金以逃避债务、丧失商业信誉、有丧失或可能丧失履行债务能力的其他情形的，</w:t>
      </w:r>
      <w:r>
        <w:rPr>
          <w:rFonts w:ascii="等线" w:hAnsi="等线" w:cs="等线"/>
          <w:color w:val="333333"/>
          <w:szCs w:val="21"/>
          <w:highlight w:val="none"/>
          <w:lang w:bidi="ar"/>
        </w:rPr>
        <w:t xml:space="preserve">或者存在</w:t>
      </w:r>
      <w:r>
        <w:rPr>
          <w:rFonts w:hint="eastAsia" w:ascii="等线" w:hAnsi="等线" w:cs="等线"/>
          <w:color w:val="333333"/>
          <w:szCs w:val="21"/>
          <w:highlight w:val="none"/>
          <w:lang w:bidi="ar"/>
        </w:rPr>
        <w:t xml:space="preserve">不完全履行义务情况，可及时通知本公司中止履行合同，等待本公司提供适当担保。中止履行后，本公司在合理期限内未恢复履行能力并且没有提供适当担保的，苏州法院可以解除合同。</w:t>
      </w:r>
      <w:r/>
    </w:p>
    <w:p>
      <w:pPr>
        <w:ind w:firstLine="422"/>
        <w:spacing w:line="360" w:lineRule="auto"/>
        <w:rPr>
          <w:rFonts w:ascii="等线" w:hAnsi="等线" w:cs="等线"/>
          <w:szCs w:val="21"/>
          <w:highlight w:val="none"/>
        </w:rPr>
      </w:pPr>
      <w:r>
        <w:rPr>
          <w:rFonts w:hint="eastAsia" w:ascii="等线" w:hAnsi="等线" w:cs="等线"/>
          <w:b/>
          <w:bCs/>
          <w:szCs w:val="21"/>
          <w:highlight w:val="none"/>
        </w:rPr>
        <w:t xml:space="preserve">第二十条 </w:t>
      </w:r>
      <w:r>
        <w:rPr>
          <w:rFonts w:hint="eastAsia" w:ascii="等线" w:hAnsi="等线" w:cs="等线"/>
          <w:szCs w:val="21"/>
          <w:highlight w:val="none"/>
        </w:rPr>
        <w:t xml:space="preserve"> 自觉遵守苏州两级法院信息化建设、运维、安全等方面的其他强制性规定、规范，特别是严格遵守苏州法院</w:t>
      </w:r>
      <w:r>
        <w:rPr>
          <w:rFonts w:ascii="等线" w:hAnsi="等线" w:cs="等线"/>
          <w:szCs w:val="21"/>
          <w:highlight w:val="none"/>
        </w:rPr>
        <w:t xml:space="preserve">网络</w:t>
      </w:r>
      <w:r>
        <w:rPr>
          <w:rFonts w:hint="eastAsia" w:ascii="等线" w:hAnsi="等线" w:cs="等线"/>
          <w:szCs w:val="21"/>
          <w:highlight w:val="none"/>
        </w:rPr>
        <w:t xml:space="preserve">安全规定、规范，对于各级网信办（包括但不限于发改委、大数据局等部门）和四级法院新增的网络安全规定、规范、要求无条件配合执行。</w:t>
      </w:r>
      <w:r/>
    </w:p>
    <w:p>
      <w:pPr>
        <w:ind w:firstLine="420"/>
        <w:spacing w:line="360" w:lineRule="auto"/>
        <w:rPr>
          <w:rFonts w:ascii="等线" w:hAnsi="等线" w:cs="等线"/>
          <w:szCs w:val="21"/>
          <w:highlight w:val="none"/>
        </w:rPr>
      </w:pPr>
      <w:r>
        <w:rPr>
          <w:rFonts w:hint="eastAsia" w:ascii="等线" w:hAnsi="等线" w:cs="等线"/>
          <w:szCs w:val="21"/>
          <w:highlight w:val="none"/>
        </w:rPr>
        <w:t xml:space="preserve">本公司作为人民法院信息化建设的合同、合作关系厂商，将以实际行动严肃维护最高人民法院、江苏省高院、苏州两级法院各项规定</w:t>
      </w:r>
      <w:r>
        <w:rPr>
          <w:rFonts w:ascii="等线" w:hAnsi="等线" w:cs="等线"/>
          <w:szCs w:val="21"/>
          <w:highlight w:val="none"/>
        </w:rPr>
        <w:t xml:space="preserve">、规范</w:t>
      </w:r>
      <w:r>
        <w:rPr>
          <w:rFonts w:hint="eastAsia" w:ascii="等线" w:hAnsi="等线" w:cs="等线"/>
          <w:szCs w:val="21"/>
          <w:highlight w:val="none"/>
        </w:rPr>
        <w:t xml:space="preserve">和要求，如有违反本合同承诺，自愿接受苏州法院相应处罚，并自愿退出承建苏州两级法院系统有关信息化建设项目，赔偿所有损失，接受苏州两级法院将其列入苏州法院系统信息化建设厂商失信名单；如同时构成犯罪的，自愿接受不高于合同金额百分之二十的经济处罚。</w:t>
      </w:r>
      <w:r/>
    </w:p>
    <w:p>
      <w:pPr>
        <w:ind w:firstLine="3735"/>
        <w:jc w:val="left"/>
        <w:spacing w:line="440" w:lineRule="exact"/>
        <w:rPr>
          <w:rFonts w:ascii="黑体" w:hAnsi="黑体" w:eastAsia="黑体"/>
          <w:b/>
          <w:sz w:val="24"/>
          <w:szCs w:val="24"/>
          <w:highlight w:val="none"/>
        </w:rPr>
      </w:pPr>
      <w:r>
        <w:rPr>
          <w:rFonts w:hint="eastAsia" w:ascii="黑体" w:hAnsi="黑体" w:eastAsia="黑体"/>
          <w:b/>
          <w:sz w:val="24"/>
          <w:szCs w:val="24"/>
          <w:highlight w:val="none"/>
        </w:rPr>
        <w:t xml:space="preserve">承诺人（盖章）：</w:t>
      </w:r>
      <w:r/>
    </w:p>
    <w:p>
      <w:pPr>
        <w:ind w:firstLine="3735"/>
        <w:jc w:val="left"/>
        <w:spacing w:line="440" w:lineRule="exact"/>
        <w:rPr>
          <w:rFonts w:ascii="黑体" w:hAnsi="黑体" w:eastAsia="黑体"/>
          <w:b/>
          <w:sz w:val="24"/>
          <w:szCs w:val="24"/>
          <w:highlight w:val="none"/>
        </w:rPr>
      </w:pPr>
      <w:r>
        <w:rPr>
          <w:rFonts w:hint="eastAsia" w:ascii="黑体" w:hAnsi="黑体" w:eastAsia="黑体"/>
          <w:b/>
          <w:sz w:val="24"/>
          <w:szCs w:val="24"/>
          <w:highlight w:val="none"/>
        </w:rPr>
        <w:t xml:space="preserve">公司代表：</w:t>
      </w:r>
      <w:r/>
    </w:p>
    <w:p>
      <w:pPr>
        <w:ind w:firstLine="3735"/>
        <w:jc w:val="left"/>
        <w:spacing w:line="440" w:lineRule="exact"/>
        <w:rPr>
          <w:rFonts w:ascii="黑体" w:hAnsi="黑体" w:eastAsia="黑体"/>
          <w:b/>
          <w:sz w:val="24"/>
          <w:szCs w:val="24"/>
          <w:highlight w:val="none"/>
        </w:rPr>
      </w:pPr>
      <w:r>
        <w:rPr>
          <w:rFonts w:hint="eastAsia" w:ascii="黑体" w:hAnsi="黑体" w:eastAsia="黑体"/>
          <w:b/>
          <w:sz w:val="24"/>
          <w:szCs w:val="24"/>
          <w:highlight w:val="none"/>
        </w:rPr>
        <w:t xml:space="preserve">签字时间：    年    月    日</w:t>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ascii="宋体" w:hAnsi="宋体" w:cs="宋体"/>
          <w:b/>
          <w:color w:val="000000"/>
          <w:sz w:val="24"/>
          <w:szCs w:val="24"/>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jc w:val="center"/>
        <w:spacing w:line="360" w:lineRule="auto"/>
        <w:rPr>
          <w:rFonts w:ascii="宋体" w:hAnsi="宋体" w:cs="宋体"/>
          <w:b/>
          <w:color w:val="000000"/>
          <w:sz w:val="24"/>
          <w:szCs w:val="24"/>
          <w:highlight w:val="none"/>
        </w:rPr>
        <w:outlineLvl w:val="0"/>
      </w:pPr>
      <w:r/>
      <w:bookmarkStart w:id="29" w:name="_Toc5187"/>
      <w:r>
        <w:rPr>
          <w:rFonts w:hint="eastAsia" w:ascii="宋体" w:hAnsi="宋体" w:cs="宋体"/>
          <w:b/>
          <w:color w:val="000000"/>
          <w:sz w:val="24"/>
          <w:szCs w:val="24"/>
          <w:highlight w:val="none"/>
        </w:rPr>
        <w:t xml:space="preserve">第六章 评分方法和评分标准</w:t>
      </w:r>
      <w:bookmarkEnd w:id="29"/>
      <w:r/>
      <w:r/>
    </w:p>
    <w:p>
      <w:pPr>
        <w:ind w:firstLine="480"/>
        <w:spacing w:line="360" w:lineRule="auto"/>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一、评分方法：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以抽签方式确定。</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6、针对中小型企业、残疾人福利企业和监狱企业的评审：</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根据《政府采购促进中小企业发展管理办法》（财库〔2020〕46号）、《关于</w:t>
      </w:r>
      <w:r>
        <w:rPr>
          <w:rFonts w:hint="eastAsia" w:ascii="宋体" w:hAnsi="宋体" w:cs="宋体"/>
          <w:color w:val="000000"/>
          <w:sz w:val="24"/>
          <w:szCs w:val="24"/>
          <w:highlight w:val="none"/>
        </w:rPr>
        <w:t xml:space="preserve">促进残疾人就业政府采购政策的通知》（财库〔2017〕141号）、《关于政府采购支持监狱企业发展有关问题的通知》（财库〔2014〕68号）、《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②若供应商提供的声明函或认定证明为虚假材料，按“政府采购法”相关规定处理并报请政府监管部门给予行政处罚。</w:t>
      </w:r>
      <w:r/>
    </w:p>
    <w:p>
      <w:pPr>
        <w:ind w:firstLine="480"/>
        <w:spacing w:line="360" w:lineRule="auto"/>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二、评分标准：</w:t>
      </w:r>
      <w:r/>
    </w:p>
    <w:p>
      <w:pPr>
        <w:ind w:firstLine="480"/>
        <w:spacing w:line="360" w:lineRule="auto"/>
        <w:rPr>
          <w:rFonts w:ascii="宋体" w:hAnsi="宋体" w:cs="宋体"/>
          <w:color w:val="000000"/>
          <w:highlight w:val="none"/>
        </w:rPr>
      </w:pPr>
      <w:r>
        <w:rPr>
          <w:rFonts w:hint="eastAsia" w:ascii="宋体" w:hAnsi="宋体" w:cs="宋体"/>
          <w:color w:val="000000"/>
          <w:sz w:val="24"/>
          <w:szCs w:val="24"/>
          <w:highlight w:val="none"/>
        </w:rPr>
        <w:t xml:space="preserve">总分值为100分，评审因素及各比重如下：价格分值占总分值的比重为</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％（权重），技术及其他分值占总分值的比重为</w:t>
      </w:r>
      <w:r>
        <w:rPr>
          <w:rFonts w:hint="eastAsia" w:ascii="宋体" w:hAnsi="宋体" w:cs="宋体"/>
          <w:color w:val="000000"/>
          <w:sz w:val="24"/>
          <w:szCs w:val="24"/>
          <w:highlight w:val="none"/>
          <w:lang w:val="en-US" w:eastAsia="zh-CN"/>
        </w:rPr>
        <w:t xml:space="preserve">90</w:t>
      </w:r>
      <w:r>
        <w:rPr>
          <w:rFonts w:hint="eastAsia" w:ascii="宋体" w:hAnsi="宋体" w:cs="宋体"/>
          <w:color w:val="000000"/>
          <w:sz w:val="24"/>
          <w:szCs w:val="24"/>
          <w:highlight w:val="none"/>
        </w:rPr>
        <w:t xml:space="preserve">％（权重）。</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(一)价格基准分：（1</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第一步：响应报价低于或等于财政预算价格的，为有效投标报价。超财政预算的响应报价为无效响应报价。无效响应报价的响应文件不进行评审，也不得标。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第二步：在所有有效响应报价中满足采购文件要求，且响应价格最低的响应报价为评标基准价，其价格分为1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分，其他响应单位的价格分按照下列公式计算（计算结果四舍五入保留两位小数）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磋商报价得分＝（磋商基准价/最终磋商报价）×价格权值×100（价格权值为1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（二）技术服务方案评价（6</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1、对本项目整体的理解（5分）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供应商提供的项目理解方案进行评审：包含但不限于：①项目概述、②项目需求分析、③无纸化办案理解和建议、④无纸化办案配套服务整体设计思路；上述方案进行综合评议。方案详尽、精细，科学合理，操作性强，得5分；方案较为全面，较详细合理、规范科学，得3分；方案简单，操作性一般，得1分；无则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2、</w:t>
      </w:r>
      <w:r>
        <w:rPr>
          <w:rFonts w:ascii="宋体" w:hAnsi="宋体" w:cs="宋体"/>
          <w:sz w:val="24"/>
          <w:szCs w:val="24"/>
          <w:highlight w:val="none"/>
        </w:rPr>
        <w:t xml:space="preserve">精细化集中编目服务</w:t>
      </w:r>
      <w:r>
        <w:rPr>
          <w:rFonts w:hint="eastAsia" w:ascii="宋体" w:hAnsi="宋体" w:cs="宋体"/>
          <w:sz w:val="24"/>
          <w:szCs w:val="24"/>
          <w:highlight w:val="none"/>
        </w:rPr>
        <w:t xml:space="preserve">（18分）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供应商提供的编目质检服务方案进行评审：包含但不限于①编目规范方案②材料名称编目规范手册（含民初，民终、财保、民特、刑初，刑终、执、执恢、执保、行初、行终、司救执等）③精细化编目服务④编目质检服务⑤编目服务流程⑥编目时效性方案⑦归目服务方案⑧编目服务岗位职责⑨要素信息提取服务；上述方案进行综合评议，每项2分，共计18分。每项方案内容较为全面、详细、方法较为可行的得2分；方案内容一般、详细程度一般、方法基本可行的得1分；未提供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3、核心能力配套方案（1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根据供应商拟投入本项目配套软件服务从主要功能系统截图和功能演示进行综合评审：</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1）根据供应商随服务提供的智能编目引擎能力进行评分：提供①对同份材料自动合并封装生成整份PDF文件②针对重点材料如保全申请、鉴定申请等材料在编目入卷时自动推送站内消息，提醒书记员与承办法官该重点材料已入卷③支持根据材料来源、案件类型、业务类型自动甄别紧急程度并优先自动分派④支持可视化编目规则配置和自定义材料命名拼接规范，四个核心业务场景每提供一个业务场景描述和操作步骤截图得1分，只有业务场景描述或只有截图不得分，本项最高得分4分，未提供不得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2）根据供应商提供的卷宗材料智能标注编目数据可视化平台进行评审：提供①实时展示两级法院电子卷宗随案生成率、卷宗规范率；②统计各法院扫描收办总量、页数、处理时长、时效达标率；③展示编目总量、日均工单、人均产能、任务完成率；④追踪材料接收、编目、归档全流程耗时，识别超时环节；⑤按日/周/月/季度输出业务趋势，自动计算同比、环比；⑥针对编目效率、时效达标率等关键指标自动预警；每提供一个功能截图得1分，本项最高得分6分，未提供不得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说明：提供相关功能截图作为证明材料，并加盖供应商公章。</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rPr>
        <w:t xml:space="preserve">根据供应商随本项目配套提供的服务工具能力演示进行评分。供应商须提供基于真实服务环境、体现业务全流程的服务能力演示音视频文件；演示视频须为真实服务工具操作，不得剪辑拼接、不得以配音覆盖服务工具操作原声，时长不超过15分钟，单个文件大小不超过300MB，视频文件格式为*.mp4或*.avi；未按要求提供或超过时长、大小限制的，本项不得分</w:t>
      </w:r>
      <w:r>
        <w:rPr>
          <w:rFonts w:hint="eastAsia" w:ascii="宋体" w:hAnsi="宋体" w:cs="宋体"/>
          <w:sz w:val="24"/>
          <w:szCs w:val="24"/>
          <w:highlight w:val="none"/>
        </w:rPr>
        <w:t xml:space="preserve">。具体评分如下：覆盖5项核心服务能力：①业务系统对接 ②编目团队配置 ③编目任务分派管理 ④编目办理。⑤大模型编目规则可视化配置。每个服务场景提供完整业务流程描述并结合视频演示证明服务能力真实可用得1分，本项最高5分；未提供不得分。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4、</w:t>
      </w:r>
      <w:r>
        <w:rPr>
          <w:rFonts w:ascii="宋体" w:hAnsi="宋体" w:cs="宋体"/>
          <w:sz w:val="24"/>
          <w:szCs w:val="24"/>
          <w:highlight w:val="none"/>
        </w:rPr>
        <w:t xml:space="preserve">服务标准和服务质量</w:t>
      </w:r>
      <w:r>
        <w:rPr>
          <w:rFonts w:hint="eastAsia" w:ascii="宋体" w:hAnsi="宋体" w:cs="宋体"/>
          <w:sz w:val="24"/>
          <w:szCs w:val="24"/>
          <w:highlight w:val="none"/>
        </w:rPr>
        <w:t xml:space="preserve">（6分）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1）根据供应商提供的服务标准方案进行评审：包含但不限于①电子卷宗随案同步生成标准②精细化编目标准规范（苏州地区）③案件卷宗排序标准；上述方案进行综合评议，每项1分，共计3分，每有一项缺项的扣1分，每有一项内容不完整或有缺陷的扣0.5分，扣完为止，未提供不得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2）根据供应商提供的服务绩效方案进行评审：包含但不限于①集中编目各岗位绩效考核体系②绩效考核管理办法③集中编目服务数据监管、统计与上报方案；上述方案进行综合评议，每项1分，共计3分，每有一项缺项的扣1分，每有一项内容不完整或有缺陷的扣0.5分，扣完为止，未提供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5、项目组织方案（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根据供应商提供的项目组织方案进行评审：包含但不限于①项目进度计划②内部管理架构③管理规章制度；</w:t>
      </w:r>
      <w:r>
        <w:rPr>
          <w:rFonts w:hint="eastAsia" w:ascii="宋体" w:hAnsi="宋体" w:cs="宋体"/>
          <w:sz w:val="24"/>
          <w:szCs w:val="24"/>
          <w:highlight w:val="none"/>
        </w:rPr>
        <w:t xml:space="preserve">④人力资源配置方案；</w:t>
      </w:r>
      <w:r>
        <w:rPr>
          <w:rFonts w:ascii="宋体" w:hAnsi="宋体" w:cs="宋体"/>
          <w:sz w:val="24"/>
          <w:szCs w:val="24"/>
          <w:highlight w:val="none"/>
        </w:rPr>
        <w:t xml:space="preserve">上述方案进行综合评议</w:t>
      </w:r>
      <w:r>
        <w:rPr>
          <w:rFonts w:hint="eastAsia" w:ascii="宋体" w:hAnsi="宋体" w:cs="宋体"/>
          <w:sz w:val="24"/>
          <w:szCs w:val="24"/>
          <w:highlight w:val="none"/>
        </w:rPr>
        <w:t xml:space="preserve">，</w:t>
      </w:r>
      <w:r>
        <w:rPr>
          <w:rFonts w:ascii="宋体" w:hAnsi="宋体" w:cs="宋体"/>
          <w:sz w:val="24"/>
          <w:szCs w:val="24"/>
          <w:highlight w:val="none"/>
        </w:rPr>
        <w:t xml:space="preserve">方案详尽、精细，科学合理，操作性强，得</w:t>
      </w:r>
      <w:r>
        <w:rPr>
          <w:rFonts w:hint="eastAsia" w:ascii="宋体" w:hAnsi="宋体" w:cs="宋体"/>
          <w:sz w:val="24"/>
          <w:szCs w:val="24"/>
          <w:highlight w:val="none"/>
          <w:lang w:val="en-US" w:eastAsia="zh-CN"/>
        </w:rPr>
        <w:t xml:space="preserve">10</w:t>
      </w:r>
      <w:r>
        <w:rPr>
          <w:rFonts w:ascii="宋体" w:hAnsi="宋体" w:cs="宋体"/>
          <w:sz w:val="24"/>
          <w:szCs w:val="24"/>
          <w:highlight w:val="none"/>
        </w:rPr>
        <w:t xml:space="preserve">分；方案较为全面，较详细合理、规范科学，得</w:t>
      </w:r>
      <w:r>
        <w:rPr>
          <w:rFonts w:hint="eastAsia" w:ascii="宋体" w:hAnsi="宋体" w:cs="宋体"/>
          <w:sz w:val="24"/>
          <w:szCs w:val="24"/>
          <w:highlight w:val="none"/>
          <w:lang w:val="en-US" w:eastAsia="zh-CN"/>
        </w:rPr>
        <w:t xml:space="preserve">5</w:t>
      </w:r>
      <w:r>
        <w:rPr>
          <w:rFonts w:ascii="宋体" w:hAnsi="宋体" w:cs="宋体"/>
          <w:sz w:val="24"/>
          <w:szCs w:val="24"/>
          <w:highlight w:val="none"/>
        </w:rPr>
        <w:t xml:space="preserve">分；方案简单，操作性一般，得</w:t>
      </w:r>
      <w:r>
        <w:rPr>
          <w:rFonts w:hint="eastAsia" w:ascii="宋体" w:hAnsi="宋体" w:cs="宋体"/>
          <w:sz w:val="24"/>
          <w:szCs w:val="24"/>
          <w:highlight w:val="none"/>
        </w:rPr>
        <w:t xml:space="preserve">3</w:t>
      </w:r>
      <w:r>
        <w:rPr>
          <w:rFonts w:ascii="宋体" w:hAnsi="宋体" w:cs="宋体"/>
          <w:sz w:val="24"/>
          <w:szCs w:val="24"/>
          <w:highlight w:val="none"/>
        </w:rPr>
        <w:t xml:space="preserve">分；不提供则不得分。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6、培训方案（3分）</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根据供应商提供的培训方案进行评审：包含但不限于①内部培训②法院端培训③员工培训管理制度；上述方案进行综合评议，方案详尽、精细，科学合理，操作性强，得</w:t>
      </w:r>
      <w:r>
        <w:rPr>
          <w:rFonts w:hint="eastAsia" w:ascii="宋体" w:hAnsi="宋体" w:cs="宋体"/>
          <w:sz w:val="24"/>
          <w:szCs w:val="24"/>
          <w:highlight w:val="none"/>
        </w:rPr>
        <w:t xml:space="preserve">3</w:t>
      </w:r>
      <w:r>
        <w:rPr>
          <w:rFonts w:ascii="宋体" w:hAnsi="宋体" w:cs="宋体"/>
          <w:sz w:val="24"/>
          <w:szCs w:val="24"/>
          <w:highlight w:val="none"/>
        </w:rPr>
        <w:t xml:space="preserve">分；方案较为全面，较详细合理、规范科学，得</w:t>
      </w:r>
      <w:r>
        <w:rPr>
          <w:rFonts w:hint="eastAsia" w:ascii="宋体" w:hAnsi="宋体" w:cs="宋体"/>
          <w:sz w:val="24"/>
          <w:szCs w:val="24"/>
          <w:highlight w:val="none"/>
        </w:rPr>
        <w:t xml:space="preserve">2</w:t>
      </w:r>
      <w:r>
        <w:rPr>
          <w:rFonts w:ascii="宋体" w:hAnsi="宋体" w:cs="宋体"/>
          <w:sz w:val="24"/>
          <w:szCs w:val="24"/>
          <w:highlight w:val="none"/>
        </w:rPr>
        <w:t xml:space="preserve">分；方案简单，操作性一般，得1分；不提供则不得分</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7、应急情况处理（</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根据供应商提供的应急情况处理方案进行评审：包含但不限于①应急事项的处理流程和处理方法②日常预防机制；上述方案进行综合评议，方案详尽、精细，科学合理，操作性强，得</w:t>
      </w:r>
      <w:r>
        <w:rPr>
          <w:rFonts w:hint="eastAsia" w:ascii="宋体" w:hAnsi="宋体" w:cs="宋体"/>
          <w:sz w:val="24"/>
          <w:szCs w:val="24"/>
          <w:highlight w:val="none"/>
          <w:lang w:val="en-US" w:eastAsia="zh-CN"/>
        </w:rPr>
        <w:t xml:space="preserve">5</w:t>
      </w:r>
      <w:r>
        <w:rPr>
          <w:rFonts w:ascii="宋体" w:hAnsi="宋体" w:cs="宋体"/>
          <w:sz w:val="24"/>
          <w:szCs w:val="24"/>
          <w:highlight w:val="none"/>
        </w:rPr>
        <w:t xml:space="preserve">分；方案较为全面，较详细合理、规范科学，得</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分；方案简单，操作性一般，得1分；不提供则不得分。</w:t>
      </w:r>
      <w:r/>
    </w:p>
    <w:p>
      <w:pPr>
        <w:ind w:firstLine="480"/>
        <w:spacing w:line="360" w:lineRule="auto"/>
        <w:rPr>
          <w:rFonts w:ascii="宋体" w:hAnsi="宋体" w:cs="宋体"/>
          <w:sz w:val="24"/>
          <w:szCs w:val="24"/>
          <w:highlight w:val="none"/>
        </w:rPr>
        <w:outlineLvl w:val="3"/>
      </w:pPr>
      <w:r>
        <w:rPr>
          <w:rFonts w:hint="eastAsia" w:ascii="宋体" w:hAnsi="宋体" w:cs="宋体"/>
          <w:sz w:val="24"/>
          <w:szCs w:val="24"/>
          <w:highlight w:val="none"/>
        </w:rPr>
        <w:t xml:space="preserve">8、</w:t>
      </w:r>
      <w:r>
        <w:rPr>
          <w:rFonts w:ascii="宋体" w:hAnsi="宋体" w:cs="宋体"/>
          <w:sz w:val="24"/>
          <w:szCs w:val="24"/>
          <w:highlight w:val="none"/>
        </w:rPr>
        <w:t xml:space="preserve">安全保密方案</w:t>
      </w:r>
      <w:r>
        <w:rPr>
          <w:rFonts w:hint="eastAsia" w:ascii="宋体" w:hAnsi="宋体" w:cs="宋体"/>
          <w:sz w:val="24"/>
          <w:szCs w:val="24"/>
          <w:highlight w:val="none"/>
        </w:rPr>
        <w:t xml:space="preserve">（5分）</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根据供应商提供的安全保密方案进行评审：包含但不限于①保密安全管理制度②保密安全管理规范③保密安全管理措施；上述方案进行综合评议，方案详尽、精细，科学合理，操作性强，得</w:t>
      </w:r>
      <w:r>
        <w:rPr>
          <w:rFonts w:hint="eastAsia" w:ascii="宋体" w:hAnsi="宋体" w:cs="宋体"/>
          <w:sz w:val="24"/>
          <w:szCs w:val="24"/>
          <w:highlight w:val="none"/>
        </w:rPr>
        <w:t xml:space="preserve">5</w:t>
      </w:r>
      <w:r>
        <w:rPr>
          <w:rFonts w:ascii="宋体" w:hAnsi="宋体" w:cs="宋体"/>
          <w:sz w:val="24"/>
          <w:szCs w:val="24"/>
          <w:highlight w:val="none"/>
        </w:rPr>
        <w:t xml:space="preserve">分；方案较为全面，较详细合理、规范科学，得</w:t>
      </w:r>
      <w:r>
        <w:rPr>
          <w:rFonts w:hint="eastAsia" w:ascii="宋体" w:hAnsi="宋体" w:cs="宋体"/>
          <w:sz w:val="24"/>
          <w:szCs w:val="24"/>
          <w:highlight w:val="none"/>
        </w:rPr>
        <w:t xml:space="preserve">3</w:t>
      </w:r>
      <w:r>
        <w:rPr>
          <w:rFonts w:ascii="宋体" w:hAnsi="宋体" w:cs="宋体"/>
          <w:sz w:val="24"/>
          <w:szCs w:val="24"/>
          <w:highlight w:val="none"/>
        </w:rPr>
        <w:t xml:space="preserve">分；方案简单，操作性一般，得1分；不提供则不得分</w:t>
      </w:r>
      <w:r>
        <w:rPr>
          <w:rFonts w:hint="eastAsia" w:ascii="宋体" w:hAnsi="宋体" w:cs="宋体"/>
          <w:sz w:val="24"/>
          <w:szCs w:val="24"/>
          <w:highlight w:val="none"/>
        </w:rPr>
        <w:t xml:space="preserve">。</w:t>
      </w:r>
      <w:r/>
    </w:p>
    <w:p>
      <w:pPr>
        <w:ind w:firstLine="420"/>
        <w:spacing w:line="360" w:lineRule="auto"/>
        <w:rPr>
          <w:rFonts w:ascii="宋体" w:hAnsi="宋体" w:cs="宋体"/>
          <w:b/>
          <w:bCs/>
          <w:sz w:val="24"/>
          <w:highlight w:val="none"/>
        </w:rPr>
        <w:outlineLvl w:val="2"/>
      </w:pPr>
      <w:r/>
      <w:bookmarkStart w:id="30" w:name="_GoBack"/>
      <w:r>
        <w:rPr>
          <w:rFonts w:hint="eastAsia" w:ascii="宋体" w:hAnsi="宋体" w:cs="宋体"/>
          <w:b/>
          <w:bCs/>
          <w:sz w:val="24"/>
          <w:highlight w:val="none"/>
        </w:rPr>
        <w:t xml:space="preserve">（三）人员情况（1</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分）</w:t>
      </w:r>
      <w:bookmarkEnd w:id="30"/>
      <w:r/>
      <w:r/>
    </w:p>
    <w:p>
      <w:pPr>
        <w:ind w:firstLine="420"/>
        <w:spacing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本项目团队中的项目负责人具有中级职称证书得</w:t>
      </w:r>
      <w:r>
        <w:rPr>
          <w:rFonts w:ascii="宋体" w:hAnsi="宋体" w:cs="宋体"/>
          <w:sz w:val="24"/>
          <w:szCs w:val="24"/>
          <w:highlight w:val="none"/>
        </w:rPr>
        <w:t xml:space="preserve">1分；副高级职称证书得</w:t>
      </w:r>
      <w:r>
        <w:rPr>
          <w:rFonts w:hint="eastAsia" w:ascii="宋体" w:hAnsi="宋体" w:cs="宋体"/>
          <w:sz w:val="24"/>
          <w:szCs w:val="24"/>
          <w:highlight w:val="none"/>
        </w:rPr>
        <w:t xml:space="preserve">2</w:t>
      </w:r>
      <w:r>
        <w:rPr>
          <w:rFonts w:ascii="宋体" w:hAnsi="宋体" w:cs="宋体"/>
          <w:sz w:val="24"/>
          <w:szCs w:val="24"/>
          <w:highlight w:val="none"/>
        </w:rPr>
        <w:t xml:space="preserve">分；正高级职称证书得</w:t>
      </w: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2、本项目团队中的技术经理（与项目负责人不得为同一人），具有系统集成项目管理工程师（中级）证书得 2分，具有注册信息安全专业人员（CISP）证书得2分，最高得 4分。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（3）响应单位投入本项目的项目组人员（项目负责人、技术经理除外）具有初级及以上相关专业工程师证书，每提供一个得1分，同一人员多本证书只计一次，同一证书多人持有只计一次，最高得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注：响应文件中需提供上述 1-3 项人员相关证书证明资料及响应单位为其缴纳的近</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个月社保证明，需加盖响应单位公章。不提供不得分</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（四）响应单位综合实力情况（</w:t>
      </w:r>
      <w:r>
        <w:rPr>
          <w:rFonts w:hint="eastAsia" w:ascii="宋体" w:hAnsi="宋体" w:cs="宋体"/>
          <w:b/>
          <w:bCs/>
          <w:sz w:val="24"/>
          <w:highlight w:val="none"/>
        </w:rPr>
        <w:t xml:space="preserve">5</w:t>
      </w:r>
      <w:r>
        <w:rPr>
          <w:rFonts w:hint="eastAsia" w:ascii="宋体" w:hAnsi="宋体" w:cs="宋体"/>
          <w:b/>
          <w:bCs/>
          <w:sz w:val="24"/>
          <w:highlight w:val="none"/>
        </w:rPr>
        <w:t xml:space="preserve">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（1）投标单位具有有效期内的信息安全管理体系认证证书、信息技术服务管理认证证书、质量管理体系认证证书、环境管理体系认证证书、职业健康安全管理体系认证证书的，每具有 1 个得 1分，最高5 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注：投标文件中需提供以上证书的复印件以及官网查询认证截图并加盖投标单位公章，未按要求提供相关证明不得分。</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（五）类似业绩（5分）</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响应单位自2022年1月1日（以合同签订日期为准）以来承担过类似（服务类）项目业绩，每提供一份得1分，最高5分。</w:t>
      </w:r>
      <w:r/>
    </w:p>
    <w:p>
      <w:pPr>
        <w:ind w:firstLine="420"/>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sz w:val="24"/>
          <w:highlight w:val="none"/>
        </w:rPr>
        <w:t xml:space="preserve">注：响应文件中需提供合同复印件，否则不得分。</w:t>
      </w:r>
      <w:r/>
    </w:p>
    <w:p>
      <w:pPr>
        <w:jc w:val="right"/>
        <w:spacing w:line="360" w:lineRule="auto"/>
        <w:rPr>
          <w:highlight w:val="none"/>
        </w:rPr>
        <w:outlineLvl w:val="0"/>
      </w:pPr>
      <w:r>
        <w:rPr>
          <w:rFonts w:hint="eastAsia" w:ascii="宋体" w:cs="宋体"/>
          <w:color w:val="000000" w:themeColor="text1"/>
          <w:sz w:val="24"/>
          <w:szCs w:val="24"/>
          <w:highlight w:val="none"/>
          <w14:textFill>
            <w14:solidFill>
              <w14:schemeClr w14:val="tx1"/>
            </w14:solidFill>
          </w14:textFill>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mbria">
    <w:panose1 w:val="02040503050406030204"/>
  </w:font>
  <w:font w:name="Courier New">
    <w:panose1 w:val="02070309020205020404"/>
  </w:font>
  <w:font w:name="等线">
    <w:panose1 w:val="02010600030101010101"/>
  </w:font>
  <w:font w:name="仿宋">
    <w:panose1 w:val="02010609060101010101"/>
  </w:font>
  <w:font w:name="黑体">
    <w:panose1 w:val="02010609060101010101"/>
  </w:font>
  <w:font w:name="SimSun">
    <w:panose1 w:val="02010600030101010101"/>
  </w:font>
  <w:font w:name="宋体">
    <w:panose1 w:val="02010600030101010101"/>
  </w:font>
  <w:font w:name="Times New Roman">
    <w:panose1 w:val="020206030504050203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rPr>
        <w:rFonts w:ascii="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pPr>
                    <w:r>
                      <w:fldChar w:fldCharType="begin"/>
                    </w:r>
                    <w:r>
                      <w:instrText xml:space="preserve"> PAGE  \* MERGEFORMAT </w:instrText>
                    </w:r>
                    <w:r>
                      <w:fldChar w:fldCharType="separate"/>
                    </w:r>
                    <w:r>
                      <w:t xml:space="preserve">53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429895" cy="17272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9895" cy="172720"/>
                      </a:xfrm>
                      <a:prstGeom prst="rect">
                        <a:avLst/>
                      </a:prstGeom>
                      <a:noFill/>
                      <a:ln>
                        <a:noFill/>
                      </a:ln>
                    </wps:spPr>
                    <wps:txbx>
                      <w:txbxContent>
                        <w:p>
                          <w:pPr>
                            <w:rPr>
                              <w:sz w:val="18"/>
                            </w:rPr>
                          </w:pPr>
                          <w:r>
                            <w:rPr>
                              <w:sz w:val="18"/>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33.9pt;height:13.6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pPr>
    <w:r>
      <w:rPr>
        <w:rFonts w:hint="eastAsia"/>
      </w:rPr>
      <w:t xml:space="preserve">苏州筑程集中采购代理有限公司                                               标号：JSZC-320500-ZCJC-C2026-0002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13"/>
  </w:num>
  <w:num w:numId="4">
    <w:abstractNumId w:val="4"/>
  </w:num>
  <w:num w:numId="5">
    <w:abstractNumId w:val="0"/>
  </w:num>
  <w:num w:numId="6">
    <w:abstractNumId w:val="2"/>
  </w:num>
  <w:num w:numId="7">
    <w:abstractNumId w:val="9"/>
  </w:num>
  <w:num w:numId="8">
    <w:abstractNumId w:val="15"/>
  </w:num>
  <w:num w:numId="9">
    <w:abstractNumId w:val="8"/>
  </w:num>
  <w:num w:numId="10">
    <w:abstractNumId w:val="7"/>
  </w:num>
  <w:num w:numId="11">
    <w:abstractNumId w:val="10"/>
  </w:num>
  <w:num w:numId="12">
    <w:abstractNumId w:val="6"/>
  </w:num>
  <w:num w:numId="13">
    <w:abstractNumId w:val="16"/>
  </w:num>
  <w:num w:numId="14">
    <w:abstractNumId w:val="11"/>
  </w:num>
  <w:num w:numId="15">
    <w:abstractNumId w:val="12"/>
  </w:num>
  <w:num w:numId="16">
    <w:abstractNumId w:val="17"/>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05"/>
    <w:next w:val="905"/>
    <w:link w:val="736"/>
    <w:uiPriority w:val="9"/>
    <w:qFormat/>
    <w:pPr>
      <w:keepLines/>
      <w:keepNext/>
      <w:spacing w:before="480" w:after="200"/>
      <w:outlineLvl w:val="0"/>
    </w:pPr>
    <w:rPr>
      <w:rFonts w:ascii="Arial" w:hAnsi="Arial" w:eastAsia="Arial" w:cs="Arial"/>
      <w:sz w:val="40"/>
      <w:szCs w:val="40"/>
    </w:rPr>
  </w:style>
  <w:style w:type="character" w:styleId="736">
    <w:name w:val="Heading 1 Char"/>
    <w:basedOn w:val="908"/>
    <w:link w:val="735"/>
    <w:uiPriority w:val="9"/>
    <w:rPr>
      <w:rFonts w:ascii="Arial" w:hAnsi="Arial" w:eastAsia="Arial" w:cs="Arial"/>
      <w:sz w:val="40"/>
      <w:szCs w:val="40"/>
    </w:rPr>
  </w:style>
  <w:style w:type="character" w:styleId="737">
    <w:name w:val="Heading 2 Char"/>
    <w:basedOn w:val="908"/>
    <w:link w:val="906"/>
    <w:uiPriority w:val="9"/>
    <w:rPr>
      <w:rFonts w:ascii="Arial" w:hAnsi="Arial" w:eastAsia="Arial" w:cs="Arial"/>
      <w:sz w:val="34"/>
    </w:rPr>
  </w:style>
  <w:style w:type="character" w:styleId="738">
    <w:name w:val="Heading 3 Char"/>
    <w:basedOn w:val="908"/>
    <w:link w:val="907"/>
    <w:uiPriority w:val="9"/>
    <w:rPr>
      <w:rFonts w:ascii="Arial" w:hAnsi="Arial" w:eastAsia="Arial" w:cs="Arial"/>
      <w:sz w:val="30"/>
      <w:szCs w:val="30"/>
    </w:rPr>
  </w:style>
  <w:style w:type="paragraph" w:styleId="739">
    <w:name w:val="Heading 4"/>
    <w:basedOn w:val="905"/>
    <w:next w:val="905"/>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basedOn w:val="908"/>
    <w:link w:val="739"/>
    <w:uiPriority w:val="9"/>
    <w:rPr>
      <w:rFonts w:ascii="Arial" w:hAnsi="Arial" w:eastAsia="Arial" w:cs="Arial"/>
      <w:b/>
      <w:bCs/>
      <w:sz w:val="26"/>
      <w:szCs w:val="26"/>
    </w:rPr>
  </w:style>
  <w:style w:type="paragraph" w:styleId="741">
    <w:name w:val="Heading 5"/>
    <w:basedOn w:val="905"/>
    <w:next w:val="905"/>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basedOn w:val="908"/>
    <w:link w:val="741"/>
    <w:uiPriority w:val="9"/>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08"/>
    <w:link w:val="743"/>
    <w:uiPriority w:val="9"/>
    <w:rPr>
      <w:rFonts w:ascii="Arial" w:hAnsi="Arial" w:eastAsia="Arial" w:cs="Arial"/>
      <w:b/>
      <w:bCs/>
      <w:sz w:val="22"/>
      <w:szCs w:val="22"/>
    </w:rPr>
  </w:style>
  <w:style w:type="paragraph" w:styleId="745">
    <w:name w:val="Heading 7"/>
    <w:basedOn w:val="905"/>
    <w:next w:val="905"/>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8"/>
    <w:link w:val="745"/>
    <w:uiPriority w:val="9"/>
    <w:rPr>
      <w:rFonts w:ascii="Arial" w:hAnsi="Arial" w:eastAsia="Arial" w:cs="Arial"/>
      <w:b/>
      <w:bCs/>
      <w:i/>
      <w:iCs/>
      <w:sz w:val="22"/>
      <w:szCs w:val="22"/>
    </w:rPr>
  </w:style>
  <w:style w:type="paragraph" w:styleId="747">
    <w:name w:val="Heading 8"/>
    <w:basedOn w:val="905"/>
    <w:next w:val="905"/>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08"/>
    <w:link w:val="747"/>
    <w:uiPriority w:val="9"/>
    <w:rPr>
      <w:rFonts w:ascii="Arial" w:hAnsi="Arial" w:eastAsia="Arial" w:cs="Arial"/>
      <w:i/>
      <w:iCs/>
      <w:sz w:val="22"/>
      <w:szCs w:val="22"/>
    </w:rPr>
  </w:style>
  <w:style w:type="paragraph" w:styleId="749">
    <w:name w:val="Heading 9"/>
    <w:basedOn w:val="905"/>
    <w:next w:val="905"/>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8"/>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905"/>
    <w:next w:val="905"/>
    <w:link w:val="753"/>
    <w:uiPriority w:val="10"/>
    <w:qFormat/>
    <w:pPr>
      <w:contextualSpacing/>
      <w:spacing w:before="300" w:after="200"/>
    </w:pPr>
    <w:rPr>
      <w:sz w:val="48"/>
      <w:szCs w:val="48"/>
    </w:rPr>
  </w:style>
  <w:style w:type="character" w:styleId="753">
    <w:name w:val="Title Char"/>
    <w:basedOn w:val="908"/>
    <w:link w:val="752"/>
    <w:uiPriority w:val="10"/>
    <w:rPr>
      <w:sz w:val="48"/>
      <w:szCs w:val="48"/>
    </w:rPr>
  </w:style>
  <w:style w:type="paragraph" w:styleId="754">
    <w:name w:val="Subtitle"/>
    <w:basedOn w:val="905"/>
    <w:next w:val="905"/>
    <w:link w:val="755"/>
    <w:uiPriority w:val="11"/>
    <w:qFormat/>
    <w:pPr>
      <w:spacing w:before="200" w:after="200"/>
    </w:pPr>
    <w:rPr>
      <w:sz w:val="24"/>
      <w:szCs w:val="24"/>
    </w:rPr>
  </w:style>
  <w:style w:type="character" w:styleId="755">
    <w:name w:val="Subtitle Char"/>
    <w:basedOn w:val="908"/>
    <w:link w:val="754"/>
    <w:uiPriority w:val="11"/>
    <w:rPr>
      <w:sz w:val="24"/>
      <w:szCs w:val="24"/>
    </w:rPr>
  </w:style>
  <w:style w:type="paragraph" w:styleId="756">
    <w:name w:val="Quote"/>
    <w:basedOn w:val="905"/>
    <w:next w:val="905"/>
    <w:link w:val="757"/>
    <w:uiPriority w:val="29"/>
    <w:qFormat/>
    <w:pPr>
      <w:ind w:left="720" w:right="720"/>
    </w:pPr>
    <w:rPr>
      <w:i/>
    </w:rPr>
  </w:style>
  <w:style w:type="character" w:styleId="757">
    <w:name w:val="Quote Char"/>
    <w:link w:val="756"/>
    <w:uiPriority w:val="29"/>
    <w:rPr>
      <w:i/>
    </w:rPr>
  </w:style>
  <w:style w:type="paragraph" w:styleId="758">
    <w:name w:val="Intense Quote"/>
    <w:basedOn w:val="905"/>
    <w:next w:val="905"/>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8"/>
    <w:link w:val="919"/>
    <w:uiPriority w:val="99"/>
  </w:style>
  <w:style w:type="character" w:styleId="761">
    <w:name w:val="Footer Char"/>
    <w:basedOn w:val="908"/>
    <w:link w:val="917"/>
    <w:uiPriority w:val="99"/>
  </w:style>
  <w:style w:type="paragraph" w:styleId="762">
    <w:name w:val="Caption"/>
    <w:basedOn w:val="905"/>
    <w:next w:val="905"/>
    <w:uiPriority w:val="35"/>
    <w:semiHidden/>
    <w:unhideWhenUsed/>
    <w:qFormat/>
    <w:pPr>
      <w:spacing w:line="276" w:lineRule="auto"/>
    </w:pPr>
    <w:rPr>
      <w:b/>
      <w:bCs/>
      <w:color w:val="4f81bd" w:themeColor="accent1"/>
      <w:sz w:val="18"/>
      <w:szCs w:val="18"/>
    </w:rPr>
  </w:style>
  <w:style w:type="character" w:styleId="763">
    <w:name w:val="Caption Char"/>
    <w:basedOn w:val="762"/>
    <w:link w:val="917"/>
    <w:uiPriority w:val="99"/>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5"/>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6">
    <w:name w:val="Heading 2"/>
    <w:next w:val="905"/>
    <w:uiPriority w:val="0"/>
    <w:qFormat/>
    <w:pPr>
      <w:spacing w:before="180" w:after="100"/>
      <w:outlineLvl w:val="1"/>
    </w:pPr>
    <w:rPr>
      <w:rFonts w:ascii="黑体" w:hAnsi="黑体" w:eastAsia="黑体" w:cs="黑体"/>
      <w:b/>
      <w:bCs/>
      <w:color w:val="000000"/>
      <w:sz w:val="26"/>
      <w:szCs w:val="26"/>
      <w:lang w:val="en-US" w:eastAsia="zh-CN" w:bidi="ar-SA"/>
    </w:rPr>
  </w:style>
  <w:style w:type="paragraph" w:styleId="907">
    <w:name w:val="Heading 3"/>
    <w:basedOn w:val="905"/>
    <w:next w:val="905"/>
    <w:link w:val="945"/>
    <w:uiPriority w:val="0"/>
    <w:semiHidden/>
    <w:unhideWhenUsed/>
    <w:qFormat/>
    <w:pPr>
      <w:keepLines/>
      <w:keepNext/>
      <w:spacing w:before="260" w:after="260" w:line="416" w:lineRule="auto"/>
      <w:outlineLvl w:val="2"/>
    </w:pPr>
    <w:rPr>
      <w:b/>
      <w:bCs/>
      <w:sz w:val="32"/>
      <w:szCs w:val="32"/>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Layout w:type="fixed"/>
      <w:tblCellMar>
        <w:left w:w="108" w:type="dxa"/>
        <w:top w:w="0" w:type="dxa"/>
        <w:right w:w="108" w:type="dxa"/>
        <w:bottom w:w="0" w:type="dxa"/>
      </w:tblCellMar>
    </w:tblPr>
  </w:style>
  <w:style w:type="paragraph" w:styleId="910">
    <w:name w:val="annotation subject"/>
    <w:basedOn w:val="911"/>
    <w:next w:val="911"/>
    <w:link w:val="942"/>
    <w:uiPriority w:val="0"/>
    <w:qFormat/>
    <w:rPr>
      <w:b/>
      <w:bCs/>
    </w:rPr>
  </w:style>
  <w:style w:type="paragraph" w:styleId="911">
    <w:name w:val="annotation text"/>
    <w:basedOn w:val="905"/>
    <w:link w:val="941"/>
    <w:uiPriority w:val="0"/>
    <w:qFormat/>
    <w:pPr>
      <w:jc w:val="left"/>
    </w:pPr>
  </w:style>
  <w:style w:type="paragraph" w:styleId="912">
    <w:name w:val="Normal Indent"/>
    <w:basedOn w:val="905"/>
    <w:next w:val="905"/>
    <w:uiPriority w:val="99"/>
    <w:qFormat/>
    <w:pPr>
      <w:ind w:firstLine="420"/>
      <w:jc w:val="left"/>
    </w:pPr>
    <w:rPr>
      <w:sz w:val="22"/>
      <w:szCs w:val="20"/>
    </w:rPr>
  </w:style>
  <w:style w:type="paragraph" w:styleId="913">
    <w:name w:val="Body Text"/>
    <w:basedOn w:val="905"/>
    <w:uiPriority w:val="1"/>
    <w:qFormat/>
    <w:pPr>
      <w:ind w:left="220"/>
    </w:pPr>
    <w:rPr>
      <w:rFonts w:ascii="仿宋" w:hAnsi="仿宋" w:eastAsia="仿宋" w:cs="仿宋"/>
      <w:sz w:val="32"/>
      <w:szCs w:val="32"/>
      <w:lang w:val="zh-CN" w:bidi="zh-CN"/>
    </w:rPr>
  </w:style>
  <w:style w:type="paragraph" w:styleId="914">
    <w:name w:val="Body Text Indent"/>
    <w:basedOn w:val="905"/>
    <w:next w:val="905"/>
    <w:link w:val="938"/>
    <w:uiPriority w:val="99"/>
    <w:qFormat/>
    <w:pPr>
      <w:ind w:left="570"/>
      <w:spacing w:line="520" w:lineRule="exact"/>
    </w:pPr>
    <w:rPr>
      <w:sz w:val="20"/>
      <w:szCs w:val="20"/>
    </w:rPr>
  </w:style>
  <w:style w:type="paragraph" w:styleId="915">
    <w:name w:val="Plain Text"/>
    <w:basedOn w:val="905"/>
    <w:uiPriority w:val="99"/>
    <w:qFormat/>
    <w:rPr>
      <w:rFonts w:ascii="宋体" w:hAnsi="Courier New"/>
      <w:szCs w:val="20"/>
    </w:rPr>
  </w:style>
  <w:style w:type="paragraph" w:styleId="916">
    <w:name w:val="Balloon Text"/>
    <w:basedOn w:val="905"/>
    <w:link w:val="940"/>
    <w:uiPriority w:val="0"/>
    <w:qFormat/>
    <w:rPr>
      <w:sz w:val="18"/>
      <w:szCs w:val="18"/>
    </w:rPr>
  </w:style>
  <w:style w:type="paragraph" w:styleId="917">
    <w:name w:val="Footer"/>
    <w:basedOn w:val="905"/>
    <w:link w:val="944"/>
    <w:uiPriority w:val="0"/>
    <w:qFormat/>
    <w:pPr>
      <w:jc w:val="left"/>
      <w:tabs>
        <w:tab w:val="center" w:pos="4153" w:leader="none"/>
        <w:tab w:val="right" w:pos="8306" w:leader="none"/>
      </w:tabs>
    </w:pPr>
    <w:rPr>
      <w:sz w:val="18"/>
      <w:szCs w:val="18"/>
    </w:rPr>
  </w:style>
  <w:style w:type="paragraph" w:styleId="918">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919">
    <w:name w:val="Header"/>
    <w:basedOn w:val="905"/>
    <w:link w:val="943"/>
    <w:uiPriority w:val="0"/>
    <w:qFormat/>
    <w:pPr>
      <w:jc w:val="center"/>
      <w:tabs>
        <w:tab w:val="center" w:pos="4153" w:leader="none"/>
        <w:tab w:val="right" w:pos="8306" w:leader="none"/>
      </w:tabs>
    </w:pPr>
    <w:rPr>
      <w:sz w:val="18"/>
      <w:szCs w:val="18"/>
    </w:rPr>
  </w:style>
  <w:style w:type="paragraph" w:styleId="920">
    <w:name w:val="toc 1"/>
    <w:basedOn w:val="905"/>
    <w:next w:val="905"/>
    <w:uiPriority w:val="0"/>
    <w:qFormat/>
  </w:style>
  <w:style w:type="character" w:styleId="921">
    <w:name w:val="page number"/>
    <w:uiPriority w:val="0"/>
    <w:qFormat/>
  </w:style>
  <w:style w:type="character" w:styleId="922">
    <w:name w:val="Hyperlink"/>
    <w:basedOn w:val="908"/>
    <w:uiPriority w:val="99"/>
    <w:qFormat/>
    <w:rPr>
      <w:rFonts w:cs="Times New Roman"/>
      <w:color w:val="0000ff"/>
      <w:u w:val="single"/>
    </w:rPr>
  </w:style>
  <w:style w:type="character" w:styleId="923">
    <w:name w:val="annotation reference"/>
    <w:basedOn w:val="908"/>
    <w:uiPriority w:val="0"/>
    <w:qFormat/>
    <w:rPr>
      <w:sz w:val="21"/>
      <w:szCs w:val="21"/>
    </w:rPr>
  </w:style>
  <w:style w:type="table" w:styleId="924">
    <w:name w:val="Table Grid"/>
    <w:basedOn w:val="9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25">
    <w:name w:val="List Paragraph"/>
    <w:basedOn w:val="905"/>
    <w:uiPriority w:val="99"/>
    <w:qFormat/>
    <w:pPr>
      <w:ind w:firstLine="420"/>
    </w:pPr>
  </w:style>
  <w:style w:type="paragraph" w:styleId="926" w:customStyle="1">
    <w:name w:val="首行缩进"/>
    <w:basedOn w:val="905"/>
    <w:uiPriority w:val="0"/>
    <w:qFormat/>
    <w:pPr>
      <w:ind w:firstLine="480"/>
      <w:spacing w:line="360" w:lineRule="auto"/>
    </w:pPr>
    <w:rPr>
      <w:sz w:val="24"/>
      <w:lang w:val="zh-CN"/>
    </w:rPr>
  </w:style>
  <w:style w:type="paragraph" w:styleId="927" w:customStyle="1">
    <w:name w:val="页脚1"/>
    <w:basedOn w:val="905"/>
    <w:uiPriority w:val="99"/>
    <w:qFormat/>
    <w:pPr>
      <w:jc w:val="left"/>
      <w:tabs>
        <w:tab w:val="center" w:pos="4153" w:leader="none"/>
        <w:tab w:val="right" w:pos="8306" w:leader="none"/>
      </w:tabs>
    </w:pPr>
    <w:rPr>
      <w:sz w:val="18"/>
      <w:szCs w:val="20"/>
    </w:rPr>
  </w:style>
  <w:style w:type="paragraph" w:styleId="928" w:customStyle="1">
    <w:name w:val="纯文本1"/>
    <w:basedOn w:val="905"/>
    <w:uiPriority w:val="99"/>
    <w:qFormat/>
    <w:rPr>
      <w:rFonts w:ascii="宋体"/>
    </w:rPr>
  </w:style>
  <w:style w:type="paragraph" w:styleId="929" w:customStyle="1">
    <w:name w:val="Plain Text1"/>
    <w:basedOn w:val="905"/>
    <w:uiPriority w:val="99"/>
    <w:qFormat/>
    <w:rPr>
      <w:rFonts w:ascii="宋体" w:hAnsi="宋体"/>
    </w:rPr>
  </w:style>
  <w:style w:type="character" w:styleId="930" w:customStyle="1">
    <w:name w:val="NormalCharacter"/>
    <w:link w:val="931"/>
    <w:uiPriority w:val="0"/>
    <w:qFormat/>
    <w:rPr>
      <w:sz w:val="20"/>
    </w:rPr>
  </w:style>
  <w:style w:type="paragraph" w:styleId="931" w:customStyle="1">
    <w:name w:val="UserStyle_4"/>
    <w:basedOn w:val="905"/>
    <w:link w:val="930"/>
    <w:uiPriority w:val="99"/>
    <w:qFormat/>
    <w:rPr>
      <w:sz w:val="20"/>
    </w:rPr>
  </w:style>
  <w:style w:type="paragraph" w:styleId="932" w:customStyle="1">
    <w:name w:val="标题 21"/>
    <w:basedOn w:val="905"/>
    <w:next w:val="905"/>
    <w:uiPriority w:val="99"/>
    <w:qFormat/>
    <w:pPr>
      <w:keepLines/>
      <w:keepNext/>
      <w:spacing w:before="260" w:after="260" w:line="415" w:lineRule="auto"/>
      <w:outlineLvl w:val="1"/>
    </w:pPr>
    <w:rPr>
      <w:rFonts w:ascii="Cambria" w:hAnsi="Cambria"/>
      <w:b/>
      <w:sz w:val="32"/>
      <w:szCs w:val="20"/>
    </w:rPr>
  </w:style>
  <w:style w:type="paragraph" w:styleId="933" w:customStyle="1">
    <w:name w:val="页眉1"/>
    <w:basedOn w:val="905"/>
    <w:uiPriority w:val="99"/>
    <w:qFormat/>
    <w:pPr>
      <w:jc w:val="center"/>
      <w:tabs>
        <w:tab w:val="center" w:pos="4153" w:leader="none"/>
        <w:tab w:val="right" w:pos="8306" w:leader="none"/>
      </w:tabs>
      <w:pBdr>
        <w:bottom w:val="single" w:color="auto" w:sz="6" w:space="1"/>
      </w:pBdr>
    </w:pPr>
    <w:rPr>
      <w:sz w:val="18"/>
      <w:szCs w:val="20"/>
    </w:rPr>
  </w:style>
  <w:style w:type="paragraph" w:styleId="934" w:customStyle="1">
    <w:name w:val="正文文本1"/>
    <w:basedOn w:val="905"/>
    <w:uiPriority w:val="0"/>
    <w:qFormat/>
    <w:pPr>
      <w:spacing w:line="400" w:lineRule="exact"/>
    </w:pPr>
    <w:rPr>
      <w:rFonts w:ascii="楷体_GB2312"/>
      <w:sz w:val="28"/>
    </w:rPr>
  </w:style>
  <w:style w:type="paragraph" w:styleId="935" w:customStyle="1">
    <w:name w:val="列表段落1"/>
    <w:basedOn w:val="905"/>
    <w:uiPriority w:val="0"/>
    <w:qFormat/>
    <w:pPr>
      <w:ind w:firstLine="420"/>
    </w:pPr>
  </w:style>
  <w:style w:type="paragraph" w:styleId="936" w:customStyle="1">
    <w:name w:val="页脚11"/>
    <w:basedOn w:val="905"/>
    <w:uiPriority w:val="99"/>
    <w:qFormat/>
    <w:pPr>
      <w:jc w:val="left"/>
      <w:tabs>
        <w:tab w:val="center" w:pos="4153" w:leader="none"/>
        <w:tab w:val="right" w:pos="8306" w:leader="none"/>
      </w:tabs>
    </w:pPr>
    <w:rPr>
      <w:rFonts w:ascii="Tahoma" w:hAnsi="Tahoma"/>
      <w:sz w:val="18"/>
      <w:szCs w:val="18"/>
    </w:rPr>
  </w:style>
  <w:style w:type="paragraph" w:styleId="937" w:customStyle="1">
    <w:name w:val="正文缩进1"/>
    <w:basedOn w:val="905"/>
    <w:uiPriority w:val="99"/>
    <w:qFormat/>
    <w:pPr>
      <w:ind w:firstLine="420"/>
      <w:jc w:val="left"/>
      <w:widowControl/>
    </w:pPr>
  </w:style>
  <w:style w:type="character" w:styleId="938" w:customStyle="1">
    <w:name w:val="正文文本缩进 Char"/>
    <w:basedOn w:val="908"/>
    <w:link w:val="914"/>
    <w:uiPriority w:val="99"/>
    <w:qFormat/>
    <w:rPr>
      <w:rFonts w:ascii="Calibri" w:hAnsi="Calibri" w:eastAsia="宋体" w:cs="Times New Roman"/>
    </w:rPr>
  </w:style>
  <w:style w:type="paragraph" w:styleId="939" w:customStyle="1">
    <w:name w:val="Andy_正文"/>
    <w:basedOn w:val="905"/>
    <w:uiPriority w:val="0"/>
    <w:qFormat/>
    <w:pPr>
      <w:ind w:firstLine="480"/>
      <w:spacing w:line="360" w:lineRule="auto"/>
    </w:pPr>
    <w:rPr>
      <w:sz w:val="24"/>
    </w:rPr>
  </w:style>
  <w:style w:type="character" w:styleId="940" w:customStyle="1">
    <w:name w:val="批注框文本 Char"/>
    <w:basedOn w:val="908"/>
    <w:link w:val="916"/>
    <w:uiPriority w:val="0"/>
    <w:qFormat/>
    <w:rPr>
      <w:rFonts w:ascii="Calibri" w:hAnsi="Calibri" w:eastAsia="宋体" w:cs="Times New Roman"/>
      <w:sz w:val="18"/>
      <w:szCs w:val="18"/>
    </w:rPr>
  </w:style>
  <w:style w:type="character" w:styleId="941" w:customStyle="1">
    <w:name w:val="批注文字 Char"/>
    <w:basedOn w:val="908"/>
    <w:link w:val="911"/>
    <w:uiPriority w:val="0"/>
    <w:qFormat/>
    <w:rPr>
      <w:rFonts w:ascii="Calibri" w:hAnsi="Calibri" w:eastAsia="宋体" w:cs="Times New Roman"/>
      <w:sz w:val="21"/>
      <w:szCs w:val="22"/>
    </w:rPr>
  </w:style>
  <w:style w:type="character" w:styleId="942" w:customStyle="1">
    <w:name w:val="批注主题 Char"/>
    <w:basedOn w:val="941"/>
    <w:link w:val="910"/>
    <w:uiPriority w:val="0"/>
    <w:qFormat/>
    <w:rPr>
      <w:rFonts w:ascii="Calibri" w:hAnsi="Calibri" w:eastAsia="宋体" w:cs="Times New Roman"/>
      <w:b/>
      <w:bCs/>
      <w:sz w:val="21"/>
      <w:szCs w:val="22"/>
    </w:rPr>
  </w:style>
  <w:style w:type="character" w:styleId="943" w:customStyle="1">
    <w:name w:val="页眉 Char"/>
    <w:basedOn w:val="908"/>
    <w:link w:val="919"/>
    <w:uiPriority w:val="0"/>
    <w:qFormat/>
    <w:rPr>
      <w:rFonts w:ascii="Calibri" w:hAnsi="Calibri" w:eastAsia="宋体" w:cs="Times New Roman"/>
      <w:sz w:val="18"/>
      <w:szCs w:val="18"/>
    </w:rPr>
  </w:style>
  <w:style w:type="character" w:styleId="944" w:customStyle="1">
    <w:name w:val="页脚 Char"/>
    <w:basedOn w:val="908"/>
    <w:link w:val="917"/>
    <w:uiPriority w:val="0"/>
    <w:qFormat/>
    <w:rPr>
      <w:rFonts w:ascii="Calibri" w:hAnsi="Calibri" w:eastAsia="宋体" w:cs="Times New Roman"/>
      <w:sz w:val="18"/>
      <w:szCs w:val="18"/>
    </w:rPr>
  </w:style>
  <w:style w:type="character" w:styleId="945" w:customStyle="1">
    <w:name w:val="标题 3 Char"/>
    <w:basedOn w:val="908"/>
    <w:link w:val="907"/>
    <w:uiPriority w:val="0"/>
    <w:semiHidden/>
    <w:qFormat/>
    <w:rPr>
      <w:rFonts w:ascii="Calibri" w:hAnsi="Calibri" w:eastAsia="宋体" w:cs="Times New Roman"/>
      <w:b/>
      <w:bCs/>
      <w:sz w:val="32"/>
      <w:szCs w:val="32"/>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与含</dc:creator>
  <cp:lastModifiedBy>施</cp:lastModifiedBy>
  <cp:revision>34</cp:revision>
  <dcterms:created xsi:type="dcterms:W3CDTF">2026-09-12T07:25:00Z</dcterms:created>
  <dcterms:modified xsi:type="dcterms:W3CDTF">2026-09-29T07:46:41Z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C7C70E82D3D14E8CB25C270CC20D901E_13</vt:lpwstr>
  </property>
  <property fmtid="{D5CDD505-2E9C-101B-9397-08002B2CF9AE}" pid="4" name="KSOTemplateDocerSaveRecord">
    <vt:lpwstr>eyJoZGlkIjoiYjY1YTNmNDkwMWVjMjg0MWFjMWYyOGRjN2FlNTI2MzkiLCJ1c2VySWQiOiI0MzI4MzUyNDAifQ==</vt:lpwstr>
  </property>
</Properties>
</file>