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highlight w:val="none"/>
        </w:rPr>
      </w:pPr>
      <w:r/>
      <w:bookmarkStart w:id="78" w:name="_GoBack"/>
      <w:r/>
      <w:bookmarkEnd w:id="78"/>
      <w:r/>
      <w:r/>
    </w:p>
    <w:p>
      <w:pPr>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bCs/>
          <w:sz w:val="48"/>
          <w:szCs w:val="48"/>
          <w:highlight w:val="none"/>
        </w:rPr>
      </w:pPr>
      <w:r>
        <w:rPr>
          <w:rFonts w:hint="eastAsia" w:ascii="方正小标宋_GBK" w:hAnsi="方正小标宋_GBK" w:eastAsia="方正小标宋_GBK" w:cs="方正小标宋_GBK"/>
          <w:b/>
          <w:bCs/>
          <w:sz w:val="48"/>
          <w:szCs w:val="48"/>
          <w:highlight w:val="none"/>
        </w:rPr>
        <w:t xml:space="preserve">竞争性磋商文件</w:t>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r>
      <w:r/>
    </w:p>
    <w:p>
      <w:pPr>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项目名称：__处属工程调度辅助决策及总渠入海口下泄流量预测_</w:t>
      </w:r>
      <w:r/>
    </w:p>
    <w:p>
      <w:pPr>
        <w:ind w:firstLine="840"/>
        <w:jc w:val="left"/>
        <w:keepLines w:val="0"/>
        <w:keepNext w:val="0"/>
        <w:pageBreakBefore w:val="0"/>
        <w:spacing w:before="120" w:after="120" w:line="400" w:lineRule="exact"/>
        <w:widowControl w:val="off"/>
        <w:rPr>
          <w:rFonts w:ascii="Arial" w:hAnsi="Arial"/>
          <w:b/>
          <w:bCs/>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JSZC-320000-SCZX-C2026-0381  </w:t>
      </w:r>
      <w:r>
        <w:rPr>
          <w:rFonts w:ascii="Arial" w:hAnsi="Arial"/>
          <w:b/>
          <w:bCs/>
          <w:color w:val="000000"/>
          <w:sz w:val="28"/>
          <w:szCs w:val="28"/>
          <w:highlight w:val="none"/>
        </w:rPr>
        <w:t xml:space="preserve">            </w:t>
      </w:r>
      <w:r/>
    </w:p>
    <w:p>
      <w:pPr>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keepLines w:val="0"/>
        <w:keepNext w:val="0"/>
        <w:pageBreakBefore w:val="0"/>
        <w:spacing w:before="120" w:after="120" w:line="660" w:lineRule="exact"/>
        <w:widowControl w:val="off"/>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江苏省政府采购中</w:t>
      </w:r>
      <w:r>
        <w:rPr>
          <w:rFonts w:hint="eastAsia" w:ascii="方正黑体_GBK" w:hAnsi="方正黑体_GBK" w:eastAsia="方正黑体_GBK" w:cs="方正黑体_GBK"/>
          <w:b w:val="0"/>
          <w:bCs w:val="0"/>
          <w:sz w:val="28"/>
          <w:szCs w:val="28"/>
          <w:highlight w:val="none"/>
        </w:rPr>
        <w:t xml:space="preserve">心</w:t>
      </w:r>
      <w:r>
        <w:rPr>
          <w:rFonts w:hint="eastAsia" w:ascii="方正黑体_GBK" w:hAnsi="方正黑体_GBK" w:eastAsia="方正黑体_GBK" w:cs="方正黑体_GBK"/>
          <w:b w:val="0"/>
          <w:bCs w:val="0"/>
          <w:sz w:val="28"/>
          <w:szCs w:val="28"/>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_</w:t>
      </w:r>
      <w:r>
        <w:rPr>
          <w:rFonts w:hint="eastAsia" w:ascii="方正黑体_GBK" w:hAnsi="方正黑体_GBK" w:eastAsia="方正黑体_GBK" w:cs="方正黑体_GBK"/>
          <w:b w:val="0"/>
          <w:bCs w:val="0"/>
          <w:sz w:val="28"/>
          <w:szCs w:val="28"/>
          <w:highlight w:val="none"/>
          <w:lang w:val="en-US" w:eastAsia="zh-CN"/>
        </w:rPr>
        <w:t xml:space="preserve">2026</w:t>
      </w:r>
      <w:r>
        <w:rPr>
          <w:rFonts w:hint="eastAsia" w:ascii="方正黑体_GBK" w:hAnsi="方正黑体_GBK" w:eastAsia="方正黑体_GBK" w:cs="方正黑体_GBK"/>
          <w:b w:val="0"/>
          <w:bCs w:val="0"/>
          <w:sz w:val="28"/>
          <w:szCs w:val="28"/>
          <w:highlight w:val="none"/>
        </w:rPr>
        <w:t xml:space="preserve">_年_</w:t>
      </w:r>
      <w:r>
        <w:rPr>
          <w:rFonts w:hint="eastAsia" w:ascii="方正黑体_GBK" w:hAnsi="方正黑体_GBK" w:eastAsia="方正黑体_GBK" w:cs="方正黑体_GBK"/>
          <w:b w:val="0"/>
          <w:bCs w:val="0"/>
          <w:sz w:val="28"/>
          <w:szCs w:val="28"/>
          <w:highlight w:val="none"/>
          <w:lang w:val="en-US" w:eastAsia="zh-CN"/>
        </w:rPr>
        <w:t xml:space="preserve">9</w:t>
      </w:r>
      <w:r>
        <w:rPr>
          <w:rFonts w:hint="eastAsia" w:ascii="方正黑体_GBK" w:hAnsi="方正黑体_GBK" w:eastAsia="方正黑体_GBK" w:cs="方正黑体_GBK"/>
          <w:b w:val="0"/>
          <w:bCs w:val="0"/>
          <w:sz w:val="28"/>
          <w:szCs w:val="28"/>
          <w:highlight w:val="none"/>
        </w:rPr>
        <w:t xml:space="preserve">_月</w:t>
      </w:r>
      <w:r/>
    </w:p>
    <w:p>
      <w:pPr>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ascii="Times New Roman" w:hAnsi="Times New Roman"/>
          <w:szCs w:val="21"/>
          <w:highlight w:val="none"/>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方正黑体_GBK" w:hAnsi="方正黑体_GBK" w:eastAsia="方正黑体_GBK" w:cs="方正黑体_GBK"/>
          <w:b w:val="0"/>
          <w:bCs/>
          <w:sz w:val="28"/>
          <w:szCs w:val="28"/>
          <w:highlight w:val="none"/>
        </w:rPr>
        <w:t xml:space="preserve">总  目  录</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第一章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磋商邀请……………………………………</w:t>
      </w:r>
      <w:r>
        <w:rPr>
          <w:rFonts w:hint="eastAsia" w:ascii="方正黑体_GBK" w:hAnsi="方正黑体_GBK" w:eastAsia="方正黑体_GBK" w:cs="方正黑体_GBK"/>
          <w:b w:val="0"/>
          <w:bCs/>
          <w:sz w:val="28"/>
          <w:szCs w:val="28"/>
          <w:highlight w:val="none"/>
          <w:lang w:val="en-US" w:eastAsia="zh-CN"/>
        </w:rPr>
        <w:t xml:space="preserve">1</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0"/>
      </w:pPr>
      <w:r>
        <w:rPr>
          <w:rFonts w:hint="eastAsia" w:ascii="方正黑体_GBK" w:hAnsi="方正黑体_GBK" w:eastAsia="方正黑体_GBK" w:cs="方正黑体_GBK"/>
          <w:b w:val="0"/>
          <w:bCs/>
          <w:sz w:val="28"/>
          <w:szCs w:val="28"/>
          <w:highlight w:val="none"/>
          <w:lang w:eastAsia="zh-CN"/>
        </w:rPr>
        <w:t xml:space="preserve">第二章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供应商须知…………………………………</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第三章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合同文本……………………………………</w:t>
      </w:r>
      <w:r>
        <w:rPr>
          <w:rFonts w:hint="eastAsia" w:ascii="方正黑体_GBK" w:hAnsi="方正黑体_GBK" w:eastAsia="方正黑体_GBK" w:cs="方正黑体_GBK"/>
          <w:b w:val="0"/>
          <w:bCs/>
          <w:sz w:val="28"/>
          <w:szCs w:val="28"/>
          <w:highlight w:val="none"/>
          <w:lang w:val="en-US" w:eastAsia="zh-CN"/>
        </w:rPr>
        <w:t xml:space="preserve">16</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第四章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采购需求……………………………………</w:t>
      </w:r>
      <w:r>
        <w:rPr>
          <w:rFonts w:hint="eastAsia" w:ascii="方正黑体_GBK" w:hAnsi="方正黑体_GBK" w:eastAsia="方正黑体_GBK" w:cs="方正黑体_GBK"/>
          <w:b w:val="0"/>
          <w:bCs/>
          <w:sz w:val="28"/>
          <w:szCs w:val="28"/>
          <w:highlight w:val="none"/>
          <w:lang w:val="en-US" w:eastAsia="zh-CN"/>
        </w:rPr>
        <w:t xml:space="preserve">20</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第五章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评审方法与评审标准………………………</w:t>
      </w:r>
      <w:r>
        <w:rPr>
          <w:rFonts w:hint="eastAsia" w:ascii="方正黑体_GBK" w:hAnsi="方正黑体_GBK" w:eastAsia="方正黑体_GBK" w:cs="方正黑体_GBK"/>
          <w:b w:val="0"/>
          <w:bCs/>
          <w:sz w:val="28"/>
          <w:szCs w:val="28"/>
          <w:highlight w:val="none"/>
          <w:lang w:val="en-US" w:eastAsia="zh-CN"/>
        </w:rPr>
        <w:t xml:space="preserve">33</w:t>
      </w:r>
      <w:r/>
    </w:p>
    <w:p>
      <w:pPr>
        <w:jc w:val="center"/>
        <w:keepLines w:val="0"/>
        <w:keepNext w:val="0"/>
        <w:pageBreakBefore w:val="0"/>
        <w:spacing w:line="400" w:lineRule="exact"/>
        <w:widowControl w:val="off"/>
        <w:rPr>
          <w:rFonts w:ascii="方正黑体_GBK" w:hAnsi="方正黑体_GBK" w:eastAsia="方正黑体_GBK" w:cs="方正黑体_GBK"/>
          <w:b w:val="0"/>
          <w:bCs/>
          <w:sz w:val="28"/>
          <w:szCs w:val="28"/>
          <w:highlight w:val="none"/>
          <w:lang w:val="en-US" w:eastAsia="zh-CN"/>
        </w:rPr>
        <w:outlineLvl w:val="0"/>
      </w:pPr>
      <w:r>
        <w:rPr>
          <w:rFonts w:hint="eastAsia" w:ascii="方正黑体_GBK" w:hAnsi="方正黑体_GBK" w:eastAsia="方正黑体_GBK" w:cs="方正黑体_GBK"/>
          <w:b w:val="0"/>
          <w:bCs/>
          <w:sz w:val="28"/>
          <w:szCs w:val="28"/>
          <w:highlight w:val="none"/>
          <w:lang w:eastAsia="zh-CN"/>
        </w:rPr>
        <w:t xml:space="preserve">第六章</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rPr>
        <w:t xml:space="preserve">响应文件格式………………………………</w:t>
      </w:r>
      <w:r>
        <w:rPr>
          <w:rFonts w:hint="eastAsia" w:ascii="方正黑体_GBK" w:hAnsi="方正黑体_GBK" w:eastAsia="方正黑体_GBK" w:cs="方正黑体_GBK"/>
          <w:b w:val="0"/>
          <w:bCs/>
          <w:sz w:val="28"/>
          <w:szCs w:val="28"/>
          <w:highlight w:val="none"/>
          <w:lang w:val="en-US" w:eastAsia="zh-CN"/>
        </w:rPr>
        <w:t xml:space="preserve">43</w:t>
      </w:r>
      <w:r/>
    </w:p>
    <w:p>
      <w:pPr>
        <w:numPr>
          <w:ilvl w:val="0"/>
          <w:numId w:val="0"/>
        </w:numPr>
        <w:spacing w:line="480" w:lineRule="auto"/>
        <w:rPr>
          <w:rFonts w:hint="eastAsia" w:ascii="黑体" w:hAnsi="Showcard Gothic" w:eastAsia="黑体"/>
          <w:sz w:val="36"/>
          <w:szCs w:val="21"/>
          <w:highlight w:val="none"/>
        </w:rPr>
        <w:outlineLvl w:val="0"/>
      </w:pPr>
      <w:r>
        <w:rPr>
          <w:rFonts w:hint="eastAsia" w:ascii="黑体" w:hAnsi="Showcard Gothic" w:eastAsia="黑体"/>
          <w:sz w:val="36"/>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bookmarkEnd w:id="0"/>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黑体_GBK" w:hAnsi="方正黑体_GBK" w:eastAsia="方正黑体_GBK" w:cs="方正黑体_GBK"/>
          <w:sz w:val="28"/>
          <w:szCs w:val="28"/>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sz w:val="28"/>
          <w:szCs w:val="28"/>
          <w:highlight w:val="none"/>
        </w:rPr>
        <w:outlineLvl w:val="0"/>
      </w:pPr>
      <w:r>
        <w:rPr>
          <w:rFonts w:hint="eastAsia" w:ascii="方正黑体_GBK" w:hAnsi="方正黑体_GBK" w:eastAsia="方正黑体_GBK" w:cs="方正黑体_GBK"/>
          <w:sz w:val="28"/>
          <w:szCs w:val="28"/>
          <w:highlight w:val="none"/>
        </w:rPr>
        <w:t xml:space="preserve">第一章  磋商邀请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受〔</w:t>
      </w:r>
      <w:r>
        <w:rPr>
          <w:rFonts w:hint="eastAsia" w:ascii="方正仿宋_GBK" w:hAnsi="方正仿宋_GBK" w:eastAsia="方正仿宋_GBK" w:cs="方正仿宋_GBK"/>
          <w:sz w:val="28"/>
          <w:szCs w:val="28"/>
          <w:highlight w:val="none"/>
        </w:rPr>
        <w:tab/>
      </w:r>
      <w:r>
        <w:rPr>
          <w:rFonts w:hint="eastAsia" w:ascii="方正仿宋_GBK" w:hAnsi="方正仿宋_GBK" w:eastAsia="方正仿宋_GBK" w:cs="方正仿宋_GBK"/>
          <w:sz w:val="28"/>
          <w:szCs w:val="28"/>
          <w:highlight w:val="none"/>
        </w:rPr>
        <w:t xml:space="preserve">江苏省灌溉总渠管理处处直及淮安站〕的委托，江苏省政府采购中心就〔处属工程调度辅助决策及总渠入海口下泄流量预测〕(〔</w:t>
      </w:r>
      <w:r>
        <w:rPr>
          <w:rFonts w:hint="eastAsia" w:ascii="方正仿宋_GBK" w:hAnsi="方正仿宋_GBK" w:eastAsia="方正仿宋_GBK" w:cs="方正仿宋_GBK"/>
          <w:sz w:val="28"/>
          <w:szCs w:val="28"/>
          <w:highlight w:val="none"/>
          <w:lang w:eastAsia="zh-CN"/>
        </w:rPr>
        <w:t xml:space="preserve">JSZC-320000-SCZX-C2026-0381</w:t>
      </w:r>
      <w:r>
        <w:rPr>
          <w:rFonts w:hint="eastAsia" w:ascii="方正仿宋_GBK" w:hAnsi="方正仿宋_GBK" w:eastAsia="方正仿宋_GBK" w:cs="方正仿宋_GBK"/>
          <w:sz w:val="28"/>
          <w:szCs w:val="28"/>
          <w:highlight w:val="none"/>
        </w:rPr>
        <w:t xml:space="preserve">〕)项目进行竞争性磋商采购，欢迎符合条件的供应商参加磋商。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处属工程调度辅助决策及总渠入海口下泄流量预测</w:t>
      </w:r>
      <w:r>
        <w:rPr>
          <w:rFonts w:hint="eastAsia" w:ascii="方正仿宋_GBK" w:hAnsi="方正仿宋_GBK" w:eastAsia="方正仿宋_GBK" w:cs="方正仿宋_GBK"/>
          <w:sz w:val="28"/>
          <w:szCs w:val="28"/>
          <w:highlight w:val="none"/>
        </w:rPr>
        <w:t xml:space="preserve">竞争性磋商项目的潜在供应商可在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磋商文件，并于</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w:t>
      </w:r>
      <w:r>
        <w:rPr>
          <w:rFonts w:hint="eastAsia" w:ascii="Times New Roman" w:hAnsi="Times New Roman" w:eastAsia="方正黑体_GBK" w:cs="Times New Roman"/>
          <w:b w:val="0"/>
          <w:bCs w:val="0"/>
          <w:sz w:val="28"/>
          <w:szCs w:val="28"/>
          <w:highlight w:val="none"/>
          <w:lang w:val="en-US" w:eastAsia="zh-CN"/>
        </w:rPr>
        <w:t xml:space="preserve">9</w:t>
      </w:r>
      <w:r>
        <w:rPr>
          <w:rFonts w:hint="eastAsia" w:ascii="方正仿宋_GBK" w:hAnsi="方正仿宋_GBK" w:eastAsia="方正仿宋_GBK" w:cs="方正仿宋_GBK"/>
          <w:bCs/>
          <w:sz w:val="28"/>
          <w:szCs w:val="28"/>
          <w:highlight w:val="none"/>
          <w:u w:val="none"/>
        </w:rPr>
        <w:t xml:space="preserve">月</w:t>
      </w:r>
      <w:r>
        <w:rPr>
          <w:rFonts w:hint="eastAsia" w:eastAsia="方正黑体_GBK" w:cs="Times New Roman"/>
          <w:b w:val="0"/>
          <w:bCs w:val="0"/>
          <w:sz w:val="28"/>
          <w:szCs w:val="28"/>
          <w:highlight w:val="none"/>
          <w:lang w:val="en-US" w:eastAsia="zh-CN"/>
        </w:rPr>
        <w:t xml:space="preserve">2</w:t>
      </w:r>
      <w:r>
        <w:rPr>
          <w:rFonts w:hint="eastAsia" w:eastAsia="方正黑体_GBK" w:cs="Times New Roman"/>
          <w:b w:val="0"/>
          <w:bCs w:val="0"/>
          <w:sz w:val="28"/>
          <w:szCs w:val="28"/>
          <w:highlight w:val="none"/>
          <w:lang w:val="en-US" w:eastAsia="zh-CN"/>
        </w:rPr>
        <w:t xml:space="preserve">8</w:t>
      </w:r>
      <w:r>
        <w:rPr>
          <w:rFonts w:hint="eastAsia" w:ascii="方正仿宋_GBK" w:hAnsi="方正仿宋_GBK" w:eastAsia="方正仿宋_GBK" w:cs="方正仿宋_GBK"/>
          <w:bCs/>
          <w:sz w:val="28"/>
          <w:szCs w:val="28"/>
          <w:highlight w:val="none"/>
          <w:u w:val="none"/>
        </w:rPr>
        <w:t xml:space="preserve">日14</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前递交响应文件</w:t>
      </w:r>
      <w:r>
        <w:rPr>
          <w:rFonts w:hint="eastAsia" w:ascii="方正仿宋_GBK" w:hAnsi="方正仿宋_GBK" w:eastAsia="方正仿宋_GBK" w:cs="方正仿宋_GBK"/>
          <w:sz w:val="28"/>
          <w:szCs w:val="28"/>
          <w:highlight w:val="none"/>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sz w:val="28"/>
          <w:szCs w:val="28"/>
          <w:highlight w:val="none"/>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黑体_GBK" w:cs="Times New Roman"/>
          <w:b w:val="0"/>
          <w:bCs w:val="0"/>
          <w:sz w:val="28"/>
          <w:szCs w:val="28"/>
          <w:highlight w:val="none"/>
        </w:rPr>
        <w:t xml:space="preserve">JSZC-320000-SCZX-C2026-0381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2.项目名称：</w:t>
      </w: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3.预算金额</w:t>
      </w:r>
      <w:r/>
    </w:p>
    <w:tbl>
      <w:tblPr>
        <w:tblStyle w:val="72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25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15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250" w:type="dxa"/>
            <w:vAlign w:val="top"/>
            <w:textDirection w:val="lrTb"/>
            <w:noWrap w:val="false"/>
          </w:tcPr>
          <w:p>
            <w:pPr>
              <w:ind w:firstLine="1120"/>
              <w:jc w:val="both"/>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4.最高限价</w:t>
      </w:r>
      <w:r/>
    </w:p>
    <w:tbl>
      <w:tblPr>
        <w:tblStyle w:val="72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33"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148" w:type="dxa"/>
            <w:vAlign w:val="top"/>
            <w:textDirection w:val="lrTb"/>
            <w:noWrap w:val="false"/>
          </w:tcPr>
          <w:p>
            <w:pPr>
              <w:jc w:val="center"/>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33" w:type="dxa"/>
            <w:vAlign w:val="top"/>
            <w:textDirection w:val="lrTb"/>
            <w:noWrap w:val="false"/>
          </w:tcPr>
          <w:p>
            <w:pPr>
              <w:jc w:val="center"/>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Times New Roman" w:hAnsi="Times New Roman" w:eastAsia="方正黑体_GBK" w:cs="Times New Roman"/>
                <w:b w:val="0"/>
                <w:bCs w:val="0"/>
                <w:sz w:val="28"/>
                <w:szCs w:val="28"/>
                <w:highlight w:val="none"/>
                <w:lang w:val="en-US" w:eastAsia="zh-CN"/>
              </w:rPr>
              <w:t xml:space="preserve">96</w:t>
            </w:r>
            <w:r/>
          </w:p>
        </w:tc>
      </w:tr>
    </w:tbl>
    <w:p>
      <w:pPr>
        <w:ind w:firstLine="560"/>
        <w:keepLines w:val="0"/>
        <w:keepNext w:val="0"/>
        <w:pageBreakBefore w:val="0"/>
        <w:spacing w:line="400" w:lineRule="exact"/>
        <w:widowControl w:val="off"/>
        <w:rPr>
          <w:rFonts w:ascii="宋体" w:hAnsi="宋体"/>
          <w:sz w:val="28"/>
          <w:szCs w:val="28"/>
          <w:highlight w:val="none"/>
          <w:u w:val="singl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.采购需求（简介）：（详细内容见本磋商文件第四章）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.合同履行期限：</w:t>
      </w:r>
      <w:r>
        <w:rPr>
          <w:rFonts w:hint="eastAsia" w:ascii="方正仿宋_GBK" w:hAnsi="方正仿宋_GBK" w:eastAsia="方正仿宋_GBK" w:cs="方正仿宋_GBK"/>
          <w:sz w:val="28"/>
          <w:szCs w:val="28"/>
          <w:highlight w:val="none"/>
          <w:lang w:eastAsia="zh-CN"/>
        </w:rPr>
        <w:t xml:space="preserve">2026年</w:t>
      </w:r>
      <w:r>
        <w:rPr>
          <w:rFonts w:hint="eastAsia" w:ascii="方正仿宋_GBK" w:hAnsi="方正仿宋_GBK" w:eastAsia="方正仿宋_GBK" w:cs="方正仿宋_GBK"/>
          <w:sz w:val="28"/>
          <w:szCs w:val="28"/>
          <w:highlight w:val="none"/>
          <w:lang w:val="en-US" w:eastAsia="zh-CN"/>
        </w:rPr>
        <w:t xml:space="preserve">12</w:t>
      </w:r>
      <w:r>
        <w:rPr>
          <w:rFonts w:hint="eastAsia" w:ascii="方正仿宋_GBK" w:hAnsi="方正仿宋_GBK" w:eastAsia="方正仿宋_GBK" w:cs="方正仿宋_GBK"/>
          <w:sz w:val="28"/>
          <w:szCs w:val="28"/>
          <w:highlight w:val="none"/>
          <w:lang w:eastAsia="zh-CN"/>
        </w:rPr>
        <w:t xml:space="preserve">月</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lang w:eastAsia="zh-CN"/>
        </w:rPr>
        <w:t xml:space="preserve">0日前完成全部建设内容并通过管理处合同工程验收。</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12" w:name="_Toc28359080"/>
      <w:r/>
      <w:bookmarkStart w:id="13" w:name="_Toc38985264"/>
      <w:r/>
      <w:bookmarkStart w:id="14" w:name="_Toc35393791"/>
      <w:r/>
      <w:bookmarkStart w:id="15" w:name="_Toc35393622"/>
      <w:r/>
      <w:bookmarkStart w:id="16" w:name="_Toc28359003"/>
      <w:r>
        <w:rPr>
          <w:rFonts w:hint="eastAsia" w:ascii="方正黑体_GBK" w:hAnsi="方正黑体_GBK" w:eastAsia="方正黑体_GBK" w:cs="方正黑体_GBK"/>
          <w:b w:val="0"/>
          <w:bCs w:val="0"/>
          <w:sz w:val="28"/>
          <w:szCs w:val="28"/>
          <w:highlight w:val="none"/>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bookmarkStart w:id="17" w:name="_Toc38985265"/>
      <w:r/>
      <w:bookmarkStart w:id="18" w:name="_Toc35393792"/>
      <w:r/>
      <w:bookmarkStart w:id="19" w:name="_Toc28359004"/>
      <w:r/>
      <w:bookmarkStart w:id="20" w:name="_Toc28359081"/>
      <w:r/>
      <w:bookmarkStart w:id="21" w:name="_Toc35393623"/>
      <w:r>
        <w:rPr>
          <w:rFonts w:hint="eastAsia" w:ascii="方正楷体_GBK" w:hAnsi="方正楷体_GBK" w:eastAsia="方正楷体_GBK" w:cs="方正楷体_GBK"/>
          <w:sz w:val="28"/>
          <w:szCs w:val="28"/>
          <w:highlight w:val="none"/>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ascii="Times New Roman" w:hAnsi="Times New Roman" w:eastAsia="方正黑体_GBK" w:cs="Times New Roman"/>
          <w:b w:val="0"/>
          <w:bCs w:val="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4.联合体参与磋商</w:t>
      </w:r>
      <w:r/>
    </w:p>
    <w:tbl>
      <w:tblPr>
        <w:tblStyle w:val="728"/>
        <w:tblW w:w="80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534"/>
        <w:gridCol w:w="3709"/>
      </w:tblGrid>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5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是否接受联合体参与磋商（是/否）</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数量上限</w:t>
            </w:r>
            <w:r/>
          </w:p>
        </w:tc>
      </w:tr>
      <w:tr>
        <w:trPr/>
        <w:tc>
          <w:tcPr>
            <w:tcW w:w="80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5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sz w:val="28"/>
          <w:szCs w:val="28"/>
          <w:highlight w:val="none"/>
        </w:rPr>
      </w:pPr>
      <w:r>
        <w:rPr>
          <w:rFonts w:hint="eastAsia" w:ascii="方正楷体_GBK" w:hAnsi="方正楷体_GBK" w:eastAsia="方正楷体_GBK" w:cs="方正楷体_GBK"/>
          <w:sz w:val="28"/>
          <w:szCs w:val="28"/>
          <w:highlight w:val="none"/>
        </w:rPr>
        <w:t xml:space="preserve">（二）本项目的特定资格要求</w:t>
      </w:r>
      <w:r/>
    </w:p>
    <w:tbl>
      <w:tblPr>
        <w:tblStyle w:val="72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70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8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p>
        </w:tc>
        <w:tc>
          <w:tcPr>
            <w:tcW w:w="370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三、获取磋商文件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1.时间：自磋商文件公告发布之日起5个工作日。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2.方式：在“江苏政府采购网”自行免费下载磋商文件。</w:t>
      </w:r>
      <w:bookmarkEnd w:id="17"/>
      <w:r/>
      <w:bookmarkEnd w:id="18"/>
      <w:r/>
      <w:bookmarkEnd w:id="19"/>
      <w:r/>
      <w:bookmarkEnd w:id="20"/>
      <w:r/>
      <w:bookmarkEnd w:id="21"/>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2" w:name="_Toc28359005"/>
      <w:r/>
      <w:bookmarkStart w:id="23" w:name="_Toc28359082"/>
      <w:r/>
      <w:bookmarkStart w:id="24" w:name="_Toc35393624"/>
      <w:r/>
      <w:bookmarkStart w:id="25" w:name="_Toc35393793"/>
      <w:r/>
      <w:bookmarkStart w:id="26" w:name="_Toc38985266"/>
      <w:r>
        <w:rPr>
          <w:rFonts w:hint="eastAsia" w:ascii="方正黑体_GBK" w:hAnsi="方正黑体_GBK" w:eastAsia="方正黑体_GBK" w:cs="方正黑体_GBK"/>
          <w:b w:val="0"/>
          <w:bCs w:val="0"/>
          <w:sz w:val="28"/>
          <w:szCs w:val="28"/>
          <w:highlight w:val="none"/>
        </w:rPr>
        <w:t xml:space="preserve">四、提交</w:t>
      </w:r>
      <w:bookmarkEnd w:id="22"/>
      <w:r/>
      <w:bookmarkEnd w:id="23"/>
      <w:r>
        <w:rPr>
          <w:rFonts w:hint="eastAsia" w:ascii="方正黑体_GBK" w:hAnsi="方正黑体_GBK" w:eastAsia="方正黑体_GBK" w:cs="方正黑体_GBK"/>
          <w:b w:val="0"/>
          <w:bCs w:val="0"/>
          <w:sz w:val="28"/>
          <w:szCs w:val="28"/>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highlight w:val="none"/>
        </w:rPr>
        <w:t xml:space="preserve">、开启时间及地点</w:t>
      </w:r>
      <w:r/>
    </w:p>
    <w:p>
      <w:pPr>
        <w:ind w:firstLine="560"/>
        <w:keepLines w:val="0"/>
        <w:keepNext w:val="0"/>
        <w:pageBreakBefore w:val="0"/>
        <w:spacing w:line="400" w:lineRule="exact"/>
        <w:widowControl w:val="off"/>
        <w:rPr>
          <w:rFonts w:ascii="宋体" w:hAnsi="宋体" w:cs="宋体"/>
          <w:sz w:val="28"/>
          <w:szCs w:val="28"/>
          <w:highlight w:val="none"/>
        </w:rPr>
      </w:pPr>
      <w:r>
        <w:rPr>
          <w:rFonts w:hint="eastAsia" w:ascii="方正仿宋_GBK" w:hAnsi="方正仿宋_GBK" w:eastAsia="方正仿宋_GBK" w:cs="方正仿宋_GBK"/>
          <w:bCs/>
          <w:sz w:val="28"/>
          <w:szCs w:val="28"/>
          <w:highlight w:val="none"/>
          <w:u w:val="none"/>
        </w:rPr>
        <w:t xml:space="preserve">1.</w:t>
      </w:r>
      <w:r>
        <w:rPr>
          <w:rFonts w:hint="eastAsia" w:ascii="Times New Roman" w:hAnsi="Times New Roman" w:eastAsia="方正黑体_GBK" w:cs="Times New Roman"/>
          <w:b w:val="0"/>
          <w:bCs w:val="0"/>
          <w:sz w:val="28"/>
          <w:szCs w:val="28"/>
          <w:highlight w:val="none"/>
          <w:lang w:val="en-US" w:eastAsia="zh-CN"/>
        </w:rPr>
        <w:t xml:space="preserve">2026</w:t>
      </w:r>
      <w:r>
        <w:rPr>
          <w:rFonts w:hint="eastAsia" w:ascii="方正仿宋_GBK" w:hAnsi="方正仿宋_GBK" w:eastAsia="方正仿宋_GBK" w:cs="方正仿宋_GBK"/>
          <w:bCs/>
          <w:sz w:val="28"/>
          <w:szCs w:val="28"/>
          <w:highlight w:val="none"/>
          <w:u w:val="none"/>
        </w:rPr>
        <w:t xml:space="preserve">年9月</w:t>
      </w:r>
      <w:r>
        <w:rPr>
          <w:rFonts w:hint="eastAsia" w:ascii="方正仿宋_GBK" w:hAnsi="方正仿宋_GBK" w:eastAsia="方正仿宋_GBK" w:cs="方正仿宋_GBK"/>
          <w:bCs/>
          <w:sz w:val="28"/>
          <w:szCs w:val="28"/>
          <w:highlight w:val="none"/>
          <w:u w:val="none"/>
          <w:lang w:val="en-US" w:eastAsia="zh-CN"/>
        </w:rPr>
        <w:t xml:space="preserve">2</w:t>
      </w:r>
      <w:r>
        <w:rPr>
          <w:rFonts w:hint="eastAsia" w:ascii="方正仿宋_GBK" w:hAnsi="方正仿宋_GBK" w:eastAsia="方正仿宋_GBK" w:cs="方正仿宋_GBK"/>
          <w:bCs/>
          <w:sz w:val="28"/>
          <w:szCs w:val="28"/>
          <w:highlight w:val="none"/>
          <w:u w:val="none"/>
          <w:lang w:val="en-US" w:eastAsia="zh-CN"/>
        </w:rPr>
        <w:t xml:space="preserve">8</w:t>
      </w:r>
      <w:r>
        <w:rPr>
          <w:rFonts w:hint="eastAsia" w:ascii="方正仿宋_GBK" w:hAnsi="方正仿宋_GBK" w:eastAsia="方正仿宋_GBK" w:cs="方正仿宋_GBK"/>
          <w:bCs/>
          <w:sz w:val="28"/>
          <w:szCs w:val="28"/>
          <w:highlight w:val="none"/>
          <w:u w:val="none"/>
        </w:rPr>
        <w:t xml:space="preserve">日</w:t>
      </w:r>
      <w:r>
        <w:rPr>
          <w:rFonts w:hint="eastAsia" w:ascii="方正仿宋_GBK" w:hAnsi="方正仿宋_GBK" w:eastAsia="方正仿宋_GBK" w:cs="方正仿宋_GBK"/>
          <w:b w:val="0"/>
          <w:bCs/>
          <w:sz w:val="28"/>
          <w:szCs w:val="28"/>
          <w:highlight w:val="none"/>
          <w:u w:val="none"/>
          <w:lang w:val="en-US" w:eastAsia="zh-CN"/>
        </w:rPr>
        <w:t xml:space="preserve">1</w:t>
      </w:r>
      <w:r>
        <w:rPr>
          <w:rFonts w:hint="eastAsia" w:ascii="Times New Roman" w:hAnsi="Times New Roman" w:eastAsia="方正黑体_GBK" w:cs="Times New Roman"/>
          <w:b w:val="0"/>
          <w:bCs w:val="0"/>
          <w:sz w:val="28"/>
          <w:szCs w:val="28"/>
          <w:highlight w:val="none"/>
          <w:lang w:val="en-US" w:eastAsia="zh-CN"/>
        </w:rPr>
        <w:t xml:space="preserve">4</w:t>
      </w:r>
      <w:r>
        <w:rPr>
          <w:rFonts w:hint="eastAsia" w:ascii="方正仿宋_GBK" w:hAnsi="方正仿宋_GBK" w:eastAsia="方正仿宋_GBK" w:cs="方正仿宋_GBK"/>
          <w:bCs/>
          <w:sz w:val="28"/>
          <w:szCs w:val="28"/>
          <w:highlight w:val="none"/>
          <w:u w:val="none"/>
          <w:lang w:val="en-US" w:eastAsia="zh-CN"/>
        </w:rPr>
        <w:t xml:space="preserve">时</w:t>
      </w:r>
      <w:r>
        <w:rPr>
          <w:rFonts w:hint="eastAsia" w:ascii="Times New Roman" w:hAnsi="Times New Roman" w:eastAsia="方正黑体_GBK" w:cs="Times New Roman"/>
          <w:b w:val="0"/>
          <w:bCs w:val="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分（北京时间）</w:t>
      </w:r>
      <w:r>
        <w:rPr>
          <w:rFonts w:hint="eastAsia" w:ascii="方正仿宋_GBK" w:hAnsi="方正仿宋_GBK" w:eastAsia="方正仿宋_GBK" w:cs="方正仿宋_GBK"/>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27" w:name="_Toc28359084"/>
      <w:r/>
      <w:bookmarkStart w:id="28" w:name="_Toc35393625"/>
      <w:r/>
      <w:bookmarkStart w:id="29" w:name="_Toc38985267"/>
      <w:r/>
      <w:bookmarkStart w:id="30" w:name="_Toc28359007"/>
      <w:r/>
      <w:bookmarkStart w:id="31" w:name="_Toc35393794"/>
      <w:r>
        <w:rPr>
          <w:rFonts w:hint="eastAsia" w:ascii="方正黑体_GBK" w:hAnsi="方正黑体_GBK" w:eastAsia="方正黑体_GBK" w:cs="方正黑体_GBK"/>
          <w:b w:val="0"/>
          <w:bCs w:val="0"/>
          <w:sz w:val="28"/>
          <w:szCs w:val="28"/>
          <w:highlight w:val="none"/>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磋商公告期限为自本公告发布之日起3个工作日，磋商文件公告期限为自本公告发布之日起5个工作日。</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2" w:name="_Toc35393795"/>
      <w:r/>
      <w:bookmarkStart w:id="33" w:name="_Toc35393626"/>
      <w:r/>
      <w:bookmarkStart w:id="34" w:name="_Toc38985268"/>
      <w:r>
        <w:rPr>
          <w:rFonts w:hint="eastAsia" w:ascii="方正黑体_GBK" w:hAnsi="方正黑体_GBK" w:eastAsia="方正黑体_GBK" w:cs="方正黑体_GBK"/>
          <w:b w:val="0"/>
          <w:bCs w:val="0"/>
          <w:sz w:val="28"/>
          <w:szCs w:val="28"/>
          <w:highlight w:val="none"/>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t xml:space="preserve">。</w:t>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bookmarkStart w:id="35" w:name="_Toc38985269"/>
      <w:r/>
      <w:bookmarkStart w:id="36" w:name="_Toc28359085"/>
      <w:r/>
      <w:bookmarkStart w:id="37" w:name="_Toc35393796"/>
      <w:r/>
      <w:bookmarkStart w:id="38" w:name="_Toc35393627"/>
      <w:r/>
      <w:bookmarkStart w:id="39" w:name="_Toc28359008"/>
      <w:r>
        <w:rPr>
          <w:rFonts w:hint="eastAsia" w:ascii="方正黑体_GBK" w:hAnsi="方正黑体_GBK" w:eastAsia="方正黑体_GBK" w:cs="方正黑体_GBK"/>
          <w:b w:val="0"/>
          <w:bCs w:val="0"/>
          <w:sz w:val="28"/>
          <w:szCs w:val="28"/>
          <w:highlight w:val="none"/>
        </w:rPr>
        <w:t xml:space="preserve">七、本次磋商联系方式</w:t>
      </w:r>
      <w:bookmarkEnd w:id="35"/>
      <w:r/>
      <w:bookmarkEnd w:id="36"/>
      <w:r/>
      <w:bookmarkEnd w:id="37"/>
      <w:r/>
      <w:bookmarkEnd w:id="38"/>
      <w:r/>
      <w:bookmarkEnd w:id="39"/>
      <w:r/>
      <w:r/>
    </w:p>
    <w:p>
      <w:pPr>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仿宋" w:hAnsi="仿宋" w:eastAsia="仿宋" w:cs="宋体"/>
          <w:sz w:val="28"/>
          <w:szCs w:val="28"/>
          <w:highlight w:val="none"/>
        </w:rPr>
        <w:t xml:space="preserve">　　</w:t>
      </w:r>
      <w:bookmarkStart w:id="40" w:name="_Toc28359010"/>
      <w:r/>
      <w:bookmarkStart w:id="41" w:name="_Toc28359087"/>
      <w:r>
        <w:rPr>
          <w:rFonts w:hint="eastAsia" w:ascii="仿宋" w:hAnsi="仿宋" w:eastAsia="仿宋" w:cs="宋体"/>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1.采购人信息</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 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lang w:eastAsia="zh-CN"/>
        </w:rPr>
        <w:t xml:space="preserve">江苏省灌溉总渠管理处</w:t>
      </w:r>
      <w:r>
        <w:rPr>
          <w:rFonts w:hint="eastAsia" w:ascii="方正仿宋_GBK" w:hAnsi="方正仿宋_GBK" w:eastAsia="方正仿宋_GBK" w:cs="方正仿宋_GBK"/>
          <w:sz w:val="28"/>
          <w:szCs w:val="28"/>
          <w:highlight w:val="none"/>
          <w:u w:val="single"/>
          <w:lang w:val="en-US" w:eastAsia="zh-CN"/>
        </w:rPr>
        <w:t xml:space="preserve"> </w:t>
      </w:r>
      <w:r>
        <w:rPr>
          <w:rFonts w:hint="eastAsia"/>
          <w:szCs w:val="22"/>
          <w:highlight w:val="none"/>
          <w:lang w:val="en-US" w:eastAsia="zh-CN"/>
        </w:rPr>
        <w:t xml:space="preserve">  </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江苏省淮安市 </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陈晨</w:t>
      </w:r>
      <w:r>
        <w:rPr>
          <w:rFonts w:hint="eastAsia" w:ascii="方正仿宋_GBK" w:hAnsi="方正仿宋_GBK" w:eastAsia="方正仿宋_GBK" w:cs="方正仿宋_GBK"/>
          <w:sz w:val="28"/>
          <w:szCs w:val="28"/>
          <w:highlight w:val="none"/>
          <w:u w:val="single"/>
        </w:rPr>
        <w:t xml:space="preserve">            </w:t>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19952359802       </w:t>
      </w:r>
      <w:r>
        <w:rPr>
          <w:rFonts w:hint="eastAsia" w:ascii="方正仿宋_GBK" w:hAnsi="方正仿宋_GBK" w:eastAsia="方正仿宋_GBK" w:cs="方正仿宋_GBK"/>
          <w:sz w:val="28"/>
          <w:szCs w:val="28"/>
          <w:highlight w:val="none"/>
          <w:u w:val="single"/>
        </w:rPr>
        <w:t xml:space="preserve"> </w:t>
      </w:r>
      <w:bookmarkStart w:id="42" w:name="_Toc28359086"/>
      <w:r/>
      <w:bookmarkStart w:id="43" w:name="_Toc28359009"/>
      <w:r/>
      <w:bookmarkEnd w:id="42"/>
      <w:r/>
      <w:bookmarkEnd w:id="43"/>
      <w:r/>
      <w:r/>
    </w:p>
    <w:p>
      <w:pPr>
        <w:ind w:firstLine="560"/>
        <w:jc w:val="left"/>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2.江苏省政府采购中心信息</w:t>
      </w:r>
      <w:r/>
    </w:p>
    <w:p>
      <w:pPr>
        <w:ind w:firstLine="480"/>
        <w:spacing w:line="400" w:lineRule="exact"/>
        <w:rPr>
          <w:rFonts w:ascii="宋体" w:hAnsi="宋体"/>
          <w:color w:val="000000"/>
          <w:sz w:val="24"/>
          <w:szCs w:val="24"/>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u w:val="single"/>
        </w:rPr>
        <w:t xml:space="preserve">南京市汉中门大街145号省政务中心二期3楼南区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厉彬彬、唐文</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联系方式：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025-83668517/83668519</w:t>
      </w:r>
      <w:r>
        <w:rPr>
          <w:rFonts w:hint="eastAsia" w:ascii="方正仿宋_GBK" w:hAnsi="方正仿宋_GBK" w:eastAsia="方正仿宋_GBK" w:cs="方正仿宋_GBK"/>
          <w:sz w:val="28"/>
          <w:szCs w:val="28"/>
          <w:highlight w:val="none"/>
          <w:u w:val="single"/>
        </w:rPr>
        <w:t xml:space="preserve">　</w:t>
      </w:r>
      <w:bookmarkEnd w:id="40"/>
      <w:r/>
      <w:bookmarkEnd w:id="41"/>
      <w:r/>
      <w:r/>
    </w:p>
    <w:p>
      <w:pPr>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highlight w:val="none"/>
        </w:rPr>
        <w:outlineLvl w:val="2"/>
      </w:pPr>
      <w:r>
        <w:rPr>
          <w:rFonts w:hint="eastAsia" w:ascii="方正黑体_GBK" w:hAnsi="方正黑体_GBK" w:eastAsia="方正黑体_GBK" w:cs="方正黑体_GBK"/>
          <w:b w:val="0"/>
          <w:bCs w:val="0"/>
          <w:sz w:val="28"/>
          <w:szCs w:val="28"/>
          <w:highlight w:val="none"/>
        </w:rPr>
        <w:t xml:space="preserve">八、其他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highlight w:val="none"/>
        </w:rPr>
        <w:t xml:space="preserve">http://www.ccgp-jiangsu.gov.cn/jiangsu/zlxz/ee/ee3a4bc5a3454aa2b0d9312230633ce9.html。</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有关本次磋商的事项若存在变动或修改，敬请及时关注江苏省政府采购中心在“江苏政府采购网”发布的更正公告。</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本次磋商不收取磋商保证金。</w:t>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bookmarkEnd w:id="1"/>
      <w:r/>
      <w:bookmarkEnd w:id="2"/>
      <w:r/>
      <w:bookmarkEnd w:id="3"/>
      <w:r/>
      <w:bookmarkEnd w:id="4"/>
      <w:r/>
      <w:bookmarkEnd w:id="5"/>
      <w:r/>
      <w:r/>
    </w:p>
    <w:p>
      <w:pPr>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44" w:name="_Toc120614214"/>
      <w:r/>
      <w:bookmarkStart w:id="45" w:name="_Toc16938519"/>
      <w:r/>
      <w:bookmarkStart w:id="46" w:name="_Toc513029203"/>
      <w:r/>
      <w:bookmarkStart w:id="47" w:name="_Toc120614211"/>
      <w:r/>
      <w:bookmarkStart w:id="48" w:name="_Toc20823275"/>
      <w:r/>
      <w:bookmarkStart w:id="49" w:name="_Toc513029242"/>
      <w:r/>
      <w:bookmarkStart w:id="50" w:name="_Toc120614221"/>
      <w:r/>
      <w:bookmarkStart w:id="51" w:name="_Toc16938558"/>
      <w:r/>
      <w:bookmarkStart w:id="52" w:name="_Toc20823314"/>
      <w:r/>
      <w:bookmarkStart w:id="53" w:name="_Toc479757207"/>
      <w:r>
        <w:rPr>
          <w:rFonts w:hint="eastAsia" w:ascii="方正黑体_GBK" w:hAnsi="方正黑体_GBK" w:eastAsia="方正黑体_GBK" w:cs="方正黑体_GBK"/>
          <w:b w:val="0"/>
          <w:bCs w:val="0"/>
          <w:sz w:val="28"/>
          <w:szCs w:val="28"/>
        </w:rPr>
        <w:t xml:space="preserve">第二章  供应商须知</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合格的供应商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二、磋商文件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三、响应文件的编制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四、响应文件的递交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电子磋商响应文件的递交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p>
    <w:p>
      <w:pPr>
        <w:ind w:firstLine="723"/>
        <w:pageBreakBefore w:val="0"/>
        <w:spacing w:line="400" w:lineRule="exact"/>
        <w:widowControl w:val="off"/>
        <w:rPr>
          <w:rFonts w:hint="eastAsia" w:ascii="方正仿宋_GBK" w:hAnsi="方正仿宋_GBK" w:eastAsia="方正仿宋_GBK" w:cs="方正仿宋_GBK"/>
          <w:b/>
          <w:bCs/>
          <w:sz w:val="36"/>
          <w:szCs w:val="36"/>
          <w:lang w:val="en-US" w:eastAsia="zh-CN"/>
        </w:rPr>
      </w:pPr>
      <w:r>
        <w:rPr>
          <w:rFonts w:hint="eastAsia" w:ascii="方正仿宋_GBK" w:hAnsi="方正仿宋_GBK" w:eastAsia="方正仿宋_GBK" w:cs="方正仿宋_GBK"/>
          <w:b/>
          <w:bCs/>
          <w:i w:val="0"/>
          <w:iCs w:val="0"/>
          <w:caps w:val="0"/>
          <w:color w:val="333333"/>
          <w:spacing w:val="0"/>
          <w:sz w:val="36"/>
          <w:szCs w:val="36"/>
          <w:lang w:val="en-US" w:eastAsia="zh-CN"/>
        </w:rPr>
        <w:t xml:space="preserve">25.3.11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六、成交</w:t>
      </w:r>
      <w:r/>
    </w:p>
    <w:p>
      <w:pPr>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确定成交单位</w:t>
      </w:r>
      <w:r/>
    </w:p>
    <w:p>
      <w:pPr>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rPr>
        <w:t xml:space="preserve">质疑处理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28.2.3对成交结果提出质疑的，为成交结果公告期限届满之日。</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七、授予合同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30.签订合同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bookmarkEnd w:id="44"/>
      <w:r/>
      <w:bookmarkEnd w:id="45"/>
      <w:r/>
      <w:bookmarkEnd w:id="46"/>
      <w:r/>
      <w:bookmarkEnd w:id="47"/>
      <w:r/>
      <w:bookmarkEnd w:id="48"/>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49"/>
      <w:r/>
      <w:bookmarkEnd w:id="50"/>
      <w:r/>
      <w:bookmarkEnd w:id="51"/>
      <w:r/>
      <w:bookmarkEnd w:id="52"/>
      <w:r/>
      <w:bookmarkEnd w:id="53"/>
      <w:r>
        <w:rPr>
          <w:rFonts w:hint="eastAsia" w:ascii="方正黑体_GBK" w:hAnsi="方正黑体_GBK" w:eastAsia="方正黑体_GBK" w:cs="方正黑体_GBK"/>
          <w:bCs/>
          <w:color w:val="000000"/>
          <w:sz w:val="28"/>
          <w:szCs w:val="28"/>
          <w:highlight w:val="none"/>
        </w:rPr>
        <w:t xml:space="preserve">文本</w:t>
      </w:r>
      <w:r/>
    </w:p>
    <w:p>
      <w:pPr>
        <w:jc w:val="center"/>
        <w:spacing w:before="156" w:after="156"/>
        <w:rPr>
          <w:rFonts w:hint="eastAsia" w:ascii="宋体" w:hAnsi="宋体"/>
          <w:b/>
          <w:sz w:val="30"/>
          <w:szCs w:val="21"/>
          <w:highlight w:val="none"/>
        </w:rPr>
        <w:outlineLvl w:val="0"/>
      </w:pPr>
      <w:r/>
      <w:bookmarkStart w:id="54" w:name="_Toc16938559"/>
      <w:r/>
      <w:bookmarkStart w:id="55" w:name="_Toc513029243"/>
      <w:r/>
      <w:bookmarkStart w:id="56" w:name="_Toc20823315"/>
      <w:r/>
      <w:r/>
    </w:p>
    <w:p>
      <w:pPr>
        <w:pStyle w:val="93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t xml:space="preserve">江苏省政府采购合同</w:t>
      </w:r>
      <w:r>
        <w:rPr>
          <w:rFonts w:hint="eastAsia" w:ascii="方正黑体_GBK" w:hAnsi="方正黑体_GBK" w:eastAsia="方正黑体_GBK" w:cs="方正黑体_GBK"/>
          <w:b w:val="0"/>
          <w:bCs w:val="0"/>
          <w:spacing w:val="-20"/>
          <w:sz w:val="28"/>
          <w:szCs w:val="28"/>
          <w:highlight w:val="none"/>
          <w:lang w:val="en-US" w:eastAsia="zh-CN"/>
        </w:rPr>
        <w:t xml:space="preserve">（服务）</w:t>
      </w:r>
      <w:r>
        <w:rPr>
          <w:rFonts w:hint="eastAsia" w:ascii="方正黑体_GBK" w:hAnsi="方正黑体_GBK" w:eastAsia="方正黑体_GBK" w:cs="方正黑体_GBK"/>
          <w:b w:val="0"/>
          <w:bCs w:val="0"/>
          <w:spacing w:val="-20"/>
          <w:sz w:val="28"/>
          <w:szCs w:val="28"/>
          <w:highlight w:val="none"/>
        </w:rPr>
        <w:t xml:space="preserve">（合同编号）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ascii="Times New Roman" w:hAnsi="Times New Roman" w:eastAsia="方正仿宋_GBK" w:cs="Times New Roman"/>
          <w:sz w:val="28"/>
          <w:szCs w:val="28"/>
          <w:highlight w:val="none"/>
          <w:lang w:eastAsia="zh-CN"/>
        </w:rPr>
        <w:t xml:space="preserve">XXXX</w:t>
      </w:r>
      <w:r>
        <w:rPr>
          <w:rFonts w:ascii="Times New Roman" w:hAnsi="Times New Roman" w:eastAsia="方正仿宋_GBK" w:cs="Times New Roman"/>
          <w:sz w:val="28"/>
          <w:szCs w:val="28"/>
          <w:highlight w:val="none"/>
        </w:rPr>
        <w:t xml:space="preserve">  </w:t>
      </w:r>
      <w:r>
        <w:rPr>
          <w:rFonts w:hint="eastAsia" w:ascii="方正仿宋_GBK" w:hAnsi="方正仿宋_GBK" w:eastAsia="方正仿宋_GBK" w:cs="方正仿宋_GBK"/>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lang w:eastAsia="zh-CN"/>
        </w:rPr>
        <w:t xml:space="preserve">JSZC-320000-</w:t>
      </w:r>
      <w:r>
        <w:rPr>
          <w:rFonts w:hint="eastAsia" w:ascii="Times New Roman" w:hAnsi="Times New Roman" w:eastAsia="方正仿宋_GBK" w:cs="Times New Roman"/>
          <w:sz w:val="28"/>
          <w:szCs w:val="28"/>
          <w:highlight w:val="none"/>
          <w:lang w:val="en-US" w:eastAsia="zh-CN"/>
        </w:rPr>
        <w:t xml:space="preserve">SCZX-C20XX-XXXX</w:t>
      </w:r>
      <w:r>
        <w:rPr>
          <w:rFonts w:hint="eastAsia" w:ascii="Times New Roman" w:hAnsi="Times New Roman" w:eastAsia="方正仿宋_GBK" w:cs="Times New Roman"/>
          <w:sz w:val="28"/>
          <w:szCs w:val="28"/>
          <w:highlight w:val="none"/>
          <w:lang w:eastAsia="zh-CN"/>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乙方：（卖方/成交供应商）_________</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项目竞争性</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的结果，签署本合同。</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标的质量：</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p>
    <w:p>
      <w:pPr>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本合同金额为（大写）：______圆（_____元）人民币或其他币种。</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w:t>
      </w:r>
      <w:r>
        <w:rPr>
          <w:rFonts w:hint="eastAsia" w:ascii="方正仿宋_GBK" w:hAnsi="方正仿宋_GBK" w:eastAsia="方正仿宋_GBK" w:cs="方正仿宋_GBK"/>
          <w:sz w:val="28"/>
          <w:szCs w:val="28"/>
          <w:highlight w:val="none"/>
          <w:lang w:eastAsia="zh-CN"/>
        </w:rPr>
        <w:t xml:space="preserve">磋商文件</w:t>
      </w:r>
      <w:r>
        <w:rPr>
          <w:rFonts w:hint="eastAsia" w:ascii="方正仿宋_GBK" w:hAnsi="方正仿宋_GBK" w:eastAsia="方正仿宋_GBK" w:cs="方正仿宋_GBK"/>
          <w:sz w:val="28"/>
          <w:szCs w:val="28"/>
          <w:highlight w:val="none"/>
        </w:rPr>
        <w:t xml:space="preserve">规定的时间向甲方提供与合同标的有关的技术资料。</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乙方保证所交付的合同标的的所有权完全属于乙方且无任何抵押、查封等产权瑕疵。</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w:t>
      </w:r>
      <w:r>
        <w:rPr>
          <w:rFonts w:hint="eastAsia" w:ascii="方正仿宋_GBK" w:hAnsi="方正仿宋_GBK" w:eastAsia="方正仿宋_GBK" w:cs="方正仿宋_GBK"/>
          <w:sz w:val="28"/>
          <w:szCs w:val="28"/>
          <w:highlight w:val="none"/>
          <w:u w:val="single"/>
        </w:rPr>
        <w:t xml:space="preserve">合同总价的10%</w:t>
      </w:r>
      <w:r>
        <w:rPr>
          <w:rFonts w:hint="eastAsia" w:ascii="方正仿宋_GBK" w:hAnsi="方正仿宋_GBK" w:eastAsia="方正仿宋_GBK" w:cs="方正仿宋_GBK"/>
          <w:sz w:val="28"/>
          <w:szCs w:val="28"/>
          <w:highlight w:val="none"/>
        </w:rPr>
        <w:t xml:space="preserve">_元作为本合同的履约保证金。（不得超过合同金额的10%）</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p>
    <w:p>
      <w:pPr>
        <w:ind w:firstLine="560"/>
        <w:keepLines w:val="0"/>
        <w:keepNext w:val="0"/>
        <w:pageBreakBefore w:val="0"/>
        <w:spacing w:before="120" w:after="120" w:line="38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6.2.2履约保证金退还时间：符合退还条件的5个工作日内退还；</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6.2.3履约保证金退还条件：采购人在项目通过验收后按照合同条款规定的时间内将履约保证金退还中标人；</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sz w:val="28"/>
          <w:szCs w:val="28"/>
          <w:highlight w:val="none"/>
        </w:rPr>
        <w:t xml:space="preserve">6.2.4履约保证金不予退还的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8.1合同款项的支付方式及进度安排</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8.1.1 预付款  支付时间：</w:t>
      </w:r>
      <w:r>
        <w:rPr>
          <w:rFonts w:hint="eastAsia" w:ascii="方正仿宋_GBK" w:hAnsi="方正仿宋_GBK" w:eastAsia="方正仿宋_GBK" w:cs="方正仿宋_GBK"/>
          <w:bCs/>
          <w:sz w:val="28"/>
          <w:szCs w:val="28"/>
          <w:highlight w:val="none"/>
          <w:u w:val="single"/>
        </w:rPr>
        <w:t xml:space="preserve">合同签订后</w:t>
      </w:r>
      <w:r>
        <w:rPr>
          <w:rFonts w:hint="eastAsia" w:ascii="Times New Roman" w:hAnsi="Times New Roman" w:eastAsia="方正仿宋_GBK" w:cs="Times New Roman"/>
          <w:sz w:val="28"/>
          <w:szCs w:val="28"/>
          <w:highlight w:val="none"/>
          <w:u w:val="single"/>
          <w:lang w:val="en-US" w:eastAsia="zh-CN"/>
        </w:rPr>
        <w:t xml:space="preserve">10</w:t>
      </w:r>
      <w:r>
        <w:rPr>
          <w:rFonts w:hint="eastAsia" w:ascii="方正仿宋_GBK" w:hAnsi="方正仿宋_GBK" w:eastAsia="方正仿宋_GBK" w:cs="方正仿宋_GBK"/>
          <w:bCs/>
          <w:sz w:val="28"/>
          <w:szCs w:val="28"/>
          <w:highlight w:val="none"/>
          <w:u w:val="single"/>
        </w:rPr>
        <w:t xml:space="preserve">工作日内</w:t>
      </w:r>
      <w:r>
        <w:rPr>
          <w:rFonts w:hint="eastAsia" w:ascii="方正仿宋_GBK" w:hAnsi="方正仿宋_GBK" w:eastAsia="方正仿宋_GBK" w:cs="方正仿宋_GBK"/>
          <w:bCs/>
          <w:sz w:val="28"/>
          <w:szCs w:val="28"/>
          <w:highlight w:val="none"/>
        </w:rPr>
        <w:t xml:space="preserve">，预付款支付比例：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30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8.1.2 尾款  支付时间：</w:t>
      </w:r>
      <w:r>
        <w:rPr>
          <w:rFonts w:hint="eastAsia" w:ascii="方正仿宋_GBK" w:hAnsi="方正仿宋_GBK" w:eastAsia="方正仿宋_GBK" w:cs="方正仿宋_GBK"/>
          <w:bCs/>
          <w:color w:val="000000"/>
          <w:sz w:val="28"/>
          <w:szCs w:val="28"/>
          <w:highlight w:val="none"/>
          <w:u w:val="single"/>
        </w:rPr>
        <w:t xml:space="preserve">项目实施完成经完工验收后</w:t>
      </w:r>
      <w:r>
        <w:rPr>
          <w:rFonts w:hint="eastAsia" w:ascii="方正仿宋_GBK" w:hAnsi="方正仿宋_GBK" w:eastAsia="方正仿宋_GBK" w:cs="方正仿宋_GBK"/>
          <w:bCs/>
          <w:sz w:val="28"/>
          <w:szCs w:val="28"/>
          <w:highlight w:val="none"/>
          <w:u w:val="single"/>
          <w:lang w:eastAsia="zh-CN"/>
        </w:rPr>
        <w:t xml:space="preserve">、</w:t>
      </w:r>
      <w:r>
        <w:rPr>
          <w:rFonts w:hint="eastAsia" w:ascii="方正仿宋_GBK" w:hAnsi="方正仿宋_GBK" w:eastAsia="方正仿宋_GBK" w:cs="方正仿宋_GBK"/>
          <w:bCs/>
          <w:sz w:val="28"/>
          <w:szCs w:val="28"/>
          <w:highlight w:val="none"/>
          <w:u w:val="single"/>
        </w:rPr>
        <w:t xml:space="preserve">采购人收到发票后10个工作日内，</w:t>
      </w:r>
      <w:r>
        <w:rPr>
          <w:rFonts w:hint="eastAsia" w:ascii="方正仿宋_GBK" w:hAnsi="方正仿宋_GBK" w:eastAsia="方正仿宋_GBK" w:cs="方正仿宋_GBK"/>
          <w:bCs/>
          <w:sz w:val="28"/>
          <w:szCs w:val="28"/>
          <w:highlight w:val="none"/>
        </w:rPr>
        <w:t xml:space="preserve">尾款支付比例：</w:t>
      </w:r>
      <w:r>
        <w:rPr>
          <w:rFonts w:hint="eastAsia" w:ascii="方正仿宋_GBK" w:hAnsi="方正仿宋_GBK" w:eastAsia="方正仿宋_GBK" w:cs="方正仿宋_GBK"/>
          <w:sz w:val="28"/>
          <w:szCs w:val="28"/>
          <w:highlight w:val="none"/>
          <w:u w:val="single"/>
        </w:rPr>
        <w:t xml:space="preserve">合同金额的</w:t>
      </w:r>
      <w:r>
        <w:rPr>
          <w:rFonts w:hint="eastAsia" w:ascii="Times New Roman" w:hAnsi="Times New Roman" w:eastAsia="方正仿宋_GBK" w:cs="Times New Roman"/>
          <w:sz w:val="28"/>
          <w:szCs w:val="28"/>
          <w:highlight w:val="none"/>
          <w:u w:val="single"/>
          <w:lang w:val="en-US" w:eastAsia="zh-CN"/>
        </w:rPr>
        <w:t xml:space="preserve">70</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bCs/>
          <w:sz w:val="28"/>
          <w:szCs w:val="28"/>
          <w:highlight w:val="none"/>
        </w:rPr>
        <w:t xml:space="preserve">。</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9.1本合同执行中相关的一切税费均由乙方负担。</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甲方依法组织履约验收工作。</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10.3 对于实际使用人和甲方分离的项目，甲方邀请实际使用人参与验收。</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10.4 如有必要，甲方邀请参加本项目的其他供应商或第三方专业机构及专家参与验收，相关意见将作为验收书的参考资料。</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highlight w:val="none"/>
          <w:lang w:eastAsia="zh-CN"/>
        </w:rPr>
        <w:t xml:space="preserve">中华人民共和国</w:t>
      </w:r>
      <w:r>
        <w:rPr>
          <w:rFonts w:hint="eastAsia" w:ascii="方正仿宋_GBK" w:hAnsi="方正仿宋_GBK" w:eastAsia="方正仿宋_GBK" w:cs="方正仿宋_GBK"/>
          <w:bCs/>
          <w:sz w:val="28"/>
          <w:szCs w:val="28"/>
          <w:highlight w:val="none"/>
        </w:rPr>
        <w:t xml:space="preserve">民法典》。乙方在履约过程中有政府采购法律法规规定的违法违规情形的,甲方将及时报告本级财政部门。</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每日向乙方支付违约金。</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bCs/>
          <w:sz w:val="28"/>
          <w:szCs w:val="28"/>
          <w:highlight w:val="none"/>
          <w:u w:val="single"/>
          <w:lang w:val="en-US" w:eastAsia="zh-CN"/>
        </w:rPr>
        <w:t xml:space="preserve">%</w:t>
      </w:r>
      <w:r>
        <w:rPr>
          <w:rFonts w:hint="eastAsia" w:ascii="方正仿宋_GBK" w:hAnsi="方正仿宋_GBK" w:eastAsia="方正仿宋_GBK" w:cs="方正仿宋_GBK"/>
          <w:bCs/>
          <w:sz w:val="28"/>
          <w:szCs w:val="28"/>
          <w:highlight w:val="none"/>
        </w:rPr>
        <w:t xml:space="preserve">的违约金，如造成甲方损失超过违约金的，超出部分由乙方继续承担赔偿责任。 </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11.4 乙方交付合同标的的标准不符合合同规定及</w:t>
      </w:r>
      <w:r>
        <w:rPr>
          <w:rFonts w:hint="eastAsia" w:ascii="方正仿宋_GBK" w:hAnsi="方正仿宋_GBK" w:eastAsia="方正仿宋_GBK" w:cs="方正仿宋_GBK"/>
          <w:bCs/>
          <w:sz w:val="28"/>
          <w:szCs w:val="28"/>
          <w:highlight w:val="none"/>
          <w:lang w:eastAsia="zh-CN"/>
        </w:rPr>
        <w:t xml:space="preserve">磋商文件</w:t>
      </w:r>
      <w:r>
        <w:rPr>
          <w:rFonts w:hint="eastAsia" w:ascii="方正仿宋_GBK" w:hAnsi="方正仿宋_GBK" w:eastAsia="方正仿宋_GBK" w:cs="方正仿宋_GBK"/>
          <w:bCs/>
          <w:sz w:val="28"/>
          <w:szCs w:val="28"/>
          <w:highlight w:val="none"/>
        </w:rPr>
        <w:t xml:space="preserve">规定标准的，甲方有权拒绝接受合同标的，并可单方面解除合同。</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12.1 在合同有效期内，任何一方因不可抗力事件导致不能履行合同，则合同履行期可延长，其延长期与不可抗力影响 期相同。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12.2 不可抗力事件发生后，应立即通知对方，并寄送有关权威机构出具的证明。</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12.3 不可抗力事件延续120天以上，双方应通过友好协商，确定是否继续履行合同。</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13.1双方在签订、履行合同中所发生的一切争议，应通过友好协商解决。如协商不成，由甲方住所地人民法院管辖。</w:t>
      </w:r>
      <w:r/>
    </w:p>
    <w:p>
      <w:pPr>
        <w:pStyle w:val="937"/>
        <w:ind w:firstLine="560"/>
        <w:keepLines w:val="0"/>
        <w:keepNext w:val="0"/>
        <w:pageBreakBefore w:val="0"/>
        <w:spacing w:before="120" w:after="120" w:line="38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合同经双方法定代表人或授权委托代表人签字并加盖单位公章后生效。</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14.2本合同未尽事宜，遵照中华人民共和国现行法律法规有关条文执行。</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14.3 本合同正本一式两份，具有同等法律效力，甲方、乙方各执一份。</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甲方：                        乙方： </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地址：                        地址： </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法定代表人或授权代表：        法定代表人或授权代表：</w:t>
      </w:r>
      <w:r/>
    </w:p>
    <w:p>
      <w:pPr>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联系电话：                    联系电话：          </w:t>
      </w:r>
      <w:r/>
    </w:p>
    <w:p>
      <w:pPr>
        <w:ind w:firstLine="560"/>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w:t>
      </w:r>
      <w:r/>
    </w:p>
    <w:p>
      <w:pPr>
        <w:ind w:firstLine="560"/>
        <w:jc w:val="right"/>
        <w:keepLines w:val="0"/>
        <w:keepNext w:val="0"/>
        <w:pageBreakBefore w:val="0"/>
        <w:spacing w:before="120" w:after="120" w:line="38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签订日期：   年   月   日</w:t>
      </w:r>
      <w:r/>
    </w:p>
    <w:p>
      <w:pPr>
        <w:ind w:firstLine="480"/>
        <w:jc w:val="right"/>
        <w:spacing w:line="500" w:lineRule="exact"/>
        <w:rPr>
          <w:rFonts w:ascii="Times New Roman" w:hAnsi="Times New Roman"/>
          <w:sz w:val="24"/>
          <w:szCs w:val="24"/>
          <w:highlight w:val="none"/>
        </w:rPr>
      </w:pPr>
      <w:r>
        <w:rPr>
          <w:rFonts w:ascii="Times New Roman" w:hAnsi="Times New Roman"/>
          <w:sz w:val="24"/>
          <w:szCs w:val="24"/>
          <w:highlight w:val="none"/>
        </w:rPr>
      </w:r>
      <w:bookmarkEnd w:id="54"/>
      <w:r/>
      <w:bookmarkEnd w:id="55"/>
      <w:r/>
      <w:bookmarkEnd w:id="56"/>
      <w:r/>
      <w:r/>
    </w:p>
    <w:p>
      <w:pPr>
        <w:pStyle w:val="901"/>
        <w:keepLines/>
        <w:keepNext/>
        <w:pageBreakBefore w:val="0"/>
        <w:spacing w:line="400" w:lineRule="exact"/>
        <w:widowControl w:val="off"/>
        <w:rPr>
          <w:rFonts w:ascii="宋体" w:hAnsi="Courier New" w:cs="Courier New"/>
          <w:sz w:val="28"/>
          <w:szCs w:val="28"/>
          <w:highlight w:val="none"/>
        </w:rPr>
      </w:pPr>
      <w:r/>
      <w:bookmarkStart w:id="57" w:name="_Toc49090575"/>
      <w:r/>
      <w:bookmarkStart w:id="58" w:name="_Toc26554093"/>
      <w:r/>
      <w:bookmarkStart w:id="59" w:name="_Toc479757211"/>
      <w:r/>
      <w:bookmarkStart w:id="60" w:name="_Toc462564139"/>
      <w:r>
        <w:rPr>
          <w:rFonts w:hint="eastAsia" w:ascii="方正黑体_GBK" w:hAnsi="方正黑体_GBK" w:eastAsia="方正黑体_GBK" w:cs="方正黑体_GBK"/>
          <w:b w:val="0"/>
          <w:bCs w:val="0"/>
          <w:sz w:val="28"/>
          <w:szCs w:val="28"/>
          <w:highlight w:val="none"/>
          <w:lang w:val="en-US" w:eastAsia="zh-CN"/>
        </w:rPr>
        <w:t xml:space="preserve">第四章 采购需求</w:t>
      </w:r>
      <w:r/>
    </w:p>
    <w:p>
      <w:pPr>
        <w:pStyle w:val="901"/>
        <w:jc w:val="left"/>
        <w:keepLines/>
        <w:keepNext/>
        <w:pageBreakBefore w:val="0"/>
        <w:spacing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一、采购标的清单</w:t>
      </w:r>
      <w:r/>
    </w:p>
    <w:tbl>
      <w:tblPr>
        <w:tblStyle w:val="7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jc w:val="center"/>
        </w:trPr>
        <w:tc>
          <w:tcPr>
            <w:tcW w:w="12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eastAsia="zh-CN"/>
              </w:rPr>
              <w:t xml:space="preserve">号</w:t>
            </w:r>
            <w:r/>
          </w:p>
        </w:tc>
        <w:tc>
          <w:tcPr>
            <w:tcW w:w="1007"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276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7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1249"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Times New Roman" w:hAnsi="Times New Roman" w:eastAsia="方正仿宋_GBK" w:cs="Times New Roman"/>
                <w:sz w:val="28"/>
                <w:szCs w:val="28"/>
                <w:highlight w:val="none"/>
                <w:u w:val="none"/>
                <w:lang w:val="en-US" w:eastAsia="zh-CN"/>
              </w:rPr>
              <w:t xml:space="preserve">1</w:t>
            </w:r>
            <w:r/>
          </w:p>
        </w:tc>
        <w:tc>
          <w:tcPr>
            <w:tcW w:w="1007"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764" w:type="dxa"/>
            <w:vAlign w:val="top"/>
            <w:textDirection w:val="lrTb"/>
            <w:noWrap w:val="false"/>
          </w:tcPr>
          <w:p>
            <w:pPr>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处属工程调度辅助决策及总渠入海口下泄流量预测</w:t>
            </w:r>
            <w:r>
              <w:rPr>
                <w:rFonts w:hint="eastAsia" w:ascii="方正仿宋_GBK" w:hAnsi="方正仿宋_GBK" w:eastAsia="方正仿宋_GBK" w:cs="方正仿宋_GBK"/>
                <w:sz w:val="28"/>
                <w:szCs w:val="28"/>
                <w:highlight w:val="none"/>
              </w:rPr>
              <w:tab/>
            </w:r>
            <w:r/>
          </w:p>
        </w:tc>
        <w:tc>
          <w:tcPr>
            <w:tcW w:w="273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软件和信息技术服务业</w:t>
            </w:r>
            <w:r/>
          </w:p>
        </w:tc>
      </w:tr>
    </w:tbl>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项目属性:服务类项目。</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1"/>
        <w:jc w:val="left"/>
        <w:keepLines/>
        <w:keepNext/>
        <w:pageBreakBefore w:val="0"/>
        <w:spacing w:before="0" w:after="0" w:line="400" w:lineRule="exact"/>
        <w:widowControl w:val="off"/>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三、项目背景</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（一）项目概况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江苏省灌溉总渠承担灌溉输水、防洪排涝、通航保障和沿线工程安全运行等多重任务，工程体系点多、线长、范围广，沿线水闸、泵站之间水力联系紧密。受上游来水变化、沿线分流、闸泵联合运行、入海口潮汐顶托及港道泥沙冲淤等因素影响，工程运行工况复杂，对水情变化研判、全线联合调度和入海口下泄能力分析提出了更高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管理处前期已建设工程管理智能化平台、统一数据底板、二维GIS平台、三维BIM平台及相关工程自动化系统，已具备工程运行数据汇聚、业务管理、空间展示和模型成果应用基础，积累了较为丰富的历史调度、实时监测、工程档案和运行管理数据。现有工程管理智能化平台已为管理处工程运行管理提供统一业务入口，统一数据底板能够为业务应用和模型计算提供数据支撑，二维GIS平台和三维BIM平台能够支撑工程空间信息及业务成果展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目前，现有系统尚缺少面向灌溉总渠全线闸泵协同运行的调度辅助决策能力，以及针对六垛南闸下游港道泥沙冲淤影响的入海口下泄流量预测能力，工程文档、实时监测数据和专业模型成果的智能查询与综合应用能力也有待进一步完善。</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本项目应在管理处现有信息化建设成果基础上开展增量建设，充分复用现有平台、数据、模型和空间展示资源，建设调度辅助决策、入海口下泄流量预测和总渠数字人问答三类业务应用，并统一集成至管理处现有工程管理智能化平台，为灌溉总渠安全、平稳、高效运行提供技术支撑。</w:t>
      </w:r>
      <w:r/>
    </w:p>
    <w:p>
      <w:pPr>
        <w:pStyle w:val="901"/>
        <w:jc w:val="left"/>
        <w:spacing w:before="0" w:after="0" w:line="400" w:lineRule="exact"/>
        <w:rPr>
          <w:rFonts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（二）总体架构</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系统总体架构按照“基础设施层、数据资源层、模型平台层、应用服务层、展示交互层”进行设计。</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基础设施层依托现有超融合服务器资源和网络环境，</w:t>
      </w:r>
      <w:r>
        <w:rPr>
          <w:rFonts w:hint="eastAsia" w:ascii="方正仿宋_GBK" w:hAnsi="方正仿宋_GBK" w:eastAsia="方正仿宋_GBK" w:cs="方正仿宋_GBK"/>
          <w:bCs/>
          <w:sz w:val="28"/>
          <w:szCs w:val="28"/>
          <w:highlight w:val="none"/>
          <w:lang w:val="en-US" w:eastAsia="zh-CN"/>
        </w:rPr>
        <w:t xml:space="preserve">进行</w:t>
      </w:r>
      <w:r>
        <w:rPr>
          <w:rFonts w:hint="eastAsia" w:ascii="方正仿宋_GBK" w:hAnsi="方正仿宋_GBK" w:eastAsia="方正仿宋_GBK" w:cs="方正仿宋_GBK"/>
          <w:bCs/>
          <w:sz w:val="28"/>
          <w:szCs w:val="28"/>
          <w:highlight w:val="none"/>
        </w:rPr>
        <w:t xml:space="preserve">模型计算、数据处理和应用服务运行。</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数据资源层统一接入工程自动化监控数据、调度业务数据、历史水文数据、泥沙模型成果、GIS 空间数据、BIM 模型数据、制度规范、工程档案、表单模板和业务流程数据，形成面向模型与应用的数据资源目录。</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模型平台层统一管理水位趋势预报模型、水位拐点检测与修正模型、全线优化调度决策模型、自然语言意图识别模型、检索增强生成模型、指令解析与流程编排模型等能力，并对接入海口第三方泥沙淤积成果，对上提供标准化模型服务接口。</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应用服务层围绕三类核心业务应用进行整合：一是调度辅助决策应用，二是入海口下泄流量预测应用，三是总渠数字人应用。各应用共享统一数据底座、模型服务和权限体系，避免重复建设。</w:t>
      </w:r>
      <w:r/>
    </w:p>
    <w:p>
      <w:pPr>
        <w:pStyle w:val="901"/>
        <w:ind w:firstLine="562"/>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Cs/>
          <w:sz w:val="28"/>
          <w:szCs w:val="28"/>
          <w:highlight w:val="none"/>
        </w:rPr>
        <w:t xml:space="preserve">展示交互层面向调度人员、运行值班人员、工程管理人员和管理层提供二维 GIS、三维数字孪生场景、综合看板、专题图表、自然语言对话和业务流程入口等多种交互方式。</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（三）建设目标</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本项目应依托管理处现有数据、模型和平台基础，构建覆盖灌溉总渠全线调度辅助、六垛南闸入海口下泄能力研判和工程运行知识服务的综合支撑体系，推动数据资源、专业模型与工程运行管理业务深度融合。</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1、通过项目建设，应提升灌溉总渠全线闸泵协同调度辅助能力，增强对上游来水、水流传播和沿线水位变化趋势的提前研判水平，为水闸流量调整、泵站机组运行和复杂工况下的联合调度提供科学依据。</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2、应提升六垛南闸入海口下泄能力分析水平，掌握下游港道泥沙冲淤及其对过流断面和下泄能力的影响，为防洪排涝、工程调度和清淤计划制定提供量化支撑。</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3、应提升工程运行管理智能服务能力，实现工程文档、实时监测数据和运行安全状态评估成果的便捷查询与综合应用，提高资料获取、运行状态掌握和辅助研判效率。</w:t>
      </w:r>
      <w:r/>
    </w:p>
    <w:p>
      <w:pPr>
        <w:pStyle w:val="901"/>
        <w:ind w:firstLine="560"/>
        <w:jc w:val="left"/>
        <w:keepLines/>
        <w:keepNext/>
        <w:pageBreakBefore w:val="0"/>
        <w:spacing w:before="0" w:after="0" w:line="400" w:lineRule="exact"/>
        <w:widowControl w:val="off"/>
        <w:rPr>
          <w:rFonts w:hint="eastAsia" w:ascii="方正仿宋_GBK" w:hAnsi="方正仿宋_GBK" w:eastAsia="方正仿宋_GBK" w:cs="方正仿宋_GBK"/>
          <w:b w:val="0"/>
          <w:bCs/>
          <w:sz w:val="28"/>
          <w:szCs w:val="28"/>
          <w:highlight w:val="none"/>
          <w:lang w:val="en-US" w:eastAsia="zh-CN" w:bidi="ar-SA"/>
        </w:rPr>
      </w:pPr>
      <w:r>
        <w:rPr>
          <w:rFonts w:hint="eastAsia" w:ascii="方正仿宋_GBK" w:hAnsi="方正仿宋_GBK" w:eastAsia="方正仿宋_GBK" w:cs="方正仿宋_GBK"/>
          <w:b w:val="0"/>
          <w:bCs/>
          <w:sz w:val="28"/>
          <w:szCs w:val="28"/>
          <w:highlight w:val="none"/>
          <w:lang w:val="en-US" w:eastAsia="zh-CN" w:bidi="ar-SA"/>
        </w:rPr>
        <w:t xml:space="preserve">项目建设成果应统一融入管理处现有工程管理智能化平台，避免重复建设，形成统一集成、协同应用和集中展示的工程运行管理应用体系。</w:t>
      </w:r>
      <w:r/>
    </w:p>
    <w:p>
      <w:pPr>
        <w:pStyle w:val="901"/>
        <w:jc w:val="left"/>
        <w:keepLines/>
        <w:keepNext/>
        <w:pageBreakBefore w:val="0"/>
        <w:spacing w:before="0" w:after="0" w:line="400" w:lineRule="exact"/>
        <w:widowControl w:val="off"/>
        <w:rPr>
          <w:rFonts w:hint="eastAsia" w:ascii="方正黑体_GBK" w:hAnsi="方正黑体_GBK" w:eastAsia="方正黑体_GBK" w:cs="方正黑体_GBK"/>
          <w:b w:val="0"/>
          <w:bCs w:val="0"/>
          <w:sz w:val="28"/>
          <w:szCs w:val="28"/>
          <w:highlight w:val="none"/>
          <w:lang w:val="en-US" w:eastAsia="zh-CN"/>
        </w:rPr>
      </w:pPr>
      <w:r>
        <w:rPr>
          <w:rFonts w:hint="eastAsia" w:ascii="方正黑体_GBK" w:hAnsi="方正黑体_GBK" w:eastAsia="方正黑体_GBK" w:cs="方正黑体_GBK"/>
          <w:b w:val="0"/>
          <w:bCs w:val="0"/>
          <w:sz w:val="28"/>
          <w:szCs w:val="28"/>
          <w:highlight w:val="none"/>
          <w:lang w:val="en-US" w:eastAsia="zh-CN"/>
        </w:rPr>
        <w:t xml:space="preserve">四、技术要求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p>
    <w:p>
      <w:pPr>
        <w:pStyle w:val="902"/>
        <w:numPr>
          <w:ilvl w:val="2"/>
          <w:numId w:val="0"/>
        </w:numPr>
        <w:spacing w:before="0" w:after="0" w:line="400" w:lineRule="exact"/>
        <w:rPr>
          <w:rFonts w:ascii="方正仿宋_GBK" w:hAnsi="方正仿宋_GBK" w:eastAsia="方正仿宋_GBK" w:cs="方正仿宋_GBK"/>
          <w:bCs w:val="0"/>
          <w:color w:val="000000"/>
          <w:sz w:val="28"/>
          <w:szCs w:val="28"/>
          <w:highlight w:val="none"/>
          <w:lang w:eastAsia="zh-CN"/>
        </w:rPr>
      </w:pP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一</w:t>
      </w:r>
      <w:r>
        <w:rPr>
          <w:rFonts w:hint="eastAsia" w:ascii="方正仿宋_GBK" w:hAnsi="方正仿宋_GBK" w:eastAsia="方正仿宋_GBK" w:cs="方正仿宋_GBK"/>
          <w:bCs w:val="0"/>
          <w:color w:val="000000"/>
          <w:sz w:val="28"/>
          <w:szCs w:val="28"/>
          <w:highlight w:val="none"/>
          <w:lang w:eastAsia="zh-CN"/>
        </w:rPr>
        <w:t xml:space="preserve">）</w:t>
      </w:r>
      <w:r>
        <w:rPr>
          <w:rFonts w:hint="eastAsia" w:ascii="方正仿宋_GBK" w:hAnsi="方正仿宋_GBK" w:eastAsia="方正仿宋_GBK" w:cs="方正仿宋_GBK"/>
          <w:bCs w:val="0"/>
          <w:color w:val="000000"/>
          <w:sz w:val="28"/>
          <w:szCs w:val="28"/>
          <w:highlight w:val="none"/>
          <w:lang w:val="en-US" w:eastAsia="zh-CN"/>
        </w:rPr>
        <w:t xml:space="preserve">总体要求</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1、</w:t>
      </w:r>
      <w:r>
        <w:rPr>
          <w:rFonts w:hint="eastAsia" w:ascii="方正仿宋_GBK" w:hAnsi="方正仿宋_GBK" w:eastAsia="方正仿宋_GBK" w:cs="方正仿宋_GBK"/>
          <w:bCs/>
          <w:sz w:val="28"/>
          <w:szCs w:val="28"/>
          <w:highlight w:val="none"/>
        </w:rPr>
        <w:t xml:space="preserve">总体设计：应结合本项目项目概况、建设内容、建设目标及技术要求，提供系统总体设计方案，对系统总体架构、技术路线、系统部署、数据平台、模型调用及业务应用关系等进行说明，方案应与管理处现有工程管理智能化平台及相关信息化系统相衔接。</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系统融合：应提供与管理处现有工程管理智能化平台的系统融合方案，说明本项目与数据</w:t>
      </w:r>
      <w:r>
        <w:rPr>
          <w:rFonts w:hint="eastAsia" w:ascii="方正仿宋_GBK" w:hAnsi="方正仿宋_GBK" w:eastAsia="方正仿宋_GBK" w:cs="方正仿宋_GBK"/>
          <w:bCs/>
          <w:sz w:val="28"/>
          <w:szCs w:val="28"/>
          <w:highlight w:val="none"/>
          <w:lang w:val="en-US" w:eastAsia="zh-CN"/>
        </w:rPr>
        <w:t xml:space="preserve">统一建模平台</w:t>
      </w:r>
      <w:r>
        <w:rPr>
          <w:rFonts w:hint="eastAsia" w:ascii="方正仿宋_GBK" w:hAnsi="方正仿宋_GBK" w:eastAsia="方正仿宋_GBK" w:cs="方正仿宋_GBK"/>
          <w:bCs/>
          <w:sz w:val="28"/>
          <w:szCs w:val="28"/>
          <w:highlight w:val="none"/>
        </w:rPr>
        <w:t xml:space="preserve">、自动化系统、</w:t>
      </w:r>
      <w:r>
        <w:rPr>
          <w:rFonts w:hint="eastAsia" w:ascii="方正仿宋_GBK" w:hAnsi="方正仿宋_GBK" w:eastAsia="方正仿宋_GBK" w:cs="方正仿宋_GBK"/>
          <w:bCs/>
          <w:sz w:val="28"/>
          <w:szCs w:val="28"/>
          <w:highlight w:val="none"/>
          <w:lang w:val="en-US" w:eastAsia="zh-CN"/>
        </w:rPr>
        <w:t xml:space="preserve">工程管理智能化平台</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val="en-US" w:eastAsia="zh-CN"/>
        </w:rPr>
        <w:t xml:space="preserve">二维</w:t>
      </w:r>
      <w:r>
        <w:rPr>
          <w:rFonts w:hint="eastAsia" w:ascii="方正仿宋_GBK" w:hAnsi="方正仿宋_GBK" w:eastAsia="方正仿宋_GBK" w:cs="方正仿宋_GBK"/>
          <w:bCs/>
          <w:sz w:val="28"/>
          <w:szCs w:val="28"/>
          <w:highlight w:val="none"/>
        </w:rPr>
        <w:t xml:space="preserve">GIS平台、</w:t>
      </w:r>
      <w:r>
        <w:rPr>
          <w:rFonts w:hint="eastAsia" w:ascii="方正仿宋_GBK" w:hAnsi="方正仿宋_GBK" w:eastAsia="方正仿宋_GBK" w:cs="方正仿宋_GBK"/>
          <w:bCs/>
          <w:sz w:val="28"/>
          <w:szCs w:val="28"/>
          <w:highlight w:val="none"/>
          <w:lang w:val="en-US" w:eastAsia="zh-CN"/>
        </w:rPr>
        <w:t xml:space="preserve">三维</w:t>
      </w:r>
      <w:r>
        <w:rPr>
          <w:rFonts w:hint="eastAsia" w:ascii="方正仿宋_GBK" w:hAnsi="方正仿宋_GBK" w:eastAsia="方正仿宋_GBK" w:cs="方正仿宋_GBK"/>
          <w:bCs/>
          <w:sz w:val="28"/>
          <w:szCs w:val="28"/>
          <w:highlight w:val="none"/>
        </w:rPr>
        <w:t xml:space="preserve">BIM平台及运行安全状态评估模型等既有系统和资源的集成方式。</w:t>
      </w:r>
      <w:r/>
    </w:p>
    <w:p>
      <w:pPr>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rPr>
        <w:t xml:space="preserve">详细设计：应针对“调度辅助决策”“入海口下泄流量预测”“总渠数字人问答”提供详细设计方案，并结合各业务主要功能提供软件功能设计原型图及文字说明。</w:t>
      </w:r>
      <w:r/>
    </w:p>
    <w:p>
      <w:pPr>
        <w:pStyle w:val="902"/>
        <w:numPr>
          <w:ilvl w:val="2"/>
          <w:numId w:val="0"/>
        </w:numPr>
        <w:ind w:firstLine="560"/>
        <w:pageBreakBefore w:val="0"/>
        <w:spacing w:before="0" w:beforeAutospacing="0" w:after="0" w:afterAutospacing="0" w:line="40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个性化配置：应满足灵活个性化配置要求，支持根据实际业务管理需要对相关画面、工作流程、表单等进行配置调整。</w:t>
      </w:r>
      <w:r/>
    </w:p>
    <w:p>
      <w:pPr>
        <w:rPr>
          <w:rFonts w:eastAsia="方正仿宋_GBK"/>
          <w:highlight w:val="none"/>
          <w:lang w:val="en-US" w:eastAsia="zh-CN"/>
        </w:rPr>
      </w:pP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二</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具体要求</w:t>
      </w:r>
      <w:r/>
    </w:p>
    <w:p>
      <w:pPr>
        <w:pStyle w:val="902"/>
        <w:numPr>
          <w:ilvl w:val="2"/>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1、调度辅助决策</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水情趋势预报及修正模型调度辅助决策应用应面向高良涧闸、运东闸、阜宁腰闸、六垛南闸及淮安二站、淮安三站、淮阴站。</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作为灌溉总渠全线联合调度决策辅助工具，在严格遵循上级防办调度指令的基础上，系统应聚焦上游来水变化引发沿线水位波动后的流量微调（上级调度指令直接执行，无需本系统干预）。因沿线涵洞无明确分流计划且无法获取分流数据，模块依托近20年历史调度数据，通过时序深度学习模型识别水位变化规律、挖掘涵洞分流对主河道水位的间接影响，实现主要闸泵站点水位精准预报，为流量微调及调度决策提供支撑，保障全线工程安全、通航顺畅及水资源优化配置。</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（1）水情趋势预报及修正模型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（2）优化调度决策模型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水闸调度应重点计算高良涧闸、运东闸、阜宁腰闸、六垛南闸等水闸的流量分配值和调整时机，支撑上级调度指令框架下的流量微调和水位平稳控制。</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泵站调度应区别于水闸调度方式，综合考虑进出水位、目标流量、机组可用状态、机组性能曲线和效率曲线等约束条件，形成机组组合优化策略。在满足调度目标和运行安全的前提下，优先推荐效率较高、运行状态较优的机组投入运行，实现泵站安全、稳定、经济运行。</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模型应支持常规输水、防洪排涝、水位控制、低水位保障等多场景调度模式，按不同场景匹配相应约束条件和推荐策略。</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（3）调度类相关数据质量评估</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调度类相关数据质量评估实现对总渠流域及主要站点调度类相关数据的实时数据质量评估，并给出质量评价，对异常数据进行告警，为调度决策提供可信的基础数据。包括管道规则配置、规则配置算法设计、数据异常检测。</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（4）BIM模型融合</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BIM模型的无缝融合与集中管理，彻底消除数据孤岛，杜绝重复建模投入。依据实测断面资料，在运东闸上、下游各选取3个典型断面开展水下地形建模，形成工程水下空间三维形态。</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rPr>
      </w:pPr>
      <w:r>
        <w:rPr>
          <w:rFonts w:hint="eastAsia" w:ascii="方正仿宋_GBK" w:hAnsi="方正仿宋_GBK" w:eastAsia="方正仿宋_GBK" w:cs="方正仿宋_GBK"/>
          <w:b/>
          <w:bCs w:val="0"/>
          <w:color w:val="000000"/>
          <w:sz w:val="28"/>
          <w:szCs w:val="28"/>
          <w:highlight w:val="none"/>
          <w:lang w:val="en-US" w:eastAsia="zh-CN" w:bidi="ar-SA"/>
        </w:rPr>
        <w:t xml:space="preserve">（5）水情预报预警</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应涵盖灌溉总渠高良涧闸、运东闸、阜宁腰闸、六垛南闸及淮安二站、淮安三站、淮阴站等核心闸泵站点，建设水位预报预警应用系统。系统构建 “数据搜集—数据预处理—模型构建—模型优化—预报输出—预警触发”全流程技术闭环，聚焦趋势动态分析、水位预测、实时拐点校正、水位预警等核心能力，支撑全线科学化联合调度决策。应包含水位趋势分析与滚动预报、预报曲线动态修正、水位越限及趋势预警等模块。</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（6）调度决策方案</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应基于优化调度决策模型，建设调度决策方案生成功能。系</w:t>
      </w:r>
      <w:r>
        <w:rPr>
          <w:rFonts w:hint="eastAsia" w:ascii="方正仿宋_GBK" w:hAnsi="方正仿宋_GBK" w:eastAsia="方正仿宋_GBK" w:cs="方正仿宋_GBK"/>
          <w:b w:val="0"/>
          <w:bCs/>
          <w:color w:val="000000"/>
          <w:sz w:val="28"/>
          <w:szCs w:val="28"/>
          <w:highlight w:val="none"/>
          <w:lang w:val="en-US" w:eastAsia="zh-CN" w:bidi="ar-SA"/>
        </w:rPr>
        <w:t xml:space="preserve">统应结合上级防办调度指令、水位趋势预报、工程安全约束及实时运行工况，生成全线闸泵联合调度辅助方案。方案应包括水闸流量分配值、调整时间、泵站机组组合、运行水位调控建议。水闸侧应重点支撑流量分配和调整时机计算；泵站侧应综合考虑机组运行约束、性能曲线和效率曲线，优先推荐高效率机组运行，形成推荐运行台数、机组启停组合和运行水位控制建议。系统应支持多场景调度方案生成和比选，调度人员可根据不同场景选择相应模式。生成方案应支持参数化展示、人工校核和调整，确认后可推送至相关站点运行人员，并支持执行跟踪、回执确认和过程留痕。</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（7）调度方案预演与预案管理</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系统应建立完善的调度数据归档体系，规范存储调度指令、调度方案、预演结果、预警信息等全流程调度相关数据，支持按时间、站点、调度事件等多条件查询与追溯，并可将具有代表性的历史调度数据标识为典型方案纳入典型方案库，以便后续快速选择与演示。大屏驾驶舱需修改为GIS动态展示效果（现为静态图片展示）。</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2、入海口下泄流量预测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系统应通过接入第三方提供的六垛南闸下游港道泥沙淤积及下泄能力计算成果，融合 GIS 空间可视化技术与工程实时运行工况，实现港道泥沙淤积分布、过流断面变化及最大下泄能力成果的直观展示。第三方负责完成河道网格处理、泥沙淤积及下泄能力计算及模型封装工作，本项目主要提供标准化地形数据录入、第三方计算成果调用、成果展示与结果输出能力。系统基于第三方计算成果展示泥沙淤积对闸下过流能力的影响，呈现当前工况下最大下泄流量结果，为入海口排涝调度、防洪研判和清淤决策提供数据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（1）模型部署、接口开发与调试</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系统与第三方计算成果服务、工程自动化系统的数据互通与标准化传输。系统应支持录入六垛南闸下游港道地形断面标准化模板，开发接口调用第三方完成网格处理和计算后的泥沙淤积及下泄能力成果，包括含沙量、最大下泄流量等结果数据。系统应完成成果数据接入、格式解析、字段映射、异常校验和标准化转换，为后续 GIS 可视化展示、成果查询和结果输出提供稳定、准确的数据支撑。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（2）二维GIS可视化展示及告警</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管理处现有二维GIS平台构建港道水沙一体化可视化体系，实现泥沙淤积态势的直观呈现与异常风险告警。通过数据集成、地理信息处理及二维GIS可视化呈现，实现六垛南闸下游港道泥沙淤积情况的直观展示与异常告警，为泥沙冲淤分析及调度决策提供可视化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（3）模型计算结果方案管理</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第三方泥沙淤积及下泄能力计算成果的统一管理、便捷调用、对比分析和成果输出。系统应支持按工况、时间、类型等维度对第三方计算结果进行分类归档，记录成果来源、计算时间、调用记录和输出情况，保障数据完整性和可追溯性。系统应支持快速调取对应工况下的泥沙淤积、过流断面及最大下泄流量成果，并加载至 GIS 平台进行展示，也可按需输出成果报表、专题图和分析结果，为港道冲淤规律分析、清淤计划制定和调度决策提供支撑。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3、总渠数字人问答</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针对高良涧闸、运东闸、阜宁腰闸、六垛南闸和淮阴站、淮安二站、淮安三站，系统应以大语言模型（LLM）为核心驱动，面向灌溉总渠管理处工程运行管理业务需求，建设总渠数字人问答应用。系统应整合文档查询类问答、数据查询类问答、运行安全状态评估模型调用等能力，通过自然语言交互方式，为管理人员提供资料检索、数据查询、模型成果调用和安全状态辅助研判等服务，降低系统使用门槛，提升工程运行管理效率。</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（1）数字人问答模型</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建设数字人问答支撑模型，主要包括自然语言意图识别与场景路由模型、知识检索与增强生成模型、统一知识底座与跨系统数据融通模型等。各模型应分工明确、协同运行，实现用户自然语言输入的意图识别、知识检索、数据调用、模型调用和结果反馈，支撑数字人问答应用稳定运行。</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（2）数字人问答知识库建设</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基于知识库管理能力，实现文档解析、知识清洗、Wiki知识管理、RAG检索增强等能力建设，为总渠数字人智能问答提供统一知识支撑</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（3）文档查询类问答</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基于系统内录入的法律法规、规程规范、管理制度、操作规程、安全生产责任制、隐患排查记录、重大风险危险源辨识管控等文档数据，提供文档检索、条文解读、全文调取和资料定位服务。系统应支持按管理所、工程对象、资料类型、时间等条件进行查询，可快速检索特定管理所近期隐患排查及整改情况、重大风险危险源辨识管控及备案情况等档案资料，并支持对查询结果进行摘要展示和原文追溯。</w:t>
      </w:r>
      <w:r/>
    </w:p>
    <w:p>
      <w:pPr>
        <w:pStyle w:val="903"/>
        <w:numPr>
          <w:ilvl w:val="3"/>
          <w:numId w:val="0"/>
        </w:numPr>
        <w:pageBreakBefore w:val="0"/>
        <w:spacing w:before="0" w:beforeAutospacing="0" w:after="0" w:afterAutospacing="0" w:line="400" w:lineRule="exact"/>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（4）监测数据查询类问答</w:t>
      </w:r>
      <w:r/>
    </w:p>
    <w:p>
      <w:pPr>
        <w:pStyle w:val="961"/>
        <w:ind w:firstLine="480"/>
        <w:pageBreakBefore w:val="0"/>
        <w:spacing w:before="0" w:beforeAutospacing="0" w:after="0" w:afterAutospacing="0" w:line="400" w:lineRule="exact"/>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对接工程管理系统数据库及相关业务数据资源，支持通过自然语言查询工程工情、水情等实时监测数据。系统应能够识别用户查询对象、指标名称和时间条件，返回结构化查询结果。例如用户输入“查询高良涧闸当前上游水位”，系统应反馈“目前高良涧闸上游水位为：XXm”，并支持展示数据来源、更新时间等信息。</w:t>
      </w:r>
      <w:r/>
    </w:p>
    <w:p>
      <w:pPr>
        <w:pStyle w:val="903"/>
        <w:numPr>
          <w:ilvl w:val="3"/>
          <w:numId w:val="0"/>
        </w:numPr>
        <w:pageBreakBefore w:val="0"/>
        <w:spacing w:before="0" w:beforeAutospacing="0" w:after="0" w:afterAutospacing="0" w:line="400" w:lineRule="exact"/>
        <w:rPr>
          <w:rFonts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（5）运行安全状态评估成果查询类问答</w:t>
      </w:r>
      <w:r/>
    </w:p>
    <w:p>
      <w:pPr>
        <w:pStyle w:val="903"/>
        <w:numPr>
          <w:ilvl w:val="3"/>
          <w:numId w:val="0"/>
        </w:numPr>
        <w:ind w:firstLine="560"/>
        <w:pageBreakBefore w:val="0"/>
        <w:spacing w:before="0" w:beforeAutospacing="0" w:after="0" w:afterAutospacing="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支持调用已建设的运行安全状态评估模型，能够根据实时监测数据计算模型成果，或调用最新一次模型计算成果，并对评估结果进行展示。系统应支持通过自然语言触发模型成果查询，展示运行安全状态评估成果报告内容，为工程运行状态研判提供辅助支撑</w:t>
      </w:r>
      <w:r/>
    </w:p>
    <w:p>
      <w:pPr>
        <w:ind w:firstLine="0"/>
        <w:keepLines/>
        <w:keepNext/>
        <w:pageBreakBefore w:val="0"/>
        <w:spacing w:line="400" w:lineRule="exact"/>
        <w:widowControl w:val="off"/>
        <w:rPr>
          <w:rFonts w:ascii="方正仿宋_GBK" w:hAnsi="方正仿宋_GBK" w:eastAsia="方正仿宋_GBK" w:cs="方正仿宋_GBK"/>
          <w:b/>
          <w:bCs w:val="0"/>
          <w:color w:val="000000"/>
          <w:sz w:val="28"/>
          <w:szCs w:val="28"/>
          <w:highlight w:val="none"/>
          <w:lang w:val="en-US" w:eastAsia="zh-CN" w:bidi="ar-SA"/>
        </w:rPr>
        <w:outlineLvl w:val="1"/>
      </w:pPr>
      <w:r>
        <w:rPr>
          <w:rFonts w:hint="eastAsia" w:ascii="方正仿宋_GBK" w:hAnsi="方正仿宋_GBK" w:eastAsia="方正仿宋_GBK" w:cs="方正仿宋_GBK"/>
          <w:b/>
          <w:bCs w:val="0"/>
          <w:color w:val="000000"/>
          <w:sz w:val="28"/>
          <w:szCs w:val="28"/>
          <w:highlight w:val="none"/>
          <w:lang w:val="en-US" w:eastAsia="zh-CN" w:bidi="ar-SA"/>
        </w:rPr>
        <w:t xml:space="preserve">4、项目工作量清单</w:t>
      </w:r>
      <w:r/>
    </w:p>
    <w:p>
      <w:pPr>
        <w:ind w:firstLine="480"/>
        <w:pageBreakBefore w:val="0"/>
        <w:spacing w:line="400" w:lineRule="exact"/>
        <w:widowControl w:val="off"/>
        <w:rPr>
          <w:rFonts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投标报价不得高于项目预算，否则做否决投标处理，项目工作量清单见附件。</w:t>
      </w:r>
      <w:r/>
    </w:p>
    <w:p>
      <w:pPr>
        <w:pStyle w:val="900"/>
        <w:jc w:val="both"/>
        <w:spacing w:line="400" w:lineRule="exact"/>
        <w:rPr>
          <w:rFonts w:hint="eastAsia" w:ascii="黑体" w:hAnsi="黑体" w:eastAsia="黑体" w:cs="黑体"/>
          <w:highlight w:val="none"/>
        </w:rPr>
      </w:pPr>
      <w:r>
        <w:rPr>
          <w:rFonts w:hint="eastAsia" w:ascii="黑体" w:hAnsi="黑体" w:eastAsia="黑体" w:cs="黑体"/>
          <w:highlight w:val="none"/>
        </w:rPr>
        <w:t xml:space="preserve">五、项目</w:t>
      </w:r>
      <w:r>
        <w:rPr>
          <w:rFonts w:hint="eastAsia" w:ascii="黑体" w:hAnsi="黑体" w:eastAsia="黑体" w:cs="黑体"/>
          <w:highlight w:val="none"/>
          <w:lang w:val="en-US" w:eastAsia="zh-CN"/>
        </w:rPr>
        <w:t xml:space="preserve">集成服务</w:t>
      </w:r>
      <w:r>
        <w:rPr>
          <w:rFonts w:hint="eastAsia" w:ascii="黑体" w:hAnsi="黑体" w:eastAsia="黑体" w:cs="黑体"/>
          <w:highlight w:val="none"/>
        </w:rPr>
        <w:t xml:space="preserve">、技术资料和培训要求</w:t>
      </w:r>
      <w:r/>
    </w:p>
    <w:p>
      <w:pPr>
        <w:ind w:firstLine="560"/>
        <w:spacing w:line="400" w:lineRule="exact"/>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一</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t xml:space="preserve">项目集成服务方案</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应结合本项目建设内容提供项目集成服务方案，明确项目实施组织机构、人员配置、实施安排及系统集成联调等内容，保障项目各项建设任务顺利实施。</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二</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项目团队</w:t>
      </w:r>
      <w:r/>
    </w:p>
    <w:p>
      <w:pPr>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项目经理</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具有高级及以上</w:t>
      </w:r>
      <w:r>
        <w:rPr>
          <w:rFonts w:hint="eastAsia" w:ascii="方正仿宋_GBK" w:hAnsi="方正仿宋_GBK" w:eastAsia="方正仿宋_GBK" w:cs="方正仿宋_GBK"/>
          <w:sz w:val="28"/>
          <w:szCs w:val="28"/>
          <w:highlight w:val="none"/>
        </w:rPr>
        <w:t xml:space="preserve">电子信息工程或自动化或电力</w:t>
      </w:r>
      <w:r>
        <w:rPr>
          <w:rFonts w:hint="eastAsia" w:ascii="方正仿宋_GBK" w:hAnsi="方正仿宋_GBK" w:eastAsia="方正仿宋_GBK" w:cs="方正仿宋_GBK"/>
          <w:color w:val="000000"/>
          <w:sz w:val="28"/>
          <w:szCs w:val="28"/>
          <w:highlight w:val="none"/>
          <w:lang w:eastAsia="zh-CN"/>
        </w:rPr>
        <w:t xml:space="preserve">工程师职称证书、</w:t>
      </w:r>
      <w:r>
        <w:rPr>
          <w:rFonts w:hint="eastAsia" w:ascii="方正仿宋_GBK" w:hAnsi="方正仿宋_GBK" w:eastAsia="方正仿宋_GBK" w:cs="方正仿宋_GBK"/>
          <w:sz w:val="28"/>
          <w:szCs w:val="28"/>
          <w:highlight w:val="none"/>
        </w:rPr>
        <w:t xml:space="preserve">信息安全保障人员（CISAW）认证证书</w:t>
      </w:r>
      <w:r>
        <w:rPr>
          <w:rFonts w:hint="eastAsia" w:ascii="方正仿宋_GBK" w:hAnsi="方正仿宋_GBK" w:eastAsia="方正仿宋_GBK" w:cs="方正仿宋_GBK"/>
          <w:color w:val="000000"/>
          <w:sz w:val="28"/>
          <w:szCs w:val="28"/>
          <w:highlight w:val="none"/>
          <w:lang w:val="en-US" w:eastAsia="zh-CN"/>
        </w:rPr>
        <w:t xml:space="preserve">；</w:t>
      </w:r>
      <w:r/>
    </w:p>
    <w:p>
      <w:pPr>
        <w:ind w:firstLine="560"/>
        <w:spacing w:line="400" w:lineRule="exact"/>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技术负责人</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1人</w:t>
      </w:r>
      <w:r>
        <w:rPr>
          <w:rFonts w:hint="eastAsia" w:ascii="方正仿宋_GBK" w:hAnsi="方正仿宋_GBK" w:eastAsia="方正仿宋_GBK" w:cs="方正仿宋_GBK"/>
          <w:bCs/>
          <w:color w:val="000000"/>
          <w:sz w:val="28"/>
          <w:szCs w:val="28"/>
          <w:highlight w:val="none"/>
          <w:lang w:eastAsia="zh-CN"/>
        </w:rPr>
        <w:t xml:space="preserve">）</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具有高级及以上电子信息工程或自动化或电力工程师职称证书、信息系统项目管理师（高级）证书。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3、项目团队（至少4名）</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项目团队需配备至少4名成员，且需具有系统架构</w:t>
      </w:r>
      <w:r>
        <w:rPr>
          <w:rFonts w:hint="eastAsia" w:ascii="方正仿宋_GBK" w:hAnsi="方正仿宋_GBK" w:eastAsia="方正仿宋_GBK" w:cs="方正仿宋_GBK"/>
          <w:bCs/>
          <w:color w:val="000000"/>
          <w:sz w:val="28"/>
          <w:szCs w:val="28"/>
          <w:highlight w:val="none"/>
          <w:lang w:val="en-US" w:eastAsia="zh-CN"/>
        </w:rPr>
        <w:t xml:space="preserve">设计</w:t>
      </w:r>
      <w:r>
        <w:rPr>
          <w:rFonts w:hint="eastAsia" w:ascii="方正仿宋_GBK" w:hAnsi="方正仿宋_GBK" w:eastAsia="方正仿宋_GBK" w:cs="方正仿宋_GBK"/>
          <w:bCs/>
          <w:color w:val="000000"/>
          <w:sz w:val="28"/>
          <w:szCs w:val="28"/>
          <w:highlight w:val="none"/>
        </w:rPr>
        <w:t xml:space="preserve">师、注册信息安全管理人员（CISP）证书、软件设计师</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信息系统项目管理师（高级）证书</w:t>
      </w:r>
      <w:r>
        <w:rPr>
          <w:rFonts w:hint="eastAsia" w:ascii="方正仿宋_GBK" w:hAnsi="方正仿宋_GBK" w:eastAsia="方正仿宋_GBK" w:cs="方正仿宋_GBK"/>
          <w:bCs/>
          <w:color w:val="000000"/>
          <w:sz w:val="28"/>
          <w:szCs w:val="28"/>
          <w:highlight w:val="none"/>
        </w:rPr>
        <w:t xml:space="preserve">。</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三</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项目工期</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应根据本项目工期要求制定项目工期计划，合理安排需求确认、设计开发、系统集成、联调测试、培训及验收等工作，确保2026年1</w:t>
      </w: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月</w:t>
      </w: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rPr>
        <w:t xml:space="preserve">0日前完成项目全部建设内容并通过管理处完工验收。</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项目完工后，应提供全部软硬件设计文档、技术说明书和图纸等全套技术资料，</w:t>
      </w:r>
      <w:r>
        <w:rPr>
          <w:rFonts w:hint="eastAsia" w:ascii="方正仿宋_GBK" w:hAnsi="方正仿宋_GBK" w:eastAsia="方正仿宋_GBK" w:cs="方正仿宋_GBK"/>
          <w:bCs/>
          <w:color w:val="000000"/>
          <w:sz w:val="28"/>
          <w:szCs w:val="28"/>
          <w:highlight w:val="none"/>
          <w:lang w:val="en-US" w:eastAsia="zh-CN"/>
        </w:rPr>
        <w:t xml:space="preserve">通过u盘、移动硬盘等传输方式</w:t>
      </w:r>
      <w:r>
        <w:rPr>
          <w:rFonts w:hint="eastAsia" w:ascii="方正仿宋_GBK" w:hAnsi="方正仿宋_GBK" w:eastAsia="方正仿宋_GBK" w:cs="方正仿宋_GBK"/>
          <w:bCs/>
          <w:color w:val="000000"/>
          <w:sz w:val="28"/>
          <w:szCs w:val="28"/>
          <w:highlight w:val="none"/>
        </w:rPr>
        <w:t xml:space="preserve">移交</w:t>
      </w:r>
      <w:r>
        <w:rPr>
          <w:rFonts w:hint="eastAsia" w:ascii="方正仿宋_GBK" w:hAnsi="方正仿宋_GBK" w:eastAsia="方正仿宋_GBK" w:cs="方正仿宋_GBK"/>
          <w:bCs/>
          <w:color w:val="000000"/>
          <w:sz w:val="28"/>
          <w:szCs w:val="28"/>
          <w:highlight w:val="none"/>
          <w:lang w:val="en-US" w:eastAsia="zh-CN"/>
        </w:rPr>
        <w:t xml:space="preserve">本次开发的</w:t>
      </w:r>
      <w:r>
        <w:rPr>
          <w:rFonts w:hint="eastAsia" w:ascii="方正仿宋_GBK" w:hAnsi="方正仿宋_GBK" w:eastAsia="方正仿宋_GBK" w:cs="方正仿宋_GBK"/>
          <w:bCs/>
          <w:color w:val="000000"/>
          <w:sz w:val="28"/>
          <w:szCs w:val="28"/>
          <w:highlight w:val="none"/>
        </w:rPr>
        <w:t xml:space="preserve">全部源代码，并开展专门的技术培训工作。</w:t>
      </w:r>
      <w:r/>
    </w:p>
    <w:p>
      <w:pPr>
        <w:ind w:firstLine="560"/>
        <w:spacing w:line="40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四</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项目培训方案</w:t>
      </w:r>
      <w:r/>
    </w:p>
    <w:p>
      <w:pPr>
        <w:ind w:firstLine="560"/>
        <w:spacing w:line="400" w:lineRule="exact"/>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应提供技术培训方案，明确培训内容、培训方式及培训安排。培训内容应包括系统基本操作、调度辅助决策、入海口下泄流量预测、总渠数字人问答、系统管理及常见问题处理等。培训应采用现场集中培训方式开展，项目实施及试运行期间现场培训不少于2次，每次参训人员不少于10人。供应商应提供相应培训资料，结合系统实际功能开展操作讲解和使用指导，确保采购人相关人员能够掌握系统使用和日常管理方法。</w:t>
      </w:r>
      <w:r/>
    </w:p>
    <w:p>
      <w:pPr>
        <w:pStyle w:val="900"/>
        <w:numPr>
          <w:ilvl w:val="0"/>
          <w:numId w:val="0"/>
        </w:numPr>
        <w:jc w:val="both"/>
        <w:keepNext/>
        <w:pageBreakBefore w:val="0"/>
        <w:spacing w:before="0" w:after="0" w:line="400" w:lineRule="exact"/>
        <w:widowControl w:val="off"/>
        <w:rPr>
          <w:rFonts w:hint="eastAsia" w:ascii="黑体" w:hAnsi="黑体" w:eastAsia="黑体" w:cs="黑体"/>
          <w:b w:val="0"/>
          <w:bCs w:val="0"/>
          <w:sz w:val="28"/>
          <w:szCs w:val="28"/>
          <w:highlight w:val="none"/>
          <w:lang w:val="en-US" w:eastAsia="zh-CN"/>
        </w:rPr>
      </w:pPr>
      <w:r>
        <w:rPr>
          <w:rFonts w:hint="eastAsia" w:ascii="黑体" w:hAnsi="黑体" w:eastAsia="黑体" w:cs="黑体"/>
          <w:b w:val="0"/>
          <w:bCs w:val="0"/>
          <w:sz w:val="28"/>
          <w:szCs w:val="28"/>
          <w:highlight w:val="none"/>
          <w:lang w:val="en-US" w:eastAsia="zh-CN"/>
        </w:rPr>
        <w:t xml:space="preserve">六、商务要求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w:t>
      </w:r>
      <w:r>
        <w:rPr>
          <w:rFonts w:hint="eastAsia" w:ascii="方正仿宋_GBK" w:hAnsi="方正仿宋_GBK" w:eastAsia="方正仿宋_GBK" w:cs="方正仿宋_GBK"/>
          <w:b/>
          <w:bCs/>
          <w:sz w:val="28"/>
          <w:szCs w:val="28"/>
          <w:highlight w:val="none"/>
          <w:lang w:eastAsia="zh-CN"/>
        </w:rPr>
        <w:t xml:space="preserve">加*号条款</w:t>
      </w:r>
      <w:r>
        <w:rPr>
          <w:rFonts w:hint="eastAsia" w:ascii="方正仿宋_GBK" w:hAnsi="方正仿宋_GBK" w:eastAsia="方正仿宋_GBK" w:cs="方正仿宋_GBK"/>
          <w:b/>
          <w:bCs/>
          <w:sz w:val="28"/>
          <w:szCs w:val="28"/>
          <w:highlight w:val="none"/>
        </w:rPr>
        <w:t xml:space="preserve">为实质性要求。</w:t>
      </w:r>
      <w:r/>
    </w:p>
    <w:p>
      <w:pPr>
        <w:pStyle w:val="901"/>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（一）付款方式：</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签订合同后，支付合同总价的30%为项目预付款；项目实施完成经完工验收后，甲方向乙方支付合同总价的70%。</w:t>
      </w:r>
      <w:r/>
    </w:p>
    <w:p>
      <w:pPr>
        <w:pStyle w:val="901"/>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（二）项目工期：</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2026年12月10日前完成项目全部建设内容并通过管理处完工验收。</w:t>
      </w:r>
      <w:r/>
    </w:p>
    <w:p>
      <w:pPr>
        <w:pStyle w:val="901"/>
        <w:numPr>
          <w:ilvl w:val="1"/>
          <w:numId w:val="0"/>
        </w:numPr>
        <w:jc w:val="both"/>
        <w:pageBreakBefore w:val="0"/>
        <w:spacing w:before="0" w:after="0" w:line="400" w:lineRule="exact"/>
        <w:widowControl w:val="off"/>
        <w:rPr>
          <w:rFonts w:hint="eastAsia" w:ascii="方正仿宋_GBK" w:hAnsi="方正仿宋_GBK" w:eastAsia="方正仿宋_GBK" w:cs="方正仿宋_GBK"/>
          <w:b/>
          <w:bCs w:val="0"/>
          <w:color w:val="000000"/>
          <w:sz w:val="28"/>
          <w:szCs w:val="28"/>
          <w:highlight w:val="none"/>
          <w:lang w:val="en-US" w:eastAsia="zh-CN" w:bidi="ar-SA"/>
        </w:rPr>
      </w:pPr>
      <w:r>
        <w:rPr>
          <w:rFonts w:hint="eastAsia" w:ascii="方正仿宋_GBK" w:hAnsi="方正仿宋_GBK" w:eastAsia="方正仿宋_GBK" w:cs="方正仿宋_GBK"/>
          <w:b/>
          <w:bCs w:val="0"/>
          <w:color w:val="000000"/>
          <w:sz w:val="28"/>
          <w:szCs w:val="28"/>
          <w:highlight w:val="none"/>
          <w:lang w:val="en-US" w:eastAsia="zh-CN" w:bidi="ar-SA"/>
        </w:rPr>
        <w:t xml:space="preserve">（三）质保期及售后服务要求</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自完工验收合格后，进入质保期，质保期为1年。</w:t>
      </w:r>
      <w:r/>
    </w:p>
    <w:p>
      <w:pPr>
        <w:pStyle w:val="900"/>
        <w:numPr>
          <w:ilvl w:val="0"/>
          <w:numId w:val="0"/>
        </w:numPr>
        <w:ind w:firstLine="560"/>
        <w:jc w:val="both"/>
        <w:pageBreakBefore w:val="0"/>
        <w:spacing w:before="0" w:after="0"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免费质保期内，乙方针对本次软件开发部分，提供免费BUG修复、系统缺陷修复及合同约定范围内的功能优化升级服务，因甲方人为操作失误、修改程序代码或更改系统配置导致的故障不在免费质保范围内。</w:t>
      </w:r>
      <w:r/>
    </w:p>
    <w:p>
      <w:pPr>
        <w:ind w:firstLine="48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免费质保期内，乙方接到甲方故障电话通知后，一般情况下在4小时内赶到甲方工程现场尽快排除故障，确保系统正常使用，如有特殊情况，双方协商处理。</w:t>
      </w:r>
      <w:r/>
    </w:p>
    <w:p>
      <w:pPr>
        <w:ind w:firstLine="480"/>
        <w:pageBreakBefore w:val="0"/>
        <w:spacing w:line="400" w:lineRule="exact"/>
        <w:widowControl w:val="off"/>
        <w:rPr>
          <w:highlight w:val="none"/>
        </w:rPr>
      </w:pPr>
      <w:r>
        <w:rPr>
          <w:rFonts w:hint="eastAsia" w:ascii="方正仿宋_GBK" w:hAnsi="方正仿宋_GBK" w:eastAsia="方正仿宋_GBK" w:cs="方正仿宋_GBK"/>
          <w:b w:val="0"/>
          <w:bCs/>
          <w:color w:val="000000"/>
          <w:sz w:val="28"/>
          <w:szCs w:val="28"/>
          <w:highlight w:val="none"/>
          <w:lang w:val="en-US" w:eastAsia="zh-CN" w:bidi="ar-SA"/>
        </w:rPr>
        <w:t xml:space="preserve">质保期满后，若甲方继续委托乙方提供软硬件运维服务，双方另行签订运维服务协议，运维服务费用由双方协商确定。</w:t>
      </w:r>
      <w:r/>
    </w:p>
    <w:p>
      <w:pPr>
        <w:ind w:firstLine="560"/>
        <w:spacing w:line="400" w:lineRule="exact"/>
        <w:rPr>
          <w:rFonts w:hint="eastAsia"/>
          <w:highlight w:val="none"/>
          <w:lang w:val="en-US" w:eastAsia="zh-CN"/>
        </w:rPr>
      </w:pPr>
      <w:r>
        <w:rPr>
          <w:rFonts w:hint="eastAsia" w:ascii="方正仿宋_GBK" w:hAnsi="方正仿宋_GBK" w:eastAsia="方正仿宋_GBK" w:cs="方正仿宋_GBK"/>
          <w:bCs/>
          <w:color w:val="000000"/>
          <w:sz w:val="28"/>
          <w:szCs w:val="28"/>
          <w:highlight w:val="none"/>
        </w:rPr>
        <w:t xml:space="preserve">应针对上述质保期及售后服务要求提供售后服务方案，内容包括售后服务流程、售后服务内容及服务保障措施等。</w:t>
      </w:r>
      <w:r/>
    </w:p>
    <w:p>
      <w:pPr>
        <w:pStyle w:val="729"/>
        <w:ind w:left="0" w:firstLine="0"/>
        <w:jc w:val="center"/>
        <w:rPr>
          <w:rFonts w:ascii="宋体" w:hAnsi="宋体" w:cs="宋体"/>
          <w:sz w:val="24"/>
          <w:highlight w:val="none"/>
          <w:lang w:eastAsia="zh-CN"/>
        </w:rPr>
      </w:pPr>
      <w:r>
        <w:rPr>
          <w:rFonts w:hint="eastAsia" w:ascii="宋体" w:hAnsi="宋体" w:cs="宋体"/>
          <w:b/>
          <w:bCs/>
          <w:sz w:val="24"/>
          <w:highlight w:val="none"/>
          <w:lang w:eastAsia="zh-CN"/>
        </w:rPr>
        <w:br w:type="page" w:clear="all"/>
      </w:r>
      <w:r>
        <w:rPr>
          <w:rFonts w:hint="eastAsia" w:ascii="宋体" w:hAnsi="宋体" w:cs="宋体"/>
          <w:b/>
          <w:bCs/>
          <w:sz w:val="24"/>
          <w:highlight w:val="none"/>
          <w:lang w:eastAsia="zh-CN"/>
        </w:rPr>
        <w:t xml:space="preserve">处属工程调度辅助决策及总渠入海口下泄流量预测项目报价表</w:t>
      </w:r>
      <w:r/>
    </w:p>
    <w:tbl>
      <w:tblPr>
        <w:tblStyle w:val="728"/>
        <w:tblW w:w="5150" w:type="pct"/>
        <w:tblInd w:w="-456" w:type="dxa"/>
        <w:tblLayout w:type="fixed"/>
        <w:tblCellMar>
          <w:left w:w="108" w:type="dxa"/>
          <w:top w:w="0" w:type="dxa"/>
          <w:right w:w="108" w:type="dxa"/>
          <w:bottom w:w="0" w:type="dxa"/>
        </w:tblCellMar>
        <w:tblLook w:val="04A0" w:firstRow="1" w:lastRow="0" w:firstColumn="1" w:lastColumn="0" w:noHBand="0" w:noVBand="1"/>
      </w:tblPr>
      <w:tblGrid>
        <w:gridCol w:w="821"/>
        <w:gridCol w:w="1308"/>
        <w:gridCol w:w="2817"/>
        <w:gridCol w:w="668"/>
        <w:gridCol w:w="641"/>
        <w:gridCol w:w="914"/>
        <w:gridCol w:w="886"/>
        <w:gridCol w:w="723"/>
      </w:tblGrid>
      <w:tr>
        <w:trPr>
          <w:trHeight w:val="67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ind w:firstLine="0"/>
              <w:jc w:val="both"/>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数量</w:t>
            </w:r>
            <w:r/>
          </w:p>
        </w:tc>
        <w:tc>
          <w:tcPr>
            <w:tcBorders>
              <w:top w:val="single" w:color="000000" w:sz="4" w:space="0"/>
              <w:left w:val="single" w:color="000000" w:sz="4" w:space="0"/>
              <w:bottom w:val="none" w:color="000000" w:sz="4" w:space="0"/>
              <w:right w:val="single" w:color="000000" w:sz="4" w:space="0"/>
            </w:tcBorders>
            <w:tcW w:w="520" w:type="dxa"/>
            <w:vAlign w:val="center"/>
            <w:textDirection w:val="lrTb"/>
            <w:noWrap w:val="false"/>
          </w:tcPr>
          <w:p>
            <w:pPr>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0"/>
              <w:jc w:val="center"/>
              <w:rPr>
                <w:rFonts w:hint="eastAsia" w:ascii="黑体" w:hAnsi="黑体" w:eastAsia="黑体" w:cs="黑体"/>
                <w:sz w:val="22"/>
                <w:szCs w:val="28"/>
                <w:highlight w:val="none"/>
                <w:lang w:bidi="ar"/>
              </w:rPr>
            </w:pPr>
            <w:r>
              <w:rPr>
                <w:rFonts w:hint="eastAsia" w:ascii="黑体" w:hAnsi="黑体" w:eastAsia="黑体" w:cs="黑体"/>
                <w:sz w:val="22"/>
                <w:szCs w:val="28"/>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hint="eastAsia" w:ascii="黑体" w:hAnsi="黑体" w:eastAsia="黑体" w:cs="黑体"/>
                <w:sz w:val="22"/>
                <w:szCs w:val="28"/>
                <w:highlight w:val="none"/>
              </w:rPr>
            </w:pPr>
            <w:r>
              <w:rPr>
                <w:rFonts w:hint="eastAsia" w:ascii="黑体" w:hAnsi="黑体" w:eastAsia="黑体" w:cs="黑体"/>
                <w:sz w:val="22"/>
                <w:szCs w:val="28"/>
                <w:highlight w:val="none"/>
                <w:lang w:bidi="ar"/>
              </w:rPr>
              <w:t xml:space="preserve">备注</w:t>
            </w:r>
            <w:r/>
          </w:p>
        </w:tc>
      </w:tr>
      <w:tr>
        <w:trPr>
          <w:trHeight w:val="743"/>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调度辅助决策</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0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水情趋势预报及修正模型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应通过时序深度学习模型（如 LSTM、GRU等）构建高精度水位趋势预报模型，训练数据集应包含上游来水、闸泵调度记录、主河道水位流量、气象条件、站点雨量等多维度信息；同时应搭建实时水位突变拐点智能检测机制，采用时序突变检测算法，实时捕捉闸门调节、上游来水突变、极端天气事件、涵洞分流异常等因素引发的水位趋势变化拐点，实现趋势预报与拐点检测的一体化建模与联动分析。</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优化调度决策模型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构建与总渠实际渠系结构相匹配的优化调度决策模型，表达各闸泵站点之间的水力联系、水流传播关系和运行约束条件。模型应以上级防办正式调度指令为核心约束，结合水位趋势预报成果、安全运行水位、站点可用状态及调度规则，支撑全线闸泵联合调度辅助决策。</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335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rPr>
              <w:t xml:space="preserve">数据质量评估</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val="en-US" w:eastAsia="zh-CN"/>
              </w:rPr>
              <w:t xml:space="preserve">调度类相关</w:t>
            </w:r>
            <w:r>
              <w:rPr>
                <w:rFonts w:hint="eastAsia" w:ascii="宋体" w:hAnsi="宋体" w:cs="宋体"/>
                <w:sz w:val="24"/>
                <w:szCs w:val="24"/>
                <w:highlight w:val="none"/>
                <w:lang w:eastAsia="zh-CN"/>
              </w:rPr>
              <w:t xml:space="preserve">数据质量评估实现对总渠流域及主要站点调度类相关数据的实时数据质量评估，并给出质量评价，对异常数据进行告警，为调度决策提供可信的基础数据。包括管道规则配置、规则配置算法设计、数据异常检测。</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BIM模型融合</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严格遵循利旧优先、复用整合的建设原则，依托管理处已建成并稳定运行的统一数据底板，全面整合淮阴抽水站、运东闸、阜宁腰闸等已建设成熟的单体BIM模型资产。通过统一模型格式转换、空间坐标系统一、工程属性信息映射与业务数据关联，实现不同来源、不同建设阶段BIM模型的无缝融合与集中管理，彻底消除数据孤岛，杜绝重复建模投入。</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水情预报预警</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应涵盖灌溉总渠高良涧闸、运东闸、阜宁腰闸、六垛南闸及淮安二站、淮安三站、淮阴站等核心闸泵站点，</w:t>
            </w:r>
            <w:r>
              <w:rPr>
                <w:rFonts w:hint="eastAsia" w:ascii="宋体" w:hAnsi="宋体" w:cs="宋体"/>
                <w:sz w:val="24"/>
                <w:szCs w:val="24"/>
                <w:highlight w:val="none"/>
                <w:lang w:val="en-US" w:eastAsia="zh-CN"/>
              </w:rPr>
              <w:t xml:space="preserve">建设</w:t>
            </w:r>
            <w:r>
              <w:rPr>
                <w:rFonts w:hint="eastAsia" w:ascii="宋体" w:hAnsi="宋体" w:cs="宋体"/>
                <w:sz w:val="24"/>
                <w:szCs w:val="24"/>
                <w:highlight w:val="none"/>
                <w:lang w:eastAsia="zh-CN"/>
              </w:rPr>
              <w:t xml:space="preserve">建水位预报预警应用系统。</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215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调度决策方案</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应基于优化调度决策模型，建设调度决策方案生成功能。系统应结合上级防办调度指令、水位趋势预报、工程安全约束及实时运行工况，生成全线闸泵联合调度辅助方案。</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调度方案预演与预案管理</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系统应支持将已生成的调度方案或选取的历史典型调度方案加载至数字孪生场景中开展可视化模拟仿真，动态展示方案执行过程中水位变化、流量变化、水流传播过程及各站点运行状态变化，辅助调度人员提前研判方案执行效果和潜在风险。</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二</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入海口下泄流量预测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rPr>
            </w:pPr>
            <w:r>
              <w:rPr>
                <w:rFonts w:hint="eastAsia" w:ascii="宋体" w:hAnsi="宋体" w:cs="宋体"/>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模型部署、接口开发与调试</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应实现系统与第三方计算成果服务、工程自动化系统的数据互通与标准化传输。</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二维GIS可视化展示及告警</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应基于管理处现有二维GIS平台构建港道水沙一体化可视化体系，实现泥沙淤积态势的直观呈现与异常风险告警。</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模型计算结果方案管理</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应实现第三方泥沙淤积及下泄能力计算成果的统一管理、便捷调用、对比分析和成果输出。</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74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b/>
                <w:bCs/>
                <w:sz w:val="24"/>
                <w:szCs w:val="24"/>
                <w:highlight w:val="none"/>
                <w:lang w:eastAsia="zh-CN"/>
              </w:rPr>
            </w:pPr>
            <w:r>
              <w:rPr>
                <w:rFonts w:hint="eastAsia" w:ascii="宋体" w:hAnsi="宋体" w:cs="宋体"/>
                <w:b/>
                <w:bCs/>
                <w:sz w:val="24"/>
                <w:szCs w:val="24"/>
                <w:highlight w:val="none"/>
                <w:lang w:eastAsia="zh-CN" w:bidi="ar"/>
              </w:rPr>
              <w:t xml:space="preserve">三</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b/>
                <w:bCs/>
                <w:sz w:val="24"/>
                <w:szCs w:val="24"/>
                <w:highlight w:val="none"/>
              </w:rPr>
            </w:pPr>
            <w:r>
              <w:rPr>
                <w:rFonts w:hint="eastAsia" w:ascii="宋体" w:hAnsi="宋体" w:cs="宋体"/>
                <w:b/>
                <w:bCs/>
                <w:sz w:val="24"/>
                <w:szCs w:val="24"/>
                <w:highlight w:val="none"/>
                <w:lang w:bidi="ar"/>
              </w:rPr>
              <w:t xml:space="preserve">总渠数字人问答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400"/>
              <w:jc w:val="cente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40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2"/>
              <w:jc w:val="center"/>
              <w:rPr>
                <w:rFonts w:ascii="宋体" w:hAnsi="宋体" w:cs="宋体"/>
                <w:b/>
                <w:bCs/>
                <w:sz w:val="24"/>
                <w:szCs w:val="24"/>
                <w:highlight w:val="none"/>
              </w:rPr>
            </w:pPr>
            <w:r>
              <w:rPr>
                <w:rFonts w:ascii="宋体" w:hAnsi="宋体" w:cs="宋体"/>
                <w:b/>
                <w:bCs/>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数字人问答模型</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应建设数字人问答支撑模型，主要包括自然语言意图识别与场景路由模型、知识检索与增强生成模型、统一知识底座与跨系统数据融通模型等。</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eastAsia="zh-CN"/>
              </w:rPr>
            </w:pPr>
            <w:r>
              <w:rPr>
                <w:rFonts w:hint="eastAsia" w:ascii="宋体" w:hAnsi="宋体" w:cs="宋体"/>
                <w:sz w:val="24"/>
                <w:szCs w:val="24"/>
                <w:highlight w:val="none"/>
                <w:lang w:eastAsia="zh-CN"/>
              </w:rPr>
              <w:t xml:space="preserve">数字人问答知识库建设</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基于知识库管理能力，实现文档解析、知识清洗、Wiki知识管理、RAG检索增强等能力建设，为总渠数字人智能问答提供统一知识支撑。</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项</w:t>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rPr>
            </w:pPr>
            <w:r>
              <w:rPr>
                <w:rFonts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文档查询类问答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用户应能够通过自然语言查询管理制度、规程规范、操作规程、隐患排查及整改情况、重大风险危险源辨识管控及备案情况等文档资料。系统应支持按照管理所、工程对象、资料类型和时间范围进行检索，返回相关文档摘要和资料清单，并支持查看对应文档原文。</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rPr>
            </w:pPr>
            <w:r>
              <w:rPr>
                <w:rFonts w:hint="eastAsia" w:ascii="宋体" w:hAnsi="宋体" w:cs="宋体"/>
                <w:sz w:val="24"/>
                <w:szCs w:val="24"/>
                <w:highlight w:val="none"/>
              </w:rPr>
              <w:t xml:space="preserve">监测数据查询类问答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应对接工程管理系统数据库及相关业务数据资源，支持通过自然语言查询工程工情、水情等实时监测数据。</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1140"/>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tcPr>
          <w:p>
            <w:pPr>
              <w:ind w:firstLine="0"/>
              <w:jc w:val="center"/>
              <w:rPr>
                <w:rFonts w:ascii="宋体" w:hAnsi="宋体" w:cs="宋体"/>
                <w:sz w:val="24"/>
                <w:szCs w:val="24"/>
                <w:highlight w:val="none"/>
                <w:lang w:eastAsia="zh-CN" w:bidi="ar"/>
              </w:rPr>
            </w:pPr>
            <w:r>
              <w:rPr>
                <w:rFonts w:hint="eastAsia" w:ascii="宋体" w:hAnsi="宋体" w:cs="宋体"/>
                <w:sz w:val="24"/>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ind w:firstLine="0"/>
              <w:jc w:val="center"/>
              <w:rPr>
                <w:rFonts w:ascii="宋体" w:hAnsi="宋体" w:cs="宋体"/>
                <w:sz w:val="24"/>
                <w:szCs w:val="24"/>
                <w:highlight w:val="none"/>
                <w:lang w:val="en-US" w:eastAsia="zh-CN"/>
              </w:rPr>
            </w:pPr>
            <w:r>
              <w:rPr>
                <w:rFonts w:hint="eastAsia" w:ascii="宋体" w:hAnsi="宋体" w:cs="宋体"/>
                <w:sz w:val="24"/>
                <w:szCs w:val="24"/>
                <w:highlight w:val="none"/>
                <w:lang w:eastAsia="zh-CN"/>
              </w:rPr>
              <w:t xml:space="preserve">运行安全状态评估</w:t>
            </w:r>
            <w:r>
              <w:rPr>
                <w:rFonts w:hint="eastAsia" w:ascii="宋体" w:hAnsi="宋体" w:cs="宋体"/>
                <w:sz w:val="24"/>
                <w:szCs w:val="24"/>
                <w:highlight w:val="none"/>
                <w:lang w:val="en-US" w:eastAsia="zh-CN"/>
              </w:rPr>
              <w:t xml:space="preserve">成果查询类问答</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ind w:firstLine="0"/>
              <w:rPr>
                <w:rFonts w:ascii="宋体" w:hAnsi="宋体" w:cs="宋体"/>
                <w:sz w:val="24"/>
                <w:szCs w:val="24"/>
                <w:highlight w:val="none"/>
                <w:lang w:eastAsia="zh-CN"/>
              </w:rPr>
            </w:pPr>
            <w:r>
              <w:rPr>
                <w:rFonts w:hint="eastAsia" w:ascii="宋体" w:hAnsi="宋体" w:cs="宋体"/>
                <w:sz w:val="24"/>
                <w:szCs w:val="24"/>
                <w:highlight w:val="none"/>
                <w:lang w:eastAsia="zh-CN"/>
              </w:rPr>
              <w:t xml:space="preserve">应支持调用已建设的运行安全状态评估模型，能够根据实时监测数据计算模型成果，或调用最新一次模型计算成果，并对评估结果进行展示。</w:t>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eastAsia="zh-CN" w:bidi="ar"/>
              </w:rPr>
            </w:pPr>
            <w:r>
              <w:rPr>
                <w:rFonts w:ascii="宋体" w:hAnsi="宋体" w:cs="宋体"/>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0"/>
              <w:jc w:val="center"/>
              <w:rPr>
                <w:rFonts w:ascii="宋体" w:hAnsi="宋体" w:cs="宋体"/>
                <w:sz w:val="24"/>
                <w:szCs w:val="24"/>
                <w:highlight w:val="none"/>
                <w:lang w:eastAsia="zh-CN"/>
              </w:rPr>
            </w:pPr>
            <w:r>
              <w:rPr>
                <w:rFonts w:ascii="宋体" w:hAnsi="宋体" w:cs="宋体"/>
                <w:sz w:val="24"/>
                <w:szCs w:val="24"/>
                <w:highlight w:val="none"/>
                <w:lang w:eastAsia="zh-CN"/>
              </w:rPr>
            </w:r>
            <w:r/>
          </w:p>
        </w:tc>
      </w:tr>
      <w:tr>
        <w:trPr>
          <w:trHeight w:val="634"/>
        </w:trPr>
        <w:tc>
          <w:tcPr>
            <w:gridSpan w:val="5"/>
            <w:tcBorders>
              <w:top w:val="single" w:color="000000" w:sz="4" w:space="0"/>
              <w:left w:val="single" w:color="000000" w:sz="4" w:space="0"/>
              <w:bottom w:val="single" w:color="000000" w:sz="4" w:space="0"/>
              <w:right w:val="single" w:color="000000" w:sz="4" w:space="0"/>
            </w:tcBorders>
            <w:tcW w:w="6255" w:type="dxa"/>
            <w:vAlign w:val="center"/>
            <w:textDirection w:val="lrTb"/>
            <w:noWrap/>
          </w:tcPr>
          <w:p>
            <w:pPr>
              <w:ind w:firstLine="400"/>
              <w:jc w:val="center"/>
              <w:rPr>
                <w:rFonts w:ascii="宋体" w:hAnsi="宋体" w:cs="宋体"/>
                <w:sz w:val="24"/>
                <w:szCs w:val="24"/>
                <w:highlight w:val="none"/>
                <w:lang w:bidi="ar"/>
              </w:rPr>
            </w:pPr>
            <w:r>
              <w:rPr>
                <w:rFonts w:hint="eastAsia" w:ascii="宋体" w:hAnsi="宋体" w:cs="宋体"/>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1" w:type="dxa"/>
            <w:vAlign w:val="center"/>
            <w:textDirection w:val="lrTb"/>
            <w:noWrap w:val="false"/>
          </w:tcPr>
          <w:p>
            <w:pPr>
              <w:ind w:firstLine="400"/>
              <w:jc w:val="center"/>
              <w:rPr>
                <w:rFonts w:ascii="宋体" w:hAnsi="宋体" w:cs="宋体"/>
                <w:sz w:val="24"/>
                <w:szCs w:val="24"/>
                <w:highlight w:val="none"/>
                <w:lang w:bidi="ar"/>
              </w:rPr>
            </w:pPr>
            <w:r>
              <w:rPr>
                <w:rFonts w:ascii="宋体" w:hAnsi="宋体" w:cs="宋体"/>
                <w:sz w:val="24"/>
                <w:szCs w:val="24"/>
                <w:highlight w:val="none"/>
                <w:lang w:bidi="ar"/>
              </w:rPr>
            </w:r>
            <w:r/>
          </w:p>
        </w:tc>
      </w:tr>
    </w:tbl>
    <w:p>
      <w:pPr>
        <w:jc w:val="both"/>
        <w:spacing w:line="400" w:lineRule="exact"/>
        <w:rPr>
          <w:rFonts w:hint="eastAsia" w:ascii="宋体" w:hAnsi="宋体" w:cs="宋体"/>
          <w:sz w:val="21"/>
          <w:szCs w:val="21"/>
          <w:highlight w:val="none"/>
          <w:lang w:eastAsia="zh-CN"/>
        </w:rPr>
      </w:pPr>
      <w:r>
        <w:rPr>
          <w:rFonts w:hint="eastAsia" w:ascii="宋体" w:hAnsi="宋体" w:cs="宋体"/>
          <w:sz w:val="21"/>
          <w:szCs w:val="21"/>
          <w:highlight w:val="none"/>
          <w:lang w:eastAsia="zh-CN"/>
        </w:rPr>
      </w:r>
      <w:r/>
    </w:p>
    <w:p>
      <w:pPr>
        <w:jc w:val="both"/>
        <w:spacing w:line="400" w:lineRule="exact"/>
        <w:rPr>
          <w:rFonts w:ascii="宋体" w:hAnsi="宋体" w:cs="宋体"/>
          <w:sz w:val="24"/>
          <w:szCs w:val="24"/>
          <w:highlight w:val="none"/>
          <w:lang w:eastAsia="zh-CN"/>
        </w:rPr>
      </w:pPr>
      <w:r>
        <w:rPr>
          <w:rFonts w:hint="eastAsia" w:ascii="宋体" w:hAnsi="宋体" w:cs="宋体"/>
          <w:sz w:val="24"/>
          <w:szCs w:val="24"/>
          <w:highlight w:val="none"/>
          <w:lang w:eastAsia="zh-CN"/>
        </w:rPr>
        <w:t xml:space="preserve">投标人（供应商）（盖单位章）：</w:t>
      </w:r>
      <w:r/>
    </w:p>
    <w:p>
      <w:pPr>
        <w:pStyle w:val="729"/>
        <w:ind w:left="0" w:firstLine="0"/>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729"/>
        <w:ind w:left="0" w:firstLine="0"/>
        <w:rPr>
          <w:rFonts w:hint="eastAsia"/>
          <w:sz w:val="24"/>
          <w:szCs w:val="28"/>
          <w:highlight w:val="none"/>
          <w:lang w:val="en-US" w:eastAsia="zh-CN"/>
        </w:rPr>
      </w:pPr>
      <w:r>
        <w:rPr>
          <w:rFonts w:hint="eastAsia" w:ascii="宋体" w:hAnsi="宋体" w:cs="宋体"/>
          <w:sz w:val="24"/>
          <w:szCs w:val="24"/>
          <w:highlight w:val="none"/>
          <w:lang w:eastAsia="zh-CN"/>
        </w:rPr>
        <w:t xml:space="preserve">法定代表人（或委托代理人）：（签名）</w:t>
      </w:r>
      <w:r/>
    </w:p>
    <w:p>
      <w:pPr>
        <w:spacing w:before="120" w:after="120" w:line="0" w:lineRule="atLeast"/>
        <w:rPr>
          <w:rFonts w:ascii="宋体" w:hAnsi="Courier New" w:cs="Courier New"/>
          <w:sz w:val="32"/>
          <w:szCs w:val="32"/>
          <w:highlight w:val="none"/>
        </w:rPr>
      </w:pPr>
      <w:r>
        <w:rPr>
          <w:rFonts w:ascii="宋体" w:hAnsi="Courier New" w:cs="Courier New"/>
          <w:sz w:val="32"/>
          <w:szCs w:val="32"/>
          <w:highlight w:val="none"/>
        </w:rPr>
      </w:r>
      <w:r/>
    </w:p>
    <w:p>
      <w:pPr>
        <w:jc w:val="center"/>
        <w:keepLines w:val="0"/>
        <w:keepNext/>
        <w:pageBreakBefore w:val="0"/>
        <w:spacing w:line="400" w:lineRule="exact"/>
        <w:widowControl w:val="off"/>
        <w:rPr>
          <w:rFonts w:hint="eastAsia" w:ascii="黑体" w:hAnsi="Times New Roman" w:eastAsia="黑体"/>
          <w:b w:val="0"/>
          <w:bCs/>
          <w:sz w:val="28"/>
          <w:szCs w:val="28"/>
          <w:highlight w:val="none"/>
        </w:rPr>
        <w:outlineLvl w:val="0"/>
      </w:pPr>
      <w:r/>
      <w:bookmarkStart w:id="61" w:name="_Toc120614281"/>
      <w:r>
        <w:rPr>
          <w:rFonts w:hint="eastAsia" w:ascii="黑体" w:hAnsi="Times New Roman" w:eastAsia="黑体"/>
          <w:b w:val="0"/>
          <w:bCs/>
          <w:sz w:val="28"/>
          <w:szCs w:val="28"/>
          <w:highlight w:val="none"/>
        </w:rPr>
        <w:br w:type="page" w:clear="all"/>
      </w:r>
      <w:r>
        <w:rPr>
          <w:rFonts w:hint="eastAsia" w:ascii="黑体" w:hAnsi="Times New Roman" w:eastAsia="黑体"/>
          <w:b w:val="0"/>
          <w:bCs/>
          <w:sz w:val="28"/>
          <w:szCs w:val="28"/>
          <w:highlight w:val="none"/>
        </w:rPr>
        <w:t xml:space="preserve">第五章  评审方法与评审标准</w:t>
      </w:r>
      <w:r/>
    </w:p>
    <w:p>
      <w:pPr>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highlight w:val="none"/>
        </w:rPr>
      </w:pPr>
      <w:r>
        <w:rPr>
          <w:rFonts w:hint="eastAsia" w:ascii="方正仿宋_GBK" w:hAnsi="方正仿宋_GBK" w:eastAsia="方正仿宋_GBK" w:cs="方正仿宋_GBK"/>
          <w:b/>
          <w:sz w:val="32"/>
          <w:szCs w:val="32"/>
          <w:highlight w:val="none"/>
        </w:rPr>
      </w:r>
      <w:r/>
    </w:p>
    <w:p>
      <w:pPr>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小微型企业价格扣除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（1）本项目对小型和微型企业产品/本项目对小型和微型企业提供的服务 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的扣除价格，用扣除后的价格参与评审。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（2）供应商需按照采购文件的要求提供相应的《中小微企业声明函》。</w:t>
      </w:r>
      <w:r/>
    </w:p>
    <w:p>
      <w:pPr>
        <w:pStyle w:val="729"/>
        <w:ind w:left="0" w:firstLine="643"/>
        <w:spacing w:line="460" w:lineRule="exact"/>
        <w:rPr>
          <w:rFonts w:hint="eastAsia" w:eastAsia="方正仿宋_GBK"/>
          <w:b/>
          <w:bCs/>
          <w:sz w:val="32"/>
          <w:szCs w:val="32"/>
          <w:highlight w:val="none"/>
        </w:rPr>
      </w:pPr>
      <w:r>
        <w:rPr>
          <w:rFonts w:ascii="方正仿宋_GBK" w:hAnsi="方正仿宋_GBK" w:eastAsia="方正仿宋_GBK" w:cs="方正仿宋_GBK"/>
          <w:b/>
          <w:bCs/>
          <w:color w:val="333333"/>
          <w:sz w:val="32"/>
          <w:szCs w:val="32"/>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color w:val="333333"/>
          <w:sz w:val="32"/>
          <w:szCs w:val="32"/>
          <w:highlight w:val="none"/>
          <w:lang w:eastAsia="zh-CN"/>
        </w:rPr>
        <w:t xml:space="preserve">。</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残疾人福利单位价格扣除</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（1）本项目对残疾人福利性单位视同小型、微型企业，给予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（2）残疾人福利单位需按照采购文件的要求提供《残疾人福利性单位声明函》。</w:t>
      </w:r>
      <w:r/>
    </w:p>
    <w:p>
      <w:pPr>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（3）残疾人福利单位标准请参照《关于促进残疾人就业政府采购政策的通知》（财库〔2017〕141号）。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监狱和戒毒企业价格扣除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（1）本项目对监狱和戒毒企业（简称监狱企业）视同小型、微型企业，给予</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（3）监狱企业标准请参照《关于政府采购支持监狱企业发展有关问题的通知》（财库〔2014〕68号）。</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残疾人福利单位、监狱企业属于小型、微型企业的，不重复享受政策。</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rPr>
        <w:t xml:space="preserve">以上的，给予联合体或者大中型企业</w:t>
      </w:r>
      <w:r>
        <w:rPr>
          <w:rFonts w:hint="eastAsia" w:ascii="方正仿宋_GBK" w:hAnsi="方正仿宋_GBK" w:eastAsia="方正仿宋_GBK" w:cs="方正仿宋_GBK"/>
          <w:sz w:val="28"/>
          <w:szCs w:val="28"/>
          <w:highlight w:val="none"/>
          <w:u w:val="single"/>
        </w:rPr>
        <w:t xml:space="preserve">4%</w:t>
      </w:r>
      <w:r>
        <w:rPr>
          <w:rFonts w:hint="eastAsia" w:ascii="方正仿宋_GBK" w:hAnsi="方正仿宋_GBK" w:eastAsia="方正仿宋_GBK" w:cs="方正仿宋_GBK"/>
          <w:sz w:val="28"/>
          <w:szCs w:val="28"/>
          <w:highlight w:val="none"/>
        </w:rPr>
        <w:t xml:space="preserve">的价格扣除，用扣除后的价格参与评审。</w:t>
      </w:r>
      <w:r/>
    </w:p>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联合体各方均为小型、微型企业（残疾人福利单位、监狱企业）的，联合体享受</w:t>
      </w:r>
      <w:r>
        <w:rPr>
          <w:rFonts w:hint="eastAsia" w:ascii="方正仿宋_GBK" w:hAnsi="方正仿宋_GBK" w:eastAsia="方正仿宋_GBK" w:cs="方正仿宋_GBK"/>
          <w:sz w:val="28"/>
          <w:szCs w:val="28"/>
          <w:highlight w:val="none"/>
          <w:u w:val="single"/>
        </w:rPr>
        <w:t xml:space="preserve">10%</w:t>
      </w:r>
      <w:r>
        <w:rPr>
          <w:rFonts w:hint="eastAsia" w:ascii="方正仿宋_GBK" w:hAnsi="方正仿宋_GBK" w:eastAsia="方正仿宋_GBK" w:cs="方正仿宋_GBK"/>
          <w:sz w:val="28"/>
          <w:szCs w:val="28"/>
          <w:highlight w:val="none"/>
        </w:rPr>
        <w:t xml:space="preserve">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non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non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7.3 </w:t>
      </w:r>
      <w:r>
        <w:rPr>
          <w:rFonts w:hint="eastAsia" w:ascii="方正仿宋_GBK" w:hAnsi="方正仿宋_GBK" w:eastAsia="方正仿宋_GBK" w:cs="方正仿宋_GBK"/>
          <w:color w:val="000000"/>
          <w:sz w:val="28"/>
          <w:szCs w:val="28"/>
          <w:highlight w:val="none"/>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7.4 评审</w:t>
      </w:r>
      <w:r>
        <w:rPr>
          <w:rFonts w:hint="eastAsia" w:ascii="方正仿宋_GBK" w:hAnsi="方正仿宋_GBK" w:eastAsia="方正仿宋_GBK" w:cs="方正仿宋_GBK"/>
          <w:color w:val="000000"/>
          <w:sz w:val="28"/>
          <w:szCs w:val="28"/>
          <w:highlight w:val="none"/>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highlight w:val="none"/>
          <w:lang w:eastAsia="zh-CN"/>
        </w:rPr>
        <w:t xml:space="preserve">磋商小组</w:t>
      </w:r>
      <w:r>
        <w:rPr>
          <w:rFonts w:hint="eastAsia" w:ascii="方正仿宋_GBK" w:hAnsi="方正仿宋_GBK" w:eastAsia="方正仿宋_GBK" w:cs="方正仿宋_GBK"/>
          <w:color w:val="000000"/>
          <w:sz w:val="28"/>
          <w:szCs w:val="28"/>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highlight w:val="none"/>
          <w:lang w:eastAsia="zh-CN"/>
        </w:rPr>
        <w:t xml:space="preserve">和磋商文件</w:t>
      </w:r>
      <w:r>
        <w:rPr>
          <w:rFonts w:hint="eastAsia" w:ascii="方正仿宋_GBK" w:hAnsi="方正仿宋_GBK" w:eastAsia="方正仿宋_GBK" w:cs="方正仿宋_GBK"/>
          <w:color w:val="000000"/>
          <w:sz w:val="28"/>
          <w:szCs w:val="28"/>
          <w:highlight w:val="none"/>
        </w:rPr>
        <w:t xml:space="preserve">规定的，供应商提供的相关产品视为不符合本国产品标准。</w:t>
      </w:r>
      <w:r/>
    </w:p>
    <w:p>
      <w:pPr>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br w:type="page" w:clear="all"/>
      </w:r>
      <w:r>
        <w:rPr>
          <w:rFonts w:hint="eastAsia" w:ascii="方正仿宋_GBK" w:hAnsi="方正仿宋_GBK" w:eastAsia="方正仿宋_GBK" w:cs="方正仿宋_GBK"/>
          <w:b/>
          <w:color w:val="000000"/>
          <w:sz w:val="28"/>
          <w:szCs w:val="28"/>
          <w:highlight w:val="none"/>
        </w:rPr>
        <w:t xml:space="preserve">评审方法与评审标准</w:t>
      </w:r>
      <w:r/>
    </w:p>
    <w:tbl>
      <w:tblPr>
        <w:tblStyle w:val="728"/>
        <w:tblW w:w="8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19"/>
        <w:gridCol w:w="5864"/>
        <w:gridCol w:w="840"/>
      </w:tblGrid>
      <w:tr>
        <w:trPr>
          <w:jc w:val="center"/>
        </w:trPr>
        <w:tc>
          <w:tcPr>
            <w:tcW w:w="696" w:type="dxa"/>
            <w:vAlign w:val="center"/>
            <w:textDirection w:val="lrTb"/>
            <w:noWrap w:val="false"/>
          </w:tcPr>
          <w:p>
            <w:pPr>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序号</w:t>
            </w:r>
            <w:r/>
          </w:p>
        </w:tc>
        <w:tc>
          <w:tcPr>
            <w:tcW w:w="1419" w:type="dxa"/>
            <w:vAlign w:val="center"/>
            <w:textDirection w:val="lrTb"/>
            <w:noWrap w:val="false"/>
          </w:tcPr>
          <w:p>
            <w:pPr>
              <w:ind w:firstLine="0"/>
              <w:jc w:val="center"/>
              <w:spacing w:line="400" w:lineRule="exact"/>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评审因素</w:t>
            </w:r>
            <w:r/>
          </w:p>
        </w:tc>
        <w:tc>
          <w:tcPr>
            <w:tcW w:w="5864" w:type="dxa"/>
            <w:vAlign w:val="center"/>
            <w:textDirection w:val="lrTb"/>
            <w:noWrap w:val="false"/>
          </w:tcPr>
          <w:p>
            <w:pPr>
              <w:ind w:firstLine="480"/>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评分标准</w:t>
            </w:r>
            <w:r/>
          </w:p>
        </w:tc>
        <w:tc>
          <w:tcPr>
            <w:tcW w:w="840" w:type="dxa"/>
            <w:vAlign w:val="center"/>
            <w:textDirection w:val="lrTb"/>
            <w:noWrap w:val="false"/>
          </w:tcPr>
          <w:p>
            <w:pPr>
              <w:jc w:val="center"/>
              <w:keepLines w:val="0"/>
              <w:keepNext w:val="0"/>
              <w:pageBreakBefore w:val="0"/>
              <w:spacing w:line="400" w:lineRule="exact"/>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分数</w:t>
            </w:r>
            <w:r/>
          </w:p>
        </w:tc>
      </w:tr>
      <w:tr>
        <w:trPr>
          <w:jc w:val="center"/>
        </w:trPr>
        <w:tc>
          <w:tcPr>
            <w:tcW w:w="696" w:type="dxa"/>
            <w:vAlign w:val="center"/>
            <w:textDirection w:val="lrTb"/>
            <w:noWrap w:val="false"/>
          </w:tcPr>
          <w:p>
            <w:pPr>
              <w:ind w:firstLine="560"/>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宋体" w:hAnsi="宋体" w:eastAsia="宋体" w:cs="宋体"/>
                <w:color w:val="000000"/>
                <w:sz w:val="21"/>
                <w:szCs w:val="22"/>
                <w:highlight w:val="none"/>
                <w:lang w:val="en-US" w:eastAsia="zh-CN"/>
              </w:rPr>
              <w:t xml:space="preserve">1</w:t>
            </w:r>
            <w:r/>
          </w:p>
        </w:tc>
        <w:tc>
          <w:tcPr>
            <w:tcW w:w="141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价格分</w:t>
            </w:r>
            <w:r/>
          </w:p>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0分）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价格分采用低价优先法计算，即满足磋商文件要求且最后报价最低的供应商的价格为磋商基准价，其价格分为满分</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0分，</w:t>
            </w:r>
            <w:r/>
          </w:p>
          <w:p>
            <w:pPr>
              <w:ind w:firstLine="560"/>
              <w:keepLines w:val="0"/>
              <w:keepNext w:val="0"/>
              <w:pageBreakBefore w:val="0"/>
              <w:spacing w:line="400" w:lineRule="exact"/>
              <w:widowControl w:val="off"/>
              <w:rPr>
                <w:rFonts w:hint="eastAsia"/>
                <w:b/>
                <w:bCs/>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其它供应商的价格分统一按照下列公式计算：磋商报价得分=（磋商基准价/最后磋商报价）×</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eastAsia="zh-CN"/>
              </w:rPr>
              <w:t xml:space="preserve">0分。分值保留小数点后2位。</w:t>
            </w:r>
            <w:r/>
          </w:p>
        </w:tc>
        <w:tc>
          <w:tcPr>
            <w:tcW w:w="840"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20分</w:t>
            </w:r>
            <w:r/>
          </w:p>
        </w:tc>
      </w:tr>
      <w:tr>
        <w:trPr>
          <w:jc w:val="center"/>
        </w:trPr>
        <w:tc>
          <w:tcPr>
            <w:gridSpan w:val="4"/>
            <w:tcW w:w="88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商务部分（22分）</w:t>
            </w:r>
            <w:r/>
          </w:p>
        </w:tc>
      </w:tr>
      <w:tr>
        <w:trPr>
          <w:jc w:val="center"/>
        </w:trPr>
        <w:tc>
          <w:tcPr>
            <w:tcW w:w="696" w:type="dxa"/>
            <w:vAlign w:val="center"/>
            <w:textDirection w:val="lrTb"/>
            <w:noWrap w:val="false"/>
          </w:tcPr>
          <w:p>
            <w:pPr>
              <w:ind w:firstLine="0"/>
              <w:jc w:val="center"/>
              <w:spacing w:line="40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1419"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业绩</w:t>
            </w:r>
            <w:r/>
          </w:p>
          <w:p>
            <w:pPr>
              <w:jc w:val="cente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2.1业绩</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2023年7月1日至今（以合同签订时间为准），供应商具有同类项目或与本项目类似的开发业绩（合同需同时包含调度、可视化、告警或预警内容）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每按要求提供</w:t>
            </w:r>
            <w:r>
              <w:rPr>
                <w:rFonts w:hint="eastAsia" w:ascii="方正仿宋_GBK" w:hAnsi="方正仿宋_GBK" w:eastAsia="方正仿宋_GBK" w:cs="方正仿宋_GBK"/>
                <w:sz w:val="28"/>
                <w:szCs w:val="28"/>
                <w:highlight w:val="none"/>
              </w:rPr>
              <w:t xml:space="preserve">一个得</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分，本项最高得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w:t>
            </w:r>
            <w:r>
              <w:rPr>
                <w:rFonts w:ascii="方正仿宋_GBK" w:hAnsi="方正仿宋_GBK" w:eastAsia="方正仿宋_GBK"/>
                <w:color w:val="000000"/>
                <w:sz w:val="28"/>
                <w:highlight w:val="none"/>
              </w:rPr>
              <w:t xml:space="preserve">提供合同关键页复印件或扫描件并加盖投标人公章，至少应能反映合同双方、项目名称或标的内容、合同金额、签订日期及签章页；材料无法反映评审要素的不得分。</w:t>
            </w:r>
            <w:r/>
          </w:p>
        </w:tc>
        <w:tc>
          <w:tcPr>
            <w:tcW w:w="840" w:type="dxa"/>
            <w:vAlign w:val="center"/>
            <w:textDirection w:val="lrTb"/>
            <w:noWrap w:val="false"/>
          </w:tcPr>
          <w:p>
            <w:pPr>
              <w:spacing w:before="120" w:after="120" w:line="400" w:lineRule="exact"/>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3分</w:t>
            </w:r>
            <w:r/>
          </w:p>
        </w:tc>
      </w:tr>
      <w:tr>
        <w:trPr>
          <w:jc w:val="center"/>
        </w:trPr>
        <w:tc>
          <w:tcPr>
            <w:tcW w:w="696" w:type="dxa"/>
            <w:vAlign w:val="center"/>
            <w:textDirection w:val="lrTb"/>
            <w:noWrap w:val="false"/>
          </w:tcPr>
          <w:p>
            <w:pPr>
              <w:ind w:firstLine="0"/>
              <w:jc w:val="center"/>
              <w:spacing w:line="40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软件开发能力</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p>
            <w:pPr>
              <w:pStyle w:val="729"/>
              <w:rPr>
                <w:rFonts w:hint="eastAsia"/>
                <w:highlight w:val="none"/>
                <w:lang w:eastAsia="zh-CN"/>
              </w:rPr>
            </w:pPr>
            <w:r>
              <w:rPr>
                <w:rFonts w:hint="eastAsia"/>
                <w:highlight w:val="none"/>
                <w:lang w:eastAsia="zh-CN"/>
              </w:rPr>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3.1软件著作权</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投标人具有由国家版权局颁发的相关软件著作权登记证书，证书名称包含</w:t>
            </w:r>
            <w:r>
              <w:rPr>
                <w:rFonts w:hint="eastAsia" w:ascii="方正仿宋_GBK" w:hAnsi="方正仿宋_GBK" w:eastAsia="方正仿宋_GBK" w:cs="方正仿宋_GBK"/>
                <w:color w:val="000000"/>
                <w:sz w:val="28"/>
                <w:szCs w:val="28"/>
                <w:highlight w:val="none"/>
                <w:lang w:eastAsia="zh-CN"/>
              </w:rPr>
              <w:t xml:space="preserve">与本项目需求相关的</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eastAsia="zh-CN"/>
              </w:rPr>
              <w:t xml:space="preserve">监测与预报调度</w:t>
            </w:r>
            <w:r>
              <w:rPr>
                <w:rFonts w:hint="eastAsia" w:ascii="方正仿宋_GBK" w:hAnsi="方正仿宋_GBK" w:eastAsia="方正仿宋_GBK" w:cs="方正仿宋_GBK"/>
                <w:color w:val="000000"/>
                <w:sz w:val="28"/>
                <w:szCs w:val="28"/>
                <w:highlight w:val="none"/>
                <w:lang w:val="en-US" w:eastAsia="zh-CN"/>
              </w:rPr>
              <w:t xml:space="preserve">类”</w:t>
            </w:r>
            <w:r>
              <w:rPr>
                <w:rFonts w:hint="eastAsia" w:ascii="方正仿宋_GBK" w:hAnsi="方正仿宋_GBK" w:eastAsia="方正仿宋_GBK" w:cs="方正仿宋_GBK"/>
                <w:strike w:val="0"/>
                <w:color w:val="000000"/>
                <w:sz w:val="28"/>
                <w:szCs w:val="28"/>
                <w:highlight w:val="none"/>
                <w:lang w:val="en-US" w:eastAsia="zh-CN"/>
              </w:rPr>
              <w:t xml:space="preserve">“</w:t>
            </w:r>
            <w:r>
              <w:rPr>
                <w:rFonts w:hint="eastAsia" w:ascii="方正仿宋_GBK" w:hAnsi="方正仿宋_GBK" w:eastAsia="方正仿宋_GBK" w:cs="方正仿宋_GBK"/>
                <w:strike w:val="0"/>
                <w:color w:val="000000"/>
                <w:sz w:val="28"/>
                <w:szCs w:val="28"/>
                <w:highlight w:val="none"/>
                <w:lang w:eastAsia="zh-CN"/>
              </w:rPr>
              <w:t xml:space="preserve">设备信息建模及数据挖掘类</w:t>
            </w:r>
            <w:r>
              <w:rPr>
                <w:rFonts w:hint="eastAsia" w:ascii="方正仿宋_GBK" w:hAnsi="方正仿宋_GBK" w:eastAsia="方正仿宋_GBK" w:cs="方正仿宋_GBK"/>
                <w:strike w:val="0"/>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的软件著作权证书，每提供一种得1.5分，同一软件著作权证不重复得分，满分3分。</w:t>
            </w:r>
            <w:r/>
          </w:p>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备注：</w:t>
            </w:r>
            <w:r>
              <w:rPr>
                <w:rFonts w:hint="eastAsia" w:ascii="方正仿宋_GBK" w:hAnsi="方正仿宋_GBK" w:eastAsia="方正仿宋_GBK" w:cs="方正仿宋_GBK"/>
                <w:color w:val="000000"/>
                <w:sz w:val="28"/>
                <w:szCs w:val="28"/>
                <w:highlight w:val="none"/>
                <w:lang w:val="en-US" w:eastAsia="zh-CN"/>
              </w:rPr>
              <w:t xml:space="preserve">如投标文件中提供的著作权名称表述与招标文件描述的关键字样不一致，而该投标文件中能证明投标人拥有的著作权具有相同或相似功能和效果的，视同符合要求。</w:t>
            </w:r>
            <w:r/>
          </w:p>
        </w:tc>
        <w:tc>
          <w:tcPr>
            <w:tcW w:w="840" w:type="dxa"/>
            <w:vAlign w:val="center"/>
            <w:textDirection w:val="lrTb"/>
            <w:noWrap w:val="false"/>
          </w:tcPr>
          <w:p>
            <w:pPr>
              <w:spacing w:before="120" w:after="120" w:line="400" w:lineRule="exact"/>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spacing w:line="400" w:lineRule="exact"/>
              <w:rPr>
                <w:rFonts w:ascii="宋体" w:hAnsi="宋体" w:cs="宋体"/>
                <w:highlight w:val="none"/>
                <w:lang w:val="en-US" w:eastAsia="zh-CN"/>
              </w:rPr>
            </w:pPr>
            <w:r>
              <w:rPr>
                <w:rFonts w:hint="eastAsia" w:ascii="宋体" w:hAnsi="宋体" w:cs="宋体"/>
                <w:highlight w:val="none"/>
                <w:lang w:val="en-US" w:eastAsia="zh-CN"/>
              </w:rPr>
              <w:t xml:space="preserve">4</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项目实施团队能力（16分）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4.1</w:t>
            </w:r>
            <w:r>
              <w:rPr>
                <w:rFonts w:hint="eastAsia" w:ascii="方正仿宋_GBK" w:hAnsi="方正仿宋_GBK" w:eastAsia="方正仿宋_GBK" w:cs="方正仿宋_GBK"/>
                <w:color w:val="000000"/>
                <w:sz w:val="28"/>
                <w:szCs w:val="28"/>
                <w:highlight w:val="none"/>
                <w:lang w:eastAsia="zh-CN"/>
              </w:rPr>
              <w:t xml:space="preserve">项目经理（</w:t>
            </w:r>
            <w:r>
              <w:rPr>
                <w:rFonts w:hint="eastAsia" w:ascii="方正仿宋_GBK" w:hAnsi="方正仿宋_GBK" w:eastAsia="方正仿宋_GBK" w:cs="方正仿宋_GBK"/>
                <w:color w:val="000000"/>
                <w:sz w:val="28"/>
                <w:szCs w:val="28"/>
                <w:highlight w:val="none"/>
                <w:lang w:val="en-US" w:eastAsia="zh-CN"/>
              </w:rPr>
              <w:t xml:space="preserve">6分</w:t>
            </w:r>
            <w:r>
              <w:rPr>
                <w:rFonts w:hint="eastAsia" w:ascii="方正仿宋_GBK" w:hAnsi="方正仿宋_GBK" w:eastAsia="方正仿宋_GBK" w:cs="方正仿宋_GBK"/>
                <w:color w:val="000000"/>
                <w:sz w:val="28"/>
                <w:szCs w:val="28"/>
                <w:highlight w:val="none"/>
                <w:lang w:eastAsia="zh-CN"/>
              </w:rPr>
              <w:t xml:space="preserve">）</w:t>
            </w:r>
            <w:r/>
          </w:p>
          <w:p>
            <w:pPr>
              <w:ind w:firstLine="560"/>
              <w:spacing w:line="400" w:lineRule="exact"/>
              <w:rPr>
                <w:rFonts w:ascii="方正仿宋_GBK" w:hAnsi="方正仿宋_GBK" w:eastAsia="方正仿宋_GBK" w:cs="方正仿宋_GBK"/>
                <w:sz w:val="28"/>
                <w:szCs w:val="28"/>
                <w:highlight w:val="none"/>
              </w:rPr>
            </w:pPr>
            <w:r/>
            <w:bookmarkStart w:id="62" w:name="OLE_LINK11"/>
            <w:r/>
            <w:bookmarkStart w:id="63" w:name="OLE_LINK10"/>
            <w:r>
              <w:rPr>
                <w:rFonts w:hint="eastAsia" w:ascii="方正仿宋_GBK" w:hAnsi="方正仿宋_GBK" w:eastAsia="方正仿宋_GBK" w:cs="方正仿宋_GBK"/>
                <w:sz w:val="28"/>
                <w:szCs w:val="28"/>
                <w:highlight w:val="none"/>
              </w:rPr>
              <w:t xml:space="preserve">（1）具有高级及以上</w:t>
            </w:r>
            <w:bookmarkStart w:id="64" w:name="OLE_LINK2"/>
            <w:r/>
            <w:bookmarkStart w:id="65" w:name="OLE_LINK1"/>
            <w:r>
              <w:rPr>
                <w:rFonts w:hint="eastAsia" w:ascii="方正仿宋_GBK" w:hAnsi="方正仿宋_GBK" w:eastAsia="方正仿宋_GBK" w:cs="方正仿宋_GBK"/>
                <w:sz w:val="28"/>
                <w:szCs w:val="28"/>
                <w:highlight w:val="none"/>
              </w:rPr>
              <w:t xml:space="preserve">电子信息工程或自动化或电力</w:t>
            </w:r>
            <w:bookmarkEnd w:id="64"/>
            <w:r/>
            <w:bookmarkEnd w:id="65"/>
            <w:r>
              <w:rPr>
                <w:rFonts w:hint="eastAsia" w:ascii="方正仿宋_GBK" w:hAnsi="方正仿宋_GBK" w:eastAsia="方正仿宋_GBK" w:cs="方正仿宋_GBK"/>
                <w:sz w:val="28"/>
                <w:szCs w:val="28"/>
                <w:highlight w:val="none"/>
              </w:rPr>
              <w:t xml:space="preserve">工程师职称证书的，得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（2）具有信息安全保障人员（CISAW）认证证书的，得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bookmarkEnd w:id="62"/>
            <w:r/>
            <w:bookmarkEnd w:id="63"/>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.2技术负责人（6分）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（1）具有高级及以上电子信息工程或自动化或电力工程师职称证书得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w:t>
            </w:r>
            <w:bookmarkStart w:id="66" w:name="OLE_LINK8"/>
            <w:r/>
            <w:bookmarkStart w:id="67" w:name="OLE_LINK9"/>
            <w:r>
              <w:rPr>
                <w:rFonts w:hint="eastAsia" w:ascii="方正仿宋_GBK" w:hAnsi="方正仿宋_GBK" w:eastAsia="方正仿宋_GBK" w:cs="方正仿宋_GBK"/>
                <w:sz w:val="28"/>
                <w:szCs w:val="28"/>
                <w:highlight w:val="none"/>
              </w:rPr>
              <w:t xml:space="preserve">信息系统项目管理师（高级）证书</w:t>
            </w:r>
            <w:bookmarkEnd w:id="66"/>
            <w:r/>
            <w:bookmarkEnd w:id="67"/>
            <w:r>
              <w:rPr>
                <w:rFonts w:hint="eastAsia" w:ascii="方正仿宋_GBK" w:hAnsi="方正仿宋_GBK" w:eastAsia="方正仿宋_GBK" w:cs="方正仿宋_GBK"/>
                <w:sz w:val="28"/>
                <w:szCs w:val="28"/>
                <w:highlight w:val="none"/>
              </w:rPr>
              <w:t xml:space="preserve">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分，未提供或未按要求提供的不得分。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.3项目团队成员(不含项目经理和技术负责人)（4分）</w:t>
            </w:r>
            <w:r/>
          </w:p>
          <w:p>
            <w:pPr>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具有系统架构设计师、注册信息安全管理人员（CISP）、软件设计师、信息系统项目管理师（高级）证书，上述证书每提供一类证书的，得1分，本项最高得4分。（一人同时具有多证不兼得）</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注：1.应提供人员相关证书复印件或扫描件；2.以上相关人员须提供社保机构出具的近3个月以来任意一个月投标人为其缴纳的社会保险缴费证明材料。</w:t>
            </w:r>
            <w:r/>
          </w:p>
        </w:tc>
        <w:tc>
          <w:tcPr>
            <w:tcW w:w="840" w:type="dxa"/>
            <w:vAlign w:val="center"/>
            <w:textDirection w:val="lrTb"/>
            <w:noWrap w:val="false"/>
          </w:tcPr>
          <w:p>
            <w:pPr>
              <w:ind w:firstLine="0"/>
              <w:spacing w:before="120" w:after="120" w:line="400" w:lineRule="exact"/>
              <w:rPr>
                <w:rFonts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16分</w:t>
            </w:r>
            <w:r/>
          </w:p>
        </w:tc>
      </w:tr>
      <w:tr>
        <w:trPr>
          <w:jc w:val="center"/>
        </w:trPr>
        <w:tc>
          <w:tcPr>
            <w:gridSpan w:val="4"/>
            <w:tcW w:w="8819" w:type="dxa"/>
            <w:vAlign w:val="center"/>
            <w:textDirection w:val="lrTb"/>
            <w:noWrap w:val="false"/>
          </w:tcPr>
          <w:p>
            <w:pPr>
              <w:ind w:firstLine="0"/>
              <w:keepLines w:val="0"/>
              <w:keepNext w:val="0"/>
              <w:pageBreakBefore w:val="0"/>
              <w:spacing w:line="400" w:lineRule="exact"/>
              <w:widowControl w:val="off"/>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bCs/>
                <w:color w:val="000000"/>
                <w:sz w:val="24"/>
                <w:szCs w:val="24"/>
                <w:highlight w:val="none"/>
                <w:lang w:eastAsia="zh-CN"/>
              </w:rPr>
              <w:t xml:space="preserve">技术部分（</w:t>
            </w:r>
            <w:r>
              <w:rPr>
                <w:rFonts w:hint="eastAsia" w:ascii="方正仿宋_GBK" w:hAnsi="方正仿宋_GBK" w:eastAsia="方正仿宋_GBK" w:cs="方正仿宋_GBK"/>
                <w:b/>
                <w:bCs/>
                <w:color w:val="000000"/>
                <w:sz w:val="24"/>
                <w:szCs w:val="24"/>
                <w:highlight w:val="none"/>
                <w:lang w:val="en-US" w:eastAsia="zh-CN"/>
              </w:rPr>
              <w:t xml:space="preserve">58</w:t>
            </w:r>
            <w:r>
              <w:rPr>
                <w:rFonts w:hint="eastAsia" w:ascii="方正仿宋_GBK" w:hAnsi="方正仿宋_GBK" w:eastAsia="方正仿宋_GBK" w:cs="方正仿宋_GBK"/>
                <w:b/>
                <w:bCs/>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5</w:t>
            </w:r>
            <w:r/>
          </w:p>
        </w:tc>
        <w:tc>
          <w:tcPr>
            <w:tcW w:w="1419" w:type="dxa"/>
            <w:vAlign w:val="center"/>
            <w:textDirection w:val="lrTb"/>
            <w:noWrap w:val="false"/>
          </w:tcPr>
          <w:p>
            <w:pPr>
              <w:ind w:firstLine="0"/>
              <w:keepLines w:val="0"/>
              <w:keepNext w:val="0"/>
              <w:pageBreakBefore w:val="0"/>
              <w:spacing w:line="400" w:lineRule="exact"/>
              <w:widowControl w:val="off"/>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sz w:val="28"/>
                <w:szCs w:val="28"/>
                <w:highlight w:val="none"/>
              </w:rPr>
              <w:t xml:space="preserve">建设内容（5分）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.1评委根据响应文件对"采购需求"中"</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（1）经评委认定，响应文件对“数据资源层、模型平台层、应用服务层、展示交互层”总体架构要求的响应内容全部优于采购文件要求，</w:t>
            </w:r>
            <w:r>
              <w:rPr>
                <w:rFonts w:hint="eastAsia" w:ascii="方正仿宋_GBK" w:hAnsi="方正仿宋_GBK" w:eastAsia="方正仿宋_GBK" w:cs="方正仿宋_GBK"/>
                <w:sz w:val="28"/>
                <w:szCs w:val="28"/>
                <w:highlight w:val="none"/>
                <w:lang w:val="en-US" w:eastAsia="zh-CN"/>
              </w:rPr>
              <w:t xml:space="preserve">并根据现有管理处现状绘制</w:t>
            </w:r>
            <w:r>
              <w:rPr>
                <w:rFonts w:hint="eastAsia" w:ascii="方正仿宋_GBK" w:hAnsi="方正仿宋_GBK" w:eastAsia="方正仿宋_GBK" w:cs="方正仿宋_GBK"/>
                <w:sz w:val="28"/>
                <w:szCs w:val="28"/>
                <w:highlight w:val="none"/>
              </w:rPr>
              <w:t xml:space="preserve">总体架构图</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前提是响应文件对"</w:t>
            </w:r>
            <w:r>
              <w:rPr>
                <w:rFonts w:hint="eastAsia" w:ascii="方正仿宋_GBK" w:hAnsi="方正仿宋_GBK" w:eastAsia="方正仿宋_GBK" w:cs="方正仿宋_GBK"/>
                <w:sz w:val="28"/>
                <w:szCs w:val="28"/>
                <w:highlight w:val="none"/>
                <w:lang w:val="en-US" w:eastAsia="zh-CN"/>
              </w:rPr>
              <w:t xml:space="preserve">总体架构</w:t>
            </w:r>
            <w:r>
              <w:rPr>
                <w:rFonts w:hint="eastAsia" w:ascii="方正仿宋_GBK" w:hAnsi="方正仿宋_GBK" w:eastAsia="方正仿宋_GBK" w:cs="方正仿宋_GBK"/>
                <w:sz w:val="28"/>
                <w:szCs w:val="28"/>
                <w:highlight w:val="none"/>
              </w:rPr>
              <w:t xml:space="preserve">"中除上述几项外其他要求响应内容符合招标文件要求</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本项得 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（2）响应文件符合总体架构全部要求，并提供总体架构图，能够反映各层组成及基本关系的，本项得 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（3）响应文件未符合总体架构全部要求，或未提供总体架构图的，本项得 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6</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建设目标（5分）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.1评委根据响应文件对"采购需求"中"建设目标"的响应情况进行评审：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建设目标中"提升灌溉总渠全线闸泵协同调度辅助能力、提升六垛南闸入海口下泄能力分析水平、提升工程运行管理智能服务能力、避免重复建设"要求的响应内容全部优于招标文件要求的（前提是响应文件对"建设目标"中除上述几项外其他要求响应内容符合招标文件要求），本项得 5 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（2）响应文件符合建设目标中全部条款要求的，视为符合招标文件，本项得 3 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（3）响应文件未符合建设目标中全部条款要求的，视为不符合招标文件，本项得 0 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vMerge w:val="restart"/>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7</w:t>
            </w:r>
            <w:r/>
          </w:p>
        </w:tc>
        <w:tc>
          <w:tcPr>
            <w:tcW w:w="1419" w:type="dxa"/>
            <w:vAlign w:val="center"/>
            <w:vMerge w:val="restart"/>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t xml:space="preserve">技术方案（</w:t>
            </w:r>
            <w:r>
              <w:rPr>
                <w:rFonts w:hint="eastAsia" w:ascii="方正仿宋_GBK" w:hAnsi="方正仿宋_GBK" w:eastAsia="方正仿宋_GBK" w:cs="方正仿宋_GBK"/>
                <w:color w:val="000000"/>
                <w:sz w:val="28"/>
                <w:szCs w:val="28"/>
                <w:highlight w:val="none"/>
                <w:lang w:val="en-US" w:eastAsia="zh-CN"/>
              </w:rPr>
              <w:t xml:space="preserve">30</w:t>
            </w:r>
            <w:r>
              <w:rPr>
                <w:rFonts w:hint="eastAsia" w:ascii="方正仿宋_GBK" w:hAnsi="方正仿宋_GBK" w:eastAsia="方正仿宋_GBK" w:cs="方正仿宋_GBK"/>
                <w:color w:val="000000"/>
                <w:sz w:val="28"/>
                <w:szCs w:val="28"/>
                <w:highlight w:val="none"/>
                <w:lang w:val="zh-CN" w:eastAsia="zh-CN"/>
              </w:rPr>
              <w:t xml:space="preserve">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.1</w:t>
            </w:r>
            <w:bookmarkStart w:id="68" w:name="OLE_LINK19"/>
            <w:r>
              <w:rPr>
                <w:rFonts w:hint="eastAsia" w:ascii="方正仿宋_GBK" w:hAnsi="方正仿宋_GBK" w:eastAsia="方正仿宋_GBK" w:cs="方正仿宋_GBK"/>
                <w:sz w:val="28"/>
                <w:szCs w:val="28"/>
                <w:highlight w:val="none"/>
              </w:rPr>
              <w:t xml:space="preserve">总体设计</w:t>
            </w:r>
            <w:bookmarkEnd w:id="68"/>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评委根据响应文件对“采购需求”中“总体设计”相关要求的响应情况进行评审：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总体架构、技术路线、系统部署、数据平台、模型调用与业务应用”要求的响应内容全部优于采购文件要求的（前提是响应文件对"总体设计"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（2）响应文件符合系统总体设计全部要求的，本项得3分。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（3）响应文件未符合系统总体设计全部要求的，本项得0分。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.2 系统融合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评委根据响应文件对“采购需求”中“系统融合”相关要求的响应情况进行评审：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w:t>
            </w:r>
            <w:r>
              <w:rPr>
                <w:rFonts w:hint="eastAsia" w:ascii="方正仿宋_GBK" w:hAnsi="方正仿宋_GBK" w:eastAsia="方正仿宋_GBK" w:cs="方正仿宋_GBK"/>
                <w:sz w:val="28"/>
                <w:szCs w:val="28"/>
                <w:highlight w:val="none"/>
                <w:lang w:val="en-US" w:eastAsia="zh-CN"/>
              </w:rPr>
              <w:t xml:space="preserve">现有</w:t>
            </w:r>
            <w:r>
              <w:rPr>
                <w:rFonts w:hint="eastAsia" w:ascii="方正仿宋_GBK" w:hAnsi="方正仿宋_GBK" w:eastAsia="方正仿宋_GBK" w:cs="方正仿宋_GBK"/>
                <w:sz w:val="28"/>
                <w:szCs w:val="28"/>
                <w:highlight w:val="none"/>
              </w:rPr>
              <w:t xml:space="preserve">数据</w:t>
            </w:r>
            <w:r>
              <w:rPr>
                <w:rFonts w:hint="eastAsia" w:ascii="方正仿宋_GBK" w:hAnsi="方正仿宋_GBK" w:eastAsia="方正仿宋_GBK" w:cs="方正仿宋_GBK"/>
                <w:sz w:val="28"/>
                <w:szCs w:val="28"/>
                <w:highlight w:val="none"/>
                <w:lang w:val="en-US" w:eastAsia="zh-CN"/>
              </w:rPr>
              <w:t xml:space="preserve">统一建模平台</w:t>
            </w:r>
            <w:r>
              <w:rPr>
                <w:rFonts w:hint="eastAsia" w:ascii="方正仿宋_GBK" w:hAnsi="方正仿宋_GBK" w:eastAsia="方正仿宋_GBK" w:cs="方正仿宋_GBK"/>
                <w:sz w:val="28"/>
                <w:szCs w:val="28"/>
                <w:highlight w:val="none"/>
              </w:rPr>
              <w:t xml:space="preserve">、自动化系统、</w:t>
            </w:r>
            <w:r>
              <w:rPr>
                <w:rFonts w:hint="eastAsia" w:ascii="方正仿宋_GBK" w:hAnsi="方正仿宋_GBK" w:eastAsia="方正仿宋_GBK" w:cs="方正仿宋_GBK"/>
                <w:sz w:val="28"/>
                <w:szCs w:val="28"/>
                <w:highlight w:val="none"/>
                <w:lang w:val="en-US" w:eastAsia="zh-CN"/>
              </w:rPr>
              <w:t xml:space="preserve">工程管理智能化平台</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二维</w:t>
            </w:r>
            <w:r>
              <w:rPr>
                <w:rFonts w:hint="eastAsia" w:ascii="方正仿宋_GBK" w:hAnsi="方正仿宋_GBK" w:eastAsia="方正仿宋_GBK" w:cs="方正仿宋_GBK"/>
                <w:sz w:val="28"/>
                <w:szCs w:val="28"/>
                <w:highlight w:val="none"/>
              </w:rPr>
              <w:t xml:space="preserve">GIS平台、</w:t>
            </w:r>
            <w:r>
              <w:rPr>
                <w:rFonts w:hint="eastAsia" w:ascii="方正仿宋_GBK" w:hAnsi="方正仿宋_GBK" w:eastAsia="方正仿宋_GBK" w:cs="方正仿宋_GBK"/>
                <w:sz w:val="28"/>
                <w:szCs w:val="28"/>
                <w:highlight w:val="none"/>
                <w:lang w:val="en-US" w:eastAsia="zh-CN"/>
              </w:rPr>
              <w:t xml:space="preserve">三维</w:t>
            </w:r>
            <w:r>
              <w:rPr>
                <w:rFonts w:hint="eastAsia" w:ascii="方正仿宋_GBK" w:hAnsi="方正仿宋_GBK" w:eastAsia="方正仿宋_GBK" w:cs="方正仿宋_GBK"/>
                <w:sz w:val="28"/>
                <w:szCs w:val="28"/>
                <w:highlight w:val="none"/>
              </w:rPr>
              <w:t xml:space="preserve">BIM平台”要求的响应内容全部优于采购文件要求的（前提是响应文件对"系统融合"中除上述几项外其他要求响应内容符合招标文件要求），本项得5分。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（2）响应文件符合系统融合全部要求的，本项得3分。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（3）响应文件未符合系统融合全部要求的，本项得0分。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.3 调度辅助决策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评委根据响应文件对“采购需求”中“调度辅助决策”及详细设计要求的响应情况进行评审：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水情趋势预报及修正、优化调度决策、动态数据质量评估、BIM模型融合、水情预报预警、调度决策方案、调度方案预演与预案管理及软件功能设计原型要求的响应内容全部优于采购文件要求的（前提是响应文件对"调度辅助决策"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.4 入海口下泄流量预测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评委根据响应文件对“采购需求”中“入海口下泄流量预测”及详细设计要求的响应情况进行评审：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模型服务调用、二维GIS展示、计算成果管理及软件功能原型设计要求的响应内容全部优于采购文件要求的（前提是响应文件对"入海口下泄流量预测"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.5 总渠数字人问答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评委根据响应文件对“采购需求”中“总渠数字人问答”及详细设计要求的响应情况进行评审：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数字人问答、问答知识库、文档查询、监测数据查询、运行安全状态评估成果查询及软件功能原型设计要求的响应内容全部优于采购文件要求的（前提是响应文件对"总渠数字人问答"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（2）响应文件符合相关全部要求的，本项得3分。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（3）响应文件未符合相关全部要求的，本项得0分。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cs="宋体"/>
                <w:sz w:val="24"/>
                <w:szCs w:val="28"/>
                <w:highlight w:val="none"/>
                <w:lang w:val="en-US" w:bidi="zh-CN"/>
              </w:rPr>
            </w:pPr>
            <w:r>
              <w:rPr>
                <w:rFonts w:hint="eastAsia" w:ascii="宋体" w:hAnsi="宋体" w:cs="宋体"/>
                <w:sz w:val="24"/>
                <w:szCs w:val="28"/>
                <w:highlight w:val="none"/>
                <w:lang w:val="en-US" w:bidi="zh-CN"/>
              </w:rPr>
            </w:r>
            <w:r/>
          </w:p>
        </w:tc>
        <w:tc>
          <w:tcPr>
            <w:tcW w:w="1419" w:type="dxa"/>
            <w:vAlign w:val="center"/>
            <w:vMerge w:val="continue"/>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.6 个性化配置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评委根据响应文件对“采购需求”中“个性化配置”要求的响应情况进行评审：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画面配置、工作流程配置、表单配置”要求的响应内容全部优于采购文件要求的（前提是响应文件对"个性化配置"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（2）响应文件符合个性化配置全部要求的，本项得3分。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（3）响应文件未符合个性化配置全部要求的，本项得0分。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eastAsia="zh-CN" w:bidi="zh-CN"/>
              </w:rPr>
            </w:pPr>
            <w:r>
              <w:rPr>
                <w:rFonts w:hint="eastAsia" w:ascii="宋体" w:hAnsi="宋体" w:cs="宋体"/>
                <w:sz w:val="24"/>
                <w:szCs w:val="28"/>
                <w:highlight w:val="none"/>
                <w:lang w:val="en-US" w:eastAsia="zh-CN" w:bidi="zh-CN"/>
              </w:rPr>
              <w:t xml:space="preserve">8</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zh-CN" w:eastAsia="zh-CN"/>
              </w:rPr>
              <w:t xml:space="preserve">项目集成服务方案</w:t>
            </w:r>
            <w:r>
              <w:rPr>
                <w:rFonts w:hint="eastAsia" w:ascii="方正仿宋_GBK" w:hAnsi="方正仿宋_GBK" w:eastAsia="方正仿宋_GBK" w:cs="方正仿宋_GBK"/>
                <w:sz w:val="28"/>
                <w:szCs w:val="28"/>
                <w:highlight w:val="none"/>
              </w:rPr>
              <w:t xml:space="preserve">（5分）</w:t>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sz w:val="28"/>
                <w:szCs w:val="28"/>
                <w:highlight w:val="none"/>
              </w:rPr>
              <w:t xml:space="preserve">.1评委根据响应文件对“采购需求”中“集成服务”相关要求的响应情况进行评审：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项目实施组织机构、人员配置、实施安排、系统集成联调”要求的响应内容全部优于采购文件要求的（前提是响应文件对"集成服务"中除上述几项外其他要求响应内容符合招标文件要求），本项得5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（2）响应文件符合项目集成服务全部要求的，本项得3分。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（3）响应文件未符合项目集成服务全部要求的，本项得0分。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5分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ascii="宋体" w:hAnsi="宋体" w:cs="宋体"/>
                <w:sz w:val="24"/>
                <w:szCs w:val="28"/>
                <w:highlight w:val="none"/>
                <w:lang w:val="en-US" w:bidi="zh-CN"/>
              </w:rPr>
            </w:pPr>
            <w:r>
              <w:rPr>
                <w:rFonts w:hint="eastAsia" w:ascii="宋体" w:hAnsi="宋体" w:cs="宋体"/>
                <w:sz w:val="24"/>
                <w:szCs w:val="28"/>
                <w:highlight w:val="none"/>
                <w:lang w:val="en-US" w:bidi="zh-CN"/>
              </w:rPr>
              <w:t xml:space="preserve">9</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项目工期</w:t>
            </w:r>
            <w:r>
              <w:rPr>
                <w:rFonts w:hint="eastAsia" w:ascii="方正仿宋_GBK" w:hAnsi="方正仿宋_GBK" w:eastAsia="方正仿宋_GBK" w:cs="方正仿宋_GBK"/>
                <w:sz w:val="28"/>
                <w:szCs w:val="28"/>
                <w:highlight w:val="none"/>
              </w:rPr>
              <w:t xml:space="preserve">（4分）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9</w:t>
            </w:r>
            <w:r>
              <w:rPr>
                <w:rFonts w:hint="eastAsia" w:ascii="方正仿宋_GBK" w:hAnsi="方正仿宋_GBK" w:eastAsia="方正仿宋_GBK" w:cs="方正仿宋_GBK"/>
                <w:sz w:val="28"/>
                <w:szCs w:val="28"/>
                <w:highlight w:val="none"/>
              </w:rPr>
              <w:t xml:space="preserve">.1评委根据响应文件对“采购需求”中“项目工期”相关要求的响应情况进行评审：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（1）经评委认定，响应文件对“需求确认、设计开发、系统集成、联调测试</w:t>
            </w:r>
            <w:r>
              <w:rPr>
                <w:rFonts w:hint="eastAsia" w:ascii="方正仿宋_GBK" w:hAnsi="方正仿宋_GBK" w:eastAsia="方正仿宋_GBK" w:cs="方正仿宋_GBK"/>
                <w:sz w:val="28"/>
                <w:szCs w:val="28"/>
                <w:highlight w:val="none"/>
                <w:lang w:val="en-US" w:eastAsia="zh-CN"/>
              </w:rPr>
              <w:t xml:space="preserve">及</w:t>
            </w:r>
            <w:r>
              <w:rPr>
                <w:rFonts w:hint="eastAsia" w:ascii="方正仿宋_GBK" w:hAnsi="方正仿宋_GBK" w:eastAsia="方正仿宋_GBK" w:cs="方正仿宋_GBK"/>
                <w:sz w:val="28"/>
                <w:szCs w:val="28"/>
                <w:highlight w:val="none"/>
              </w:rPr>
              <w:t xml:space="preserve">验收工作安排”要求的响应内容全部优于采购文件要求，且满足2026年</w:t>
            </w:r>
            <w:r>
              <w:rPr>
                <w:rFonts w:hint="eastAsia" w:ascii="方正仿宋_GBK" w:hAnsi="方正仿宋_GBK" w:eastAsia="方正仿宋_GBK" w:cs="方正仿宋_GBK"/>
                <w:sz w:val="28"/>
                <w:szCs w:val="28"/>
                <w:highlight w:val="none"/>
                <w:lang w:val="en-US" w:eastAsia="zh-CN"/>
              </w:rPr>
              <w:t xml:space="preserve">12</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0日前完成项目全部建设内容并通过管理处完工验收的要求（前提是响应文件对"项目工期"中除上述几项外其他要求响应内容符合招标文件要求），本项得4分。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（2）响应文件符合项目工期及工期计划全部要求的，本项得2分。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zh-CN"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10</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售后服务方案</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zh-CN" w:eastAsia="zh-CN"/>
              </w:rPr>
            </w:pPr>
            <w:r>
              <w:rPr>
                <w:rFonts w:hint="eastAsia" w:ascii="方正仿宋_GBK" w:hAnsi="方正仿宋_GBK" w:eastAsia="方正仿宋_GBK" w:cs="方正仿宋_GBK"/>
                <w:color w:val="000000"/>
                <w:sz w:val="28"/>
                <w:szCs w:val="28"/>
                <w:highlight w:val="none"/>
                <w:lang w:val="zh-CN"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.1评委根据响应文件对“采购需求”中“质保期及售后服务要求”的响应情况进行评审：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售后服务流程、售后服务内容、服务保障措施、响应时间”要求的响应内容全部优于采购文件要求的（前提是响应文件对"质保期及售后服务要求"中除上述几项外其他要求响应内容符合招标文件要求），本项得</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（2）响应文件符合质保期及售后服务全部要求的，本项得</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5</w:t>
            </w:r>
            <w:r>
              <w:rPr>
                <w:rFonts w:hint="eastAsia" w:ascii="方正仿宋_GBK" w:hAnsi="方正仿宋_GBK" w:eastAsia="方正仿宋_GBK" w:cs="方正仿宋_GBK"/>
                <w:b w:val="0"/>
                <w:bCs w:val="0"/>
                <w:color w:val="000000"/>
                <w:sz w:val="24"/>
                <w:szCs w:val="24"/>
                <w:highlight w:val="none"/>
                <w:lang w:eastAsia="zh-CN"/>
              </w:rPr>
              <w:t xml:space="preserve">分</w:t>
            </w:r>
            <w:r/>
          </w:p>
        </w:tc>
      </w:tr>
      <w:tr>
        <w:trPr>
          <w:jc w:val="center"/>
        </w:trPr>
        <w:tc>
          <w:tcPr>
            <w:tcW w:w="69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sz w:val="24"/>
                <w:szCs w:val="28"/>
                <w:highlight w:val="none"/>
                <w:lang w:val="en-US" w:eastAsia="zh-CN"/>
              </w:rPr>
            </w:pPr>
            <w:r>
              <w:rPr>
                <w:rFonts w:hint="eastAsia" w:ascii="宋体" w:hAnsi="宋体" w:cs="宋体"/>
                <w:sz w:val="24"/>
                <w:szCs w:val="28"/>
                <w:highlight w:val="none"/>
                <w:lang w:val="en-US" w:eastAsia="zh-CN"/>
              </w:rPr>
              <w:t xml:space="preserve">11</w:t>
            </w:r>
            <w:r/>
          </w:p>
        </w:tc>
        <w:tc>
          <w:tcPr>
            <w:tcW w:w="1419" w:type="dxa"/>
            <w:vAlign w:val="center"/>
            <w:textDirection w:val="lrTb"/>
            <w:noWrap w:val="false"/>
          </w:tcPr>
          <w:p>
            <w:pPr>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技术培训方案</w:t>
            </w:r>
            <w:r>
              <w:rPr>
                <w:rFonts w:hint="eastAsia" w:ascii="方正仿宋_GBK" w:hAnsi="方正仿宋_GBK" w:eastAsia="方正仿宋_GBK" w:cs="方正仿宋_GBK"/>
                <w:sz w:val="28"/>
                <w:szCs w:val="28"/>
                <w:highlight w:val="none"/>
              </w:rPr>
              <w:t xml:space="preserve">（4分）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5864" w:type="dxa"/>
            <w:vAlign w:val="center"/>
            <w:textDirection w:val="lrTb"/>
            <w:noWrap w:val="false"/>
          </w:tcPr>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11</w:t>
            </w:r>
            <w:r>
              <w:rPr>
                <w:rFonts w:hint="eastAsia" w:ascii="方正仿宋_GBK" w:hAnsi="方正仿宋_GBK" w:eastAsia="方正仿宋_GBK" w:cs="方正仿宋_GBK"/>
                <w:sz w:val="28"/>
                <w:szCs w:val="28"/>
                <w:highlight w:val="none"/>
              </w:rPr>
              <w:t xml:space="preserve">.1评委根据响应文件对“采购需求”中“培训</w:t>
            </w:r>
            <w:r>
              <w:rPr>
                <w:rFonts w:hint="eastAsia" w:ascii="方正仿宋_GBK" w:hAnsi="方正仿宋_GBK" w:eastAsia="方正仿宋_GBK" w:cs="方正仿宋_GBK"/>
                <w:sz w:val="28"/>
                <w:szCs w:val="28"/>
                <w:highlight w:val="none"/>
                <w:lang w:val="en-US" w:eastAsia="zh-CN"/>
              </w:rPr>
              <w:t xml:space="preserve">要求</w:t>
            </w:r>
            <w:r>
              <w:rPr>
                <w:rFonts w:hint="eastAsia" w:ascii="方正仿宋_GBK" w:hAnsi="方正仿宋_GBK" w:eastAsia="方正仿宋_GBK" w:cs="方正仿宋_GBK"/>
                <w:sz w:val="28"/>
                <w:szCs w:val="28"/>
                <w:highlight w:val="none"/>
              </w:rPr>
              <w:t xml:space="preserve">”相关要求的响应情况进行评审：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（1）经评委认定，响应文件对“培训内容、培训方式、培训安排”要求的响应内容全部优于采购文件要求的（前提是响应文件对"技术培训"中除上述几项外其他要求响应内容符合招标文件要求），本项得4分。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（2）响应文件符合技术培训全部要求的，本项得2分。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（3）响应文件未符合相关要求的，本项得0分。</w:t>
            </w:r>
            <w:r/>
          </w:p>
        </w:tc>
        <w:tc>
          <w:tcPr>
            <w:tcW w:w="840" w:type="dxa"/>
            <w:vAlign w:val="center"/>
            <w:textDirection w:val="lrTb"/>
            <w:noWrap w:val="false"/>
          </w:tcPr>
          <w:p>
            <w:pPr>
              <w:keepLines w:val="0"/>
              <w:keepNext w:val="0"/>
              <w:pageBreakBefore w:val="0"/>
              <w:spacing w:before="120" w:after="120" w:line="400" w:lineRule="exact"/>
              <w:widowControl w:val="off"/>
              <w:rPr>
                <w:rFonts w:hint="eastAsia" w:ascii="方正仿宋_GBK" w:hAnsi="方正仿宋_GBK" w:eastAsia="方正仿宋_GBK" w:cs="方正仿宋_GBK"/>
                <w:b w:val="0"/>
                <w:bCs w:val="0"/>
                <w:sz w:val="24"/>
                <w:szCs w:val="24"/>
                <w:highlight w:val="none"/>
                <w:lang w:eastAsia="zh-CN"/>
              </w:rP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eastAsia="zh-CN"/>
              </w:rPr>
              <w:t xml:space="preserve">分</w:t>
            </w:r>
            <w:r/>
          </w:p>
        </w:tc>
      </w:tr>
    </w:tbl>
    <w:p>
      <w:pPr>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highlight w:val="none"/>
        </w:rPr>
      </w:pPr>
      <w:r>
        <w:rPr>
          <w:rFonts w:hint="eastAsia" w:ascii="方正仿宋_GBK" w:hAnsi="方正仿宋_GBK" w:eastAsia="方正仿宋_GBK" w:cs="方正仿宋_GBK"/>
          <w:b/>
          <w:color w:val="000000"/>
          <w:sz w:val="32"/>
          <w:szCs w:val="32"/>
          <w:highlight w:val="none"/>
        </w:rPr>
        <w:t xml:space="preserve">   </w:t>
      </w:r>
      <w:r>
        <w:rPr>
          <w:rFonts w:hint="eastAsia" w:ascii="方正仿宋_GBK" w:hAnsi="方正仿宋_GBK" w:eastAsia="方正仿宋_GBK" w:cs="方正仿宋_GBK"/>
          <w:b/>
          <w:color w:val="000000"/>
          <w:sz w:val="32"/>
          <w:szCs w:val="32"/>
          <w:highlight w:val="none"/>
          <w:lang w:val="en-US" w:eastAsia="zh-CN"/>
        </w:rPr>
        <w:t xml:space="preserve">        </w:t>
      </w:r>
      <w:r/>
    </w:p>
    <w:p>
      <w:pPr>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pageBreakBefore w:val="0"/>
        <w:spacing w:line="400" w:lineRule="exact"/>
        <w:widowControl w:val="off"/>
        <w:rPr>
          <w:rFonts w:hint="eastAsia" w:ascii="Times New Roman" w:hAnsi="Times New Roman"/>
          <w:szCs w:val="21"/>
          <w:highlight w:val="none"/>
        </w:rPr>
      </w:pPr>
      <w:r>
        <w:rPr>
          <w:rFonts w:hint="eastAsia"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r/>
    </w:p>
    <w:p>
      <w:pPr>
        <w:keepLines w:val="0"/>
        <w:pageBreakBefore w:val="0"/>
        <w:spacing w:line="400" w:lineRule="exact"/>
        <w:widowControl w:val="off"/>
        <w:rPr>
          <w:rFonts w:ascii="Times New Roman" w:hAnsi="Times New Roman"/>
          <w:szCs w:val="21"/>
          <w:highlight w:val="none"/>
        </w:rPr>
      </w:pPr>
      <w:r>
        <w:rPr>
          <w:rFonts w:ascii="Times New Roman" w:hAnsi="Times New Roman"/>
          <w:szCs w:val="21"/>
          <w:highlight w:val="none"/>
        </w:rPr>
      </w:r>
      <w:bookmarkEnd w:id="57"/>
      <w:r/>
      <w:bookmarkEnd w:id="58"/>
      <w:r/>
      <w:bookmarkEnd w:id="61"/>
      <w:r/>
      <w:r/>
    </w:p>
    <w:p>
      <w:pPr>
        <w:pStyle w:val="901"/>
        <w:keepLines/>
        <w:keepNext/>
        <w:pageBreakBefore w:val="0"/>
        <w:spacing w:line="400" w:lineRule="exact"/>
        <w:widowControl w:val="off"/>
        <w:rPr>
          <w:rFonts w:hint="eastAsia" w:ascii="黑体" w:hAnsi="黑体" w:eastAsia="黑体" w:cs="Arial"/>
          <w:b w:val="0"/>
          <w:bCs w:val="0"/>
          <w:sz w:val="28"/>
          <w:szCs w:val="28"/>
          <w:highlight w:val="none"/>
        </w:rPr>
      </w:pPr>
      <w:r/>
      <w:bookmarkStart w:id="69" w:name="_Toc120614282"/>
      <w:r/>
      <w:bookmarkStart w:id="70" w:name="_Toc49090576"/>
      <w:r/>
      <w:bookmarkStart w:id="71" w:name="_Toc26554094"/>
      <w:r>
        <w:rPr>
          <w:rFonts w:hint="eastAsia" w:ascii="黑体" w:hAnsi="黑体" w:eastAsia="黑体" w:cs="Arial"/>
          <w:b w:val="0"/>
          <w:bCs w:val="0"/>
          <w:sz w:val="28"/>
          <w:szCs w:val="28"/>
          <w:highlight w:val="none"/>
        </w:rPr>
        <w:br w:type="page" w:clear="all"/>
      </w:r>
      <w:r>
        <w:rPr>
          <w:rFonts w:hint="eastAsia" w:ascii="黑体" w:hAnsi="黑体" w:eastAsia="黑体" w:cs="Arial"/>
          <w:b w:val="0"/>
          <w:bCs w:val="0"/>
          <w:sz w:val="28"/>
          <w:szCs w:val="28"/>
          <w:highlight w:val="none"/>
        </w:rPr>
        <w:t xml:space="preserve">第六章  响应文件格式 </w:t>
      </w:r>
      <w:r/>
    </w:p>
    <w:p>
      <w:pPr>
        <w:jc w:val="center"/>
        <w:rPr>
          <w:rFonts w:hint="eastAsia" w:ascii="宋体" w:hAnsi="宋体"/>
          <w:b/>
          <w:sz w:val="72"/>
          <w:szCs w:val="21"/>
          <w:highlight w:val="none"/>
        </w:rPr>
      </w:pPr>
      <w:r/>
      <w:bookmarkStart w:id="72" w:name="_Hlt26955039"/>
      <w:r/>
      <w:bookmarkEnd w:id="72"/>
      <w:r/>
      <w:bookmarkStart w:id="73" w:name="_Hlt26671244"/>
      <w:r/>
      <w:bookmarkEnd w:id="73"/>
      <w:r/>
      <w:r/>
    </w:p>
    <w:p>
      <w:pPr>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highlight w:val="none"/>
        </w:rPr>
      </w:pPr>
      <w:r>
        <w:rPr>
          <w:rFonts w:hint="eastAsia" w:ascii="方正小标宋_GBK" w:hAnsi="方正小标宋_GBK" w:eastAsia="方正小标宋_GBK" w:cs="方正小标宋_GBK"/>
          <w:b w:val="0"/>
          <w:bCs/>
          <w:color w:val="000000"/>
          <w:sz w:val="32"/>
          <w:szCs w:val="32"/>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供应商名称 ：</w:t>
      </w:r>
      <w:r>
        <w:rPr>
          <w:rFonts w:hint="eastAsia" w:ascii="方正黑体_GBK" w:hAnsi="方正黑体_GBK" w:eastAsia="方正黑体_GBK" w:cs="方正黑体_GBK"/>
          <w:b w:val="0"/>
          <w:bCs/>
          <w:sz w:val="28"/>
          <w:szCs w:val="28"/>
          <w:highlight w:val="none"/>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br w:type="page" w:clear="all"/>
      </w:r>
      <w:r>
        <w:rPr>
          <w:rFonts w:hint="eastAsia" w:ascii="方正黑体_GBK" w:hAnsi="方正黑体_GBK" w:eastAsia="方正黑体_GBK" w:cs="方正黑体_GBK"/>
          <w:b w:val="0"/>
          <w:bCs w:val="0"/>
          <w:sz w:val="28"/>
          <w:szCs w:val="28"/>
          <w:highlight w:val="none"/>
        </w:rPr>
        <w:t xml:space="preserve">响应文件的组成</w:t>
      </w:r>
      <w:r/>
    </w:p>
    <w:p>
      <w:pPr>
        <w:jc w:val="center"/>
        <w:keepLines w:val="0"/>
        <w:keepNext w:val="0"/>
        <w:pageBreakBefore w:val="0"/>
        <w:spacing w:line="400" w:lineRule="exact"/>
        <w:widowControl w:val="off"/>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1.分项报价表（格式见附件1）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2.技术要求响应及偏离表（格式见附件2）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3.商务要求响应及偏离表（格式见附件3）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Times New Roman" w:hAnsi="Times New Roman" w:eastAsia="方正仿宋_GBK" w:cs="Times New Roman"/>
          <w:sz w:val="28"/>
          <w:szCs w:val="28"/>
          <w:highlight w:val="none"/>
          <w:lang w:eastAsia="zh-CN"/>
        </w:rPr>
        <w:t xml:space="preserve">XXXX</w:t>
      </w:r>
      <w:r>
        <w:rPr>
          <w:rFonts w:hint="eastAsia" w:ascii="方正仿宋_GBK" w:hAnsi="方正仿宋_GBK" w:eastAsia="方正仿宋_GBK" w:cs="方正仿宋_GBK"/>
          <w:sz w:val="28"/>
          <w:szCs w:val="28"/>
          <w:highlight w:val="none"/>
        </w:rPr>
        <w:t xml:space="preserve">（格式见附件</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2.上一年度的财务状况报告（供应商成立不满一年无需提供）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6.特定资格要求的证明文件（如果本项目对供应商做出特定资格要求的，必须提供）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sz w:val="28"/>
          <w:szCs w:val="28"/>
          <w:highlight w:val="none"/>
          <w:lang w:eastAsia="zh-CN"/>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9.响应函（格式见附件7）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条、8、9条供应商必须在响应文件中提供相关材料，否则作无效响应处理。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供应商必须对磋商文件（含技术要求和商务要求）中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color w:val="000000"/>
          <w:sz w:val="28"/>
          <w:szCs w:val="28"/>
          <w:highlight w:val="none"/>
        </w:rPr>
        <w:t xml:space="preserve">的实质性要求逐条做出响应，并按照磋商文件要求提供证明材料，否则做无效响应处理。（格式见附件11）</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1.中小微企业声明函（格式见附件8）</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2.残疾人福利性单位声明函（格式见附件9）</w:t>
      </w:r>
      <w:r/>
    </w:p>
    <w:p>
      <w:pPr>
        <w:ind w:firstLine="560"/>
        <w:keepLines w:val="0"/>
        <w:keepNext w:val="0"/>
        <w:pageBreakBefore w:val="0"/>
        <w:spacing w:line="46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12）</w:t>
      </w:r>
      <w:r/>
    </w:p>
    <w:p>
      <w:pPr>
        <w:pStyle w:val="729"/>
        <w:ind w:left="0" w:firstLine="562"/>
        <w:spacing w:line="460" w:lineRule="exact"/>
        <w:rPr>
          <w:rFonts w:hint="eastAsia" w:eastAsia="方正仿宋_GBK"/>
          <w:b/>
          <w:bCs/>
          <w:highlight w:val="none"/>
          <w:lang w:val="en-US" w:eastAsia="zh-CN"/>
        </w:rPr>
      </w:pPr>
      <w:r>
        <w:rPr>
          <w:rFonts w:hint="eastAsia" w:ascii="方正仿宋_GBK" w:hAnsi="方正仿宋_GBK" w:eastAsia="方正仿宋_GBK" w:cs="方正仿宋_GBK"/>
          <w:b/>
          <w:bCs/>
          <w:color w:val="000000"/>
          <w:sz w:val="28"/>
          <w:szCs w:val="28"/>
          <w:highlight w:val="none"/>
          <w:lang w:val="en-US" w:eastAsia="zh-CN"/>
        </w:rPr>
        <w:t xml:space="preserve">4.</w:t>
      </w:r>
      <w:r>
        <w:rPr>
          <w:rFonts w:ascii="方正仿宋_GBK" w:hAnsi="方正仿宋_GBK" w:eastAsia="方正仿宋_GBK" w:cs="方正仿宋_GBK"/>
          <w:b/>
          <w:bCs/>
          <w:color w:val="000000"/>
          <w:sz w:val="32"/>
          <w:szCs w:val="32"/>
          <w:highlight w:val="none"/>
        </w:rPr>
        <w:t xml:space="preserve">提供服务的人员均为</w:t>
      </w:r>
      <w:r>
        <w:rPr>
          <w:rFonts w:ascii="方正仿宋_GBK" w:hAnsi="方正仿宋_GBK" w:eastAsia="方正仿宋_GBK" w:cs="方正仿宋_GBK"/>
          <w:b/>
          <w:bCs/>
          <w:color w:val="333333"/>
          <w:sz w:val="32"/>
          <w:szCs w:val="32"/>
          <w:highlight w:val="none"/>
        </w:rPr>
        <w:t xml:space="preserve">订立劳动合同的从业人员的</w:t>
      </w:r>
      <w:r>
        <w:rPr>
          <w:rFonts w:ascii="方正仿宋_GBK" w:hAnsi="方正仿宋_GBK" w:eastAsia="方正仿宋_GBK" w:cs="方正仿宋_GBK"/>
          <w:b/>
          <w:bCs/>
          <w:color w:val="000000"/>
          <w:sz w:val="32"/>
          <w:szCs w:val="32"/>
          <w:highlight w:val="none"/>
        </w:rPr>
        <w:t xml:space="preserve">书面声明</w:t>
      </w:r>
      <w:r>
        <w:rPr>
          <w:rFonts w:hint="eastAsia" w:ascii="方正仿宋_GBK" w:hAnsi="方正仿宋_GBK" w:eastAsia="方正仿宋_GBK" w:cs="方正仿宋_GBK"/>
          <w:b/>
          <w:bCs/>
          <w:color w:val="000000"/>
          <w:sz w:val="32"/>
          <w:szCs w:val="32"/>
          <w:highlight w:val="none"/>
          <w:lang w:eastAsia="zh-CN"/>
        </w:rPr>
        <w:t xml:space="preserve">（</w:t>
      </w:r>
      <w:r>
        <w:rPr>
          <w:rFonts w:hint="eastAsia" w:ascii="方正仿宋_GBK" w:hAnsi="方正仿宋_GBK" w:eastAsia="方正仿宋_GBK" w:cs="方正仿宋_GBK"/>
          <w:b/>
          <w:bCs/>
          <w:color w:val="000000"/>
          <w:sz w:val="32"/>
          <w:szCs w:val="32"/>
          <w:highlight w:val="none"/>
          <w:lang w:val="en-US" w:eastAsia="zh-CN"/>
        </w:rPr>
        <w:t xml:space="preserve">格式见附件13</w:t>
      </w:r>
      <w:r>
        <w:rPr>
          <w:rFonts w:hint="eastAsia" w:ascii="方正仿宋_GBK" w:hAnsi="方正仿宋_GBK" w:eastAsia="方正仿宋_GBK" w:cs="方正仿宋_GBK"/>
          <w:b/>
          <w:bCs/>
          <w:color w:val="000000"/>
          <w:sz w:val="32"/>
          <w:szCs w:val="32"/>
          <w:highlight w:val="none"/>
          <w:lang w:eastAsia="zh-CN"/>
        </w:rPr>
        <w:t xml:space="preserve">）</w:t>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ascii="宋体" w:hAnsi="宋体"/>
          <w:b/>
          <w:sz w:val="24"/>
          <w:szCs w:val="21"/>
          <w:highlight w:val="none"/>
        </w:rPr>
      </w:pPr>
      <w:r>
        <w:rPr>
          <w:rFonts w:ascii="宋体" w:hAnsi="宋体"/>
          <w:b/>
          <w:sz w:val="24"/>
          <w:szCs w:val="21"/>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 分项报价表</w:t>
      </w:r>
      <w:r>
        <w:rPr>
          <w:rFonts w:hint="eastAsia" w:ascii="方正黑体_GBK" w:hAnsi="方正黑体_GBK" w:eastAsia="方正黑体_GBK" w:cs="方正黑体_GBK"/>
          <w:b w:val="0"/>
          <w:bCs/>
          <w:sz w:val="28"/>
          <w:szCs w:val="28"/>
          <w:highlight w:val="none"/>
          <w:lang w:eastAsia="zh-CN"/>
        </w:rPr>
        <w:t xml:space="preserve">（服务类项目）</w:t>
      </w:r>
      <w:r>
        <w:rPr>
          <w:rFonts w:hint="eastAsia" w:ascii="方正黑体_GBK" w:hAnsi="方正黑体_GBK" w:eastAsia="方正黑体_GBK" w:cs="方正黑体_GBK"/>
          <w:b w:val="0"/>
          <w:bCs/>
          <w:sz w:val="28"/>
          <w:szCs w:val="28"/>
          <w:highlight w:val="none"/>
        </w:rPr>
        <w:t xml:space="preserve">（采购包号：</w:t>
      </w:r>
      <w:r>
        <w:rPr>
          <w:rFonts w:hint="eastAsia" w:ascii="Times New Roman" w:hAnsi="Times New Roman" w:eastAsia="方正仿宋_GBK" w:cs="Times New Roman"/>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9453"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891"/>
        <w:gridCol w:w="1149"/>
        <w:gridCol w:w="841"/>
        <w:gridCol w:w="1228"/>
        <w:gridCol w:w="927"/>
        <w:gridCol w:w="736"/>
        <w:gridCol w:w="79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84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84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服务期</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4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4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3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453"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p>
        </w:tc>
      </w:tr>
      <w:tr>
        <w:trPr>
          <w:cantSplit/>
          <w:trHeight w:val="767"/>
        </w:trPr>
        <w:tc>
          <w:tcPr>
            <w:gridSpan w:val="10"/>
            <w:tcW w:w="9453" w:type="dxa"/>
            <w:vAlign w:val="top"/>
            <w:textDirection w:val="lrTb"/>
            <w:noWrap w:val="false"/>
          </w:tcPr>
          <w:p>
            <w:pPr>
              <w:pStyle w:val="96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560"/>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宋体" w:hAnsi="宋体"/>
          <w:sz w:val="28"/>
          <w:szCs w:val="28"/>
          <w:highlight w:val="non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highlight w:val="none"/>
          <w:lang w:eastAsia="zh-CN"/>
        </w:rPr>
        <w:t xml:space="preserve">“磋商总报价”数额为各“分项总价”之和。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2.项目经办人可以根据项目实际需要对表格结构进行调整。</w:t>
      </w:r>
      <w:r/>
    </w:p>
    <w:p>
      <w:pPr>
        <w:ind w:firstLine="560"/>
        <w:keepLines w:val="0"/>
        <w:keepNext w:val="0"/>
        <w:pageBreakBefore w:val="0"/>
        <w:spacing w:line="400" w:lineRule="exact"/>
        <w:widowControl w:val="off"/>
        <w:rPr>
          <w:rFonts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jc w:val="both"/>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2</w:t>
      </w:r>
      <w:r>
        <w:rPr>
          <w:rFonts w:hint="eastAsia" w:ascii="方正黑体_GBK" w:hAnsi="方正黑体_GBK" w:eastAsia="方正黑体_GBK" w:cs="方正黑体_GBK"/>
          <w:b w:val="0"/>
          <w:bCs/>
          <w:sz w:val="28"/>
          <w:szCs w:val="28"/>
          <w:highlight w:val="none"/>
        </w:rPr>
        <w:t xml:space="preserve"> 技术要求响应及偏离表（采购包号：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3</w:t>
      </w:r>
      <w:r>
        <w:rPr>
          <w:rFonts w:hint="eastAsia" w:ascii="方正黑体_GBK" w:hAnsi="方正黑体_GBK" w:eastAsia="方正黑体_GBK" w:cs="方正黑体_GBK"/>
          <w:b w:val="0"/>
          <w:bCs/>
          <w:sz w:val="28"/>
          <w:szCs w:val="28"/>
          <w:highlight w:val="none"/>
        </w:rPr>
        <w:t xml:space="preserve"> 商务要求响应及偏离表（采购包号：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firstLine="482"/>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供应商</w:t>
      </w:r>
      <w:r>
        <w:rPr>
          <w:rFonts w:hint="eastAsia" w:ascii="方正仿宋_GBK" w:hAnsi="方正仿宋_GBK" w:eastAsia="方正仿宋_GBK" w:cs="方正仿宋_GBK"/>
          <w:color w:val="000000"/>
          <w:sz w:val="28"/>
          <w:szCs w:val="28"/>
          <w:highlight w:val="none"/>
        </w:rPr>
        <w:t xml:space="preserve">需对</w:t>
      </w:r>
      <w:r>
        <w:rPr>
          <w:rFonts w:hint="eastAsia" w:ascii="方正仿宋_GBK" w:hAnsi="方正仿宋_GBK" w:eastAsia="方正仿宋_GBK" w:cs="方正仿宋_GBK"/>
          <w:color w:val="000000"/>
          <w:sz w:val="28"/>
          <w:szCs w:val="28"/>
          <w:highlight w:val="none"/>
          <w:lang w:eastAsia="zh-CN"/>
        </w:rPr>
        <w:t xml:space="preserve">磋商</w:t>
      </w:r>
      <w:r>
        <w:rPr>
          <w:rFonts w:hint="eastAsia" w:ascii="方正仿宋_GBK" w:hAnsi="方正仿宋_GBK" w:eastAsia="方正仿宋_GBK" w:cs="方正仿宋_GBK"/>
          <w:color w:val="000000"/>
          <w:sz w:val="28"/>
          <w:szCs w:val="28"/>
          <w:highlight w:val="none"/>
        </w:rPr>
        <w:t xml:space="preserve">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文件要求提供证明材料，</w:t>
      </w:r>
      <w:r>
        <w:rPr>
          <w:rFonts w:hint="eastAsia" w:ascii="方正仿宋_GBK" w:hAnsi="方正仿宋_GBK" w:eastAsia="方正仿宋_GBK" w:cs="方正仿宋_GBK"/>
          <w:sz w:val="28"/>
          <w:szCs w:val="28"/>
          <w:highlight w:val="none"/>
          <w:lang w:eastAsia="zh-CN"/>
        </w:rPr>
        <w:t xml:space="preserve">供应商</w:t>
      </w:r>
      <w:r>
        <w:rPr>
          <w:rFonts w:hint="eastAsia" w:ascii="方正仿宋_GBK" w:hAnsi="方正仿宋_GBK" w:eastAsia="方正仿宋_GBK" w:cs="方正仿宋_GBK"/>
          <w:sz w:val="28"/>
          <w:szCs w:val="28"/>
          <w:highlight w:val="none"/>
        </w:rPr>
        <w:t xml:space="preserve">需将证明材料列于该表之下。</w:t>
      </w:r>
      <w:r/>
    </w:p>
    <w:p>
      <w:pPr>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left="480"/>
        <w:keepLines w:val="0"/>
        <w:keepNext w:val="0"/>
        <w:pageBreakBefore w:val="0"/>
        <w:spacing w:line="40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4</w:t>
      </w:r>
      <w:r>
        <w:rPr>
          <w:rFonts w:hint="eastAsia" w:ascii="方正黑体_GBK" w:hAnsi="方正黑体_GBK" w:eastAsia="方正黑体_GBK" w:cs="方正黑体_GBK"/>
          <w:b w:val="0"/>
          <w:bCs/>
          <w:sz w:val="28"/>
          <w:szCs w:val="28"/>
          <w:highlight w:val="none"/>
        </w:rPr>
        <w:t xml:space="preserve">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keepLines w:val="0"/>
        <w:keepNext w:val="0"/>
        <w:pageBreakBefore w:val="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5</w:t>
      </w:r>
      <w:r>
        <w:rPr>
          <w:rFonts w:hint="eastAsia" w:ascii="方正黑体_GBK" w:hAnsi="方正黑体_GBK" w:eastAsia="方正黑体_GBK" w:cs="方正黑体_GBK"/>
          <w:b w:val="0"/>
          <w:bCs/>
          <w:sz w:val="28"/>
          <w:szCs w:val="28"/>
          <w:highlight w:val="none"/>
        </w:rPr>
        <w:t xml:space="preserve">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keepLines w:val="0"/>
        <w:keepNext w:val="0"/>
        <w:pageBreakBefore w:val="0"/>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bookmarkEnd w:id="69"/>
      <w:r/>
      <w:bookmarkEnd w:id="70"/>
      <w:r/>
      <w:bookmarkEnd w:id="71"/>
      <w:r/>
      <w:r/>
    </w:p>
    <w:p>
      <w:pPr>
        <w:keepLines w:val="0"/>
        <w:keepNext w:val="0"/>
        <w:pageBreakBefore w:val="0"/>
        <w:spacing w:line="400" w:lineRule="exact"/>
        <w:rPr>
          <w:rFonts w:hint="eastAsia" w:ascii="宋体" w:hAnsi="宋体"/>
          <w:b/>
          <w:color w:val="000000"/>
          <w:sz w:val="28"/>
          <w:szCs w:val="28"/>
          <w:highlight w:val="none"/>
        </w:rPr>
      </w:pPr>
      <w:r/>
      <w:bookmarkStart w:id="74" w:name="_Toc120614284"/>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keepLines w:val="0"/>
        <w:keepNext w:val="0"/>
        <w:pageBreakBefore w:val="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w:t>
      </w:r>
      <w:r>
        <w:rPr>
          <w:rFonts w:hint="eastAsia" w:ascii="方正黑体_GBK" w:hAnsi="方正黑体_GBK" w:eastAsia="方正黑体_GBK" w:cs="方正黑体_GBK"/>
          <w:b w:val="0"/>
          <w:bCs/>
          <w:sz w:val="28"/>
          <w:szCs w:val="28"/>
          <w:highlight w:val="none"/>
          <w:lang w:val="en-US" w:eastAsia="zh-CN"/>
        </w:rPr>
        <w:t xml:space="preserve">6</w:t>
      </w:r>
      <w:r>
        <w:rPr>
          <w:rFonts w:hint="eastAsia" w:ascii="方正黑体_GBK" w:hAnsi="方正黑体_GBK" w:eastAsia="方正黑体_GBK" w:cs="方正黑体_GBK"/>
          <w:b w:val="0"/>
          <w:bCs/>
          <w:sz w:val="28"/>
          <w:szCs w:val="28"/>
          <w:highlight w:val="none"/>
        </w:rPr>
        <w:t xml:space="preserve">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SCZX-C20XX-XXXX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期：</w:t>
      </w:r>
      <w:bookmarkStart w:id="75" w:name="_格式3__银行出具的资信证明"/>
      <w:r/>
      <w:bookmarkEnd w:id="75"/>
      <w:r/>
      <w:bookmarkStart w:id="76" w:name="_Hlt26955070"/>
      <w:r/>
      <w:bookmarkEnd w:id="76"/>
      <w:r/>
      <w:bookmarkStart w:id="77" w:name="_Hlt26671380"/>
      <w:r/>
      <w:bookmarkEnd w:id="77"/>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none"/>
        </w:rPr>
        <w:t xml:space="preserve">  </w:t>
      </w:r>
      <w:r/>
    </w:p>
    <w:p>
      <w:pPr>
        <w:ind w:firstLine="420"/>
        <w:keepLines w:val="0"/>
        <w:keepNext w:val="0"/>
        <w:pageBreakBefore w:val="0"/>
        <w:spacing w:line="400" w:lineRule="exact"/>
        <w:rPr>
          <w:rFonts w:ascii="Times New Roman" w:hAnsi="Times New Roman"/>
          <w:color w:val="000000"/>
          <w:sz w:val="28"/>
          <w:szCs w:val="28"/>
          <w:highlight w:val="none"/>
        </w:rPr>
      </w:pPr>
      <w:r>
        <w:rPr>
          <w:rFonts w:ascii="Times New Roman" w:hAnsi="Times New Roman"/>
          <w:color w:val="000000"/>
          <w:sz w:val="28"/>
          <w:szCs w:val="28"/>
          <w:highlight w:val="none"/>
        </w:rPr>
      </w:r>
      <w:r/>
    </w:p>
    <w:p>
      <w:pPr>
        <w:ind w:firstLine="560"/>
        <w:keepLines w:val="0"/>
        <w:keepNext w:val="0"/>
        <w:pageBreakBefore w:val="0"/>
        <w:spacing w:line="400" w:lineRule="exact"/>
        <w:tabs>
          <w:tab w:val="left" w:pos="360" w:leader="none"/>
        </w:tabs>
        <w:rPr>
          <w:rFonts w:ascii="Times New Roman" w:hAnsi="Times New Roman"/>
          <w:sz w:val="28"/>
          <w:szCs w:val="28"/>
          <w:highlight w:val="none"/>
          <w:u w:val="single"/>
        </w:rPr>
      </w:pPr>
      <w:r>
        <w:rPr>
          <w:rFonts w:ascii="Times New Roman" w:hAnsi="Times New Roman"/>
          <w:sz w:val="28"/>
          <w:szCs w:val="28"/>
          <w:highlight w:val="none"/>
          <w:u w:val="singl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560"/>
        <w:keepLines w:val="0"/>
        <w:keepNext w:val="0"/>
        <w:pageBreakBefore w:val="0"/>
        <w:spacing w:line="400" w:lineRule="exact"/>
        <w:tabs>
          <w:tab w:val="left" w:pos="360" w:leader="none"/>
        </w:tabs>
        <w:rPr>
          <w:rFonts w:hint="eastAsia" w:ascii="Times New Roman" w:hAnsi="Times New Roman"/>
          <w:sz w:val="28"/>
          <w:szCs w:val="28"/>
          <w:highlight w:val="none"/>
        </w:rPr>
      </w:pPr>
      <w:r>
        <w:rPr>
          <w:rFonts w:hint="eastAsia" w:ascii="Times New Roman" w:hAnsi="Times New Roman"/>
          <w:sz w:val="28"/>
          <w:szCs w:val="28"/>
          <w:highlight w:val="none"/>
        </w:rPr>
      </w:r>
      <w:r/>
    </w:p>
    <w:p>
      <w:pPr>
        <w:ind w:firstLine="420"/>
        <w:keepLines w:val="0"/>
        <w:keepNext w:val="0"/>
        <w:pageBreakBefore w:val="0"/>
        <w:spacing w:line="400" w:lineRule="exact"/>
        <w:rPr>
          <w:rFonts w:hint="eastAsia" w:ascii="Times New Roman" w:hAnsi="Times New Roman"/>
          <w:i/>
          <w:sz w:val="28"/>
          <w:szCs w:val="28"/>
          <w:highlight w:val="none"/>
          <w:u w:val="single"/>
        </w:rPr>
      </w:pPr>
      <w:r>
        <w:rPr>
          <w:rFonts w:hint="eastAsia" w:ascii="Times New Roman" w:hAnsi="Times New Roman"/>
          <w:i/>
          <w:sz w:val="28"/>
          <w:szCs w:val="28"/>
          <w:highlight w:val="none"/>
          <w:u w:val="singl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keepLines w:val="0"/>
        <w:keepNext w:val="0"/>
        <w:pageBreakBefore w:val="0"/>
        <w:spacing w:line="400" w:lineRule="exact"/>
        <w:rPr>
          <w:rFonts w:hint="eastAsia" w:ascii="Times New Roman" w:hAnsi="Times New Roman"/>
          <w:sz w:val="28"/>
          <w:szCs w:val="28"/>
          <w:highlight w:val="none"/>
        </w:rPr>
      </w:pPr>
      <w:r>
        <w:rPr>
          <w:rFonts w:hint="eastAsia" w:ascii="Times New Roman" w:hAnsi="Times New Roman"/>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附件7   磋商响应函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根据贵方采购编号</w:t>
      </w:r>
      <w:r>
        <w:rPr>
          <w:rFonts w:hint="eastAsia" w:ascii="方正仿宋_GBK" w:hAnsi="方正仿宋_GBK" w:eastAsia="方正仿宋_GBK" w:cs="方正仿宋_GBK"/>
          <w:sz w:val="28"/>
          <w:szCs w:val="28"/>
          <w:highlight w:val="none"/>
          <w:lang w:eastAsia="zh-CN"/>
        </w:rPr>
        <w:t xml:space="preserve">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文件，正式授权下述签字人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（供应商的名称），全权处理本次项目</w:t>
      </w:r>
      <w:r>
        <w:rPr>
          <w:rFonts w:hint="eastAsia" w:ascii="方正仿宋_GBK" w:hAnsi="方正仿宋_GBK" w:eastAsia="方正仿宋_GBK" w:cs="方正仿宋_GBK"/>
          <w:sz w:val="28"/>
          <w:szCs w:val="28"/>
          <w:highlight w:val="none"/>
          <w:lang w:eastAsia="zh-CN"/>
        </w:rPr>
        <w:t xml:space="preserve">磋商</w:t>
      </w:r>
      <w:r>
        <w:rPr>
          <w:rFonts w:hint="eastAsia" w:ascii="方正仿宋_GBK" w:hAnsi="方正仿宋_GBK" w:eastAsia="方正仿宋_GBK" w:cs="方正仿宋_GBK"/>
          <w:sz w:val="28"/>
          <w:szCs w:val="28"/>
          <w:highlight w:val="none"/>
        </w:rPr>
        <w:t xml:space="preserve">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1.按磋商文件规定的各项要求，向买方提供所需货物、服务（包含与货物相关的服务及与服务相关的货物）。</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2.我们完全理解贵方不一定将合同授予最低报价的供应商。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3.我们已详细审核全部磋商文件及其有效补充文件。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4.我们同意从规定的开标日期起遵循本响应文件，并在规定的磋商有效期期满之前均具有约束力。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5.同意向贵方提供贵方可能另外要求的与磋商有关的任何证据或资料，并保证我方已提供和将要提供的文件是真实的、准确的。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6.一旦我方成交,我方将根据磋商文件的规定，严格履行合同的责任和义务,并保证在磋商文件规定的时间完成项目，交付买方验收、使用。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7.我方与本磋商有关的正式通讯地址为：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p>
    <w:p>
      <w:pPr>
        <w:ind w:left="420" w:firstLine="560"/>
        <w:jc w:val="left"/>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firstLine="584"/>
        <w:keepLines w:val="0"/>
        <w:keepNext w:val="0"/>
        <w:pageBreakBefore w:val="0"/>
        <w:spacing w:line="400"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p>
    <w:p>
      <w:pPr>
        <w:jc w:val="right"/>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keepLines w:val="0"/>
        <w:keepNext w:val="0"/>
        <w:pageBreakBefore w:val="0"/>
        <w:spacing w:line="400" w:lineRule="exact"/>
        <w:rPr>
          <w:rFonts w:hint="eastAsia" w:ascii="黑体" w:hAnsi="黑体" w:eastAsia="黑体"/>
          <w:b/>
          <w:color w:val="ff0000"/>
          <w:sz w:val="28"/>
          <w:szCs w:val="28"/>
          <w:highlight w:val="none"/>
        </w:rPr>
      </w:pPr>
      <w:r>
        <w:rPr>
          <w:rFonts w:hint="eastAsia" w:ascii="黑体" w:hAnsi="黑体" w:eastAsia="黑体"/>
          <w:b/>
          <w:color w:val="ff0000"/>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t xml:space="preserve"> </w:t>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附件8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w:t>
      </w:r>
      <w:r>
        <w:rPr>
          <w:rFonts w:hint="eastAsia" w:ascii="方正仿宋_GBK" w:hAnsi="方正仿宋_GBK" w:eastAsia="方正仿宋_GBK" w:cs="方正仿宋_GBK"/>
          <w:sz w:val="28"/>
          <w:szCs w:val="28"/>
          <w:highlight w:val="none"/>
          <w:lang w:eastAsia="zh-CN"/>
        </w:rPr>
        <w:t xml:space="preserve">于</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（供应商填写磋商文件中明确的所属行业）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方正仿宋_GBK" w:hAnsi="方正仿宋_GBK" w:eastAsia="方正仿宋_GBK" w:cs="方正仿宋_GBK"/>
          <w:sz w:val="28"/>
          <w:szCs w:val="28"/>
          <w:highlight w:val="none"/>
          <w:u w:val="singl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p>
    <w:p>
      <w:pPr>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期：____年____月____日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专门面向中小微型企业采购的项目，供应商如不提供此声明函，则不能通过资格审查；非专门面向中小微型企业采购的项目，供应商如不提供此声明函，价格将不做相应扣除。</w:t>
      </w:r>
      <w:r/>
    </w:p>
    <w:p>
      <w:pPr>
        <w:numPr>
          <w:ilvl w:val="0"/>
          <w:numId w:val="0"/>
        </w:numPr>
        <w:ind w:firstLine="560"/>
        <w:keepLines w:val="0"/>
        <w:keepNext w:val="0"/>
        <w:pageBreakBefore w:val="0"/>
        <w:spacing w:line="400" w:lineRule="exact"/>
        <w:widowControl w:val="off"/>
        <w:rPr>
          <w:rFonts w:hint="eastAsia" w:ascii="宋体" w:hAnsi="宋体"/>
          <w:color w:val="00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附件9 残疾人福利性单位声明函（服务类项目）（采购包号：</w:t>
      </w:r>
      <w:r>
        <w:rPr>
          <w:rFonts w:ascii="Times New Roman" w:hAnsi="Times New Roman" w:eastAsia="方正黑体_GBK" w:cs="Times New Roman"/>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单位的采购文件编号为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SCZX-C20XX-XXXX</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黑体_GBK" w:cs="Times New Roman"/>
          <w:b w:val="0"/>
          <w:bCs/>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     </w:t>
      </w:r>
      <w:r/>
    </w:p>
    <w:p>
      <w:pPr>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          供应商全称（加盖CA电子公章）：</w:t>
      </w:r>
      <w:r>
        <w:rPr>
          <w:rFonts w:hint="eastAsia" w:ascii="方正仿宋_GBK" w:hAnsi="方正仿宋_GBK" w:eastAsia="方正仿宋_GBK" w:cs="方正仿宋_GBK"/>
          <w:sz w:val="28"/>
          <w:szCs w:val="28"/>
          <w:highlight w:val="none"/>
          <w:lang w:val="en-US" w:eastAsia="zh-CN"/>
        </w:rPr>
        <w:t xml:space="preserve">  </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期：____年____月____日</w:t>
      </w:r>
      <w:r/>
    </w:p>
    <w:p>
      <w:pPr>
        <w:ind w:right="1559" w:firstLine="560"/>
        <w:jc w:val="center"/>
        <w:keepLines w:val="0"/>
        <w:keepNext w:val="0"/>
        <w:pageBreakBefore w:val="0"/>
        <w:spacing w:line="400" w:lineRule="exact"/>
        <w:tabs>
          <w:tab w:val="left" w:pos="4860" w:leader="none"/>
        </w:tabs>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附件10 联合体协议（参考格式）（采购包号：</w:t>
      </w:r>
      <w:r>
        <w:rPr>
          <w:rFonts w:hint="eastAsia" w:ascii="Times New Roman" w:hAnsi="Times New Roman" w:eastAsia="方正黑体_GBK" w:cs="Times New Roman"/>
          <w:b w:val="0"/>
          <w:bCs/>
          <w:sz w:val="28"/>
          <w:szCs w:val="28"/>
          <w:highlight w:val="none"/>
          <w:u w:val="none"/>
          <w:lang w:val="en-US"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sz w:val="28"/>
          <w:szCs w:val="28"/>
          <w:highlight w:val="none"/>
        </w:rPr>
        <w:t xml:space="preserve">JSZC-320000-</w:t>
      </w:r>
      <w:r>
        <w:rPr>
          <w:rFonts w:ascii="Times New Roman" w:hAnsi="Times New Roman" w:eastAsia="方正仿宋_GBK" w:cs="Times New Roman"/>
          <w:sz w:val="28"/>
          <w:szCs w:val="28"/>
          <w:highlight w:val="none"/>
          <w:u w:val="none"/>
          <w:lang w:val="en-US" w:eastAsia="zh-CN"/>
        </w:rPr>
        <w:t xml:space="preserve">SCZX-C20XX-XXXX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仿宋_GBK" w:cs="Times New Roman"/>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方正仿宋_GBK" w:hAnsi="方正仿宋_GBK" w:eastAsia="方正仿宋_GBK" w:cs="方正仿宋_GBK"/>
          <w:sz w:val="28"/>
          <w:szCs w:val="28"/>
          <w:highlight w:val="none"/>
          <w:u w:val="single"/>
        </w:rPr>
        <w:t xml:space="preserve">（供应商</w:t>
      </w:r>
      <w:r>
        <w:rPr>
          <w:rFonts w:hint="eastAsia" w:ascii="Times New Roman" w:hAnsi="Times New Roman" w:eastAsia="方正仿宋_GBK" w:cs="Times New Roman"/>
          <w:sz w:val="28"/>
          <w:szCs w:val="28"/>
          <w:highlight w:val="none"/>
          <w:u w:val="single"/>
          <w:lang w:eastAsia="zh-CN"/>
        </w:rPr>
        <w:t xml:space="preserve">X</w:t>
      </w:r>
      <w:r>
        <w:rPr>
          <w:rFonts w:hint="eastAsia" w:ascii="Times New Roman" w:hAnsi="Times New Roman" w:eastAsia="方正仿宋_GBK" w:cs="Times New Roman"/>
          <w:sz w:val="28"/>
          <w:szCs w:val="28"/>
          <w:highlight w:val="none"/>
          <w:u w:val="single"/>
          <w:lang w:val="en-US" w:eastAsia="zh-CN"/>
        </w:rPr>
        <w:t xml:space="preserve">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备注：本磋商文件中要求加盖CA电子公章的地方，仅需加盖牵头单位的CA电子公章。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期：____年____月____日</w:t>
      </w:r>
      <w:r/>
    </w:p>
    <w:p>
      <w:pPr>
        <w:ind w:firstLine="645"/>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附件11实质性要求响应及偏离表（采购包号：</w:t>
      </w:r>
      <w:r>
        <w:rPr>
          <w:rFonts w:hint="eastAsia" w:ascii="Times New Roman" w:hAnsi="Times New Roman" w:eastAsia="方正仿宋_GBK" w:cs="Times New Roman"/>
          <w:sz w:val="28"/>
          <w:szCs w:val="28"/>
          <w:highlight w:val="none"/>
          <w:u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附件11-1 证明材料1，证明材料2，……</w:t>
      </w:r>
      <w:r/>
    </w:p>
    <w:p>
      <w:pPr>
        <w:keepLines w:val="0"/>
        <w:keepNext w:val="0"/>
        <w:pageBreakBefore w:val="0"/>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逐条做出明确响应，否则做无效响应处理。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2.如果磋商文件要求提供证明材料，供应商必须将证明材料列于该表之下。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3.供应商未对实质性要求逐条作出明确响应的</w:t>
      </w:r>
      <w:r>
        <w:rPr>
          <w:rFonts w:hint="eastAsia" w:ascii="方正仿宋_GBK" w:hAnsi="方正仿宋_GBK" w:eastAsia="方正仿宋_GBK" w:cs="方正仿宋_GBK"/>
          <w:sz w:val="28"/>
          <w:szCs w:val="28"/>
          <w:highlight w:val="none"/>
        </w:rPr>
        <w:t xml:space="preserve">，或未按磋商文件要求提供证明材料的，该采购包作无效响应处理。</w:t>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bookmarkEnd w:id="59"/>
      <w:r/>
      <w:bookmarkEnd w:id="60"/>
      <w:r/>
      <w:bookmarkEnd w:id="74"/>
      <w:r/>
      <w:r/>
    </w:p>
    <w:p>
      <w:pPr>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highlight w:val="none"/>
        </w:rPr>
      </w:pPr>
      <w:r>
        <w:rPr>
          <w:rFonts w:hint="eastAsia" w:ascii="方正仿宋_GBK" w:hAnsi="方正仿宋_GBK" w:eastAsia="方正仿宋_GBK" w:cs="方正仿宋_GBK"/>
          <w:b/>
          <w:color w:val="000000"/>
          <w:sz w:val="28"/>
          <w:szCs w:val="28"/>
          <w:highlight w:val="none"/>
        </w:rPr>
        <w:t xml:space="preserve">附件</w:t>
      </w:r>
      <w:r>
        <w:rPr>
          <w:rFonts w:hint="eastAsia" w:ascii="方正仿宋_GBK" w:hAnsi="方正仿宋_GBK" w:eastAsia="方正仿宋_GBK" w:cs="方正仿宋_GBK"/>
          <w:b/>
          <w:color w:val="000000"/>
          <w:sz w:val="28"/>
          <w:szCs w:val="28"/>
          <w:highlight w:val="none"/>
          <w:lang w:val="en-US" w:eastAsia="zh-CN"/>
        </w:rPr>
        <w:t xml:space="preserve">12</w:t>
      </w:r>
      <w:r>
        <w:rPr>
          <w:rFonts w:hint="eastAsia" w:ascii="方正仿宋_GBK" w:hAnsi="方正仿宋_GBK" w:eastAsia="方正仿宋_GBK" w:cs="方正仿宋_GBK"/>
          <w:b/>
          <w:color w:val="000000"/>
          <w:sz w:val="28"/>
          <w:szCs w:val="28"/>
          <w:highlight w:val="none"/>
        </w:rPr>
        <w:t xml:space="preserve">  关于符合本国产品标准的声明函（采购包号：</w:t>
      </w:r>
      <w:r>
        <w:rPr>
          <w:rFonts w:hint="eastAsia" w:ascii="方正仿宋_GBK" w:hAnsi="方正仿宋_GBK" w:eastAsia="方正仿宋_GBK" w:cs="方正仿宋_GBK"/>
          <w:b/>
          <w:color w:val="000000"/>
          <w:sz w:val="28"/>
          <w:szCs w:val="28"/>
          <w:highlight w:val="none"/>
          <w:lang w:eastAsia="zh-CN"/>
        </w:rPr>
        <w:t xml:space="preserve">XX</w:t>
      </w:r>
      <w:r>
        <w:rPr>
          <w:rFonts w:hint="eastAsia" w:ascii="方正仿宋_GBK" w:hAnsi="方正仿宋_GBK" w:eastAsia="方正仿宋_GBK" w:cs="方正仿宋_GBK"/>
          <w:b/>
          <w:color w:val="000000"/>
          <w:sz w:val="28"/>
          <w:szCs w:val="28"/>
          <w:highlight w:val="none"/>
        </w:rPr>
        <w:t xml:space="preserve">）</w:t>
      </w:r>
      <w:r/>
    </w:p>
    <w:p>
      <w:pPr>
        <w:pStyle w:val="961"/>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p>
    <w:p>
      <w:pPr>
        <w:pStyle w:val="961"/>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p>
    <w:p>
      <w:pPr>
        <w:pStyle w:val="961"/>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        日期：</w:t>
      </w:r>
      <w:r>
        <w:rPr>
          <w:rFonts w:hint="eastAsia" w:ascii="方正仿宋_GBK" w:hAnsi="方正仿宋_GBK" w:eastAsia="方正仿宋_GBK" w:cs="方正仿宋_GBK"/>
          <w:color w:val="000000"/>
          <w:sz w:val="28"/>
          <w:szCs w:val="28"/>
          <w:highlight w:val="none"/>
        </w:rPr>
        <w:t xml:space="preserve">____年____月____日</w:t>
      </w:r>
      <w:r/>
    </w:p>
    <w:p>
      <w:pPr>
        <w:pStyle w:val="961"/>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961"/>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p>
    <w:p>
      <w:pPr>
        <w:pStyle w:val="96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73"/>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”的地方不填。</w:t>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pStyle w:val="961"/>
        <w:ind w:left="0" w:firstLine="0"/>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333333"/>
          <w:sz w:val="32"/>
          <w:szCs w:val="32"/>
          <w:highlight w:val="none"/>
        </w:rPr>
        <w:t xml:space="preserve">附件</w:t>
      </w:r>
      <w:r>
        <w:rPr>
          <w:rFonts w:hint="eastAsia" w:ascii="方正仿宋_GBK" w:hAnsi="方正仿宋_GBK" w:eastAsia="方正仿宋_GBK" w:cs="方正仿宋_GBK"/>
          <w:color w:val="333333"/>
          <w:sz w:val="32"/>
          <w:szCs w:val="32"/>
          <w:highlight w:val="none"/>
          <w:lang w:val="en-US" w:eastAsia="zh-CN"/>
        </w:rPr>
        <w:t xml:space="preserve">13</w:t>
      </w:r>
      <w:r/>
    </w:p>
    <w:p>
      <w:pPr>
        <w:pStyle w:val="961"/>
        <w:ind w:left="0" w:firstLine="632"/>
        <w:jc w:val="center"/>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仿宋_GBK" w:hAnsi="方正仿宋_GBK" w:eastAsia="方正仿宋_GBK" w:cs="方正仿宋_GBK"/>
          <w:color w:val="000000"/>
          <w:sz w:val="32"/>
          <w:szCs w:val="32"/>
          <w:highlight w:val="none"/>
        </w:rPr>
        <w:t xml:space="preserve">提供服务的人员均为</w:t>
      </w:r>
      <w:r>
        <w:rPr>
          <w:rFonts w:ascii="方正仿宋_GBK" w:hAnsi="方正仿宋_GBK" w:eastAsia="方正仿宋_GBK" w:cs="方正仿宋_GBK"/>
          <w:color w:val="333333"/>
          <w:sz w:val="32"/>
          <w:szCs w:val="32"/>
          <w:highlight w:val="none"/>
        </w:rPr>
        <w:t xml:space="preserve">订立劳动合同的从业人员的</w:t>
      </w:r>
      <w:r>
        <w:rPr>
          <w:rFonts w:ascii="方正仿宋_GBK" w:hAnsi="方正仿宋_GBK" w:eastAsia="方正仿宋_GBK" w:cs="方正仿宋_GBK"/>
          <w:color w:val="000000"/>
          <w:sz w:val="32"/>
          <w:szCs w:val="32"/>
          <w:highlight w:val="none"/>
        </w:rPr>
        <w:t xml:space="preserve">书面声明（采购包号：XX）</w:t>
      </w:r>
      <w:r/>
    </w:p>
    <w:p>
      <w:pPr>
        <w:pStyle w:val="961"/>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本企业（本联合体，如项目采购包接受联合体参加的）参加江苏省政府采购中心组织的项目编号为JSZC-320000-SCZX-G（C、T、K）20XX-XXXX，XXXX（项目名称）（采购包号：XX）项目采购活动，根据</w:t>
      </w:r>
      <w:r>
        <w:rPr>
          <w:rFonts w:ascii="方正仿宋_GBK" w:hAnsi="方正仿宋_GBK" w:eastAsia="方正仿宋_GBK" w:cs="方正仿宋_GBK"/>
          <w:color w:val="333333"/>
          <w:sz w:val="32"/>
          <w:szCs w:val="32"/>
          <w:highlight w:val="none"/>
        </w:rPr>
        <w:t xml:space="preserve">《政府采购促进中小企业发展管理办法》第四条规定</w:t>
      </w:r>
      <w:r>
        <w:rPr>
          <w:rFonts w:ascii="Times New Roman" w:hAnsi="Times New Roman" w:cs="Times New Roman"/>
          <w:color w:val="000000"/>
          <w:sz w:val="32"/>
          <w:szCs w:val="32"/>
          <w:highlight w:val="none"/>
        </w:rPr>
        <w:t xml:space="preserve">，本企业（本联合体，如项目采购包接受联合体参加的）郑重声明：如服务由本企业（本联合体，如项目采购包接受联合体参加的）承接，为本项目采购包提供服务的人员均为</w:t>
      </w:r>
      <w:r>
        <w:rPr>
          <w:rFonts w:ascii="方正仿宋_GBK" w:hAnsi="方正仿宋_GBK" w:eastAsia="方正仿宋_GBK" w:cs="方正仿宋_GBK"/>
          <w:color w:val="333333"/>
          <w:sz w:val="32"/>
          <w:szCs w:val="32"/>
          <w:highlight w:val="none"/>
        </w:rPr>
        <w:t xml:space="preserve">依照《中华人民共和国劳动合同法》订立劳动合同的从业人员。</w:t>
      </w:r>
      <w:r/>
    </w:p>
    <w:p>
      <w:pPr>
        <w:pStyle w:val="961"/>
        <w:ind w:left="0" w:firstLine="632"/>
        <w:jc w:val="both"/>
        <w:keepLines w:val="0"/>
        <w:keepNext w:val="0"/>
        <w:spacing w:before="0" w:beforeAutospacing="0" w:after="0" w:afterAutospacing="0" w:line="56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32"/>
          <w:szCs w:val="32"/>
          <w:highlight w:val="none"/>
        </w:rPr>
        <w:t xml:space="preserve">本企业（联合体）对上述声明的真实性负责。如有虚假，将依法承担相应责任。</w:t>
      </w:r>
      <w:r/>
    </w:p>
    <w:p>
      <w:pPr>
        <w:pStyle w:val="961"/>
        <w:ind w:left="0" w:firstLine="624"/>
        <w:keepLines w:val="0"/>
        <w:keepNext w:val="0"/>
        <w:spacing w:before="0" w:beforeAutospacing="0" w:after="100" w:afterAutospacing="0" w:line="256"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p>
    <w:p>
      <w:pPr>
        <w:pStyle w:val="961"/>
        <w:ind w:left="0" w:firstLine="624"/>
        <w:jc w:val="both"/>
        <w:keepLines w:val="0"/>
        <w:keepNext w:val="0"/>
        <w:spacing w:before="0" w:beforeAutospacing="0" w:after="0" w:afterAutospacing="0" w:line="59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方正黑体_GBK" w:hAnsi="方正黑体_GBK" w:eastAsia="方正黑体_GBK" w:cs="方正黑体_GBK"/>
          <w:b/>
          <w:bCs/>
          <w:color w:val="333333"/>
          <w:sz w:val="32"/>
          <w:szCs w:val="32"/>
          <w:highlight w:val="none"/>
        </w:rPr>
        <w:t xml:space="preserve">注：专门面向中小微型企业采购的采购项目采购包，投标人（供应商）未提供该书面声明的，投标（响应）无效。</w:t>
      </w:r>
      <w:r/>
    </w:p>
    <w:p>
      <w:pPr>
        <w:jc w:val="center"/>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both"/>
        <w:keepLines w:val="0"/>
        <w:keepNext w:val="0"/>
        <w:pageBreakBefore w:val="0"/>
        <w:spacing w:line="400" w:lineRule="exact"/>
        <w:rPr>
          <w:rFonts w:hint="eastAsia" w:ascii="宋体" w:hAnsi="宋体" w:cs="仿宋"/>
          <w:b/>
          <w:bCs/>
          <w:sz w:val="28"/>
          <w:szCs w:val="28"/>
          <w:highlight w:val="none"/>
        </w:rPr>
      </w:pPr>
      <w:r>
        <w:rPr>
          <w:rFonts w:hint="eastAsia" w:ascii="宋体" w:hAnsi="宋体" w:cs="仿宋"/>
          <w:b/>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eastAsia="zh-CN"/>
        </w:rPr>
      </w:pPr>
      <w:r>
        <w:rPr>
          <w:rFonts w:hint="eastAsia" w:ascii="方正黑体_GBK" w:hAnsi="方正黑体_GBK" w:eastAsia="方正黑体_GBK" w:cs="方正黑体_GBK"/>
          <w:b w:val="0"/>
          <w:bCs/>
          <w:sz w:val="28"/>
          <w:szCs w:val="28"/>
          <w:highlight w:val="none"/>
          <w:lang w:eastAsia="zh-CN"/>
        </w:rPr>
        <w:br w:type="page" w:clear="all"/>
      </w:r>
      <w:r>
        <w:rPr>
          <w:rFonts w:hint="eastAsia" w:ascii="方正黑体_GBK" w:hAnsi="方正黑体_GBK" w:eastAsia="方正黑体_GBK" w:cs="方正黑体_GBK"/>
          <w:b w:val="0"/>
          <w:bCs/>
          <w:sz w:val="28"/>
          <w:szCs w:val="28"/>
          <w:highlight w:val="none"/>
          <w:lang w:eastAsia="zh-CN"/>
        </w:rPr>
        <w:t xml:space="preserve">质疑函范本</w:t>
      </w:r>
      <w:r/>
    </w:p>
    <w:p>
      <w:pPr>
        <w:keepLines w:val="0"/>
        <w:keepNext w:val="0"/>
        <w:pageBreakBefore w:val="0"/>
        <w:spacing w:before="312"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p>
    <w:p>
      <w:pPr>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p>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p>
    <w:p>
      <w:pPr>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2312670</wp:posOffset>
              </wp:positionH>
              <wp:positionV relativeFrom="paragraph">
                <wp:posOffset>-194310</wp:posOffset>
              </wp:positionV>
              <wp:extent cx="324485" cy="37592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24266" cy="375685"/>
                      </a:xfrm>
                      <a:prstGeom prst="rect">
                        <a:avLst/>
                      </a:prstGeom>
                      <a:noFill/>
                      <a:ln>
                        <a:noFill/>
                      </a:ln>
                    </wps:spPr>
                    <wps:txbx>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82.1pt;mso-position-horizontal:absolute;mso-position-vertical-relative:text;margin-top:-15.3pt;mso-position-vertical:absolute;width:25.5pt;height:29.6pt;mso-wrap-distance-left:9.0pt;mso-wrap-distance-top:0.0pt;mso-wrap-distance-right:9.0pt;mso-wrap-distance-bottom:0.0pt;visibility:visible;" filled="f" stroked="f">
              <v:textbox inset="0,0,0,0">
                <w:txbxContent>
                  <w:p>
                    <w:pPr>
                      <w:pStyle w:val="94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2">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link w:val="97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52"/>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3"/>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4"/>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55"/>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56"/>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57"/>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59"/>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0"/>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customStyle="1">
    <w:name w:val="索引 41"/>
    <w:basedOn w:val="717"/>
    <w:next w:val="717"/>
    <w:uiPriority w:val="0"/>
    <w:qFormat/>
    <w:pPr>
      <w:ind w:left="600"/>
    </w:pPr>
    <w:rPr>
      <w:sz w:val="21"/>
    </w:rPr>
  </w:style>
  <w:style w:type="paragraph" w:styleId="730">
    <w:name w:val="toc 7"/>
    <w:basedOn w:val="717"/>
    <w:next w:val="717"/>
    <w:uiPriority w:val="39"/>
    <w:unhideWhenUsed/>
    <w:qFormat/>
    <w:pPr>
      <w:ind w:left="1701" w:right="0" w:firstLine="0"/>
      <w:spacing w:after="57"/>
    </w:pPr>
  </w:style>
  <w:style w:type="paragraph" w:styleId="731">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7"/>
    <w:uiPriority w:val="99"/>
    <w:semiHidden/>
    <w:unhideWhenUsed/>
    <w:qFormat/>
    <w:pPr>
      <w:jc w:val="left"/>
    </w:pPr>
  </w:style>
  <w:style w:type="paragraph" w:styleId="733">
    <w:name w:val="toc 5"/>
    <w:basedOn w:val="717"/>
    <w:next w:val="717"/>
    <w:uiPriority w:val="39"/>
    <w:unhideWhenUsed/>
    <w:qFormat/>
    <w:pPr>
      <w:ind w:left="1134" w:right="0" w:firstLine="0"/>
      <w:spacing w:after="57"/>
    </w:pPr>
  </w:style>
  <w:style w:type="paragraph" w:styleId="734">
    <w:name w:val="toc 3"/>
    <w:basedOn w:val="717"/>
    <w:next w:val="717"/>
    <w:uiPriority w:val="39"/>
    <w:unhideWhenUsed/>
    <w:qFormat/>
    <w:pPr>
      <w:ind w:left="567" w:right="0" w:firstLine="0"/>
      <w:spacing w:after="57"/>
    </w:pPr>
  </w:style>
  <w:style w:type="paragraph" w:styleId="735">
    <w:name w:val="toc 8"/>
    <w:basedOn w:val="717"/>
    <w:next w:val="717"/>
    <w:uiPriority w:val="39"/>
    <w:unhideWhenUsed/>
    <w:qFormat/>
    <w:pPr>
      <w:ind w:left="1984" w:right="0" w:firstLine="0"/>
      <w:spacing w:after="57"/>
    </w:pPr>
  </w:style>
  <w:style w:type="paragraph" w:styleId="736">
    <w:name w:val="endnote text"/>
    <w:basedOn w:val="717"/>
    <w:link w:val="898"/>
    <w:uiPriority w:val="99"/>
    <w:semiHidden/>
    <w:unhideWhenUsed/>
    <w:qFormat/>
    <w:pPr>
      <w:spacing w:after="0" w:line="240" w:lineRule="auto"/>
    </w:pPr>
    <w:rPr>
      <w:sz w:val="20"/>
    </w:rPr>
  </w:style>
  <w:style w:type="paragraph" w:styleId="737">
    <w:name w:val="Footer"/>
    <w:basedOn w:val="717"/>
    <w:link w:val="771"/>
    <w:uiPriority w:val="99"/>
    <w:unhideWhenUsed/>
    <w:qFormat/>
    <w:pPr>
      <w:spacing w:after="0" w:line="240" w:lineRule="auto"/>
      <w:tabs>
        <w:tab w:val="center" w:pos="7143" w:leader="none"/>
        <w:tab w:val="right" w:pos="14287" w:leader="none"/>
      </w:tabs>
    </w:pPr>
  </w:style>
  <w:style w:type="paragraph" w:styleId="738">
    <w:name w:val="Header"/>
    <w:basedOn w:val="717"/>
    <w:link w:val="769"/>
    <w:uiPriority w:val="99"/>
    <w:unhideWhenUsed/>
    <w:qFormat/>
    <w:pPr>
      <w:spacing w:after="0" w:line="240" w:lineRule="auto"/>
      <w:tabs>
        <w:tab w:val="center" w:pos="7143" w:leader="none"/>
        <w:tab w:val="right" w:pos="14287" w:leader="none"/>
      </w:tabs>
    </w:pPr>
  </w:style>
  <w:style w:type="paragraph" w:styleId="739">
    <w:name w:val="toc 1"/>
    <w:basedOn w:val="717"/>
    <w:next w:val="717"/>
    <w:uiPriority w:val="39"/>
    <w:unhideWhenUsed/>
    <w:qFormat/>
    <w:pPr>
      <w:ind w:left="0" w:right="0" w:firstLine="0"/>
      <w:spacing w:after="57"/>
    </w:pPr>
  </w:style>
  <w:style w:type="paragraph" w:styleId="740">
    <w:name w:val="toc 4"/>
    <w:basedOn w:val="717"/>
    <w:next w:val="717"/>
    <w:uiPriority w:val="39"/>
    <w:unhideWhenUsed/>
    <w:qFormat/>
    <w:pPr>
      <w:ind w:left="850" w:right="0" w:firstLine="0"/>
      <w:spacing w:after="57"/>
    </w:pPr>
  </w:style>
  <w:style w:type="paragraph" w:styleId="741">
    <w:name w:val="Subtitle"/>
    <w:basedOn w:val="717"/>
    <w:next w:val="717"/>
    <w:link w:val="764"/>
    <w:uiPriority w:val="11"/>
    <w:qFormat/>
    <w:pPr>
      <w:spacing w:before="200" w:after="200"/>
    </w:pPr>
    <w:rPr>
      <w:sz w:val="24"/>
      <w:szCs w:val="24"/>
    </w:rPr>
  </w:style>
  <w:style w:type="paragraph" w:styleId="742">
    <w:name w:val="footnote text"/>
    <w:basedOn w:val="717"/>
    <w:link w:val="897"/>
    <w:uiPriority w:val="99"/>
    <w:semiHidden/>
    <w:unhideWhenUsed/>
    <w:qFormat/>
    <w:pPr>
      <w:spacing w:after="40" w:line="240" w:lineRule="auto"/>
    </w:pPr>
    <w:rPr>
      <w:sz w:val="18"/>
    </w:rPr>
  </w:style>
  <w:style w:type="paragraph" w:styleId="743">
    <w:name w:val="toc 6"/>
    <w:basedOn w:val="717"/>
    <w:next w:val="717"/>
    <w:uiPriority w:val="39"/>
    <w:unhideWhenUsed/>
    <w:qFormat/>
    <w:pPr>
      <w:ind w:left="1417" w:right="0" w:firstLine="0"/>
      <w:spacing w:after="57"/>
    </w:pPr>
  </w:style>
  <w:style w:type="paragraph" w:styleId="744">
    <w:name w:val="table of figures"/>
    <w:basedOn w:val="717"/>
    <w:next w:val="717"/>
    <w:uiPriority w:val="99"/>
    <w:unhideWhenUsed/>
    <w:qFormat/>
    <w:pPr>
      <w:spacing w:after="0" w:afterAutospacing="0"/>
    </w:pPr>
  </w:style>
  <w:style w:type="paragraph" w:styleId="745">
    <w:name w:val="toc 2"/>
    <w:basedOn w:val="717"/>
    <w:next w:val="717"/>
    <w:uiPriority w:val="39"/>
    <w:unhideWhenUsed/>
    <w:qFormat/>
    <w:pPr>
      <w:ind w:left="283" w:right="0" w:firstLine="0"/>
      <w:spacing w:after="57"/>
    </w:pPr>
  </w:style>
  <w:style w:type="paragraph" w:styleId="746">
    <w:name w:val="toc 9"/>
    <w:basedOn w:val="717"/>
    <w:next w:val="717"/>
    <w:uiPriority w:val="39"/>
    <w:unhideWhenUsed/>
    <w:qFormat/>
    <w:pPr>
      <w:ind w:left="2268" w:right="0" w:firstLine="0"/>
      <w:spacing w:after="57"/>
    </w:pPr>
  </w:style>
  <w:style w:type="paragraph" w:styleId="747">
    <w:name w:val="Title"/>
    <w:basedOn w:val="717"/>
    <w:next w:val="717"/>
    <w:link w:val="763"/>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character" w:styleId="752" w:customStyle="1">
    <w:name w:val="Heading 1 Char"/>
    <w:link w:val="718"/>
    <w:uiPriority w:val="9"/>
    <w:qFormat/>
    <w:rPr>
      <w:rFonts w:ascii="Arial" w:hAnsi="Arial" w:eastAsia="Arial" w:cs="Arial"/>
      <w:sz w:val="40"/>
      <w:szCs w:val="40"/>
    </w:rPr>
  </w:style>
  <w:style w:type="character" w:styleId="753" w:customStyle="1">
    <w:name w:val="Heading 2 Char"/>
    <w:link w:val="719"/>
    <w:uiPriority w:val="9"/>
    <w:qFormat/>
    <w:rPr>
      <w:rFonts w:ascii="Arial" w:hAnsi="Arial" w:eastAsia="Arial" w:cs="Arial"/>
      <w:sz w:val="34"/>
    </w:rPr>
  </w:style>
  <w:style w:type="character" w:styleId="754" w:customStyle="1">
    <w:name w:val="Heading 3 Char"/>
    <w:link w:val="720"/>
    <w:uiPriority w:val="9"/>
    <w:qFormat/>
    <w:rPr>
      <w:rFonts w:ascii="Arial" w:hAnsi="Arial" w:eastAsia="Arial" w:cs="Arial"/>
      <w:sz w:val="30"/>
      <w:szCs w:val="30"/>
    </w:rPr>
  </w:style>
  <w:style w:type="character" w:styleId="755" w:customStyle="1">
    <w:name w:val="Heading 4 Char"/>
    <w:link w:val="721"/>
    <w:uiPriority w:val="9"/>
    <w:qFormat/>
    <w:rPr>
      <w:rFonts w:ascii="Arial" w:hAnsi="Arial" w:eastAsia="Arial" w:cs="Arial"/>
      <w:b/>
      <w:bCs/>
      <w:sz w:val="26"/>
      <w:szCs w:val="26"/>
    </w:rPr>
  </w:style>
  <w:style w:type="character" w:styleId="756" w:customStyle="1">
    <w:name w:val="Heading 5 Char"/>
    <w:link w:val="722"/>
    <w:uiPriority w:val="9"/>
    <w:qFormat/>
    <w:rPr>
      <w:rFonts w:ascii="Arial" w:hAnsi="Arial" w:eastAsia="Arial" w:cs="Arial"/>
      <w:b/>
      <w:bCs/>
      <w:sz w:val="24"/>
      <w:szCs w:val="24"/>
    </w:rPr>
  </w:style>
  <w:style w:type="character" w:styleId="757" w:customStyle="1">
    <w:name w:val="Heading 6 Char"/>
    <w:link w:val="723"/>
    <w:uiPriority w:val="9"/>
    <w:qFormat/>
    <w:rPr>
      <w:rFonts w:ascii="Arial" w:hAnsi="Arial" w:eastAsia="Arial" w:cs="Arial"/>
      <w:b/>
      <w:bCs/>
      <w:sz w:val="22"/>
      <w:szCs w:val="22"/>
    </w:rPr>
  </w:style>
  <w:style w:type="character" w:styleId="758" w:customStyle="1">
    <w:name w:val="Heading 7 Char"/>
    <w:link w:val="724"/>
    <w:uiPriority w:val="9"/>
    <w:qFormat/>
    <w:rPr>
      <w:rFonts w:ascii="Arial" w:hAnsi="Arial" w:eastAsia="Arial" w:cs="Arial"/>
      <w:b/>
      <w:bCs/>
      <w:i/>
      <w:iCs/>
      <w:sz w:val="22"/>
      <w:szCs w:val="22"/>
    </w:rPr>
  </w:style>
  <w:style w:type="character" w:styleId="759" w:customStyle="1">
    <w:name w:val="Heading 8 Char"/>
    <w:link w:val="725"/>
    <w:uiPriority w:val="9"/>
    <w:qFormat/>
    <w:rPr>
      <w:rFonts w:ascii="Arial" w:hAnsi="Arial" w:eastAsia="Arial" w:cs="Arial"/>
      <w:i/>
      <w:iCs/>
      <w:sz w:val="22"/>
      <w:szCs w:val="22"/>
    </w:rPr>
  </w:style>
  <w:style w:type="character" w:styleId="760" w:customStyle="1">
    <w:name w:val="Heading 9 Char"/>
    <w:link w:val="726"/>
    <w:uiPriority w:val="9"/>
    <w:qFormat/>
    <w:rPr>
      <w:rFonts w:ascii="Arial" w:hAnsi="Arial" w:eastAsia="Arial" w:cs="Arial"/>
      <w:i/>
      <w:iCs/>
      <w:sz w:val="21"/>
      <w:szCs w:val="21"/>
    </w:rPr>
  </w:style>
  <w:style w:type="paragraph" w:styleId="761">
    <w:name w:val="List Paragraph"/>
    <w:basedOn w:val="717"/>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7"/>
    <w:uiPriority w:val="10"/>
    <w:qFormat/>
    <w:rPr>
      <w:sz w:val="48"/>
      <w:szCs w:val="48"/>
    </w:rPr>
  </w:style>
  <w:style w:type="character" w:styleId="764" w:customStyle="1">
    <w:name w:val="Subtitle Char"/>
    <w:link w:val="741"/>
    <w:uiPriority w:val="11"/>
    <w:qFormat/>
    <w:rPr>
      <w:sz w:val="24"/>
      <w:szCs w:val="24"/>
    </w:rPr>
  </w:style>
  <w:style w:type="paragraph" w:styleId="765">
    <w:name w:val="Quote"/>
    <w:basedOn w:val="717"/>
    <w:next w:val="717"/>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7"/>
    <w:next w:val="717"/>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8"/>
    <w:uiPriority w:val="99"/>
    <w:qFormat/>
  </w:style>
  <w:style w:type="character" w:styleId="770" w:customStyle="1">
    <w:name w:val="Footer Char"/>
    <w:link w:val="737"/>
    <w:uiPriority w:val="99"/>
    <w:qFormat/>
  </w:style>
  <w:style w:type="character" w:styleId="771" w:customStyle="1">
    <w:name w:val="Caption Char"/>
    <w:link w:val="737"/>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2"/>
    <w:uiPriority w:val="99"/>
    <w:qFormat/>
    <w:rPr>
      <w:sz w:val="18"/>
    </w:rPr>
  </w:style>
  <w:style w:type="character" w:styleId="898" w:customStyle="1">
    <w:name w:val="Endnote Text Char"/>
    <w:link w:val="736"/>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
    <w:basedOn w:val="717"/>
    <w:next w:val="901"/>
    <w:link w:val="912"/>
    <w:uiPriority w:val="0"/>
    <w:qFormat/>
    <w:pPr>
      <w:jc w:val="center"/>
      <w:keepNext/>
      <w:outlineLvl w:val="0"/>
    </w:pPr>
    <w:rPr>
      <w:rFonts w:ascii="楷体_GB2312" w:hAnsi="Times New Roman" w:eastAsia="楷体_GB2312" w:cs="Times New Roman"/>
      <w:sz w:val="28"/>
      <w:szCs w:val="28"/>
    </w:rPr>
  </w:style>
  <w:style w:type="paragraph" w:styleId="901" w:customStyle="1">
    <w:name w:val="标题 21"/>
    <w:basedOn w:val="717"/>
    <w:next w:val="717"/>
    <w:link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customStyle="1">
    <w:name w:val="标题 31"/>
    <w:basedOn w:val="717"/>
    <w:next w:val="717"/>
    <w:link w:val="91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3" w:customStyle="1">
    <w:name w:val="标题 41"/>
    <w:basedOn w:val="717"/>
    <w:next w:val="717"/>
    <w:link w:val="915"/>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标题 51"/>
    <w:basedOn w:val="717"/>
    <w:next w:val="905"/>
    <w:link w:val="916"/>
    <w:uiPriority w:val="0"/>
    <w:qFormat/>
    <w:pPr>
      <w:keepNext/>
      <w:outlineLvl w:val="4"/>
    </w:pPr>
    <w:rPr>
      <w:rFonts w:ascii="宋体" w:hAnsi="Times New Roman" w:eastAsia="宋体" w:cs="Times New Roman"/>
      <w:color w:val="000000"/>
      <w:sz w:val="28"/>
      <w:szCs w:val="28"/>
    </w:rPr>
  </w:style>
  <w:style w:type="paragraph" w:styleId="905" w:customStyle="1">
    <w:name w:val="正文缩进1"/>
    <w:basedOn w:val="717"/>
    <w:link w:val="917"/>
    <w:uiPriority w:val="0"/>
    <w:qFormat/>
    <w:pPr>
      <w:ind w:firstLine="420"/>
    </w:pPr>
    <w:rPr>
      <w:szCs w:val="21"/>
    </w:rPr>
  </w:style>
  <w:style w:type="paragraph" w:styleId="906" w:customStyle="1">
    <w:name w:val="标题 61"/>
    <w:basedOn w:val="717"/>
    <w:next w:val="717"/>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customStyle="1">
    <w:name w:val="标题 71"/>
    <w:basedOn w:val="717"/>
    <w:next w:val="717"/>
    <w:link w:val="9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customStyle="1">
    <w:name w:val="标题 81"/>
    <w:basedOn w:val="717"/>
    <w:next w:val="717"/>
    <w:link w:val="92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customStyle="1">
    <w:name w:val="标题 91"/>
    <w:basedOn w:val="717"/>
    <w:next w:val="717"/>
    <w:link w:val="92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customStyle="1">
    <w:name w:val="默认段落字体1"/>
    <w:link w:val="717"/>
    <w:uiPriority w:val="1"/>
    <w:unhideWhenUsed/>
    <w:qFormat/>
  </w:style>
  <w:style w:type="table" w:styleId="911" w:customStyle="1">
    <w:name w:val="普通表格1"/>
    <w:uiPriority w:val="99"/>
    <w:unhideWhenUsed/>
    <w:qFormat/>
    <w:tblPr/>
  </w:style>
  <w:style w:type="character" w:styleId="912" w:customStyle="1">
    <w:name w:val="标题 1 Char"/>
    <w:link w:val="900"/>
    <w:uiPriority w:val="0"/>
    <w:qFormat/>
    <w:rPr>
      <w:rFonts w:ascii="楷体_GB2312" w:hAnsi="Times New Roman" w:eastAsia="楷体_GB2312" w:cs="Times New Roman"/>
      <w:sz w:val="28"/>
      <w:szCs w:val="28"/>
    </w:rPr>
  </w:style>
  <w:style w:type="character" w:styleId="913" w:customStyle="1">
    <w:name w:val="标题 2 Char"/>
    <w:link w:val="901"/>
    <w:uiPriority w:val="0"/>
    <w:qFormat/>
    <w:rPr>
      <w:rFonts w:ascii="Arial" w:hAnsi="Arial" w:eastAsia="幼圆" w:cs="Arial"/>
      <w:b/>
      <w:bCs/>
      <w:sz w:val="44"/>
      <w:szCs w:val="44"/>
    </w:rPr>
  </w:style>
  <w:style w:type="character" w:styleId="914" w:customStyle="1">
    <w:name w:val="标题 3 Char"/>
    <w:link w:val="902"/>
    <w:uiPriority w:val="0"/>
    <w:qFormat/>
    <w:rPr>
      <w:rFonts w:ascii="Times New Roman" w:hAnsi="Times New Roman" w:eastAsia="宋体" w:cs="Times New Roman"/>
      <w:b/>
      <w:bCs/>
      <w:sz w:val="32"/>
      <w:szCs w:val="32"/>
    </w:rPr>
  </w:style>
  <w:style w:type="character" w:styleId="915" w:customStyle="1">
    <w:name w:val="标题 4 Char"/>
    <w:link w:val="903"/>
    <w:uiPriority w:val="0"/>
    <w:qFormat/>
    <w:rPr>
      <w:rFonts w:ascii="Arial" w:hAnsi="Arial" w:eastAsia="黑体" w:cs="Arial"/>
      <w:b/>
      <w:bCs/>
      <w:sz w:val="28"/>
      <w:szCs w:val="28"/>
    </w:rPr>
  </w:style>
  <w:style w:type="character" w:styleId="916" w:customStyle="1">
    <w:name w:val="标题 5 Char"/>
    <w:link w:val="904"/>
    <w:uiPriority w:val="0"/>
    <w:qFormat/>
    <w:rPr>
      <w:rFonts w:ascii="宋体" w:hAnsi="Times New Roman" w:eastAsia="宋体" w:cs="Times New Roman"/>
      <w:color w:val="000000"/>
      <w:sz w:val="28"/>
      <w:szCs w:val="28"/>
    </w:rPr>
  </w:style>
  <w:style w:type="character" w:styleId="917" w:customStyle="1">
    <w:name w:val="正文缩进 Char"/>
    <w:link w:val="905"/>
    <w:uiPriority w:val="0"/>
    <w:qFormat/>
    <w:rPr>
      <w:szCs w:val="21"/>
    </w:rPr>
  </w:style>
  <w:style w:type="character" w:styleId="918" w:customStyle="1">
    <w:name w:val="标题 6 Char"/>
    <w:link w:val="906"/>
    <w:uiPriority w:val="0"/>
    <w:qFormat/>
    <w:rPr>
      <w:rFonts w:ascii="Arial" w:hAnsi="Arial" w:eastAsia="黑体" w:cs="Times New Roman"/>
      <w:b/>
      <w:bCs/>
      <w:sz w:val="24"/>
      <w:szCs w:val="24"/>
    </w:rPr>
  </w:style>
  <w:style w:type="character" w:styleId="919" w:customStyle="1">
    <w:name w:val="标题 7 Char"/>
    <w:link w:val="907"/>
    <w:uiPriority w:val="0"/>
    <w:qFormat/>
    <w:rPr>
      <w:rFonts w:ascii="Times New Roman" w:hAnsi="Times New Roman" w:eastAsia="宋体" w:cs="Times New Roman"/>
      <w:b/>
      <w:bCs/>
      <w:sz w:val="24"/>
      <w:szCs w:val="24"/>
    </w:rPr>
  </w:style>
  <w:style w:type="character" w:styleId="920" w:customStyle="1">
    <w:name w:val="标题 8 Char"/>
    <w:link w:val="908"/>
    <w:uiPriority w:val="0"/>
    <w:qFormat/>
    <w:rPr>
      <w:rFonts w:ascii="Arial" w:hAnsi="Arial" w:eastAsia="黑体" w:cs="Times New Roman"/>
      <w:sz w:val="24"/>
      <w:szCs w:val="24"/>
    </w:rPr>
  </w:style>
  <w:style w:type="character" w:styleId="921" w:customStyle="1">
    <w:name w:val="标题 9 Char"/>
    <w:link w:val="909"/>
    <w:uiPriority w:val="0"/>
    <w:qFormat/>
    <w:rPr>
      <w:rFonts w:ascii="Arial" w:hAnsi="Arial" w:eastAsia="黑体" w:cs="Times New Roman"/>
      <w:szCs w:val="21"/>
    </w:rPr>
  </w:style>
  <w:style w:type="paragraph" w:styleId="922" w:customStyle="1">
    <w:name w:val="列表 31"/>
    <w:basedOn w:val="717"/>
    <w:uiPriority w:val="0"/>
    <w:qFormat/>
    <w:pPr>
      <w:ind w:left="100" w:hanging="200"/>
    </w:pPr>
    <w:rPr>
      <w:rFonts w:ascii="Times New Roman" w:hAnsi="Times New Roman" w:eastAsia="宋体" w:cs="Times New Roman"/>
      <w:szCs w:val="21"/>
    </w:rPr>
  </w:style>
  <w:style w:type="paragraph" w:styleId="923" w:customStyle="1">
    <w:name w:val="目录 71"/>
    <w:basedOn w:val="717"/>
    <w:next w:val="717"/>
    <w:uiPriority w:val="0"/>
    <w:semiHidden/>
    <w:qFormat/>
    <w:pPr>
      <w:ind w:left="1260"/>
      <w:jc w:val="left"/>
    </w:pPr>
    <w:rPr>
      <w:rFonts w:ascii="Times New Roman" w:hAnsi="Times New Roman" w:eastAsia="宋体" w:cs="Times New Roman"/>
      <w:szCs w:val="21"/>
    </w:rPr>
  </w:style>
  <w:style w:type="paragraph" w:styleId="924" w:customStyle="1">
    <w:name w:val="文档结构图1"/>
    <w:basedOn w:val="717"/>
    <w:link w:val="925"/>
    <w:uiPriority w:val="0"/>
    <w:semiHidden/>
    <w:qFormat/>
    <w:pPr>
      <w:shd w:val="clear" w:color="auto" w:fill="000080"/>
    </w:pPr>
    <w:rPr>
      <w:rFonts w:ascii="Times New Roman" w:hAnsi="Times New Roman" w:eastAsia="宋体" w:cs="Times New Roman"/>
      <w:szCs w:val="21"/>
    </w:rPr>
  </w:style>
  <w:style w:type="character" w:styleId="925" w:customStyle="1">
    <w:name w:val="文档结构图 Char"/>
    <w:link w:val="924"/>
    <w:uiPriority w:val="0"/>
    <w:semiHidden/>
    <w:qFormat/>
    <w:rPr>
      <w:rFonts w:ascii="Times New Roman" w:hAnsi="Times New Roman" w:eastAsia="宋体" w:cs="Times New Roman"/>
      <w:szCs w:val="21"/>
      <w:shd w:val="clear" w:color="auto" w:fill="000080"/>
    </w:rPr>
  </w:style>
  <w:style w:type="paragraph" w:styleId="926" w:customStyle="1">
    <w:name w:val="批注文字1"/>
    <w:basedOn w:val="717"/>
    <w:link w:val="927"/>
    <w:uiPriority w:val="0"/>
    <w:unhideWhenUsed/>
    <w:qFormat/>
    <w:pPr>
      <w:jc w:val="left"/>
    </w:pPr>
  </w:style>
  <w:style w:type="character" w:styleId="927" w:customStyle="1">
    <w:name w:val="批注文字 Char"/>
    <w:link w:val="926"/>
    <w:uiPriority w:val="99"/>
    <w:semiHidden/>
    <w:qFormat/>
  </w:style>
  <w:style w:type="paragraph" w:styleId="928" w:customStyle="1">
    <w:name w:val="正文文本 31"/>
    <w:basedOn w:val="717"/>
    <w:link w:val="929"/>
    <w:uiPriority w:val="0"/>
    <w:qFormat/>
    <w:rPr>
      <w:rFonts w:ascii="仿宋_GB2312" w:hAnsi="Arial" w:eastAsia="仿宋_GB2312" w:cs="Times New Roman"/>
      <w:sz w:val="32"/>
      <w:szCs w:val="32"/>
    </w:rPr>
  </w:style>
  <w:style w:type="character" w:styleId="929" w:customStyle="1">
    <w:name w:val="正文文本 3 Char"/>
    <w:link w:val="928"/>
    <w:uiPriority w:val="0"/>
    <w:qFormat/>
    <w:rPr>
      <w:rFonts w:ascii="仿宋_GB2312" w:hAnsi="Arial" w:eastAsia="仿宋_GB2312" w:cs="Times New Roman"/>
      <w:sz w:val="32"/>
      <w:szCs w:val="32"/>
    </w:rPr>
  </w:style>
  <w:style w:type="paragraph" w:styleId="930" w:customStyle="1">
    <w:name w:val="正文文本1"/>
    <w:basedOn w:val="717"/>
    <w:link w:val="931"/>
    <w:uiPriority w:val="0"/>
    <w:qFormat/>
    <w:rPr>
      <w:rFonts w:ascii="楷体_GB2312" w:hAnsi="Arial" w:eastAsia="楷体_GB2312" w:cs="Times New Roman"/>
      <w:sz w:val="28"/>
      <w:szCs w:val="28"/>
    </w:rPr>
  </w:style>
  <w:style w:type="character" w:styleId="931" w:customStyle="1">
    <w:name w:val="正文文本 Char"/>
    <w:link w:val="930"/>
    <w:uiPriority w:val="0"/>
    <w:qFormat/>
    <w:rPr>
      <w:rFonts w:ascii="楷体_GB2312" w:hAnsi="Arial" w:eastAsia="楷体_GB2312" w:cs="Times New Roman"/>
      <w:sz w:val="28"/>
      <w:szCs w:val="28"/>
    </w:rPr>
  </w:style>
  <w:style w:type="paragraph" w:styleId="932" w:customStyle="1">
    <w:name w:val="正文文本缩进1"/>
    <w:basedOn w:val="717"/>
    <w:link w:val="933"/>
    <w:uiPriority w:val="0"/>
    <w:unhideWhenUsed/>
    <w:qFormat/>
    <w:pPr>
      <w:ind w:left="420"/>
      <w:spacing w:after="120"/>
    </w:pPr>
  </w:style>
  <w:style w:type="character" w:styleId="933" w:customStyle="1">
    <w:name w:val="正文文本缩进 Char"/>
    <w:link w:val="932"/>
    <w:uiPriority w:val="99"/>
    <w:semiHidden/>
    <w:qFormat/>
  </w:style>
  <w:style w:type="paragraph" w:styleId="934" w:customStyle="1">
    <w:name w:val="列表 21"/>
    <w:basedOn w:val="717"/>
    <w:uiPriority w:val="0"/>
    <w:qFormat/>
    <w:pPr>
      <w:ind w:left="100" w:hanging="200"/>
    </w:pPr>
    <w:rPr>
      <w:rFonts w:ascii="Times New Roman" w:hAnsi="Times New Roman" w:eastAsia="宋体" w:cs="Times New Roman"/>
      <w:szCs w:val="21"/>
    </w:rPr>
  </w:style>
  <w:style w:type="paragraph" w:styleId="935" w:customStyle="1">
    <w:name w:val="目录 51"/>
    <w:basedOn w:val="717"/>
    <w:next w:val="717"/>
    <w:uiPriority w:val="0"/>
    <w:semiHidden/>
    <w:qFormat/>
    <w:pPr>
      <w:ind w:left="840"/>
      <w:jc w:val="left"/>
    </w:pPr>
    <w:rPr>
      <w:rFonts w:ascii="Times New Roman" w:hAnsi="Times New Roman" w:eastAsia="宋体" w:cs="Times New Roman"/>
      <w:szCs w:val="21"/>
    </w:rPr>
  </w:style>
  <w:style w:type="paragraph" w:styleId="936" w:customStyle="1">
    <w:name w:val="目录 31"/>
    <w:basedOn w:val="717"/>
    <w:next w:val="717"/>
    <w:uiPriority w:val="0"/>
    <w:semiHidden/>
    <w:qFormat/>
    <w:pPr>
      <w:ind w:left="420"/>
      <w:jc w:val="left"/>
    </w:pPr>
    <w:rPr>
      <w:rFonts w:ascii="Times New Roman" w:hAnsi="Times New Roman" w:eastAsia="宋体" w:cs="Times New Roman"/>
      <w:i/>
      <w:iCs/>
      <w:szCs w:val="24"/>
    </w:rPr>
  </w:style>
  <w:style w:type="paragraph" w:styleId="937" w:customStyle="1">
    <w:name w:val="纯文本1"/>
    <w:basedOn w:val="717"/>
    <w:link w:val="938"/>
    <w:uiPriority w:val="0"/>
    <w:qFormat/>
    <w:rPr>
      <w:rFonts w:ascii="宋体" w:hAnsi="Courier New" w:eastAsia="宋体" w:cs="Courier New"/>
      <w:szCs w:val="21"/>
    </w:rPr>
  </w:style>
  <w:style w:type="character" w:styleId="938" w:customStyle="1">
    <w:name w:val="纯文本 Char"/>
    <w:link w:val="937"/>
    <w:uiPriority w:val="0"/>
    <w:qFormat/>
    <w:rPr>
      <w:rFonts w:ascii="宋体" w:hAnsi="Courier New" w:eastAsia="宋体" w:cs="Courier New"/>
      <w:szCs w:val="21"/>
    </w:rPr>
  </w:style>
  <w:style w:type="paragraph" w:styleId="939" w:customStyle="1">
    <w:name w:val="目录 81"/>
    <w:basedOn w:val="717"/>
    <w:next w:val="717"/>
    <w:uiPriority w:val="0"/>
    <w:semiHidden/>
    <w:qFormat/>
    <w:pPr>
      <w:ind w:left="1470"/>
      <w:jc w:val="left"/>
    </w:pPr>
    <w:rPr>
      <w:rFonts w:ascii="Times New Roman" w:hAnsi="Times New Roman" w:eastAsia="宋体" w:cs="Times New Roman"/>
      <w:szCs w:val="21"/>
    </w:rPr>
  </w:style>
  <w:style w:type="paragraph" w:styleId="940" w:customStyle="1">
    <w:name w:val="日期1"/>
    <w:basedOn w:val="717"/>
    <w:next w:val="717"/>
    <w:link w:val="941"/>
    <w:uiPriority w:val="0"/>
    <w:qFormat/>
    <w:rPr>
      <w:rFonts w:ascii="Times New Roman" w:hAnsi="Times New Roman" w:eastAsia="宋体" w:cs="Times New Roman"/>
      <w:sz w:val="24"/>
      <w:szCs w:val="24"/>
    </w:rPr>
  </w:style>
  <w:style w:type="character" w:styleId="941" w:customStyle="1">
    <w:name w:val="日期 Char"/>
    <w:link w:val="940"/>
    <w:uiPriority w:val="0"/>
    <w:qFormat/>
    <w:rPr>
      <w:rFonts w:ascii="Times New Roman" w:hAnsi="Times New Roman" w:eastAsia="宋体" w:cs="Times New Roman"/>
      <w:sz w:val="24"/>
      <w:szCs w:val="24"/>
    </w:rPr>
  </w:style>
  <w:style w:type="paragraph" w:styleId="942" w:customStyle="1">
    <w:name w:val="正文文本缩进 21"/>
    <w:basedOn w:val="717"/>
    <w:link w:val="943"/>
    <w:uiPriority w:val="0"/>
    <w:qFormat/>
    <w:pPr>
      <w:ind w:left="630" w:firstLine="645"/>
    </w:pPr>
    <w:rPr>
      <w:rFonts w:ascii="Arial" w:hAnsi="Arial" w:eastAsia="仿宋_GB2312" w:cs="Arial"/>
      <w:sz w:val="32"/>
      <w:szCs w:val="32"/>
    </w:rPr>
  </w:style>
  <w:style w:type="character" w:styleId="943" w:customStyle="1">
    <w:name w:val="正文文本缩进 2 Char"/>
    <w:link w:val="942"/>
    <w:uiPriority w:val="0"/>
    <w:qFormat/>
    <w:rPr>
      <w:rFonts w:ascii="Arial" w:hAnsi="Arial" w:eastAsia="仿宋_GB2312" w:cs="Arial"/>
      <w:sz w:val="32"/>
      <w:szCs w:val="32"/>
    </w:rPr>
  </w:style>
  <w:style w:type="paragraph" w:styleId="944" w:customStyle="1">
    <w:name w:val="批注框文本1"/>
    <w:basedOn w:val="717"/>
    <w:link w:val="945"/>
    <w:uiPriority w:val="0"/>
    <w:semiHidden/>
    <w:qFormat/>
    <w:rPr>
      <w:rFonts w:ascii="Times New Roman" w:hAnsi="Times New Roman" w:eastAsia="宋体" w:cs="Times New Roman"/>
      <w:sz w:val="18"/>
      <w:szCs w:val="18"/>
    </w:rPr>
  </w:style>
  <w:style w:type="character" w:styleId="945" w:customStyle="1">
    <w:name w:val="批注框文本 Char"/>
    <w:link w:val="944"/>
    <w:uiPriority w:val="0"/>
    <w:semiHidden/>
    <w:qFormat/>
    <w:rPr>
      <w:rFonts w:ascii="Times New Roman" w:hAnsi="Times New Roman" w:eastAsia="宋体" w:cs="Times New Roman"/>
      <w:sz w:val="18"/>
      <w:szCs w:val="18"/>
    </w:rPr>
  </w:style>
  <w:style w:type="paragraph" w:styleId="946" w:customStyle="1">
    <w:name w:val="页脚1"/>
    <w:basedOn w:val="717"/>
    <w:link w:val="94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47" w:customStyle="1">
    <w:name w:val="页脚 Char"/>
    <w:link w:val="946"/>
    <w:uiPriority w:val="99"/>
    <w:qFormat/>
    <w:rPr>
      <w:rFonts w:ascii="Times New Roman" w:hAnsi="Times New Roman" w:eastAsia="宋体" w:cs="Times New Roman"/>
      <w:sz w:val="18"/>
      <w:szCs w:val="18"/>
    </w:rPr>
  </w:style>
  <w:style w:type="paragraph" w:styleId="948" w:customStyle="1">
    <w:name w:val="页眉1"/>
    <w:basedOn w:val="717"/>
    <w:link w:val="94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paragraph" w:styleId="950" w:customStyle="1">
    <w:name w:val="目录 11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1" w:customStyle="1">
    <w:name w:val="目录 41"/>
    <w:basedOn w:val="717"/>
    <w:next w:val="717"/>
    <w:uiPriority w:val="0"/>
    <w:semiHidden/>
    <w:qFormat/>
    <w:pPr>
      <w:ind w:left="630"/>
      <w:jc w:val="left"/>
    </w:pPr>
    <w:rPr>
      <w:rFonts w:ascii="Times New Roman" w:hAnsi="Times New Roman" w:eastAsia="宋体" w:cs="Times New Roman"/>
      <w:szCs w:val="21"/>
    </w:rPr>
  </w:style>
  <w:style w:type="paragraph" w:styleId="952" w:customStyle="1">
    <w:name w:val="列表1"/>
    <w:basedOn w:val="717"/>
    <w:uiPriority w:val="0"/>
    <w:qFormat/>
    <w:pPr>
      <w:ind w:left="200" w:hanging="200"/>
    </w:pPr>
    <w:rPr>
      <w:rFonts w:ascii="Times New Roman" w:hAnsi="Times New Roman" w:eastAsia="宋体" w:cs="Times New Roman"/>
      <w:szCs w:val="21"/>
    </w:rPr>
  </w:style>
  <w:style w:type="paragraph" w:styleId="953" w:customStyle="1">
    <w:name w:val="目录 61"/>
    <w:basedOn w:val="717"/>
    <w:next w:val="717"/>
    <w:uiPriority w:val="0"/>
    <w:semiHidden/>
    <w:qFormat/>
    <w:pPr>
      <w:ind w:left="1050"/>
      <w:jc w:val="left"/>
    </w:pPr>
    <w:rPr>
      <w:rFonts w:ascii="Times New Roman" w:hAnsi="Times New Roman" w:eastAsia="宋体" w:cs="Times New Roman"/>
      <w:szCs w:val="21"/>
    </w:rPr>
  </w:style>
  <w:style w:type="paragraph" w:styleId="954" w:customStyle="1">
    <w:name w:val="正文文本缩进 31"/>
    <w:basedOn w:val="717"/>
    <w:link w:val="955"/>
    <w:uiPriority w:val="0"/>
    <w:qFormat/>
    <w:pPr>
      <w:ind w:left="645" w:firstLine="645"/>
    </w:pPr>
    <w:rPr>
      <w:rFonts w:ascii="Arial" w:hAnsi="Arial" w:eastAsia="仿宋_GB2312" w:cs="Arial"/>
      <w:color w:val="ffff00"/>
      <w:sz w:val="32"/>
      <w:szCs w:val="32"/>
    </w:rPr>
  </w:style>
  <w:style w:type="character" w:styleId="955" w:customStyle="1">
    <w:name w:val="正文文本缩进 3 Char"/>
    <w:link w:val="954"/>
    <w:uiPriority w:val="0"/>
    <w:qFormat/>
    <w:rPr>
      <w:rFonts w:ascii="Arial" w:hAnsi="Arial" w:eastAsia="仿宋_GB2312" w:cs="Arial"/>
      <w:color w:val="ffff00"/>
      <w:sz w:val="32"/>
      <w:szCs w:val="32"/>
    </w:rPr>
  </w:style>
  <w:style w:type="paragraph" w:styleId="956" w:customStyle="1">
    <w:name w:val="图表目录1"/>
    <w:basedOn w:val="717"/>
    <w:next w:val="717"/>
    <w:uiPriority w:val="0"/>
    <w:semiHidden/>
    <w:qFormat/>
    <w:pPr>
      <w:ind w:left="840" w:hanging="420"/>
    </w:pPr>
    <w:rPr>
      <w:rFonts w:ascii="Times New Roman" w:hAnsi="Times New Roman" w:eastAsia="宋体" w:cs="Times New Roman"/>
      <w:szCs w:val="21"/>
    </w:rPr>
  </w:style>
  <w:style w:type="paragraph" w:styleId="957" w:customStyle="1">
    <w:name w:val="目录 21"/>
    <w:basedOn w:val="717"/>
    <w:next w:val="717"/>
    <w:uiPriority w:val="0"/>
    <w:semiHidden/>
    <w:qFormat/>
    <w:pPr>
      <w:ind w:left="210"/>
      <w:jc w:val="left"/>
    </w:pPr>
    <w:rPr>
      <w:rFonts w:ascii="Times New Roman" w:hAnsi="Times New Roman" w:eastAsia="宋体" w:cs="Times New Roman"/>
      <w:smallCaps/>
      <w:szCs w:val="24"/>
    </w:rPr>
  </w:style>
  <w:style w:type="paragraph" w:styleId="958" w:customStyle="1">
    <w:name w:val="目录 91"/>
    <w:basedOn w:val="717"/>
    <w:next w:val="717"/>
    <w:uiPriority w:val="0"/>
    <w:semiHidden/>
    <w:qFormat/>
    <w:pPr>
      <w:ind w:left="1680"/>
      <w:jc w:val="left"/>
    </w:pPr>
    <w:rPr>
      <w:rFonts w:ascii="Times New Roman" w:hAnsi="Times New Roman" w:eastAsia="宋体" w:cs="Times New Roman"/>
      <w:szCs w:val="21"/>
    </w:rPr>
  </w:style>
  <w:style w:type="paragraph" w:styleId="959" w:customStyle="1">
    <w:name w:val="正文文本 21"/>
    <w:basedOn w:val="717"/>
    <w:link w:val="960"/>
    <w:uiPriority w:val="0"/>
    <w:qFormat/>
    <w:pPr>
      <w:jc w:val="center"/>
      <w:widowControl/>
    </w:pPr>
    <w:rPr>
      <w:rFonts w:ascii="楷体_GB2312" w:hAnsi="Times New Roman" w:eastAsia="楷体_GB2312" w:cs="Times New Roman"/>
      <w:sz w:val="28"/>
      <w:szCs w:val="28"/>
    </w:rPr>
  </w:style>
  <w:style w:type="character" w:styleId="960" w:customStyle="1">
    <w:name w:val="正文文本 2 Char"/>
    <w:link w:val="959"/>
    <w:uiPriority w:val="0"/>
    <w:qFormat/>
    <w:rPr>
      <w:rFonts w:ascii="楷体_GB2312" w:hAnsi="Times New Roman" w:eastAsia="楷体_GB2312" w:cs="Times New Roman"/>
      <w:sz w:val="28"/>
      <w:szCs w:val="28"/>
    </w:rPr>
  </w:style>
  <w:style w:type="paragraph" w:styleId="961" w:customStyle="1">
    <w:name w:val="普通(网站)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962" w:customStyle="1">
    <w:name w:val="索引 11"/>
    <w:basedOn w:val="717"/>
    <w:next w:val="717"/>
    <w:uiPriority w:val="0"/>
    <w:semiHidden/>
    <w:qFormat/>
    <w:pPr>
      <w:spacing w:line="240" w:lineRule="atLeast"/>
    </w:pPr>
    <w:rPr>
      <w:rFonts w:ascii="Times New Roman" w:hAnsi="Times New Roman" w:eastAsia="宋体" w:cs="Times New Roman"/>
      <w:b/>
      <w:bCs/>
      <w:szCs w:val="21"/>
    </w:rPr>
  </w:style>
  <w:style w:type="paragraph" w:styleId="963" w:customStyle="1">
    <w:name w:val="批注主题1"/>
    <w:basedOn w:val="926"/>
    <w:next w:val="926"/>
    <w:link w:val="964"/>
    <w:uiPriority w:val="0"/>
    <w:semiHidden/>
    <w:qFormat/>
    <w:rPr>
      <w:rFonts w:ascii="Times New Roman" w:hAnsi="Times New Roman" w:eastAsia="宋体" w:cs="Times New Roman"/>
      <w:b/>
      <w:bCs/>
      <w:szCs w:val="21"/>
    </w:rPr>
  </w:style>
  <w:style w:type="character" w:styleId="964" w:customStyle="1">
    <w:name w:val="批注主题 Char"/>
    <w:link w:val="963"/>
    <w:uiPriority w:val="0"/>
    <w:semiHidden/>
    <w:qFormat/>
    <w:rPr>
      <w:rFonts w:ascii="Times New Roman" w:hAnsi="Times New Roman" w:eastAsia="宋体" w:cs="Times New Roman"/>
      <w:b/>
      <w:bCs/>
      <w:szCs w:val="21"/>
    </w:rPr>
  </w:style>
  <w:style w:type="paragraph" w:styleId="965" w:customStyle="1">
    <w:name w:val="正文首行缩进1"/>
    <w:basedOn w:val="717"/>
    <w:link w:val="966"/>
    <w:uiPriority w:val="0"/>
    <w:qFormat/>
    <w:pPr>
      <w:ind w:firstLine="200"/>
      <w:spacing w:line="360" w:lineRule="auto"/>
    </w:pPr>
    <w:rPr>
      <w:rFonts w:ascii="仿宋_GB2312" w:hAnsi="Times New Roman" w:eastAsia="仿宋_GB2312" w:cs="Times New Roman"/>
      <w:sz w:val="30"/>
      <w:szCs w:val="30"/>
    </w:rPr>
  </w:style>
  <w:style w:type="character" w:styleId="966" w:customStyle="1">
    <w:name w:val="正文首行缩进 Char"/>
    <w:link w:val="965"/>
    <w:uiPriority w:val="0"/>
    <w:qFormat/>
    <w:rPr>
      <w:rFonts w:ascii="仿宋_GB2312" w:hAnsi="Times New Roman" w:eastAsia="仿宋_GB2312" w:cs="Times New Roman"/>
      <w:sz w:val="30"/>
      <w:szCs w:val="30"/>
    </w:rPr>
  </w:style>
  <w:style w:type="paragraph" w:styleId="967" w:customStyle="1">
    <w:name w:val="正文首行缩进 21"/>
    <w:basedOn w:val="932"/>
    <w:link w:val="968"/>
    <w:uiPriority w:val="0"/>
    <w:qFormat/>
    <w:pPr>
      <w:ind w:left="0" w:firstLine="420"/>
      <w:spacing w:after="0" w:line="360" w:lineRule="auto"/>
    </w:pPr>
    <w:rPr>
      <w:rFonts w:ascii="宋体" w:hAnsi="宋体" w:eastAsia="宋体" w:cs="Times New Roman"/>
      <w:szCs w:val="20"/>
    </w:rPr>
  </w:style>
  <w:style w:type="character" w:styleId="968" w:customStyle="1">
    <w:name w:val="正文首行缩进 2 Char"/>
    <w:link w:val="967"/>
    <w:uiPriority w:val="0"/>
    <w:qFormat/>
    <w:rPr>
      <w:rFonts w:ascii="宋体" w:hAnsi="宋体" w:eastAsia="宋体" w:cs="Times New Roman"/>
      <w:szCs w:val="20"/>
    </w:rPr>
  </w:style>
  <w:style w:type="table" w:styleId="969" w:customStyle="1">
    <w:name w:val="网格型1"/>
    <w:basedOn w:val="911"/>
    <w:uiPriority w:val="0"/>
    <w:qFormat/>
    <w:pPr>
      <w:jc w:val="both"/>
      <w:widowControl w:val="off"/>
    </w:pPr>
    <w:rPr>
      <w:rFonts w:ascii="Times New Roman" w:hAnsi="Times New Roman" w:eastAsia="宋体" w:cs="Times New Roman"/>
      <w:sz w:val="20"/>
      <w:szCs w:val="20"/>
    </w:rPr>
    <w:tblPr/>
  </w:style>
  <w:style w:type="character" w:styleId="970" w:customStyle="1">
    <w:name w:val="要点1"/>
    <w:link w:val="717"/>
    <w:uiPriority w:val="0"/>
    <w:qFormat/>
    <w:rPr>
      <w:b/>
      <w:bCs/>
    </w:rPr>
  </w:style>
  <w:style w:type="character" w:styleId="971" w:customStyle="1">
    <w:name w:val="页码1"/>
    <w:link w:val="717"/>
    <w:uiPriority w:val="0"/>
    <w:qFormat/>
  </w:style>
  <w:style w:type="character" w:styleId="972" w:customStyle="1">
    <w:name w:val="已访问的超链接1"/>
    <w:link w:val="717"/>
    <w:uiPriority w:val="0"/>
    <w:qFormat/>
    <w:rPr>
      <w:color w:val="800080"/>
      <w:u w:val="single"/>
    </w:rPr>
  </w:style>
  <w:style w:type="character" w:styleId="973" w:customStyle="1">
    <w:name w:val="强调1"/>
    <w:basedOn w:val="910"/>
    <w:link w:val="717"/>
    <w:uiPriority w:val="0"/>
    <w:qFormat/>
    <w:rPr>
      <w:i/>
    </w:rPr>
  </w:style>
  <w:style w:type="character" w:styleId="974" w:customStyle="1">
    <w:name w:val="超链接1"/>
    <w:link w:val="717"/>
    <w:uiPriority w:val="0"/>
    <w:qFormat/>
    <w:rPr>
      <w:color w:val="0000ff"/>
      <w:u w:val="single"/>
    </w:rPr>
  </w:style>
  <w:style w:type="character" w:styleId="975" w:customStyle="1">
    <w:name w:val="批注引用1"/>
    <w:link w:val="717"/>
    <w:uiPriority w:val="0"/>
    <w:semiHidden/>
    <w:qFormat/>
    <w:rPr>
      <w:sz w:val="21"/>
      <w:szCs w:val="21"/>
    </w:rPr>
  </w:style>
  <w:style w:type="character" w:styleId="976" w:customStyle="1">
    <w:name w:val="font5 Char"/>
    <w:link w:val="717"/>
    <w:uiPriority w:val="0"/>
    <w:qFormat/>
    <w:rPr>
      <w:rFonts w:ascii="宋体" w:hAnsi="宋体" w:eastAsia="宋体"/>
      <w:sz w:val="28"/>
      <w:szCs w:val="28"/>
      <w:lang w:val="en-US" w:eastAsia="zh-CN" w:bidi="ar-SA"/>
    </w:rPr>
  </w:style>
  <w:style w:type="character" w:styleId="977" w:customStyle="1">
    <w:name w:val="二级目录 Char"/>
    <w:link w:val="978"/>
    <w:uiPriority w:val="0"/>
    <w:qFormat/>
    <w:rPr>
      <w:b/>
      <w:sz w:val="30"/>
      <w:szCs w:val="28"/>
    </w:rPr>
  </w:style>
  <w:style w:type="paragraph" w:styleId="978" w:customStyle="1">
    <w:name w:val="二级目录"/>
    <w:next w:val="717"/>
    <w:link w:val="97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9" w:customStyle="1">
    <w:name w:val="列出段落 Char"/>
    <w:link w:val="980"/>
    <w:uiPriority w:val="0"/>
    <w:qFormat/>
    <w:rPr>
      <w:rFonts w:ascii="Calibri" w:hAnsi="Calibri"/>
      <w:sz w:val="24"/>
      <w:szCs w:val="24"/>
      <w:lang w:eastAsia="en-US" w:bidi="en-US"/>
    </w:rPr>
  </w:style>
  <w:style w:type="paragraph" w:styleId="980" w:customStyle="1">
    <w:name w:val="列出段落1"/>
    <w:basedOn w:val="717"/>
    <w:link w:val="979"/>
    <w:uiPriority w:val="0"/>
    <w:qFormat/>
    <w:pPr>
      <w:contextualSpacing/>
      <w:ind w:left="720"/>
      <w:jc w:val="left"/>
      <w:widowControl/>
    </w:pPr>
    <w:rPr>
      <w:rFonts w:ascii="Calibri" w:hAnsi="Calibri"/>
      <w:sz w:val="24"/>
      <w:szCs w:val="24"/>
      <w:lang w:eastAsia="en-US" w:bidi="en-US"/>
    </w:rPr>
  </w:style>
  <w:style w:type="paragraph" w:styleId="981" w:customStyle="1">
    <w:name w:val="Body Text(ch)"/>
    <w:basedOn w:val="717"/>
    <w:next w:val="930"/>
    <w:uiPriority w:val="0"/>
    <w:qFormat/>
    <w:pPr>
      <w:spacing w:after="120"/>
    </w:pPr>
    <w:rPr>
      <w:rFonts w:ascii="宋体" w:hAnsi="Arial" w:eastAsia="宋体" w:cs="Times New Roman"/>
      <w:bCs/>
      <w:iCs/>
      <w:szCs w:val="24"/>
    </w:rPr>
  </w:style>
  <w:style w:type="paragraph" w:styleId="982"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985" w:customStyle="1">
    <w:name w:val=" Char"/>
    <w:basedOn w:val="924"/>
    <w:uiPriority w:val="0"/>
    <w:qFormat/>
    <w:rPr>
      <w:rFonts w:ascii="Tahoma" w:hAnsi="Tahoma"/>
      <w:sz w:val="24"/>
      <w:szCs w:val="24"/>
    </w:rPr>
  </w:style>
  <w:style w:type="paragraph" w:styleId="986" w:customStyle="1">
    <w:name w:val="普通正文"/>
    <w:basedOn w:val="717"/>
    <w:uiPriority w:val="0"/>
    <w:qFormat/>
    <w:pPr>
      <w:ind w:firstLine="480"/>
      <w:jc w:val="left"/>
      <w:spacing w:before="120" w:after="120" w:line="360" w:lineRule="auto"/>
    </w:pPr>
    <w:rPr>
      <w:rFonts w:ascii="Arial" w:hAnsi="Arial" w:eastAsia="宋体" w:cs="Times New Roman"/>
      <w:sz w:val="24"/>
      <w:szCs w:val="24"/>
    </w:rPr>
  </w:style>
  <w:style w:type="paragraph" w:styleId="987"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98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9" w:customStyle="1">
    <w:name w:val="font7"/>
    <w:basedOn w:val="7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0" w:customStyle="1">
    <w:name w:val=" Char Char Char Char"/>
    <w:basedOn w:val="924"/>
    <w:uiPriority w:val="0"/>
    <w:qFormat/>
    <w:pPr>
      <w:spacing w:line="360" w:lineRule="auto"/>
    </w:pPr>
    <w:rPr>
      <w:rFonts w:ascii="Tahoma" w:hAnsi="Tahoma"/>
      <w:sz w:val="24"/>
      <w:szCs w:val="24"/>
    </w:rPr>
  </w:style>
  <w:style w:type="paragraph" w:styleId="991" w:customStyle="1">
    <w:name w:val="列出段落"/>
    <w:basedOn w:val="717"/>
    <w:uiPriority w:val="0"/>
    <w:qFormat/>
    <w:pPr>
      <w:contextualSpacing/>
      <w:ind w:left="720"/>
      <w:jc w:val="left"/>
      <w:widowControl/>
    </w:pPr>
    <w:rPr>
      <w:rFonts w:ascii="Calibri" w:hAnsi="Calibri" w:eastAsia="宋体" w:cs="Times New Roman"/>
      <w:sz w:val="24"/>
      <w:szCs w:val="24"/>
      <w:lang w:eastAsia="en-US" w:bidi="en-US"/>
    </w:rPr>
  </w:style>
  <w:style w:type="paragraph" w:styleId="992" w:customStyle="1">
    <w:name w:val="4"/>
    <w:basedOn w:val="717"/>
    <w:next w:val="954"/>
    <w:uiPriority w:val="0"/>
    <w:qFormat/>
    <w:pPr>
      <w:ind w:firstLine="420"/>
      <w:spacing w:line="360" w:lineRule="auto"/>
    </w:pPr>
    <w:rPr>
      <w:rFonts w:ascii="Times New Roman" w:hAnsi="Times New Roman" w:eastAsia="宋体" w:cs="Times New Roman"/>
      <w:color w:val="ff0000"/>
      <w:sz w:val="24"/>
      <w:szCs w:val="24"/>
    </w:rPr>
  </w:style>
  <w:style w:type="paragraph" w:styleId="993"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994" w:customStyle="1">
    <w:name w:val="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995" w:customStyle="1">
    <w:name w:val="样式1"/>
    <w:basedOn w:val="717"/>
    <w:uiPriority w:val="0"/>
    <w:qFormat/>
    <w:pPr>
      <w:numPr>
        <w:ilvl w:val="0"/>
        <w:numId w:val="3"/>
      </w:numPr>
    </w:pPr>
    <w:rPr>
      <w:rFonts w:ascii="宋体" w:hAnsi="宋体" w:eastAsia="宋体" w:cs="Times New Roman"/>
      <w:szCs w:val="21"/>
    </w:rPr>
  </w:style>
  <w:style w:type="paragraph" w:styleId="996" w:customStyle="1">
    <w:name w:val="font6"/>
    <w:basedOn w:val="7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7"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1000"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2"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03"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4" w:customStyle="1">
    <w:name w:val=" 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05" w:customStyle="1">
    <w:name w:val="xl30"/>
    <w:basedOn w:val="7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6" w:customStyle="1">
    <w:name w:val="Char Char Char Char"/>
    <w:basedOn w:val="924"/>
    <w:uiPriority w:val="0"/>
    <w:qFormat/>
    <w:pPr>
      <w:spacing w:line="360" w:lineRule="auto"/>
    </w:pPr>
    <w:rPr>
      <w:rFonts w:ascii="Tahoma" w:hAnsi="Tahoma"/>
      <w:sz w:val="24"/>
      <w:szCs w:val="24"/>
    </w:rPr>
  </w:style>
  <w:style w:type="paragraph" w:styleId="1007"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8" w:customStyle="1">
    <w:name w:val="font5"/>
    <w:basedOn w:val="7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9"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3" w:customStyle="1">
    <w:name w:val="目录 1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11</cp:revision>
  <dcterms:created xsi:type="dcterms:W3CDTF">2023-03-27T07:28:00Z</dcterms:created>
  <dcterms:modified xsi:type="dcterms:W3CDTF">2026-09-15T07:19:36Z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2052-12.1.0.28505</vt:lpwstr>
  </property>
  <property fmtid="{D5CDD505-2E9C-101B-9397-08002B2CF9AE}" pid="4" name="ICV">
    <vt:lpwstr>3948003DA0754AC39471E3486B6B8803_13</vt:lpwstr>
  </property>
</Properties>
</file>